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39F65F0">
      <w:pPr>
        <w:rPr>
          <w:rFonts w:hint="eastAsia" w:ascii="黑体" w:hAnsi="黑体" w:eastAsia="黑体"/>
          <w:sz w:val="32"/>
          <w:szCs w:val="32"/>
        </w:rPr>
      </w:pPr>
    </w:p>
    <w:p w14:paraId="151668C8">
      <w:pPr>
        <w:jc w:val="center"/>
        <w:rPr>
          <w:rFonts w:hint="eastAsia" w:ascii="黑体" w:hAnsi="黑体" w:eastAsia="黑体"/>
          <w:spacing w:val="5760"/>
          <w:kern w:val="0"/>
          <w:sz w:val="36"/>
          <w:szCs w:val="36"/>
        </w:rPr>
      </w:pPr>
    </w:p>
    <w:p w14:paraId="17BE7ACB">
      <w:pPr>
        <w:jc w:val="center"/>
        <w:rPr>
          <w:rFonts w:hint="eastAsia" w:cs="宋体"/>
          <w:b/>
          <w:bCs/>
          <w:kern w:val="0"/>
          <w:sz w:val="96"/>
          <w:szCs w:val="96"/>
        </w:rPr>
      </w:pPr>
      <w:r>
        <w:rPr>
          <w:rFonts w:hint="eastAsia" w:cs="宋体"/>
          <w:b/>
          <w:bCs/>
          <w:kern w:val="0"/>
          <w:sz w:val="96"/>
          <w:szCs w:val="96"/>
        </w:rPr>
        <w:t>招标文件</w:t>
      </w:r>
    </w:p>
    <w:p w14:paraId="0179868B">
      <w:pPr>
        <w:spacing w:line="240" w:lineRule="auto"/>
        <w:jc w:val="center"/>
        <w:rPr>
          <w:rFonts w:hint="eastAsia" w:ascii="黑体" w:hAnsi="黑体" w:eastAsia="黑体"/>
          <w:sz w:val="52"/>
          <w:szCs w:val="52"/>
        </w:rPr>
      </w:pPr>
    </w:p>
    <w:p w14:paraId="6C328FB4">
      <w:pPr>
        <w:ind w:left="420" w:leftChars="175"/>
        <w:rPr>
          <w:rFonts w:hint="eastAsia" w:cs="宋体"/>
          <w:sz w:val="36"/>
          <w:szCs w:val="36"/>
        </w:rPr>
      </w:pPr>
    </w:p>
    <w:p w14:paraId="264B26E7">
      <w:pPr>
        <w:ind w:left="420" w:leftChars="175"/>
        <w:rPr>
          <w:rFonts w:hint="eastAsia" w:eastAsia="宋体" w:cs="宋体"/>
          <w:sz w:val="36"/>
          <w:szCs w:val="36"/>
          <w:lang w:val="en-US" w:eastAsia="zh-CN"/>
        </w:rPr>
      </w:pPr>
      <w:r>
        <w:rPr>
          <w:rFonts w:hint="eastAsia" w:cs="宋体"/>
          <w:sz w:val="36"/>
          <w:szCs w:val="36"/>
        </w:rPr>
        <w:t>项目编号：TC269H0HT</w:t>
      </w:r>
      <w:r>
        <w:rPr>
          <w:rFonts w:hint="eastAsia" w:cs="宋体"/>
          <w:sz w:val="36"/>
          <w:szCs w:val="36"/>
          <w:lang w:val="en-US" w:eastAsia="zh-CN"/>
        </w:rPr>
        <w:t>-</w:t>
      </w:r>
    </w:p>
    <w:p w14:paraId="2C2041DD">
      <w:pPr>
        <w:ind w:left="420" w:leftChars="175"/>
        <w:rPr>
          <w:rFonts w:hint="eastAsia" w:eastAsia="宋体" w:cs="宋体"/>
          <w:sz w:val="36"/>
          <w:szCs w:val="36"/>
          <w:lang w:val="en-US" w:eastAsia="zh-CN"/>
        </w:rPr>
      </w:pPr>
      <w:r>
        <w:rPr>
          <w:rFonts w:hint="eastAsia" w:cs="宋体"/>
          <w:sz w:val="36"/>
          <w:szCs w:val="36"/>
        </w:rPr>
        <w:t>项目名称：</w:t>
      </w:r>
      <w:r>
        <w:rPr>
          <w:rFonts w:hint="eastAsia" w:cs="宋体"/>
          <w:sz w:val="36"/>
          <w:szCs w:val="36"/>
          <w:lang w:eastAsia="zh-CN"/>
        </w:rPr>
        <w:t>新疆生产建设兵团东天山“三北”工程核心攻坚区（第十三师）历史遗留废弃矿山生态修复示范工程（全过程技术管理咨询）-</w:t>
      </w:r>
    </w:p>
    <w:p w14:paraId="6C8B7BDF">
      <w:pPr>
        <w:ind w:left="420" w:leftChars="175"/>
        <w:rPr>
          <w:rFonts w:hint="eastAsia" w:cs="宋体"/>
          <w:sz w:val="36"/>
          <w:szCs w:val="36"/>
        </w:rPr>
      </w:pPr>
      <w:r>
        <w:rPr>
          <w:rFonts w:hint="eastAsia" w:cs="宋体"/>
          <w:sz w:val="36"/>
          <w:szCs w:val="36"/>
        </w:rPr>
        <w:t>采 购 人：新疆生产建设兵团第十三师自然资源和规划服务中心</w:t>
      </w:r>
    </w:p>
    <w:p w14:paraId="3E1C09E1">
      <w:pPr>
        <w:ind w:left="420" w:leftChars="175"/>
        <w:rPr>
          <w:rFonts w:hint="eastAsia" w:cs="宋体"/>
          <w:sz w:val="36"/>
          <w:szCs w:val="36"/>
        </w:rPr>
      </w:pPr>
      <w:r>
        <w:rPr>
          <w:rFonts w:hint="eastAsia" w:cs="宋体"/>
          <w:sz w:val="36"/>
          <w:szCs w:val="36"/>
        </w:rPr>
        <w:t>采购代理机构：中招国际招标有限公司</w:t>
      </w:r>
    </w:p>
    <w:p w14:paraId="54B3DDEB">
      <w:pPr>
        <w:rPr>
          <w:rFonts w:hint="eastAsia" w:ascii="黑体" w:hAnsi="黑体" w:eastAsia="黑体"/>
        </w:rPr>
      </w:pPr>
    </w:p>
    <w:p w14:paraId="4FD3D45C">
      <w:pPr>
        <w:ind w:left="420" w:leftChars="175"/>
        <w:jc w:val="center"/>
        <w:rPr>
          <w:rFonts w:hint="eastAsia" w:cs="宋体"/>
          <w:sz w:val="36"/>
          <w:szCs w:val="36"/>
        </w:rPr>
      </w:pPr>
    </w:p>
    <w:p w14:paraId="0C86C05E">
      <w:pPr>
        <w:ind w:left="420" w:leftChars="175"/>
        <w:jc w:val="center"/>
        <w:rPr>
          <w:rFonts w:hint="eastAsia" w:cs="宋体"/>
          <w:sz w:val="36"/>
          <w:szCs w:val="36"/>
        </w:rPr>
      </w:pPr>
      <w:r>
        <w:rPr>
          <w:rFonts w:hint="eastAsia" w:cs="宋体"/>
          <w:sz w:val="36"/>
          <w:szCs w:val="36"/>
        </w:rPr>
        <w:t>2026年</w:t>
      </w:r>
      <w:r>
        <w:rPr>
          <w:rFonts w:hint="eastAsia" w:cs="宋体"/>
          <w:sz w:val="36"/>
          <w:szCs w:val="36"/>
          <w:lang w:val="en-US" w:eastAsia="zh-CN"/>
        </w:rPr>
        <w:t>6</w:t>
      </w:r>
      <w:r>
        <w:rPr>
          <w:rFonts w:hint="eastAsia" w:cs="宋体"/>
          <w:sz w:val="36"/>
          <w:szCs w:val="36"/>
        </w:rPr>
        <w:t>月</w:t>
      </w:r>
    </w:p>
    <w:p w14:paraId="288E7BB0">
      <w:pPr>
        <w:jc w:val="center"/>
        <w:rPr>
          <w:rFonts w:hint="eastAsia" w:ascii="黑体" w:hAnsi="黑体" w:eastAsia="黑体"/>
          <w:sz w:val="48"/>
          <w:szCs w:val="48"/>
        </w:rPr>
      </w:pPr>
    </w:p>
    <w:p w14:paraId="7D2BE8D9">
      <w:pPr>
        <w:jc w:val="center"/>
        <w:rPr>
          <w:rFonts w:hint="eastAsia" w:ascii="黑体" w:hAnsi="黑体" w:eastAsia="黑体"/>
          <w:sz w:val="48"/>
          <w:szCs w:val="48"/>
        </w:rPr>
      </w:pPr>
    </w:p>
    <w:p w14:paraId="1890CBD7">
      <w:pPr>
        <w:rPr>
          <w:rFonts w:hint="eastAsia" w:cs="宋体"/>
          <w:b/>
          <w:bCs/>
          <w:sz w:val="36"/>
          <w:szCs w:val="36"/>
        </w:rPr>
      </w:pPr>
      <w:r>
        <w:rPr>
          <w:rFonts w:hint="eastAsia" w:cs="宋体"/>
          <w:b/>
          <w:bCs/>
          <w:sz w:val="36"/>
          <w:szCs w:val="36"/>
        </w:rPr>
        <w:br w:type="page"/>
      </w:r>
    </w:p>
    <w:p w14:paraId="05E8A617">
      <w:pPr>
        <w:jc w:val="center"/>
        <w:rPr>
          <w:rFonts w:hint="eastAsia" w:cs="宋体"/>
          <w:b/>
          <w:bCs/>
          <w:sz w:val="36"/>
          <w:szCs w:val="36"/>
        </w:rPr>
      </w:pPr>
      <w:r>
        <w:rPr>
          <w:rFonts w:hint="eastAsia" w:cs="宋体"/>
          <w:b/>
          <w:bCs/>
          <w:sz w:val="36"/>
          <w:szCs w:val="36"/>
        </w:rPr>
        <w:t>目 录</w:t>
      </w:r>
    </w:p>
    <w:p w14:paraId="49386F8F">
      <w:pPr>
        <w:pStyle w:val="23"/>
        <w:tabs>
          <w:tab w:val="right" w:leader="dot" w:pos="8306"/>
        </w:tabs>
        <w:spacing w:line="400" w:lineRule="exact"/>
        <w:jc w:val="both"/>
        <w:rPr>
          <w:rFonts w:hint="eastAsia"/>
          <w:sz w:val="24"/>
          <w:szCs w:val="24"/>
        </w:rPr>
      </w:pPr>
      <w:bookmarkStart w:id="0" w:name="_Toc155185859"/>
      <w:bookmarkStart w:id="1" w:name="_Toc10815"/>
      <w:bookmarkStart w:id="2" w:name="_Hlk130458318"/>
      <w:r>
        <w:rPr>
          <w:rFonts w:hint="eastAsia" w:ascii="宋体" w:eastAsia="宋体" w:cs="宋体"/>
          <w:caps w:val="0"/>
          <w:sz w:val="24"/>
          <w:szCs w:val="24"/>
        </w:rPr>
        <w:fldChar w:fldCharType="begin"/>
      </w:r>
      <w:r>
        <w:rPr>
          <w:rFonts w:hint="eastAsia" w:ascii="宋体" w:eastAsia="宋体" w:cs="宋体"/>
          <w:caps w:val="0"/>
          <w:sz w:val="24"/>
          <w:szCs w:val="24"/>
        </w:rPr>
        <w:instrText xml:space="preserve">TOC \o "1-2" \h \u </w:instrText>
      </w:r>
      <w:r>
        <w:rPr>
          <w:rFonts w:hint="eastAsia" w:ascii="宋体" w:eastAsia="宋体" w:cs="宋体"/>
          <w:caps w:val="0"/>
          <w:sz w:val="24"/>
          <w:szCs w:val="24"/>
        </w:rPr>
        <w:fldChar w:fldCharType="separate"/>
      </w:r>
      <w:r>
        <w:fldChar w:fldCharType="begin"/>
      </w:r>
      <w:r>
        <w:instrText xml:space="preserve"> HYPERLINK \l "_Toc11922" </w:instrText>
      </w:r>
      <w:r>
        <w:fldChar w:fldCharType="separate"/>
      </w:r>
      <w:r>
        <w:rPr>
          <w:rFonts w:hint="eastAsia" w:ascii="宋体" w:eastAsia="宋体" w:cs="宋体"/>
          <w:kern w:val="44"/>
          <w:sz w:val="24"/>
          <w:szCs w:val="24"/>
        </w:rPr>
        <w:t xml:space="preserve">第一章 </w:t>
      </w:r>
      <w:r>
        <w:rPr>
          <w:rFonts w:hint="eastAsia" w:ascii="宋体" w:eastAsia="宋体" w:cs="宋体"/>
          <w:sz w:val="24"/>
          <w:szCs w:val="24"/>
        </w:rPr>
        <w:t>招标公告</w:t>
      </w:r>
      <w:r>
        <w:rPr>
          <w:sz w:val="24"/>
          <w:szCs w:val="24"/>
        </w:rPr>
        <w:tab/>
      </w:r>
      <w:r>
        <w:rPr>
          <w:sz w:val="24"/>
          <w:szCs w:val="24"/>
        </w:rPr>
        <w:fldChar w:fldCharType="begin"/>
      </w:r>
      <w:r>
        <w:rPr>
          <w:sz w:val="24"/>
          <w:szCs w:val="24"/>
        </w:rPr>
        <w:instrText xml:space="preserve"> PAGEREF _Toc11922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151CAB6D">
      <w:pPr>
        <w:pStyle w:val="27"/>
        <w:tabs>
          <w:tab w:val="right" w:leader="dot" w:pos="8306"/>
        </w:tabs>
        <w:spacing w:line="400" w:lineRule="exact"/>
        <w:jc w:val="both"/>
        <w:rPr>
          <w:rFonts w:hint="eastAsia"/>
          <w:sz w:val="24"/>
          <w:szCs w:val="24"/>
        </w:rPr>
      </w:pPr>
      <w:r>
        <w:fldChar w:fldCharType="begin"/>
      </w:r>
      <w:r>
        <w:instrText xml:space="preserve"> HYPERLINK \l "_Toc1899" </w:instrText>
      </w:r>
      <w:r>
        <w:fldChar w:fldCharType="separate"/>
      </w:r>
      <w:r>
        <w:rPr>
          <w:rFonts w:hint="eastAsia"/>
          <w:sz w:val="24"/>
          <w:szCs w:val="24"/>
        </w:rPr>
        <w:t>项目概况：</w:t>
      </w:r>
      <w:r>
        <w:rPr>
          <w:sz w:val="24"/>
          <w:szCs w:val="24"/>
        </w:rPr>
        <w:tab/>
      </w:r>
      <w:r>
        <w:rPr>
          <w:sz w:val="24"/>
          <w:szCs w:val="24"/>
        </w:rPr>
        <w:fldChar w:fldCharType="begin"/>
      </w:r>
      <w:r>
        <w:rPr>
          <w:sz w:val="24"/>
          <w:szCs w:val="24"/>
        </w:rPr>
        <w:instrText xml:space="preserve"> PAGEREF _Toc1899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07E92C59">
      <w:pPr>
        <w:pStyle w:val="27"/>
        <w:tabs>
          <w:tab w:val="right" w:leader="dot" w:pos="8306"/>
        </w:tabs>
        <w:spacing w:line="400" w:lineRule="exact"/>
        <w:jc w:val="both"/>
        <w:rPr>
          <w:rFonts w:hint="eastAsia"/>
          <w:sz w:val="24"/>
          <w:szCs w:val="24"/>
        </w:rPr>
      </w:pPr>
      <w:r>
        <w:fldChar w:fldCharType="begin"/>
      </w:r>
      <w:r>
        <w:instrText xml:space="preserve"> HYPERLINK \l "_Toc6854" </w:instrText>
      </w:r>
      <w:r>
        <w:fldChar w:fldCharType="separate"/>
      </w:r>
      <w:r>
        <w:rPr>
          <w:rFonts w:hint="eastAsia" w:ascii="宋体" w:eastAsia="宋体" w:cs="宋体"/>
          <w:bCs/>
          <w:sz w:val="24"/>
          <w:szCs w:val="24"/>
          <w:lang w:val="hr-HR"/>
        </w:rPr>
        <w:t>一、项目基本情况</w:t>
      </w:r>
      <w:r>
        <w:rPr>
          <w:sz w:val="24"/>
          <w:szCs w:val="24"/>
        </w:rPr>
        <w:tab/>
      </w:r>
      <w:r>
        <w:rPr>
          <w:sz w:val="24"/>
          <w:szCs w:val="24"/>
        </w:rPr>
        <w:fldChar w:fldCharType="begin"/>
      </w:r>
      <w:r>
        <w:rPr>
          <w:sz w:val="24"/>
          <w:szCs w:val="24"/>
        </w:rPr>
        <w:instrText xml:space="preserve"> PAGEREF _Toc6854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17570B35">
      <w:pPr>
        <w:pStyle w:val="27"/>
        <w:tabs>
          <w:tab w:val="right" w:leader="dot" w:pos="8306"/>
        </w:tabs>
        <w:spacing w:line="400" w:lineRule="exact"/>
        <w:jc w:val="both"/>
        <w:rPr>
          <w:rFonts w:hint="eastAsia"/>
          <w:sz w:val="24"/>
          <w:szCs w:val="24"/>
        </w:rPr>
      </w:pPr>
      <w:r>
        <w:fldChar w:fldCharType="begin"/>
      </w:r>
      <w:r>
        <w:instrText xml:space="preserve"> HYPERLINK \l "_Toc17328" </w:instrText>
      </w:r>
      <w:r>
        <w:fldChar w:fldCharType="separate"/>
      </w:r>
      <w:r>
        <w:rPr>
          <w:rFonts w:hint="eastAsia" w:ascii="宋体" w:eastAsia="宋体" w:cs="宋体"/>
          <w:bCs/>
          <w:sz w:val="24"/>
          <w:szCs w:val="24"/>
        </w:rPr>
        <w:t>二、申请</w:t>
      </w:r>
      <w:r>
        <w:rPr>
          <w:rFonts w:hint="eastAsia" w:ascii="宋体" w:eastAsia="宋体" w:cs="宋体"/>
          <w:bCs/>
          <w:sz w:val="24"/>
          <w:szCs w:val="24"/>
          <w:lang w:val="hr-HR"/>
        </w:rPr>
        <w:t>人</w:t>
      </w:r>
      <w:r>
        <w:rPr>
          <w:rFonts w:hint="eastAsia" w:ascii="宋体" w:eastAsia="宋体" w:cs="宋体"/>
          <w:bCs/>
          <w:sz w:val="24"/>
          <w:szCs w:val="24"/>
        </w:rPr>
        <w:t>的</w:t>
      </w:r>
      <w:r>
        <w:rPr>
          <w:rFonts w:hint="eastAsia" w:ascii="宋体" w:eastAsia="宋体" w:cs="宋体"/>
          <w:bCs/>
          <w:sz w:val="24"/>
          <w:szCs w:val="24"/>
          <w:lang w:val="hr-HR"/>
        </w:rPr>
        <w:t>资格要求</w:t>
      </w:r>
      <w:r>
        <w:rPr>
          <w:sz w:val="24"/>
          <w:szCs w:val="24"/>
        </w:rPr>
        <w:tab/>
      </w:r>
      <w:r>
        <w:rPr>
          <w:sz w:val="24"/>
          <w:szCs w:val="24"/>
        </w:rPr>
        <w:fldChar w:fldCharType="begin"/>
      </w:r>
      <w:r>
        <w:rPr>
          <w:sz w:val="24"/>
          <w:szCs w:val="24"/>
        </w:rPr>
        <w:instrText xml:space="preserve"> PAGEREF _Toc17328 \h </w:instrText>
      </w:r>
      <w:r>
        <w:rPr>
          <w:sz w:val="24"/>
          <w:szCs w:val="24"/>
        </w:rPr>
        <w:fldChar w:fldCharType="separate"/>
      </w:r>
      <w:r>
        <w:rPr>
          <w:sz w:val="24"/>
          <w:szCs w:val="24"/>
        </w:rPr>
        <w:t>- 1 -</w:t>
      </w:r>
      <w:r>
        <w:rPr>
          <w:sz w:val="24"/>
          <w:szCs w:val="24"/>
        </w:rPr>
        <w:fldChar w:fldCharType="end"/>
      </w:r>
      <w:r>
        <w:rPr>
          <w:sz w:val="24"/>
          <w:szCs w:val="24"/>
        </w:rPr>
        <w:fldChar w:fldCharType="end"/>
      </w:r>
    </w:p>
    <w:p w14:paraId="01559E90">
      <w:pPr>
        <w:pStyle w:val="27"/>
        <w:tabs>
          <w:tab w:val="right" w:leader="dot" w:pos="8306"/>
        </w:tabs>
        <w:spacing w:line="400" w:lineRule="exact"/>
        <w:jc w:val="both"/>
        <w:rPr>
          <w:rFonts w:hint="eastAsia"/>
          <w:sz w:val="24"/>
          <w:szCs w:val="24"/>
        </w:rPr>
      </w:pPr>
      <w:r>
        <w:fldChar w:fldCharType="begin"/>
      </w:r>
      <w:r>
        <w:instrText xml:space="preserve"> HYPERLINK \l "_Toc10741" </w:instrText>
      </w:r>
      <w:r>
        <w:fldChar w:fldCharType="separate"/>
      </w:r>
      <w:r>
        <w:rPr>
          <w:rFonts w:hint="eastAsia" w:ascii="宋体" w:eastAsia="宋体" w:cs="宋体"/>
          <w:bCs/>
          <w:sz w:val="24"/>
          <w:szCs w:val="24"/>
        </w:rPr>
        <w:t>三、</w:t>
      </w:r>
      <w:r>
        <w:rPr>
          <w:rFonts w:hint="eastAsia" w:ascii="宋体" w:eastAsia="宋体" w:cs="宋体"/>
          <w:bCs/>
          <w:sz w:val="24"/>
          <w:szCs w:val="24"/>
          <w:lang w:val="hr-HR"/>
        </w:rPr>
        <w:t>获取招标文件</w:t>
      </w:r>
      <w:r>
        <w:rPr>
          <w:sz w:val="24"/>
          <w:szCs w:val="24"/>
        </w:rPr>
        <w:tab/>
      </w:r>
      <w:r>
        <w:rPr>
          <w:sz w:val="24"/>
          <w:szCs w:val="24"/>
        </w:rPr>
        <w:fldChar w:fldCharType="begin"/>
      </w:r>
      <w:r>
        <w:rPr>
          <w:sz w:val="24"/>
          <w:szCs w:val="24"/>
        </w:rPr>
        <w:instrText xml:space="preserve"> PAGEREF _Toc10741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4CB0B787">
      <w:pPr>
        <w:pStyle w:val="27"/>
        <w:tabs>
          <w:tab w:val="right" w:leader="dot" w:pos="8306"/>
        </w:tabs>
        <w:spacing w:line="400" w:lineRule="exact"/>
        <w:jc w:val="both"/>
        <w:rPr>
          <w:rFonts w:hint="eastAsia"/>
          <w:sz w:val="24"/>
          <w:szCs w:val="24"/>
        </w:rPr>
      </w:pPr>
      <w:r>
        <w:fldChar w:fldCharType="begin"/>
      </w:r>
      <w:r>
        <w:instrText xml:space="preserve"> HYPERLINK \l "_Toc30285" </w:instrText>
      </w:r>
      <w:r>
        <w:fldChar w:fldCharType="separate"/>
      </w:r>
      <w:r>
        <w:rPr>
          <w:rFonts w:hint="eastAsia" w:ascii="宋体" w:eastAsia="宋体" w:cs="宋体"/>
          <w:bCs/>
          <w:sz w:val="24"/>
          <w:szCs w:val="24"/>
        </w:rPr>
        <w:t>四、</w:t>
      </w:r>
      <w:r>
        <w:rPr>
          <w:rFonts w:hint="eastAsia" w:ascii="宋体" w:eastAsia="宋体" w:cs="宋体"/>
          <w:bCs/>
          <w:sz w:val="24"/>
          <w:szCs w:val="24"/>
          <w:lang w:val="hr-HR"/>
        </w:rPr>
        <w:t>提交投标文件截止时间</w:t>
      </w:r>
      <w:r>
        <w:rPr>
          <w:rFonts w:hint="eastAsia" w:ascii="宋体" w:eastAsia="宋体" w:cs="宋体"/>
          <w:bCs/>
          <w:sz w:val="24"/>
          <w:szCs w:val="24"/>
        </w:rPr>
        <w:t>/</w:t>
      </w:r>
      <w:r>
        <w:rPr>
          <w:rFonts w:hint="eastAsia" w:ascii="宋体" w:eastAsia="宋体" w:cs="宋体"/>
          <w:bCs/>
          <w:sz w:val="24"/>
          <w:szCs w:val="24"/>
          <w:lang w:val="hr-HR"/>
        </w:rPr>
        <w:t>开标时间、递交方式和</w:t>
      </w:r>
      <w:r>
        <w:rPr>
          <w:rFonts w:hint="eastAsia" w:ascii="宋体" w:eastAsia="宋体" w:cs="宋体"/>
          <w:bCs/>
          <w:sz w:val="24"/>
          <w:szCs w:val="24"/>
        </w:rPr>
        <w:t>开标</w:t>
      </w:r>
      <w:r>
        <w:rPr>
          <w:rFonts w:hint="eastAsia" w:ascii="宋体" w:eastAsia="宋体" w:cs="宋体"/>
          <w:bCs/>
          <w:sz w:val="24"/>
          <w:szCs w:val="24"/>
          <w:lang w:val="hr-HR"/>
        </w:rPr>
        <w:t>地点</w:t>
      </w:r>
      <w:r>
        <w:rPr>
          <w:sz w:val="24"/>
          <w:szCs w:val="24"/>
        </w:rPr>
        <w:tab/>
      </w:r>
      <w:r>
        <w:rPr>
          <w:sz w:val="24"/>
          <w:szCs w:val="24"/>
        </w:rPr>
        <w:fldChar w:fldCharType="begin"/>
      </w:r>
      <w:r>
        <w:rPr>
          <w:sz w:val="24"/>
          <w:szCs w:val="24"/>
        </w:rPr>
        <w:instrText xml:space="preserve"> PAGEREF _Toc30285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327D9F3F">
      <w:pPr>
        <w:pStyle w:val="27"/>
        <w:tabs>
          <w:tab w:val="right" w:leader="dot" w:pos="8306"/>
        </w:tabs>
        <w:spacing w:line="400" w:lineRule="exact"/>
        <w:jc w:val="both"/>
        <w:rPr>
          <w:rFonts w:hint="eastAsia"/>
          <w:sz w:val="24"/>
          <w:szCs w:val="24"/>
        </w:rPr>
      </w:pPr>
      <w:r>
        <w:fldChar w:fldCharType="begin"/>
      </w:r>
      <w:r>
        <w:instrText xml:space="preserve"> HYPERLINK \l "_Toc27965" </w:instrText>
      </w:r>
      <w:r>
        <w:fldChar w:fldCharType="separate"/>
      </w:r>
      <w:r>
        <w:rPr>
          <w:rFonts w:hint="eastAsia" w:ascii="宋体" w:eastAsia="宋体" w:cs="宋体"/>
          <w:bCs/>
          <w:sz w:val="24"/>
          <w:szCs w:val="24"/>
        </w:rPr>
        <w:t>五、</w:t>
      </w:r>
      <w:r>
        <w:rPr>
          <w:rFonts w:hint="eastAsia" w:ascii="宋体" w:eastAsia="宋体" w:cs="宋体"/>
          <w:bCs/>
          <w:sz w:val="24"/>
          <w:szCs w:val="24"/>
          <w:lang w:val="hr-HR"/>
        </w:rPr>
        <w:t>公告期限</w:t>
      </w:r>
      <w:r>
        <w:rPr>
          <w:sz w:val="24"/>
          <w:szCs w:val="24"/>
        </w:rPr>
        <w:tab/>
      </w:r>
      <w:r>
        <w:rPr>
          <w:sz w:val="24"/>
          <w:szCs w:val="24"/>
        </w:rPr>
        <w:fldChar w:fldCharType="begin"/>
      </w:r>
      <w:r>
        <w:rPr>
          <w:sz w:val="24"/>
          <w:szCs w:val="24"/>
        </w:rPr>
        <w:instrText xml:space="preserve"> PAGEREF _Toc27965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1852F3BA">
      <w:pPr>
        <w:pStyle w:val="27"/>
        <w:tabs>
          <w:tab w:val="right" w:leader="dot" w:pos="8306"/>
        </w:tabs>
        <w:spacing w:line="400" w:lineRule="exact"/>
        <w:jc w:val="both"/>
        <w:rPr>
          <w:rFonts w:hint="eastAsia"/>
          <w:sz w:val="24"/>
          <w:szCs w:val="24"/>
        </w:rPr>
      </w:pPr>
      <w:r>
        <w:fldChar w:fldCharType="begin"/>
      </w:r>
      <w:r>
        <w:instrText xml:space="preserve"> HYPERLINK \l "_Toc10290" </w:instrText>
      </w:r>
      <w:r>
        <w:fldChar w:fldCharType="separate"/>
      </w:r>
      <w:r>
        <w:rPr>
          <w:rFonts w:hint="eastAsia" w:ascii="宋体" w:eastAsia="宋体" w:cs="宋体"/>
          <w:bCs/>
          <w:sz w:val="24"/>
          <w:szCs w:val="24"/>
        </w:rPr>
        <w:t>六、</w:t>
      </w:r>
      <w:r>
        <w:rPr>
          <w:rFonts w:hint="eastAsia" w:ascii="宋体" w:eastAsia="宋体" w:cs="宋体"/>
          <w:bCs/>
          <w:sz w:val="24"/>
          <w:szCs w:val="24"/>
          <w:lang w:val="hr-HR"/>
        </w:rPr>
        <w:t>其他补充事宜</w:t>
      </w:r>
      <w:r>
        <w:rPr>
          <w:sz w:val="24"/>
          <w:szCs w:val="24"/>
        </w:rPr>
        <w:tab/>
      </w:r>
      <w:r>
        <w:rPr>
          <w:sz w:val="24"/>
          <w:szCs w:val="24"/>
        </w:rPr>
        <w:fldChar w:fldCharType="begin"/>
      </w:r>
      <w:r>
        <w:rPr>
          <w:sz w:val="24"/>
          <w:szCs w:val="24"/>
        </w:rPr>
        <w:instrText xml:space="preserve"> PAGEREF _Toc10290 \h </w:instrText>
      </w:r>
      <w:r>
        <w:rPr>
          <w:sz w:val="24"/>
          <w:szCs w:val="24"/>
        </w:rPr>
        <w:fldChar w:fldCharType="separate"/>
      </w:r>
      <w:r>
        <w:rPr>
          <w:sz w:val="24"/>
          <w:szCs w:val="24"/>
        </w:rPr>
        <w:t>- 2 -</w:t>
      </w:r>
      <w:r>
        <w:rPr>
          <w:sz w:val="24"/>
          <w:szCs w:val="24"/>
        </w:rPr>
        <w:fldChar w:fldCharType="end"/>
      </w:r>
      <w:r>
        <w:rPr>
          <w:sz w:val="24"/>
          <w:szCs w:val="24"/>
        </w:rPr>
        <w:fldChar w:fldCharType="end"/>
      </w:r>
    </w:p>
    <w:p w14:paraId="415CF71E">
      <w:pPr>
        <w:pStyle w:val="27"/>
        <w:tabs>
          <w:tab w:val="right" w:leader="dot" w:pos="8306"/>
        </w:tabs>
        <w:spacing w:line="400" w:lineRule="exact"/>
        <w:jc w:val="both"/>
        <w:rPr>
          <w:rFonts w:hint="eastAsia"/>
          <w:sz w:val="24"/>
          <w:szCs w:val="24"/>
        </w:rPr>
      </w:pPr>
      <w:r>
        <w:fldChar w:fldCharType="begin"/>
      </w:r>
      <w:r>
        <w:instrText xml:space="preserve"> HYPERLINK \l "_Toc15605" </w:instrText>
      </w:r>
      <w:r>
        <w:fldChar w:fldCharType="separate"/>
      </w:r>
      <w:r>
        <w:rPr>
          <w:rFonts w:hint="eastAsia" w:ascii="宋体" w:eastAsia="宋体" w:cs="宋体"/>
          <w:bCs/>
          <w:sz w:val="24"/>
          <w:szCs w:val="24"/>
        </w:rPr>
        <w:t>七、</w:t>
      </w:r>
      <w:r>
        <w:rPr>
          <w:rFonts w:hint="eastAsia" w:ascii="宋体" w:eastAsia="宋体" w:cs="宋体"/>
          <w:bCs/>
          <w:sz w:val="24"/>
          <w:szCs w:val="24"/>
          <w:lang w:val="hr-HR"/>
        </w:rPr>
        <w:t>对本次</w:t>
      </w:r>
      <w:r>
        <w:rPr>
          <w:rFonts w:hint="eastAsia" w:ascii="宋体" w:eastAsia="宋体" w:cs="宋体"/>
          <w:bCs/>
          <w:sz w:val="24"/>
          <w:szCs w:val="24"/>
        </w:rPr>
        <w:t>招标</w:t>
      </w:r>
      <w:r>
        <w:rPr>
          <w:rFonts w:hint="eastAsia" w:ascii="宋体" w:eastAsia="宋体" w:cs="宋体"/>
          <w:bCs/>
          <w:sz w:val="24"/>
          <w:szCs w:val="24"/>
          <w:lang w:val="hr-HR"/>
        </w:rPr>
        <w:t>提出询问，请按以下方式联系</w:t>
      </w:r>
      <w:r>
        <w:rPr>
          <w:sz w:val="24"/>
          <w:szCs w:val="24"/>
        </w:rPr>
        <w:tab/>
      </w:r>
      <w:r>
        <w:rPr>
          <w:sz w:val="24"/>
          <w:szCs w:val="24"/>
        </w:rPr>
        <w:fldChar w:fldCharType="begin"/>
      </w:r>
      <w:r>
        <w:rPr>
          <w:sz w:val="24"/>
          <w:szCs w:val="24"/>
        </w:rPr>
        <w:instrText xml:space="preserve"> PAGEREF _Toc15605 \h </w:instrText>
      </w:r>
      <w:r>
        <w:rPr>
          <w:sz w:val="24"/>
          <w:szCs w:val="24"/>
        </w:rPr>
        <w:fldChar w:fldCharType="separate"/>
      </w:r>
      <w:r>
        <w:rPr>
          <w:sz w:val="24"/>
          <w:szCs w:val="24"/>
        </w:rPr>
        <w:t>- 3 -</w:t>
      </w:r>
      <w:r>
        <w:rPr>
          <w:sz w:val="24"/>
          <w:szCs w:val="24"/>
        </w:rPr>
        <w:fldChar w:fldCharType="end"/>
      </w:r>
      <w:r>
        <w:rPr>
          <w:sz w:val="24"/>
          <w:szCs w:val="24"/>
        </w:rPr>
        <w:fldChar w:fldCharType="end"/>
      </w:r>
    </w:p>
    <w:p w14:paraId="26811DDB">
      <w:pPr>
        <w:pStyle w:val="23"/>
        <w:tabs>
          <w:tab w:val="right" w:leader="dot" w:pos="8306"/>
        </w:tabs>
        <w:spacing w:line="400" w:lineRule="exact"/>
        <w:jc w:val="both"/>
        <w:rPr>
          <w:rFonts w:hint="eastAsia"/>
          <w:sz w:val="24"/>
          <w:szCs w:val="24"/>
        </w:rPr>
      </w:pPr>
      <w:r>
        <w:fldChar w:fldCharType="begin"/>
      </w:r>
      <w:r>
        <w:instrText xml:space="preserve"> HYPERLINK \l "_Toc32500" </w:instrText>
      </w:r>
      <w:r>
        <w:fldChar w:fldCharType="separate"/>
      </w:r>
      <w:r>
        <w:rPr>
          <w:rFonts w:hint="eastAsia" w:ascii="宋体" w:eastAsia="宋体" w:cs="宋体"/>
          <w:kern w:val="44"/>
          <w:sz w:val="24"/>
          <w:szCs w:val="24"/>
        </w:rPr>
        <w:t>第二章 投标人须知</w:t>
      </w:r>
      <w:r>
        <w:rPr>
          <w:sz w:val="24"/>
          <w:szCs w:val="24"/>
        </w:rPr>
        <w:tab/>
      </w:r>
      <w:r>
        <w:rPr>
          <w:sz w:val="24"/>
          <w:szCs w:val="24"/>
        </w:rPr>
        <w:fldChar w:fldCharType="begin"/>
      </w:r>
      <w:r>
        <w:rPr>
          <w:sz w:val="24"/>
          <w:szCs w:val="24"/>
        </w:rPr>
        <w:instrText xml:space="preserve"> PAGEREF _Toc32500 \h </w:instrText>
      </w:r>
      <w:r>
        <w:rPr>
          <w:sz w:val="24"/>
          <w:szCs w:val="24"/>
        </w:rPr>
        <w:fldChar w:fldCharType="separate"/>
      </w:r>
      <w:r>
        <w:rPr>
          <w:sz w:val="24"/>
          <w:szCs w:val="24"/>
        </w:rPr>
        <w:t>- 4 -</w:t>
      </w:r>
      <w:r>
        <w:rPr>
          <w:sz w:val="24"/>
          <w:szCs w:val="24"/>
        </w:rPr>
        <w:fldChar w:fldCharType="end"/>
      </w:r>
      <w:r>
        <w:rPr>
          <w:sz w:val="24"/>
          <w:szCs w:val="24"/>
        </w:rPr>
        <w:fldChar w:fldCharType="end"/>
      </w:r>
    </w:p>
    <w:p w14:paraId="426319E0">
      <w:pPr>
        <w:pStyle w:val="27"/>
        <w:tabs>
          <w:tab w:val="right" w:leader="dot" w:pos="8306"/>
        </w:tabs>
        <w:spacing w:line="400" w:lineRule="exact"/>
        <w:jc w:val="both"/>
        <w:rPr>
          <w:rFonts w:hint="eastAsia"/>
          <w:sz w:val="24"/>
          <w:szCs w:val="24"/>
        </w:rPr>
      </w:pPr>
      <w:r>
        <w:fldChar w:fldCharType="begin"/>
      </w:r>
      <w:r>
        <w:instrText xml:space="preserve"> HYPERLINK \l "_Toc1168" </w:instrText>
      </w:r>
      <w:r>
        <w:fldChar w:fldCharType="separate"/>
      </w:r>
      <w:r>
        <w:rPr>
          <w:rFonts w:hint="eastAsia" w:eastAsia="宋体" w:asciiTheme="majorHAnsi" w:hAnsiTheme="majorHAnsi" w:cstheme="majorBidi"/>
          <w:bCs/>
          <w:sz w:val="24"/>
          <w:szCs w:val="24"/>
        </w:rPr>
        <w:t>一、投标人须知前附表</w:t>
      </w:r>
      <w:r>
        <w:rPr>
          <w:sz w:val="24"/>
          <w:szCs w:val="24"/>
        </w:rPr>
        <w:tab/>
      </w:r>
      <w:r>
        <w:rPr>
          <w:sz w:val="24"/>
          <w:szCs w:val="24"/>
        </w:rPr>
        <w:fldChar w:fldCharType="begin"/>
      </w:r>
      <w:r>
        <w:rPr>
          <w:sz w:val="24"/>
          <w:szCs w:val="24"/>
        </w:rPr>
        <w:instrText xml:space="preserve"> PAGEREF _Toc1168 \h </w:instrText>
      </w:r>
      <w:r>
        <w:rPr>
          <w:sz w:val="24"/>
          <w:szCs w:val="24"/>
        </w:rPr>
        <w:fldChar w:fldCharType="separate"/>
      </w:r>
      <w:r>
        <w:rPr>
          <w:sz w:val="24"/>
          <w:szCs w:val="24"/>
        </w:rPr>
        <w:t>- 4 -</w:t>
      </w:r>
      <w:r>
        <w:rPr>
          <w:sz w:val="24"/>
          <w:szCs w:val="24"/>
        </w:rPr>
        <w:fldChar w:fldCharType="end"/>
      </w:r>
      <w:r>
        <w:rPr>
          <w:sz w:val="24"/>
          <w:szCs w:val="24"/>
        </w:rPr>
        <w:fldChar w:fldCharType="end"/>
      </w:r>
    </w:p>
    <w:p w14:paraId="6EE46C81">
      <w:pPr>
        <w:pStyle w:val="27"/>
        <w:tabs>
          <w:tab w:val="right" w:leader="dot" w:pos="8306"/>
        </w:tabs>
        <w:spacing w:line="400" w:lineRule="exact"/>
        <w:jc w:val="both"/>
        <w:rPr>
          <w:rFonts w:hint="eastAsia"/>
          <w:sz w:val="24"/>
          <w:szCs w:val="24"/>
        </w:rPr>
      </w:pPr>
      <w:r>
        <w:fldChar w:fldCharType="begin"/>
      </w:r>
      <w:r>
        <w:instrText xml:space="preserve"> HYPERLINK \l "_Toc27559" </w:instrText>
      </w:r>
      <w:r>
        <w:fldChar w:fldCharType="separate"/>
      </w:r>
      <w:r>
        <w:rPr>
          <w:rFonts w:hint="eastAsia" w:eastAsia="宋体" w:asciiTheme="majorHAnsi" w:hAnsiTheme="majorHAnsi" w:cstheme="majorBidi"/>
          <w:bCs/>
          <w:sz w:val="24"/>
          <w:szCs w:val="24"/>
        </w:rPr>
        <w:t>二、投标人须知</w:t>
      </w:r>
      <w:r>
        <w:rPr>
          <w:sz w:val="24"/>
          <w:szCs w:val="24"/>
        </w:rPr>
        <w:tab/>
      </w:r>
      <w:r>
        <w:rPr>
          <w:sz w:val="24"/>
          <w:szCs w:val="24"/>
        </w:rPr>
        <w:fldChar w:fldCharType="begin"/>
      </w:r>
      <w:r>
        <w:rPr>
          <w:sz w:val="24"/>
          <w:szCs w:val="24"/>
        </w:rPr>
        <w:instrText xml:space="preserve"> PAGEREF _Toc27559 \h </w:instrText>
      </w:r>
      <w:r>
        <w:rPr>
          <w:sz w:val="24"/>
          <w:szCs w:val="24"/>
        </w:rPr>
        <w:fldChar w:fldCharType="separate"/>
      </w:r>
      <w:r>
        <w:rPr>
          <w:sz w:val="24"/>
          <w:szCs w:val="24"/>
        </w:rPr>
        <w:t>- 8 -</w:t>
      </w:r>
      <w:r>
        <w:rPr>
          <w:sz w:val="24"/>
          <w:szCs w:val="24"/>
        </w:rPr>
        <w:fldChar w:fldCharType="end"/>
      </w:r>
      <w:r>
        <w:rPr>
          <w:sz w:val="24"/>
          <w:szCs w:val="24"/>
        </w:rPr>
        <w:fldChar w:fldCharType="end"/>
      </w:r>
    </w:p>
    <w:p w14:paraId="4C2391AA">
      <w:pPr>
        <w:pStyle w:val="23"/>
        <w:tabs>
          <w:tab w:val="right" w:leader="dot" w:pos="8306"/>
        </w:tabs>
        <w:spacing w:line="400" w:lineRule="exact"/>
        <w:jc w:val="both"/>
        <w:rPr>
          <w:rFonts w:hint="eastAsia"/>
          <w:sz w:val="24"/>
          <w:szCs w:val="24"/>
        </w:rPr>
      </w:pPr>
      <w:r>
        <w:fldChar w:fldCharType="begin"/>
      </w:r>
      <w:r>
        <w:instrText xml:space="preserve"> HYPERLINK \l "_Toc32401" </w:instrText>
      </w:r>
      <w:r>
        <w:fldChar w:fldCharType="separate"/>
      </w:r>
      <w:r>
        <w:rPr>
          <w:rFonts w:hint="eastAsia" w:ascii="宋体" w:eastAsia="宋体" w:cs="宋体"/>
          <w:kern w:val="44"/>
          <w:sz w:val="24"/>
          <w:szCs w:val="24"/>
        </w:rPr>
        <w:t>第三章 采购需求</w:t>
      </w:r>
      <w:r>
        <w:rPr>
          <w:sz w:val="24"/>
          <w:szCs w:val="24"/>
        </w:rPr>
        <w:tab/>
      </w:r>
      <w:r>
        <w:rPr>
          <w:sz w:val="24"/>
          <w:szCs w:val="24"/>
        </w:rPr>
        <w:fldChar w:fldCharType="begin"/>
      </w:r>
      <w:r>
        <w:rPr>
          <w:sz w:val="24"/>
          <w:szCs w:val="24"/>
        </w:rPr>
        <w:instrText xml:space="preserve"> PAGEREF _Toc32401 \h </w:instrText>
      </w:r>
      <w:r>
        <w:rPr>
          <w:sz w:val="24"/>
          <w:szCs w:val="24"/>
        </w:rPr>
        <w:fldChar w:fldCharType="separate"/>
      </w:r>
      <w:r>
        <w:rPr>
          <w:sz w:val="24"/>
          <w:szCs w:val="24"/>
        </w:rPr>
        <w:t>- 35 -</w:t>
      </w:r>
      <w:r>
        <w:rPr>
          <w:sz w:val="24"/>
          <w:szCs w:val="24"/>
        </w:rPr>
        <w:fldChar w:fldCharType="end"/>
      </w:r>
      <w:r>
        <w:rPr>
          <w:sz w:val="24"/>
          <w:szCs w:val="24"/>
        </w:rPr>
        <w:fldChar w:fldCharType="end"/>
      </w:r>
    </w:p>
    <w:p w14:paraId="0B9809E4">
      <w:pPr>
        <w:pStyle w:val="23"/>
        <w:tabs>
          <w:tab w:val="right" w:leader="dot" w:pos="8306"/>
        </w:tabs>
        <w:spacing w:line="400" w:lineRule="exact"/>
        <w:jc w:val="both"/>
        <w:rPr>
          <w:rFonts w:hint="eastAsia"/>
          <w:sz w:val="24"/>
          <w:szCs w:val="24"/>
        </w:rPr>
      </w:pPr>
      <w:r>
        <w:fldChar w:fldCharType="begin"/>
      </w:r>
      <w:r>
        <w:instrText xml:space="preserve"> HYPERLINK \l "_Toc7544" </w:instrText>
      </w:r>
      <w:r>
        <w:fldChar w:fldCharType="separate"/>
      </w:r>
      <w:r>
        <w:rPr>
          <w:rFonts w:hint="eastAsia" w:ascii="宋体" w:eastAsia="宋体" w:cs="宋体"/>
          <w:kern w:val="44"/>
          <w:sz w:val="24"/>
          <w:szCs w:val="24"/>
        </w:rPr>
        <w:t>第四章 资格审查</w:t>
      </w:r>
      <w:r>
        <w:rPr>
          <w:sz w:val="24"/>
          <w:szCs w:val="24"/>
        </w:rPr>
        <w:tab/>
      </w:r>
      <w:r>
        <w:rPr>
          <w:sz w:val="24"/>
          <w:szCs w:val="24"/>
        </w:rPr>
        <w:fldChar w:fldCharType="begin"/>
      </w:r>
      <w:r>
        <w:rPr>
          <w:sz w:val="24"/>
          <w:szCs w:val="24"/>
        </w:rPr>
        <w:instrText xml:space="preserve"> PAGEREF _Toc7544 \h </w:instrText>
      </w:r>
      <w:r>
        <w:rPr>
          <w:sz w:val="24"/>
          <w:szCs w:val="24"/>
        </w:rPr>
        <w:fldChar w:fldCharType="separate"/>
      </w:r>
      <w:r>
        <w:rPr>
          <w:sz w:val="24"/>
          <w:szCs w:val="24"/>
        </w:rPr>
        <w:t>- 37 -</w:t>
      </w:r>
      <w:r>
        <w:rPr>
          <w:sz w:val="24"/>
          <w:szCs w:val="24"/>
        </w:rPr>
        <w:fldChar w:fldCharType="end"/>
      </w:r>
      <w:r>
        <w:rPr>
          <w:sz w:val="24"/>
          <w:szCs w:val="24"/>
        </w:rPr>
        <w:fldChar w:fldCharType="end"/>
      </w:r>
    </w:p>
    <w:p w14:paraId="62C02F37">
      <w:pPr>
        <w:pStyle w:val="27"/>
        <w:tabs>
          <w:tab w:val="right" w:leader="dot" w:pos="8306"/>
        </w:tabs>
        <w:spacing w:line="400" w:lineRule="exact"/>
        <w:jc w:val="both"/>
        <w:rPr>
          <w:rFonts w:hint="eastAsia"/>
          <w:sz w:val="24"/>
          <w:szCs w:val="24"/>
        </w:rPr>
      </w:pPr>
      <w:r>
        <w:fldChar w:fldCharType="begin"/>
      </w:r>
      <w:r>
        <w:instrText xml:space="preserve"> HYPERLINK \l "_Toc26947" </w:instrText>
      </w:r>
      <w:r>
        <w:fldChar w:fldCharType="separate"/>
      </w:r>
      <w:r>
        <w:rPr>
          <w:rFonts w:hint="eastAsia"/>
          <w:sz w:val="24"/>
          <w:szCs w:val="24"/>
        </w:rPr>
        <w:t>一、资格审查程序</w:t>
      </w:r>
      <w:r>
        <w:rPr>
          <w:sz w:val="24"/>
          <w:szCs w:val="24"/>
        </w:rPr>
        <w:tab/>
      </w:r>
      <w:r>
        <w:rPr>
          <w:sz w:val="24"/>
          <w:szCs w:val="24"/>
        </w:rPr>
        <w:fldChar w:fldCharType="begin"/>
      </w:r>
      <w:r>
        <w:rPr>
          <w:sz w:val="24"/>
          <w:szCs w:val="24"/>
        </w:rPr>
        <w:instrText xml:space="preserve"> PAGEREF _Toc26947 \h </w:instrText>
      </w:r>
      <w:r>
        <w:rPr>
          <w:sz w:val="24"/>
          <w:szCs w:val="24"/>
        </w:rPr>
        <w:fldChar w:fldCharType="separate"/>
      </w:r>
      <w:r>
        <w:rPr>
          <w:sz w:val="24"/>
          <w:szCs w:val="24"/>
        </w:rPr>
        <w:t>- 37 -</w:t>
      </w:r>
      <w:r>
        <w:rPr>
          <w:sz w:val="24"/>
          <w:szCs w:val="24"/>
        </w:rPr>
        <w:fldChar w:fldCharType="end"/>
      </w:r>
      <w:r>
        <w:rPr>
          <w:sz w:val="24"/>
          <w:szCs w:val="24"/>
        </w:rPr>
        <w:fldChar w:fldCharType="end"/>
      </w:r>
    </w:p>
    <w:p w14:paraId="01E04473">
      <w:pPr>
        <w:pStyle w:val="27"/>
        <w:tabs>
          <w:tab w:val="right" w:leader="dot" w:pos="8306"/>
        </w:tabs>
        <w:spacing w:line="400" w:lineRule="exact"/>
        <w:jc w:val="both"/>
        <w:rPr>
          <w:rFonts w:hint="eastAsia"/>
          <w:sz w:val="24"/>
          <w:szCs w:val="24"/>
        </w:rPr>
      </w:pPr>
      <w:r>
        <w:fldChar w:fldCharType="begin"/>
      </w:r>
      <w:r>
        <w:instrText xml:space="preserve"> HYPERLINK \l "_Toc15886" </w:instrText>
      </w:r>
      <w:r>
        <w:fldChar w:fldCharType="separate"/>
      </w:r>
      <w:r>
        <w:rPr>
          <w:rFonts w:hint="eastAsia"/>
          <w:sz w:val="24"/>
          <w:szCs w:val="24"/>
        </w:rPr>
        <w:t>二、资格审查要求</w:t>
      </w:r>
      <w:r>
        <w:rPr>
          <w:sz w:val="24"/>
          <w:szCs w:val="24"/>
        </w:rPr>
        <w:tab/>
      </w:r>
      <w:r>
        <w:rPr>
          <w:sz w:val="24"/>
          <w:szCs w:val="24"/>
        </w:rPr>
        <w:fldChar w:fldCharType="begin"/>
      </w:r>
      <w:r>
        <w:rPr>
          <w:sz w:val="24"/>
          <w:szCs w:val="24"/>
        </w:rPr>
        <w:instrText xml:space="preserve"> PAGEREF _Toc15886 \h </w:instrText>
      </w:r>
      <w:r>
        <w:rPr>
          <w:sz w:val="24"/>
          <w:szCs w:val="24"/>
        </w:rPr>
        <w:fldChar w:fldCharType="separate"/>
      </w:r>
      <w:r>
        <w:rPr>
          <w:sz w:val="24"/>
          <w:szCs w:val="24"/>
        </w:rPr>
        <w:t>- 37 -</w:t>
      </w:r>
      <w:r>
        <w:rPr>
          <w:sz w:val="24"/>
          <w:szCs w:val="24"/>
        </w:rPr>
        <w:fldChar w:fldCharType="end"/>
      </w:r>
      <w:r>
        <w:rPr>
          <w:sz w:val="24"/>
          <w:szCs w:val="24"/>
        </w:rPr>
        <w:fldChar w:fldCharType="end"/>
      </w:r>
    </w:p>
    <w:p w14:paraId="13AE9FBC">
      <w:pPr>
        <w:pStyle w:val="23"/>
        <w:tabs>
          <w:tab w:val="right" w:leader="dot" w:pos="8306"/>
        </w:tabs>
        <w:spacing w:line="400" w:lineRule="exact"/>
        <w:jc w:val="both"/>
        <w:rPr>
          <w:rFonts w:hint="eastAsia"/>
          <w:sz w:val="24"/>
          <w:szCs w:val="24"/>
        </w:rPr>
      </w:pPr>
      <w:r>
        <w:fldChar w:fldCharType="begin"/>
      </w:r>
      <w:r>
        <w:instrText xml:space="preserve"> HYPERLINK \l "_Toc28158" </w:instrText>
      </w:r>
      <w:r>
        <w:fldChar w:fldCharType="separate"/>
      </w:r>
      <w:r>
        <w:rPr>
          <w:rFonts w:hint="eastAsia" w:ascii="宋体" w:eastAsia="宋体" w:cs="宋体"/>
          <w:kern w:val="44"/>
          <w:sz w:val="24"/>
          <w:szCs w:val="24"/>
        </w:rPr>
        <w:t>第五章 评标方法及标准(综合评分法)</w:t>
      </w:r>
      <w:r>
        <w:rPr>
          <w:sz w:val="24"/>
          <w:szCs w:val="24"/>
        </w:rPr>
        <w:tab/>
      </w:r>
      <w:r>
        <w:rPr>
          <w:sz w:val="24"/>
          <w:szCs w:val="24"/>
        </w:rPr>
        <w:fldChar w:fldCharType="begin"/>
      </w:r>
      <w:r>
        <w:rPr>
          <w:sz w:val="24"/>
          <w:szCs w:val="24"/>
        </w:rPr>
        <w:instrText xml:space="preserve"> PAGEREF _Toc28158 \h </w:instrText>
      </w:r>
      <w:r>
        <w:rPr>
          <w:sz w:val="24"/>
          <w:szCs w:val="24"/>
        </w:rPr>
        <w:fldChar w:fldCharType="separate"/>
      </w:r>
      <w:r>
        <w:rPr>
          <w:sz w:val="24"/>
          <w:szCs w:val="24"/>
        </w:rPr>
        <w:t>- 40 -</w:t>
      </w:r>
      <w:r>
        <w:rPr>
          <w:sz w:val="24"/>
          <w:szCs w:val="24"/>
        </w:rPr>
        <w:fldChar w:fldCharType="end"/>
      </w:r>
      <w:r>
        <w:rPr>
          <w:sz w:val="24"/>
          <w:szCs w:val="24"/>
        </w:rPr>
        <w:fldChar w:fldCharType="end"/>
      </w:r>
    </w:p>
    <w:p w14:paraId="2D32AC5E">
      <w:pPr>
        <w:pStyle w:val="27"/>
        <w:tabs>
          <w:tab w:val="right" w:leader="dot" w:pos="8306"/>
        </w:tabs>
        <w:spacing w:line="400" w:lineRule="exact"/>
        <w:jc w:val="both"/>
        <w:rPr>
          <w:rFonts w:hint="eastAsia"/>
          <w:sz w:val="24"/>
          <w:szCs w:val="24"/>
        </w:rPr>
      </w:pPr>
      <w:r>
        <w:fldChar w:fldCharType="begin"/>
      </w:r>
      <w:r>
        <w:instrText xml:space="preserve"> HYPERLINK \l "_Toc17592" </w:instrText>
      </w:r>
      <w:r>
        <w:fldChar w:fldCharType="separate"/>
      </w:r>
      <w:r>
        <w:rPr>
          <w:rFonts w:hint="eastAsia" w:ascii="宋体" w:eastAsia="宋体" w:cs="宋体"/>
          <w:sz w:val="24"/>
          <w:szCs w:val="24"/>
          <w:lang w:val="zh-CN"/>
        </w:rPr>
        <w:t>一、评标</w:t>
      </w:r>
      <w:r>
        <w:rPr>
          <w:rFonts w:hint="eastAsia" w:ascii="宋体" w:eastAsia="宋体" w:cs="宋体"/>
          <w:sz w:val="24"/>
          <w:szCs w:val="24"/>
        </w:rPr>
        <w:t>方</w:t>
      </w:r>
      <w:r>
        <w:rPr>
          <w:rFonts w:hint="eastAsia" w:ascii="宋体" w:eastAsia="宋体" w:cs="宋体"/>
          <w:sz w:val="24"/>
          <w:szCs w:val="24"/>
          <w:lang w:val="zh-CN"/>
        </w:rPr>
        <w:t>法</w:t>
      </w:r>
      <w:r>
        <w:rPr>
          <w:sz w:val="24"/>
          <w:szCs w:val="24"/>
        </w:rPr>
        <w:tab/>
      </w:r>
      <w:r>
        <w:rPr>
          <w:sz w:val="24"/>
          <w:szCs w:val="24"/>
        </w:rPr>
        <w:fldChar w:fldCharType="begin"/>
      </w:r>
      <w:r>
        <w:rPr>
          <w:sz w:val="24"/>
          <w:szCs w:val="24"/>
        </w:rPr>
        <w:instrText xml:space="preserve"> PAGEREF _Toc17592 \h </w:instrText>
      </w:r>
      <w:r>
        <w:rPr>
          <w:sz w:val="24"/>
          <w:szCs w:val="24"/>
        </w:rPr>
        <w:fldChar w:fldCharType="separate"/>
      </w:r>
      <w:r>
        <w:rPr>
          <w:sz w:val="24"/>
          <w:szCs w:val="24"/>
        </w:rPr>
        <w:t>- 40 -</w:t>
      </w:r>
      <w:r>
        <w:rPr>
          <w:sz w:val="24"/>
          <w:szCs w:val="24"/>
        </w:rPr>
        <w:fldChar w:fldCharType="end"/>
      </w:r>
      <w:r>
        <w:rPr>
          <w:sz w:val="24"/>
          <w:szCs w:val="24"/>
        </w:rPr>
        <w:fldChar w:fldCharType="end"/>
      </w:r>
    </w:p>
    <w:p w14:paraId="0C0B5E0E">
      <w:pPr>
        <w:pStyle w:val="27"/>
        <w:tabs>
          <w:tab w:val="right" w:leader="dot" w:pos="8306"/>
        </w:tabs>
        <w:spacing w:line="400" w:lineRule="exact"/>
        <w:jc w:val="both"/>
        <w:rPr>
          <w:rFonts w:hint="eastAsia"/>
          <w:sz w:val="24"/>
          <w:szCs w:val="24"/>
        </w:rPr>
      </w:pPr>
      <w:r>
        <w:fldChar w:fldCharType="begin"/>
      </w:r>
      <w:r>
        <w:instrText xml:space="preserve"> HYPERLINK \l "_Toc27095" </w:instrText>
      </w:r>
      <w:r>
        <w:fldChar w:fldCharType="separate"/>
      </w:r>
      <w:r>
        <w:rPr>
          <w:rFonts w:hint="eastAsia" w:ascii="宋体" w:eastAsia="宋体" w:cs="宋体"/>
          <w:sz w:val="24"/>
          <w:szCs w:val="24"/>
        </w:rPr>
        <w:t>二</w:t>
      </w:r>
      <w:r>
        <w:rPr>
          <w:rFonts w:hint="eastAsia" w:ascii="宋体" w:eastAsia="宋体" w:cs="宋体"/>
          <w:sz w:val="24"/>
          <w:szCs w:val="24"/>
          <w:lang w:val="zh-CN"/>
        </w:rPr>
        <w:t>、评标程序</w:t>
      </w:r>
      <w:r>
        <w:rPr>
          <w:sz w:val="24"/>
          <w:szCs w:val="24"/>
        </w:rPr>
        <w:tab/>
      </w:r>
      <w:r>
        <w:rPr>
          <w:sz w:val="24"/>
          <w:szCs w:val="24"/>
        </w:rPr>
        <w:fldChar w:fldCharType="begin"/>
      </w:r>
      <w:r>
        <w:rPr>
          <w:sz w:val="24"/>
          <w:szCs w:val="24"/>
        </w:rPr>
        <w:instrText xml:space="preserve"> PAGEREF _Toc27095 \h </w:instrText>
      </w:r>
      <w:r>
        <w:rPr>
          <w:sz w:val="24"/>
          <w:szCs w:val="24"/>
        </w:rPr>
        <w:fldChar w:fldCharType="separate"/>
      </w:r>
      <w:r>
        <w:rPr>
          <w:sz w:val="24"/>
          <w:szCs w:val="24"/>
        </w:rPr>
        <w:t>- 40 -</w:t>
      </w:r>
      <w:r>
        <w:rPr>
          <w:sz w:val="24"/>
          <w:szCs w:val="24"/>
        </w:rPr>
        <w:fldChar w:fldCharType="end"/>
      </w:r>
      <w:r>
        <w:rPr>
          <w:sz w:val="24"/>
          <w:szCs w:val="24"/>
        </w:rPr>
        <w:fldChar w:fldCharType="end"/>
      </w:r>
    </w:p>
    <w:p w14:paraId="2B23F2A3">
      <w:pPr>
        <w:pStyle w:val="27"/>
        <w:tabs>
          <w:tab w:val="right" w:leader="dot" w:pos="8306"/>
        </w:tabs>
        <w:spacing w:line="400" w:lineRule="exact"/>
        <w:jc w:val="both"/>
        <w:rPr>
          <w:rFonts w:hint="eastAsia"/>
          <w:sz w:val="24"/>
          <w:szCs w:val="24"/>
        </w:rPr>
      </w:pPr>
      <w:r>
        <w:fldChar w:fldCharType="begin"/>
      </w:r>
      <w:r>
        <w:instrText xml:space="preserve"> HYPERLINK \l "_Toc5253" </w:instrText>
      </w:r>
      <w:r>
        <w:fldChar w:fldCharType="separate"/>
      </w:r>
      <w:r>
        <w:rPr>
          <w:rFonts w:hint="eastAsia" w:ascii="宋体" w:eastAsia="宋体" w:cs="宋体"/>
          <w:sz w:val="24"/>
          <w:szCs w:val="24"/>
          <w:lang w:val="zh-CN"/>
        </w:rPr>
        <w:t>三、评标</w:t>
      </w:r>
      <w:r>
        <w:rPr>
          <w:rFonts w:hint="eastAsia" w:ascii="宋体" w:eastAsia="宋体" w:cs="宋体"/>
          <w:sz w:val="24"/>
          <w:szCs w:val="24"/>
        </w:rPr>
        <w:t>其他要求</w:t>
      </w:r>
      <w:r>
        <w:rPr>
          <w:sz w:val="24"/>
          <w:szCs w:val="24"/>
        </w:rPr>
        <w:tab/>
      </w:r>
      <w:r>
        <w:rPr>
          <w:sz w:val="24"/>
          <w:szCs w:val="24"/>
        </w:rPr>
        <w:fldChar w:fldCharType="begin"/>
      </w:r>
      <w:r>
        <w:rPr>
          <w:sz w:val="24"/>
          <w:szCs w:val="24"/>
        </w:rPr>
        <w:instrText xml:space="preserve"> PAGEREF _Toc5253 \h </w:instrText>
      </w:r>
      <w:r>
        <w:rPr>
          <w:sz w:val="24"/>
          <w:szCs w:val="24"/>
        </w:rPr>
        <w:fldChar w:fldCharType="separate"/>
      </w:r>
      <w:r>
        <w:rPr>
          <w:sz w:val="24"/>
          <w:szCs w:val="24"/>
        </w:rPr>
        <w:t>- 48 -</w:t>
      </w:r>
      <w:r>
        <w:rPr>
          <w:sz w:val="24"/>
          <w:szCs w:val="24"/>
        </w:rPr>
        <w:fldChar w:fldCharType="end"/>
      </w:r>
      <w:r>
        <w:rPr>
          <w:sz w:val="24"/>
          <w:szCs w:val="24"/>
        </w:rPr>
        <w:fldChar w:fldCharType="end"/>
      </w:r>
    </w:p>
    <w:p w14:paraId="1D202FDC">
      <w:pPr>
        <w:pStyle w:val="27"/>
        <w:tabs>
          <w:tab w:val="right" w:leader="dot" w:pos="8306"/>
        </w:tabs>
        <w:spacing w:line="400" w:lineRule="exact"/>
        <w:jc w:val="both"/>
        <w:rPr>
          <w:rFonts w:hint="eastAsia"/>
          <w:sz w:val="24"/>
          <w:szCs w:val="24"/>
        </w:rPr>
      </w:pPr>
      <w:r>
        <w:fldChar w:fldCharType="begin"/>
      </w:r>
      <w:r>
        <w:instrText xml:space="preserve"> HYPERLINK \l "_Toc17549" </w:instrText>
      </w:r>
      <w:r>
        <w:fldChar w:fldCharType="separate"/>
      </w:r>
      <w:r>
        <w:rPr>
          <w:rFonts w:hint="eastAsia" w:ascii="宋体" w:eastAsia="宋体" w:cs="宋体"/>
          <w:sz w:val="24"/>
          <w:szCs w:val="24"/>
        </w:rPr>
        <w:t>四</w:t>
      </w:r>
      <w:r>
        <w:rPr>
          <w:rFonts w:hint="eastAsia" w:ascii="宋体" w:eastAsia="宋体" w:cs="宋体"/>
          <w:sz w:val="24"/>
          <w:szCs w:val="24"/>
          <w:lang w:val="zh-CN"/>
        </w:rPr>
        <w:t>、评标标准</w:t>
      </w:r>
      <w:r>
        <w:rPr>
          <w:sz w:val="24"/>
          <w:szCs w:val="24"/>
        </w:rPr>
        <w:tab/>
      </w:r>
      <w:r>
        <w:rPr>
          <w:sz w:val="24"/>
          <w:szCs w:val="24"/>
        </w:rPr>
        <w:fldChar w:fldCharType="begin"/>
      </w:r>
      <w:r>
        <w:rPr>
          <w:sz w:val="24"/>
          <w:szCs w:val="24"/>
        </w:rPr>
        <w:instrText xml:space="preserve"> PAGEREF _Toc17549 \h </w:instrText>
      </w:r>
      <w:r>
        <w:rPr>
          <w:sz w:val="24"/>
          <w:szCs w:val="24"/>
        </w:rPr>
        <w:fldChar w:fldCharType="separate"/>
      </w:r>
      <w:r>
        <w:rPr>
          <w:sz w:val="24"/>
          <w:szCs w:val="24"/>
        </w:rPr>
        <w:t>- 48 -</w:t>
      </w:r>
      <w:r>
        <w:rPr>
          <w:sz w:val="24"/>
          <w:szCs w:val="24"/>
        </w:rPr>
        <w:fldChar w:fldCharType="end"/>
      </w:r>
      <w:r>
        <w:rPr>
          <w:sz w:val="24"/>
          <w:szCs w:val="24"/>
        </w:rPr>
        <w:fldChar w:fldCharType="end"/>
      </w:r>
    </w:p>
    <w:p w14:paraId="76D8B9D3">
      <w:pPr>
        <w:pStyle w:val="23"/>
        <w:tabs>
          <w:tab w:val="right" w:leader="dot" w:pos="8306"/>
        </w:tabs>
        <w:spacing w:line="400" w:lineRule="exact"/>
        <w:jc w:val="both"/>
        <w:rPr>
          <w:rFonts w:hint="eastAsia"/>
          <w:sz w:val="24"/>
          <w:szCs w:val="24"/>
        </w:rPr>
      </w:pPr>
      <w:r>
        <w:fldChar w:fldCharType="begin"/>
      </w:r>
      <w:r>
        <w:instrText xml:space="preserve"> HYPERLINK \l "_Toc27054" </w:instrText>
      </w:r>
      <w:r>
        <w:fldChar w:fldCharType="separate"/>
      </w:r>
      <w:r>
        <w:rPr>
          <w:rFonts w:hint="eastAsia" w:ascii="宋体" w:eastAsia="宋体" w:cs="宋体"/>
          <w:kern w:val="44"/>
          <w:sz w:val="24"/>
          <w:szCs w:val="24"/>
        </w:rPr>
        <w:t>第五章 评标方法及标准(最低评标价法)</w:t>
      </w:r>
      <w:r>
        <w:rPr>
          <w:sz w:val="24"/>
          <w:szCs w:val="24"/>
        </w:rPr>
        <w:tab/>
      </w:r>
      <w:r>
        <w:rPr>
          <w:sz w:val="24"/>
          <w:szCs w:val="24"/>
        </w:rPr>
        <w:fldChar w:fldCharType="begin"/>
      </w:r>
      <w:r>
        <w:rPr>
          <w:sz w:val="24"/>
          <w:szCs w:val="24"/>
        </w:rPr>
        <w:instrText xml:space="preserve"> PAGEREF _Toc27054 \h </w:instrText>
      </w:r>
      <w:r>
        <w:rPr>
          <w:sz w:val="24"/>
          <w:szCs w:val="24"/>
        </w:rPr>
        <w:fldChar w:fldCharType="separate"/>
      </w:r>
      <w:r>
        <w:rPr>
          <w:sz w:val="24"/>
          <w:szCs w:val="24"/>
        </w:rPr>
        <w:t>- 52 -</w:t>
      </w:r>
      <w:r>
        <w:rPr>
          <w:sz w:val="24"/>
          <w:szCs w:val="24"/>
        </w:rPr>
        <w:fldChar w:fldCharType="end"/>
      </w:r>
      <w:r>
        <w:rPr>
          <w:sz w:val="24"/>
          <w:szCs w:val="24"/>
        </w:rPr>
        <w:fldChar w:fldCharType="end"/>
      </w:r>
    </w:p>
    <w:p w14:paraId="735DC89D">
      <w:pPr>
        <w:pStyle w:val="27"/>
        <w:tabs>
          <w:tab w:val="right" w:leader="dot" w:pos="8306"/>
        </w:tabs>
        <w:spacing w:line="400" w:lineRule="exact"/>
        <w:jc w:val="both"/>
        <w:rPr>
          <w:rFonts w:hint="eastAsia"/>
          <w:sz w:val="24"/>
          <w:szCs w:val="24"/>
        </w:rPr>
      </w:pPr>
      <w:r>
        <w:fldChar w:fldCharType="begin"/>
      </w:r>
      <w:r>
        <w:instrText xml:space="preserve"> HYPERLINK \l "_Toc19026" </w:instrText>
      </w:r>
      <w:r>
        <w:fldChar w:fldCharType="separate"/>
      </w:r>
      <w:r>
        <w:rPr>
          <w:rFonts w:hint="eastAsia"/>
          <w:sz w:val="24"/>
          <w:szCs w:val="24"/>
          <w:lang w:val="zh-CN"/>
        </w:rPr>
        <w:t>一、评标</w:t>
      </w:r>
      <w:r>
        <w:rPr>
          <w:rFonts w:hint="eastAsia"/>
          <w:sz w:val="24"/>
          <w:szCs w:val="24"/>
        </w:rPr>
        <w:t>方</w:t>
      </w:r>
      <w:r>
        <w:rPr>
          <w:rFonts w:hint="eastAsia"/>
          <w:sz w:val="24"/>
          <w:szCs w:val="24"/>
          <w:lang w:val="zh-CN"/>
        </w:rPr>
        <w:t>法</w:t>
      </w:r>
      <w:r>
        <w:rPr>
          <w:sz w:val="24"/>
          <w:szCs w:val="24"/>
        </w:rPr>
        <w:tab/>
      </w:r>
      <w:r>
        <w:rPr>
          <w:sz w:val="24"/>
          <w:szCs w:val="24"/>
        </w:rPr>
        <w:fldChar w:fldCharType="begin"/>
      </w:r>
      <w:r>
        <w:rPr>
          <w:sz w:val="24"/>
          <w:szCs w:val="24"/>
        </w:rPr>
        <w:instrText xml:space="preserve"> PAGEREF _Toc19026 \h </w:instrText>
      </w:r>
      <w:r>
        <w:rPr>
          <w:sz w:val="24"/>
          <w:szCs w:val="24"/>
        </w:rPr>
        <w:fldChar w:fldCharType="separate"/>
      </w:r>
      <w:r>
        <w:rPr>
          <w:sz w:val="24"/>
          <w:szCs w:val="24"/>
        </w:rPr>
        <w:t>- 52 -</w:t>
      </w:r>
      <w:r>
        <w:rPr>
          <w:sz w:val="24"/>
          <w:szCs w:val="24"/>
        </w:rPr>
        <w:fldChar w:fldCharType="end"/>
      </w:r>
      <w:r>
        <w:rPr>
          <w:sz w:val="24"/>
          <w:szCs w:val="24"/>
        </w:rPr>
        <w:fldChar w:fldCharType="end"/>
      </w:r>
    </w:p>
    <w:p w14:paraId="6FE61DB4">
      <w:pPr>
        <w:pStyle w:val="27"/>
        <w:tabs>
          <w:tab w:val="right" w:leader="dot" w:pos="8306"/>
        </w:tabs>
        <w:spacing w:line="400" w:lineRule="exact"/>
        <w:jc w:val="both"/>
        <w:rPr>
          <w:rFonts w:hint="eastAsia"/>
          <w:sz w:val="24"/>
          <w:szCs w:val="24"/>
        </w:rPr>
      </w:pPr>
      <w:r>
        <w:fldChar w:fldCharType="begin"/>
      </w:r>
      <w:r>
        <w:instrText xml:space="preserve"> HYPERLINK \l "_Toc10558" </w:instrText>
      </w:r>
      <w:r>
        <w:fldChar w:fldCharType="separate"/>
      </w:r>
      <w:r>
        <w:rPr>
          <w:rFonts w:hint="eastAsia"/>
          <w:sz w:val="24"/>
          <w:szCs w:val="24"/>
          <w:lang w:val="zh-CN"/>
        </w:rPr>
        <w:t>二、评标程序</w:t>
      </w:r>
      <w:r>
        <w:rPr>
          <w:sz w:val="24"/>
          <w:szCs w:val="24"/>
        </w:rPr>
        <w:tab/>
      </w:r>
      <w:r>
        <w:rPr>
          <w:sz w:val="24"/>
          <w:szCs w:val="24"/>
        </w:rPr>
        <w:fldChar w:fldCharType="begin"/>
      </w:r>
      <w:r>
        <w:rPr>
          <w:sz w:val="24"/>
          <w:szCs w:val="24"/>
        </w:rPr>
        <w:instrText xml:space="preserve"> PAGEREF _Toc10558 \h </w:instrText>
      </w:r>
      <w:r>
        <w:rPr>
          <w:sz w:val="24"/>
          <w:szCs w:val="24"/>
        </w:rPr>
        <w:fldChar w:fldCharType="separate"/>
      </w:r>
      <w:r>
        <w:rPr>
          <w:sz w:val="24"/>
          <w:szCs w:val="24"/>
        </w:rPr>
        <w:t>- 52 -</w:t>
      </w:r>
      <w:r>
        <w:rPr>
          <w:sz w:val="24"/>
          <w:szCs w:val="24"/>
        </w:rPr>
        <w:fldChar w:fldCharType="end"/>
      </w:r>
      <w:r>
        <w:rPr>
          <w:sz w:val="24"/>
          <w:szCs w:val="24"/>
        </w:rPr>
        <w:fldChar w:fldCharType="end"/>
      </w:r>
    </w:p>
    <w:p w14:paraId="6A0E672B">
      <w:pPr>
        <w:pStyle w:val="27"/>
        <w:tabs>
          <w:tab w:val="right" w:leader="dot" w:pos="8306"/>
        </w:tabs>
        <w:spacing w:line="400" w:lineRule="exact"/>
        <w:jc w:val="both"/>
        <w:rPr>
          <w:rFonts w:hint="eastAsia"/>
          <w:sz w:val="24"/>
          <w:szCs w:val="24"/>
        </w:rPr>
      </w:pPr>
      <w:r>
        <w:fldChar w:fldCharType="begin"/>
      </w:r>
      <w:r>
        <w:instrText xml:space="preserve"> HYPERLINK \l "_Toc30493" </w:instrText>
      </w:r>
      <w:r>
        <w:fldChar w:fldCharType="separate"/>
      </w:r>
      <w:r>
        <w:rPr>
          <w:rFonts w:hint="eastAsia" w:eastAsia="宋体" w:asciiTheme="majorHAnsi" w:hAnsiTheme="majorHAnsi" w:cstheme="majorBidi"/>
          <w:bCs/>
          <w:sz w:val="24"/>
          <w:szCs w:val="24"/>
          <w:lang w:val="zh-CN"/>
        </w:rPr>
        <w:t>三、评标</w:t>
      </w:r>
      <w:r>
        <w:rPr>
          <w:rFonts w:hint="eastAsia" w:eastAsia="宋体" w:asciiTheme="majorHAnsi" w:hAnsiTheme="majorHAnsi" w:cstheme="majorBidi"/>
          <w:bCs/>
          <w:sz w:val="24"/>
          <w:szCs w:val="24"/>
        </w:rPr>
        <w:t>其他要求</w:t>
      </w:r>
      <w:r>
        <w:rPr>
          <w:sz w:val="24"/>
          <w:szCs w:val="24"/>
        </w:rPr>
        <w:tab/>
      </w:r>
      <w:r>
        <w:rPr>
          <w:sz w:val="24"/>
          <w:szCs w:val="24"/>
        </w:rPr>
        <w:fldChar w:fldCharType="begin"/>
      </w:r>
      <w:r>
        <w:rPr>
          <w:sz w:val="24"/>
          <w:szCs w:val="24"/>
        </w:rPr>
        <w:instrText xml:space="preserve"> PAGEREF _Toc30493 \h </w:instrText>
      </w:r>
      <w:r>
        <w:rPr>
          <w:sz w:val="24"/>
          <w:szCs w:val="24"/>
        </w:rPr>
        <w:fldChar w:fldCharType="separate"/>
      </w:r>
      <w:r>
        <w:rPr>
          <w:sz w:val="24"/>
          <w:szCs w:val="24"/>
        </w:rPr>
        <w:t>- 59 -</w:t>
      </w:r>
      <w:r>
        <w:rPr>
          <w:sz w:val="24"/>
          <w:szCs w:val="24"/>
        </w:rPr>
        <w:fldChar w:fldCharType="end"/>
      </w:r>
      <w:r>
        <w:rPr>
          <w:sz w:val="24"/>
          <w:szCs w:val="24"/>
        </w:rPr>
        <w:fldChar w:fldCharType="end"/>
      </w:r>
    </w:p>
    <w:p w14:paraId="4598C24C">
      <w:pPr>
        <w:pStyle w:val="27"/>
        <w:tabs>
          <w:tab w:val="right" w:leader="dot" w:pos="8306"/>
        </w:tabs>
        <w:spacing w:line="400" w:lineRule="exact"/>
        <w:jc w:val="both"/>
        <w:rPr>
          <w:rFonts w:hint="eastAsia"/>
          <w:sz w:val="24"/>
          <w:szCs w:val="24"/>
        </w:rPr>
      </w:pPr>
      <w:r>
        <w:fldChar w:fldCharType="begin"/>
      </w:r>
      <w:r>
        <w:instrText xml:space="preserve"> HYPERLINK \l "_Toc17927" </w:instrText>
      </w:r>
      <w:r>
        <w:fldChar w:fldCharType="separate"/>
      </w:r>
      <w:r>
        <w:rPr>
          <w:rFonts w:hint="eastAsia" w:eastAsia="宋体" w:asciiTheme="majorHAnsi" w:hAnsiTheme="majorHAnsi" w:cstheme="majorBidi"/>
          <w:bCs/>
          <w:sz w:val="24"/>
          <w:szCs w:val="24"/>
        </w:rPr>
        <w:t>四</w:t>
      </w:r>
      <w:r>
        <w:rPr>
          <w:rFonts w:hint="eastAsia" w:eastAsia="宋体" w:asciiTheme="majorHAnsi" w:hAnsiTheme="majorHAnsi" w:cstheme="majorBidi"/>
          <w:bCs/>
          <w:sz w:val="24"/>
          <w:szCs w:val="24"/>
          <w:lang w:val="zh-CN"/>
        </w:rPr>
        <w:t>、评标标准</w:t>
      </w:r>
      <w:r>
        <w:rPr>
          <w:sz w:val="24"/>
          <w:szCs w:val="24"/>
        </w:rPr>
        <w:tab/>
      </w:r>
      <w:r>
        <w:rPr>
          <w:sz w:val="24"/>
          <w:szCs w:val="24"/>
        </w:rPr>
        <w:fldChar w:fldCharType="begin"/>
      </w:r>
      <w:r>
        <w:rPr>
          <w:sz w:val="24"/>
          <w:szCs w:val="24"/>
        </w:rPr>
        <w:instrText xml:space="preserve"> PAGEREF _Toc17927 \h </w:instrText>
      </w:r>
      <w:r>
        <w:rPr>
          <w:sz w:val="24"/>
          <w:szCs w:val="24"/>
        </w:rPr>
        <w:fldChar w:fldCharType="separate"/>
      </w:r>
      <w:r>
        <w:rPr>
          <w:sz w:val="24"/>
          <w:szCs w:val="24"/>
        </w:rPr>
        <w:t>- 59 -</w:t>
      </w:r>
      <w:r>
        <w:rPr>
          <w:sz w:val="24"/>
          <w:szCs w:val="24"/>
        </w:rPr>
        <w:fldChar w:fldCharType="end"/>
      </w:r>
      <w:r>
        <w:rPr>
          <w:sz w:val="24"/>
          <w:szCs w:val="24"/>
        </w:rPr>
        <w:fldChar w:fldCharType="end"/>
      </w:r>
    </w:p>
    <w:p w14:paraId="1062CA1C">
      <w:pPr>
        <w:pStyle w:val="23"/>
        <w:tabs>
          <w:tab w:val="right" w:leader="dot" w:pos="8306"/>
        </w:tabs>
        <w:spacing w:line="400" w:lineRule="exact"/>
        <w:jc w:val="both"/>
        <w:rPr>
          <w:rFonts w:hint="eastAsia"/>
          <w:sz w:val="24"/>
          <w:szCs w:val="24"/>
        </w:rPr>
      </w:pPr>
      <w:r>
        <w:fldChar w:fldCharType="begin"/>
      </w:r>
      <w:r>
        <w:instrText xml:space="preserve"> HYPERLINK \l "_Toc1640" </w:instrText>
      </w:r>
      <w:r>
        <w:fldChar w:fldCharType="separate"/>
      </w:r>
      <w:r>
        <w:rPr>
          <w:rFonts w:hint="eastAsia" w:ascii="宋体" w:eastAsia="宋体" w:cs="宋体"/>
          <w:kern w:val="44"/>
          <w:sz w:val="24"/>
          <w:szCs w:val="24"/>
          <w:lang w:val="zh-CN"/>
        </w:rPr>
        <w:t>第六章 合同草案</w:t>
      </w:r>
      <w:r>
        <w:rPr>
          <w:sz w:val="24"/>
          <w:szCs w:val="24"/>
        </w:rPr>
        <w:tab/>
      </w:r>
      <w:r>
        <w:rPr>
          <w:sz w:val="24"/>
          <w:szCs w:val="24"/>
        </w:rPr>
        <w:fldChar w:fldCharType="begin"/>
      </w:r>
      <w:r>
        <w:rPr>
          <w:sz w:val="24"/>
          <w:szCs w:val="24"/>
        </w:rPr>
        <w:instrText xml:space="preserve"> PAGEREF _Toc1640 \h </w:instrText>
      </w:r>
      <w:r>
        <w:rPr>
          <w:sz w:val="24"/>
          <w:szCs w:val="24"/>
        </w:rPr>
        <w:fldChar w:fldCharType="separate"/>
      </w:r>
      <w:r>
        <w:rPr>
          <w:sz w:val="24"/>
          <w:szCs w:val="24"/>
        </w:rPr>
        <w:t>- 63 -</w:t>
      </w:r>
      <w:r>
        <w:rPr>
          <w:sz w:val="24"/>
          <w:szCs w:val="24"/>
        </w:rPr>
        <w:fldChar w:fldCharType="end"/>
      </w:r>
      <w:r>
        <w:rPr>
          <w:sz w:val="24"/>
          <w:szCs w:val="24"/>
        </w:rPr>
        <w:fldChar w:fldCharType="end"/>
      </w:r>
    </w:p>
    <w:p w14:paraId="38F0483F">
      <w:pPr>
        <w:pStyle w:val="27"/>
        <w:tabs>
          <w:tab w:val="right" w:leader="dot" w:pos="8306"/>
        </w:tabs>
        <w:spacing w:line="400" w:lineRule="exact"/>
        <w:jc w:val="both"/>
        <w:rPr>
          <w:rFonts w:hint="eastAsia"/>
          <w:sz w:val="24"/>
          <w:szCs w:val="24"/>
        </w:rPr>
      </w:pPr>
      <w:r>
        <w:fldChar w:fldCharType="begin"/>
      </w:r>
      <w:r>
        <w:instrText xml:space="preserve"> HYPERLINK \l "_Toc31195" </w:instrText>
      </w:r>
      <w:r>
        <w:fldChar w:fldCharType="separate"/>
      </w:r>
      <w:r>
        <w:rPr>
          <w:rFonts w:hint="eastAsia" w:ascii="宋体" w:eastAsia="宋体" w:cs="宋体"/>
          <w:bCs/>
          <w:spacing w:val="-20"/>
          <w:kern w:val="44"/>
          <w:sz w:val="24"/>
          <w:szCs w:val="24"/>
        </w:rPr>
        <w:t>政府采购合同参考范本</w:t>
      </w:r>
      <w:r>
        <w:rPr>
          <w:sz w:val="24"/>
          <w:szCs w:val="24"/>
        </w:rPr>
        <w:tab/>
      </w:r>
      <w:r>
        <w:rPr>
          <w:sz w:val="24"/>
          <w:szCs w:val="24"/>
        </w:rPr>
        <w:fldChar w:fldCharType="begin"/>
      </w:r>
      <w:r>
        <w:rPr>
          <w:sz w:val="24"/>
          <w:szCs w:val="24"/>
        </w:rPr>
        <w:instrText xml:space="preserve"> PAGEREF _Toc31195 \h </w:instrText>
      </w:r>
      <w:r>
        <w:rPr>
          <w:sz w:val="24"/>
          <w:szCs w:val="24"/>
        </w:rPr>
        <w:fldChar w:fldCharType="separate"/>
      </w:r>
      <w:r>
        <w:rPr>
          <w:sz w:val="24"/>
          <w:szCs w:val="24"/>
        </w:rPr>
        <w:t>- 63 -</w:t>
      </w:r>
      <w:r>
        <w:rPr>
          <w:sz w:val="24"/>
          <w:szCs w:val="24"/>
        </w:rPr>
        <w:fldChar w:fldCharType="end"/>
      </w:r>
      <w:r>
        <w:rPr>
          <w:sz w:val="24"/>
          <w:szCs w:val="24"/>
        </w:rPr>
        <w:fldChar w:fldCharType="end"/>
      </w:r>
    </w:p>
    <w:p w14:paraId="75107BF0">
      <w:pPr>
        <w:pStyle w:val="27"/>
        <w:tabs>
          <w:tab w:val="right" w:leader="dot" w:pos="8306"/>
        </w:tabs>
        <w:spacing w:line="400" w:lineRule="exact"/>
        <w:jc w:val="both"/>
        <w:rPr>
          <w:rFonts w:hint="eastAsia"/>
          <w:sz w:val="24"/>
          <w:szCs w:val="24"/>
        </w:rPr>
      </w:pPr>
      <w:r>
        <w:fldChar w:fldCharType="begin"/>
      </w:r>
      <w:r>
        <w:instrText xml:space="preserve"> HYPERLINK \l "_Toc3569" </w:instrText>
      </w:r>
      <w:r>
        <w:fldChar w:fldCharType="separate"/>
      </w:r>
      <w:r>
        <w:rPr>
          <w:rFonts w:hint="eastAsia" w:ascii="宋体" w:eastAsia="宋体" w:cs="宋体"/>
          <w:bCs/>
          <w:spacing w:val="-20"/>
          <w:kern w:val="44"/>
          <w:sz w:val="24"/>
          <w:szCs w:val="24"/>
        </w:rPr>
        <w:t>（服务类）</w:t>
      </w:r>
      <w:r>
        <w:rPr>
          <w:sz w:val="24"/>
          <w:szCs w:val="24"/>
        </w:rPr>
        <w:tab/>
      </w:r>
      <w:r>
        <w:rPr>
          <w:sz w:val="24"/>
          <w:szCs w:val="24"/>
        </w:rPr>
        <w:fldChar w:fldCharType="begin"/>
      </w:r>
      <w:r>
        <w:rPr>
          <w:sz w:val="24"/>
          <w:szCs w:val="24"/>
        </w:rPr>
        <w:instrText xml:space="preserve"> PAGEREF _Toc3569 \h </w:instrText>
      </w:r>
      <w:r>
        <w:rPr>
          <w:sz w:val="24"/>
          <w:szCs w:val="24"/>
        </w:rPr>
        <w:fldChar w:fldCharType="separate"/>
      </w:r>
      <w:r>
        <w:rPr>
          <w:sz w:val="24"/>
          <w:szCs w:val="24"/>
        </w:rPr>
        <w:t>- 63 -</w:t>
      </w:r>
      <w:r>
        <w:rPr>
          <w:sz w:val="24"/>
          <w:szCs w:val="24"/>
        </w:rPr>
        <w:fldChar w:fldCharType="end"/>
      </w:r>
      <w:r>
        <w:rPr>
          <w:sz w:val="24"/>
          <w:szCs w:val="24"/>
        </w:rPr>
        <w:fldChar w:fldCharType="end"/>
      </w:r>
    </w:p>
    <w:p w14:paraId="146FAB57">
      <w:pPr>
        <w:pStyle w:val="27"/>
        <w:tabs>
          <w:tab w:val="right" w:leader="dot" w:pos="8306"/>
        </w:tabs>
        <w:spacing w:line="400" w:lineRule="exact"/>
        <w:jc w:val="both"/>
        <w:rPr>
          <w:rFonts w:hint="eastAsia"/>
          <w:sz w:val="24"/>
          <w:szCs w:val="24"/>
        </w:rPr>
      </w:pPr>
      <w:r>
        <w:fldChar w:fldCharType="begin"/>
      </w:r>
      <w:r>
        <w:instrText xml:space="preserve"> HYPERLINK \l "_Toc8654" </w:instrText>
      </w:r>
      <w:r>
        <w:fldChar w:fldCharType="separate"/>
      </w:r>
      <w:r>
        <w:rPr>
          <w:rFonts w:hint="eastAsia" w:ascii="宋体" w:eastAsia="宋体" w:cs="宋体"/>
          <w:sz w:val="24"/>
          <w:szCs w:val="24"/>
        </w:rPr>
        <w:t>第一部分 合同书</w:t>
      </w:r>
      <w:r>
        <w:rPr>
          <w:sz w:val="24"/>
          <w:szCs w:val="24"/>
        </w:rPr>
        <w:tab/>
      </w:r>
      <w:r>
        <w:rPr>
          <w:sz w:val="24"/>
          <w:szCs w:val="24"/>
        </w:rPr>
        <w:fldChar w:fldCharType="begin"/>
      </w:r>
      <w:r>
        <w:rPr>
          <w:sz w:val="24"/>
          <w:szCs w:val="24"/>
        </w:rPr>
        <w:instrText xml:space="preserve"> PAGEREF _Toc8654 \h </w:instrText>
      </w:r>
      <w:r>
        <w:rPr>
          <w:sz w:val="24"/>
          <w:szCs w:val="24"/>
        </w:rPr>
        <w:fldChar w:fldCharType="separate"/>
      </w:r>
      <w:r>
        <w:rPr>
          <w:sz w:val="24"/>
          <w:szCs w:val="24"/>
        </w:rPr>
        <w:t>- 63 -</w:t>
      </w:r>
      <w:r>
        <w:rPr>
          <w:sz w:val="24"/>
          <w:szCs w:val="24"/>
        </w:rPr>
        <w:fldChar w:fldCharType="end"/>
      </w:r>
      <w:r>
        <w:rPr>
          <w:sz w:val="24"/>
          <w:szCs w:val="24"/>
        </w:rPr>
        <w:fldChar w:fldCharType="end"/>
      </w:r>
    </w:p>
    <w:p w14:paraId="1B0CD38B">
      <w:pPr>
        <w:pStyle w:val="27"/>
        <w:tabs>
          <w:tab w:val="right" w:leader="dot" w:pos="8306"/>
        </w:tabs>
        <w:spacing w:line="400" w:lineRule="exact"/>
        <w:jc w:val="both"/>
        <w:rPr>
          <w:rFonts w:hint="eastAsia"/>
          <w:sz w:val="24"/>
          <w:szCs w:val="24"/>
        </w:rPr>
      </w:pPr>
      <w:r>
        <w:fldChar w:fldCharType="begin"/>
      </w:r>
      <w:r>
        <w:instrText xml:space="preserve"> HYPERLINK \l "_Toc25481" </w:instrText>
      </w:r>
      <w:r>
        <w:fldChar w:fldCharType="separate"/>
      </w:r>
      <w:r>
        <w:rPr>
          <w:rFonts w:hint="eastAsia" w:ascii="宋体" w:eastAsia="宋体" w:cs="宋体"/>
          <w:sz w:val="24"/>
          <w:szCs w:val="24"/>
        </w:rPr>
        <w:t>第二部分 合同一般条款</w:t>
      </w:r>
      <w:r>
        <w:rPr>
          <w:sz w:val="24"/>
          <w:szCs w:val="24"/>
        </w:rPr>
        <w:tab/>
      </w:r>
      <w:r>
        <w:rPr>
          <w:sz w:val="24"/>
          <w:szCs w:val="24"/>
        </w:rPr>
        <w:fldChar w:fldCharType="begin"/>
      </w:r>
      <w:r>
        <w:rPr>
          <w:sz w:val="24"/>
          <w:szCs w:val="24"/>
        </w:rPr>
        <w:instrText xml:space="preserve"> PAGEREF _Toc25481 \h </w:instrText>
      </w:r>
      <w:r>
        <w:rPr>
          <w:sz w:val="24"/>
          <w:szCs w:val="24"/>
        </w:rPr>
        <w:fldChar w:fldCharType="separate"/>
      </w:r>
      <w:r>
        <w:rPr>
          <w:sz w:val="24"/>
          <w:szCs w:val="24"/>
        </w:rPr>
        <w:t>- 67 -</w:t>
      </w:r>
      <w:r>
        <w:rPr>
          <w:sz w:val="24"/>
          <w:szCs w:val="24"/>
        </w:rPr>
        <w:fldChar w:fldCharType="end"/>
      </w:r>
      <w:r>
        <w:rPr>
          <w:sz w:val="24"/>
          <w:szCs w:val="24"/>
        </w:rPr>
        <w:fldChar w:fldCharType="end"/>
      </w:r>
    </w:p>
    <w:p w14:paraId="561C320B">
      <w:pPr>
        <w:pStyle w:val="27"/>
        <w:tabs>
          <w:tab w:val="right" w:leader="dot" w:pos="8306"/>
        </w:tabs>
        <w:spacing w:line="400" w:lineRule="exact"/>
        <w:jc w:val="both"/>
        <w:rPr>
          <w:rFonts w:hint="eastAsia"/>
          <w:sz w:val="24"/>
          <w:szCs w:val="24"/>
        </w:rPr>
      </w:pPr>
      <w:r>
        <w:fldChar w:fldCharType="begin"/>
      </w:r>
      <w:r>
        <w:instrText xml:space="preserve"> HYPERLINK \l "_Toc7510" </w:instrText>
      </w:r>
      <w:r>
        <w:fldChar w:fldCharType="separate"/>
      </w:r>
      <w:r>
        <w:rPr>
          <w:rFonts w:hint="eastAsia" w:ascii="宋体" w:eastAsia="宋体" w:cs="宋体"/>
          <w:sz w:val="24"/>
          <w:szCs w:val="24"/>
        </w:rPr>
        <w:t>第三部分 合同专用条款</w:t>
      </w:r>
      <w:r>
        <w:rPr>
          <w:sz w:val="24"/>
          <w:szCs w:val="24"/>
        </w:rPr>
        <w:tab/>
      </w:r>
      <w:r>
        <w:rPr>
          <w:sz w:val="24"/>
          <w:szCs w:val="24"/>
        </w:rPr>
        <w:fldChar w:fldCharType="begin"/>
      </w:r>
      <w:r>
        <w:rPr>
          <w:sz w:val="24"/>
          <w:szCs w:val="24"/>
        </w:rPr>
        <w:instrText xml:space="preserve"> PAGEREF _Toc7510 \h </w:instrText>
      </w:r>
      <w:r>
        <w:rPr>
          <w:sz w:val="24"/>
          <w:szCs w:val="24"/>
        </w:rPr>
        <w:fldChar w:fldCharType="separate"/>
      </w:r>
      <w:r>
        <w:rPr>
          <w:sz w:val="24"/>
          <w:szCs w:val="24"/>
        </w:rPr>
        <w:t>- 71 -</w:t>
      </w:r>
      <w:r>
        <w:rPr>
          <w:sz w:val="24"/>
          <w:szCs w:val="24"/>
        </w:rPr>
        <w:fldChar w:fldCharType="end"/>
      </w:r>
      <w:r>
        <w:rPr>
          <w:sz w:val="24"/>
          <w:szCs w:val="24"/>
        </w:rPr>
        <w:fldChar w:fldCharType="end"/>
      </w:r>
    </w:p>
    <w:p w14:paraId="12B8B2D4">
      <w:pPr>
        <w:pStyle w:val="23"/>
        <w:tabs>
          <w:tab w:val="right" w:leader="dot" w:pos="8306"/>
        </w:tabs>
        <w:spacing w:line="400" w:lineRule="exact"/>
        <w:jc w:val="both"/>
        <w:rPr>
          <w:rFonts w:hint="eastAsia"/>
          <w:sz w:val="24"/>
          <w:szCs w:val="24"/>
        </w:rPr>
      </w:pPr>
      <w:r>
        <w:fldChar w:fldCharType="begin"/>
      </w:r>
      <w:r>
        <w:instrText xml:space="preserve"> HYPERLINK \l "_Toc20007" </w:instrText>
      </w:r>
      <w:r>
        <w:fldChar w:fldCharType="separate"/>
      </w:r>
      <w:r>
        <w:rPr>
          <w:rFonts w:hint="eastAsia" w:ascii="宋体" w:eastAsia="宋体" w:cs="宋体"/>
          <w:kern w:val="44"/>
          <w:sz w:val="24"/>
          <w:szCs w:val="24"/>
        </w:rPr>
        <w:t>第七章 投标文件格式</w:t>
      </w:r>
      <w:r>
        <w:rPr>
          <w:sz w:val="24"/>
          <w:szCs w:val="24"/>
        </w:rPr>
        <w:tab/>
      </w:r>
      <w:r>
        <w:rPr>
          <w:sz w:val="24"/>
          <w:szCs w:val="24"/>
        </w:rPr>
        <w:fldChar w:fldCharType="begin"/>
      </w:r>
      <w:r>
        <w:rPr>
          <w:sz w:val="24"/>
          <w:szCs w:val="24"/>
        </w:rPr>
        <w:instrText xml:space="preserve"> PAGEREF _Toc20007 \h </w:instrText>
      </w:r>
      <w:r>
        <w:rPr>
          <w:sz w:val="24"/>
          <w:szCs w:val="24"/>
        </w:rPr>
        <w:fldChar w:fldCharType="separate"/>
      </w:r>
      <w:r>
        <w:rPr>
          <w:sz w:val="24"/>
          <w:szCs w:val="24"/>
        </w:rPr>
        <w:t>- 72 -</w:t>
      </w:r>
      <w:r>
        <w:rPr>
          <w:sz w:val="24"/>
          <w:szCs w:val="24"/>
        </w:rPr>
        <w:fldChar w:fldCharType="end"/>
      </w:r>
      <w:r>
        <w:rPr>
          <w:sz w:val="24"/>
          <w:szCs w:val="24"/>
        </w:rPr>
        <w:fldChar w:fldCharType="end"/>
      </w:r>
    </w:p>
    <w:p w14:paraId="52B138E5">
      <w:pPr>
        <w:pStyle w:val="23"/>
        <w:tabs>
          <w:tab w:val="right" w:leader="dot" w:pos="8306"/>
        </w:tabs>
        <w:spacing w:line="400" w:lineRule="exact"/>
        <w:jc w:val="both"/>
        <w:rPr>
          <w:rFonts w:hint="eastAsia"/>
          <w:sz w:val="24"/>
          <w:szCs w:val="24"/>
        </w:rPr>
      </w:pPr>
      <w:r>
        <w:fldChar w:fldCharType="begin"/>
      </w:r>
      <w:r>
        <w:instrText xml:space="preserve"> HYPERLINK \l "_Toc20344"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"_Toc17637" </w:instrText>
      </w:r>
      <w:r>
        <w:fldChar w:fldCharType="separate"/>
      </w:r>
      <w:r>
        <w:rPr>
          <w:rFonts w:hint="eastAsia"/>
          <w:sz w:val="24"/>
          <w:szCs w:val="24"/>
        </w:rPr>
        <w:t>资格证明文件</w:t>
      </w:r>
      <w:r>
        <w:rPr>
          <w:sz w:val="24"/>
          <w:szCs w:val="24"/>
        </w:rPr>
        <w:tab/>
      </w:r>
      <w:r>
        <w:rPr>
          <w:sz w:val="24"/>
          <w:szCs w:val="24"/>
        </w:rPr>
        <w:fldChar w:fldCharType="begin"/>
      </w:r>
      <w:r>
        <w:rPr>
          <w:sz w:val="24"/>
          <w:szCs w:val="24"/>
        </w:rPr>
        <w:instrText xml:space="preserve"> PAGEREF _Toc17637 \h </w:instrText>
      </w:r>
      <w:r>
        <w:rPr>
          <w:sz w:val="24"/>
          <w:szCs w:val="24"/>
        </w:rPr>
        <w:fldChar w:fldCharType="separate"/>
      </w:r>
      <w:r>
        <w:rPr>
          <w:sz w:val="24"/>
          <w:szCs w:val="24"/>
        </w:rPr>
        <w:t>- 73 -</w:t>
      </w:r>
      <w:r>
        <w:rPr>
          <w:sz w:val="24"/>
          <w:szCs w:val="24"/>
        </w:rPr>
        <w:fldChar w:fldCharType="end"/>
      </w:r>
      <w:r>
        <w:rPr>
          <w:sz w:val="24"/>
          <w:szCs w:val="24"/>
        </w:rPr>
        <w:fldChar w:fldCharType="end"/>
      </w:r>
    </w:p>
    <w:p w14:paraId="73E086C6">
      <w:pPr>
        <w:pStyle w:val="27"/>
        <w:tabs>
          <w:tab w:val="right" w:leader="dot" w:pos="8306"/>
        </w:tabs>
        <w:spacing w:line="400" w:lineRule="exact"/>
        <w:jc w:val="both"/>
        <w:rPr>
          <w:rFonts w:hint="eastAsia"/>
          <w:sz w:val="24"/>
          <w:szCs w:val="24"/>
        </w:rPr>
      </w:pPr>
      <w:r>
        <w:fldChar w:fldCharType="begin"/>
      </w:r>
      <w:r>
        <w:instrText xml:space="preserve"> HYPERLINK \l "_Toc6767" </w:instrText>
      </w:r>
      <w:r>
        <w:fldChar w:fldCharType="separate"/>
      </w:r>
      <w:r>
        <w:rPr>
          <w:rFonts w:hint="eastAsia" w:eastAsia="宋体" w:asciiTheme="majorHAnsi" w:hAnsiTheme="majorHAnsi" w:cstheme="majorBidi"/>
          <w:bCs/>
          <w:sz w:val="24"/>
          <w:szCs w:val="24"/>
        </w:rPr>
        <w:t>一、满足《中华人民共和国政府采购法》第二十二条规定</w:t>
      </w:r>
      <w:r>
        <w:rPr>
          <w:sz w:val="24"/>
          <w:szCs w:val="24"/>
        </w:rPr>
        <w:tab/>
      </w:r>
      <w:r>
        <w:rPr>
          <w:sz w:val="24"/>
          <w:szCs w:val="24"/>
        </w:rPr>
        <w:fldChar w:fldCharType="begin"/>
      </w:r>
      <w:r>
        <w:rPr>
          <w:sz w:val="24"/>
          <w:szCs w:val="24"/>
        </w:rPr>
        <w:instrText xml:space="preserve"> PAGEREF _Toc6767 \h </w:instrText>
      </w:r>
      <w:r>
        <w:rPr>
          <w:sz w:val="24"/>
          <w:szCs w:val="24"/>
        </w:rPr>
        <w:fldChar w:fldCharType="separate"/>
      </w:r>
      <w:r>
        <w:rPr>
          <w:sz w:val="24"/>
          <w:szCs w:val="24"/>
        </w:rPr>
        <w:t>- 74 -</w:t>
      </w:r>
      <w:r>
        <w:rPr>
          <w:sz w:val="24"/>
          <w:szCs w:val="24"/>
        </w:rPr>
        <w:fldChar w:fldCharType="end"/>
      </w:r>
      <w:r>
        <w:rPr>
          <w:sz w:val="24"/>
          <w:szCs w:val="24"/>
        </w:rPr>
        <w:fldChar w:fldCharType="end"/>
      </w:r>
    </w:p>
    <w:p w14:paraId="079F551E">
      <w:pPr>
        <w:pStyle w:val="27"/>
        <w:tabs>
          <w:tab w:val="right" w:leader="dot" w:pos="8306"/>
        </w:tabs>
        <w:spacing w:line="400" w:lineRule="exact"/>
        <w:jc w:val="both"/>
        <w:rPr>
          <w:rFonts w:hint="eastAsia"/>
          <w:sz w:val="24"/>
          <w:szCs w:val="24"/>
        </w:rPr>
      </w:pPr>
      <w:r>
        <w:fldChar w:fldCharType="begin"/>
      </w:r>
      <w:r>
        <w:instrText xml:space="preserve"> HYPERLINK \l "_Toc21134" </w:instrText>
      </w:r>
      <w:r>
        <w:fldChar w:fldCharType="separate"/>
      </w:r>
      <w:r>
        <w:rPr>
          <w:rFonts w:hint="eastAsia"/>
          <w:sz w:val="24"/>
          <w:szCs w:val="24"/>
        </w:rPr>
        <w:t>二、</w:t>
      </w:r>
      <w:r>
        <w:rPr>
          <w:rFonts w:hint="eastAsia"/>
          <w:sz w:val="24"/>
          <w:szCs w:val="24"/>
          <w:lang w:val="zh-CN"/>
        </w:rPr>
        <w:t>联合体协议书【如适用】</w:t>
      </w:r>
      <w:r>
        <w:rPr>
          <w:sz w:val="24"/>
          <w:szCs w:val="24"/>
        </w:rPr>
        <w:tab/>
      </w:r>
      <w:r>
        <w:rPr>
          <w:sz w:val="24"/>
          <w:szCs w:val="24"/>
        </w:rPr>
        <w:fldChar w:fldCharType="begin"/>
      </w:r>
      <w:r>
        <w:rPr>
          <w:sz w:val="24"/>
          <w:szCs w:val="24"/>
        </w:rPr>
        <w:instrText xml:space="preserve"> PAGEREF _Toc21134 \h </w:instrText>
      </w:r>
      <w:r>
        <w:rPr>
          <w:sz w:val="24"/>
          <w:szCs w:val="24"/>
        </w:rPr>
        <w:fldChar w:fldCharType="separate"/>
      </w:r>
      <w:r>
        <w:rPr>
          <w:sz w:val="24"/>
          <w:szCs w:val="24"/>
        </w:rPr>
        <w:t>- 77 -</w:t>
      </w:r>
      <w:r>
        <w:rPr>
          <w:sz w:val="24"/>
          <w:szCs w:val="24"/>
        </w:rPr>
        <w:fldChar w:fldCharType="end"/>
      </w:r>
      <w:r>
        <w:rPr>
          <w:sz w:val="24"/>
          <w:szCs w:val="24"/>
        </w:rPr>
        <w:fldChar w:fldCharType="end"/>
      </w:r>
    </w:p>
    <w:p w14:paraId="069104B1">
      <w:pPr>
        <w:pStyle w:val="23"/>
        <w:tabs>
          <w:tab w:val="right" w:leader="dot" w:pos="8306"/>
        </w:tabs>
        <w:spacing w:line="400" w:lineRule="exact"/>
        <w:jc w:val="both"/>
        <w:rPr>
          <w:rFonts w:hint="eastAsia"/>
          <w:sz w:val="24"/>
          <w:szCs w:val="24"/>
        </w:rPr>
      </w:pPr>
      <w:r>
        <w:fldChar w:fldCharType="begin"/>
      </w:r>
      <w:r>
        <w:instrText xml:space="preserve"> HYPERLINK \l "_Toc12650" </w:instrText>
      </w:r>
      <w:r>
        <w:fldChar w:fldCharType="separate"/>
      </w:r>
      <w:r>
        <w:rPr>
          <w:rFonts w:hint="eastAsia" w:ascii="宋体" w:cs="宋体"/>
          <w:kern w:val="0"/>
          <w:sz w:val="24"/>
          <w:szCs w:val="24"/>
        </w:rPr>
        <w:t>联合体协议书</w:t>
      </w:r>
      <w:r>
        <w:rPr>
          <w:sz w:val="24"/>
          <w:szCs w:val="24"/>
        </w:rPr>
        <w:tab/>
      </w:r>
      <w:r>
        <w:rPr>
          <w:sz w:val="24"/>
          <w:szCs w:val="24"/>
        </w:rPr>
        <w:fldChar w:fldCharType="begin"/>
      </w:r>
      <w:r>
        <w:rPr>
          <w:sz w:val="24"/>
          <w:szCs w:val="24"/>
        </w:rPr>
        <w:instrText xml:space="preserve"> PAGEREF _Toc12650 \h </w:instrText>
      </w:r>
      <w:r>
        <w:rPr>
          <w:sz w:val="24"/>
          <w:szCs w:val="24"/>
        </w:rPr>
        <w:fldChar w:fldCharType="separate"/>
      </w:r>
      <w:r>
        <w:rPr>
          <w:sz w:val="24"/>
          <w:szCs w:val="24"/>
        </w:rPr>
        <w:t>- 77 -</w:t>
      </w:r>
      <w:r>
        <w:rPr>
          <w:sz w:val="24"/>
          <w:szCs w:val="24"/>
        </w:rPr>
        <w:fldChar w:fldCharType="end"/>
      </w:r>
      <w:r>
        <w:rPr>
          <w:sz w:val="24"/>
          <w:szCs w:val="24"/>
        </w:rPr>
        <w:fldChar w:fldCharType="end"/>
      </w:r>
    </w:p>
    <w:p w14:paraId="046DB4E6">
      <w:pPr>
        <w:pStyle w:val="27"/>
        <w:tabs>
          <w:tab w:val="right" w:leader="dot" w:pos="8306"/>
        </w:tabs>
        <w:spacing w:line="400" w:lineRule="exact"/>
        <w:jc w:val="both"/>
        <w:rPr>
          <w:rFonts w:hint="eastAsia"/>
          <w:sz w:val="24"/>
          <w:szCs w:val="24"/>
        </w:rPr>
      </w:pPr>
      <w:r>
        <w:fldChar w:fldCharType="begin"/>
      </w:r>
      <w:r>
        <w:instrText xml:space="preserve"> HYPERLINK \l "_Toc10975" </w:instrText>
      </w:r>
      <w:r>
        <w:fldChar w:fldCharType="separate"/>
      </w:r>
      <w:r>
        <w:rPr>
          <w:rFonts w:hint="eastAsia"/>
          <w:sz w:val="24"/>
          <w:szCs w:val="24"/>
        </w:rPr>
        <w:t>三、</w:t>
      </w:r>
      <w:r>
        <w:rPr>
          <w:rFonts w:hint="eastAsia"/>
          <w:sz w:val="24"/>
          <w:szCs w:val="24"/>
          <w:lang w:val="zh-CN"/>
        </w:rPr>
        <w:t>分包意向协议书【如适用】</w:t>
      </w:r>
      <w:r>
        <w:rPr>
          <w:sz w:val="24"/>
          <w:szCs w:val="24"/>
        </w:rPr>
        <w:tab/>
      </w:r>
      <w:r>
        <w:rPr>
          <w:sz w:val="24"/>
          <w:szCs w:val="24"/>
        </w:rPr>
        <w:fldChar w:fldCharType="begin"/>
      </w:r>
      <w:r>
        <w:rPr>
          <w:sz w:val="24"/>
          <w:szCs w:val="24"/>
        </w:rPr>
        <w:instrText xml:space="preserve"> PAGEREF _Toc10975 \h </w:instrText>
      </w:r>
      <w:r>
        <w:rPr>
          <w:sz w:val="24"/>
          <w:szCs w:val="24"/>
        </w:rPr>
        <w:fldChar w:fldCharType="separate"/>
      </w:r>
      <w:r>
        <w:rPr>
          <w:sz w:val="24"/>
          <w:szCs w:val="24"/>
        </w:rPr>
        <w:t>- 79 -</w:t>
      </w:r>
      <w:r>
        <w:rPr>
          <w:sz w:val="24"/>
          <w:szCs w:val="24"/>
        </w:rPr>
        <w:fldChar w:fldCharType="end"/>
      </w:r>
      <w:r>
        <w:rPr>
          <w:sz w:val="24"/>
          <w:szCs w:val="24"/>
        </w:rPr>
        <w:fldChar w:fldCharType="end"/>
      </w:r>
    </w:p>
    <w:p w14:paraId="7FC190AD">
      <w:pPr>
        <w:pStyle w:val="23"/>
        <w:tabs>
          <w:tab w:val="right" w:leader="dot" w:pos="8306"/>
        </w:tabs>
        <w:spacing w:line="400" w:lineRule="exact"/>
        <w:jc w:val="both"/>
        <w:rPr>
          <w:rFonts w:hint="eastAsia"/>
          <w:sz w:val="24"/>
          <w:szCs w:val="24"/>
        </w:rPr>
      </w:pPr>
      <w:r>
        <w:fldChar w:fldCharType="begin"/>
      </w:r>
      <w:r>
        <w:instrText xml:space="preserve"> HYPERLINK \l "_Toc14674" </w:instrText>
      </w:r>
      <w:r>
        <w:fldChar w:fldCharType="separate"/>
      </w:r>
      <w:r>
        <w:rPr>
          <w:rFonts w:hint="eastAsia" w:ascii="宋体" w:cs="宋体"/>
          <w:kern w:val="0"/>
          <w:sz w:val="24"/>
          <w:szCs w:val="24"/>
        </w:rPr>
        <w:t>分包意向协议书</w:t>
      </w:r>
      <w:r>
        <w:rPr>
          <w:rFonts w:hint="eastAsia" w:ascii="宋体" w:cs="宋体"/>
          <w:kern w:val="0"/>
          <w:sz w:val="24"/>
          <w:szCs w:val="24"/>
        </w:rPr>
        <w:fldChar w:fldCharType="end"/>
      </w:r>
      <w:r>
        <w:fldChar w:fldCharType="begin"/>
      </w:r>
      <w:r>
        <w:instrText xml:space="preserve"> HYPERLINK \l "_Toc9911" </w:instrText>
      </w:r>
      <w:r>
        <w:fldChar w:fldCharType="separate"/>
      </w:r>
      <w:r>
        <w:rPr>
          <w:sz w:val="24"/>
          <w:szCs w:val="24"/>
        </w:rPr>
        <w:tab/>
      </w:r>
      <w:r>
        <w:rPr>
          <w:sz w:val="24"/>
          <w:szCs w:val="24"/>
        </w:rPr>
        <w:fldChar w:fldCharType="begin"/>
      </w:r>
      <w:r>
        <w:rPr>
          <w:sz w:val="24"/>
          <w:szCs w:val="24"/>
        </w:rPr>
        <w:instrText xml:space="preserve"> PAGEREF _Toc9911 \h </w:instrText>
      </w:r>
      <w:r>
        <w:rPr>
          <w:sz w:val="24"/>
          <w:szCs w:val="24"/>
        </w:rPr>
        <w:fldChar w:fldCharType="separate"/>
      </w:r>
      <w:r>
        <w:rPr>
          <w:sz w:val="24"/>
          <w:szCs w:val="24"/>
        </w:rPr>
        <w:t>- 79 -</w:t>
      </w:r>
      <w:r>
        <w:rPr>
          <w:sz w:val="24"/>
          <w:szCs w:val="24"/>
        </w:rPr>
        <w:fldChar w:fldCharType="end"/>
      </w:r>
      <w:r>
        <w:rPr>
          <w:sz w:val="24"/>
          <w:szCs w:val="24"/>
        </w:rPr>
        <w:fldChar w:fldCharType="end"/>
      </w:r>
    </w:p>
    <w:p w14:paraId="3FD834BC">
      <w:pPr>
        <w:pStyle w:val="27"/>
        <w:tabs>
          <w:tab w:val="right" w:leader="dot" w:pos="8306"/>
        </w:tabs>
        <w:spacing w:line="400" w:lineRule="exact"/>
        <w:jc w:val="both"/>
        <w:rPr>
          <w:rFonts w:hint="eastAsia"/>
          <w:sz w:val="24"/>
          <w:szCs w:val="24"/>
        </w:rPr>
      </w:pPr>
      <w:r>
        <w:fldChar w:fldCharType="begin"/>
      </w:r>
      <w:r>
        <w:instrText xml:space="preserve"> HYPERLINK \l "_Toc14524" </w:instrText>
      </w:r>
      <w:r>
        <w:fldChar w:fldCharType="separate"/>
      </w:r>
      <w:r>
        <w:rPr>
          <w:rFonts w:hint="eastAsia"/>
          <w:sz w:val="24"/>
          <w:szCs w:val="24"/>
        </w:rPr>
        <w:t>四、落实政府采购政策相关证明文件</w:t>
      </w:r>
      <w:r>
        <w:rPr>
          <w:sz w:val="24"/>
          <w:szCs w:val="24"/>
        </w:rPr>
        <w:tab/>
      </w:r>
      <w:r>
        <w:rPr>
          <w:sz w:val="24"/>
          <w:szCs w:val="24"/>
        </w:rPr>
        <w:fldChar w:fldCharType="begin"/>
      </w:r>
      <w:r>
        <w:rPr>
          <w:sz w:val="24"/>
          <w:szCs w:val="24"/>
        </w:rPr>
        <w:instrText xml:space="preserve"> PAGEREF _Toc14524 \h </w:instrText>
      </w:r>
      <w:r>
        <w:rPr>
          <w:sz w:val="24"/>
          <w:szCs w:val="24"/>
        </w:rPr>
        <w:fldChar w:fldCharType="separate"/>
      </w:r>
      <w:r>
        <w:rPr>
          <w:sz w:val="24"/>
          <w:szCs w:val="24"/>
        </w:rPr>
        <w:t>- 81 -</w:t>
      </w:r>
      <w:r>
        <w:rPr>
          <w:sz w:val="24"/>
          <w:szCs w:val="24"/>
        </w:rPr>
        <w:fldChar w:fldCharType="end"/>
      </w:r>
      <w:r>
        <w:rPr>
          <w:sz w:val="24"/>
          <w:szCs w:val="24"/>
        </w:rPr>
        <w:fldChar w:fldCharType="end"/>
      </w:r>
    </w:p>
    <w:p w14:paraId="646BDBBF">
      <w:pPr>
        <w:pStyle w:val="27"/>
        <w:tabs>
          <w:tab w:val="right" w:leader="dot" w:pos="8306"/>
        </w:tabs>
        <w:spacing w:line="400" w:lineRule="exact"/>
        <w:jc w:val="both"/>
        <w:rPr>
          <w:rFonts w:hint="eastAsia"/>
          <w:sz w:val="24"/>
          <w:szCs w:val="24"/>
        </w:rPr>
      </w:pPr>
      <w:r>
        <w:fldChar w:fldCharType="begin"/>
      </w:r>
      <w:r>
        <w:instrText xml:space="preserve"> HYPERLINK \l "_Toc18110" </w:instrText>
      </w:r>
      <w:r>
        <w:fldChar w:fldCharType="separate"/>
      </w:r>
      <w:r>
        <w:rPr>
          <w:rFonts w:hint="eastAsia" w:cstheme="majorBidi"/>
          <w:bCs/>
          <w:sz w:val="24"/>
          <w:szCs w:val="24"/>
        </w:rPr>
        <w:t>五、不参与围标串标承诺书</w:t>
      </w:r>
      <w:r>
        <w:rPr>
          <w:sz w:val="24"/>
          <w:szCs w:val="24"/>
        </w:rPr>
        <w:tab/>
      </w:r>
      <w:r>
        <w:rPr>
          <w:sz w:val="24"/>
          <w:szCs w:val="24"/>
        </w:rPr>
        <w:fldChar w:fldCharType="begin"/>
      </w:r>
      <w:r>
        <w:rPr>
          <w:sz w:val="24"/>
          <w:szCs w:val="24"/>
        </w:rPr>
        <w:instrText xml:space="preserve"> PAGEREF _Toc18110 \h </w:instrText>
      </w:r>
      <w:r>
        <w:rPr>
          <w:sz w:val="24"/>
          <w:szCs w:val="24"/>
        </w:rPr>
        <w:fldChar w:fldCharType="separate"/>
      </w:r>
      <w:r>
        <w:rPr>
          <w:sz w:val="24"/>
          <w:szCs w:val="24"/>
        </w:rPr>
        <w:t>- 94 -</w:t>
      </w:r>
      <w:r>
        <w:rPr>
          <w:sz w:val="24"/>
          <w:szCs w:val="24"/>
        </w:rPr>
        <w:fldChar w:fldCharType="end"/>
      </w:r>
      <w:r>
        <w:rPr>
          <w:sz w:val="24"/>
          <w:szCs w:val="24"/>
        </w:rPr>
        <w:fldChar w:fldCharType="end"/>
      </w:r>
    </w:p>
    <w:p w14:paraId="18DA2B38">
      <w:pPr>
        <w:pStyle w:val="27"/>
        <w:tabs>
          <w:tab w:val="right" w:leader="dot" w:pos="8306"/>
        </w:tabs>
        <w:spacing w:line="400" w:lineRule="exact"/>
        <w:jc w:val="both"/>
        <w:rPr>
          <w:rFonts w:hint="eastAsia"/>
          <w:sz w:val="24"/>
          <w:szCs w:val="24"/>
        </w:rPr>
      </w:pPr>
      <w:r>
        <w:fldChar w:fldCharType="begin"/>
      </w:r>
      <w:r>
        <w:instrText xml:space="preserve"> HYPERLINK \l "_Toc6223" </w:instrText>
      </w:r>
      <w:r>
        <w:fldChar w:fldCharType="separate"/>
      </w:r>
      <w:r>
        <w:rPr>
          <w:rFonts w:hint="eastAsia" w:cstheme="majorBidi"/>
          <w:bCs/>
          <w:sz w:val="24"/>
          <w:szCs w:val="24"/>
        </w:rPr>
        <w:t>六</w:t>
      </w:r>
      <w:r>
        <w:rPr>
          <w:rFonts w:hint="eastAsia" w:eastAsia="宋体" w:asciiTheme="majorHAnsi" w:hAnsiTheme="majorHAnsi" w:cstheme="majorBidi"/>
          <w:bCs/>
          <w:sz w:val="24"/>
          <w:szCs w:val="24"/>
        </w:rPr>
        <w:t>、</w:t>
      </w:r>
      <w:r>
        <w:rPr>
          <w:rFonts w:hint="eastAsia" w:eastAsia="宋体" w:asciiTheme="majorHAnsi" w:hAnsiTheme="majorHAnsi" w:cstheme="majorBidi"/>
          <w:bCs/>
          <w:sz w:val="24"/>
          <w:szCs w:val="24"/>
          <w:lang w:val="zh-CN"/>
        </w:rPr>
        <w:t>其他资格证明文件</w:t>
      </w:r>
      <w:r>
        <w:rPr>
          <w:sz w:val="24"/>
          <w:szCs w:val="24"/>
        </w:rPr>
        <w:tab/>
      </w:r>
      <w:r>
        <w:rPr>
          <w:sz w:val="24"/>
          <w:szCs w:val="24"/>
        </w:rPr>
        <w:fldChar w:fldCharType="begin"/>
      </w:r>
      <w:r>
        <w:rPr>
          <w:sz w:val="24"/>
          <w:szCs w:val="24"/>
        </w:rPr>
        <w:instrText xml:space="preserve"> PAGEREF _Toc6223 \h </w:instrText>
      </w:r>
      <w:r>
        <w:rPr>
          <w:sz w:val="24"/>
          <w:szCs w:val="24"/>
        </w:rPr>
        <w:fldChar w:fldCharType="separate"/>
      </w:r>
      <w:r>
        <w:rPr>
          <w:sz w:val="24"/>
          <w:szCs w:val="24"/>
        </w:rPr>
        <w:t>- 95 -</w:t>
      </w:r>
      <w:r>
        <w:rPr>
          <w:sz w:val="24"/>
          <w:szCs w:val="24"/>
        </w:rPr>
        <w:fldChar w:fldCharType="end"/>
      </w:r>
      <w:r>
        <w:rPr>
          <w:sz w:val="24"/>
          <w:szCs w:val="24"/>
        </w:rPr>
        <w:fldChar w:fldCharType="end"/>
      </w:r>
    </w:p>
    <w:p w14:paraId="04B8CE5A">
      <w:pPr>
        <w:pStyle w:val="23"/>
        <w:tabs>
          <w:tab w:val="right" w:leader="dot" w:pos="8306"/>
        </w:tabs>
        <w:spacing w:line="400" w:lineRule="exact"/>
        <w:jc w:val="both"/>
        <w:rPr>
          <w:rFonts w:hint="eastAsia"/>
          <w:sz w:val="24"/>
          <w:szCs w:val="24"/>
        </w:rPr>
      </w:pPr>
      <w:r>
        <w:fldChar w:fldCharType="begin"/>
      </w:r>
      <w:r>
        <w:instrText xml:space="preserve"> HYPERLINK \l "_Toc16701"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"_Toc30374" </w:instrText>
      </w:r>
      <w:r>
        <w:fldChar w:fldCharType="separate"/>
      </w:r>
      <w:r>
        <w:rPr>
          <w:rFonts w:hint="eastAsia"/>
          <w:sz w:val="24"/>
          <w:szCs w:val="24"/>
        </w:rPr>
        <w:t>报价文件</w:t>
      </w:r>
      <w:r>
        <w:rPr>
          <w:sz w:val="24"/>
          <w:szCs w:val="24"/>
        </w:rPr>
        <w:tab/>
      </w:r>
      <w:r>
        <w:rPr>
          <w:sz w:val="24"/>
          <w:szCs w:val="24"/>
        </w:rPr>
        <w:fldChar w:fldCharType="begin"/>
      </w:r>
      <w:r>
        <w:rPr>
          <w:sz w:val="24"/>
          <w:szCs w:val="24"/>
        </w:rPr>
        <w:instrText xml:space="preserve"> PAGEREF _Toc30374 \h </w:instrText>
      </w:r>
      <w:r>
        <w:rPr>
          <w:sz w:val="24"/>
          <w:szCs w:val="24"/>
        </w:rPr>
        <w:fldChar w:fldCharType="separate"/>
      </w:r>
      <w:r>
        <w:rPr>
          <w:sz w:val="24"/>
          <w:szCs w:val="24"/>
        </w:rPr>
        <w:t>- 96 -</w:t>
      </w:r>
      <w:r>
        <w:rPr>
          <w:sz w:val="24"/>
          <w:szCs w:val="24"/>
        </w:rPr>
        <w:fldChar w:fldCharType="end"/>
      </w:r>
      <w:r>
        <w:rPr>
          <w:sz w:val="24"/>
          <w:szCs w:val="24"/>
        </w:rPr>
        <w:fldChar w:fldCharType="end"/>
      </w:r>
    </w:p>
    <w:p w14:paraId="40D0FF5A">
      <w:pPr>
        <w:pStyle w:val="27"/>
        <w:tabs>
          <w:tab w:val="right" w:leader="dot" w:pos="8306"/>
        </w:tabs>
        <w:spacing w:line="400" w:lineRule="exact"/>
        <w:jc w:val="both"/>
        <w:rPr>
          <w:rFonts w:hint="eastAsia"/>
          <w:sz w:val="24"/>
          <w:szCs w:val="24"/>
        </w:rPr>
      </w:pPr>
      <w:r>
        <w:fldChar w:fldCharType="begin"/>
      </w:r>
      <w:r>
        <w:instrText xml:space="preserve"> HYPERLINK \l "_Toc2238" </w:instrText>
      </w:r>
      <w:r>
        <w:fldChar w:fldCharType="separate"/>
      </w:r>
      <w:r>
        <w:rPr>
          <w:rFonts w:hint="eastAsia" w:cstheme="majorBidi"/>
          <w:bCs/>
          <w:sz w:val="24"/>
          <w:szCs w:val="24"/>
        </w:rPr>
        <w:t>一、开标一览表</w:t>
      </w:r>
      <w:r>
        <w:rPr>
          <w:sz w:val="24"/>
          <w:szCs w:val="24"/>
        </w:rPr>
        <w:tab/>
      </w:r>
      <w:r>
        <w:rPr>
          <w:sz w:val="24"/>
          <w:szCs w:val="24"/>
        </w:rPr>
        <w:fldChar w:fldCharType="begin"/>
      </w:r>
      <w:r>
        <w:rPr>
          <w:sz w:val="24"/>
          <w:szCs w:val="24"/>
        </w:rPr>
        <w:instrText xml:space="preserve"> PAGEREF _Toc2238 \h </w:instrText>
      </w:r>
      <w:r>
        <w:rPr>
          <w:sz w:val="24"/>
          <w:szCs w:val="24"/>
        </w:rPr>
        <w:fldChar w:fldCharType="separate"/>
      </w:r>
      <w:r>
        <w:rPr>
          <w:sz w:val="24"/>
          <w:szCs w:val="24"/>
        </w:rPr>
        <w:t>- 97 -</w:t>
      </w:r>
      <w:r>
        <w:rPr>
          <w:sz w:val="24"/>
          <w:szCs w:val="24"/>
        </w:rPr>
        <w:fldChar w:fldCharType="end"/>
      </w:r>
      <w:r>
        <w:rPr>
          <w:sz w:val="24"/>
          <w:szCs w:val="24"/>
        </w:rPr>
        <w:fldChar w:fldCharType="end"/>
      </w:r>
    </w:p>
    <w:p w14:paraId="2CE1036D">
      <w:pPr>
        <w:pStyle w:val="27"/>
        <w:tabs>
          <w:tab w:val="right" w:leader="dot" w:pos="8306"/>
        </w:tabs>
        <w:spacing w:line="400" w:lineRule="exact"/>
        <w:jc w:val="both"/>
        <w:rPr>
          <w:rFonts w:hint="eastAsia"/>
          <w:sz w:val="24"/>
          <w:szCs w:val="24"/>
        </w:rPr>
      </w:pPr>
      <w:r>
        <w:fldChar w:fldCharType="begin"/>
      </w:r>
      <w:r>
        <w:instrText xml:space="preserve"> HYPERLINK \l "_Toc12971" </w:instrText>
      </w:r>
      <w:r>
        <w:fldChar w:fldCharType="separate"/>
      </w:r>
      <w:r>
        <w:rPr>
          <w:rFonts w:hint="eastAsia" w:cstheme="majorBidi"/>
          <w:bCs/>
          <w:sz w:val="24"/>
          <w:szCs w:val="24"/>
        </w:rPr>
        <w:t>二、分项报价表</w:t>
      </w:r>
      <w:r>
        <w:rPr>
          <w:sz w:val="24"/>
          <w:szCs w:val="24"/>
        </w:rPr>
        <w:tab/>
      </w:r>
      <w:r>
        <w:rPr>
          <w:sz w:val="24"/>
          <w:szCs w:val="24"/>
        </w:rPr>
        <w:fldChar w:fldCharType="begin"/>
      </w:r>
      <w:r>
        <w:rPr>
          <w:sz w:val="24"/>
          <w:szCs w:val="24"/>
        </w:rPr>
        <w:instrText xml:space="preserve"> PAGEREF _Toc12971 \h </w:instrText>
      </w:r>
      <w:r>
        <w:rPr>
          <w:sz w:val="24"/>
          <w:szCs w:val="24"/>
        </w:rPr>
        <w:fldChar w:fldCharType="separate"/>
      </w:r>
      <w:r>
        <w:rPr>
          <w:sz w:val="24"/>
          <w:szCs w:val="24"/>
        </w:rPr>
        <w:t>- 98 -</w:t>
      </w:r>
      <w:r>
        <w:rPr>
          <w:sz w:val="24"/>
          <w:szCs w:val="24"/>
        </w:rPr>
        <w:fldChar w:fldCharType="end"/>
      </w:r>
      <w:r>
        <w:rPr>
          <w:sz w:val="24"/>
          <w:szCs w:val="24"/>
        </w:rPr>
        <w:fldChar w:fldCharType="end"/>
      </w:r>
    </w:p>
    <w:p w14:paraId="4F4D3D5F">
      <w:pPr>
        <w:pStyle w:val="27"/>
        <w:tabs>
          <w:tab w:val="right" w:leader="dot" w:pos="8306"/>
        </w:tabs>
        <w:spacing w:line="400" w:lineRule="exact"/>
        <w:jc w:val="both"/>
        <w:rPr>
          <w:rFonts w:hint="eastAsia"/>
          <w:sz w:val="24"/>
          <w:szCs w:val="24"/>
        </w:rPr>
      </w:pPr>
      <w:r>
        <w:fldChar w:fldCharType="begin"/>
      </w:r>
      <w:r>
        <w:instrText xml:space="preserve"> HYPERLINK \l "_Toc28343" </w:instrText>
      </w:r>
      <w:r>
        <w:fldChar w:fldCharType="separate"/>
      </w:r>
      <w:r>
        <w:rPr>
          <w:rFonts w:hint="eastAsia" w:cstheme="majorBidi"/>
          <w:bCs/>
          <w:sz w:val="24"/>
          <w:szCs w:val="24"/>
        </w:rPr>
        <w:t>三、关于符合本国产品标准的声明函或财政部规定的其他</w:t>
      </w:r>
      <w:r>
        <w:rPr>
          <w:rFonts w:hint="eastAsia" w:cstheme="majorBidi"/>
          <w:bCs/>
          <w:sz w:val="24"/>
          <w:szCs w:val="24"/>
        </w:rPr>
        <w:fldChar w:fldCharType="end"/>
      </w:r>
      <w:r>
        <w:fldChar w:fldCharType="begin"/>
      </w:r>
      <w:r>
        <w:instrText xml:space="preserve"> HYPERLINK \l "_Toc15816" </w:instrText>
      </w:r>
      <w:r>
        <w:fldChar w:fldCharType="separate"/>
      </w:r>
      <w:r>
        <w:rPr>
          <w:rFonts w:hint="eastAsia" w:cstheme="majorBidi"/>
          <w:bCs/>
          <w:sz w:val="24"/>
          <w:szCs w:val="24"/>
        </w:rPr>
        <w:t>证明文件</w:t>
      </w:r>
      <w:r>
        <w:rPr>
          <w:rFonts w:hint="eastAsia" w:cstheme="majorBidi"/>
          <w:bCs/>
          <w:sz w:val="24"/>
          <w:szCs w:val="24"/>
        </w:rPr>
        <w:tab/>
      </w:r>
      <w:r>
        <w:rPr>
          <w:rFonts w:hint="eastAsia" w:cstheme="majorBidi"/>
          <w:bCs/>
          <w:sz w:val="24"/>
          <w:szCs w:val="24"/>
        </w:rPr>
        <w:fldChar w:fldCharType="begin"/>
      </w:r>
      <w:r>
        <w:rPr>
          <w:rFonts w:hint="eastAsia" w:cstheme="majorBidi"/>
          <w:bCs/>
          <w:sz w:val="24"/>
          <w:szCs w:val="24"/>
        </w:rPr>
        <w:instrText xml:space="preserve"> PAGEREF _Toc15816 \h </w:instrText>
      </w:r>
      <w:r>
        <w:rPr>
          <w:rFonts w:hint="eastAsia" w:cstheme="majorBidi"/>
          <w:bCs/>
          <w:sz w:val="24"/>
          <w:szCs w:val="24"/>
        </w:rPr>
        <w:fldChar w:fldCharType="separate"/>
      </w:r>
      <w:r>
        <w:rPr>
          <w:rFonts w:hint="eastAsia" w:cstheme="majorBidi"/>
          <w:bCs/>
          <w:sz w:val="24"/>
          <w:szCs w:val="24"/>
        </w:rPr>
        <w:t>- 99 -</w:t>
      </w:r>
      <w:r>
        <w:rPr>
          <w:rFonts w:hint="eastAsia" w:cstheme="majorBidi"/>
          <w:bCs/>
          <w:sz w:val="24"/>
          <w:szCs w:val="24"/>
        </w:rPr>
        <w:fldChar w:fldCharType="end"/>
      </w:r>
      <w:r>
        <w:rPr>
          <w:rFonts w:hint="eastAsia" w:cstheme="majorBidi"/>
          <w:bCs/>
          <w:sz w:val="24"/>
          <w:szCs w:val="24"/>
        </w:rPr>
        <w:fldChar w:fldCharType="end"/>
      </w:r>
    </w:p>
    <w:p w14:paraId="61383802">
      <w:pPr>
        <w:pStyle w:val="23"/>
        <w:tabs>
          <w:tab w:val="right" w:leader="dot" w:pos="8306"/>
        </w:tabs>
        <w:spacing w:line="400" w:lineRule="exact"/>
        <w:jc w:val="both"/>
        <w:rPr>
          <w:rFonts w:hint="eastAsia"/>
          <w:sz w:val="24"/>
          <w:szCs w:val="24"/>
        </w:rPr>
      </w:pPr>
      <w:r>
        <w:fldChar w:fldCharType="begin"/>
      </w:r>
      <w:r>
        <w:instrText xml:space="preserve"> HYPERLINK \l "_Toc29933" </w:instrText>
      </w:r>
      <w:r>
        <w:fldChar w:fldCharType="separate"/>
      </w:r>
      <w:r>
        <w:rPr>
          <w:rFonts w:hint="eastAsia"/>
          <w:sz w:val="24"/>
          <w:szCs w:val="24"/>
        </w:rPr>
        <w:t>投标文件</w:t>
      </w:r>
      <w:r>
        <w:rPr>
          <w:rFonts w:hint="eastAsia"/>
          <w:sz w:val="24"/>
          <w:szCs w:val="24"/>
        </w:rPr>
        <w:fldChar w:fldCharType="end"/>
      </w:r>
      <w:r>
        <w:fldChar w:fldCharType="begin"/>
      </w:r>
      <w:r>
        <w:instrText xml:space="preserve"> HYPERLINK \l "_Toc6309" </w:instrText>
      </w:r>
      <w:r>
        <w:fldChar w:fldCharType="separate"/>
      </w:r>
      <w:r>
        <w:rPr>
          <w:rFonts w:hint="eastAsia"/>
          <w:sz w:val="24"/>
          <w:szCs w:val="24"/>
        </w:rPr>
        <w:t>商务技术文件</w:t>
      </w:r>
      <w:r>
        <w:rPr>
          <w:sz w:val="24"/>
          <w:szCs w:val="24"/>
        </w:rPr>
        <w:tab/>
      </w:r>
      <w:r>
        <w:rPr>
          <w:sz w:val="24"/>
          <w:szCs w:val="24"/>
        </w:rPr>
        <w:fldChar w:fldCharType="begin"/>
      </w:r>
      <w:r>
        <w:rPr>
          <w:sz w:val="24"/>
          <w:szCs w:val="24"/>
        </w:rPr>
        <w:instrText xml:space="preserve"> PAGEREF _Toc6309 \h </w:instrText>
      </w:r>
      <w:r>
        <w:rPr>
          <w:sz w:val="24"/>
          <w:szCs w:val="24"/>
        </w:rPr>
        <w:fldChar w:fldCharType="separate"/>
      </w:r>
      <w:r>
        <w:rPr>
          <w:sz w:val="24"/>
          <w:szCs w:val="24"/>
        </w:rPr>
        <w:t>- 101 -</w:t>
      </w:r>
      <w:r>
        <w:rPr>
          <w:sz w:val="24"/>
          <w:szCs w:val="24"/>
        </w:rPr>
        <w:fldChar w:fldCharType="end"/>
      </w:r>
      <w:r>
        <w:rPr>
          <w:sz w:val="24"/>
          <w:szCs w:val="24"/>
        </w:rPr>
        <w:fldChar w:fldCharType="end"/>
      </w:r>
    </w:p>
    <w:p w14:paraId="44C97E0B">
      <w:pPr>
        <w:pStyle w:val="27"/>
        <w:tabs>
          <w:tab w:val="right" w:leader="dot" w:pos="8306"/>
        </w:tabs>
        <w:spacing w:line="400" w:lineRule="exact"/>
        <w:jc w:val="both"/>
        <w:rPr>
          <w:rFonts w:hint="eastAsia"/>
          <w:sz w:val="24"/>
          <w:szCs w:val="24"/>
        </w:rPr>
      </w:pPr>
      <w:r>
        <w:fldChar w:fldCharType="begin"/>
      </w:r>
      <w:r>
        <w:instrText xml:space="preserve"> HYPERLINK \l "_Toc28532" </w:instrText>
      </w:r>
      <w:r>
        <w:fldChar w:fldCharType="separate"/>
      </w:r>
      <w:r>
        <w:rPr>
          <w:rFonts w:hint="eastAsia" w:eastAsia="宋体" w:asciiTheme="majorHAnsi" w:hAnsiTheme="majorHAnsi" w:cstheme="majorBidi"/>
          <w:bCs/>
          <w:sz w:val="24"/>
          <w:szCs w:val="24"/>
        </w:rPr>
        <w:t>一、投标函</w:t>
      </w:r>
      <w:r>
        <w:rPr>
          <w:sz w:val="24"/>
          <w:szCs w:val="24"/>
        </w:rPr>
        <w:tab/>
      </w:r>
      <w:r>
        <w:rPr>
          <w:sz w:val="24"/>
          <w:szCs w:val="24"/>
        </w:rPr>
        <w:fldChar w:fldCharType="begin"/>
      </w:r>
      <w:r>
        <w:rPr>
          <w:sz w:val="24"/>
          <w:szCs w:val="24"/>
        </w:rPr>
        <w:instrText xml:space="preserve"> PAGEREF _Toc28532 \h </w:instrText>
      </w:r>
      <w:r>
        <w:rPr>
          <w:sz w:val="24"/>
          <w:szCs w:val="24"/>
        </w:rPr>
        <w:fldChar w:fldCharType="separate"/>
      </w:r>
      <w:r>
        <w:rPr>
          <w:sz w:val="24"/>
          <w:szCs w:val="24"/>
        </w:rPr>
        <w:t>- 102 -</w:t>
      </w:r>
      <w:r>
        <w:rPr>
          <w:sz w:val="24"/>
          <w:szCs w:val="24"/>
        </w:rPr>
        <w:fldChar w:fldCharType="end"/>
      </w:r>
      <w:r>
        <w:rPr>
          <w:sz w:val="24"/>
          <w:szCs w:val="24"/>
        </w:rPr>
        <w:fldChar w:fldCharType="end"/>
      </w:r>
    </w:p>
    <w:p w14:paraId="00F53342">
      <w:pPr>
        <w:pStyle w:val="27"/>
        <w:tabs>
          <w:tab w:val="right" w:leader="dot" w:pos="8306"/>
        </w:tabs>
        <w:spacing w:line="400" w:lineRule="exact"/>
        <w:jc w:val="both"/>
        <w:rPr>
          <w:rFonts w:hint="eastAsia"/>
          <w:sz w:val="24"/>
          <w:szCs w:val="24"/>
        </w:rPr>
      </w:pPr>
      <w:r>
        <w:fldChar w:fldCharType="begin"/>
      </w:r>
      <w:r>
        <w:instrText xml:space="preserve"> HYPERLINK \l "_Toc3285" </w:instrText>
      </w:r>
      <w:r>
        <w:fldChar w:fldCharType="separate"/>
      </w:r>
      <w:r>
        <w:rPr>
          <w:rFonts w:hint="eastAsia" w:cstheme="majorBidi"/>
          <w:bCs/>
          <w:sz w:val="24"/>
          <w:szCs w:val="24"/>
        </w:rPr>
        <w:t>二</w:t>
      </w:r>
      <w:r>
        <w:rPr>
          <w:rFonts w:hint="eastAsia" w:eastAsia="宋体" w:asciiTheme="majorHAnsi" w:hAnsiTheme="majorHAnsi" w:cstheme="majorBidi"/>
          <w:bCs/>
          <w:sz w:val="24"/>
          <w:szCs w:val="24"/>
        </w:rPr>
        <w:t>、法定代表人（单位负责人）身份证明</w:t>
      </w:r>
      <w:r>
        <w:rPr>
          <w:sz w:val="24"/>
          <w:szCs w:val="24"/>
        </w:rPr>
        <w:tab/>
      </w:r>
      <w:r>
        <w:rPr>
          <w:sz w:val="24"/>
          <w:szCs w:val="24"/>
        </w:rPr>
        <w:fldChar w:fldCharType="begin"/>
      </w:r>
      <w:r>
        <w:rPr>
          <w:sz w:val="24"/>
          <w:szCs w:val="24"/>
        </w:rPr>
        <w:instrText xml:space="preserve"> PAGEREF _Toc3285 \h </w:instrText>
      </w:r>
      <w:r>
        <w:rPr>
          <w:sz w:val="24"/>
          <w:szCs w:val="24"/>
        </w:rPr>
        <w:fldChar w:fldCharType="separate"/>
      </w:r>
      <w:r>
        <w:rPr>
          <w:sz w:val="24"/>
          <w:szCs w:val="24"/>
        </w:rPr>
        <w:t>- 104 -</w:t>
      </w:r>
      <w:r>
        <w:rPr>
          <w:sz w:val="24"/>
          <w:szCs w:val="24"/>
        </w:rPr>
        <w:fldChar w:fldCharType="end"/>
      </w:r>
      <w:r>
        <w:rPr>
          <w:sz w:val="24"/>
          <w:szCs w:val="24"/>
        </w:rPr>
        <w:fldChar w:fldCharType="end"/>
      </w:r>
    </w:p>
    <w:p w14:paraId="59BC147C">
      <w:pPr>
        <w:pStyle w:val="27"/>
        <w:tabs>
          <w:tab w:val="right" w:leader="dot" w:pos="8306"/>
        </w:tabs>
        <w:spacing w:line="400" w:lineRule="exact"/>
        <w:jc w:val="both"/>
        <w:rPr>
          <w:rFonts w:hint="eastAsia"/>
          <w:sz w:val="24"/>
          <w:szCs w:val="24"/>
        </w:rPr>
      </w:pPr>
      <w:r>
        <w:fldChar w:fldCharType="begin"/>
      </w:r>
      <w:r>
        <w:instrText xml:space="preserve"> HYPERLINK \l "_Toc22585" </w:instrText>
      </w:r>
      <w:r>
        <w:fldChar w:fldCharType="separate"/>
      </w:r>
      <w:r>
        <w:rPr>
          <w:rFonts w:hint="eastAsia" w:cstheme="majorBidi"/>
          <w:bCs/>
          <w:sz w:val="24"/>
          <w:szCs w:val="24"/>
        </w:rPr>
        <w:t>三</w:t>
      </w:r>
      <w:r>
        <w:rPr>
          <w:rFonts w:hint="eastAsia" w:eastAsia="宋体" w:asciiTheme="majorHAnsi" w:hAnsiTheme="majorHAnsi" w:cstheme="majorBidi"/>
          <w:bCs/>
          <w:sz w:val="24"/>
          <w:szCs w:val="24"/>
        </w:rPr>
        <w:t>、授权委托书</w:t>
      </w:r>
      <w:r>
        <w:rPr>
          <w:sz w:val="24"/>
          <w:szCs w:val="24"/>
        </w:rPr>
        <w:tab/>
      </w:r>
      <w:r>
        <w:rPr>
          <w:sz w:val="24"/>
          <w:szCs w:val="24"/>
        </w:rPr>
        <w:fldChar w:fldCharType="begin"/>
      </w:r>
      <w:r>
        <w:rPr>
          <w:sz w:val="24"/>
          <w:szCs w:val="24"/>
        </w:rPr>
        <w:instrText xml:space="preserve"> PAGEREF _Toc22585 \h </w:instrText>
      </w:r>
      <w:r>
        <w:rPr>
          <w:sz w:val="24"/>
          <w:szCs w:val="24"/>
        </w:rPr>
        <w:fldChar w:fldCharType="separate"/>
      </w:r>
      <w:r>
        <w:rPr>
          <w:sz w:val="24"/>
          <w:szCs w:val="24"/>
        </w:rPr>
        <w:t>- 105 -</w:t>
      </w:r>
      <w:r>
        <w:rPr>
          <w:sz w:val="24"/>
          <w:szCs w:val="24"/>
        </w:rPr>
        <w:fldChar w:fldCharType="end"/>
      </w:r>
      <w:r>
        <w:rPr>
          <w:sz w:val="24"/>
          <w:szCs w:val="24"/>
        </w:rPr>
        <w:fldChar w:fldCharType="end"/>
      </w:r>
    </w:p>
    <w:p w14:paraId="1F6ACB04">
      <w:pPr>
        <w:pStyle w:val="27"/>
        <w:tabs>
          <w:tab w:val="right" w:leader="dot" w:pos="8306"/>
        </w:tabs>
        <w:spacing w:line="400" w:lineRule="exact"/>
        <w:jc w:val="both"/>
        <w:rPr>
          <w:rFonts w:hint="eastAsia"/>
          <w:sz w:val="24"/>
          <w:szCs w:val="24"/>
        </w:rPr>
      </w:pPr>
      <w:r>
        <w:fldChar w:fldCharType="begin"/>
      </w:r>
      <w:r>
        <w:instrText xml:space="preserve"> HYPERLINK \l "_Toc12455" </w:instrText>
      </w:r>
      <w:r>
        <w:fldChar w:fldCharType="separate"/>
      </w:r>
      <w:r>
        <w:rPr>
          <w:rFonts w:hint="eastAsia" w:cstheme="majorBidi"/>
          <w:bCs/>
          <w:sz w:val="24"/>
          <w:szCs w:val="24"/>
        </w:rPr>
        <w:t>四</w:t>
      </w:r>
      <w:r>
        <w:rPr>
          <w:rFonts w:hint="eastAsia" w:eastAsia="宋体" w:asciiTheme="majorHAnsi" w:hAnsiTheme="majorHAnsi" w:cstheme="majorBidi"/>
          <w:bCs/>
          <w:sz w:val="24"/>
          <w:szCs w:val="24"/>
        </w:rPr>
        <w:t>、</w:t>
      </w:r>
      <w:r>
        <w:rPr>
          <w:rFonts w:hint="eastAsia" w:eastAsia="宋体" w:asciiTheme="majorHAnsi" w:hAnsiTheme="majorHAnsi" w:cstheme="majorBidi"/>
          <w:bCs/>
          <w:sz w:val="24"/>
          <w:szCs w:val="24"/>
          <w:lang w:val="zh-CN"/>
        </w:rPr>
        <w:t>政府采购</w:t>
      </w:r>
      <w:r>
        <w:rPr>
          <w:rFonts w:hint="eastAsia" w:cstheme="majorBidi"/>
          <w:bCs/>
          <w:sz w:val="24"/>
          <w:szCs w:val="24"/>
        </w:rPr>
        <w:t>投标人</w:t>
      </w:r>
      <w:r>
        <w:rPr>
          <w:rFonts w:hint="eastAsia" w:eastAsia="宋体" w:asciiTheme="majorHAnsi" w:hAnsiTheme="majorHAnsi" w:cstheme="majorBidi"/>
          <w:bCs/>
          <w:sz w:val="24"/>
          <w:szCs w:val="24"/>
          <w:lang w:val="zh-CN"/>
        </w:rPr>
        <w:t>廉洁自律承诺书</w:t>
      </w:r>
      <w:r>
        <w:rPr>
          <w:sz w:val="24"/>
          <w:szCs w:val="24"/>
        </w:rPr>
        <w:tab/>
      </w:r>
      <w:r>
        <w:rPr>
          <w:sz w:val="24"/>
          <w:szCs w:val="24"/>
        </w:rPr>
        <w:fldChar w:fldCharType="begin"/>
      </w:r>
      <w:r>
        <w:rPr>
          <w:sz w:val="24"/>
          <w:szCs w:val="24"/>
        </w:rPr>
        <w:instrText xml:space="preserve"> PAGEREF _Toc12455 \h </w:instrText>
      </w:r>
      <w:r>
        <w:rPr>
          <w:sz w:val="24"/>
          <w:szCs w:val="24"/>
        </w:rPr>
        <w:fldChar w:fldCharType="separate"/>
      </w:r>
      <w:r>
        <w:rPr>
          <w:sz w:val="24"/>
          <w:szCs w:val="24"/>
        </w:rPr>
        <w:t>- 106 -</w:t>
      </w:r>
      <w:r>
        <w:rPr>
          <w:sz w:val="24"/>
          <w:szCs w:val="24"/>
        </w:rPr>
        <w:fldChar w:fldCharType="end"/>
      </w:r>
      <w:r>
        <w:rPr>
          <w:sz w:val="24"/>
          <w:szCs w:val="24"/>
        </w:rPr>
        <w:fldChar w:fldCharType="end"/>
      </w:r>
    </w:p>
    <w:p w14:paraId="5EFB21F5">
      <w:pPr>
        <w:pStyle w:val="27"/>
        <w:tabs>
          <w:tab w:val="right" w:leader="dot" w:pos="8306"/>
        </w:tabs>
        <w:spacing w:line="400" w:lineRule="exact"/>
        <w:jc w:val="both"/>
        <w:rPr>
          <w:rFonts w:hint="eastAsia"/>
          <w:sz w:val="24"/>
          <w:szCs w:val="24"/>
        </w:rPr>
      </w:pPr>
      <w:r>
        <w:fldChar w:fldCharType="begin"/>
      </w:r>
      <w:r>
        <w:instrText xml:space="preserve"> HYPERLINK \l "_Toc18432" </w:instrText>
      </w:r>
      <w:r>
        <w:fldChar w:fldCharType="separate"/>
      </w:r>
      <w:r>
        <w:rPr>
          <w:rFonts w:hint="eastAsia"/>
          <w:sz w:val="24"/>
          <w:szCs w:val="24"/>
        </w:rPr>
        <w:t>五、</w:t>
      </w:r>
      <w:r>
        <w:rPr>
          <w:rFonts w:hint="eastAsia"/>
          <w:sz w:val="24"/>
          <w:szCs w:val="24"/>
          <w:lang w:val="zh-CN"/>
        </w:rPr>
        <w:t>实质性响应一览表【</w:t>
      </w:r>
      <w:r>
        <w:rPr>
          <w:rFonts w:hint="eastAsia"/>
          <w:sz w:val="24"/>
          <w:szCs w:val="24"/>
        </w:rPr>
        <w:t>本表须与第五章的一致】</w:t>
      </w:r>
      <w:r>
        <w:rPr>
          <w:sz w:val="24"/>
          <w:szCs w:val="24"/>
        </w:rPr>
        <w:tab/>
      </w:r>
      <w:r>
        <w:rPr>
          <w:sz w:val="24"/>
          <w:szCs w:val="24"/>
        </w:rPr>
        <w:fldChar w:fldCharType="begin"/>
      </w:r>
      <w:r>
        <w:rPr>
          <w:sz w:val="24"/>
          <w:szCs w:val="24"/>
        </w:rPr>
        <w:instrText xml:space="preserve"> PAGEREF _Toc18432 \h </w:instrText>
      </w:r>
      <w:r>
        <w:rPr>
          <w:sz w:val="24"/>
          <w:szCs w:val="24"/>
        </w:rPr>
        <w:fldChar w:fldCharType="separate"/>
      </w:r>
      <w:r>
        <w:rPr>
          <w:sz w:val="24"/>
          <w:szCs w:val="24"/>
        </w:rPr>
        <w:t>- 107 -</w:t>
      </w:r>
      <w:r>
        <w:rPr>
          <w:sz w:val="24"/>
          <w:szCs w:val="24"/>
        </w:rPr>
        <w:fldChar w:fldCharType="end"/>
      </w:r>
      <w:r>
        <w:rPr>
          <w:sz w:val="24"/>
          <w:szCs w:val="24"/>
        </w:rPr>
        <w:fldChar w:fldCharType="end"/>
      </w:r>
    </w:p>
    <w:p w14:paraId="6352951C">
      <w:pPr>
        <w:pStyle w:val="27"/>
        <w:tabs>
          <w:tab w:val="right" w:leader="dot" w:pos="8306"/>
        </w:tabs>
        <w:spacing w:line="400" w:lineRule="exact"/>
        <w:jc w:val="both"/>
        <w:rPr>
          <w:rFonts w:hint="eastAsia"/>
          <w:sz w:val="24"/>
          <w:szCs w:val="24"/>
        </w:rPr>
      </w:pPr>
      <w:r>
        <w:fldChar w:fldCharType="begin"/>
      </w:r>
      <w:r>
        <w:instrText xml:space="preserve"> HYPERLINK \l "_Toc28344" </w:instrText>
      </w:r>
      <w:r>
        <w:fldChar w:fldCharType="separate"/>
      </w:r>
      <w:r>
        <w:rPr>
          <w:rFonts w:hint="eastAsia" w:cstheme="majorBidi"/>
          <w:bCs/>
          <w:sz w:val="24"/>
          <w:szCs w:val="24"/>
        </w:rPr>
        <w:t>六</w:t>
      </w:r>
      <w:r>
        <w:rPr>
          <w:rFonts w:hint="eastAsia" w:eastAsia="宋体" w:asciiTheme="majorHAnsi" w:hAnsiTheme="majorHAnsi" w:cstheme="majorBidi"/>
          <w:bCs/>
          <w:sz w:val="24"/>
          <w:szCs w:val="24"/>
        </w:rPr>
        <w:t>、商务响应偏离表</w:t>
      </w:r>
      <w:r>
        <w:rPr>
          <w:sz w:val="24"/>
          <w:szCs w:val="24"/>
        </w:rPr>
        <w:tab/>
      </w:r>
      <w:r>
        <w:rPr>
          <w:sz w:val="24"/>
          <w:szCs w:val="24"/>
        </w:rPr>
        <w:fldChar w:fldCharType="begin"/>
      </w:r>
      <w:r>
        <w:rPr>
          <w:sz w:val="24"/>
          <w:szCs w:val="24"/>
        </w:rPr>
        <w:instrText xml:space="preserve"> PAGEREF _Toc28344 \h </w:instrText>
      </w:r>
      <w:r>
        <w:rPr>
          <w:sz w:val="24"/>
          <w:szCs w:val="24"/>
        </w:rPr>
        <w:fldChar w:fldCharType="separate"/>
      </w:r>
      <w:r>
        <w:rPr>
          <w:sz w:val="24"/>
          <w:szCs w:val="24"/>
        </w:rPr>
        <w:t>- 108 -</w:t>
      </w:r>
      <w:r>
        <w:rPr>
          <w:sz w:val="24"/>
          <w:szCs w:val="24"/>
        </w:rPr>
        <w:fldChar w:fldCharType="end"/>
      </w:r>
      <w:r>
        <w:rPr>
          <w:sz w:val="24"/>
          <w:szCs w:val="24"/>
        </w:rPr>
        <w:fldChar w:fldCharType="end"/>
      </w:r>
    </w:p>
    <w:p w14:paraId="722F3C98">
      <w:pPr>
        <w:pStyle w:val="27"/>
        <w:tabs>
          <w:tab w:val="right" w:leader="dot" w:pos="8306"/>
        </w:tabs>
        <w:spacing w:line="400" w:lineRule="exact"/>
        <w:jc w:val="both"/>
        <w:rPr>
          <w:rFonts w:hint="eastAsia"/>
          <w:sz w:val="24"/>
          <w:szCs w:val="24"/>
        </w:rPr>
      </w:pPr>
      <w:r>
        <w:fldChar w:fldCharType="begin"/>
      </w:r>
      <w:r>
        <w:instrText xml:space="preserve"> HYPERLINK \l "_Toc2100" </w:instrText>
      </w:r>
      <w:r>
        <w:fldChar w:fldCharType="separate"/>
      </w:r>
      <w:r>
        <w:rPr>
          <w:rFonts w:hint="eastAsia" w:cstheme="majorBidi"/>
          <w:bCs/>
          <w:sz w:val="24"/>
          <w:szCs w:val="24"/>
        </w:rPr>
        <w:t>七</w:t>
      </w:r>
      <w:r>
        <w:rPr>
          <w:rFonts w:hint="eastAsia" w:eastAsia="宋体" w:asciiTheme="majorHAnsi" w:hAnsiTheme="majorHAnsi" w:cstheme="majorBidi"/>
          <w:bCs/>
          <w:sz w:val="24"/>
          <w:szCs w:val="24"/>
        </w:rPr>
        <w:t>、业绩证明文件</w:t>
      </w:r>
      <w:r>
        <w:rPr>
          <w:sz w:val="24"/>
          <w:szCs w:val="24"/>
        </w:rPr>
        <w:tab/>
      </w:r>
      <w:r>
        <w:rPr>
          <w:sz w:val="24"/>
          <w:szCs w:val="24"/>
        </w:rPr>
        <w:fldChar w:fldCharType="begin"/>
      </w:r>
      <w:r>
        <w:rPr>
          <w:sz w:val="24"/>
          <w:szCs w:val="24"/>
        </w:rPr>
        <w:instrText xml:space="preserve"> PAGEREF _Toc2100 \h </w:instrText>
      </w:r>
      <w:r>
        <w:rPr>
          <w:sz w:val="24"/>
          <w:szCs w:val="24"/>
        </w:rPr>
        <w:fldChar w:fldCharType="separate"/>
      </w:r>
      <w:r>
        <w:rPr>
          <w:sz w:val="24"/>
          <w:szCs w:val="24"/>
        </w:rPr>
        <w:t>- 109 -</w:t>
      </w:r>
      <w:r>
        <w:rPr>
          <w:sz w:val="24"/>
          <w:szCs w:val="24"/>
        </w:rPr>
        <w:fldChar w:fldCharType="end"/>
      </w:r>
      <w:r>
        <w:rPr>
          <w:sz w:val="24"/>
          <w:szCs w:val="24"/>
        </w:rPr>
        <w:fldChar w:fldCharType="end"/>
      </w:r>
    </w:p>
    <w:p w14:paraId="193482DD">
      <w:pPr>
        <w:pStyle w:val="27"/>
        <w:tabs>
          <w:tab w:val="right" w:leader="dot" w:pos="8306"/>
        </w:tabs>
        <w:spacing w:line="400" w:lineRule="exact"/>
        <w:jc w:val="both"/>
        <w:rPr>
          <w:rFonts w:hint="eastAsia"/>
          <w:sz w:val="24"/>
          <w:szCs w:val="24"/>
        </w:rPr>
      </w:pPr>
      <w:r>
        <w:fldChar w:fldCharType="begin"/>
      </w:r>
      <w:r>
        <w:instrText xml:space="preserve"> HYPERLINK \l "_Toc22277" </w:instrText>
      </w:r>
      <w:r>
        <w:fldChar w:fldCharType="separate"/>
      </w:r>
      <w:r>
        <w:rPr>
          <w:rFonts w:hint="eastAsia" w:cstheme="majorBidi"/>
          <w:bCs/>
          <w:sz w:val="24"/>
          <w:szCs w:val="24"/>
        </w:rPr>
        <w:t>八</w:t>
      </w:r>
      <w:r>
        <w:rPr>
          <w:rFonts w:hint="eastAsia" w:eastAsia="宋体" w:asciiTheme="majorHAnsi" w:hAnsiTheme="majorHAnsi" w:cstheme="majorBidi"/>
          <w:bCs/>
          <w:sz w:val="24"/>
          <w:szCs w:val="24"/>
        </w:rPr>
        <w:t>、拟派项目团队</w:t>
      </w:r>
      <w:r>
        <w:rPr>
          <w:sz w:val="24"/>
          <w:szCs w:val="24"/>
        </w:rPr>
        <w:tab/>
      </w:r>
      <w:r>
        <w:rPr>
          <w:sz w:val="24"/>
          <w:szCs w:val="24"/>
        </w:rPr>
        <w:fldChar w:fldCharType="begin"/>
      </w:r>
      <w:r>
        <w:rPr>
          <w:sz w:val="24"/>
          <w:szCs w:val="24"/>
        </w:rPr>
        <w:instrText xml:space="preserve"> PAGEREF _Toc22277 \h </w:instrText>
      </w:r>
      <w:r>
        <w:rPr>
          <w:sz w:val="24"/>
          <w:szCs w:val="24"/>
        </w:rPr>
        <w:fldChar w:fldCharType="separate"/>
      </w:r>
      <w:r>
        <w:rPr>
          <w:sz w:val="24"/>
          <w:szCs w:val="24"/>
        </w:rPr>
        <w:t>- 110 -</w:t>
      </w:r>
      <w:r>
        <w:rPr>
          <w:sz w:val="24"/>
          <w:szCs w:val="24"/>
        </w:rPr>
        <w:fldChar w:fldCharType="end"/>
      </w:r>
      <w:r>
        <w:rPr>
          <w:sz w:val="24"/>
          <w:szCs w:val="24"/>
        </w:rPr>
        <w:fldChar w:fldCharType="end"/>
      </w:r>
    </w:p>
    <w:p w14:paraId="0E8D24A4">
      <w:pPr>
        <w:pStyle w:val="27"/>
        <w:tabs>
          <w:tab w:val="right" w:leader="dot" w:pos="8306"/>
        </w:tabs>
        <w:spacing w:line="400" w:lineRule="exact"/>
        <w:jc w:val="both"/>
        <w:rPr>
          <w:rFonts w:hint="eastAsia"/>
          <w:sz w:val="24"/>
          <w:szCs w:val="24"/>
        </w:rPr>
      </w:pPr>
      <w:r>
        <w:fldChar w:fldCharType="begin"/>
      </w:r>
      <w:r>
        <w:instrText xml:space="preserve"> HYPERLINK \l "_Toc3121" </w:instrText>
      </w:r>
      <w:r>
        <w:fldChar w:fldCharType="separate"/>
      </w:r>
      <w:r>
        <w:rPr>
          <w:rFonts w:hint="eastAsia" w:cstheme="majorBidi"/>
          <w:bCs/>
          <w:sz w:val="24"/>
          <w:szCs w:val="24"/>
        </w:rPr>
        <w:t>九</w:t>
      </w:r>
      <w:r>
        <w:rPr>
          <w:rFonts w:hint="eastAsia" w:eastAsia="宋体" w:asciiTheme="majorHAnsi" w:hAnsiTheme="majorHAnsi" w:cstheme="majorBidi"/>
          <w:bCs/>
          <w:sz w:val="24"/>
          <w:szCs w:val="24"/>
        </w:rPr>
        <w:t>、技术响应偏离表</w:t>
      </w:r>
      <w:r>
        <w:rPr>
          <w:sz w:val="24"/>
          <w:szCs w:val="24"/>
        </w:rPr>
        <w:tab/>
      </w:r>
      <w:r>
        <w:rPr>
          <w:sz w:val="24"/>
          <w:szCs w:val="24"/>
        </w:rPr>
        <w:fldChar w:fldCharType="begin"/>
      </w:r>
      <w:r>
        <w:rPr>
          <w:sz w:val="24"/>
          <w:szCs w:val="24"/>
        </w:rPr>
        <w:instrText xml:space="preserve"> PAGEREF _Toc3121 \h </w:instrText>
      </w:r>
      <w:r>
        <w:rPr>
          <w:sz w:val="24"/>
          <w:szCs w:val="24"/>
        </w:rPr>
        <w:fldChar w:fldCharType="separate"/>
      </w:r>
      <w:r>
        <w:rPr>
          <w:sz w:val="24"/>
          <w:szCs w:val="24"/>
        </w:rPr>
        <w:t>- 111 -</w:t>
      </w:r>
      <w:r>
        <w:rPr>
          <w:sz w:val="24"/>
          <w:szCs w:val="24"/>
        </w:rPr>
        <w:fldChar w:fldCharType="end"/>
      </w:r>
      <w:r>
        <w:rPr>
          <w:sz w:val="24"/>
          <w:szCs w:val="24"/>
        </w:rPr>
        <w:fldChar w:fldCharType="end"/>
      </w:r>
    </w:p>
    <w:p w14:paraId="57C35E93">
      <w:pPr>
        <w:pStyle w:val="27"/>
        <w:tabs>
          <w:tab w:val="right" w:leader="dot" w:pos="8306"/>
        </w:tabs>
        <w:spacing w:line="400" w:lineRule="exact"/>
        <w:jc w:val="both"/>
        <w:rPr>
          <w:rFonts w:hint="eastAsia"/>
          <w:sz w:val="24"/>
          <w:szCs w:val="24"/>
        </w:rPr>
      </w:pPr>
      <w:r>
        <w:fldChar w:fldCharType="begin"/>
      </w:r>
      <w:r>
        <w:instrText xml:space="preserve"> HYPERLINK \l "_Toc28036" </w:instrText>
      </w:r>
      <w:r>
        <w:fldChar w:fldCharType="separate"/>
      </w:r>
      <w:r>
        <w:rPr>
          <w:rFonts w:hint="eastAsia" w:cstheme="majorBidi"/>
          <w:bCs/>
          <w:sz w:val="24"/>
          <w:szCs w:val="24"/>
        </w:rPr>
        <w:t>十</w:t>
      </w:r>
      <w:r>
        <w:rPr>
          <w:rFonts w:hint="eastAsia" w:eastAsia="宋体" w:asciiTheme="majorHAnsi" w:hAnsiTheme="majorHAnsi" w:cstheme="majorBidi"/>
          <w:bCs/>
          <w:sz w:val="24"/>
          <w:szCs w:val="24"/>
        </w:rPr>
        <w:t>、技术方案</w:t>
      </w:r>
      <w:r>
        <w:rPr>
          <w:sz w:val="24"/>
          <w:szCs w:val="24"/>
        </w:rPr>
        <w:tab/>
      </w:r>
      <w:r>
        <w:rPr>
          <w:sz w:val="24"/>
          <w:szCs w:val="24"/>
        </w:rPr>
        <w:fldChar w:fldCharType="begin"/>
      </w:r>
      <w:r>
        <w:rPr>
          <w:sz w:val="24"/>
          <w:szCs w:val="24"/>
        </w:rPr>
        <w:instrText xml:space="preserve"> PAGEREF _Toc28036 \h </w:instrText>
      </w:r>
      <w:r>
        <w:rPr>
          <w:sz w:val="24"/>
          <w:szCs w:val="24"/>
        </w:rPr>
        <w:fldChar w:fldCharType="separate"/>
      </w:r>
      <w:r>
        <w:rPr>
          <w:sz w:val="24"/>
          <w:szCs w:val="24"/>
        </w:rPr>
        <w:t>- 112 -</w:t>
      </w:r>
      <w:r>
        <w:rPr>
          <w:sz w:val="24"/>
          <w:szCs w:val="24"/>
        </w:rPr>
        <w:fldChar w:fldCharType="end"/>
      </w:r>
      <w:r>
        <w:rPr>
          <w:sz w:val="24"/>
          <w:szCs w:val="24"/>
        </w:rPr>
        <w:fldChar w:fldCharType="end"/>
      </w:r>
    </w:p>
    <w:p w14:paraId="7D1013AD">
      <w:pPr>
        <w:pStyle w:val="27"/>
        <w:tabs>
          <w:tab w:val="right" w:leader="dot" w:pos="8306"/>
        </w:tabs>
        <w:spacing w:line="400" w:lineRule="exact"/>
        <w:jc w:val="both"/>
        <w:rPr>
          <w:rFonts w:hint="eastAsia"/>
          <w:sz w:val="24"/>
          <w:szCs w:val="24"/>
        </w:rPr>
      </w:pPr>
      <w:r>
        <w:fldChar w:fldCharType="begin"/>
      </w:r>
      <w:r>
        <w:instrText xml:space="preserve"> HYPERLINK \l "_Toc22006" </w:instrText>
      </w:r>
      <w:r>
        <w:fldChar w:fldCharType="separate"/>
      </w:r>
      <w:r>
        <w:rPr>
          <w:rFonts w:hint="eastAsia" w:eastAsia="宋体" w:asciiTheme="majorHAnsi" w:hAnsiTheme="majorHAnsi" w:cstheme="majorBidi"/>
          <w:bCs/>
          <w:sz w:val="24"/>
          <w:szCs w:val="24"/>
        </w:rPr>
        <w:t>十</w:t>
      </w:r>
      <w:r>
        <w:rPr>
          <w:rFonts w:hint="eastAsia" w:cstheme="majorBidi"/>
          <w:bCs/>
          <w:sz w:val="24"/>
          <w:szCs w:val="24"/>
        </w:rPr>
        <w:t>一</w:t>
      </w:r>
      <w:r>
        <w:rPr>
          <w:rFonts w:hint="eastAsia" w:eastAsia="宋体" w:asciiTheme="majorHAnsi" w:hAnsiTheme="majorHAnsi" w:cstheme="majorBidi"/>
          <w:bCs/>
          <w:sz w:val="24"/>
          <w:szCs w:val="24"/>
        </w:rPr>
        <w:t>、其他文件</w:t>
      </w:r>
      <w:r>
        <w:rPr>
          <w:sz w:val="24"/>
          <w:szCs w:val="24"/>
        </w:rPr>
        <w:tab/>
      </w:r>
      <w:r>
        <w:rPr>
          <w:sz w:val="24"/>
          <w:szCs w:val="24"/>
        </w:rPr>
        <w:fldChar w:fldCharType="begin"/>
      </w:r>
      <w:r>
        <w:rPr>
          <w:sz w:val="24"/>
          <w:szCs w:val="24"/>
        </w:rPr>
        <w:instrText xml:space="preserve"> PAGEREF _Toc22006 \h </w:instrText>
      </w:r>
      <w:r>
        <w:rPr>
          <w:sz w:val="24"/>
          <w:szCs w:val="24"/>
        </w:rPr>
        <w:fldChar w:fldCharType="separate"/>
      </w:r>
      <w:r>
        <w:rPr>
          <w:sz w:val="24"/>
          <w:szCs w:val="24"/>
        </w:rPr>
        <w:t>- 113 -</w:t>
      </w:r>
      <w:r>
        <w:rPr>
          <w:sz w:val="24"/>
          <w:szCs w:val="24"/>
        </w:rPr>
        <w:fldChar w:fldCharType="end"/>
      </w:r>
      <w:r>
        <w:rPr>
          <w:sz w:val="24"/>
          <w:szCs w:val="24"/>
        </w:rPr>
        <w:fldChar w:fldCharType="end"/>
      </w:r>
    </w:p>
    <w:p w14:paraId="6CCFD1BA">
      <w:pPr>
        <w:spacing w:line="400" w:lineRule="exact"/>
        <w:rPr>
          <w:rFonts w:hint="eastAsia"/>
        </w:rPr>
      </w:pPr>
      <w:r>
        <w:rPr>
          <w:rFonts w:hint="eastAsia" w:cs="宋体"/>
          <w:szCs w:val="24"/>
        </w:rPr>
        <w:fldChar w:fldCharType="end"/>
      </w:r>
    </w:p>
    <w:p w14:paraId="7BADAC66">
      <w:pPr>
        <w:pStyle w:val="3"/>
        <w:spacing w:before="220" w:after="220" w:line="480" w:lineRule="auto"/>
        <w:ind w:left="420" w:hanging="420"/>
        <w:rPr>
          <w:rFonts w:hint="eastAsia" w:eastAsia="宋体" w:cs="宋体"/>
          <w:sz w:val="36"/>
          <w:szCs w:val="36"/>
        </w:rPr>
        <w:sectPr>
          <w:headerReference r:id="rId5" w:type="default"/>
          <w:footerReference r:id="rId6" w:type="default"/>
          <w:pgSz w:w="11906" w:h="16838"/>
          <w:pgMar w:top="1440" w:right="1800" w:bottom="1440" w:left="1800" w:header="851" w:footer="992" w:gutter="0"/>
          <w:pgNumType w:fmt="numberInDash" w:start="1"/>
          <w:cols w:space="425" w:num="1"/>
          <w:docGrid w:type="lines" w:linePitch="312" w:charSpace="0"/>
        </w:sectPr>
      </w:pPr>
    </w:p>
    <w:p w14:paraId="50BBD18B">
      <w:pPr>
        <w:pStyle w:val="3"/>
        <w:spacing w:before="220" w:after="220" w:line="480" w:lineRule="auto"/>
        <w:ind w:left="420" w:hanging="420"/>
        <w:rPr>
          <w:rFonts w:hint="eastAsia" w:eastAsia="宋体" w:cs="宋体"/>
          <w:sz w:val="36"/>
          <w:szCs w:val="36"/>
        </w:rPr>
      </w:pPr>
      <w:bookmarkStart w:id="3" w:name="_Toc11922"/>
      <w:r>
        <w:rPr>
          <w:rFonts w:hint="eastAsia" w:eastAsia="宋体" w:cs="宋体"/>
          <w:sz w:val="36"/>
          <w:szCs w:val="36"/>
        </w:rPr>
        <w:t xml:space="preserve">第一章 </w:t>
      </w:r>
      <w:bookmarkEnd w:id="0"/>
      <w:r>
        <w:rPr>
          <w:rFonts w:hint="eastAsia" w:eastAsia="宋体" w:cs="宋体"/>
          <w:sz w:val="36"/>
          <w:szCs w:val="36"/>
        </w:rPr>
        <w:t>招标公告</w:t>
      </w:r>
      <w:bookmarkEnd w:id="1"/>
      <w:bookmarkEnd w:id="3"/>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54837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5062B183">
            <w:pPr>
              <w:pStyle w:val="4"/>
              <w:spacing w:before="100" w:after="100" w:line="360" w:lineRule="auto"/>
              <w:ind w:left="420" w:hanging="420"/>
              <w:rPr>
                <w:rFonts w:hint="eastAsia"/>
                <w:color w:val="auto"/>
                <w:sz w:val="24"/>
                <w:szCs w:val="24"/>
              </w:rPr>
            </w:pPr>
            <w:bookmarkStart w:id="4" w:name="_Toc9180"/>
            <w:bookmarkStart w:id="5" w:name="_Toc27552"/>
            <w:bookmarkStart w:id="6" w:name="_Toc1899"/>
            <w:bookmarkStart w:id="7" w:name="_Toc27128"/>
            <w:bookmarkStart w:id="8" w:name="_Toc10915"/>
            <w:bookmarkStart w:id="9" w:name="_Toc109899410"/>
            <w:bookmarkStart w:id="10" w:name="_Toc44583628"/>
            <w:bookmarkStart w:id="11" w:name="_Toc35393629"/>
            <w:bookmarkStart w:id="12" w:name="_Toc28359089"/>
            <w:bookmarkStart w:id="13" w:name="_Toc109899829"/>
            <w:bookmarkStart w:id="14" w:name="_Toc155185860"/>
            <w:bookmarkStart w:id="15" w:name="_Toc140132745"/>
            <w:bookmarkStart w:id="16" w:name="_Toc28359012"/>
            <w:bookmarkStart w:id="17" w:name="_Toc35393798"/>
            <w:bookmarkStart w:id="18" w:name="_Toc109900248"/>
            <w:r>
              <w:rPr>
                <w:rFonts w:hint="eastAsia"/>
                <w:color w:val="auto"/>
                <w:sz w:val="24"/>
                <w:szCs w:val="24"/>
              </w:rPr>
              <w:t>项目概况：</w:t>
            </w:r>
            <w:bookmarkEnd w:id="4"/>
            <w:bookmarkEnd w:id="5"/>
            <w:bookmarkEnd w:id="6"/>
            <w:bookmarkEnd w:id="7"/>
            <w:bookmarkEnd w:id="8"/>
          </w:p>
          <w:p w14:paraId="7540DDA1">
            <w:pPr>
              <w:ind w:firstLine="480" w:firstLineChars="200"/>
              <w:rPr>
                <w:rFonts w:hint="eastAsia"/>
                <w:color w:val="auto"/>
              </w:rPr>
            </w:pPr>
            <w:r>
              <w:rPr>
                <w:rFonts w:hint="eastAsia" w:ascii="Times New Roman" w:hAnsi="Times New Roman" w:cs="Times New Roman"/>
                <w:color w:val="auto"/>
                <w:szCs w:val="24"/>
                <w:u w:val="single"/>
                <w:shd w:val="clear" w:color="auto" w:fill="FFFFFF" w:themeFill="background1"/>
                <w:lang w:val="hr-HR" w:eastAsia="zh-CN"/>
              </w:rPr>
              <w:t>新疆生产建设兵团东天山“三北”工程核心攻坚区（第十三师）历史遗留废弃矿山生态修复示范工程（全过程技术管理咨询）-</w:t>
            </w:r>
            <w:r>
              <w:rPr>
                <w:rFonts w:ascii="Times New Roman" w:hAnsi="Times New Roman" w:cs="Times New Roman"/>
                <w:iCs/>
                <w:color w:val="auto"/>
                <w:szCs w:val="24"/>
                <w:shd w:val="clear" w:color="auto" w:fill="FFFFFF" w:themeFill="background1"/>
                <w:lang w:val="hr-HR"/>
              </w:rPr>
              <w:t>的潜在投标人应在</w:t>
            </w:r>
            <w:r>
              <w:rPr>
                <w:rFonts w:ascii="Times New Roman" w:hAnsi="Times New Roman" w:cs="Times New Roman"/>
                <w:color w:val="auto"/>
              </w:rPr>
              <w:t>政采云平台线上</w:t>
            </w:r>
            <w:r>
              <w:rPr>
                <w:rFonts w:ascii="Times New Roman" w:hAnsi="Times New Roman" w:cs="Times New Roman"/>
                <w:iCs/>
                <w:color w:val="auto"/>
                <w:szCs w:val="24"/>
                <w:shd w:val="clear" w:color="auto" w:fill="FFFFFF" w:themeFill="background1"/>
                <w:lang w:val="hr-HR"/>
              </w:rPr>
              <w:t>获取招标文件，并于</w:t>
            </w:r>
            <w:r>
              <w:rPr>
                <w:rFonts w:hint="eastAsia" w:ascii="Times New Roman" w:hAnsi="Times New Roman" w:cs="Times New Roman"/>
                <w:iCs/>
                <w:color w:val="auto"/>
                <w:szCs w:val="24"/>
                <w:u w:val="single"/>
                <w:shd w:val="clear" w:color="auto" w:fill="FFFFFF" w:themeFill="background1"/>
              </w:rPr>
              <w:t>2026年</w:t>
            </w:r>
            <w:r>
              <w:rPr>
                <w:rFonts w:hint="eastAsia" w:ascii="Times New Roman" w:hAnsi="Times New Roman" w:cs="Times New Roman"/>
                <w:iCs/>
                <w:color w:val="auto"/>
                <w:szCs w:val="24"/>
                <w:u w:val="single"/>
                <w:shd w:val="clear" w:color="auto" w:fill="FFFFFF" w:themeFill="background1"/>
                <w:lang w:val="en-US" w:eastAsia="zh-CN"/>
              </w:rPr>
              <w:t>7</w:t>
            </w:r>
            <w:r>
              <w:rPr>
                <w:rFonts w:hint="eastAsia" w:ascii="Times New Roman" w:hAnsi="Times New Roman" w:cs="Times New Roman"/>
                <w:iCs/>
                <w:color w:val="auto"/>
                <w:szCs w:val="24"/>
                <w:u w:val="single"/>
                <w:shd w:val="clear" w:color="auto" w:fill="FFFFFF" w:themeFill="background1"/>
              </w:rPr>
              <w:t>月</w:t>
            </w:r>
            <w:r>
              <w:rPr>
                <w:rFonts w:hint="eastAsia" w:ascii="Times New Roman" w:hAnsi="Times New Roman" w:cs="Times New Roman"/>
                <w:iCs/>
                <w:color w:val="auto"/>
                <w:szCs w:val="24"/>
                <w:u w:val="single"/>
                <w:shd w:val="clear" w:color="auto" w:fill="FFFFFF" w:themeFill="background1"/>
                <w:lang w:val="en-US" w:eastAsia="zh-CN"/>
              </w:rPr>
              <w:t>2</w:t>
            </w:r>
            <w:r>
              <w:rPr>
                <w:rFonts w:hint="eastAsia" w:ascii="Times New Roman" w:hAnsi="Times New Roman" w:cs="Times New Roman"/>
                <w:iCs/>
                <w:color w:val="auto"/>
                <w:szCs w:val="24"/>
                <w:u w:val="single"/>
                <w:shd w:val="clear" w:color="auto" w:fill="FFFFFF" w:themeFill="background1"/>
              </w:rPr>
              <w:t>日</w:t>
            </w:r>
            <w:r>
              <w:rPr>
                <w:rFonts w:hint="eastAsia" w:ascii="Times New Roman" w:hAnsi="Times New Roman" w:cs="Times New Roman"/>
                <w:iCs/>
                <w:color w:val="auto"/>
                <w:szCs w:val="24"/>
                <w:u w:val="single"/>
                <w:shd w:val="clear" w:color="auto" w:fill="FFFFFF" w:themeFill="background1"/>
                <w:lang w:val="en-US" w:eastAsia="zh-CN"/>
              </w:rPr>
              <w:t>10</w:t>
            </w:r>
            <w:r>
              <w:rPr>
                <w:rFonts w:hint="eastAsia" w:ascii="Times New Roman" w:hAnsi="Times New Roman" w:cs="Times New Roman"/>
                <w:iCs/>
                <w:color w:val="auto"/>
                <w:szCs w:val="24"/>
                <w:u w:val="single"/>
                <w:shd w:val="clear" w:color="auto" w:fill="FFFFFF" w:themeFill="background1"/>
              </w:rPr>
              <w:t>时</w:t>
            </w:r>
            <w:r>
              <w:rPr>
                <w:rFonts w:hint="eastAsia" w:ascii="Times New Roman" w:hAnsi="Times New Roman" w:cs="Times New Roman"/>
                <w:iCs/>
                <w:color w:val="auto"/>
                <w:szCs w:val="24"/>
                <w:u w:val="single"/>
                <w:shd w:val="clear" w:color="auto" w:fill="FFFFFF" w:themeFill="background1"/>
                <w:lang w:val="en-US" w:eastAsia="zh-CN"/>
              </w:rPr>
              <w:t>30</w:t>
            </w:r>
            <w:r>
              <w:rPr>
                <w:rFonts w:hint="eastAsia" w:ascii="Times New Roman" w:hAnsi="Times New Roman" w:cs="Times New Roman"/>
                <w:iCs/>
                <w:color w:val="auto"/>
                <w:szCs w:val="24"/>
                <w:u w:val="single"/>
                <w:shd w:val="clear" w:color="auto" w:fill="FFFFFF" w:themeFill="background1"/>
              </w:rPr>
              <w:t>分</w:t>
            </w:r>
            <w:r>
              <w:rPr>
                <w:rFonts w:ascii="Times New Roman" w:hAnsi="Times New Roman" w:cs="Times New Roman"/>
                <w:iCs/>
                <w:color w:val="auto"/>
                <w:szCs w:val="24"/>
                <w:shd w:val="clear" w:color="auto" w:fill="FFFFFF" w:themeFill="background1"/>
                <w:lang w:val="hr-HR"/>
              </w:rPr>
              <w:t>（北京时间）前递交投标文件。</w:t>
            </w:r>
          </w:p>
        </w:tc>
      </w:tr>
    </w:tbl>
    <w:p w14:paraId="5194305F">
      <w:pPr>
        <w:pStyle w:val="4"/>
        <w:pageBreakBefore w:val="0"/>
        <w:widowControl w:val="0"/>
        <w:kinsoku/>
        <w:overflowPunct/>
        <w:topLinePunct w:val="0"/>
        <w:autoSpaceDE/>
        <w:autoSpaceDN/>
        <w:bidi w:val="0"/>
        <w:adjustRightInd/>
        <w:snapToGrid/>
        <w:spacing w:before="120" w:beforeLines="50" w:after="120" w:afterLines="50" w:line="520" w:lineRule="exact"/>
        <w:ind w:left="420" w:hanging="420"/>
        <w:textAlignment w:val="auto"/>
        <w:rPr>
          <w:rFonts w:hint="eastAsia" w:ascii="宋体" w:hAnsi="宋体" w:cs="宋体"/>
          <w:sz w:val="24"/>
          <w:szCs w:val="24"/>
          <w:lang w:val="hr-HR"/>
        </w:rPr>
      </w:pPr>
      <w:bookmarkStart w:id="19" w:name="_Toc25986"/>
      <w:bookmarkStart w:id="20" w:name="_Toc21391"/>
      <w:bookmarkStart w:id="21" w:name="_Toc4038"/>
      <w:bookmarkStart w:id="22" w:name="_Toc6854"/>
      <w:r>
        <w:rPr>
          <w:rFonts w:hint="eastAsia" w:ascii="宋体" w:hAnsi="宋体" w:cs="宋体"/>
          <w:color w:val="auto"/>
          <w:sz w:val="24"/>
          <w:szCs w:val="24"/>
          <w:lang w:val="hr-HR"/>
        </w:rPr>
        <w:t>一、项目基本情况</w:t>
      </w:r>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609E10FF">
      <w:pPr>
        <w:pageBreakBefore w:val="0"/>
        <w:widowControl w:val="0"/>
        <w:kinsoku/>
        <w:overflowPunct/>
        <w:topLinePunct w:val="0"/>
        <w:autoSpaceDE/>
        <w:autoSpaceDN/>
        <w:bidi w:val="0"/>
        <w:adjustRightInd/>
        <w:snapToGrid/>
        <w:spacing w:line="520" w:lineRule="exact"/>
        <w:jc w:val="both"/>
        <w:textAlignment w:val="auto"/>
        <w:rPr>
          <w:rFonts w:hint="eastAsia" w:cs="宋体"/>
          <w:szCs w:val="24"/>
        </w:rPr>
      </w:pPr>
      <w:bookmarkStart w:id="23" w:name="_Toc44583629"/>
      <w:bookmarkStart w:id="24" w:name="_Toc140132746"/>
      <w:bookmarkStart w:id="25" w:name="_Toc14552"/>
      <w:bookmarkStart w:id="26" w:name="_Toc155185861"/>
      <w:bookmarkStart w:id="27" w:name="_Toc109900249"/>
      <w:bookmarkStart w:id="28" w:name="_Toc109899830"/>
      <w:bookmarkStart w:id="29" w:name="_Toc28359013"/>
      <w:bookmarkStart w:id="30" w:name="_Toc17328"/>
      <w:bookmarkStart w:id="31" w:name="_Toc35393630"/>
      <w:bookmarkStart w:id="32" w:name="_Toc15695"/>
      <w:bookmarkStart w:id="33" w:name="_Toc35393799"/>
      <w:bookmarkStart w:id="34" w:name="_Toc17974"/>
      <w:bookmarkStart w:id="35" w:name="_Toc109899411"/>
      <w:bookmarkStart w:id="36" w:name="_Toc28359090"/>
      <w:r>
        <w:rPr>
          <w:rFonts w:hint="eastAsia" w:cs="宋体"/>
          <w:szCs w:val="24"/>
        </w:rPr>
        <w:t>项目编号：TC269H0HT</w:t>
      </w:r>
      <w:r>
        <w:rPr>
          <w:rFonts w:hint="eastAsia" w:cs="宋体"/>
          <w:szCs w:val="24"/>
          <w:lang w:val="en-US" w:eastAsia="zh-CN"/>
        </w:rPr>
        <w:t>-</w:t>
      </w:r>
      <w:r>
        <w:rPr>
          <w:rFonts w:hint="eastAsia" w:cs="宋体"/>
          <w:szCs w:val="24"/>
        </w:rPr>
        <w:t> </w:t>
      </w:r>
    </w:p>
    <w:p w14:paraId="720C8DAD">
      <w:pPr>
        <w:pageBreakBefore w:val="0"/>
        <w:widowControl w:val="0"/>
        <w:kinsoku/>
        <w:overflowPunct/>
        <w:topLinePunct w:val="0"/>
        <w:autoSpaceDE/>
        <w:autoSpaceDN/>
        <w:bidi w:val="0"/>
        <w:adjustRightInd/>
        <w:snapToGrid/>
        <w:spacing w:line="520" w:lineRule="exact"/>
        <w:jc w:val="both"/>
        <w:textAlignment w:val="auto"/>
        <w:rPr>
          <w:rFonts w:hint="eastAsia" w:eastAsia="宋体" w:cs="宋体"/>
          <w:szCs w:val="24"/>
          <w:lang w:val="en-US" w:eastAsia="zh-CN"/>
        </w:rPr>
      </w:pPr>
      <w:r>
        <w:rPr>
          <w:rFonts w:hint="eastAsia" w:cs="宋体"/>
          <w:szCs w:val="24"/>
        </w:rPr>
        <w:t>项目名称：新疆生产建设兵团东天山“三北”工程核心攻坚区（第十三师）历史遗留废弃矿山生态修复示范工程（全过程技术管理咨询）</w:t>
      </w:r>
      <w:r>
        <w:rPr>
          <w:rFonts w:hint="eastAsia" w:cs="宋体"/>
          <w:szCs w:val="24"/>
          <w:lang w:val="en-US" w:eastAsia="zh-CN"/>
        </w:rPr>
        <w:t>-</w:t>
      </w:r>
    </w:p>
    <w:p w14:paraId="5BF6DEFA">
      <w:pPr>
        <w:pageBreakBefore w:val="0"/>
        <w:widowControl w:val="0"/>
        <w:kinsoku/>
        <w:overflowPunct/>
        <w:topLinePunct w:val="0"/>
        <w:autoSpaceDE/>
        <w:autoSpaceDN/>
        <w:bidi w:val="0"/>
        <w:adjustRightInd/>
        <w:snapToGrid/>
        <w:spacing w:line="520" w:lineRule="exact"/>
        <w:jc w:val="both"/>
        <w:textAlignment w:val="auto"/>
        <w:rPr>
          <w:rFonts w:hint="eastAsia" w:cs="宋体"/>
          <w:szCs w:val="24"/>
        </w:rPr>
      </w:pPr>
      <w:r>
        <w:rPr>
          <w:rFonts w:hint="eastAsia" w:cs="宋体"/>
          <w:szCs w:val="24"/>
        </w:rPr>
        <w:t>预算金额（元）：13800000  </w:t>
      </w:r>
    </w:p>
    <w:p w14:paraId="760601C0">
      <w:pPr>
        <w:pageBreakBefore w:val="0"/>
        <w:widowControl w:val="0"/>
        <w:kinsoku/>
        <w:overflowPunct/>
        <w:topLinePunct w:val="0"/>
        <w:autoSpaceDE/>
        <w:autoSpaceDN/>
        <w:bidi w:val="0"/>
        <w:adjustRightInd/>
        <w:snapToGrid/>
        <w:spacing w:line="520" w:lineRule="exact"/>
        <w:jc w:val="both"/>
        <w:textAlignment w:val="auto"/>
        <w:rPr>
          <w:rFonts w:hint="eastAsia" w:cs="宋体"/>
          <w:szCs w:val="24"/>
        </w:rPr>
      </w:pPr>
      <w:r>
        <w:rPr>
          <w:rFonts w:hint="eastAsia" w:cs="宋体"/>
          <w:szCs w:val="24"/>
        </w:rPr>
        <w:t>最高限价（元）：13800000 </w:t>
      </w:r>
    </w:p>
    <w:p w14:paraId="2FA79834">
      <w:pPr>
        <w:pageBreakBefore w:val="0"/>
        <w:widowControl w:val="0"/>
        <w:kinsoku/>
        <w:overflowPunct/>
        <w:topLinePunct w:val="0"/>
        <w:autoSpaceDE/>
        <w:autoSpaceDN/>
        <w:bidi w:val="0"/>
        <w:adjustRightInd/>
        <w:snapToGrid/>
        <w:spacing w:line="520" w:lineRule="exact"/>
        <w:jc w:val="both"/>
        <w:textAlignment w:val="auto"/>
        <w:rPr>
          <w:rFonts w:hint="eastAsia" w:cs="宋体"/>
          <w:szCs w:val="24"/>
        </w:rPr>
      </w:pPr>
      <w:r>
        <w:rPr>
          <w:rFonts w:hint="eastAsia" w:cs="宋体"/>
          <w:szCs w:val="24"/>
        </w:rPr>
        <w:t>采购需求：</w:t>
      </w:r>
    </w:p>
    <w:p w14:paraId="24FB1130">
      <w:pPr>
        <w:pageBreakBefore w:val="0"/>
        <w:widowControl w:val="0"/>
        <w:kinsoku/>
        <w:overflowPunct/>
        <w:topLinePunct w:val="0"/>
        <w:autoSpaceDE/>
        <w:autoSpaceDN/>
        <w:bidi w:val="0"/>
        <w:adjustRightInd/>
        <w:snapToGrid/>
        <w:spacing w:line="520" w:lineRule="exact"/>
        <w:jc w:val="both"/>
        <w:textAlignment w:val="auto"/>
        <w:rPr>
          <w:rFonts w:hint="eastAsia" w:cs="宋体"/>
          <w:szCs w:val="24"/>
        </w:rPr>
      </w:pPr>
      <w:r>
        <w:rPr>
          <w:rFonts w:hint="eastAsia" w:cs="宋体"/>
          <w:szCs w:val="24"/>
        </w:rPr>
        <w:t>标项名称</w:t>
      </w:r>
      <w:r>
        <w:rPr>
          <w:rFonts w:hint="eastAsia" w:cs="宋体"/>
          <w:szCs w:val="24"/>
          <w:lang w:eastAsia="zh-CN"/>
        </w:rPr>
        <w:t>：</w:t>
      </w:r>
      <w:r>
        <w:rPr>
          <w:rFonts w:hint="eastAsia" w:cs="宋体"/>
          <w:szCs w:val="24"/>
        </w:rPr>
        <w:t>新疆生产建设兵团东天山“三北”工程核心攻坚区（第十三师）历史遗留废弃矿山生态修复示范工程（全过程技术管理咨询）</w:t>
      </w:r>
      <w:r>
        <w:rPr>
          <w:rFonts w:hint="eastAsia" w:cs="宋体"/>
          <w:szCs w:val="24"/>
          <w:lang w:val="en-US" w:eastAsia="zh-CN"/>
        </w:rPr>
        <w:t>-</w:t>
      </w:r>
      <w:r>
        <w:rPr>
          <w:rFonts w:hint="eastAsia" w:cs="宋体"/>
          <w:szCs w:val="24"/>
        </w:rPr>
        <w:t> </w:t>
      </w:r>
      <w:r>
        <w:rPr>
          <w:rFonts w:hint="eastAsia" w:cs="宋体"/>
          <w:szCs w:val="24"/>
        </w:rPr>
        <w:br w:type="textWrapping"/>
      </w:r>
      <w:r>
        <w:rPr>
          <w:rFonts w:hint="eastAsia" w:cs="宋体"/>
          <w:szCs w:val="24"/>
        </w:rPr>
        <w:t>数量</w:t>
      </w:r>
      <w:r>
        <w:rPr>
          <w:rFonts w:hint="eastAsia" w:cs="宋体"/>
          <w:szCs w:val="24"/>
          <w:lang w:eastAsia="zh-CN"/>
        </w:rPr>
        <w:t>：</w:t>
      </w:r>
      <w:r>
        <w:rPr>
          <w:rFonts w:hint="eastAsia" w:cs="宋体"/>
          <w:szCs w:val="24"/>
        </w:rPr>
        <w:t>1  </w:t>
      </w:r>
      <w:r>
        <w:rPr>
          <w:rFonts w:hint="eastAsia" w:cs="宋体"/>
          <w:szCs w:val="24"/>
        </w:rPr>
        <w:br w:type="textWrapping"/>
      </w:r>
      <w:r>
        <w:rPr>
          <w:rFonts w:hint="eastAsia" w:cs="宋体"/>
          <w:szCs w:val="24"/>
        </w:rPr>
        <w:t>预算金额（元）</w:t>
      </w:r>
      <w:r>
        <w:rPr>
          <w:rFonts w:hint="eastAsia" w:cs="宋体"/>
          <w:szCs w:val="24"/>
          <w:lang w:eastAsia="zh-CN"/>
        </w:rPr>
        <w:t>：</w:t>
      </w:r>
      <w:r>
        <w:rPr>
          <w:rFonts w:hint="eastAsia" w:cs="宋体"/>
          <w:szCs w:val="24"/>
        </w:rPr>
        <w:t>13800000 </w:t>
      </w:r>
      <w:r>
        <w:rPr>
          <w:rFonts w:hint="eastAsia" w:cs="宋体"/>
          <w:szCs w:val="24"/>
        </w:rPr>
        <w:br w:type="textWrapping"/>
      </w:r>
      <w:r>
        <w:rPr>
          <w:rFonts w:hint="eastAsia" w:cs="宋体"/>
          <w:szCs w:val="24"/>
        </w:rPr>
        <w:t>简要规格描述或项目基本概况介绍、用途：包括但不限于代业主履行相关职责，对工程实施进度、效果、内外业工作、设计变更及其落实情况等进行监督检查；完成自然资源部国土空间生态保护修复信息管理系统填报工作，搭建十三师示范工程项目全要素数字化平台；对实施各阶段的资料予以整理、汇总与分析，构建档案资料库；开展季度、年度及总体绩效评价，并形成绩效评价报告；组织开展项目竣工验收等内容。 </w:t>
      </w:r>
      <w:r>
        <w:rPr>
          <w:rFonts w:hint="eastAsia" w:cs="宋体"/>
          <w:szCs w:val="24"/>
        </w:rPr>
        <w:br w:type="textWrapping"/>
      </w:r>
      <w:r>
        <w:rPr>
          <w:rFonts w:hint="eastAsia" w:cs="宋体"/>
          <w:szCs w:val="24"/>
        </w:rPr>
        <w:t>备注： </w:t>
      </w:r>
    </w:p>
    <w:p w14:paraId="33E03491">
      <w:pPr>
        <w:pageBreakBefore w:val="0"/>
        <w:widowControl w:val="0"/>
        <w:kinsoku/>
        <w:overflowPunct/>
        <w:topLinePunct w:val="0"/>
        <w:autoSpaceDE/>
        <w:autoSpaceDN/>
        <w:bidi w:val="0"/>
        <w:adjustRightInd/>
        <w:snapToGrid/>
        <w:spacing w:line="520" w:lineRule="exact"/>
        <w:jc w:val="both"/>
        <w:textAlignment w:val="auto"/>
        <w:rPr>
          <w:rFonts w:hint="eastAsia" w:cs="宋体"/>
          <w:szCs w:val="24"/>
        </w:rPr>
      </w:pPr>
      <w:r>
        <w:rPr>
          <w:rFonts w:hint="eastAsia" w:cs="宋体"/>
          <w:szCs w:val="24"/>
        </w:rPr>
        <w:t>合同履约期限：包 1，自合同签订之日起至项目竣工验收结算完毕。</w:t>
      </w:r>
    </w:p>
    <w:p w14:paraId="095496B7">
      <w:pPr>
        <w:pageBreakBefore w:val="0"/>
        <w:widowControl w:val="0"/>
        <w:kinsoku/>
        <w:overflowPunct/>
        <w:topLinePunct w:val="0"/>
        <w:autoSpaceDE/>
        <w:autoSpaceDN/>
        <w:bidi w:val="0"/>
        <w:adjustRightInd/>
        <w:snapToGrid/>
        <w:spacing w:line="520" w:lineRule="exact"/>
        <w:jc w:val="both"/>
        <w:textAlignment w:val="auto"/>
        <w:rPr>
          <w:rFonts w:hint="eastAsia" w:eastAsia="宋体" w:cs="宋体"/>
          <w:szCs w:val="24"/>
          <w:lang w:eastAsia="zh-CN"/>
        </w:rPr>
      </w:pPr>
      <w:r>
        <w:rPr>
          <w:rFonts w:hint="eastAsia" w:cs="宋体"/>
          <w:szCs w:val="24"/>
        </w:rPr>
        <w:t>本项目（否）接受联合体投标</w:t>
      </w:r>
      <w:r>
        <w:rPr>
          <w:rFonts w:hint="eastAsia" w:cs="宋体"/>
          <w:szCs w:val="24"/>
          <w:lang w:eastAsia="zh-CN"/>
        </w:rPr>
        <w:t>。</w:t>
      </w:r>
    </w:p>
    <w:p w14:paraId="31788683">
      <w:pPr>
        <w:pStyle w:val="4"/>
        <w:pageBreakBefore w:val="0"/>
        <w:widowControl w:val="0"/>
        <w:kinsoku/>
        <w:overflowPunct/>
        <w:topLinePunct w:val="0"/>
        <w:autoSpaceDE/>
        <w:autoSpaceDN/>
        <w:bidi w:val="0"/>
        <w:adjustRightInd/>
        <w:snapToGrid/>
        <w:spacing w:before="120" w:beforeLines="50" w:after="120" w:afterLines="50" w:line="520" w:lineRule="exact"/>
        <w:ind w:left="420" w:hanging="420"/>
        <w:textAlignment w:val="auto"/>
        <w:rPr>
          <w:rFonts w:hint="eastAsia" w:ascii="宋体" w:hAnsi="宋体" w:cs="宋体"/>
          <w:color w:val="auto"/>
          <w:sz w:val="24"/>
          <w:szCs w:val="24"/>
          <w:lang w:val="hr-HR"/>
        </w:rPr>
      </w:pPr>
      <w:r>
        <w:rPr>
          <w:rFonts w:hint="eastAsia" w:ascii="宋体" w:hAnsi="宋体" w:cs="宋体"/>
          <w:color w:val="auto"/>
          <w:sz w:val="24"/>
          <w:szCs w:val="24"/>
        </w:rPr>
        <w:t>二、申请</w:t>
      </w:r>
      <w:r>
        <w:rPr>
          <w:rFonts w:hint="eastAsia" w:ascii="宋体" w:hAnsi="宋体" w:cs="宋体"/>
          <w:color w:val="auto"/>
          <w:sz w:val="24"/>
          <w:szCs w:val="24"/>
          <w:lang w:val="hr-HR"/>
        </w:rPr>
        <w:t>人</w:t>
      </w:r>
      <w:r>
        <w:rPr>
          <w:rFonts w:hint="eastAsia" w:ascii="宋体" w:hAnsi="宋体" w:cs="宋体"/>
          <w:color w:val="auto"/>
          <w:sz w:val="24"/>
          <w:szCs w:val="24"/>
        </w:rPr>
        <w:t>的</w:t>
      </w:r>
      <w:r>
        <w:rPr>
          <w:rFonts w:hint="eastAsia" w:ascii="宋体" w:hAnsi="宋体" w:cs="宋体"/>
          <w:color w:val="auto"/>
          <w:sz w:val="24"/>
          <w:szCs w:val="24"/>
          <w:lang w:val="hr-HR"/>
        </w:rPr>
        <w:t>资格要求</w:t>
      </w:r>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77CD2707">
      <w:pPr>
        <w:pageBreakBefore w:val="0"/>
        <w:widowControl w:val="0"/>
        <w:kinsoku/>
        <w:overflowPunct/>
        <w:topLinePunct w:val="0"/>
        <w:autoSpaceDE/>
        <w:autoSpaceDN/>
        <w:bidi w:val="0"/>
        <w:adjustRightInd/>
        <w:snapToGrid/>
        <w:spacing w:line="520" w:lineRule="exact"/>
        <w:ind w:firstLine="480" w:firstLineChars="200"/>
        <w:textAlignment w:val="auto"/>
        <w:rPr>
          <w:rFonts w:hint="eastAsia" w:cs="宋体"/>
          <w:szCs w:val="24"/>
        </w:rPr>
      </w:pPr>
      <w:bookmarkStart w:id="37" w:name="_Hlk89807755"/>
      <w:bookmarkStart w:id="38" w:name="_Toc28359014"/>
      <w:bookmarkStart w:id="39" w:name="_Toc28359091"/>
      <w:bookmarkStart w:id="40" w:name="_Toc44583630"/>
      <w:bookmarkStart w:id="41" w:name="_Toc35393800"/>
      <w:bookmarkStart w:id="42" w:name="_Toc35393631"/>
      <w:r>
        <w:rPr>
          <w:rFonts w:hint="eastAsia" w:cs="宋体"/>
          <w:szCs w:val="24"/>
        </w:rPr>
        <w:t>1.满足《中华人民共和国政府采购法》第二十二条规定；</w:t>
      </w:r>
    </w:p>
    <w:p w14:paraId="145F36C6">
      <w:pPr>
        <w:pageBreakBefore w:val="0"/>
        <w:widowControl w:val="0"/>
        <w:kinsoku/>
        <w:overflowPunct/>
        <w:topLinePunct w:val="0"/>
        <w:autoSpaceDE/>
        <w:autoSpaceDN/>
        <w:bidi w:val="0"/>
        <w:adjustRightInd/>
        <w:snapToGrid/>
        <w:spacing w:line="520" w:lineRule="exact"/>
        <w:ind w:firstLine="480" w:firstLineChars="200"/>
        <w:textAlignment w:val="auto"/>
        <w:rPr>
          <w:rFonts w:hint="eastAsia" w:cs="宋体"/>
          <w:szCs w:val="24"/>
        </w:rPr>
      </w:pPr>
      <w:r>
        <w:rPr>
          <w:rFonts w:hint="eastAsia" w:cs="宋体"/>
          <w:szCs w:val="24"/>
        </w:rPr>
        <w:t>2.落实政府采购政策需满足的资格要求：</w:t>
      </w:r>
      <w:r>
        <w:rPr>
          <w:rFonts w:ascii="Times New Roman" w:hAnsi="Times New Roman" w:cs="Times New Roman"/>
          <w:szCs w:val="24"/>
        </w:rPr>
        <w:t>本项目</w:t>
      </w:r>
      <w:r>
        <w:rPr>
          <w:rFonts w:hint="eastAsia" w:ascii="Times New Roman" w:hAnsi="Times New Roman" w:cs="Times New Roman"/>
          <w:szCs w:val="24"/>
          <w:lang w:val="en-US" w:eastAsia="zh-CN"/>
        </w:rPr>
        <w:t>专门面向小微企业，</w:t>
      </w:r>
      <w:r>
        <w:rPr>
          <w:rFonts w:ascii="Times New Roman" w:hAnsi="Times New Roman" w:cs="Times New Roman"/>
          <w:szCs w:val="24"/>
        </w:rPr>
        <w:t>投标人应为小微企业或监狱企业或残疾人福利性单位；</w:t>
      </w:r>
    </w:p>
    <w:p w14:paraId="23C50DE4">
      <w:pPr>
        <w:pageBreakBefore w:val="0"/>
        <w:widowControl w:val="0"/>
        <w:kinsoku/>
        <w:overflowPunct/>
        <w:topLinePunct w:val="0"/>
        <w:autoSpaceDE/>
        <w:autoSpaceDN/>
        <w:bidi w:val="0"/>
        <w:adjustRightInd/>
        <w:snapToGrid/>
        <w:spacing w:line="520" w:lineRule="exact"/>
        <w:ind w:firstLine="480" w:firstLineChars="200"/>
        <w:textAlignment w:val="auto"/>
        <w:rPr>
          <w:rFonts w:hint="eastAsia" w:cs="宋体"/>
          <w:szCs w:val="24"/>
        </w:rPr>
      </w:pPr>
      <w:r>
        <w:rPr>
          <w:rFonts w:hint="eastAsia" w:cs="宋体"/>
          <w:szCs w:val="24"/>
        </w:rPr>
        <w:t>3.本项目的特定资格要求：</w:t>
      </w:r>
      <w:r>
        <w:rPr>
          <w:rFonts w:hint="eastAsia" w:ascii="Times New Roman" w:hAnsi="Times New Roman" w:cs="Times New Roman"/>
          <w:szCs w:val="24"/>
        </w:rPr>
        <w:t>具备自然资源主管部门核发的有效的地质灾害评估和治理工程勘查设计甲级资质。</w:t>
      </w:r>
    </w:p>
    <w:p w14:paraId="59B2B400">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lang w:val="en-US"/>
        </w:rPr>
      </w:pPr>
      <w:r>
        <w:rPr>
          <w:rFonts w:hint="eastAsia" w:cs="宋体"/>
          <w:szCs w:val="24"/>
          <w:lang w:val="en-US"/>
        </w:rPr>
        <w:t>4. 其他资格要求：</w:t>
      </w:r>
    </w:p>
    <w:p w14:paraId="37B04B7A">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lang w:val="hr-HR"/>
        </w:rPr>
      </w:pPr>
      <w:r>
        <w:rPr>
          <w:rFonts w:hint="eastAsia" w:cs="宋体"/>
          <w:szCs w:val="24"/>
          <w:lang w:val="en-US"/>
        </w:rPr>
        <w:t>（1）</w:t>
      </w:r>
      <w:r>
        <w:rPr>
          <w:rFonts w:hint="eastAsia" w:cs="宋体"/>
          <w:szCs w:val="24"/>
          <w:lang w:val="hr-HR"/>
        </w:rPr>
        <w:t>法定代表人或</w:t>
      </w:r>
      <w:r>
        <w:rPr>
          <w:rFonts w:hint="eastAsia" w:cs="宋体"/>
          <w:szCs w:val="24"/>
          <w:lang w:val="en-US"/>
        </w:rPr>
        <w:t>单位</w:t>
      </w:r>
      <w:r>
        <w:rPr>
          <w:rFonts w:hint="eastAsia" w:cs="宋体"/>
          <w:szCs w:val="24"/>
          <w:lang w:val="hr-HR"/>
        </w:rPr>
        <w:t>负责人为同一人或者存在</w:t>
      </w:r>
      <w:r>
        <w:rPr>
          <w:rFonts w:hint="eastAsia" w:cs="宋体"/>
          <w:szCs w:val="24"/>
          <w:lang w:val="en-US"/>
        </w:rPr>
        <w:t>直接</w:t>
      </w:r>
      <w:r>
        <w:rPr>
          <w:rFonts w:hint="eastAsia" w:cs="宋体"/>
          <w:szCs w:val="24"/>
          <w:lang w:val="hr-HR"/>
        </w:rPr>
        <w:t>控股、管理关系的</w:t>
      </w:r>
      <w:r>
        <w:rPr>
          <w:rFonts w:hint="eastAsia" w:cs="宋体"/>
          <w:szCs w:val="24"/>
          <w:lang w:val="en-US"/>
        </w:rPr>
        <w:t>不同供应商</w:t>
      </w:r>
      <w:r>
        <w:rPr>
          <w:rFonts w:hint="eastAsia" w:cs="宋体"/>
          <w:szCs w:val="24"/>
          <w:lang w:val="hr-HR"/>
        </w:rPr>
        <w:t>，不得参加同一合同项下的政府采购活动。</w:t>
      </w:r>
    </w:p>
    <w:p w14:paraId="014C5B3F">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lang w:val="hr-HR"/>
        </w:rPr>
      </w:pPr>
      <w:r>
        <w:rPr>
          <w:rFonts w:hint="eastAsia" w:cs="宋体"/>
          <w:szCs w:val="24"/>
          <w:lang w:val="en-US"/>
        </w:rPr>
        <w:t>（2）</w:t>
      </w:r>
      <w:r>
        <w:rPr>
          <w:rFonts w:hint="eastAsia" w:cs="宋体"/>
          <w:szCs w:val="24"/>
          <w:lang w:val="hr-HR"/>
        </w:rPr>
        <w:t>除单一来源采购项目外，为采购项目提供整体设计、规范编制或者项目管理、监理、检测等服务的供应商，不得再参加该采购项目的其他采购活动。</w:t>
      </w:r>
    </w:p>
    <w:p w14:paraId="69551DC8">
      <w:pPr>
        <w:pageBreakBefore w:val="0"/>
        <w:widowControl w:val="0"/>
        <w:kinsoku/>
        <w:overflowPunct/>
        <w:topLinePunct w:val="0"/>
        <w:autoSpaceDE/>
        <w:autoSpaceDN/>
        <w:bidi w:val="0"/>
        <w:adjustRightInd/>
        <w:snapToGrid/>
        <w:spacing w:line="520" w:lineRule="exact"/>
        <w:ind w:firstLine="480" w:firstLineChars="200"/>
        <w:textAlignment w:val="auto"/>
        <w:rPr>
          <w:rFonts w:hint="eastAsia" w:cs="宋体"/>
          <w:szCs w:val="24"/>
        </w:rPr>
      </w:pPr>
      <w:r>
        <w:rPr>
          <w:rFonts w:hint="eastAsia" w:cs="宋体"/>
          <w:szCs w:val="24"/>
          <w:lang w:val="hr-HR"/>
        </w:rPr>
        <w:t>（</w:t>
      </w:r>
      <w:r>
        <w:rPr>
          <w:rFonts w:hint="eastAsia" w:cs="宋体"/>
          <w:szCs w:val="24"/>
        </w:rPr>
        <w:t>3）</w:t>
      </w:r>
      <w:r>
        <w:rPr>
          <w:rFonts w:hint="eastAsia" w:cs="宋体"/>
          <w:szCs w:val="24"/>
          <w:lang w:val="hr-HR"/>
        </w:rPr>
        <w:t>供应商的信用行为：在</w:t>
      </w:r>
      <w:r>
        <w:rPr>
          <w:rFonts w:hint="eastAsia" w:cs="宋体"/>
          <w:szCs w:val="24"/>
        </w:rPr>
        <w:t>资格审查阶段经查询，未被列入“失信被执行人”、“重大税收违法失信主体”、“政府采购严重违法失信行为记录名单”其中之一</w:t>
      </w:r>
      <w:r>
        <w:rPr>
          <w:rFonts w:hint="eastAsia" w:cs="宋体"/>
          <w:szCs w:val="24"/>
          <w:lang w:val="hr-HR"/>
        </w:rPr>
        <w:t>。如有以上不良信用记录</w:t>
      </w:r>
      <w:r>
        <w:rPr>
          <w:rFonts w:hint="eastAsia" w:cs="宋体"/>
          <w:szCs w:val="24"/>
        </w:rPr>
        <w:t>之一的，</w:t>
      </w:r>
      <w:r>
        <w:rPr>
          <w:rFonts w:hint="eastAsia" w:cs="宋体"/>
          <w:szCs w:val="24"/>
          <w:lang w:val="hr-HR"/>
        </w:rPr>
        <w:t>其</w:t>
      </w:r>
      <w:r>
        <w:rPr>
          <w:rFonts w:hint="eastAsia" w:cs="宋体"/>
          <w:b/>
          <w:bCs/>
          <w:szCs w:val="24"/>
          <w:lang w:val="hr-HR"/>
        </w:rPr>
        <w:t>投标</w:t>
      </w:r>
      <w:r>
        <w:rPr>
          <w:rFonts w:hint="eastAsia" w:cs="宋体"/>
          <w:b/>
          <w:bCs/>
          <w:szCs w:val="24"/>
        </w:rPr>
        <w:t>无效</w:t>
      </w:r>
      <w:r>
        <w:rPr>
          <w:rFonts w:hint="eastAsia" w:cs="宋体"/>
          <w:szCs w:val="24"/>
          <w:lang w:val="hr-HR"/>
        </w:rPr>
        <w:t>。</w:t>
      </w:r>
      <w:r>
        <w:rPr>
          <w:rFonts w:hint="eastAsia" w:cs="宋体"/>
          <w:szCs w:val="24"/>
        </w:rPr>
        <w:t xml:space="preserve">              </w:t>
      </w:r>
    </w:p>
    <w:bookmarkEnd w:id="37"/>
    <w:p w14:paraId="01646DB5">
      <w:pPr>
        <w:pStyle w:val="4"/>
        <w:pageBreakBefore w:val="0"/>
        <w:widowControl w:val="0"/>
        <w:kinsoku/>
        <w:overflowPunct/>
        <w:topLinePunct w:val="0"/>
        <w:autoSpaceDE/>
        <w:autoSpaceDN/>
        <w:bidi w:val="0"/>
        <w:adjustRightInd/>
        <w:snapToGrid/>
        <w:spacing w:before="120" w:beforeLines="50" w:after="120" w:afterLines="50" w:line="520" w:lineRule="exact"/>
        <w:ind w:left="420" w:hanging="420"/>
        <w:textAlignment w:val="auto"/>
        <w:rPr>
          <w:rFonts w:hint="eastAsia" w:ascii="宋体" w:hAnsi="宋体" w:cs="宋体"/>
          <w:sz w:val="24"/>
          <w:szCs w:val="24"/>
          <w:lang w:val="hr-HR"/>
        </w:rPr>
      </w:pPr>
      <w:bookmarkStart w:id="43" w:name="_Toc140132747"/>
      <w:bookmarkStart w:id="44" w:name="_Toc109900250"/>
      <w:bookmarkStart w:id="45" w:name="_Toc10741"/>
      <w:bookmarkStart w:id="46" w:name="_Toc109899831"/>
      <w:bookmarkStart w:id="47" w:name="_Toc16687"/>
      <w:bookmarkStart w:id="48" w:name="_Toc155185862"/>
      <w:bookmarkStart w:id="49" w:name="_Toc13473"/>
      <w:bookmarkStart w:id="50" w:name="_Toc109899412"/>
      <w:bookmarkStart w:id="51" w:name="_Toc24509"/>
      <w:r>
        <w:rPr>
          <w:rFonts w:hint="eastAsia" w:ascii="宋体" w:hAnsi="宋体" w:cs="宋体"/>
          <w:sz w:val="24"/>
          <w:szCs w:val="24"/>
        </w:rPr>
        <w:t>三、</w:t>
      </w:r>
      <w:r>
        <w:rPr>
          <w:rFonts w:hint="eastAsia" w:ascii="宋体" w:hAnsi="宋体" w:cs="宋体"/>
          <w:sz w:val="24"/>
          <w:szCs w:val="24"/>
          <w:lang w:val="hr-HR"/>
        </w:rPr>
        <w:t>获取招标文件</w:t>
      </w:r>
      <w:bookmarkEnd w:id="38"/>
      <w:bookmarkEnd w:id="39"/>
      <w:bookmarkEnd w:id="40"/>
      <w:bookmarkEnd w:id="41"/>
      <w:bookmarkEnd w:id="42"/>
      <w:bookmarkEnd w:id="43"/>
      <w:bookmarkEnd w:id="44"/>
      <w:bookmarkEnd w:id="45"/>
      <w:bookmarkEnd w:id="46"/>
      <w:bookmarkEnd w:id="47"/>
      <w:bookmarkEnd w:id="48"/>
      <w:bookmarkEnd w:id="49"/>
      <w:bookmarkEnd w:id="50"/>
      <w:bookmarkEnd w:id="51"/>
      <w:r>
        <w:rPr>
          <w:rFonts w:hint="eastAsia" w:ascii="宋体" w:hAnsi="宋体" w:cs="宋体"/>
          <w:sz w:val="24"/>
          <w:szCs w:val="24"/>
          <w:lang w:val="hr-HR"/>
        </w:rPr>
        <w:t xml:space="preserve"> </w:t>
      </w:r>
    </w:p>
    <w:p w14:paraId="04D174DA">
      <w:pPr>
        <w:pStyle w:val="39"/>
        <w:keepNext w:val="0"/>
        <w:keepLines w:val="0"/>
        <w:pageBreakBefore w:val="0"/>
        <w:widowControl w:val="0"/>
        <w:kinsoku/>
        <w:wordWrap w:val="0"/>
        <w:overflowPunct/>
        <w:topLinePunct w:val="0"/>
        <w:autoSpaceDE/>
        <w:autoSpaceDN/>
        <w:bidi w:val="0"/>
        <w:adjustRightInd/>
        <w:snapToGrid/>
        <w:spacing w:line="520" w:lineRule="exact"/>
        <w:ind w:firstLine="482"/>
        <w:textAlignment w:val="auto"/>
        <w:rPr>
          <w:rFonts w:hint="eastAsia" w:cs="宋体"/>
          <w:szCs w:val="24"/>
          <w:lang w:val="hr-HR"/>
        </w:rPr>
      </w:pPr>
      <w:bookmarkStart w:id="52" w:name="_Hlk130457234"/>
      <w:bookmarkStart w:id="53" w:name="_Hlk130457261"/>
      <w:bookmarkStart w:id="54" w:name="_Hlk130457327"/>
      <w:bookmarkStart w:id="55" w:name="_Toc28359092"/>
      <w:bookmarkStart w:id="56" w:name="_Toc35393801"/>
      <w:bookmarkStart w:id="57" w:name="_Toc35393632"/>
      <w:bookmarkStart w:id="58" w:name="_Toc28359015"/>
      <w:r>
        <w:rPr>
          <w:rFonts w:hint="eastAsia" w:cs="宋体"/>
          <w:szCs w:val="24"/>
          <w:lang w:val="hr-HR"/>
        </w:rPr>
        <w:t>1.时间：</w:t>
      </w:r>
      <w:r>
        <w:rPr>
          <w:rFonts w:hint="eastAsia" w:cs="宋体"/>
          <w:szCs w:val="24"/>
          <w:u w:val="single"/>
          <w:lang w:val="en-US" w:eastAsia="zh-CN"/>
        </w:rPr>
        <w:t>2026</w:t>
      </w:r>
      <w:r>
        <w:rPr>
          <w:rFonts w:hint="eastAsia" w:cs="宋体"/>
          <w:szCs w:val="24"/>
          <w:u w:val="single"/>
        </w:rPr>
        <w:t xml:space="preserve">年 </w:t>
      </w:r>
      <w:r>
        <w:rPr>
          <w:rFonts w:hint="eastAsia" w:cs="宋体"/>
          <w:szCs w:val="24"/>
          <w:u w:val="single"/>
          <w:lang w:val="en-US" w:eastAsia="zh-CN"/>
        </w:rPr>
        <w:t>6</w:t>
      </w:r>
      <w:r>
        <w:rPr>
          <w:rFonts w:hint="eastAsia" w:cs="宋体"/>
          <w:szCs w:val="24"/>
          <w:u w:val="single"/>
        </w:rPr>
        <w:t>月</w:t>
      </w:r>
      <w:r>
        <w:rPr>
          <w:rFonts w:hint="eastAsia" w:cs="宋体"/>
          <w:szCs w:val="24"/>
          <w:u w:val="single"/>
          <w:lang w:val="en-US" w:eastAsia="zh-CN"/>
        </w:rPr>
        <w:t>12</w:t>
      </w:r>
      <w:r>
        <w:rPr>
          <w:rFonts w:hint="eastAsia" w:cs="宋体"/>
          <w:szCs w:val="24"/>
          <w:u w:val="single"/>
        </w:rPr>
        <w:t>日</w:t>
      </w:r>
      <w:r>
        <w:rPr>
          <w:rFonts w:hint="eastAsia" w:cs="宋体"/>
          <w:szCs w:val="24"/>
          <w:u w:val="single"/>
          <w:lang w:val="en-US" w:eastAsia="zh-CN"/>
        </w:rPr>
        <w:t>00</w:t>
      </w:r>
      <w:r>
        <w:rPr>
          <w:rFonts w:hint="eastAsia" w:cs="宋体"/>
          <w:szCs w:val="24"/>
          <w:u w:val="single"/>
        </w:rPr>
        <w:t>时</w:t>
      </w:r>
      <w:r>
        <w:rPr>
          <w:rFonts w:hint="eastAsia" w:cs="宋体"/>
          <w:szCs w:val="24"/>
          <w:u w:val="single"/>
          <w:lang w:val="en-US" w:eastAsia="zh-CN"/>
        </w:rPr>
        <w:t>00</w:t>
      </w:r>
      <w:r>
        <w:rPr>
          <w:rFonts w:hint="eastAsia" w:cs="宋体"/>
          <w:szCs w:val="24"/>
          <w:u w:val="single"/>
        </w:rPr>
        <w:t>分</w:t>
      </w:r>
      <w:r>
        <w:rPr>
          <w:rFonts w:hint="eastAsia" w:cs="宋体"/>
          <w:szCs w:val="24"/>
          <w:lang w:val="hr-HR"/>
        </w:rPr>
        <w:t>至</w:t>
      </w:r>
      <w:r>
        <w:rPr>
          <w:rFonts w:hint="eastAsia" w:cs="宋体"/>
          <w:szCs w:val="24"/>
          <w:u w:val="single"/>
          <w:lang w:val="en-US" w:eastAsia="zh-CN"/>
        </w:rPr>
        <w:t>2026</w:t>
      </w:r>
      <w:r>
        <w:rPr>
          <w:rFonts w:hint="eastAsia" w:cs="宋体"/>
          <w:szCs w:val="24"/>
          <w:u w:val="single"/>
        </w:rPr>
        <w:t xml:space="preserve">年 </w:t>
      </w:r>
      <w:r>
        <w:rPr>
          <w:rFonts w:hint="eastAsia" w:cs="宋体"/>
          <w:szCs w:val="24"/>
          <w:u w:val="single"/>
          <w:lang w:val="en-US" w:eastAsia="zh-CN"/>
        </w:rPr>
        <w:t>6</w:t>
      </w:r>
      <w:r>
        <w:rPr>
          <w:rFonts w:hint="eastAsia" w:cs="宋体"/>
          <w:szCs w:val="24"/>
          <w:u w:val="single"/>
        </w:rPr>
        <w:t>月</w:t>
      </w:r>
      <w:r>
        <w:rPr>
          <w:rFonts w:hint="eastAsia" w:cs="宋体"/>
          <w:szCs w:val="24"/>
          <w:u w:val="single"/>
          <w:lang w:val="en-US" w:eastAsia="zh-CN"/>
        </w:rPr>
        <w:t>22</w:t>
      </w:r>
      <w:r>
        <w:rPr>
          <w:rFonts w:hint="eastAsia" w:cs="宋体"/>
          <w:szCs w:val="24"/>
          <w:u w:val="single"/>
        </w:rPr>
        <w:t>日</w:t>
      </w:r>
      <w:r>
        <w:rPr>
          <w:rFonts w:hint="eastAsia" w:cs="宋体"/>
          <w:szCs w:val="24"/>
          <w:u w:val="single"/>
          <w:lang w:val="en-US" w:eastAsia="zh-CN"/>
        </w:rPr>
        <w:t>23</w:t>
      </w:r>
      <w:r>
        <w:rPr>
          <w:rFonts w:hint="eastAsia" w:cs="宋体"/>
          <w:szCs w:val="24"/>
          <w:u w:val="single"/>
        </w:rPr>
        <w:t>时</w:t>
      </w:r>
      <w:r>
        <w:rPr>
          <w:rFonts w:hint="eastAsia" w:cs="宋体"/>
          <w:szCs w:val="24"/>
          <w:u w:val="single"/>
          <w:lang w:val="en-US" w:eastAsia="zh-CN"/>
        </w:rPr>
        <w:t>59</w:t>
      </w:r>
      <w:r>
        <w:rPr>
          <w:rFonts w:hint="eastAsia" w:cs="宋体"/>
          <w:szCs w:val="24"/>
          <w:u w:val="single"/>
        </w:rPr>
        <w:t>分</w:t>
      </w:r>
      <w:r>
        <w:rPr>
          <w:rFonts w:hint="eastAsia" w:cs="宋体"/>
          <w:szCs w:val="24"/>
          <w:lang w:val="hr-HR"/>
        </w:rPr>
        <w:t>（北京时间）。</w:t>
      </w:r>
    </w:p>
    <w:bookmarkEnd w:id="52"/>
    <w:p w14:paraId="727C763B">
      <w:pPr>
        <w:pStyle w:val="39"/>
        <w:keepNext w:val="0"/>
        <w:keepLines w:val="0"/>
        <w:pageBreakBefore w:val="0"/>
        <w:widowControl w:val="0"/>
        <w:kinsoku/>
        <w:wordWrap w:val="0"/>
        <w:overflowPunct/>
        <w:topLinePunct w:val="0"/>
        <w:autoSpaceDE/>
        <w:autoSpaceDN/>
        <w:bidi w:val="0"/>
        <w:adjustRightInd/>
        <w:snapToGrid/>
        <w:spacing w:line="520" w:lineRule="exact"/>
        <w:ind w:firstLine="482"/>
        <w:textAlignment w:val="auto"/>
        <w:rPr>
          <w:rFonts w:hint="eastAsia" w:cs="宋体"/>
          <w:szCs w:val="24"/>
          <w:lang w:val="hr-HR"/>
        </w:rPr>
      </w:pPr>
      <w:r>
        <w:rPr>
          <w:rFonts w:hint="eastAsia" w:cs="宋体"/>
          <w:szCs w:val="24"/>
          <w:lang w:val="hr-HR"/>
        </w:rPr>
        <w:t>2.</w:t>
      </w:r>
      <w:r>
        <w:rPr>
          <w:rFonts w:hint="eastAsia" w:cs="宋体"/>
          <w:szCs w:val="24"/>
        </w:rPr>
        <w:t>地点</w:t>
      </w:r>
      <w:r>
        <w:rPr>
          <w:rFonts w:hint="eastAsia" w:cs="宋体"/>
          <w:szCs w:val="24"/>
          <w:lang w:val="hr-HR"/>
        </w:rPr>
        <w:t>：</w:t>
      </w:r>
      <w:bookmarkStart w:id="59" w:name="_Hlk89807779"/>
      <w:r>
        <w:rPr>
          <w:rFonts w:hint="eastAsia" w:cs="宋体"/>
          <w:szCs w:val="24"/>
          <w:lang w:val="en-US"/>
        </w:rPr>
        <w:t>兵团</w:t>
      </w:r>
      <w:r>
        <w:rPr>
          <w:rFonts w:hint="eastAsia" w:cs="宋体"/>
          <w:szCs w:val="24"/>
        </w:rPr>
        <w:t>政府采购</w:t>
      </w:r>
      <w:r>
        <w:rPr>
          <w:rFonts w:hint="eastAsia" w:cs="宋体"/>
          <w:szCs w:val="24"/>
          <w:lang w:val="en-US"/>
        </w:rPr>
        <w:t>电子交易云</w:t>
      </w:r>
      <w:r>
        <w:rPr>
          <w:rFonts w:hint="eastAsia" w:cs="宋体"/>
          <w:szCs w:val="24"/>
        </w:rPr>
        <w:t>平台</w:t>
      </w:r>
      <w:r>
        <w:rPr>
          <w:rFonts w:hint="eastAsia" w:cs="宋体"/>
          <w:szCs w:val="24"/>
          <w:lang w:val="hr-HR"/>
        </w:rPr>
        <w:t>（</w:t>
      </w:r>
      <w:r>
        <w:rPr>
          <w:rFonts w:hint="eastAsia" w:cs="宋体"/>
          <w:szCs w:val="24"/>
        </w:rPr>
        <w:t>网址</w:t>
      </w:r>
      <w:r>
        <w:rPr>
          <w:rFonts w:hint="eastAsia" w:cs="宋体"/>
          <w:szCs w:val="24"/>
          <w:lang w:val="hr-HR"/>
        </w:rPr>
        <w:t>：https</w:t>
      </w:r>
      <w:r>
        <w:rPr>
          <w:rFonts w:hint="eastAsia" w:cs="宋体"/>
          <w:szCs w:val="24"/>
          <w:lang w:val="hr-HR" w:eastAsia="zh-CN"/>
        </w:rPr>
        <w:t>；</w:t>
      </w:r>
      <w:r>
        <w:rPr>
          <w:rFonts w:hint="eastAsia" w:cs="宋体"/>
          <w:szCs w:val="24"/>
          <w:lang w:val="hr-HR"/>
        </w:rPr>
        <w:t>//www.zcygov.cn/）</w:t>
      </w:r>
      <w:r>
        <w:rPr>
          <w:rFonts w:hint="eastAsia" w:cs="宋体"/>
          <w:szCs w:val="24"/>
        </w:rPr>
        <w:t>。</w:t>
      </w:r>
      <w:bookmarkEnd w:id="59"/>
    </w:p>
    <w:p w14:paraId="2BD0B31F">
      <w:pPr>
        <w:pStyle w:val="39"/>
        <w:keepNext w:val="0"/>
        <w:keepLines w:val="0"/>
        <w:pageBreakBefore w:val="0"/>
        <w:widowControl w:val="0"/>
        <w:kinsoku/>
        <w:wordWrap w:val="0"/>
        <w:overflowPunct/>
        <w:topLinePunct w:val="0"/>
        <w:autoSpaceDE/>
        <w:autoSpaceDN/>
        <w:bidi w:val="0"/>
        <w:adjustRightInd/>
        <w:snapToGrid/>
        <w:spacing w:line="520" w:lineRule="exact"/>
        <w:ind w:firstLine="482"/>
        <w:textAlignment w:val="auto"/>
        <w:rPr>
          <w:rFonts w:hint="eastAsia" w:cs="宋体"/>
          <w:szCs w:val="24"/>
          <w:lang w:val="hr-HR"/>
        </w:rPr>
      </w:pPr>
      <w:r>
        <w:rPr>
          <w:rFonts w:hint="eastAsia" w:cs="宋体"/>
          <w:szCs w:val="24"/>
          <w:lang w:val="hr-HR"/>
        </w:rPr>
        <w:t>3.</w:t>
      </w:r>
      <w:r>
        <w:rPr>
          <w:rFonts w:hint="eastAsia" w:cs="宋体"/>
          <w:szCs w:val="24"/>
        </w:rPr>
        <w:t>方式</w:t>
      </w:r>
      <w:r>
        <w:rPr>
          <w:rFonts w:hint="eastAsia" w:cs="宋体"/>
          <w:szCs w:val="24"/>
          <w:lang w:val="hr-HR"/>
        </w:rPr>
        <w:t>：</w:t>
      </w:r>
      <w:r>
        <w:rPr>
          <w:rFonts w:hint="eastAsia" w:cs="宋体"/>
          <w:szCs w:val="24"/>
          <w:lang w:val="en-US"/>
        </w:rPr>
        <w:t>投标供应商登录政采云平台</w:t>
      </w:r>
      <w:r>
        <w:rPr>
          <w:rFonts w:hint="eastAsia" w:cs="宋体"/>
          <w:szCs w:val="24"/>
          <w:lang w:val="hr-HR"/>
        </w:rPr>
        <w:t>https</w:t>
      </w:r>
      <w:r>
        <w:rPr>
          <w:rFonts w:hint="eastAsia" w:cs="宋体"/>
          <w:szCs w:val="24"/>
          <w:lang w:val="hr-HR" w:eastAsia="zh-CN"/>
        </w:rPr>
        <w:t>；</w:t>
      </w:r>
      <w:r>
        <w:rPr>
          <w:rFonts w:hint="eastAsia" w:cs="宋体"/>
          <w:szCs w:val="24"/>
          <w:lang w:val="hr-HR"/>
        </w:rPr>
        <w:t>//www.zcygov.cn/</w:t>
      </w:r>
      <w:r>
        <w:rPr>
          <w:rFonts w:hint="eastAsia" w:cs="宋体"/>
          <w:szCs w:val="24"/>
          <w:lang w:val="en-US"/>
        </w:rPr>
        <w:t>在线申请</w:t>
      </w:r>
      <w:r>
        <w:rPr>
          <w:rFonts w:hint="eastAsia" w:cs="宋体"/>
          <w:szCs w:val="24"/>
          <w:lang w:val="hr-HR"/>
        </w:rPr>
        <w:t>，</w:t>
      </w:r>
      <w:r>
        <w:rPr>
          <w:rFonts w:hint="eastAsia" w:cs="宋体"/>
          <w:szCs w:val="24"/>
          <w:lang w:val="en-US"/>
        </w:rPr>
        <w:t>免费获取电子采购文件</w:t>
      </w:r>
      <w:r>
        <w:rPr>
          <w:rFonts w:hint="eastAsia" w:cs="宋体"/>
          <w:szCs w:val="24"/>
          <w:lang w:val="hr-HR"/>
        </w:rPr>
        <w:t>（</w:t>
      </w:r>
      <w:r>
        <w:rPr>
          <w:rFonts w:hint="eastAsia" w:cs="宋体"/>
          <w:szCs w:val="24"/>
          <w:lang w:val="en-US"/>
        </w:rPr>
        <w:t>进入</w:t>
      </w:r>
      <w:r>
        <w:rPr>
          <w:rFonts w:hint="eastAsia" w:cs="宋体"/>
          <w:szCs w:val="24"/>
          <w:lang w:val="hr-HR"/>
        </w:rPr>
        <w:t>“</w:t>
      </w:r>
      <w:r>
        <w:rPr>
          <w:rFonts w:hint="eastAsia" w:cs="宋体"/>
          <w:szCs w:val="24"/>
          <w:lang w:val="en-US"/>
        </w:rPr>
        <w:t>项目采购</w:t>
      </w:r>
      <w:r>
        <w:rPr>
          <w:rFonts w:hint="eastAsia" w:cs="宋体"/>
          <w:szCs w:val="24"/>
          <w:lang w:val="hr-HR"/>
        </w:rPr>
        <w:t>”</w:t>
      </w:r>
      <w:r>
        <w:rPr>
          <w:rFonts w:hint="eastAsia" w:cs="宋体"/>
          <w:szCs w:val="24"/>
          <w:lang w:val="en-US"/>
        </w:rPr>
        <w:t>应用</w:t>
      </w:r>
      <w:r>
        <w:rPr>
          <w:rFonts w:hint="eastAsia" w:cs="宋体"/>
          <w:szCs w:val="24"/>
          <w:lang w:val="hr-HR"/>
        </w:rPr>
        <w:t>，</w:t>
      </w:r>
      <w:r>
        <w:rPr>
          <w:rFonts w:hint="eastAsia" w:cs="宋体"/>
          <w:szCs w:val="24"/>
          <w:lang w:val="en-US"/>
        </w:rPr>
        <w:t>在获取采购文件菜单中选择项目</w:t>
      </w:r>
      <w:r>
        <w:rPr>
          <w:rFonts w:hint="eastAsia" w:cs="宋体"/>
          <w:szCs w:val="24"/>
          <w:lang w:val="hr-HR"/>
        </w:rPr>
        <w:t>，</w:t>
      </w:r>
      <w:r>
        <w:rPr>
          <w:rFonts w:hint="eastAsia" w:cs="宋体"/>
          <w:szCs w:val="24"/>
          <w:lang w:val="en-US"/>
        </w:rPr>
        <w:t>申请获取采购文件</w:t>
      </w:r>
      <w:r>
        <w:rPr>
          <w:rFonts w:hint="eastAsia" w:cs="宋体"/>
          <w:szCs w:val="24"/>
          <w:lang w:val="hr-HR"/>
        </w:rPr>
        <w:t>）</w:t>
      </w:r>
      <w:r>
        <w:rPr>
          <w:rFonts w:hint="eastAsia" w:cs="宋体"/>
          <w:szCs w:val="24"/>
          <w:lang w:val="en-US"/>
        </w:rPr>
        <w:t>。</w:t>
      </w:r>
    </w:p>
    <w:p w14:paraId="00748641">
      <w:pPr>
        <w:pStyle w:val="39"/>
        <w:keepNext w:val="0"/>
        <w:keepLines w:val="0"/>
        <w:pageBreakBefore w:val="0"/>
        <w:widowControl w:val="0"/>
        <w:kinsoku/>
        <w:wordWrap w:val="0"/>
        <w:overflowPunct/>
        <w:topLinePunct w:val="0"/>
        <w:autoSpaceDE/>
        <w:autoSpaceDN/>
        <w:bidi w:val="0"/>
        <w:adjustRightInd/>
        <w:snapToGrid/>
        <w:spacing w:line="520" w:lineRule="exact"/>
        <w:ind w:firstLine="482"/>
        <w:textAlignment w:val="auto"/>
        <w:rPr>
          <w:rFonts w:hint="eastAsia" w:cs="宋体"/>
          <w:szCs w:val="24"/>
          <w:lang w:val="hr-HR"/>
        </w:rPr>
      </w:pPr>
      <w:r>
        <w:rPr>
          <w:rFonts w:hint="eastAsia" w:cs="宋体"/>
          <w:szCs w:val="24"/>
          <w:lang w:val="en-US"/>
        </w:rPr>
        <w:t>4.售价：0元。</w:t>
      </w:r>
      <w:r>
        <w:rPr>
          <w:rFonts w:hint="eastAsia" w:cs="宋体"/>
          <w:szCs w:val="24"/>
          <w:lang w:val="hr-HR"/>
        </w:rPr>
        <w:t xml:space="preserve"> </w:t>
      </w:r>
    </w:p>
    <w:bookmarkEnd w:id="53"/>
    <w:bookmarkEnd w:id="54"/>
    <w:bookmarkEnd w:id="55"/>
    <w:bookmarkEnd w:id="56"/>
    <w:bookmarkEnd w:id="57"/>
    <w:bookmarkEnd w:id="58"/>
    <w:p w14:paraId="114F24DD">
      <w:pPr>
        <w:pStyle w:val="4"/>
        <w:pageBreakBefore w:val="0"/>
        <w:widowControl w:val="0"/>
        <w:kinsoku/>
        <w:overflowPunct/>
        <w:topLinePunct w:val="0"/>
        <w:autoSpaceDE/>
        <w:autoSpaceDN/>
        <w:bidi w:val="0"/>
        <w:adjustRightInd/>
        <w:snapToGrid/>
        <w:spacing w:before="120" w:beforeLines="50" w:after="120" w:afterLines="50" w:line="520" w:lineRule="exact"/>
        <w:ind w:left="420" w:hanging="420"/>
        <w:textAlignment w:val="auto"/>
        <w:rPr>
          <w:rFonts w:hint="eastAsia" w:ascii="宋体" w:hAnsi="宋体" w:cs="宋体"/>
          <w:sz w:val="24"/>
          <w:szCs w:val="24"/>
          <w:lang w:val="hr-HR"/>
        </w:rPr>
      </w:pPr>
      <w:bookmarkStart w:id="60" w:name="_Toc109900251"/>
      <w:bookmarkStart w:id="61" w:name="_Toc155185863"/>
      <w:bookmarkStart w:id="62" w:name="_Toc109899413"/>
      <w:bookmarkStart w:id="63" w:name="_Toc109899832"/>
      <w:bookmarkStart w:id="64" w:name="_Toc140132748"/>
      <w:bookmarkStart w:id="65" w:name="_Toc11313"/>
      <w:bookmarkStart w:id="66" w:name="_Toc5152"/>
      <w:bookmarkStart w:id="67" w:name="_Toc30285"/>
      <w:bookmarkStart w:id="68" w:name="_Toc25593"/>
      <w:bookmarkStart w:id="69" w:name="_Hlk130457395"/>
      <w:bookmarkStart w:id="70" w:name="_Toc28359017"/>
      <w:bookmarkStart w:id="71" w:name="_Toc35393634"/>
      <w:bookmarkStart w:id="72" w:name="_Toc28359094"/>
      <w:bookmarkStart w:id="73" w:name="_Toc35393803"/>
      <w:bookmarkStart w:id="74" w:name="_Toc44583633"/>
      <w:r>
        <w:rPr>
          <w:rFonts w:hint="eastAsia" w:ascii="宋体" w:hAnsi="宋体" w:cs="宋体"/>
          <w:sz w:val="24"/>
          <w:szCs w:val="24"/>
        </w:rPr>
        <w:t>四、</w:t>
      </w:r>
      <w:bookmarkEnd w:id="60"/>
      <w:bookmarkEnd w:id="61"/>
      <w:bookmarkEnd w:id="62"/>
      <w:bookmarkEnd w:id="63"/>
      <w:bookmarkEnd w:id="64"/>
      <w:r>
        <w:rPr>
          <w:rFonts w:hint="eastAsia" w:ascii="宋体" w:hAnsi="宋体" w:cs="宋体"/>
          <w:sz w:val="24"/>
          <w:szCs w:val="24"/>
          <w:lang w:val="hr-HR"/>
        </w:rPr>
        <w:t>提交投标文件截止时间</w:t>
      </w:r>
      <w:r>
        <w:rPr>
          <w:rFonts w:hint="eastAsia" w:ascii="宋体" w:hAnsi="宋体" w:cs="宋体"/>
          <w:sz w:val="24"/>
          <w:szCs w:val="24"/>
        </w:rPr>
        <w:t>/</w:t>
      </w:r>
      <w:r>
        <w:rPr>
          <w:rFonts w:hint="eastAsia" w:ascii="宋体" w:hAnsi="宋体" w:cs="宋体"/>
          <w:sz w:val="24"/>
          <w:szCs w:val="24"/>
          <w:lang w:val="hr-HR"/>
        </w:rPr>
        <w:t>开标时间、递交方式和</w:t>
      </w:r>
      <w:r>
        <w:rPr>
          <w:rFonts w:hint="eastAsia" w:ascii="宋体" w:hAnsi="宋体" w:cs="宋体"/>
          <w:sz w:val="24"/>
          <w:szCs w:val="24"/>
        </w:rPr>
        <w:t>开标</w:t>
      </w:r>
      <w:r>
        <w:rPr>
          <w:rFonts w:hint="eastAsia" w:ascii="宋体" w:hAnsi="宋体" w:cs="宋体"/>
          <w:sz w:val="24"/>
          <w:szCs w:val="24"/>
          <w:lang w:val="hr-HR"/>
        </w:rPr>
        <w:t>地点</w:t>
      </w:r>
      <w:bookmarkEnd w:id="65"/>
      <w:bookmarkEnd w:id="66"/>
      <w:bookmarkEnd w:id="67"/>
      <w:bookmarkEnd w:id="68"/>
    </w:p>
    <w:p w14:paraId="2445DD13">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rPr>
      </w:pPr>
      <w:r>
        <w:rPr>
          <w:rFonts w:hint="eastAsia" w:cs="宋体"/>
          <w:szCs w:val="24"/>
        </w:rPr>
        <w:t>1.截止时间</w:t>
      </w:r>
      <w:r>
        <w:rPr>
          <w:rFonts w:hint="eastAsia" w:cs="宋体"/>
          <w:szCs w:val="24"/>
          <w:lang w:val="en-US"/>
        </w:rPr>
        <w:t>/</w:t>
      </w:r>
      <w:r>
        <w:rPr>
          <w:rFonts w:hint="eastAsia" w:cs="宋体"/>
          <w:szCs w:val="24"/>
        </w:rPr>
        <w:t>开标时间：</w:t>
      </w:r>
      <w:r>
        <w:rPr>
          <w:rFonts w:hint="eastAsia" w:cs="宋体"/>
          <w:szCs w:val="24"/>
          <w:u w:val="single"/>
        </w:rPr>
        <w:t xml:space="preserve">  2026年7月</w:t>
      </w:r>
      <w:r>
        <w:rPr>
          <w:rFonts w:hint="eastAsia" w:cs="宋体"/>
          <w:szCs w:val="24"/>
          <w:u w:val="single"/>
          <w:lang w:val="en-US" w:eastAsia="zh-CN"/>
        </w:rPr>
        <w:t>2</w:t>
      </w:r>
      <w:r>
        <w:rPr>
          <w:rFonts w:hint="eastAsia" w:cs="宋体"/>
          <w:szCs w:val="24"/>
          <w:u w:val="single"/>
        </w:rPr>
        <w:t>日10时30分</w:t>
      </w:r>
      <w:r>
        <w:rPr>
          <w:rFonts w:hint="eastAsia" w:cs="宋体"/>
          <w:szCs w:val="24"/>
        </w:rPr>
        <w:t>（北京时间）。</w:t>
      </w:r>
    </w:p>
    <w:p w14:paraId="273ED604">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rPr>
      </w:pPr>
      <w:r>
        <w:rPr>
          <w:rFonts w:hint="eastAsia" w:cs="宋体"/>
          <w:szCs w:val="24"/>
        </w:rPr>
        <w:t>2.递交方式：</w:t>
      </w:r>
      <w:bookmarkStart w:id="75" w:name="_Hlk89807823"/>
      <w:r>
        <w:rPr>
          <w:rFonts w:hint="eastAsia" w:cs="宋体"/>
          <w:szCs w:val="24"/>
        </w:rPr>
        <w:t>在兵团政府采购电子交易云平台（网址：https</w:t>
      </w:r>
      <w:r>
        <w:rPr>
          <w:rFonts w:hint="eastAsia" w:cs="宋体"/>
          <w:szCs w:val="24"/>
          <w:lang w:eastAsia="zh-CN"/>
        </w:rPr>
        <w:t>；</w:t>
      </w:r>
      <w:r>
        <w:rPr>
          <w:rFonts w:hint="eastAsia" w:cs="宋体"/>
          <w:szCs w:val="24"/>
        </w:rPr>
        <w:t>//www.zcygov.cn/）进入“项目采购”应用，在投标文件上传菜单中选择项目进行上传。</w:t>
      </w:r>
      <w:bookmarkEnd w:id="75"/>
    </w:p>
    <w:p w14:paraId="30A52AD0">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rPr>
      </w:pPr>
      <w:r>
        <w:rPr>
          <w:rFonts w:hint="eastAsia" w:cs="宋体"/>
          <w:szCs w:val="24"/>
        </w:rPr>
        <w:t>3.开标</w:t>
      </w:r>
      <w:r>
        <w:rPr>
          <w:rFonts w:hint="eastAsia" w:cs="宋体"/>
          <w:szCs w:val="24"/>
          <w:lang w:val="en-US"/>
        </w:rPr>
        <w:t>地点</w:t>
      </w:r>
      <w:r>
        <w:rPr>
          <w:rFonts w:hint="eastAsia" w:cs="宋体"/>
          <w:szCs w:val="24"/>
        </w:rPr>
        <w:t>：</w:t>
      </w:r>
      <w:r>
        <w:rPr>
          <w:rFonts w:hint="eastAsia" w:cs="宋体"/>
          <w:szCs w:val="24"/>
          <w:lang w:val="en-US"/>
        </w:rPr>
        <w:t>投标人登录政采云平台https</w:t>
      </w:r>
      <w:r>
        <w:rPr>
          <w:rFonts w:hint="eastAsia" w:cs="宋体"/>
          <w:szCs w:val="24"/>
          <w:lang w:eastAsia="zh-CN"/>
        </w:rPr>
        <w:t>；</w:t>
      </w:r>
      <w:r>
        <w:rPr>
          <w:rFonts w:hint="eastAsia" w:cs="宋体"/>
          <w:szCs w:val="24"/>
          <w:lang w:val="en-US"/>
        </w:rPr>
        <w:t>//www.zcygov.cn/，进入项目采购-开标评标-右边选择对应项目点击“进入项目”进入开标大厅</w:t>
      </w:r>
      <w:r>
        <w:rPr>
          <w:rFonts w:hint="eastAsia" w:cs="宋体"/>
          <w:szCs w:val="24"/>
        </w:rPr>
        <w:t>。</w:t>
      </w:r>
    </w:p>
    <w:bookmarkEnd w:id="69"/>
    <w:p w14:paraId="4B68371B">
      <w:pPr>
        <w:pStyle w:val="4"/>
        <w:pageBreakBefore w:val="0"/>
        <w:widowControl w:val="0"/>
        <w:kinsoku/>
        <w:overflowPunct/>
        <w:topLinePunct w:val="0"/>
        <w:autoSpaceDE/>
        <w:autoSpaceDN/>
        <w:bidi w:val="0"/>
        <w:adjustRightInd/>
        <w:snapToGrid/>
        <w:spacing w:before="120" w:beforeLines="50" w:after="120" w:afterLines="50" w:line="520" w:lineRule="exact"/>
        <w:ind w:left="420" w:hanging="420"/>
        <w:textAlignment w:val="auto"/>
        <w:rPr>
          <w:rFonts w:hint="eastAsia" w:ascii="宋体" w:hAnsi="宋体" w:cs="宋体"/>
          <w:sz w:val="24"/>
          <w:szCs w:val="24"/>
          <w:lang w:val="hr-HR"/>
        </w:rPr>
      </w:pPr>
      <w:bookmarkStart w:id="76" w:name="_Toc27965"/>
      <w:bookmarkStart w:id="77" w:name="_Toc22506"/>
      <w:bookmarkStart w:id="78" w:name="_Toc109899833"/>
      <w:bookmarkStart w:id="79" w:name="_Toc140132749"/>
      <w:bookmarkStart w:id="80" w:name="_Toc5825"/>
      <w:bookmarkStart w:id="81" w:name="_Toc109899414"/>
      <w:bookmarkStart w:id="82" w:name="_Toc22987"/>
      <w:bookmarkStart w:id="83" w:name="_Toc155185864"/>
      <w:bookmarkStart w:id="84" w:name="_Toc109900252"/>
      <w:r>
        <w:rPr>
          <w:rFonts w:hint="eastAsia" w:ascii="宋体" w:hAnsi="宋体" w:cs="宋体"/>
          <w:sz w:val="24"/>
          <w:szCs w:val="24"/>
        </w:rPr>
        <w:t>五、</w:t>
      </w:r>
      <w:r>
        <w:rPr>
          <w:rFonts w:hint="eastAsia" w:ascii="宋体" w:hAnsi="宋体" w:cs="宋体"/>
          <w:sz w:val="24"/>
          <w:szCs w:val="24"/>
          <w:lang w:val="hr-HR"/>
        </w:rPr>
        <w:t>公告期限</w:t>
      </w:r>
      <w:bookmarkEnd w:id="70"/>
      <w:bookmarkEnd w:id="71"/>
      <w:bookmarkEnd w:id="72"/>
      <w:bookmarkEnd w:id="73"/>
      <w:bookmarkEnd w:id="74"/>
      <w:bookmarkEnd w:id="76"/>
      <w:bookmarkEnd w:id="77"/>
      <w:bookmarkEnd w:id="78"/>
      <w:bookmarkEnd w:id="79"/>
      <w:bookmarkEnd w:id="80"/>
      <w:bookmarkEnd w:id="81"/>
      <w:bookmarkEnd w:id="82"/>
      <w:bookmarkEnd w:id="83"/>
      <w:bookmarkEnd w:id="84"/>
    </w:p>
    <w:p w14:paraId="7816D837">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rPr>
      </w:pPr>
      <w:r>
        <w:rPr>
          <w:rFonts w:hint="eastAsia" w:cs="宋体"/>
          <w:szCs w:val="24"/>
        </w:rPr>
        <w:t>自招标公告发布之日起5个工作日。</w:t>
      </w:r>
    </w:p>
    <w:p w14:paraId="1F71B091">
      <w:pPr>
        <w:pStyle w:val="4"/>
        <w:pageBreakBefore w:val="0"/>
        <w:widowControl w:val="0"/>
        <w:kinsoku/>
        <w:overflowPunct/>
        <w:topLinePunct w:val="0"/>
        <w:autoSpaceDE/>
        <w:autoSpaceDN/>
        <w:bidi w:val="0"/>
        <w:adjustRightInd/>
        <w:snapToGrid/>
        <w:spacing w:before="120" w:beforeLines="50" w:after="120" w:afterLines="50" w:line="520" w:lineRule="exact"/>
        <w:ind w:left="420" w:hanging="420"/>
        <w:textAlignment w:val="auto"/>
        <w:rPr>
          <w:rFonts w:hint="eastAsia" w:ascii="宋体" w:hAnsi="宋体" w:cs="宋体"/>
          <w:sz w:val="24"/>
          <w:szCs w:val="24"/>
          <w:lang w:val="hr-HR"/>
        </w:rPr>
      </w:pPr>
      <w:bookmarkStart w:id="85" w:name="_Toc155185865"/>
      <w:bookmarkStart w:id="86" w:name="_Toc10290"/>
      <w:bookmarkStart w:id="87" w:name="_Toc109900253"/>
      <w:bookmarkStart w:id="88" w:name="_Toc35393804"/>
      <w:bookmarkStart w:id="89" w:name="_Toc140132750"/>
      <w:bookmarkStart w:id="90" w:name="_Toc19698"/>
      <w:bookmarkStart w:id="91" w:name="_Toc109899834"/>
      <w:bookmarkStart w:id="92" w:name="_Toc44583634"/>
      <w:bookmarkStart w:id="93" w:name="_Toc35393635"/>
      <w:bookmarkStart w:id="94" w:name="_Toc109899415"/>
      <w:bookmarkStart w:id="95" w:name="_Toc32450"/>
      <w:bookmarkStart w:id="96" w:name="_Toc299"/>
      <w:bookmarkStart w:id="97" w:name="_Toc35393637"/>
      <w:bookmarkStart w:id="98" w:name="_Toc28359019"/>
      <w:bookmarkStart w:id="99" w:name="_Toc28359096"/>
      <w:bookmarkStart w:id="100" w:name="_Toc35393806"/>
      <w:r>
        <w:rPr>
          <w:rFonts w:hint="eastAsia" w:ascii="宋体" w:hAnsi="宋体" w:cs="宋体"/>
          <w:sz w:val="24"/>
          <w:szCs w:val="24"/>
        </w:rPr>
        <w:t>六、</w:t>
      </w:r>
      <w:r>
        <w:rPr>
          <w:rFonts w:hint="eastAsia" w:ascii="宋体" w:hAnsi="宋体" w:cs="宋体"/>
          <w:sz w:val="24"/>
          <w:szCs w:val="24"/>
          <w:lang w:val="hr-HR"/>
        </w:rPr>
        <w:t>其他补充事宜</w:t>
      </w:r>
      <w:bookmarkEnd w:id="85"/>
      <w:bookmarkEnd w:id="86"/>
      <w:bookmarkEnd w:id="87"/>
      <w:bookmarkEnd w:id="88"/>
      <w:bookmarkEnd w:id="89"/>
      <w:bookmarkEnd w:id="90"/>
      <w:bookmarkEnd w:id="91"/>
      <w:bookmarkEnd w:id="92"/>
      <w:bookmarkEnd w:id="93"/>
      <w:bookmarkEnd w:id="94"/>
      <w:bookmarkEnd w:id="95"/>
      <w:bookmarkEnd w:id="96"/>
    </w:p>
    <w:p w14:paraId="678F6472">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lang w:val="en-US"/>
        </w:rPr>
      </w:pPr>
      <w:r>
        <w:rPr>
          <w:rFonts w:hint="eastAsia" w:cs="宋体"/>
          <w:szCs w:val="24"/>
          <w:lang w:val="en-US"/>
        </w:rPr>
        <w:t>1、本项目实行网上投标，采用电子投标文件；</w:t>
      </w:r>
    </w:p>
    <w:p w14:paraId="030D44FB">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lang w:val="en-US"/>
        </w:rPr>
      </w:pPr>
      <w:r>
        <w:rPr>
          <w:rFonts w:hint="eastAsia" w:cs="宋体"/>
          <w:szCs w:val="24"/>
          <w:lang w:val="en-US"/>
        </w:rPr>
        <w:t>2、各投标人应在开标前应确保成为政采云平台供应商，并完成CA数字证书（符合国密标准）申领。因未注册入库、未办理CA数字证书等原因造成无法投标或投标失败等后果由投标人自行承担。有意向参与兵团区域电子开评标的投标人，可访问兵团政府采购网-办事指南-操作指南-CA证书办理操作指南或点击链接：http</w:t>
      </w:r>
      <w:r>
        <w:rPr>
          <w:rFonts w:hint="eastAsia" w:cs="宋体"/>
          <w:szCs w:val="24"/>
          <w:lang w:val="en-US" w:eastAsia="zh-CN"/>
        </w:rPr>
        <w:t>:</w:t>
      </w:r>
      <w:r>
        <w:rPr>
          <w:rFonts w:hint="eastAsia" w:cs="宋体"/>
          <w:szCs w:val="24"/>
          <w:lang w:val="en-US"/>
        </w:rPr>
        <w:t>//ccgp-bingtuan.gov.cn/site/detail?parentId=189171&amp;articleId=CZ0bD526ZE+CHX5isJvt0w==&amp;utm=site.site-PC-4840.633-pc-websitegroup-secondlevelpage-front.1.2e96d52081d811eebbd67dd2372c0b9a自行进行申领。</w:t>
      </w:r>
    </w:p>
    <w:p w14:paraId="2F1C0350">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lang w:val="en-US"/>
        </w:rPr>
      </w:pPr>
      <w:r>
        <w:rPr>
          <w:rFonts w:hint="eastAsia" w:cs="宋体"/>
          <w:szCs w:val="24"/>
          <w:lang w:val="en-US"/>
        </w:rPr>
        <w:t>3、投标人将政采云电子交易客户端下载、安装完成后，可通过账号密码或CA登录客户端进行投标文件的制作。在使用政采云“投标客户端”时，建议使用WIN7（64位）及以上操作系统。客户端请至兵团政府采购网（http</w:t>
      </w:r>
      <w:r>
        <w:rPr>
          <w:rFonts w:hint="eastAsia" w:cs="宋体"/>
          <w:szCs w:val="24"/>
          <w:lang w:val="en-US" w:eastAsia="zh-CN"/>
        </w:rPr>
        <w:t>；</w:t>
      </w:r>
      <w:r>
        <w:rPr>
          <w:rFonts w:hint="eastAsia" w:cs="宋体"/>
          <w:szCs w:val="24"/>
          <w:lang w:val="en-US"/>
        </w:rPr>
        <w:t>//ccgp-bingtuan.gov.cn/）下载专区查看，如有问题可拨打政采云客户服务热线95763进行咨询。如因投标人自身原因导致在规定时间内无法正常解密的（如：浏览器故障、未安装相关驱动、网络故障、加密CA与解密CA不一致等），视为投标人自动弃标。</w:t>
      </w:r>
    </w:p>
    <w:p w14:paraId="60B7DB65">
      <w:pPr>
        <w:pStyle w:val="39"/>
        <w:pageBreakBefore w:val="0"/>
        <w:widowControl w:val="0"/>
        <w:kinsoku/>
        <w:overflowPunct/>
        <w:topLinePunct w:val="0"/>
        <w:autoSpaceDE/>
        <w:autoSpaceDN/>
        <w:bidi w:val="0"/>
        <w:adjustRightInd/>
        <w:snapToGrid/>
        <w:spacing w:line="520" w:lineRule="exact"/>
        <w:textAlignment w:val="auto"/>
        <w:rPr>
          <w:rFonts w:hint="eastAsia" w:cs="宋体"/>
          <w:szCs w:val="24"/>
          <w:lang w:val="en-US"/>
        </w:rPr>
      </w:pPr>
      <w:r>
        <w:rPr>
          <w:rFonts w:hint="eastAsia" w:cs="宋体"/>
          <w:szCs w:val="24"/>
          <w:lang w:val="en-US"/>
        </w:rPr>
        <w:t>4、</w:t>
      </w:r>
      <w:r>
        <w:rPr>
          <w:rFonts w:ascii="Times New Roman" w:hAnsi="Times New Roman" w:cs="Times New Roman"/>
          <w:bCs/>
          <w:kern w:val="0"/>
          <w:szCs w:val="24"/>
        </w:rPr>
        <w:t>为支持和促进中小企业发展，进一步发挥政府采购政策功能，本采购项目适用于政府采购融资优惠、政采贷、电子保函相关政策，鼓励供应商使用电子保函代替现金缴纳各类保证金，在线完成保函的申请、审核、开票、出函等环节，投标企业注意区分办理保函类型，并确认投标有效期，供应商若想了解或使用相关金融服务，可登录【兵团政府采购网】-顶部通栏【信用融资】、【办事指南】模块查看。</w:t>
      </w:r>
    </w:p>
    <w:bookmarkEnd w:id="2"/>
    <w:bookmarkEnd w:id="97"/>
    <w:bookmarkEnd w:id="98"/>
    <w:bookmarkEnd w:id="99"/>
    <w:bookmarkEnd w:id="100"/>
    <w:p w14:paraId="08689F8A">
      <w:pPr>
        <w:pStyle w:val="4"/>
        <w:pageBreakBefore w:val="0"/>
        <w:widowControl w:val="0"/>
        <w:kinsoku/>
        <w:overflowPunct/>
        <w:topLinePunct w:val="0"/>
        <w:autoSpaceDE/>
        <w:autoSpaceDN/>
        <w:bidi w:val="0"/>
        <w:adjustRightInd/>
        <w:snapToGrid/>
        <w:spacing w:before="120" w:beforeLines="50" w:after="120" w:afterLines="50" w:line="520" w:lineRule="exact"/>
        <w:ind w:left="420" w:hanging="420"/>
        <w:textAlignment w:val="auto"/>
        <w:rPr>
          <w:rFonts w:hint="eastAsia" w:ascii="宋体" w:hAnsi="宋体" w:cs="宋体"/>
          <w:sz w:val="24"/>
          <w:szCs w:val="24"/>
          <w:lang w:val="hr-HR"/>
        </w:rPr>
      </w:pPr>
      <w:bookmarkStart w:id="101" w:name="_Toc35393636"/>
      <w:bookmarkStart w:id="102" w:name="_Toc44583635"/>
      <w:bookmarkStart w:id="103" w:name="_Toc109899835"/>
      <w:bookmarkStart w:id="104" w:name="_Toc35393805"/>
      <w:bookmarkStart w:id="105" w:name="_Toc140132751"/>
      <w:bookmarkStart w:id="106" w:name="_Toc28359095"/>
      <w:bookmarkStart w:id="107" w:name="_Toc109900254"/>
      <w:bookmarkStart w:id="108" w:name="_Toc109899416"/>
      <w:bookmarkStart w:id="109" w:name="_Toc155185866"/>
      <w:bookmarkStart w:id="110" w:name="_Toc28359018"/>
      <w:bookmarkStart w:id="111" w:name="_Toc22952"/>
      <w:bookmarkStart w:id="112" w:name="_Toc17135"/>
      <w:bookmarkStart w:id="113" w:name="_Toc15605"/>
      <w:bookmarkStart w:id="114" w:name="_Toc10776"/>
      <w:r>
        <w:rPr>
          <w:rFonts w:hint="eastAsia" w:ascii="宋体" w:hAnsi="宋体" w:cs="宋体"/>
          <w:sz w:val="24"/>
          <w:szCs w:val="24"/>
        </w:rPr>
        <w:t>七、</w:t>
      </w:r>
      <w:bookmarkEnd w:id="101"/>
      <w:bookmarkEnd w:id="102"/>
      <w:bookmarkEnd w:id="103"/>
      <w:bookmarkEnd w:id="104"/>
      <w:bookmarkEnd w:id="105"/>
      <w:bookmarkEnd w:id="106"/>
      <w:bookmarkEnd w:id="107"/>
      <w:bookmarkEnd w:id="108"/>
      <w:bookmarkEnd w:id="109"/>
      <w:bookmarkEnd w:id="110"/>
      <w:r>
        <w:rPr>
          <w:rFonts w:hint="eastAsia" w:ascii="宋体" w:hAnsi="宋体" w:cs="宋体"/>
          <w:sz w:val="24"/>
          <w:szCs w:val="24"/>
          <w:lang w:val="hr-HR"/>
        </w:rPr>
        <w:t>对本次</w:t>
      </w:r>
      <w:r>
        <w:rPr>
          <w:rFonts w:hint="eastAsia" w:ascii="宋体" w:hAnsi="宋体" w:cs="宋体"/>
          <w:sz w:val="24"/>
          <w:szCs w:val="24"/>
        </w:rPr>
        <w:t>招标</w:t>
      </w:r>
      <w:r>
        <w:rPr>
          <w:rFonts w:hint="eastAsia" w:ascii="宋体" w:hAnsi="宋体" w:cs="宋体"/>
          <w:sz w:val="24"/>
          <w:szCs w:val="24"/>
          <w:lang w:val="hr-HR"/>
        </w:rPr>
        <w:t>提出询问，请按以下方式联系</w:t>
      </w:r>
      <w:bookmarkEnd w:id="111"/>
      <w:bookmarkEnd w:id="112"/>
      <w:bookmarkEnd w:id="113"/>
      <w:bookmarkEnd w:id="114"/>
    </w:p>
    <w:p w14:paraId="30BD2F8D">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1.采购人信息</w:t>
      </w:r>
    </w:p>
    <w:p w14:paraId="64D5F376">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名称</w:t>
      </w:r>
      <w:r>
        <w:rPr>
          <w:rFonts w:hint="eastAsia" w:cs="宋体"/>
          <w:lang w:eastAsia="zh-CN"/>
        </w:rPr>
        <w:t>；</w:t>
      </w:r>
      <w:r>
        <w:rPr>
          <w:rFonts w:hint="eastAsia" w:cs="宋体"/>
        </w:rPr>
        <w:t>新疆生产建设兵团第十三师自然资源和规划服务中心</w:t>
      </w:r>
    </w:p>
    <w:p w14:paraId="7EE9DB64">
      <w:pPr>
        <w:pageBreakBefore w:val="0"/>
        <w:widowControl w:val="0"/>
        <w:kinsoku/>
        <w:overflowPunct/>
        <w:topLinePunct w:val="0"/>
        <w:autoSpaceDE/>
        <w:autoSpaceDN/>
        <w:bidi w:val="0"/>
        <w:adjustRightInd/>
        <w:snapToGrid/>
        <w:spacing w:line="520" w:lineRule="exact"/>
        <w:textAlignment w:val="auto"/>
        <w:rPr>
          <w:rFonts w:hint="eastAsia" w:cs="宋体"/>
          <w:lang w:val="en-US" w:eastAsia="zh-CN"/>
        </w:rPr>
      </w:pPr>
      <w:r>
        <w:rPr>
          <w:rFonts w:hint="eastAsia" w:cs="宋体"/>
        </w:rPr>
        <w:t>地址：第十三师新星市</w:t>
      </w:r>
      <w:r>
        <w:rPr>
          <w:rFonts w:hint="eastAsia" w:cs="宋体"/>
          <w:lang w:val="en-US" w:eastAsia="zh-CN"/>
        </w:rPr>
        <w:t>行政服务中心4楼</w:t>
      </w:r>
    </w:p>
    <w:p w14:paraId="76EBB554">
      <w:pPr>
        <w:pageBreakBefore w:val="0"/>
        <w:widowControl w:val="0"/>
        <w:kinsoku/>
        <w:overflowPunct/>
        <w:topLinePunct w:val="0"/>
        <w:autoSpaceDE/>
        <w:autoSpaceDN/>
        <w:bidi w:val="0"/>
        <w:adjustRightInd/>
        <w:snapToGrid/>
        <w:spacing w:line="520" w:lineRule="exact"/>
        <w:textAlignment w:val="auto"/>
        <w:rPr>
          <w:rFonts w:hint="default" w:cs="宋体"/>
          <w:lang w:val="en-US" w:eastAsia="zh-CN"/>
        </w:rPr>
      </w:pPr>
      <w:r>
        <w:rPr>
          <w:rFonts w:hint="eastAsia" w:cs="宋体"/>
          <w:lang w:val="en-US" w:eastAsia="zh-CN"/>
        </w:rPr>
        <w:t>联系人；雍永飞</w:t>
      </w:r>
    </w:p>
    <w:p w14:paraId="6C929040">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联系方式：0902-2565266</w:t>
      </w:r>
    </w:p>
    <w:p w14:paraId="4DB4CA14">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2.采购代理机构信息</w:t>
      </w:r>
    </w:p>
    <w:p w14:paraId="2BB95196">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名 称：中招国际招标有限公司</w:t>
      </w:r>
    </w:p>
    <w:p w14:paraId="7F7BA5AE">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地 址：新疆乌鲁木齐市南湖明珠大厦南区8楼</w:t>
      </w:r>
    </w:p>
    <w:p w14:paraId="16B4AF50">
      <w:pPr>
        <w:pageBreakBefore w:val="0"/>
        <w:widowControl w:val="0"/>
        <w:kinsoku/>
        <w:overflowPunct/>
        <w:topLinePunct w:val="0"/>
        <w:autoSpaceDE/>
        <w:autoSpaceDN/>
        <w:bidi w:val="0"/>
        <w:adjustRightInd/>
        <w:snapToGrid/>
        <w:spacing w:line="520" w:lineRule="exact"/>
        <w:textAlignment w:val="auto"/>
        <w:rPr>
          <w:rFonts w:hint="eastAsia" w:cs="宋体"/>
        </w:rPr>
      </w:pPr>
      <w:bookmarkStart w:id="115" w:name="_Toc35393639"/>
      <w:bookmarkStart w:id="116" w:name="_Toc28359021"/>
      <w:bookmarkStart w:id="117" w:name="_Toc28359098"/>
      <w:bookmarkStart w:id="118" w:name="_Toc35393808"/>
      <w:r>
        <w:rPr>
          <w:rFonts w:hint="eastAsia" w:cs="宋体"/>
        </w:rPr>
        <w:t>项目联系人：杨子良、徐霞</w:t>
      </w:r>
      <w:r>
        <w:rPr>
          <w:rFonts w:hint="eastAsia" w:cs="宋体"/>
          <w:lang w:eastAsia="zh-CN"/>
        </w:rPr>
        <w:t>（</w:t>
      </w:r>
      <w:r>
        <w:rPr>
          <w:rFonts w:hint="eastAsia" w:cs="宋体"/>
          <w:lang w:val="en-US" w:eastAsia="zh-CN"/>
        </w:rPr>
        <w:t>咨询</w:t>
      </w:r>
      <w:r>
        <w:rPr>
          <w:rFonts w:hint="eastAsia" w:cs="宋体"/>
          <w:lang w:eastAsia="zh-CN"/>
        </w:rPr>
        <w:t>）</w:t>
      </w:r>
      <w:r>
        <w:rPr>
          <w:rFonts w:hint="eastAsia" w:cs="宋体"/>
        </w:rPr>
        <w:t xml:space="preserve">、王新顺      </w:t>
      </w:r>
    </w:p>
    <w:bookmarkEnd w:id="115"/>
    <w:bookmarkEnd w:id="116"/>
    <w:bookmarkEnd w:id="117"/>
    <w:bookmarkEnd w:id="118"/>
    <w:p w14:paraId="2FFF150B">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电话：13095024096</w:t>
      </w:r>
      <w:r>
        <w:rPr>
          <w:rFonts w:hint="eastAsia" w:cs="宋体"/>
          <w:lang w:eastAsia="zh-CN"/>
        </w:rPr>
        <w:t>、</w:t>
      </w:r>
      <w:r>
        <w:rPr>
          <w:rFonts w:hint="eastAsia" w:cs="宋体"/>
        </w:rPr>
        <w:t>18195938320</w:t>
      </w:r>
    </w:p>
    <w:p w14:paraId="03C8E495">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3. 同级政府采购监督管理部门</w:t>
      </w:r>
    </w:p>
    <w:p w14:paraId="73AD4DCA">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名    称：第十三师新星市财政局</w:t>
      </w:r>
    </w:p>
    <w:p w14:paraId="52896229">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地    址：第十三师新星市</w:t>
      </w:r>
    </w:p>
    <w:p w14:paraId="016D5845">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联 系 人：第十三师新星市财政局</w:t>
      </w:r>
    </w:p>
    <w:p w14:paraId="14E763CA">
      <w:pPr>
        <w:pageBreakBefore w:val="0"/>
        <w:widowControl w:val="0"/>
        <w:kinsoku/>
        <w:overflowPunct/>
        <w:topLinePunct w:val="0"/>
        <w:autoSpaceDE/>
        <w:autoSpaceDN/>
        <w:bidi w:val="0"/>
        <w:adjustRightInd/>
        <w:snapToGrid/>
        <w:spacing w:line="520" w:lineRule="exact"/>
        <w:textAlignment w:val="auto"/>
        <w:rPr>
          <w:rFonts w:hint="eastAsia" w:cs="宋体"/>
        </w:rPr>
      </w:pPr>
      <w:r>
        <w:rPr>
          <w:rFonts w:hint="eastAsia" w:cs="宋体"/>
        </w:rPr>
        <w:t>监督投诉电话：0902-2565682</w:t>
      </w:r>
    </w:p>
    <w:p w14:paraId="154AC906">
      <w:pPr>
        <w:pStyle w:val="2"/>
        <w:rPr>
          <w:rFonts w:hint="eastAsia"/>
        </w:rPr>
      </w:pPr>
    </w:p>
    <w:p w14:paraId="36CE97E9">
      <w:pPr>
        <w:pStyle w:val="2"/>
        <w:rPr>
          <w:rFonts w:hint="eastAsia"/>
        </w:rPr>
      </w:pPr>
      <w:r>
        <w:rPr>
          <w:rFonts w:hint="eastAsia"/>
        </w:rPr>
        <w:t xml:space="preserve"> </w:t>
      </w:r>
    </w:p>
    <w:p w14:paraId="4A3FC5CE">
      <w:pPr>
        <w:rPr>
          <w:rFonts w:hint="eastAsia" w:eastAsia="宋体" w:cs="宋体"/>
          <w:sz w:val="36"/>
          <w:szCs w:val="36"/>
        </w:rPr>
      </w:pPr>
      <w:bookmarkStart w:id="119" w:name="_Toc155185867"/>
      <w:bookmarkStart w:id="120" w:name="_Toc26793"/>
      <w:bookmarkStart w:id="121" w:name="_Toc32500"/>
      <w:r>
        <w:rPr>
          <w:rFonts w:hint="eastAsia" w:eastAsia="宋体" w:cs="宋体"/>
          <w:sz w:val="36"/>
          <w:szCs w:val="36"/>
        </w:rPr>
        <w:br w:type="page"/>
      </w:r>
    </w:p>
    <w:p w14:paraId="69943C6C">
      <w:pPr>
        <w:pStyle w:val="3"/>
        <w:spacing w:before="220" w:after="220" w:line="360" w:lineRule="auto"/>
        <w:ind w:left="420" w:hanging="420"/>
        <w:rPr>
          <w:rFonts w:hint="eastAsia" w:eastAsia="宋体" w:cs="宋体"/>
          <w:sz w:val="36"/>
          <w:szCs w:val="36"/>
        </w:rPr>
      </w:pPr>
      <w:r>
        <w:rPr>
          <w:rFonts w:hint="eastAsia" w:eastAsia="宋体" w:cs="宋体"/>
          <w:sz w:val="36"/>
          <w:szCs w:val="36"/>
        </w:rPr>
        <w:t>第二章 投标人须知</w:t>
      </w:r>
      <w:bookmarkEnd w:id="119"/>
      <w:bookmarkEnd w:id="120"/>
      <w:bookmarkEnd w:id="121"/>
    </w:p>
    <w:p w14:paraId="76DED7EB">
      <w:pPr>
        <w:pStyle w:val="4"/>
        <w:spacing w:before="80" w:after="80" w:line="360" w:lineRule="auto"/>
        <w:ind w:left="420" w:hanging="420"/>
        <w:rPr>
          <w:rFonts w:hint="eastAsia"/>
          <w:sz w:val="28"/>
          <w:szCs w:val="28"/>
        </w:rPr>
      </w:pPr>
      <w:bookmarkStart w:id="122" w:name="_Toc1168"/>
      <w:bookmarkStart w:id="123" w:name="_Toc2970"/>
      <w:bookmarkStart w:id="124" w:name="_Toc155185868"/>
      <w:r>
        <w:rPr>
          <w:rFonts w:hint="eastAsia"/>
          <w:sz w:val="28"/>
          <w:szCs w:val="28"/>
        </w:rPr>
        <w:t>一、投标人须知前附表</w:t>
      </w:r>
      <w:bookmarkEnd w:id="122"/>
      <w:bookmarkEnd w:id="123"/>
      <w:bookmarkEnd w:id="124"/>
    </w:p>
    <w:p w14:paraId="5E0E46A9">
      <w:pPr>
        <w:pStyle w:val="39"/>
        <w:rPr>
          <w:rFonts w:hint="eastAsia"/>
          <w:lang w:val="en-US"/>
        </w:rPr>
      </w:pPr>
      <w:r>
        <w:rPr>
          <w:rFonts w:hint="eastAsia"/>
          <w:szCs w:val="24"/>
        </w:rPr>
        <w:t>投标人应仔细阅读本招标文件的第二章“投标人须知”，下面所列资料是对“投标人须知”的具体补充和说明，如有矛盾，应以本表为准。</w:t>
      </w:r>
      <w:r>
        <w:rPr>
          <w:rFonts w:hint="eastAsia"/>
          <w:szCs w:val="24"/>
          <w:lang w:val="en-US"/>
        </w:rPr>
        <w:t>标记“☑”的选项意为适用于本项目，标记“□”的选项意为不适用于本项目</w:t>
      </w:r>
      <w:r>
        <w:rPr>
          <w:rFonts w:hint="eastAsia"/>
          <w:lang w:val="en-US"/>
        </w:rPr>
        <w:t>。</w:t>
      </w:r>
    </w:p>
    <w:tbl>
      <w:tblPr>
        <w:tblStyle w:val="31"/>
        <w:tblW w:w="9408"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738"/>
        <w:gridCol w:w="6700"/>
      </w:tblGrid>
      <w:tr w14:paraId="73391A0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64B997A3">
            <w:pPr>
              <w:pStyle w:val="51"/>
              <w:spacing w:line="360" w:lineRule="auto"/>
              <w:jc w:val="center"/>
              <w:rPr>
                <w:rFonts w:ascii="Times New Roman" w:hAnsi="Times New Roman" w:cs="Times New Roman"/>
                <w:b/>
                <w:bCs/>
                <w:szCs w:val="24"/>
              </w:rPr>
            </w:pPr>
            <w:r>
              <w:rPr>
                <w:rFonts w:ascii="Times New Roman" w:hAnsi="Times New Roman" w:cs="Times New Roman"/>
                <w:b/>
                <w:bCs/>
                <w:szCs w:val="24"/>
              </w:rPr>
              <w:t>条款号</w:t>
            </w:r>
          </w:p>
        </w:tc>
        <w:tc>
          <w:tcPr>
            <w:tcW w:w="1738"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3EFB24AD">
            <w:pPr>
              <w:pStyle w:val="51"/>
              <w:spacing w:line="360" w:lineRule="auto"/>
              <w:jc w:val="center"/>
              <w:rPr>
                <w:rFonts w:ascii="Times New Roman" w:hAnsi="Times New Roman" w:cs="Times New Roman"/>
                <w:b/>
                <w:bCs/>
                <w:szCs w:val="24"/>
              </w:rPr>
            </w:pPr>
            <w:r>
              <w:rPr>
                <w:rFonts w:ascii="Times New Roman" w:hAnsi="Times New Roman" w:cs="Times New Roman"/>
                <w:b/>
                <w:bCs/>
                <w:szCs w:val="24"/>
              </w:rPr>
              <w:t>条款名称</w:t>
            </w:r>
          </w:p>
        </w:tc>
        <w:tc>
          <w:tcPr>
            <w:tcW w:w="670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3BAE03B">
            <w:pPr>
              <w:pStyle w:val="51"/>
              <w:spacing w:line="360" w:lineRule="auto"/>
              <w:jc w:val="center"/>
              <w:rPr>
                <w:rFonts w:ascii="Times New Roman" w:hAnsi="Times New Roman" w:cs="Times New Roman"/>
                <w:b/>
                <w:bCs/>
                <w:szCs w:val="24"/>
              </w:rPr>
            </w:pPr>
            <w:r>
              <w:rPr>
                <w:rFonts w:ascii="Times New Roman" w:hAnsi="Times New Roman" w:cs="Times New Roman"/>
                <w:b/>
                <w:bCs/>
                <w:szCs w:val="24"/>
              </w:rPr>
              <w:t>内  容</w:t>
            </w:r>
          </w:p>
        </w:tc>
      </w:tr>
      <w:tr w14:paraId="796A4A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25" w:hRule="atLeast"/>
        </w:trPr>
        <w:tc>
          <w:tcPr>
            <w:tcW w:w="970" w:type="dxa"/>
            <w:vAlign w:val="center"/>
          </w:tcPr>
          <w:p w14:paraId="70A8CCF8">
            <w:pPr>
              <w:pStyle w:val="51"/>
              <w:spacing w:line="360" w:lineRule="auto"/>
              <w:jc w:val="center"/>
              <w:rPr>
                <w:rFonts w:ascii="Times New Roman" w:hAnsi="Times New Roman" w:cs="Times New Roman"/>
                <w:szCs w:val="24"/>
              </w:rPr>
            </w:pPr>
            <w:r>
              <w:rPr>
                <w:rFonts w:ascii="Times New Roman" w:hAnsi="Times New Roman" w:cs="Times New Roman"/>
                <w:szCs w:val="24"/>
              </w:rPr>
              <w:t>2.5</w:t>
            </w:r>
          </w:p>
        </w:tc>
        <w:tc>
          <w:tcPr>
            <w:tcW w:w="1738" w:type="dxa"/>
            <w:vAlign w:val="center"/>
          </w:tcPr>
          <w:p w14:paraId="16CC301F">
            <w:pPr>
              <w:pStyle w:val="51"/>
              <w:spacing w:line="360" w:lineRule="auto"/>
              <w:rPr>
                <w:rFonts w:ascii="Times New Roman" w:hAnsi="Times New Roman" w:cs="Times New Roman"/>
                <w:szCs w:val="24"/>
              </w:rPr>
            </w:pPr>
            <w:r>
              <w:rPr>
                <w:rFonts w:ascii="Times New Roman" w:hAnsi="Times New Roman" w:cs="Times New Roman"/>
                <w:szCs w:val="24"/>
              </w:rPr>
              <w:t>服务包含的内容</w:t>
            </w:r>
          </w:p>
        </w:tc>
        <w:tc>
          <w:tcPr>
            <w:tcW w:w="6700" w:type="dxa"/>
            <w:vAlign w:val="center"/>
          </w:tcPr>
          <w:p w14:paraId="325EC9A3">
            <w:pPr>
              <w:pStyle w:val="51"/>
              <w:spacing w:line="360" w:lineRule="auto"/>
              <w:jc w:val="both"/>
              <w:rPr>
                <w:rFonts w:ascii="Times New Roman" w:hAnsi="Times New Roman" w:cs="Times New Roman"/>
                <w:szCs w:val="24"/>
              </w:rPr>
            </w:pPr>
            <w:r>
              <w:rPr>
                <w:rFonts w:hint="eastAsia" w:ascii="Times New Roman" w:hAnsi="Times New Roman" w:cs="Times New Roman"/>
                <w:szCs w:val="24"/>
                <w:lang w:val="hr-HR"/>
              </w:rPr>
              <w:t>包括但不限于</w:t>
            </w:r>
            <w:r>
              <w:rPr>
                <w:rFonts w:ascii="Times New Roman" w:hAnsi="Times New Roman" w:cs="Times New Roman"/>
                <w:szCs w:val="24"/>
                <w:lang w:val="hr-HR"/>
              </w:rPr>
              <w:t>代业主履行相关职责，对工程实施进度、效果、内外业工作、设计变更及其落实情况等进行监督检查；完成</w:t>
            </w:r>
            <w:r>
              <w:rPr>
                <w:rFonts w:hint="eastAsia" w:ascii="Times New Roman" w:hAnsi="Times New Roman" w:cs="Times New Roman"/>
                <w:szCs w:val="24"/>
                <w:lang w:val="hr-HR"/>
              </w:rPr>
              <w:t>自然资源部国土空间生态保护修复信息管理系统</w:t>
            </w:r>
            <w:r>
              <w:rPr>
                <w:rFonts w:ascii="Times New Roman" w:hAnsi="Times New Roman" w:cs="Times New Roman"/>
                <w:szCs w:val="24"/>
                <w:lang w:val="hr-HR"/>
              </w:rPr>
              <w:t>填报工作，</w:t>
            </w:r>
            <w:r>
              <w:rPr>
                <w:rFonts w:hint="eastAsia" w:ascii="Times New Roman" w:hAnsi="Times New Roman" w:cs="Times New Roman"/>
                <w:szCs w:val="24"/>
                <w:lang w:val="hr-HR"/>
              </w:rPr>
              <w:t>搭建十三师示范工程项目全要素数字化平台；</w:t>
            </w:r>
            <w:r>
              <w:rPr>
                <w:rFonts w:ascii="Times New Roman" w:hAnsi="Times New Roman" w:cs="Times New Roman"/>
                <w:szCs w:val="24"/>
                <w:lang w:val="hr-HR"/>
              </w:rPr>
              <w:t>对实施各阶段的资料予以整理、汇总与分析，构建档案资料库；开展季度、年度及总体绩效评价，并形成绩效评价报告；组织开展项目竣工验收</w:t>
            </w:r>
            <w:r>
              <w:rPr>
                <w:rFonts w:hint="eastAsia" w:ascii="Times New Roman" w:hAnsi="Times New Roman" w:cs="Times New Roman"/>
                <w:szCs w:val="24"/>
                <w:lang w:val="hr-HR"/>
              </w:rPr>
              <w:t>等内容</w:t>
            </w:r>
            <w:r>
              <w:rPr>
                <w:rFonts w:ascii="Times New Roman" w:hAnsi="Times New Roman" w:cs="Times New Roman"/>
                <w:szCs w:val="24"/>
                <w:lang w:val="hr-HR"/>
              </w:rPr>
              <w:t>。</w:t>
            </w:r>
          </w:p>
        </w:tc>
      </w:tr>
      <w:tr w14:paraId="351D5B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88" w:hRule="atLeast"/>
        </w:trPr>
        <w:tc>
          <w:tcPr>
            <w:tcW w:w="970" w:type="dxa"/>
            <w:vAlign w:val="center"/>
          </w:tcPr>
          <w:p w14:paraId="7DC3A8F4">
            <w:pPr>
              <w:pStyle w:val="51"/>
              <w:spacing w:line="360" w:lineRule="auto"/>
              <w:jc w:val="center"/>
              <w:rPr>
                <w:rFonts w:ascii="Times New Roman" w:hAnsi="Times New Roman" w:cs="Times New Roman"/>
                <w:szCs w:val="24"/>
              </w:rPr>
            </w:pPr>
            <w:r>
              <w:rPr>
                <w:rFonts w:ascii="Times New Roman" w:hAnsi="Times New Roman" w:cs="Times New Roman"/>
                <w:szCs w:val="24"/>
              </w:rPr>
              <w:t>9.1</w:t>
            </w:r>
          </w:p>
        </w:tc>
        <w:tc>
          <w:tcPr>
            <w:tcW w:w="1738" w:type="dxa"/>
            <w:vAlign w:val="center"/>
          </w:tcPr>
          <w:p w14:paraId="563591CC">
            <w:pPr>
              <w:pStyle w:val="51"/>
              <w:spacing w:line="360" w:lineRule="auto"/>
              <w:rPr>
                <w:rFonts w:ascii="Times New Roman" w:hAnsi="Times New Roman" w:cs="Times New Roman"/>
                <w:szCs w:val="24"/>
              </w:rPr>
            </w:pPr>
            <w:r>
              <w:rPr>
                <w:rFonts w:ascii="Times New Roman" w:hAnsi="Times New Roman" w:cs="Times New Roman"/>
                <w:szCs w:val="24"/>
              </w:rPr>
              <w:t>现场考察</w:t>
            </w:r>
          </w:p>
        </w:tc>
        <w:tc>
          <w:tcPr>
            <w:tcW w:w="6700" w:type="dxa"/>
            <w:vAlign w:val="center"/>
          </w:tcPr>
          <w:p w14:paraId="6027345F">
            <w:pPr>
              <w:pStyle w:val="51"/>
              <w:spacing w:line="360" w:lineRule="auto"/>
              <w:rPr>
                <w:rFonts w:ascii="Times New Roman" w:hAnsi="Times New Roman" w:cs="Times New Roman"/>
                <w:szCs w:val="24"/>
              </w:rPr>
            </w:pPr>
            <w:r>
              <w:rPr>
                <w:rFonts w:ascii="Times New Roman" w:hAnsi="Times New Roman" w:cs="Times New Roman"/>
                <w:szCs w:val="24"/>
              </w:rPr>
              <w:sym w:font="Wingdings" w:char="00FE"/>
            </w:r>
            <w:r>
              <w:rPr>
                <w:rFonts w:ascii="Times New Roman" w:hAnsi="Times New Roman" w:cs="Times New Roman"/>
                <w:szCs w:val="24"/>
              </w:rPr>
              <w:t>不组织</w:t>
            </w:r>
          </w:p>
          <w:p w14:paraId="5B11049D">
            <w:pPr>
              <w:pStyle w:val="51"/>
              <w:spacing w:line="360" w:lineRule="auto"/>
              <w:rPr>
                <w:rFonts w:ascii="Times New Roman" w:hAnsi="Times New Roman" w:cs="Times New Roman"/>
                <w:szCs w:val="24"/>
              </w:rPr>
            </w:pPr>
            <w:r>
              <w:rPr>
                <w:rFonts w:ascii="Times New Roman" w:hAnsi="Times New Roman" w:cs="Times New Roman"/>
                <w:szCs w:val="24"/>
              </w:rPr>
              <w:sym w:font="Wingdings" w:char="00A8"/>
            </w:r>
            <w:r>
              <w:rPr>
                <w:rFonts w:ascii="Times New Roman" w:hAnsi="Times New Roman" w:cs="Times New Roman"/>
                <w:szCs w:val="24"/>
              </w:rPr>
              <w:t>组织</w:t>
            </w:r>
          </w:p>
          <w:p w14:paraId="36EAEEA6">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时间：</w:t>
            </w:r>
            <w:r>
              <w:rPr>
                <w:rFonts w:ascii="Times New Roman" w:hAnsi="Times New Roman" w:cs="Times New Roman"/>
                <w:szCs w:val="24"/>
                <w:u w:val="single"/>
              </w:rPr>
              <w:t xml:space="preserve">      /               </w:t>
            </w:r>
            <w:r>
              <w:rPr>
                <w:rFonts w:ascii="Times New Roman" w:hAnsi="Times New Roman" w:cs="Times New Roman"/>
                <w:szCs w:val="24"/>
              </w:rPr>
              <w:t>。</w:t>
            </w:r>
          </w:p>
          <w:p w14:paraId="6DD23A8E">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地点：</w:t>
            </w:r>
            <w:r>
              <w:rPr>
                <w:rFonts w:ascii="Times New Roman" w:hAnsi="Times New Roman" w:cs="Times New Roman"/>
                <w:szCs w:val="24"/>
                <w:u w:val="single"/>
              </w:rPr>
              <w:t xml:space="preserve">      /               </w:t>
            </w:r>
            <w:r>
              <w:rPr>
                <w:rFonts w:ascii="Times New Roman" w:hAnsi="Times New Roman" w:cs="Times New Roman"/>
                <w:szCs w:val="24"/>
              </w:rPr>
              <w:t>。</w:t>
            </w:r>
          </w:p>
        </w:tc>
      </w:tr>
      <w:tr w14:paraId="21C99D8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24" w:hRule="atLeast"/>
        </w:trPr>
        <w:tc>
          <w:tcPr>
            <w:tcW w:w="970" w:type="dxa"/>
            <w:vAlign w:val="center"/>
          </w:tcPr>
          <w:p w14:paraId="423E29CD">
            <w:pPr>
              <w:pStyle w:val="51"/>
              <w:spacing w:line="360" w:lineRule="auto"/>
              <w:jc w:val="center"/>
              <w:rPr>
                <w:rFonts w:ascii="Times New Roman" w:hAnsi="Times New Roman" w:cs="Times New Roman"/>
                <w:szCs w:val="24"/>
              </w:rPr>
            </w:pPr>
            <w:r>
              <w:rPr>
                <w:rFonts w:ascii="Times New Roman" w:hAnsi="Times New Roman" w:cs="Times New Roman"/>
                <w:szCs w:val="24"/>
              </w:rPr>
              <w:t>9.5</w:t>
            </w:r>
          </w:p>
        </w:tc>
        <w:tc>
          <w:tcPr>
            <w:tcW w:w="1738" w:type="dxa"/>
            <w:vAlign w:val="center"/>
          </w:tcPr>
          <w:p w14:paraId="65D68060">
            <w:pPr>
              <w:pStyle w:val="51"/>
              <w:spacing w:line="360" w:lineRule="auto"/>
              <w:rPr>
                <w:rFonts w:ascii="Times New Roman" w:hAnsi="Times New Roman" w:cs="Times New Roman"/>
                <w:szCs w:val="24"/>
              </w:rPr>
            </w:pPr>
            <w:r>
              <w:rPr>
                <w:rFonts w:ascii="Times New Roman" w:hAnsi="Times New Roman" w:cs="Times New Roman"/>
                <w:szCs w:val="24"/>
              </w:rPr>
              <w:t>答疑会</w:t>
            </w:r>
          </w:p>
        </w:tc>
        <w:tc>
          <w:tcPr>
            <w:tcW w:w="6700" w:type="dxa"/>
            <w:vAlign w:val="center"/>
          </w:tcPr>
          <w:p w14:paraId="7107DA15">
            <w:pPr>
              <w:pStyle w:val="51"/>
              <w:spacing w:line="360" w:lineRule="auto"/>
              <w:rPr>
                <w:rFonts w:ascii="Times New Roman" w:hAnsi="Times New Roman" w:cs="Times New Roman"/>
                <w:szCs w:val="24"/>
              </w:rPr>
            </w:pPr>
            <w:r>
              <w:rPr>
                <w:rFonts w:ascii="Times New Roman" w:hAnsi="Times New Roman" w:cs="Times New Roman"/>
                <w:szCs w:val="24"/>
              </w:rPr>
              <w:sym w:font="Wingdings" w:char="00FE"/>
            </w:r>
            <w:r>
              <w:rPr>
                <w:rFonts w:ascii="Times New Roman" w:hAnsi="Times New Roman" w:cs="Times New Roman"/>
                <w:szCs w:val="24"/>
              </w:rPr>
              <w:t>不组织</w:t>
            </w:r>
          </w:p>
          <w:p w14:paraId="55465775">
            <w:pPr>
              <w:pStyle w:val="51"/>
              <w:spacing w:line="360" w:lineRule="auto"/>
              <w:rPr>
                <w:rFonts w:ascii="Times New Roman" w:hAnsi="Times New Roman" w:cs="Times New Roman"/>
                <w:szCs w:val="24"/>
              </w:rPr>
            </w:pPr>
            <w:r>
              <w:rPr>
                <w:rFonts w:ascii="Times New Roman" w:hAnsi="Times New Roman" w:cs="Times New Roman"/>
                <w:szCs w:val="24"/>
              </w:rPr>
              <w:sym w:font="Wingdings" w:char="00A8"/>
            </w:r>
            <w:r>
              <w:rPr>
                <w:rFonts w:ascii="Times New Roman" w:hAnsi="Times New Roman" w:cs="Times New Roman"/>
                <w:szCs w:val="24"/>
              </w:rPr>
              <w:t>组织</w:t>
            </w:r>
          </w:p>
          <w:p w14:paraId="0695F8DA">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时间：</w:t>
            </w:r>
            <w:r>
              <w:rPr>
                <w:rFonts w:ascii="Times New Roman" w:hAnsi="Times New Roman" w:cs="Times New Roman"/>
                <w:szCs w:val="24"/>
                <w:u w:val="single"/>
              </w:rPr>
              <w:t xml:space="preserve">       /              </w:t>
            </w:r>
            <w:r>
              <w:rPr>
                <w:rFonts w:ascii="Times New Roman" w:hAnsi="Times New Roman" w:cs="Times New Roman"/>
                <w:szCs w:val="24"/>
              </w:rPr>
              <w:t>。</w:t>
            </w:r>
          </w:p>
          <w:p w14:paraId="42787266">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地点：</w:t>
            </w:r>
            <w:r>
              <w:rPr>
                <w:rFonts w:ascii="Times New Roman" w:hAnsi="Times New Roman" w:cs="Times New Roman"/>
                <w:szCs w:val="24"/>
                <w:u w:val="single"/>
              </w:rPr>
              <w:t xml:space="preserve">        /             </w:t>
            </w:r>
            <w:r>
              <w:rPr>
                <w:rFonts w:ascii="Times New Roman" w:hAnsi="Times New Roman" w:cs="Times New Roman"/>
                <w:szCs w:val="24"/>
              </w:rPr>
              <w:t>。</w:t>
            </w:r>
          </w:p>
        </w:tc>
      </w:tr>
      <w:tr w14:paraId="25F37C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EAD2227">
            <w:pPr>
              <w:pStyle w:val="51"/>
              <w:spacing w:line="360" w:lineRule="auto"/>
              <w:jc w:val="center"/>
              <w:rPr>
                <w:rFonts w:ascii="Times New Roman" w:hAnsi="Times New Roman" w:cs="Times New Roman"/>
                <w:szCs w:val="24"/>
              </w:rPr>
            </w:pPr>
            <w:r>
              <w:rPr>
                <w:rFonts w:ascii="Times New Roman" w:hAnsi="Times New Roman" w:cs="Times New Roman"/>
                <w:szCs w:val="24"/>
              </w:rPr>
              <w:t>12.1</w:t>
            </w:r>
          </w:p>
        </w:tc>
        <w:tc>
          <w:tcPr>
            <w:tcW w:w="1738" w:type="dxa"/>
            <w:vAlign w:val="center"/>
          </w:tcPr>
          <w:p w14:paraId="63041166">
            <w:pPr>
              <w:pStyle w:val="51"/>
              <w:spacing w:line="360" w:lineRule="auto"/>
              <w:rPr>
                <w:rFonts w:ascii="Times New Roman" w:hAnsi="Times New Roman" w:cs="Times New Roman"/>
                <w:szCs w:val="24"/>
              </w:rPr>
            </w:pPr>
            <w:r>
              <w:rPr>
                <w:rFonts w:ascii="Times New Roman" w:hAnsi="Times New Roman" w:cs="Times New Roman"/>
                <w:szCs w:val="24"/>
              </w:rPr>
              <w:t>询问</w:t>
            </w:r>
          </w:p>
        </w:tc>
        <w:tc>
          <w:tcPr>
            <w:tcW w:w="6700" w:type="dxa"/>
            <w:vAlign w:val="center"/>
          </w:tcPr>
          <w:p w14:paraId="2E1C7117">
            <w:pPr>
              <w:pStyle w:val="51"/>
              <w:spacing w:line="360" w:lineRule="auto"/>
              <w:rPr>
                <w:rFonts w:ascii="Times New Roman" w:hAnsi="Times New Roman" w:cs="Times New Roman"/>
                <w:szCs w:val="24"/>
              </w:rPr>
            </w:pPr>
            <w:r>
              <w:rPr>
                <w:rFonts w:ascii="Times New Roman" w:hAnsi="Times New Roman" w:cs="Times New Roman"/>
                <w:szCs w:val="24"/>
              </w:rPr>
              <w:t>1.方式：</w:t>
            </w:r>
          </w:p>
          <w:p w14:paraId="142B3C93">
            <w:pPr>
              <w:pStyle w:val="51"/>
              <w:spacing w:line="360" w:lineRule="auto"/>
              <w:rPr>
                <w:rFonts w:ascii="Times New Roman" w:hAnsi="Times New Roman" w:cs="Times New Roman"/>
                <w:szCs w:val="24"/>
              </w:rPr>
            </w:pPr>
            <w:r>
              <w:rPr>
                <w:rFonts w:ascii="Times New Roman" w:hAnsi="Times New Roman" w:cs="Times New Roman"/>
                <w:szCs w:val="24"/>
              </w:rPr>
              <w:t>在供应商客户端中按照格式填写询问函，并在生成询问函后加盖电子印章提交；其他询问方式：</w:t>
            </w:r>
            <w:r>
              <w:rPr>
                <w:rFonts w:ascii="Times New Roman" w:hAnsi="Times New Roman" w:cs="Times New Roman"/>
                <w:szCs w:val="24"/>
                <w:u w:val="single"/>
              </w:rPr>
              <w:t>电话咨询，联系方式详见招标公告</w:t>
            </w:r>
            <w:r>
              <w:rPr>
                <w:rFonts w:ascii="Times New Roman" w:hAnsi="Times New Roman" w:cs="Times New Roman"/>
                <w:szCs w:val="24"/>
              </w:rPr>
              <w:t>。</w:t>
            </w:r>
          </w:p>
          <w:p w14:paraId="59BF963D">
            <w:pPr>
              <w:pStyle w:val="51"/>
              <w:spacing w:line="360" w:lineRule="auto"/>
              <w:rPr>
                <w:rFonts w:ascii="Times New Roman" w:hAnsi="Times New Roman" w:cs="Times New Roman"/>
                <w:szCs w:val="24"/>
              </w:rPr>
            </w:pPr>
            <w:r>
              <w:rPr>
                <w:rFonts w:ascii="Times New Roman" w:hAnsi="Times New Roman" w:cs="Times New Roman"/>
                <w:szCs w:val="24"/>
              </w:rPr>
              <w:t>2.时间要求：</w:t>
            </w:r>
            <w:r>
              <w:rPr>
                <w:rFonts w:ascii="Times New Roman" w:hAnsi="Times New Roman" w:cs="Times New Roman"/>
                <w:szCs w:val="24"/>
                <w:u w:val="single"/>
              </w:rPr>
              <w:t>每天上午10</w:t>
            </w:r>
            <w:r>
              <w:rPr>
                <w:rFonts w:hint="eastAsia" w:ascii="Times New Roman" w:hAnsi="Times New Roman" w:cs="Times New Roman"/>
                <w:szCs w:val="24"/>
                <w:u w:val="single"/>
                <w:lang w:eastAsia="zh-CN"/>
              </w:rPr>
              <w:t>；</w:t>
            </w:r>
            <w:r>
              <w:rPr>
                <w:rFonts w:ascii="Times New Roman" w:hAnsi="Times New Roman" w:cs="Times New Roman"/>
                <w:szCs w:val="24"/>
                <w:u w:val="single"/>
              </w:rPr>
              <w:t>00 至13</w:t>
            </w:r>
            <w:r>
              <w:rPr>
                <w:rFonts w:hint="eastAsia" w:ascii="Times New Roman" w:hAnsi="Times New Roman" w:cs="Times New Roman"/>
                <w:szCs w:val="24"/>
                <w:u w:val="single"/>
                <w:lang w:eastAsia="zh-CN"/>
              </w:rPr>
              <w:t>；</w:t>
            </w:r>
            <w:r>
              <w:rPr>
                <w:rFonts w:ascii="Times New Roman" w:hAnsi="Times New Roman" w:cs="Times New Roman"/>
                <w:szCs w:val="24"/>
                <w:u w:val="single"/>
              </w:rPr>
              <w:t>30，下午15</w:t>
            </w:r>
            <w:r>
              <w:rPr>
                <w:rFonts w:hint="eastAsia" w:ascii="Times New Roman" w:hAnsi="Times New Roman" w:cs="Times New Roman"/>
                <w:szCs w:val="24"/>
                <w:u w:val="single"/>
                <w:lang w:eastAsia="zh-CN"/>
              </w:rPr>
              <w:t>；</w:t>
            </w:r>
            <w:r>
              <w:rPr>
                <w:rFonts w:ascii="Times New Roman" w:hAnsi="Times New Roman" w:cs="Times New Roman"/>
                <w:szCs w:val="24"/>
                <w:u w:val="single"/>
              </w:rPr>
              <w:t>30至19</w:t>
            </w:r>
            <w:r>
              <w:rPr>
                <w:rFonts w:hint="eastAsia" w:ascii="Times New Roman" w:hAnsi="Times New Roman" w:cs="Times New Roman"/>
                <w:szCs w:val="24"/>
                <w:u w:val="single"/>
                <w:lang w:eastAsia="zh-CN"/>
              </w:rPr>
              <w:t>；</w:t>
            </w:r>
            <w:r>
              <w:rPr>
                <w:rFonts w:ascii="Times New Roman" w:hAnsi="Times New Roman" w:cs="Times New Roman"/>
                <w:szCs w:val="24"/>
                <w:u w:val="single"/>
              </w:rPr>
              <w:t>00（北京时间，法定节假日除外）</w:t>
            </w:r>
          </w:p>
        </w:tc>
      </w:tr>
      <w:tr w14:paraId="628AA3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0B5C20">
            <w:pPr>
              <w:pStyle w:val="51"/>
              <w:spacing w:line="360" w:lineRule="auto"/>
              <w:jc w:val="center"/>
              <w:rPr>
                <w:rFonts w:ascii="Times New Roman" w:hAnsi="Times New Roman" w:cs="Times New Roman"/>
                <w:szCs w:val="24"/>
              </w:rPr>
            </w:pPr>
            <w:r>
              <w:rPr>
                <w:rFonts w:ascii="Times New Roman" w:hAnsi="Times New Roman" w:cs="Times New Roman"/>
                <w:szCs w:val="24"/>
              </w:rPr>
              <w:t>15.1</w:t>
            </w:r>
          </w:p>
        </w:tc>
        <w:tc>
          <w:tcPr>
            <w:tcW w:w="1738" w:type="dxa"/>
            <w:vAlign w:val="center"/>
          </w:tcPr>
          <w:p w14:paraId="13D9DF91">
            <w:pPr>
              <w:pStyle w:val="51"/>
              <w:spacing w:line="360" w:lineRule="auto"/>
              <w:rPr>
                <w:rFonts w:ascii="Times New Roman" w:hAnsi="Times New Roman" w:cs="Times New Roman"/>
                <w:szCs w:val="24"/>
              </w:rPr>
            </w:pPr>
            <w:r>
              <w:rPr>
                <w:rFonts w:ascii="Times New Roman" w:hAnsi="Times New Roman" w:cs="Times New Roman"/>
                <w:szCs w:val="24"/>
              </w:rPr>
              <w:t>投标有效期</w:t>
            </w:r>
          </w:p>
        </w:tc>
        <w:tc>
          <w:tcPr>
            <w:tcW w:w="6700" w:type="dxa"/>
            <w:vAlign w:val="center"/>
          </w:tcPr>
          <w:p w14:paraId="28626A09">
            <w:pPr>
              <w:pStyle w:val="51"/>
              <w:spacing w:line="360" w:lineRule="auto"/>
              <w:rPr>
                <w:rFonts w:ascii="Times New Roman" w:hAnsi="Times New Roman" w:cs="Times New Roman"/>
                <w:szCs w:val="24"/>
              </w:rPr>
            </w:pPr>
            <w:r>
              <w:rPr>
                <w:rFonts w:ascii="Times New Roman" w:hAnsi="Times New Roman" w:cs="Times New Roman"/>
                <w:szCs w:val="24"/>
              </w:rPr>
              <w:t>投标文件递交截止日期后</w:t>
            </w:r>
            <w:r>
              <w:rPr>
                <w:rFonts w:ascii="Times New Roman" w:hAnsi="Times New Roman" w:cs="Times New Roman"/>
                <w:szCs w:val="24"/>
                <w:u w:val="single"/>
              </w:rPr>
              <w:t>90</w:t>
            </w:r>
            <w:r>
              <w:rPr>
                <w:rFonts w:ascii="Times New Roman" w:hAnsi="Times New Roman" w:cs="Times New Roman"/>
                <w:szCs w:val="24"/>
              </w:rPr>
              <w:t>日历日</w:t>
            </w:r>
          </w:p>
        </w:tc>
      </w:tr>
      <w:tr w14:paraId="31CBEF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7BA0E3E1">
            <w:pPr>
              <w:pStyle w:val="51"/>
              <w:spacing w:line="360" w:lineRule="auto"/>
              <w:jc w:val="center"/>
              <w:rPr>
                <w:rFonts w:ascii="Times New Roman" w:hAnsi="Times New Roman" w:cs="Times New Roman"/>
                <w:szCs w:val="24"/>
              </w:rPr>
            </w:pPr>
            <w:r>
              <w:rPr>
                <w:rFonts w:ascii="Times New Roman" w:hAnsi="Times New Roman" w:cs="Times New Roman"/>
                <w:szCs w:val="24"/>
              </w:rPr>
              <w:t>17.1</w:t>
            </w:r>
          </w:p>
        </w:tc>
        <w:tc>
          <w:tcPr>
            <w:tcW w:w="1738" w:type="dxa"/>
            <w:vAlign w:val="center"/>
          </w:tcPr>
          <w:p w14:paraId="66532619">
            <w:pPr>
              <w:pStyle w:val="51"/>
              <w:spacing w:line="360" w:lineRule="auto"/>
              <w:rPr>
                <w:rFonts w:ascii="Times New Roman" w:hAnsi="Times New Roman" w:cs="Times New Roman"/>
                <w:szCs w:val="24"/>
              </w:rPr>
            </w:pPr>
            <w:r>
              <w:rPr>
                <w:rFonts w:ascii="Times New Roman" w:hAnsi="Times New Roman" w:cs="Times New Roman"/>
                <w:szCs w:val="24"/>
              </w:rPr>
              <w:t>投标保证金</w:t>
            </w:r>
          </w:p>
        </w:tc>
        <w:tc>
          <w:tcPr>
            <w:tcW w:w="6700" w:type="dxa"/>
            <w:vAlign w:val="center"/>
          </w:tcPr>
          <w:p w14:paraId="1EE9748F">
            <w:pPr>
              <w:pStyle w:val="55"/>
              <w:spacing w:line="360" w:lineRule="auto"/>
              <w:rPr>
                <w:rFonts w:ascii="Times New Roman" w:hAnsi="Times New Roman"/>
                <w:sz w:val="24"/>
                <w:szCs w:val="24"/>
              </w:rPr>
            </w:pPr>
            <w:r>
              <w:rPr>
                <w:rFonts w:ascii="Times New Roman" w:hAnsi="Times New Roman"/>
                <w:sz w:val="24"/>
                <w:szCs w:val="24"/>
              </w:rPr>
              <w:t>1.金额：</w:t>
            </w:r>
          </w:p>
          <w:p w14:paraId="7D2965DE">
            <w:pPr>
              <w:pStyle w:val="55"/>
              <w:spacing w:line="360" w:lineRule="auto"/>
              <w:ind w:firstLine="240" w:firstLineChars="100"/>
              <w:rPr>
                <w:rFonts w:ascii="Times New Roman" w:hAnsi="Times New Roman"/>
                <w:sz w:val="24"/>
                <w:szCs w:val="24"/>
              </w:rPr>
            </w:pPr>
            <w:r>
              <w:rPr>
                <w:rFonts w:hint="eastAsia" w:ascii="Times New Roman" w:hAnsi="Times New Roman"/>
                <w:sz w:val="24"/>
                <w:szCs w:val="24"/>
              </w:rPr>
              <w:t>□</w:t>
            </w:r>
            <w:r>
              <w:rPr>
                <w:rFonts w:ascii="Times New Roman" w:hAnsi="Times New Roman"/>
                <w:sz w:val="24"/>
                <w:szCs w:val="24"/>
              </w:rPr>
              <w:t>免收</w:t>
            </w:r>
          </w:p>
          <w:p w14:paraId="3835E046">
            <w:pPr>
              <w:pStyle w:val="55"/>
              <w:spacing w:line="360" w:lineRule="auto"/>
              <w:ind w:firstLine="240" w:firstLineChars="100"/>
              <w:rPr>
                <w:rFonts w:ascii="Times New Roman" w:hAnsi="Times New Roman"/>
                <w:sz w:val="24"/>
                <w:szCs w:val="24"/>
              </w:rPr>
            </w:pPr>
            <w:r>
              <w:rPr>
                <w:rFonts w:ascii="Times New Roman" w:hAnsi="Times New Roman"/>
                <w:sz w:val="24"/>
                <w:szCs w:val="24"/>
              </w:rPr>
              <w:t>□预算金额的</w:t>
            </w:r>
            <w:r>
              <w:rPr>
                <w:rFonts w:ascii="Times New Roman" w:hAnsi="Times New Roman"/>
                <w:sz w:val="24"/>
                <w:szCs w:val="24"/>
                <w:u w:val="single"/>
              </w:rPr>
              <w:t xml:space="preserve">        %</w:t>
            </w:r>
            <w:r>
              <w:rPr>
                <w:rFonts w:ascii="Times New Roman" w:hAnsi="Times New Roman"/>
                <w:sz w:val="24"/>
                <w:szCs w:val="24"/>
              </w:rPr>
              <w:t>。</w:t>
            </w:r>
          </w:p>
          <w:p w14:paraId="05E9A331">
            <w:pPr>
              <w:pStyle w:val="55"/>
              <w:spacing w:line="360" w:lineRule="auto"/>
              <w:ind w:firstLine="240" w:firstLineChars="100"/>
              <w:rPr>
                <w:rFonts w:ascii="Times New Roman" w:hAnsi="Times New Roman"/>
                <w:color w:val="auto"/>
                <w:sz w:val="24"/>
                <w:szCs w:val="24"/>
              </w:rPr>
            </w:pPr>
            <w:r>
              <w:rPr>
                <w:rFonts w:hint="eastAsia" w:ascii="Times New Roman" w:hAnsi="Times New Roman"/>
                <w:sz w:val="24"/>
                <w:szCs w:val="24"/>
              </w:rPr>
              <w:t>☑</w:t>
            </w:r>
            <w:r>
              <w:rPr>
                <w:rFonts w:ascii="Times New Roman" w:hAnsi="Times New Roman"/>
                <w:sz w:val="24"/>
                <w:szCs w:val="24"/>
              </w:rPr>
              <w:t>定额收取：</w:t>
            </w:r>
            <w:r>
              <w:rPr>
                <w:rFonts w:ascii="Times New Roman" w:hAnsi="Times New Roman"/>
                <w:sz w:val="24"/>
                <w:szCs w:val="24"/>
                <w:u w:val="single"/>
              </w:rPr>
              <w:t>人民币</w:t>
            </w:r>
            <w:r>
              <w:rPr>
                <w:rFonts w:ascii="Times New Roman" w:hAnsi="Times New Roman"/>
                <w:color w:val="auto"/>
                <w:sz w:val="24"/>
                <w:szCs w:val="24"/>
                <w:u w:val="single"/>
              </w:rPr>
              <w:t xml:space="preserve"> </w:t>
            </w:r>
            <w:r>
              <w:rPr>
                <w:rFonts w:hint="eastAsia" w:ascii="Times New Roman" w:hAnsi="Times New Roman"/>
                <w:color w:val="auto"/>
                <w:sz w:val="24"/>
                <w:szCs w:val="24"/>
                <w:u w:val="single"/>
                <w:lang w:val="en-US" w:eastAsia="zh-CN"/>
              </w:rPr>
              <w:t>贰</w:t>
            </w:r>
            <w:r>
              <w:rPr>
                <w:rFonts w:hint="eastAsia" w:ascii="Times New Roman" w:hAnsi="Times New Roman"/>
                <w:color w:val="auto"/>
                <w:sz w:val="24"/>
                <w:szCs w:val="24"/>
                <w:u w:val="single"/>
              </w:rPr>
              <w:t>拾万元</w:t>
            </w:r>
            <w:r>
              <w:rPr>
                <w:rFonts w:ascii="Times New Roman" w:hAnsi="Times New Roman"/>
                <w:color w:val="auto"/>
                <w:sz w:val="24"/>
                <w:szCs w:val="24"/>
                <w:u w:val="single"/>
              </w:rPr>
              <w:t xml:space="preserve">   </w:t>
            </w:r>
            <w:r>
              <w:rPr>
                <w:rFonts w:hint="eastAsia" w:ascii="Times New Roman" w:hAnsi="Times New Roman"/>
                <w:color w:val="auto"/>
                <w:sz w:val="24"/>
                <w:szCs w:val="24"/>
                <w:u w:val="single"/>
                <w:lang w:val="en-US" w:eastAsia="zh-CN"/>
              </w:rPr>
              <w:t>2</w:t>
            </w:r>
            <w:r>
              <w:rPr>
                <w:rFonts w:hint="eastAsia" w:ascii="Times New Roman" w:hAnsi="Times New Roman"/>
                <w:color w:val="auto"/>
                <w:sz w:val="24"/>
                <w:szCs w:val="24"/>
                <w:u w:val="single"/>
              </w:rPr>
              <w:t>00000.00</w:t>
            </w:r>
            <w:r>
              <w:rPr>
                <w:rFonts w:ascii="Times New Roman" w:hAnsi="Times New Roman"/>
                <w:color w:val="auto"/>
                <w:sz w:val="24"/>
                <w:szCs w:val="24"/>
                <w:u w:val="single"/>
              </w:rPr>
              <w:t xml:space="preserve"> 元</w:t>
            </w:r>
          </w:p>
          <w:p w14:paraId="6F264665">
            <w:pPr>
              <w:pStyle w:val="55"/>
              <w:spacing w:line="360" w:lineRule="auto"/>
              <w:rPr>
                <w:rFonts w:ascii="Times New Roman" w:hAnsi="Times New Roman"/>
                <w:sz w:val="24"/>
                <w:szCs w:val="24"/>
              </w:rPr>
            </w:pPr>
            <w:r>
              <w:rPr>
                <w:rFonts w:ascii="Times New Roman" w:hAnsi="Times New Roman"/>
                <w:color w:val="auto"/>
                <w:sz w:val="24"/>
                <w:szCs w:val="24"/>
              </w:rPr>
              <w:t>2.支付方式：供应商可自主选择以支票、汇票、本票、电汇、转账、网银、保函等非现金形式缴纳或提交保证</w:t>
            </w:r>
            <w:r>
              <w:rPr>
                <w:rFonts w:ascii="Times New Roman" w:hAnsi="Times New Roman"/>
                <w:sz w:val="24"/>
                <w:szCs w:val="24"/>
              </w:rPr>
              <w:t>金。</w:t>
            </w:r>
          </w:p>
          <w:p w14:paraId="2A67885B">
            <w:pPr>
              <w:pStyle w:val="55"/>
              <w:spacing w:line="360" w:lineRule="auto"/>
              <w:rPr>
                <w:rFonts w:ascii="Times New Roman" w:hAnsi="Times New Roman"/>
                <w:sz w:val="24"/>
                <w:szCs w:val="24"/>
              </w:rPr>
            </w:pPr>
            <w:r>
              <w:rPr>
                <w:rFonts w:ascii="Times New Roman" w:hAnsi="Times New Roman"/>
                <w:sz w:val="24"/>
                <w:szCs w:val="24"/>
              </w:rPr>
              <w:t xml:space="preserve">3.收取单位：中招国际招标有限公司新疆分公司                            </w:t>
            </w:r>
          </w:p>
          <w:p w14:paraId="60E6C1AE">
            <w:pPr>
              <w:pStyle w:val="59"/>
              <w:spacing w:line="360" w:lineRule="auto"/>
              <w:rPr>
                <w:rFonts w:ascii="Times New Roman" w:hAnsi="Times New Roman"/>
                <w:sz w:val="24"/>
              </w:rPr>
            </w:pPr>
            <w:r>
              <w:rPr>
                <w:rFonts w:ascii="Times New Roman" w:hAnsi="Times New Roman"/>
                <w:sz w:val="24"/>
              </w:rPr>
              <w:t>4.收取账号：</w:t>
            </w:r>
            <w:r>
              <w:rPr>
                <w:rFonts w:ascii="Times New Roman" w:hAnsi="Times New Roman"/>
                <w:kern w:val="0"/>
                <w:sz w:val="24"/>
              </w:rPr>
              <w:t>中国工商银行股份有限公司南湖北路支行 3002 0128 1910 0057 504</w:t>
            </w:r>
            <w:r>
              <w:rPr>
                <w:rFonts w:ascii="Times New Roman" w:hAnsi="Times New Roman"/>
                <w:sz w:val="24"/>
              </w:rPr>
              <w:t xml:space="preserve">              </w:t>
            </w:r>
          </w:p>
          <w:p w14:paraId="0FA11A03">
            <w:pPr>
              <w:pStyle w:val="55"/>
              <w:spacing w:line="360" w:lineRule="auto"/>
              <w:rPr>
                <w:rFonts w:ascii="Times New Roman" w:hAnsi="Times New Roman"/>
                <w:sz w:val="24"/>
                <w:szCs w:val="24"/>
              </w:rPr>
            </w:pPr>
            <w:r>
              <w:rPr>
                <w:rFonts w:ascii="Times New Roman" w:hAnsi="Times New Roman"/>
                <w:sz w:val="24"/>
                <w:szCs w:val="24"/>
              </w:rPr>
              <w:t xml:space="preserve">5.退还时间：自中标通知书发出之日起5个工作日内退还未中标供应商的投标保证金，自政府采购合同签订之日起5个工作日内退还中标供应商的投标保证金。             </w:t>
            </w:r>
          </w:p>
          <w:p w14:paraId="326FAAD9">
            <w:pPr>
              <w:pStyle w:val="55"/>
              <w:spacing w:line="360" w:lineRule="auto"/>
              <w:rPr>
                <w:rFonts w:ascii="Times New Roman" w:hAnsi="Times New Roman"/>
                <w:sz w:val="24"/>
                <w:szCs w:val="24"/>
              </w:rPr>
            </w:pPr>
            <w:r>
              <w:rPr>
                <w:rFonts w:ascii="Times New Roman" w:hAnsi="Times New Roman"/>
                <w:b/>
                <w:bCs/>
                <w:sz w:val="24"/>
                <w:szCs w:val="24"/>
              </w:rPr>
              <w:t>注意事项：</w:t>
            </w:r>
          </w:p>
          <w:p w14:paraId="00FA24CC">
            <w:pPr>
              <w:pStyle w:val="55"/>
              <w:spacing w:line="360" w:lineRule="auto"/>
              <w:ind w:firstLine="240" w:firstLineChars="100"/>
              <w:rPr>
                <w:rFonts w:ascii="Times New Roman" w:hAnsi="Times New Roman"/>
                <w:sz w:val="24"/>
                <w:szCs w:val="24"/>
              </w:rPr>
            </w:pPr>
            <w:r>
              <w:rPr>
                <w:rFonts w:ascii="Times New Roman" w:hAnsi="Times New Roman"/>
                <w:sz w:val="24"/>
                <w:szCs w:val="24"/>
              </w:rPr>
              <w:t>1.以上各类机构出具的以担保函、保证保险承担责任的方式均须满足无条件见索即付条件。</w:t>
            </w:r>
          </w:p>
          <w:p w14:paraId="1762510C">
            <w:pPr>
              <w:pStyle w:val="59"/>
              <w:spacing w:line="460" w:lineRule="exact"/>
              <w:rPr>
                <w:rFonts w:ascii="Times New Roman" w:hAnsi="Times New Roman"/>
                <w:sz w:val="24"/>
              </w:rPr>
            </w:pPr>
            <w:r>
              <w:rPr>
                <w:rFonts w:ascii="Times New Roman" w:hAnsi="Times New Roman"/>
                <w:sz w:val="24"/>
              </w:rPr>
              <w:t>2.以担保函、保证保险形式缴纳投标保证金的，受益人和收取单位须为采购人。</w:t>
            </w:r>
            <w:r>
              <w:rPr>
                <w:rFonts w:ascii="Times New Roman" w:hAnsi="Times New Roman"/>
                <w:sz w:val="24"/>
              </w:rPr>
              <w:br w:type="textWrapping"/>
            </w:r>
            <w:r>
              <w:rPr>
                <w:rFonts w:ascii="Times New Roman" w:hAnsi="Times New Roman"/>
                <w:sz w:val="24"/>
              </w:rPr>
              <w:t xml:space="preserve">  </w:t>
            </w:r>
            <w:r>
              <w:rPr>
                <w:rFonts w:ascii="Times New Roman" w:hAnsi="Times New Roman"/>
                <w:b/>
                <w:bCs/>
                <w:sz w:val="24"/>
              </w:rPr>
              <w:t>3.</w:t>
            </w:r>
            <w:r>
              <w:rPr>
                <w:rFonts w:hint="eastAsia" w:ascii="宋体" w:hAnsi="宋体" w:cs="宋体"/>
                <w:b/>
                <w:sz w:val="24"/>
              </w:rPr>
              <w:t>汇款备注：本项目简称+项目编号</w:t>
            </w:r>
          </w:p>
        </w:tc>
      </w:tr>
      <w:tr w14:paraId="2B52FC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11" w:hRule="atLeast"/>
        </w:trPr>
        <w:tc>
          <w:tcPr>
            <w:tcW w:w="970" w:type="dxa"/>
            <w:vAlign w:val="center"/>
          </w:tcPr>
          <w:p w14:paraId="77BF859C">
            <w:pPr>
              <w:pStyle w:val="51"/>
              <w:spacing w:line="360" w:lineRule="auto"/>
              <w:jc w:val="center"/>
              <w:rPr>
                <w:rFonts w:ascii="Times New Roman" w:hAnsi="Times New Roman" w:cs="Times New Roman"/>
                <w:szCs w:val="24"/>
              </w:rPr>
            </w:pPr>
            <w:r>
              <w:rPr>
                <w:rFonts w:ascii="Times New Roman" w:hAnsi="Times New Roman" w:cs="Times New Roman"/>
                <w:szCs w:val="24"/>
              </w:rPr>
              <w:t>22</w:t>
            </w:r>
          </w:p>
        </w:tc>
        <w:tc>
          <w:tcPr>
            <w:tcW w:w="1738" w:type="dxa"/>
            <w:vAlign w:val="center"/>
          </w:tcPr>
          <w:p w14:paraId="0975B091">
            <w:pPr>
              <w:pStyle w:val="51"/>
              <w:spacing w:line="360" w:lineRule="auto"/>
              <w:rPr>
                <w:rFonts w:ascii="Times New Roman" w:hAnsi="Times New Roman" w:cs="Times New Roman"/>
                <w:szCs w:val="24"/>
              </w:rPr>
            </w:pPr>
            <w:r>
              <w:rPr>
                <w:rFonts w:ascii="Times New Roman" w:hAnsi="Times New Roman" w:cs="Times New Roman"/>
                <w:szCs w:val="24"/>
              </w:rPr>
              <w:t>实物样品</w:t>
            </w:r>
          </w:p>
        </w:tc>
        <w:tc>
          <w:tcPr>
            <w:tcW w:w="6700" w:type="dxa"/>
            <w:vAlign w:val="center"/>
          </w:tcPr>
          <w:p w14:paraId="0303625A">
            <w:pPr>
              <w:pStyle w:val="51"/>
              <w:spacing w:line="360" w:lineRule="auto"/>
              <w:rPr>
                <w:rFonts w:ascii="Times New Roman" w:hAnsi="Times New Roman" w:cs="Times New Roman"/>
                <w:szCs w:val="24"/>
              </w:rPr>
            </w:pPr>
            <w:r>
              <w:rPr>
                <w:rFonts w:ascii="Times New Roman" w:hAnsi="Times New Roman" w:cs="Times New Roman"/>
                <w:szCs w:val="24"/>
              </w:rPr>
              <w:t xml:space="preserve">样品递交： </w:t>
            </w:r>
          </w:p>
          <w:p w14:paraId="33E0C899">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 xml:space="preserve">☑不需要 </w:t>
            </w:r>
          </w:p>
          <w:p w14:paraId="517C6E60">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 xml:space="preserve">□需要，具体要求如下： </w:t>
            </w:r>
          </w:p>
          <w:p w14:paraId="2DA32CB9">
            <w:pPr>
              <w:pStyle w:val="51"/>
              <w:spacing w:line="360" w:lineRule="auto"/>
              <w:rPr>
                <w:rFonts w:ascii="Times New Roman" w:hAnsi="Times New Roman" w:cs="Times New Roman"/>
                <w:szCs w:val="24"/>
              </w:rPr>
            </w:pPr>
            <w:r>
              <w:rPr>
                <w:rFonts w:ascii="Times New Roman" w:hAnsi="Times New Roman" w:cs="Times New Roman"/>
                <w:szCs w:val="24"/>
              </w:rPr>
              <w:t xml:space="preserve">1.样品制作的标准和要求：___/___； </w:t>
            </w:r>
          </w:p>
          <w:p w14:paraId="67F7727F">
            <w:pPr>
              <w:pStyle w:val="51"/>
              <w:spacing w:line="360" w:lineRule="auto"/>
              <w:rPr>
                <w:rFonts w:ascii="Times New Roman" w:hAnsi="Times New Roman" w:cs="Times New Roman"/>
                <w:szCs w:val="24"/>
              </w:rPr>
            </w:pPr>
            <w:r>
              <w:rPr>
                <w:rFonts w:ascii="Times New Roman" w:hAnsi="Times New Roman" w:cs="Times New Roman"/>
                <w:szCs w:val="24"/>
              </w:rPr>
              <w:t xml:space="preserve">2.是否需要随样品提交相关检测报告： </w:t>
            </w:r>
          </w:p>
          <w:p w14:paraId="1AF0624F">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 xml:space="preserve">□不需要 </w:t>
            </w:r>
          </w:p>
          <w:p w14:paraId="12F820F5">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 xml:space="preserve">□需要 </w:t>
            </w:r>
          </w:p>
          <w:p w14:paraId="54150994">
            <w:pPr>
              <w:pStyle w:val="51"/>
              <w:spacing w:line="360" w:lineRule="auto"/>
              <w:rPr>
                <w:rFonts w:ascii="Times New Roman" w:hAnsi="Times New Roman" w:cs="Times New Roman"/>
                <w:szCs w:val="24"/>
              </w:rPr>
            </w:pPr>
            <w:r>
              <w:rPr>
                <w:rFonts w:ascii="Times New Roman" w:hAnsi="Times New Roman" w:cs="Times New Roman"/>
                <w:szCs w:val="24"/>
              </w:rPr>
              <w:t>3.样品递交要求：</w:t>
            </w:r>
          </w:p>
          <w:p w14:paraId="461D63E8">
            <w:pPr>
              <w:pStyle w:val="51"/>
              <w:spacing w:line="360" w:lineRule="auto"/>
              <w:rPr>
                <w:rFonts w:ascii="Times New Roman" w:hAnsi="Times New Roman" w:cs="Times New Roman"/>
                <w:szCs w:val="24"/>
              </w:rPr>
            </w:pPr>
            <w:r>
              <w:rPr>
                <w:rFonts w:ascii="Times New Roman" w:hAnsi="Times New Roman" w:cs="Times New Roman"/>
                <w:szCs w:val="24"/>
              </w:rPr>
              <w:t>递交时间：</w:t>
            </w:r>
            <w:r>
              <w:rPr>
                <w:rFonts w:ascii="Times New Roman" w:hAnsi="Times New Roman" w:cs="Times New Roman"/>
                <w:szCs w:val="24"/>
                <w:u w:val="single"/>
              </w:rPr>
              <w:t xml:space="preserve">     </w:t>
            </w:r>
            <w:r>
              <w:rPr>
                <w:rFonts w:ascii="Times New Roman" w:hAnsi="Times New Roman" w:cs="Times New Roman"/>
                <w:szCs w:val="24"/>
              </w:rPr>
              <w:t>/</w:t>
            </w:r>
            <w:r>
              <w:rPr>
                <w:rFonts w:ascii="Times New Roman" w:hAnsi="Times New Roman" w:cs="Times New Roman"/>
                <w:szCs w:val="24"/>
                <w:u w:val="single"/>
              </w:rPr>
              <w:t xml:space="preserve">             </w:t>
            </w:r>
            <w:r>
              <w:rPr>
                <w:rFonts w:ascii="Times New Roman" w:hAnsi="Times New Roman" w:cs="Times New Roman"/>
                <w:szCs w:val="24"/>
              </w:rPr>
              <w:t xml:space="preserve"> ，</w:t>
            </w:r>
          </w:p>
          <w:p w14:paraId="708E9FC2">
            <w:pPr>
              <w:pStyle w:val="51"/>
              <w:spacing w:line="360" w:lineRule="auto"/>
              <w:rPr>
                <w:rFonts w:ascii="Times New Roman" w:hAnsi="Times New Roman" w:cs="Times New Roman"/>
                <w:szCs w:val="24"/>
              </w:rPr>
            </w:pPr>
            <w:r>
              <w:rPr>
                <w:rFonts w:ascii="Times New Roman" w:hAnsi="Times New Roman" w:cs="Times New Roman"/>
                <w:szCs w:val="24"/>
              </w:rPr>
              <w:t>递交地点：</w:t>
            </w:r>
            <w:r>
              <w:rPr>
                <w:rFonts w:ascii="Times New Roman" w:hAnsi="Times New Roman" w:cs="Times New Roman"/>
                <w:szCs w:val="24"/>
                <w:u w:val="single"/>
              </w:rPr>
              <w:t xml:space="preserve">     </w:t>
            </w:r>
            <w:r>
              <w:rPr>
                <w:rFonts w:ascii="Times New Roman" w:hAnsi="Times New Roman" w:cs="Times New Roman"/>
                <w:szCs w:val="24"/>
              </w:rPr>
              <w:t>/</w:t>
            </w:r>
            <w:r>
              <w:rPr>
                <w:rFonts w:ascii="Times New Roman" w:hAnsi="Times New Roman" w:cs="Times New Roman"/>
                <w:szCs w:val="24"/>
                <w:u w:val="single"/>
              </w:rPr>
              <w:t xml:space="preserve">         </w:t>
            </w:r>
            <w:r>
              <w:rPr>
                <w:rFonts w:ascii="Times New Roman" w:hAnsi="Times New Roman" w:cs="Times New Roman"/>
                <w:szCs w:val="24"/>
              </w:rPr>
              <w:t xml:space="preserve">，逾期提供的样品将不予接受。 </w:t>
            </w:r>
          </w:p>
          <w:p w14:paraId="2A93C592">
            <w:pPr>
              <w:pStyle w:val="51"/>
              <w:spacing w:line="360" w:lineRule="auto"/>
              <w:rPr>
                <w:rFonts w:ascii="Times New Roman" w:hAnsi="Times New Roman" w:cs="Times New Roman"/>
                <w:szCs w:val="24"/>
              </w:rPr>
            </w:pPr>
            <w:r>
              <w:rPr>
                <w:rFonts w:ascii="Times New Roman" w:hAnsi="Times New Roman" w:cs="Times New Roman"/>
                <w:szCs w:val="24"/>
              </w:rPr>
              <w:t>4.未中标人样品退还：</w:t>
            </w:r>
            <w:r>
              <w:rPr>
                <w:rFonts w:ascii="Times New Roman" w:hAnsi="Times New Roman" w:cs="Times New Roman"/>
                <w:szCs w:val="24"/>
                <w:u w:val="single"/>
              </w:rPr>
              <w:t xml:space="preserve">        </w:t>
            </w:r>
            <w:r>
              <w:rPr>
                <w:rFonts w:ascii="Times New Roman" w:hAnsi="Times New Roman" w:cs="Times New Roman"/>
                <w:szCs w:val="24"/>
              </w:rPr>
              <w:t>/</w:t>
            </w:r>
            <w:r>
              <w:rPr>
                <w:rFonts w:ascii="Times New Roman" w:hAnsi="Times New Roman" w:cs="Times New Roman"/>
                <w:szCs w:val="24"/>
                <w:u w:val="single"/>
              </w:rPr>
              <w:t xml:space="preserve">       </w:t>
            </w:r>
            <w:r>
              <w:rPr>
                <w:rFonts w:ascii="Times New Roman" w:hAnsi="Times New Roman" w:cs="Times New Roman"/>
                <w:szCs w:val="24"/>
              </w:rPr>
              <w:t xml:space="preserve">； </w:t>
            </w:r>
          </w:p>
          <w:p w14:paraId="020F41B1">
            <w:pPr>
              <w:pStyle w:val="51"/>
              <w:spacing w:line="360" w:lineRule="auto"/>
              <w:rPr>
                <w:rFonts w:ascii="Times New Roman" w:hAnsi="Times New Roman" w:cs="Times New Roman"/>
                <w:szCs w:val="24"/>
              </w:rPr>
            </w:pPr>
            <w:r>
              <w:rPr>
                <w:rFonts w:ascii="Times New Roman" w:hAnsi="Times New Roman" w:cs="Times New Roman"/>
                <w:szCs w:val="24"/>
              </w:rPr>
              <w:t>5.中标人样品保管、封存及退还：</w:t>
            </w:r>
            <w:r>
              <w:rPr>
                <w:rFonts w:ascii="Times New Roman" w:hAnsi="Times New Roman" w:cs="Times New Roman"/>
                <w:szCs w:val="24"/>
                <w:u w:val="single"/>
              </w:rPr>
              <w:t xml:space="preserve">      </w:t>
            </w:r>
            <w:r>
              <w:rPr>
                <w:rFonts w:ascii="Times New Roman" w:hAnsi="Times New Roman" w:cs="Times New Roman"/>
                <w:szCs w:val="24"/>
              </w:rPr>
              <w:t>/</w:t>
            </w:r>
            <w:r>
              <w:rPr>
                <w:rFonts w:ascii="Times New Roman" w:hAnsi="Times New Roman" w:cs="Times New Roman"/>
                <w:szCs w:val="24"/>
                <w:u w:val="single"/>
              </w:rPr>
              <w:t xml:space="preserve">       </w:t>
            </w:r>
            <w:r>
              <w:rPr>
                <w:rFonts w:ascii="Times New Roman" w:hAnsi="Times New Roman" w:cs="Times New Roman"/>
                <w:szCs w:val="24"/>
              </w:rPr>
              <w:t xml:space="preserve">； </w:t>
            </w:r>
          </w:p>
          <w:p w14:paraId="1E57DA00">
            <w:pPr>
              <w:pStyle w:val="51"/>
              <w:spacing w:line="360" w:lineRule="auto"/>
              <w:rPr>
                <w:rFonts w:ascii="Times New Roman" w:hAnsi="Times New Roman" w:cs="Times New Roman"/>
                <w:szCs w:val="24"/>
              </w:rPr>
            </w:pPr>
            <w:r>
              <w:rPr>
                <w:rFonts w:ascii="Times New Roman" w:hAnsi="Times New Roman" w:cs="Times New Roman"/>
                <w:szCs w:val="24"/>
              </w:rPr>
              <w:t>6.其他要求（如有）：</w:t>
            </w:r>
            <w:r>
              <w:rPr>
                <w:rFonts w:ascii="Times New Roman" w:hAnsi="Times New Roman" w:cs="Times New Roman"/>
                <w:szCs w:val="24"/>
                <w:u w:val="single"/>
              </w:rPr>
              <w:t xml:space="preserve">     /            </w:t>
            </w:r>
            <w:r>
              <w:rPr>
                <w:rFonts w:ascii="Times New Roman" w:hAnsi="Times New Roman" w:cs="Times New Roman"/>
                <w:szCs w:val="24"/>
              </w:rPr>
              <w:t>。</w:t>
            </w:r>
          </w:p>
        </w:tc>
      </w:tr>
      <w:tr w14:paraId="58FA3B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29A9FA6C">
            <w:pPr>
              <w:pStyle w:val="51"/>
              <w:spacing w:line="360" w:lineRule="auto"/>
              <w:jc w:val="center"/>
              <w:rPr>
                <w:rFonts w:ascii="Times New Roman" w:hAnsi="Times New Roman" w:cs="Times New Roman"/>
                <w:szCs w:val="24"/>
              </w:rPr>
            </w:pPr>
            <w:r>
              <w:rPr>
                <w:rFonts w:ascii="Times New Roman" w:hAnsi="Times New Roman" w:cs="Times New Roman"/>
                <w:szCs w:val="24"/>
              </w:rPr>
              <w:t>23.1</w:t>
            </w:r>
          </w:p>
        </w:tc>
        <w:tc>
          <w:tcPr>
            <w:tcW w:w="1738" w:type="dxa"/>
            <w:vAlign w:val="center"/>
          </w:tcPr>
          <w:p w14:paraId="78F8D680">
            <w:pPr>
              <w:pStyle w:val="51"/>
              <w:spacing w:line="360" w:lineRule="auto"/>
              <w:rPr>
                <w:rFonts w:ascii="Times New Roman" w:hAnsi="Times New Roman" w:cs="Times New Roman"/>
                <w:szCs w:val="24"/>
              </w:rPr>
            </w:pPr>
            <w:r>
              <w:rPr>
                <w:rFonts w:ascii="Times New Roman" w:hAnsi="Times New Roman" w:cs="Times New Roman"/>
                <w:szCs w:val="24"/>
              </w:rPr>
              <w:t>演示</w:t>
            </w:r>
          </w:p>
        </w:tc>
        <w:tc>
          <w:tcPr>
            <w:tcW w:w="6700" w:type="dxa"/>
            <w:vAlign w:val="center"/>
          </w:tcPr>
          <w:p w14:paraId="7D49E176">
            <w:pPr>
              <w:pStyle w:val="51"/>
              <w:spacing w:line="360" w:lineRule="auto"/>
              <w:rPr>
                <w:rFonts w:ascii="Times New Roman" w:hAnsi="Times New Roman" w:cs="Times New Roman"/>
                <w:szCs w:val="24"/>
              </w:rPr>
            </w:pPr>
            <w:r>
              <w:rPr>
                <w:rFonts w:ascii="Times New Roman" w:hAnsi="Times New Roman" w:cs="Times New Roman"/>
                <w:szCs w:val="24"/>
              </w:rPr>
              <w:sym w:font="Wingdings" w:char="00FE"/>
            </w:r>
            <w:r>
              <w:rPr>
                <w:rFonts w:ascii="Times New Roman" w:hAnsi="Times New Roman" w:cs="Times New Roman"/>
                <w:szCs w:val="24"/>
              </w:rPr>
              <w:t>不进行</w:t>
            </w:r>
          </w:p>
          <w:p w14:paraId="165B5A8A">
            <w:pPr>
              <w:pStyle w:val="51"/>
              <w:spacing w:line="360" w:lineRule="auto"/>
              <w:rPr>
                <w:rFonts w:ascii="Times New Roman" w:hAnsi="Times New Roman" w:cs="Times New Roman"/>
                <w:szCs w:val="24"/>
              </w:rPr>
            </w:pPr>
            <w:r>
              <w:rPr>
                <w:rFonts w:ascii="Times New Roman" w:hAnsi="Times New Roman" w:cs="Times New Roman"/>
                <w:szCs w:val="24"/>
              </w:rPr>
              <w:sym w:font="Wingdings" w:char="00A8"/>
            </w:r>
            <w:r>
              <w:rPr>
                <w:rFonts w:ascii="Times New Roman" w:hAnsi="Times New Roman" w:cs="Times New Roman"/>
                <w:szCs w:val="24"/>
              </w:rPr>
              <w:t>进行，远程线上演示/现场演示</w:t>
            </w:r>
          </w:p>
          <w:p w14:paraId="49AD1E8C">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1.演示时间不得超过</w:t>
            </w:r>
            <w:r>
              <w:rPr>
                <w:rFonts w:ascii="Times New Roman" w:hAnsi="Times New Roman" w:cs="Times New Roman"/>
                <w:szCs w:val="24"/>
                <w:u w:val="single"/>
              </w:rPr>
              <w:t xml:space="preserve">  / </w:t>
            </w:r>
            <w:r>
              <w:rPr>
                <w:rFonts w:ascii="Times New Roman" w:hAnsi="Times New Roman" w:cs="Times New Roman"/>
                <w:szCs w:val="24"/>
              </w:rPr>
              <w:t>分钟；</w:t>
            </w:r>
          </w:p>
          <w:p w14:paraId="1179C677">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2.进行远程线上演示的，投标人应提前自行准备好演示的软硬配置环境和网络环境，做好演示的各项准备工作。因投标人自身原因无法演示或者演示效果不理想的，导致的后果由投标人自行承担；</w:t>
            </w:r>
          </w:p>
          <w:p w14:paraId="07BF8266">
            <w:pPr>
              <w:pStyle w:val="51"/>
              <w:spacing w:line="360" w:lineRule="auto"/>
              <w:ind w:firstLine="240" w:firstLineChars="100"/>
              <w:rPr>
                <w:rFonts w:ascii="Times New Roman" w:hAnsi="Times New Roman" w:cs="Times New Roman"/>
                <w:szCs w:val="24"/>
              </w:rPr>
            </w:pPr>
            <w:r>
              <w:rPr>
                <w:rFonts w:ascii="Times New Roman" w:hAnsi="Times New Roman" w:cs="Times New Roman"/>
                <w:szCs w:val="24"/>
              </w:rPr>
              <w:t>3.进行现场演示的，演示人员不得超过</w:t>
            </w:r>
            <w:r>
              <w:rPr>
                <w:rFonts w:ascii="Times New Roman" w:hAnsi="Times New Roman" w:cs="Times New Roman"/>
                <w:szCs w:val="24"/>
                <w:u w:val="single"/>
              </w:rPr>
              <w:t xml:space="preserve"> / </w:t>
            </w:r>
            <w:r>
              <w:rPr>
                <w:rFonts w:ascii="Times New Roman" w:hAnsi="Times New Roman" w:cs="Times New Roman"/>
                <w:szCs w:val="24"/>
              </w:rPr>
              <w:t>人，演示现场提供</w:t>
            </w:r>
            <w:r>
              <w:rPr>
                <w:rFonts w:ascii="Times New Roman" w:hAnsi="Times New Roman" w:cs="Times New Roman"/>
                <w:szCs w:val="24"/>
                <w:u w:val="single"/>
              </w:rPr>
              <w:t xml:space="preserve">   /    </w:t>
            </w:r>
            <w:r>
              <w:rPr>
                <w:rFonts w:ascii="Times New Roman" w:hAnsi="Times New Roman" w:cs="Times New Roman"/>
                <w:szCs w:val="24"/>
              </w:rPr>
              <w:t>。</w:t>
            </w:r>
          </w:p>
        </w:tc>
      </w:tr>
      <w:tr w14:paraId="66A6C8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12BFE8EF">
            <w:pPr>
              <w:pStyle w:val="51"/>
              <w:spacing w:line="360" w:lineRule="auto"/>
              <w:jc w:val="center"/>
              <w:rPr>
                <w:rFonts w:ascii="Times New Roman" w:hAnsi="Times New Roman" w:cs="Times New Roman"/>
                <w:szCs w:val="24"/>
              </w:rPr>
            </w:pPr>
            <w:r>
              <w:rPr>
                <w:rFonts w:ascii="Times New Roman" w:hAnsi="Times New Roman" w:cs="Times New Roman"/>
                <w:szCs w:val="24"/>
              </w:rPr>
              <w:t>25.3</w:t>
            </w:r>
          </w:p>
        </w:tc>
        <w:tc>
          <w:tcPr>
            <w:tcW w:w="1738" w:type="dxa"/>
            <w:vAlign w:val="center"/>
          </w:tcPr>
          <w:p w14:paraId="6757D4C4">
            <w:pPr>
              <w:pStyle w:val="51"/>
              <w:spacing w:line="360" w:lineRule="auto"/>
              <w:rPr>
                <w:rFonts w:ascii="Times New Roman" w:hAnsi="Times New Roman" w:cs="Times New Roman"/>
                <w:szCs w:val="24"/>
              </w:rPr>
            </w:pPr>
            <w:r>
              <w:rPr>
                <w:rFonts w:ascii="Times New Roman" w:hAnsi="Times New Roman" w:cs="Times New Roman"/>
                <w:szCs w:val="24"/>
              </w:rPr>
              <w:t>解密投标文件的时限</w:t>
            </w:r>
          </w:p>
        </w:tc>
        <w:tc>
          <w:tcPr>
            <w:tcW w:w="6700" w:type="dxa"/>
            <w:vAlign w:val="center"/>
          </w:tcPr>
          <w:p w14:paraId="2F8A4908">
            <w:pPr>
              <w:pStyle w:val="51"/>
              <w:spacing w:line="360" w:lineRule="auto"/>
              <w:rPr>
                <w:rFonts w:ascii="Times New Roman" w:hAnsi="Times New Roman" w:cs="Times New Roman"/>
                <w:szCs w:val="24"/>
              </w:rPr>
            </w:pPr>
            <w:r>
              <w:rPr>
                <w:rFonts w:ascii="Times New Roman" w:hAnsi="Times New Roman" w:cs="Times New Roman"/>
                <w:szCs w:val="24"/>
              </w:rPr>
              <w:t>不见面开标默认解密时长：</w:t>
            </w:r>
            <w:r>
              <w:rPr>
                <w:rFonts w:ascii="Times New Roman" w:hAnsi="Times New Roman" w:cs="Times New Roman"/>
                <w:szCs w:val="24"/>
                <w:u w:val="single"/>
              </w:rPr>
              <w:t xml:space="preserve">  </w:t>
            </w:r>
            <w:r>
              <w:rPr>
                <w:rFonts w:hint="eastAsia" w:ascii="Times New Roman" w:hAnsi="Times New Roman" w:cs="Times New Roman"/>
                <w:szCs w:val="24"/>
                <w:u w:val="single"/>
                <w:lang w:val="en-US" w:eastAsia="zh-CN"/>
              </w:rPr>
              <w:t>2</w:t>
            </w:r>
            <w:r>
              <w:rPr>
                <w:rFonts w:ascii="Times New Roman" w:hAnsi="Times New Roman" w:cs="Times New Roman"/>
                <w:szCs w:val="24"/>
                <w:u w:val="single"/>
              </w:rPr>
              <w:t xml:space="preserve">0  </w:t>
            </w:r>
            <w:r>
              <w:rPr>
                <w:rFonts w:ascii="Times New Roman" w:hAnsi="Times New Roman" w:cs="Times New Roman"/>
                <w:szCs w:val="24"/>
              </w:rPr>
              <w:t xml:space="preserve">分钟。 </w:t>
            </w:r>
          </w:p>
          <w:p w14:paraId="67208BF9">
            <w:pPr>
              <w:pStyle w:val="51"/>
              <w:spacing w:line="360" w:lineRule="auto"/>
              <w:rPr>
                <w:rFonts w:ascii="Times New Roman" w:hAnsi="Times New Roman" w:cs="Times New Roman"/>
                <w:szCs w:val="24"/>
              </w:rPr>
            </w:pPr>
            <w:r>
              <w:rPr>
                <w:rFonts w:ascii="Times New Roman" w:hAnsi="Times New Roman" w:cs="Times New Roman"/>
                <w:szCs w:val="24"/>
              </w:rPr>
              <w:t>除因交易平台发生故障导致投标文件无法按时解密外，投标文件未按时解密的，视为未按规定提交投标文件。</w:t>
            </w:r>
          </w:p>
        </w:tc>
      </w:tr>
      <w:tr w14:paraId="1B69A81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6" w:hRule="atLeast"/>
        </w:trPr>
        <w:tc>
          <w:tcPr>
            <w:tcW w:w="970" w:type="dxa"/>
            <w:vAlign w:val="center"/>
          </w:tcPr>
          <w:p w14:paraId="27542542">
            <w:pPr>
              <w:pStyle w:val="51"/>
              <w:spacing w:line="360" w:lineRule="auto"/>
              <w:jc w:val="center"/>
              <w:rPr>
                <w:rFonts w:ascii="Times New Roman" w:hAnsi="Times New Roman" w:cs="Times New Roman"/>
                <w:szCs w:val="24"/>
              </w:rPr>
            </w:pPr>
            <w:r>
              <w:rPr>
                <w:rFonts w:ascii="Times New Roman" w:hAnsi="Times New Roman" w:cs="Times New Roman"/>
                <w:szCs w:val="24"/>
              </w:rPr>
              <w:t>29.1</w:t>
            </w:r>
          </w:p>
        </w:tc>
        <w:tc>
          <w:tcPr>
            <w:tcW w:w="1738" w:type="dxa"/>
            <w:vAlign w:val="center"/>
          </w:tcPr>
          <w:p w14:paraId="62262CB7">
            <w:pPr>
              <w:pStyle w:val="51"/>
              <w:spacing w:line="360" w:lineRule="auto"/>
              <w:rPr>
                <w:rFonts w:ascii="Times New Roman" w:hAnsi="Times New Roman" w:cs="Times New Roman"/>
                <w:szCs w:val="24"/>
              </w:rPr>
            </w:pPr>
            <w:r>
              <w:rPr>
                <w:rFonts w:ascii="Times New Roman" w:hAnsi="Times New Roman" w:cs="Times New Roman"/>
                <w:szCs w:val="24"/>
              </w:rPr>
              <w:t>评标方法</w:t>
            </w:r>
          </w:p>
        </w:tc>
        <w:tc>
          <w:tcPr>
            <w:tcW w:w="6700" w:type="dxa"/>
            <w:vAlign w:val="center"/>
          </w:tcPr>
          <w:p w14:paraId="6D8E5D37">
            <w:pPr>
              <w:pStyle w:val="51"/>
              <w:spacing w:line="360" w:lineRule="auto"/>
              <w:rPr>
                <w:rFonts w:ascii="Times New Roman" w:hAnsi="Times New Roman" w:cs="Times New Roman"/>
                <w:szCs w:val="24"/>
              </w:rPr>
            </w:pPr>
            <w:r>
              <w:rPr>
                <w:rFonts w:ascii="Times New Roman" w:hAnsi="Times New Roman" w:cs="Times New Roman"/>
                <w:szCs w:val="24"/>
              </w:rPr>
              <w:sym w:font="Wingdings" w:char="00FE"/>
            </w:r>
            <w:r>
              <w:rPr>
                <w:rFonts w:ascii="Times New Roman" w:hAnsi="Times New Roman" w:cs="Times New Roman"/>
                <w:szCs w:val="24"/>
              </w:rPr>
              <w:t>综合评分法</w:t>
            </w:r>
          </w:p>
          <w:p w14:paraId="099B0709">
            <w:pPr>
              <w:pStyle w:val="51"/>
              <w:spacing w:line="360" w:lineRule="auto"/>
              <w:rPr>
                <w:rFonts w:ascii="Times New Roman" w:hAnsi="Times New Roman" w:cs="Times New Roman"/>
                <w:szCs w:val="24"/>
              </w:rPr>
            </w:pPr>
            <w:r>
              <w:rPr>
                <w:rFonts w:ascii="Times New Roman" w:hAnsi="Times New Roman" w:cs="Times New Roman"/>
                <w:szCs w:val="24"/>
              </w:rPr>
              <w:sym w:font="Wingdings" w:char="00A8"/>
            </w:r>
            <w:r>
              <w:rPr>
                <w:rFonts w:ascii="Times New Roman" w:hAnsi="Times New Roman" w:cs="Times New Roman"/>
                <w:szCs w:val="24"/>
              </w:rPr>
              <w:t>最低评标价法</w:t>
            </w:r>
          </w:p>
        </w:tc>
      </w:tr>
      <w:tr w14:paraId="61EE711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3" w:hRule="atLeast"/>
        </w:trPr>
        <w:tc>
          <w:tcPr>
            <w:tcW w:w="970" w:type="dxa"/>
            <w:vAlign w:val="center"/>
          </w:tcPr>
          <w:p w14:paraId="3F61EFDE">
            <w:pPr>
              <w:pStyle w:val="51"/>
              <w:spacing w:line="360" w:lineRule="auto"/>
              <w:jc w:val="center"/>
              <w:rPr>
                <w:rFonts w:ascii="Times New Roman" w:hAnsi="Times New Roman" w:cs="Times New Roman"/>
                <w:szCs w:val="24"/>
              </w:rPr>
            </w:pPr>
            <w:r>
              <w:rPr>
                <w:rFonts w:ascii="Times New Roman" w:hAnsi="Times New Roman" w:cs="Times New Roman"/>
                <w:szCs w:val="24"/>
              </w:rPr>
              <w:t>29.3</w:t>
            </w:r>
          </w:p>
        </w:tc>
        <w:tc>
          <w:tcPr>
            <w:tcW w:w="1738" w:type="dxa"/>
            <w:vAlign w:val="center"/>
          </w:tcPr>
          <w:p w14:paraId="2B3BE101">
            <w:pPr>
              <w:pStyle w:val="51"/>
              <w:spacing w:line="360" w:lineRule="auto"/>
              <w:rPr>
                <w:rFonts w:ascii="Times New Roman" w:hAnsi="Times New Roman" w:cs="Times New Roman"/>
                <w:szCs w:val="24"/>
              </w:rPr>
            </w:pPr>
            <w:r>
              <w:rPr>
                <w:rFonts w:ascii="Times New Roman" w:hAnsi="Times New Roman" w:cs="Times New Roman"/>
                <w:szCs w:val="24"/>
              </w:rPr>
              <w:t>推荐中标候选人</w:t>
            </w:r>
          </w:p>
        </w:tc>
        <w:tc>
          <w:tcPr>
            <w:tcW w:w="6700" w:type="dxa"/>
            <w:vAlign w:val="center"/>
          </w:tcPr>
          <w:p w14:paraId="3333B689">
            <w:pPr>
              <w:pStyle w:val="51"/>
              <w:spacing w:line="360" w:lineRule="auto"/>
              <w:rPr>
                <w:rFonts w:ascii="Times New Roman" w:hAnsi="Times New Roman" w:cs="Times New Roman"/>
                <w:szCs w:val="24"/>
              </w:rPr>
            </w:pPr>
            <w:r>
              <w:rPr>
                <w:rFonts w:ascii="Times New Roman" w:hAnsi="Times New Roman" w:cs="Times New Roman"/>
                <w:szCs w:val="24"/>
              </w:rPr>
              <w:t>中标候选人数量</w:t>
            </w:r>
            <w:r>
              <w:rPr>
                <w:rFonts w:ascii="Times New Roman" w:hAnsi="Times New Roman" w:cs="Times New Roman"/>
                <w:szCs w:val="24"/>
                <w:u w:val="single"/>
              </w:rPr>
              <w:t xml:space="preserve">  3  </w:t>
            </w:r>
            <w:r>
              <w:rPr>
                <w:rFonts w:ascii="Times New Roman" w:hAnsi="Times New Roman" w:cs="Times New Roman"/>
                <w:szCs w:val="24"/>
              </w:rPr>
              <w:t>家</w:t>
            </w:r>
          </w:p>
        </w:tc>
      </w:tr>
      <w:tr w14:paraId="276DB4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374AE70">
            <w:pPr>
              <w:pStyle w:val="51"/>
              <w:spacing w:line="360" w:lineRule="auto"/>
              <w:jc w:val="center"/>
              <w:rPr>
                <w:rFonts w:ascii="Times New Roman" w:hAnsi="Times New Roman" w:cs="Times New Roman"/>
                <w:szCs w:val="24"/>
              </w:rPr>
            </w:pPr>
            <w:r>
              <w:rPr>
                <w:rFonts w:ascii="Times New Roman" w:hAnsi="Times New Roman" w:cs="Times New Roman"/>
                <w:szCs w:val="24"/>
              </w:rPr>
              <w:t>30.1</w:t>
            </w:r>
          </w:p>
        </w:tc>
        <w:tc>
          <w:tcPr>
            <w:tcW w:w="1738" w:type="dxa"/>
            <w:vAlign w:val="center"/>
          </w:tcPr>
          <w:p w14:paraId="7E54AB91">
            <w:pPr>
              <w:pStyle w:val="51"/>
              <w:spacing w:line="360" w:lineRule="auto"/>
              <w:rPr>
                <w:rFonts w:ascii="Times New Roman" w:hAnsi="Times New Roman" w:cs="Times New Roman"/>
                <w:szCs w:val="24"/>
              </w:rPr>
            </w:pPr>
            <w:r>
              <w:rPr>
                <w:rFonts w:ascii="Times New Roman" w:hAnsi="Times New Roman" w:cs="Times New Roman"/>
                <w:szCs w:val="24"/>
              </w:rPr>
              <w:t>确定中标人</w:t>
            </w:r>
          </w:p>
        </w:tc>
        <w:tc>
          <w:tcPr>
            <w:tcW w:w="6700" w:type="dxa"/>
            <w:vAlign w:val="center"/>
          </w:tcPr>
          <w:p w14:paraId="1146D250">
            <w:pPr>
              <w:pStyle w:val="51"/>
              <w:spacing w:line="360" w:lineRule="auto"/>
              <w:rPr>
                <w:rFonts w:ascii="Times New Roman" w:hAnsi="Times New Roman" w:cs="Times New Roman"/>
                <w:szCs w:val="24"/>
              </w:rPr>
            </w:pPr>
            <w:r>
              <w:rPr>
                <w:rFonts w:ascii="Times New Roman" w:hAnsi="Times New Roman" w:cs="Times New Roman"/>
                <w:szCs w:val="24"/>
              </w:rPr>
              <w:sym w:font="Wingdings" w:char="00FE"/>
            </w:r>
            <w:r>
              <w:rPr>
                <w:rFonts w:ascii="Times New Roman" w:hAnsi="Times New Roman" w:cs="Times New Roman"/>
                <w:szCs w:val="24"/>
              </w:rPr>
              <w:t>采购人按评审报告中推荐的中标候选人排序确定中标人。</w:t>
            </w:r>
          </w:p>
          <w:p w14:paraId="64FF0B9F">
            <w:pPr>
              <w:pStyle w:val="51"/>
              <w:spacing w:line="360" w:lineRule="auto"/>
              <w:rPr>
                <w:rFonts w:ascii="Times New Roman" w:hAnsi="Times New Roman" w:cs="Times New Roman"/>
                <w:szCs w:val="24"/>
              </w:rPr>
            </w:pPr>
            <w:r>
              <w:rPr>
                <w:rFonts w:ascii="Times New Roman" w:hAnsi="Times New Roman" w:cs="Times New Roman"/>
                <w:szCs w:val="24"/>
              </w:rPr>
              <w:sym w:font="Wingdings" w:char="00A8"/>
            </w:r>
            <w:r>
              <w:rPr>
                <w:rFonts w:ascii="Times New Roman" w:hAnsi="Times New Roman" w:cs="Times New Roman"/>
                <w:szCs w:val="24"/>
              </w:rPr>
              <w:t>采购人委托评标委员会直接确定中标人。</w:t>
            </w:r>
          </w:p>
        </w:tc>
      </w:tr>
      <w:tr w14:paraId="36B246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6AB744C">
            <w:pPr>
              <w:pStyle w:val="51"/>
              <w:spacing w:line="360" w:lineRule="auto"/>
              <w:jc w:val="center"/>
              <w:rPr>
                <w:rFonts w:ascii="Times New Roman" w:hAnsi="Times New Roman" w:cs="Times New Roman"/>
                <w:szCs w:val="24"/>
              </w:rPr>
            </w:pPr>
            <w:r>
              <w:rPr>
                <w:rFonts w:ascii="Times New Roman" w:hAnsi="Times New Roman" w:cs="Times New Roman"/>
                <w:szCs w:val="24"/>
              </w:rPr>
              <w:t>33.1</w:t>
            </w:r>
          </w:p>
        </w:tc>
        <w:tc>
          <w:tcPr>
            <w:tcW w:w="1738" w:type="dxa"/>
            <w:vAlign w:val="center"/>
          </w:tcPr>
          <w:p w14:paraId="6A995E86">
            <w:pPr>
              <w:pStyle w:val="51"/>
              <w:spacing w:line="360" w:lineRule="auto"/>
              <w:rPr>
                <w:rFonts w:ascii="Times New Roman" w:hAnsi="Times New Roman" w:cs="Times New Roman"/>
                <w:szCs w:val="24"/>
              </w:rPr>
            </w:pPr>
            <w:r>
              <w:rPr>
                <w:rFonts w:ascii="Times New Roman" w:hAnsi="Times New Roman" w:cs="Times New Roman"/>
                <w:szCs w:val="24"/>
              </w:rPr>
              <w:t>履约保证金</w:t>
            </w:r>
          </w:p>
        </w:tc>
        <w:tc>
          <w:tcPr>
            <w:tcW w:w="6700" w:type="dxa"/>
            <w:vAlign w:val="center"/>
          </w:tcPr>
          <w:p w14:paraId="0B215346">
            <w:pPr>
              <w:pStyle w:val="51"/>
              <w:spacing w:line="360" w:lineRule="auto"/>
              <w:rPr>
                <w:rFonts w:ascii="Times New Roman" w:hAnsi="Times New Roman" w:cs="Times New Roman"/>
                <w:szCs w:val="24"/>
              </w:rPr>
            </w:pPr>
            <w:r>
              <w:rPr>
                <w:rFonts w:hint="eastAsia" w:ascii="Times New Roman" w:hAnsi="Times New Roman" w:cs="Times New Roman"/>
                <w:szCs w:val="24"/>
                <w:highlight w:val="none"/>
                <w:lang w:val="en-US" w:eastAsia="zh-CN"/>
              </w:rPr>
              <w:t>1.</w:t>
            </w:r>
            <w:r>
              <w:rPr>
                <w:rFonts w:ascii="Times New Roman" w:hAnsi="Times New Roman" w:cs="Times New Roman"/>
                <w:szCs w:val="24"/>
              </w:rPr>
              <w:sym w:font="Wingdings" w:char="00A8"/>
            </w:r>
            <w:r>
              <w:rPr>
                <w:rFonts w:ascii="Times New Roman" w:hAnsi="Times New Roman" w:cs="Times New Roman"/>
                <w:szCs w:val="24"/>
                <w:highlight w:val="none"/>
              </w:rPr>
              <w:t>定</w:t>
            </w:r>
            <w:r>
              <w:rPr>
                <w:rFonts w:ascii="Times New Roman" w:hAnsi="Times New Roman" w:cs="Times New Roman"/>
                <w:szCs w:val="24"/>
              </w:rPr>
              <w:t xml:space="preserve">额收取：人民币： </w:t>
            </w:r>
          </w:p>
          <w:p w14:paraId="6F4963C0">
            <w:pPr>
              <w:pStyle w:val="51"/>
              <w:spacing w:line="360" w:lineRule="auto"/>
              <w:rPr>
                <w:rFonts w:hint="default" w:ascii="Times New Roman" w:hAnsi="Times New Roman" w:eastAsia="宋体" w:cs="Times New Roman"/>
                <w:szCs w:val="24"/>
                <w:lang w:val="en-US" w:eastAsia="zh-CN"/>
              </w:rPr>
            </w:pPr>
            <w:r>
              <w:rPr>
                <w:rFonts w:ascii="Times New Roman" w:hAnsi="Times New Roman" w:cs="Times New Roman"/>
                <w:szCs w:val="24"/>
              </w:rPr>
              <w:sym w:font="Wingdings" w:char="00FE"/>
            </w:r>
            <w:r>
              <w:rPr>
                <w:rFonts w:hint="eastAsia" w:ascii="Times New Roman" w:hAnsi="Times New Roman" w:cs="Times New Roman"/>
                <w:szCs w:val="24"/>
                <w:lang w:val="en-US" w:eastAsia="zh-CN"/>
              </w:rPr>
              <w:t>合同签订价款的5%</w:t>
            </w:r>
          </w:p>
          <w:p w14:paraId="18844F11">
            <w:pPr>
              <w:pStyle w:val="51"/>
              <w:spacing w:line="360" w:lineRule="auto"/>
              <w:rPr>
                <w:rFonts w:ascii="Times New Roman" w:hAnsi="Times New Roman" w:cs="Times New Roman"/>
                <w:szCs w:val="24"/>
              </w:rPr>
            </w:pPr>
            <w:r>
              <w:rPr>
                <w:rFonts w:ascii="Times New Roman" w:hAnsi="Times New Roman" w:cs="Times New Roman"/>
                <w:szCs w:val="24"/>
              </w:rPr>
              <w:t>2.支付方式：投标人可自主选择以支票、汇票、本票、电汇、转账、网银、保函等非现金形式缴纳或提交保证金。</w:t>
            </w:r>
          </w:p>
          <w:p w14:paraId="1A0000A6">
            <w:pPr>
              <w:pStyle w:val="11"/>
              <w:spacing w:line="360" w:lineRule="auto"/>
              <w:ind w:firstLine="0" w:firstLine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递交履约担保时间：</w:t>
            </w:r>
            <w:r>
              <w:rPr>
                <w:rFonts w:hint="eastAsia" w:ascii="宋体" w:hAnsi="宋体" w:eastAsia="宋体" w:cs="宋体"/>
                <w:sz w:val="24"/>
                <w:szCs w:val="24"/>
                <w:highlight w:val="none"/>
                <w:lang w:val="en-US" w:eastAsia="zh-CN"/>
              </w:rPr>
              <w:t>中标通知书发出之日起30日内</w:t>
            </w:r>
            <w:r>
              <w:rPr>
                <w:rFonts w:hint="eastAsia" w:ascii="宋体" w:hAnsi="宋体" w:eastAsia="宋体" w:cs="宋体"/>
                <w:sz w:val="24"/>
                <w:szCs w:val="24"/>
                <w:highlight w:val="none"/>
              </w:rPr>
              <w:t>。</w:t>
            </w:r>
          </w:p>
          <w:p w14:paraId="45987EB4">
            <w:pPr>
              <w:pStyle w:val="11"/>
              <w:spacing w:line="360" w:lineRule="auto"/>
              <w:ind w:firstLine="0" w:firstLineChars="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履约担保期：</w:t>
            </w:r>
            <w:r>
              <w:rPr>
                <w:rFonts w:hint="eastAsia" w:ascii="宋体" w:hAnsi="宋体" w:eastAsia="宋体" w:cs="宋体"/>
                <w:sz w:val="24"/>
                <w:szCs w:val="24"/>
                <w:highlight w:val="none"/>
                <w:lang w:val="en-US" w:eastAsia="zh-CN"/>
              </w:rPr>
              <w:t>合同签订后至</w:t>
            </w:r>
            <w:r>
              <w:rPr>
                <w:rFonts w:hint="eastAsia" w:hAnsi="宋体" w:eastAsia="宋体" w:cs="宋体"/>
                <w:sz w:val="24"/>
                <w:szCs w:val="24"/>
                <w:highlight w:val="none"/>
                <w:lang w:val="en-US" w:eastAsia="zh-CN"/>
              </w:rPr>
              <w:t>服务</w:t>
            </w:r>
            <w:r>
              <w:rPr>
                <w:rFonts w:hint="eastAsia" w:ascii="宋体" w:hAnsi="宋体" w:eastAsia="宋体" w:cs="宋体"/>
                <w:sz w:val="24"/>
                <w:szCs w:val="24"/>
                <w:highlight w:val="none"/>
                <w:lang w:val="en-US" w:eastAsia="zh-CN"/>
              </w:rPr>
              <w:t>期结束</w:t>
            </w:r>
            <w:r>
              <w:rPr>
                <w:rFonts w:hint="eastAsia" w:ascii="宋体" w:hAnsi="宋体" w:eastAsia="宋体" w:cs="宋体"/>
                <w:sz w:val="24"/>
                <w:szCs w:val="24"/>
                <w:highlight w:val="none"/>
                <w:lang w:eastAsia="zh-CN"/>
              </w:rPr>
              <w:t>。</w:t>
            </w:r>
          </w:p>
          <w:p w14:paraId="047B3B35">
            <w:pPr>
              <w:pStyle w:val="51"/>
              <w:spacing w:line="360" w:lineRule="auto"/>
              <w:rPr>
                <w:rFonts w:ascii="Times New Roman" w:hAnsi="Times New Roman" w:cs="Times New Roman"/>
                <w:szCs w:val="24"/>
              </w:rPr>
            </w:pPr>
            <w:r>
              <w:rPr>
                <w:rFonts w:hint="eastAsia" w:ascii="宋体" w:hAnsi="宋体" w:eastAsia="宋体" w:cs="宋体"/>
                <w:sz w:val="24"/>
                <w:szCs w:val="24"/>
                <w:highlight w:val="none"/>
              </w:rPr>
              <w:t>履约保证金的退还：服务期结束后，若乙方在合同期内没有违约行为，由乙方提出申请，甲方履行完必要的审批手续后，</w:t>
            </w:r>
            <w:r>
              <w:rPr>
                <w:rFonts w:hint="eastAsia" w:ascii="宋体" w:hAnsi="宋体" w:eastAsia="宋体" w:cs="宋体"/>
                <w:sz w:val="24"/>
                <w:szCs w:val="24"/>
                <w:highlight w:val="none"/>
                <w:lang w:val="en-US" w:eastAsia="zh-CN"/>
              </w:rPr>
              <w:t>无息</w:t>
            </w:r>
            <w:r>
              <w:rPr>
                <w:rFonts w:hint="eastAsia" w:ascii="宋体" w:hAnsi="宋体" w:eastAsia="宋体" w:cs="宋体"/>
                <w:sz w:val="24"/>
                <w:szCs w:val="24"/>
                <w:highlight w:val="none"/>
              </w:rPr>
              <w:t>返还履约保证金。</w:t>
            </w:r>
            <w:r>
              <w:rPr>
                <w:rFonts w:ascii="Times New Roman" w:hAnsi="Times New Roman" w:cs="Times New Roman"/>
                <w:szCs w:val="24"/>
              </w:rPr>
              <w:t xml:space="preserve">                 </w:t>
            </w:r>
          </w:p>
          <w:p w14:paraId="069B2591">
            <w:pPr>
              <w:pStyle w:val="51"/>
              <w:spacing w:line="360" w:lineRule="auto"/>
              <w:rPr>
                <w:rFonts w:ascii="Times New Roman" w:hAnsi="Times New Roman" w:cs="Times New Roman"/>
                <w:b/>
                <w:bCs/>
                <w:szCs w:val="24"/>
              </w:rPr>
            </w:pPr>
            <w:r>
              <w:rPr>
                <w:rFonts w:ascii="Times New Roman" w:hAnsi="Times New Roman" w:cs="Times New Roman"/>
                <w:b/>
                <w:bCs/>
                <w:szCs w:val="24"/>
              </w:rPr>
              <w:t>注意事项：</w:t>
            </w:r>
          </w:p>
          <w:p w14:paraId="08FCDFD4">
            <w:pPr>
              <w:pStyle w:val="51"/>
              <w:spacing w:line="360" w:lineRule="auto"/>
              <w:rPr>
                <w:rFonts w:ascii="Times New Roman" w:hAnsi="Times New Roman" w:cs="Times New Roman"/>
                <w:szCs w:val="24"/>
              </w:rPr>
            </w:pPr>
            <w:r>
              <w:rPr>
                <w:rFonts w:ascii="Times New Roman" w:hAnsi="Times New Roman" w:cs="Times New Roman"/>
                <w:szCs w:val="24"/>
              </w:rPr>
              <w:t xml:space="preserve">  1.以上各类机构出具的以担保函、保证保险承担责任的方式均须满足无条件见索即付条件。</w:t>
            </w:r>
          </w:p>
          <w:p w14:paraId="68238BAC">
            <w:pPr>
              <w:pStyle w:val="51"/>
              <w:spacing w:line="360" w:lineRule="auto"/>
              <w:rPr>
                <w:rFonts w:ascii="Times New Roman" w:hAnsi="Times New Roman" w:cs="Times New Roman"/>
                <w:szCs w:val="24"/>
              </w:rPr>
            </w:pPr>
            <w:r>
              <w:rPr>
                <w:rFonts w:ascii="Times New Roman" w:hAnsi="Times New Roman" w:cs="Times New Roman"/>
                <w:szCs w:val="24"/>
              </w:rPr>
              <w:t xml:space="preserve">  2.以担保函、保证保险形式缴纳履约保证金的，受益人和收取单位须为采购人。</w:t>
            </w:r>
          </w:p>
        </w:tc>
      </w:tr>
      <w:tr w14:paraId="2E10D3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2" w:hRule="atLeast"/>
        </w:trPr>
        <w:tc>
          <w:tcPr>
            <w:tcW w:w="970" w:type="dxa"/>
            <w:vAlign w:val="center"/>
          </w:tcPr>
          <w:p w14:paraId="7047E12F">
            <w:pPr>
              <w:pStyle w:val="51"/>
              <w:spacing w:line="360" w:lineRule="auto"/>
              <w:jc w:val="center"/>
              <w:rPr>
                <w:rFonts w:ascii="Times New Roman" w:hAnsi="Times New Roman" w:cs="Times New Roman"/>
                <w:szCs w:val="24"/>
              </w:rPr>
            </w:pPr>
            <w:r>
              <w:rPr>
                <w:rFonts w:ascii="Times New Roman" w:hAnsi="Times New Roman" w:cs="Times New Roman"/>
                <w:szCs w:val="24"/>
              </w:rPr>
              <w:t>34.5</w:t>
            </w:r>
          </w:p>
        </w:tc>
        <w:tc>
          <w:tcPr>
            <w:tcW w:w="1738" w:type="dxa"/>
            <w:vAlign w:val="center"/>
          </w:tcPr>
          <w:p w14:paraId="1096C0DD">
            <w:pPr>
              <w:pStyle w:val="51"/>
              <w:spacing w:line="360" w:lineRule="auto"/>
              <w:rPr>
                <w:rFonts w:ascii="Times New Roman" w:hAnsi="Times New Roman" w:cs="Times New Roman"/>
                <w:szCs w:val="24"/>
              </w:rPr>
            </w:pPr>
            <w:r>
              <w:rPr>
                <w:rFonts w:ascii="Times New Roman" w:hAnsi="Times New Roman" w:cs="Times New Roman"/>
                <w:szCs w:val="24"/>
              </w:rPr>
              <w:t>中标后分包</w:t>
            </w:r>
          </w:p>
        </w:tc>
        <w:tc>
          <w:tcPr>
            <w:tcW w:w="6700" w:type="dxa"/>
            <w:vAlign w:val="center"/>
          </w:tcPr>
          <w:p w14:paraId="02718A46">
            <w:pPr>
              <w:pStyle w:val="51"/>
              <w:spacing w:line="360" w:lineRule="auto"/>
              <w:rPr>
                <w:rFonts w:ascii="Times New Roman" w:hAnsi="Times New Roman" w:cs="Times New Roman"/>
                <w:szCs w:val="24"/>
              </w:rPr>
            </w:pPr>
            <w:r>
              <w:rPr>
                <w:rFonts w:ascii="Times New Roman" w:hAnsi="Times New Roman" w:cs="Times New Roman"/>
                <w:szCs w:val="24"/>
              </w:rPr>
              <w:t xml:space="preserve">本项目的非主体、非关键性工作是否允许分包： </w:t>
            </w:r>
          </w:p>
          <w:p w14:paraId="58D24471">
            <w:pPr>
              <w:pStyle w:val="51"/>
              <w:spacing w:line="360" w:lineRule="auto"/>
              <w:ind w:firstLine="480" w:firstLineChars="200"/>
              <w:rPr>
                <w:rFonts w:ascii="Times New Roman" w:hAnsi="Times New Roman" w:cs="Times New Roman"/>
                <w:szCs w:val="24"/>
              </w:rPr>
            </w:pPr>
            <w:r>
              <w:rPr>
                <w:rFonts w:ascii="Times New Roman" w:hAnsi="Times New Roman" w:cs="Times New Roman"/>
                <w:szCs w:val="24"/>
              </w:rPr>
              <w:t xml:space="preserve">☑不允许 </w:t>
            </w:r>
          </w:p>
          <w:p w14:paraId="159898EB">
            <w:pPr>
              <w:pStyle w:val="51"/>
              <w:spacing w:line="360" w:lineRule="auto"/>
              <w:ind w:firstLine="480" w:firstLineChars="200"/>
              <w:rPr>
                <w:rFonts w:ascii="Times New Roman" w:hAnsi="Times New Roman" w:cs="Times New Roman"/>
                <w:szCs w:val="24"/>
              </w:rPr>
            </w:pPr>
            <w:r>
              <w:rPr>
                <w:rFonts w:ascii="Times New Roman" w:hAnsi="Times New Roman" w:cs="Times New Roman"/>
                <w:szCs w:val="24"/>
              </w:rPr>
              <w:t xml:space="preserve">□允许，具体要求： </w:t>
            </w:r>
          </w:p>
          <w:p w14:paraId="1A2F2F23">
            <w:pPr>
              <w:pStyle w:val="51"/>
              <w:spacing w:line="360" w:lineRule="auto"/>
              <w:rPr>
                <w:rFonts w:ascii="Times New Roman" w:hAnsi="Times New Roman" w:cs="Times New Roman"/>
                <w:szCs w:val="24"/>
              </w:rPr>
            </w:pPr>
            <w:r>
              <w:rPr>
                <w:rFonts w:ascii="Times New Roman" w:hAnsi="Times New Roman" w:cs="Times New Roman"/>
                <w:szCs w:val="24"/>
              </w:rPr>
              <w:t xml:space="preserve">     1.可以分包履行的具体内容：_/____； </w:t>
            </w:r>
          </w:p>
          <w:p w14:paraId="1F301B4C">
            <w:pPr>
              <w:pStyle w:val="51"/>
              <w:spacing w:line="360" w:lineRule="auto"/>
              <w:rPr>
                <w:rFonts w:ascii="Times New Roman" w:hAnsi="Times New Roman" w:cs="Times New Roman"/>
                <w:szCs w:val="24"/>
              </w:rPr>
            </w:pPr>
            <w:r>
              <w:rPr>
                <w:rFonts w:ascii="Times New Roman" w:hAnsi="Times New Roman" w:cs="Times New Roman"/>
                <w:szCs w:val="24"/>
              </w:rPr>
              <w:t xml:space="preserve">     2.允许分包的金额或者比例：__/___； </w:t>
            </w:r>
          </w:p>
          <w:p w14:paraId="1393F453">
            <w:pPr>
              <w:pStyle w:val="51"/>
              <w:spacing w:line="360" w:lineRule="auto"/>
              <w:rPr>
                <w:rFonts w:ascii="Times New Roman" w:hAnsi="Times New Roman" w:cs="Times New Roman"/>
                <w:szCs w:val="24"/>
              </w:rPr>
            </w:pPr>
            <w:r>
              <w:rPr>
                <w:rFonts w:ascii="Times New Roman" w:hAnsi="Times New Roman" w:cs="Times New Roman"/>
                <w:szCs w:val="24"/>
              </w:rPr>
              <w:t xml:space="preserve">     3.其他要求：_/____。 </w:t>
            </w:r>
          </w:p>
        </w:tc>
      </w:tr>
      <w:tr w14:paraId="36DF9B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67F095F">
            <w:pPr>
              <w:pStyle w:val="51"/>
              <w:spacing w:line="360" w:lineRule="auto"/>
              <w:jc w:val="center"/>
              <w:rPr>
                <w:rFonts w:ascii="Times New Roman" w:hAnsi="Times New Roman" w:cs="Times New Roman"/>
                <w:szCs w:val="24"/>
              </w:rPr>
            </w:pPr>
            <w:r>
              <w:rPr>
                <w:rFonts w:ascii="Times New Roman" w:hAnsi="Times New Roman" w:cs="Times New Roman"/>
                <w:szCs w:val="24"/>
              </w:rPr>
              <w:t>35.1</w:t>
            </w:r>
          </w:p>
        </w:tc>
        <w:tc>
          <w:tcPr>
            <w:tcW w:w="1738" w:type="dxa"/>
            <w:vAlign w:val="center"/>
          </w:tcPr>
          <w:p w14:paraId="6297708E">
            <w:pPr>
              <w:pStyle w:val="51"/>
              <w:spacing w:line="360" w:lineRule="auto"/>
              <w:rPr>
                <w:rFonts w:ascii="Times New Roman" w:hAnsi="Times New Roman" w:cs="Times New Roman"/>
                <w:szCs w:val="24"/>
              </w:rPr>
            </w:pPr>
            <w:r>
              <w:rPr>
                <w:rFonts w:ascii="Times New Roman" w:hAnsi="Times New Roman" w:cs="Times New Roman"/>
                <w:szCs w:val="24"/>
              </w:rPr>
              <w:t>质疑</w:t>
            </w:r>
          </w:p>
        </w:tc>
        <w:tc>
          <w:tcPr>
            <w:tcW w:w="6700" w:type="dxa"/>
            <w:vAlign w:val="center"/>
          </w:tcPr>
          <w:p w14:paraId="66C5D8C4">
            <w:pPr>
              <w:pStyle w:val="59"/>
              <w:autoSpaceDE w:val="0"/>
              <w:autoSpaceDN w:val="0"/>
              <w:adjustRightInd w:val="0"/>
              <w:spacing w:line="360" w:lineRule="auto"/>
              <w:rPr>
                <w:rFonts w:ascii="Times New Roman" w:hAnsi="Times New Roman"/>
                <w:sz w:val="24"/>
                <w:lang w:val="zh-CN"/>
              </w:rPr>
            </w:pPr>
            <w:r>
              <w:rPr>
                <w:rFonts w:ascii="Times New Roman" w:hAnsi="Times New Roman"/>
                <w:sz w:val="24"/>
                <w:lang w:val="zh-CN"/>
              </w:rPr>
              <w:t xml:space="preserve">递交方式：纸质版盖章质疑函递交至招标代理公司              </w:t>
            </w:r>
          </w:p>
          <w:p w14:paraId="4F19C798">
            <w:pPr>
              <w:pStyle w:val="59"/>
              <w:autoSpaceDE w:val="0"/>
              <w:autoSpaceDN w:val="0"/>
              <w:adjustRightInd w:val="0"/>
              <w:spacing w:line="360" w:lineRule="auto"/>
              <w:rPr>
                <w:rFonts w:ascii="Times New Roman" w:hAnsi="Times New Roman"/>
                <w:sz w:val="24"/>
                <w:lang w:val="zh-CN"/>
              </w:rPr>
            </w:pPr>
            <w:r>
              <w:rPr>
                <w:rFonts w:ascii="Times New Roman" w:hAnsi="Times New Roman"/>
                <w:sz w:val="24"/>
                <w:lang w:val="zh-CN"/>
              </w:rPr>
              <w:t>接收部门：招标</w:t>
            </w:r>
            <w:r>
              <w:rPr>
                <w:rFonts w:hint="eastAsia" w:ascii="Times New Roman" w:hAnsi="Times New Roman"/>
                <w:sz w:val="24"/>
              </w:rPr>
              <w:t>八</w:t>
            </w:r>
            <w:r>
              <w:rPr>
                <w:rFonts w:ascii="Times New Roman" w:hAnsi="Times New Roman"/>
                <w:sz w:val="24"/>
                <w:lang w:val="zh-CN"/>
              </w:rPr>
              <w:t xml:space="preserve">部              </w:t>
            </w:r>
          </w:p>
          <w:p w14:paraId="2B0AFDBE">
            <w:pPr>
              <w:pStyle w:val="59"/>
              <w:autoSpaceDE w:val="0"/>
              <w:autoSpaceDN w:val="0"/>
              <w:adjustRightInd w:val="0"/>
              <w:spacing w:line="360" w:lineRule="auto"/>
              <w:rPr>
                <w:rFonts w:ascii="Times New Roman" w:hAnsi="Times New Roman"/>
                <w:sz w:val="24"/>
                <w:lang w:val="zh-CN"/>
              </w:rPr>
            </w:pPr>
            <w:r>
              <w:rPr>
                <w:rFonts w:ascii="Times New Roman" w:hAnsi="Times New Roman"/>
                <w:sz w:val="24"/>
                <w:lang w:val="zh-CN"/>
              </w:rPr>
              <w:t>联系电话：</w:t>
            </w:r>
            <w:r>
              <w:rPr>
                <w:rFonts w:hint="eastAsia" w:ascii="Times New Roman" w:hAnsi="Times New Roman"/>
                <w:sz w:val="24"/>
              </w:rPr>
              <w:t>徐霞 13095024096</w:t>
            </w:r>
            <w:r>
              <w:rPr>
                <w:rFonts w:ascii="Times New Roman" w:hAnsi="Times New Roman"/>
                <w:sz w:val="24"/>
                <w:lang w:val="zh-CN"/>
              </w:rPr>
              <w:t xml:space="preserve">             </w:t>
            </w:r>
          </w:p>
          <w:p w14:paraId="5FB52E99">
            <w:pPr>
              <w:pStyle w:val="59"/>
              <w:autoSpaceDE w:val="0"/>
              <w:autoSpaceDN w:val="0"/>
              <w:adjustRightInd w:val="0"/>
              <w:spacing w:line="360" w:lineRule="auto"/>
              <w:rPr>
                <w:rFonts w:ascii="Times New Roman" w:hAnsi="Times New Roman"/>
                <w:sz w:val="24"/>
                <w:lang w:val="zh-CN"/>
              </w:rPr>
            </w:pPr>
            <w:r>
              <w:rPr>
                <w:rFonts w:ascii="Times New Roman" w:hAnsi="Times New Roman"/>
                <w:sz w:val="24"/>
                <w:lang w:val="zh-CN"/>
              </w:rPr>
              <w:t>通讯地址：乌鲁木齐市水磨沟区南湖北路486号南湖明珠大厦南区8楼</w:t>
            </w:r>
          </w:p>
          <w:p w14:paraId="44C995D9">
            <w:pPr>
              <w:pStyle w:val="59"/>
              <w:autoSpaceDE w:val="0"/>
              <w:autoSpaceDN w:val="0"/>
              <w:adjustRightInd w:val="0"/>
              <w:spacing w:line="360" w:lineRule="auto"/>
              <w:rPr>
                <w:rFonts w:ascii="Times New Roman" w:hAnsi="Times New Roman"/>
                <w:sz w:val="24"/>
                <w:lang w:val="zh-CN"/>
              </w:rPr>
            </w:pPr>
            <w:r>
              <w:rPr>
                <w:rFonts w:ascii="Times New Roman" w:hAnsi="Times New Roman"/>
                <w:sz w:val="24"/>
                <w:lang w:val="zh-CN"/>
              </w:rPr>
              <w:t>注：供应商认为采购文件、采购过程、中标或者成交结果使自己的权益受到损害的，可以在知道或者应知其权益受到损害之日起7个工作日内，以书面形式向采购人、采购代理机构提出质疑。</w:t>
            </w:r>
          </w:p>
          <w:p w14:paraId="04867FC0">
            <w:pPr>
              <w:pStyle w:val="59"/>
              <w:autoSpaceDE w:val="0"/>
              <w:autoSpaceDN w:val="0"/>
              <w:adjustRightInd w:val="0"/>
              <w:spacing w:line="360" w:lineRule="auto"/>
              <w:rPr>
                <w:rFonts w:ascii="Times New Roman" w:hAnsi="Times New Roman"/>
                <w:sz w:val="24"/>
                <w:lang w:val="zh-CN"/>
              </w:rPr>
            </w:pPr>
            <w:r>
              <w:rPr>
                <w:rFonts w:ascii="Times New Roman" w:hAnsi="Times New Roman"/>
                <w:sz w:val="24"/>
                <w:lang w:val="zh-CN"/>
              </w:rPr>
              <w:t xml:space="preserve">供应商须在法定质疑期内一次性提出针对同一采购程序环节的质疑 </w:t>
            </w:r>
          </w:p>
        </w:tc>
      </w:tr>
      <w:tr w14:paraId="743566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80" w:hRule="atLeast"/>
        </w:trPr>
        <w:tc>
          <w:tcPr>
            <w:tcW w:w="970" w:type="dxa"/>
            <w:vAlign w:val="center"/>
          </w:tcPr>
          <w:p w14:paraId="3B4B30D0">
            <w:pPr>
              <w:pStyle w:val="51"/>
              <w:spacing w:line="360" w:lineRule="auto"/>
              <w:jc w:val="center"/>
              <w:rPr>
                <w:rFonts w:ascii="Times New Roman" w:hAnsi="Times New Roman" w:cs="Times New Roman"/>
                <w:szCs w:val="24"/>
              </w:rPr>
            </w:pPr>
            <w:r>
              <w:rPr>
                <w:rFonts w:ascii="Times New Roman" w:hAnsi="Times New Roman" w:cs="Times New Roman"/>
                <w:szCs w:val="24"/>
              </w:rPr>
              <w:t>38.1</w:t>
            </w:r>
          </w:p>
        </w:tc>
        <w:tc>
          <w:tcPr>
            <w:tcW w:w="1738" w:type="dxa"/>
            <w:vAlign w:val="center"/>
          </w:tcPr>
          <w:p w14:paraId="4E9C6A29">
            <w:pPr>
              <w:pStyle w:val="51"/>
              <w:spacing w:line="360" w:lineRule="auto"/>
              <w:rPr>
                <w:rFonts w:ascii="Times New Roman" w:hAnsi="Times New Roman" w:cs="Times New Roman"/>
                <w:szCs w:val="24"/>
              </w:rPr>
            </w:pPr>
            <w:r>
              <w:rPr>
                <w:rFonts w:ascii="Times New Roman" w:hAnsi="Times New Roman" w:cs="Times New Roman"/>
                <w:szCs w:val="24"/>
              </w:rPr>
              <w:t>采购代理服务费</w:t>
            </w:r>
          </w:p>
        </w:tc>
        <w:tc>
          <w:tcPr>
            <w:tcW w:w="6700" w:type="dxa"/>
            <w:vAlign w:val="center"/>
          </w:tcPr>
          <w:p w14:paraId="61A1957D">
            <w:pPr>
              <w:pStyle w:val="51"/>
              <w:spacing w:line="360" w:lineRule="auto"/>
              <w:rPr>
                <w:rFonts w:ascii="Times New Roman" w:hAnsi="Times New Roman" w:cs="Times New Roman"/>
                <w:szCs w:val="24"/>
              </w:rPr>
            </w:pPr>
            <w:r>
              <w:rPr>
                <w:rFonts w:ascii="Times New Roman" w:hAnsi="Times New Roman" w:cs="Times New Roman"/>
                <w:szCs w:val="24"/>
              </w:rPr>
              <w:t xml:space="preserve">1.收费对象：中标人支付 </w:t>
            </w:r>
          </w:p>
          <w:p w14:paraId="0EF0BA26">
            <w:pPr>
              <w:pStyle w:val="51"/>
              <w:spacing w:line="360" w:lineRule="auto"/>
              <w:rPr>
                <w:rFonts w:ascii="Times New Roman" w:hAnsi="Times New Roman" w:cs="Times New Roman"/>
                <w:szCs w:val="24"/>
              </w:rPr>
            </w:pPr>
            <w:r>
              <w:rPr>
                <w:rFonts w:ascii="Times New Roman" w:hAnsi="Times New Roman" w:cs="Times New Roman"/>
                <w:szCs w:val="24"/>
              </w:rPr>
              <w:t>2.收费标准：参照国家计委关于印发《招标代理服务收费管理暂行办法》的通知（计价格[2002]1980号）收费标准</w:t>
            </w:r>
            <w:r>
              <w:rPr>
                <w:rFonts w:hint="eastAsia" w:ascii="Times New Roman" w:hAnsi="Times New Roman" w:cs="Times New Roman"/>
                <w:szCs w:val="24"/>
              </w:rPr>
              <w:t>下浮</w:t>
            </w:r>
            <w:r>
              <w:rPr>
                <w:rFonts w:hint="eastAsia" w:ascii="Times New Roman" w:hAnsi="Times New Roman" w:cs="Times New Roman"/>
                <w:szCs w:val="24"/>
                <w:u w:val="single"/>
              </w:rPr>
              <w:t xml:space="preserve"> 10%</w:t>
            </w:r>
            <w:r>
              <w:rPr>
                <w:rFonts w:ascii="Times New Roman" w:hAnsi="Times New Roman" w:cs="Times New Roman"/>
                <w:szCs w:val="24"/>
              </w:rPr>
              <w:t>差额定率累进法计算，计算基准价中标单位的中标价格</w:t>
            </w:r>
            <w:r>
              <w:rPr>
                <w:rFonts w:hint="eastAsia" w:ascii="Times New Roman" w:hAnsi="Times New Roman" w:cs="Times New Roman"/>
                <w:szCs w:val="24"/>
              </w:rPr>
              <w:t>，</w:t>
            </w:r>
            <w:r>
              <w:rPr>
                <w:rFonts w:ascii="Times New Roman" w:hAnsi="Times New Roman" w:cs="Times New Roman"/>
                <w:szCs w:val="24"/>
              </w:rPr>
              <w:t>向中标人一次性收取。</w:t>
            </w:r>
          </w:p>
          <w:p w14:paraId="44220032">
            <w:pPr>
              <w:pStyle w:val="51"/>
              <w:spacing w:line="360" w:lineRule="auto"/>
              <w:rPr>
                <w:rFonts w:ascii="Times New Roman" w:hAnsi="Times New Roman" w:cs="Times New Roman"/>
                <w:szCs w:val="24"/>
              </w:rPr>
            </w:pPr>
            <w:r>
              <w:rPr>
                <w:rFonts w:ascii="Times New Roman" w:hAnsi="Times New Roman" w:cs="Times New Roman"/>
                <w:szCs w:val="24"/>
              </w:rPr>
              <w:t>3.收取时间：领取中标通知书前</w:t>
            </w:r>
          </w:p>
          <w:p w14:paraId="676E6770">
            <w:pPr>
              <w:pStyle w:val="51"/>
              <w:spacing w:line="360" w:lineRule="auto"/>
              <w:rPr>
                <w:rFonts w:ascii="Times New Roman" w:hAnsi="Times New Roman" w:cs="Times New Roman"/>
              </w:rPr>
            </w:pPr>
            <w:r>
              <w:rPr>
                <w:rFonts w:ascii="Times New Roman" w:hAnsi="Times New Roman" w:cs="Times New Roman"/>
                <w:szCs w:val="24"/>
              </w:rPr>
              <w:t>4.收取方式：</w:t>
            </w:r>
            <w:r>
              <w:rPr>
                <w:rFonts w:ascii="Times New Roman" w:hAnsi="Times New Roman" w:cs="Times New Roman"/>
              </w:rPr>
              <w:t>电汇，由中标人一次性支付或由招标代理直接在投标保证金中扣除。</w:t>
            </w:r>
          </w:p>
          <w:tbl>
            <w:tblPr>
              <w:tblStyle w:val="31"/>
              <w:tblpPr w:leftFromText="180" w:rightFromText="180" w:vertAnchor="text" w:horzAnchor="page" w:tblpXSpec="center" w:tblpY="384"/>
              <w:tblOverlap w:val="never"/>
              <w:tblW w:w="5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984"/>
              <w:gridCol w:w="1134"/>
              <w:gridCol w:w="1134"/>
              <w:gridCol w:w="1134"/>
            </w:tblGrid>
            <w:tr w14:paraId="740F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094" w:hRule="atLeast"/>
                <w:jc w:val="center"/>
              </w:trPr>
              <w:tc>
                <w:tcPr>
                  <w:tcW w:w="1984" w:type="dxa"/>
                  <w:vAlign w:val="center"/>
                </w:tcPr>
                <w:p w14:paraId="11831566">
                  <w:pPr>
                    <w:ind w:firstLine="840" w:firstLineChars="300"/>
                    <w:rPr>
                      <w:rFonts w:ascii="Times New Roman" w:hAnsi="Times New Roman" w:cs="Times New Roman"/>
                      <w:bCs/>
                      <w:szCs w:val="20"/>
                    </w:rPr>
                  </w:pPr>
                  <w:r>
                    <w:rPr>
                      <w:rFonts w:ascii="Times New Roman" w:hAnsi="Times New Roman" w:cs="Times New Roman"/>
                      <w:sz w:val="28"/>
                      <w:szCs w:val="28"/>
                    </w:rPr>
                    <mc:AlternateContent>
                      <mc:Choice Requires="wps">
                        <w:drawing>
                          <wp:anchor distT="0" distB="0" distL="114300" distR="114300" simplePos="0" relativeHeight="251663360" behindDoc="0" locked="0" layoutInCell="1" allowOverlap="1">
                            <wp:simplePos x="0" y="0"/>
                            <wp:positionH relativeFrom="column">
                              <wp:posOffset>175895</wp:posOffset>
                            </wp:positionH>
                            <wp:positionV relativeFrom="paragraph">
                              <wp:posOffset>-37465</wp:posOffset>
                            </wp:positionV>
                            <wp:extent cx="1057275" cy="1003935"/>
                            <wp:effectExtent l="3175" t="3175" r="6350" b="8890"/>
                            <wp:wrapNone/>
                            <wp:docPr id="6" name="直接连接符 6"/>
                            <wp:cNvGraphicFramePr/>
                            <a:graphic xmlns:a="http://schemas.openxmlformats.org/drawingml/2006/main">
                              <a:graphicData uri="http://schemas.microsoft.com/office/word/2010/wordprocessingShape">
                                <wps:wsp>
                                  <wps:cNvCnPr/>
                                  <wps:spPr>
                                    <a:xfrm>
                                      <a:off x="0" y="0"/>
                                      <a:ext cx="1057275" cy="10039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13.85pt;margin-top:-2.95pt;height:79.05pt;width:83.25pt;z-index:251663360;mso-width-relative:page;mso-height-relative:page;" filled="f" stroked="t" coordsize="21600,21600" o:gfxdata="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Bpu00jYAAAACQEAAA8AAAAAAAAAAQAgAAAAIgAAAGRycy9kb3ducmV2LnhtbFBLAQIUABQA&#10;AAAIAIdO4kCfQpW38AEAAN4DAAAOAAAAAAAAAAEAIAAAACcBAABkcnMvZTJvRG9jLnhtbFBLBQYA&#10;AAAABgAGAFkBAACJBQAAAAA=&#10;">
                            <v:fill on="f" focussize="0,0"/>
                            <v:stroke color="#000000" joinstyle="round"/>
                            <v:imagedata o:title=""/>
                            <o:lock v:ext="edit" aspectratio="f"/>
                          </v:line>
                        </w:pict>
                      </mc:Fallback>
                    </mc:AlternateContent>
                  </w:r>
                  <w:r>
                    <w:rPr>
                      <w:rFonts w:ascii="Times New Roman" w:hAnsi="Times New Roman" w:cs="Times New Roman"/>
                      <w:bCs/>
                      <w:szCs w:val="20"/>
                    </w:rPr>
                    <w:t>服务类型</w:t>
                  </w:r>
                </w:p>
                <w:p w14:paraId="6CD89822">
                  <w:pPr>
                    <w:ind w:firstLine="280" w:firstLineChars="100"/>
                    <w:rPr>
                      <w:rFonts w:ascii="Times New Roman" w:hAnsi="Times New Roman" w:cs="Times New Roman"/>
                      <w:bCs/>
                      <w:szCs w:val="20"/>
                    </w:rPr>
                  </w:pPr>
                  <w:r>
                    <w:rPr>
                      <w:rFonts w:ascii="Times New Roman" w:hAnsi="Times New Roman" w:cs="Times New Roman"/>
                      <w:sz w:val="28"/>
                      <w:szCs w:val="28"/>
                    </w:rPr>
                    <mc:AlternateContent>
                      <mc:Choice Requires="wps">
                        <w:drawing>
                          <wp:anchor distT="0" distB="0" distL="114300" distR="114300" simplePos="0" relativeHeight="251664384" behindDoc="0" locked="0" layoutInCell="1" allowOverlap="1">
                            <wp:simplePos x="0" y="0"/>
                            <wp:positionH relativeFrom="column">
                              <wp:posOffset>-3175</wp:posOffset>
                            </wp:positionH>
                            <wp:positionV relativeFrom="paragraph">
                              <wp:posOffset>425450</wp:posOffset>
                            </wp:positionV>
                            <wp:extent cx="1256030" cy="256540"/>
                            <wp:effectExtent l="1270" t="4445" r="12700" b="5715"/>
                            <wp:wrapNone/>
                            <wp:docPr id="13" name="直接连接符 13"/>
                            <wp:cNvGraphicFramePr/>
                            <a:graphic xmlns:a="http://schemas.openxmlformats.org/drawingml/2006/main">
                              <a:graphicData uri="http://schemas.microsoft.com/office/word/2010/wordprocessingShape">
                                <wps:wsp>
                                  <wps:cNvCnPr/>
                                  <wps:spPr>
                                    <a:xfrm>
                                      <a:off x="0" y="0"/>
                                      <a:ext cx="1256030" cy="25654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25pt;margin-top:33.5pt;height:20.2pt;width:98.9pt;z-index:251664384;mso-width-relative:page;mso-height-relative:page;" filled="f" stroked="t" coordsize="21600,21600" o:gfxdata="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HRXQdzXAAAACAEAAA8AAAAAAAAAAQAgAAAAIgAAAGRycy9kb3ducmV2LnhtbFBLAQIUABQA&#10;AAAIAIdO4kCTZ9qZ8QEAAN8DAAAOAAAAAAAAAAEAIAAAACYBAABkcnMvZTJvRG9jLnhtbFBLBQYA&#10;AAAABgAGAFkBAACJBQAAAAA=&#10;">
                            <v:fill on="f" focussize="0,0"/>
                            <v:stroke color="#000000" joinstyle="round"/>
                            <v:imagedata o:title=""/>
                            <o:lock v:ext="edit" aspectratio="f"/>
                          </v:line>
                        </w:pict>
                      </mc:Fallback>
                    </mc:AlternateContent>
                  </w:r>
                  <w:r>
                    <w:rPr>
                      <w:rFonts w:ascii="Times New Roman" w:hAnsi="Times New Roman" w:cs="Times New Roman"/>
                      <w:bCs/>
                      <w:szCs w:val="20"/>
                    </w:rPr>
                    <w:t>费率</w:t>
                  </w:r>
                </w:p>
                <w:p w14:paraId="4C514564">
                  <w:pPr>
                    <w:rPr>
                      <w:rFonts w:ascii="Times New Roman" w:hAnsi="Times New Roman" w:cs="Times New Roman"/>
                      <w:bCs/>
                      <w:szCs w:val="20"/>
                    </w:rPr>
                  </w:pPr>
                </w:p>
                <w:p w14:paraId="64DFDCAD">
                  <w:pPr>
                    <w:rPr>
                      <w:rFonts w:ascii="Times New Roman" w:hAnsi="Times New Roman" w:cs="Times New Roman"/>
                      <w:szCs w:val="21"/>
                    </w:rPr>
                  </w:pPr>
                  <w:r>
                    <w:rPr>
                      <w:rFonts w:ascii="Times New Roman" w:hAnsi="Times New Roman" w:cs="Times New Roman"/>
                    </w:rPr>
                    <mc:AlternateContent>
                      <mc:Choice Requires="wps">
                        <w:drawing>
                          <wp:anchor distT="0" distB="0" distL="114300" distR="114300" simplePos="0" relativeHeight="251662336" behindDoc="0" locked="0" layoutInCell="0" allowOverlap="1">
                            <wp:simplePos x="0" y="0"/>
                            <wp:positionH relativeFrom="column">
                              <wp:posOffset>-114300</wp:posOffset>
                            </wp:positionH>
                            <wp:positionV relativeFrom="paragraph">
                              <wp:posOffset>-9525</wp:posOffset>
                            </wp:positionV>
                            <wp:extent cx="635" cy="0"/>
                            <wp:effectExtent l="0" t="4445" r="0" b="5080"/>
                            <wp:wrapNone/>
                            <wp:docPr id="14" name="直接连接符 14"/>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9pt;margin-top:-0.75pt;height:0pt;width:0.05pt;z-index:251662336;mso-width-relative:page;mso-height-relative:page;" filled="f" stroked="t" coordsize="21600,21600" o:allowincell="f" o:gfxdata="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TkHnt&#10;1wAAAAkBAAAPAAAAAAAAAAEAIAAAACIAAABkcnMvZG93bnJldi54bWxQSwECFAAUAAAACACHTuJA&#10;y7sPaOkBAADWAwAADgAAAAAAAAABACAAAAAmAQAAZHJzL2Uyb0RvYy54bWxQSwUGAAAAAAYABgBZ&#10;AQAAgQUAAAAA&#10;">
                            <v:fill on="f" focussize="0,0"/>
                            <v:stroke color="#000000" joinstyle="round"/>
                            <v:imagedata o:title=""/>
                            <o:lock v:ext="edit" aspectratio="f"/>
                          </v:line>
                        </w:pict>
                      </mc:Fallback>
                    </mc:AlternateContent>
                  </w:r>
                  <w:r>
                    <w:rPr>
                      <w:rFonts w:ascii="Times New Roman" w:hAnsi="Times New Roman" w:cs="Times New Roman"/>
                      <w:bCs/>
                      <w:szCs w:val="20"/>
                    </w:rPr>
                    <w:t>中标金额（万元）</w:t>
                  </w:r>
                </w:p>
              </w:tc>
              <w:tc>
                <w:tcPr>
                  <w:tcW w:w="1134" w:type="dxa"/>
                  <w:vAlign w:val="center"/>
                </w:tcPr>
                <w:p w14:paraId="7B21C065">
                  <w:pPr>
                    <w:jc w:val="center"/>
                    <w:rPr>
                      <w:rFonts w:ascii="Times New Roman" w:hAnsi="Times New Roman" w:cs="Times New Roman"/>
                      <w:szCs w:val="21"/>
                    </w:rPr>
                  </w:pPr>
                  <w:r>
                    <w:rPr>
                      <w:rFonts w:ascii="Times New Roman" w:hAnsi="Times New Roman" w:cs="Times New Roman"/>
                      <w:bCs/>
                      <w:szCs w:val="20"/>
                    </w:rPr>
                    <w:t>货物招标</w:t>
                  </w:r>
                </w:p>
              </w:tc>
              <w:tc>
                <w:tcPr>
                  <w:tcW w:w="1134" w:type="dxa"/>
                  <w:vAlign w:val="center"/>
                </w:tcPr>
                <w:p w14:paraId="58DEE3F1">
                  <w:pPr>
                    <w:jc w:val="center"/>
                    <w:rPr>
                      <w:rFonts w:ascii="Times New Roman" w:hAnsi="Times New Roman" w:cs="Times New Roman"/>
                      <w:szCs w:val="21"/>
                    </w:rPr>
                  </w:pPr>
                  <w:r>
                    <w:rPr>
                      <w:rFonts w:ascii="Times New Roman" w:hAnsi="Times New Roman" w:cs="Times New Roman"/>
                      <w:bCs/>
                      <w:szCs w:val="20"/>
                    </w:rPr>
                    <w:t>服务招标</w:t>
                  </w:r>
                </w:p>
              </w:tc>
              <w:tc>
                <w:tcPr>
                  <w:tcW w:w="1134" w:type="dxa"/>
                  <w:vAlign w:val="center"/>
                </w:tcPr>
                <w:p w14:paraId="79DB7B20">
                  <w:pPr>
                    <w:jc w:val="center"/>
                    <w:rPr>
                      <w:rFonts w:ascii="Times New Roman" w:hAnsi="Times New Roman" w:cs="Times New Roman"/>
                      <w:bCs/>
                      <w:szCs w:val="20"/>
                    </w:rPr>
                  </w:pPr>
                  <w:r>
                    <w:rPr>
                      <w:rFonts w:ascii="Times New Roman" w:hAnsi="Times New Roman" w:cs="Times New Roman"/>
                      <w:bCs/>
                      <w:szCs w:val="20"/>
                    </w:rPr>
                    <w:t>工程招标</w:t>
                  </w:r>
                </w:p>
              </w:tc>
            </w:tr>
            <w:tr w14:paraId="24FA1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84" w:type="dxa"/>
                  <w:vAlign w:val="center"/>
                </w:tcPr>
                <w:p w14:paraId="0EFC5ECE">
                  <w:pPr>
                    <w:jc w:val="center"/>
                    <w:rPr>
                      <w:rFonts w:ascii="Times New Roman" w:hAnsi="Times New Roman" w:cs="Times New Roman"/>
                      <w:szCs w:val="21"/>
                    </w:rPr>
                  </w:pPr>
                  <w:r>
                    <w:rPr>
                      <w:rFonts w:ascii="Times New Roman" w:hAnsi="Times New Roman" w:cs="Times New Roman"/>
                      <w:szCs w:val="20"/>
                    </w:rPr>
                    <w:t>100以下</w:t>
                  </w:r>
                </w:p>
              </w:tc>
              <w:tc>
                <w:tcPr>
                  <w:tcW w:w="1134" w:type="dxa"/>
                  <w:vAlign w:val="center"/>
                </w:tcPr>
                <w:p w14:paraId="02CDC61A">
                  <w:pPr>
                    <w:jc w:val="center"/>
                    <w:rPr>
                      <w:rFonts w:ascii="Times New Roman" w:hAnsi="Times New Roman" w:cs="Times New Roman"/>
                      <w:szCs w:val="21"/>
                    </w:rPr>
                  </w:pPr>
                  <w:r>
                    <w:rPr>
                      <w:rFonts w:ascii="Times New Roman" w:hAnsi="Times New Roman" w:cs="Times New Roman"/>
                      <w:szCs w:val="20"/>
                    </w:rPr>
                    <w:t>1.5%</w:t>
                  </w:r>
                </w:p>
              </w:tc>
              <w:tc>
                <w:tcPr>
                  <w:tcW w:w="1134" w:type="dxa"/>
                  <w:vAlign w:val="center"/>
                </w:tcPr>
                <w:p w14:paraId="2B358EF1">
                  <w:pPr>
                    <w:jc w:val="center"/>
                    <w:rPr>
                      <w:rFonts w:ascii="Times New Roman" w:hAnsi="Times New Roman" w:cs="Times New Roman"/>
                      <w:szCs w:val="21"/>
                    </w:rPr>
                  </w:pPr>
                  <w:r>
                    <w:rPr>
                      <w:rFonts w:ascii="Times New Roman" w:hAnsi="Times New Roman" w:cs="Times New Roman"/>
                      <w:szCs w:val="20"/>
                    </w:rPr>
                    <w:t>1.5%</w:t>
                  </w:r>
                </w:p>
              </w:tc>
              <w:tc>
                <w:tcPr>
                  <w:tcW w:w="1134" w:type="dxa"/>
                  <w:vAlign w:val="center"/>
                </w:tcPr>
                <w:p w14:paraId="40B96F92">
                  <w:pPr>
                    <w:jc w:val="center"/>
                    <w:rPr>
                      <w:rFonts w:ascii="Times New Roman" w:hAnsi="Times New Roman" w:cs="Times New Roman"/>
                      <w:bCs/>
                      <w:szCs w:val="20"/>
                    </w:rPr>
                  </w:pPr>
                  <w:r>
                    <w:rPr>
                      <w:rFonts w:ascii="Times New Roman" w:hAnsi="Times New Roman" w:cs="Times New Roman"/>
                      <w:bCs/>
                      <w:szCs w:val="20"/>
                    </w:rPr>
                    <w:t>1.0%</w:t>
                  </w:r>
                </w:p>
              </w:tc>
            </w:tr>
            <w:tr w14:paraId="5E269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84" w:type="dxa"/>
                  <w:vAlign w:val="center"/>
                </w:tcPr>
                <w:p w14:paraId="287D3C34">
                  <w:pPr>
                    <w:jc w:val="center"/>
                    <w:rPr>
                      <w:rFonts w:ascii="Times New Roman" w:hAnsi="Times New Roman" w:cs="Times New Roman"/>
                      <w:szCs w:val="21"/>
                    </w:rPr>
                  </w:pPr>
                  <w:r>
                    <w:rPr>
                      <w:rFonts w:ascii="Times New Roman" w:hAnsi="Times New Roman" w:cs="Times New Roman"/>
                      <w:szCs w:val="20"/>
                    </w:rPr>
                    <w:t>100-500</w:t>
                  </w:r>
                </w:p>
              </w:tc>
              <w:tc>
                <w:tcPr>
                  <w:tcW w:w="1134" w:type="dxa"/>
                  <w:vAlign w:val="center"/>
                </w:tcPr>
                <w:p w14:paraId="677B6A49">
                  <w:pPr>
                    <w:jc w:val="center"/>
                    <w:rPr>
                      <w:rFonts w:ascii="Times New Roman" w:hAnsi="Times New Roman" w:cs="Times New Roman"/>
                      <w:szCs w:val="21"/>
                    </w:rPr>
                  </w:pPr>
                  <w:r>
                    <w:rPr>
                      <w:rFonts w:ascii="Times New Roman" w:hAnsi="Times New Roman" w:cs="Times New Roman"/>
                      <w:szCs w:val="20"/>
                    </w:rPr>
                    <w:t>1.1%</w:t>
                  </w:r>
                </w:p>
              </w:tc>
              <w:tc>
                <w:tcPr>
                  <w:tcW w:w="1134" w:type="dxa"/>
                  <w:vAlign w:val="center"/>
                </w:tcPr>
                <w:p w14:paraId="04A952BB">
                  <w:pPr>
                    <w:jc w:val="center"/>
                    <w:rPr>
                      <w:rFonts w:ascii="Times New Roman" w:hAnsi="Times New Roman" w:cs="Times New Roman"/>
                      <w:szCs w:val="21"/>
                    </w:rPr>
                  </w:pPr>
                  <w:r>
                    <w:rPr>
                      <w:rFonts w:ascii="Times New Roman" w:hAnsi="Times New Roman" w:cs="Times New Roman"/>
                      <w:szCs w:val="20"/>
                    </w:rPr>
                    <w:t>0.8%</w:t>
                  </w:r>
                </w:p>
              </w:tc>
              <w:tc>
                <w:tcPr>
                  <w:tcW w:w="1134" w:type="dxa"/>
                  <w:vAlign w:val="center"/>
                </w:tcPr>
                <w:p w14:paraId="6ED78C19">
                  <w:pPr>
                    <w:jc w:val="center"/>
                    <w:rPr>
                      <w:rFonts w:ascii="Times New Roman" w:hAnsi="Times New Roman" w:cs="Times New Roman"/>
                      <w:bCs/>
                      <w:szCs w:val="20"/>
                    </w:rPr>
                  </w:pPr>
                  <w:r>
                    <w:rPr>
                      <w:rFonts w:ascii="Times New Roman" w:hAnsi="Times New Roman" w:cs="Times New Roman"/>
                      <w:bCs/>
                      <w:szCs w:val="20"/>
                    </w:rPr>
                    <w:t>0.7%</w:t>
                  </w:r>
                </w:p>
              </w:tc>
            </w:tr>
            <w:tr w14:paraId="5DD9E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84" w:type="dxa"/>
                  <w:vAlign w:val="center"/>
                </w:tcPr>
                <w:p w14:paraId="094E3AC9">
                  <w:pPr>
                    <w:jc w:val="center"/>
                    <w:rPr>
                      <w:rFonts w:ascii="Times New Roman" w:hAnsi="Times New Roman" w:cs="Times New Roman"/>
                      <w:szCs w:val="21"/>
                    </w:rPr>
                  </w:pPr>
                  <w:r>
                    <w:rPr>
                      <w:rFonts w:ascii="Times New Roman" w:hAnsi="Times New Roman" w:cs="Times New Roman"/>
                      <w:szCs w:val="20"/>
                    </w:rPr>
                    <w:t>500-1000</w:t>
                  </w:r>
                </w:p>
              </w:tc>
              <w:tc>
                <w:tcPr>
                  <w:tcW w:w="1134" w:type="dxa"/>
                  <w:vAlign w:val="center"/>
                </w:tcPr>
                <w:p w14:paraId="1931EBEA">
                  <w:pPr>
                    <w:jc w:val="center"/>
                    <w:rPr>
                      <w:rFonts w:ascii="Times New Roman" w:hAnsi="Times New Roman" w:cs="Times New Roman"/>
                      <w:szCs w:val="21"/>
                    </w:rPr>
                  </w:pPr>
                  <w:r>
                    <w:rPr>
                      <w:rFonts w:ascii="Times New Roman" w:hAnsi="Times New Roman" w:cs="Times New Roman"/>
                      <w:szCs w:val="20"/>
                    </w:rPr>
                    <w:t>0.8%</w:t>
                  </w:r>
                </w:p>
              </w:tc>
              <w:tc>
                <w:tcPr>
                  <w:tcW w:w="1134" w:type="dxa"/>
                  <w:vAlign w:val="center"/>
                </w:tcPr>
                <w:p w14:paraId="2B344102">
                  <w:pPr>
                    <w:jc w:val="center"/>
                    <w:rPr>
                      <w:rFonts w:ascii="Times New Roman" w:hAnsi="Times New Roman" w:cs="Times New Roman"/>
                      <w:szCs w:val="21"/>
                    </w:rPr>
                  </w:pPr>
                  <w:r>
                    <w:rPr>
                      <w:rFonts w:ascii="Times New Roman" w:hAnsi="Times New Roman" w:cs="Times New Roman"/>
                      <w:szCs w:val="20"/>
                    </w:rPr>
                    <w:t>0.45%</w:t>
                  </w:r>
                </w:p>
              </w:tc>
              <w:tc>
                <w:tcPr>
                  <w:tcW w:w="1134" w:type="dxa"/>
                  <w:vAlign w:val="center"/>
                </w:tcPr>
                <w:p w14:paraId="0EAEAAC5">
                  <w:pPr>
                    <w:jc w:val="center"/>
                    <w:rPr>
                      <w:rFonts w:ascii="Times New Roman" w:hAnsi="Times New Roman" w:cs="Times New Roman"/>
                      <w:bCs/>
                      <w:szCs w:val="20"/>
                    </w:rPr>
                  </w:pPr>
                  <w:r>
                    <w:rPr>
                      <w:rFonts w:ascii="Times New Roman" w:hAnsi="Times New Roman" w:cs="Times New Roman"/>
                      <w:bCs/>
                      <w:szCs w:val="20"/>
                    </w:rPr>
                    <w:t>0.55%</w:t>
                  </w:r>
                </w:p>
              </w:tc>
            </w:tr>
            <w:tr w14:paraId="1C4A7E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84" w:type="dxa"/>
                  <w:vAlign w:val="center"/>
                </w:tcPr>
                <w:p w14:paraId="0C923CEA">
                  <w:pPr>
                    <w:jc w:val="center"/>
                    <w:rPr>
                      <w:rFonts w:ascii="Times New Roman" w:hAnsi="Times New Roman" w:cs="Times New Roman"/>
                      <w:szCs w:val="21"/>
                    </w:rPr>
                  </w:pPr>
                  <w:r>
                    <w:rPr>
                      <w:rFonts w:ascii="Times New Roman" w:hAnsi="Times New Roman" w:cs="Times New Roman"/>
                      <w:szCs w:val="20"/>
                    </w:rPr>
                    <w:t>1000-5000</w:t>
                  </w:r>
                </w:p>
              </w:tc>
              <w:tc>
                <w:tcPr>
                  <w:tcW w:w="1134" w:type="dxa"/>
                  <w:vAlign w:val="center"/>
                </w:tcPr>
                <w:p w14:paraId="6137A251">
                  <w:pPr>
                    <w:jc w:val="center"/>
                    <w:rPr>
                      <w:rFonts w:ascii="Times New Roman" w:hAnsi="Times New Roman" w:cs="Times New Roman"/>
                      <w:szCs w:val="21"/>
                    </w:rPr>
                  </w:pPr>
                  <w:r>
                    <w:rPr>
                      <w:rFonts w:ascii="Times New Roman" w:hAnsi="Times New Roman" w:cs="Times New Roman"/>
                      <w:szCs w:val="20"/>
                    </w:rPr>
                    <w:t>0.5%</w:t>
                  </w:r>
                </w:p>
              </w:tc>
              <w:tc>
                <w:tcPr>
                  <w:tcW w:w="1134" w:type="dxa"/>
                  <w:vAlign w:val="center"/>
                </w:tcPr>
                <w:p w14:paraId="2E5AD7F1">
                  <w:pPr>
                    <w:jc w:val="center"/>
                    <w:rPr>
                      <w:rFonts w:ascii="Times New Roman" w:hAnsi="Times New Roman" w:cs="Times New Roman"/>
                      <w:szCs w:val="21"/>
                    </w:rPr>
                  </w:pPr>
                  <w:r>
                    <w:rPr>
                      <w:rFonts w:ascii="Times New Roman" w:hAnsi="Times New Roman" w:cs="Times New Roman"/>
                      <w:szCs w:val="20"/>
                    </w:rPr>
                    <w:t>0.25%</w:t>
                  </w:r>
                </w:p>
              </w:tc>
              <w:tc>
                <w:tcPr>
                  <w:tcW w:w="1134" w:type="dxa"/>
                  <w:vAlign w:val="center"/>
                </w:tcPr>
                <w:p w14:paraId="6E1AFC35">
                  <w:pPr>
                    <w:jc w:val="center"/>
                    <w:rPr>
                      <w:rFonts w:ascii="Times New Roman" w:hAnsi="Times New Roman" w:cs="Times New Roman"/>
                      <w:bCs/>
                      <w:szCs w:val="20"/>
                    </w:rPr>
                  </w:pPr>
                  <w:r>
                    <w:rPr>
                      <w:rFonts w:ascii="Times New Roman" w:hAnsi="Times New Roman" w:cs="Times New Roman"/>
                      <w:bCs/>
                      <w:szCs w:val="20"/>
                    </w:rPr>
                    <w:t>0.35%</w:t>
                  </w:r>
                </w:p>
              </w:tc>
            </w:tr>
            <w:tr w14:paraId="432D6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84" w:type="dxa"/>
                  <w:vAlign w:val="center"/>
                </w:tcPr>
                <w:p w14:paraId="70DB61E6">
                  <w:pPr>
                    <w:jc w:val="center"/>
                    <w:rPr>
                      <w:rFonts w:ascii="Times New Roman" w:hAnsi="Times New Roman" w:cs="Times New Roman"/>
                      <w:szCs w:val="20"/>
                    </w:rPr>
                  </w:pPr>
                  <w:r>
                    <w:rPr>
                      <w:rFonts w:ascii="Times New Roman" w:hAnsi="Times New Roman" w:cs="Times New Roman"/>
                      <w:szCs w:val="20"/>
                    </w:rPr>
                    <w:t>5000-10000</w:t>
                  </w:r>
                </w:p>
              </w:tc>
              <w:tc>
                <w:tcPr>
                  <w:tcW w:w="1134" w:type="dxa"/>
                  <w:vAlign w:val="center"/>
                </w:tcPr>
                <w:p w14:paraId="2B47BB47">
                  <w:pPr>
                    <w:jc w:val="center"/>
                    <w:rPr>
                      <w:rFonts w:ascii="Times New Roman" w:hAnsi="Times New Roman" w:cs="Times New Roman"/>
                      <w:szCs w:val="20"/>
                    </w:rPr>
                  </w:pPr>
                  <w:r>
                    <w:rPr>
                      <w:rFonts w:ascii="Times New Roman" w:hAnsi="Times New Roman" w:cs="Times New Roman"/>
                      <w:szCs w:val="20"/>
                    </w:rPr>
                    <w:t>0.25%</w:t>
                  </w:r>
                </w:p>
              </w:tc>
              <w:tc>
                <w:tcPr>
                  <w:tcW w:w="1134" w:type="dxa"/>
                  <w:vAlign w:val="center"/>
                </w:tcPr>
                <w:p w14:paraId="79E85D0B">
                  <w:pPr>
                    <w:jc w:val="center"/>
                    <w:rPr>
                      <w:rFonts w:ascii="Times New Roman" w:hAnsi="Times New Roman" w:cs="Times New Roman"/>
                      <w:szCs w:val="20"/>
                    </w:rPr>
                  </w:pPr>
                  <w:r>
                    <w:rPr>
                      <w:rFonts w:ascii="Times New Roman" w:hAnsi="Times New Roman" w:cs="Times New Roman"/>
                      <w:szCs w:val="20"/>
                    </w:rPr>
                    <w:t>0.10%</w:t>
                  </w:r>
                </w:p>
              </w:tc>
              <w:tc>
                <w:tcPr>
                  <w:tcW w:w="1134" w:type="dxa"/>
                  <w:vAlign w:val="center"/>
                </w:tcPr>
                <w:p w14:paraId="62466F6C">
                  <w:pPr>
                    <w:jc w:val="center"/>
                    <w:rPr>
                      <w:rFonts w:ascii="Times New Roman" w:hAnsi="Times New Roman" w:cs="Times New Roman"/>
                      <w:bCs/>
                      <w:szCs w:val="20"/>
                    </w:rPr>
                  </w:pPr>
                  <w:r>
                    <w:rPr>
                      <w:rFonts w:ascii="Times New Roman" w:hAnsi="Times New Roman" w:cs="Times New Roman"/>
                      <w:szCs w:val="20"/>
                    </w:rPr>
                    <w:t>0.20%</w:t>
                  </w:r>
                </w:p>
              </w:tc>
            </w:tr>
            <w:tr w14:paraId="6A971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33" w:hRule="atLeast"/>
                <w:jc w:val="center"/>
              </w:trPr>
              <w:tc>
                <w:tcPr>
                  <w:tcW w:w="1984" w:type="dxa"/>
                  <w:vAlign w:val="center"/>
                </w:tcPr>
                <w:p w14:paraId="40208055">
                  <w:pPr>
                    <w:jc w:val="center"/>
                    <w:rPr>
                      <w:rFonts w:ascii="Times New Roman" w:hAnsi="Times New Roman" w:cs="Times New Roman"/>
                      <w:szCs w:val="20"/>
                    </w:rPr>
                  </w:pPr>
                  <w:r>
                    <w:rPr>
                      <w:rFonts w:ascii="Times New Roman" w:hAnsi="Times New Roman" w:cs="Times New Roman"/>
                      <w:szCs w:val="20"/>
                    </w:rPr>
                    <w:t>10000-100000</w:t>
                  </w:r>
                </w:p>
              </w:tc>
              <w:tc>
                <w:tcPr>
                  <w:tcW w:w="1134" w:type="dxa"/>
                  <w:vAlign w:val="center"/>
                </w:tcPr>
                <w:p w14:paraId="39E803FD">
                  <w:pPr>
                    <w:jc w:val="center"/>
                    <w:rPr>
                      <w:rFonts w:ascii="Times New Roman" w:hAnsi="Times New Roman" w:cs="Times New Roman"/>
                      <w:szCs w:val="20"/>
                    </w:rPr>
                  </w:pPr>
                  <w:r>
                    <w:rPr>
                      <w:rFonts w:ascii="Times New Roman" w:hAnsi="Times New Roman" w:cs="Times New Roman"/>
                      <w:szCs w:val="20"/>
                    </w:rPr>
                    <w:t>0.05%</w:t>
                  </w:r>
                </w:p>
              </w:tc>
              <w:tc>
                <w:tcPr>
                  <w:tcW w:w="1134" w:type="dxa"/>
                  <w:vAlign w:val="center"/>
                </w:tcPr>
                <w:p w14:paraId="14EDC2DA">
                  <w:pPr>
                    <w:jc w:val="center"/>
                    <w:rPr>
                      <w:rFonts w:ascii="Times New Roman" w:hAnsi="Times New Roman" w:cs="Times New Roman"/>
                      <w:szCs w:val="20"/>
                    </w:rPr>
                  </w:pPr>
                  <w:r>
                    <w:rPr>
                      <w:rFonts w:ascii="Times New Roman" w:hAnsi="Times New Roman" w:cs="Times New Roman"/>
                      <w:szCs w:val="20"/>
                    </w:rPr>
                    <w:t>0.05%</w:t>
                  </w:r>
                </w:p>
              </w:tc>
              <w:tc>
                <w:tcPr>
                  <w:tcW w:w="1134" w:type="dxa"/>
                  <w:vAlign w:val="center"/>
                </w:tcPr>
                <w:p w14:paraId="0058D2AE">
                  <w:pPr>
                    <w:jc w:val="center"/>
                    <w:rPr>
                      <w:rFonts w:ascii="Times New Roman" w:hAnsi="Times New Roman" w:cs="Times New Roman"/>
                      <w:bCs/>
                      <w:szCs w:val="20"/>
                    </w:rPr>
                  </w:pPr>
                  <w:r>
                    <w:rPr>
                      <w:rFonts w:ascii="Times New Roman" w:hAnsi="Times New Roman" w:cs="Times New Roman"/>
                      <w:szCs w:val="20"/>
                    </w:rPr>
                    <w:t>0.05%</w:t>
                  </w:r>
                </w:p>
              </w:tc>
            </w:tr>
            <w:tr w14:paraId="08A80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1" w:hRule="atLeast"/>
                <w:jc w:val="center"/>
              </w:trPr>
              <w:tc>
                <w:tcPr>
                  <w:tcW w:w="1984" w:type="dxa"/>
                  <w:vAlign w:val="center"/>
                </w:tcPr>
                <w:p w14:paraId="41E090AB">
                  <w:pPr>
                    <w:jc w:val="center"/>
                    <w:rPr>
                      <w:rFonts w:ascii="Times New Roman" w:hAnsi="Times New Roman" w:cs="Times New Roman"/>
                      <w:szCs w:val="21"/>
                    </w:rPr>
                  </w:pPr>
                  <w:r>
                    <w:rPr>
                      <w:rFonts w:ascii="Times New Roman" w:hAnsi="Times New Roman" w:cs="Times New Roman"/>
                      <w:szCs w:val="21"/>
                    </w:rPr>
                    <w:t>100000以上</w:t>
                  </w:r>
                </w:p>
              </w:tc>
              <w:tc>
                <w:tcPr>
                  <w:tcW w:w="1134" w:type="dxa"/>
                  <w:vAlign w:val="center"/>
                </w:tcPr>
                <w:p w14:paraId="5F1AD51F">
                  <w:pPr>
                    <w:jc w:val="center"/>
                    <w:rPr>
                      <w:rFonts w:ascii="Times New Roman" w:hAnsi="Times New Roman" w:cs="Times New Roman"/>
                      <w:szCs w:val="21"/>
                    </w:rPr>
                  </w:pPr>
                  <w:r>
                    <w:rPr>
                      <w:rFonts w:ascii="Times New Roman" w:hAnsi="Times New Roman" w:cs="Times New Roman"/>
                      <w:szCs w:val="20"/>
                    </w:rPr>
                    <w:t>0.01%</w:t>
                  </w:r>
                </w:p>
              </w:tc>
              <w:tc>
                <w:tcPr>
                  <w:tcW w:w="1134" w:type="dxa"/>
                  <w:vAlign w:val="center"/>
                </w:tcPr>
                <w:p w14:paraId="236F00C6">
                  <w:pPr>
                    <w:jc w:val="center"/>
                    <w:rPr>
                      <w:rFonts w:ascii="Times New Roman" w:hAnsi="Times New Roman" w:cs="Times New Roman"/>
                      <w:szCs w:val="21"/>
                    </w:rPr>
                  </w:pPr>
                  <w:r>
                    <w:rPr>
                      <w:rFonts w:ascii="Times New Roman" w:hAnsi="Times New Roman" w:cs="Times New Roman"/>
                      <w:szCs w:val="20"/>
                    </w:rPr>
                    <w:t>0.01%</w:t>
                  </w:r>
                </w:p>
              </w:tc>
              <w:tc>
                <w:tcPr>
                  <w:tcW w:w="1134" w:type="dxa"/>
                  <w:vAlign w:val="center"/>
                </w:tcPr>
                <w:p w14:paraId="747D5EBA">
                  <w:pPr>
                    <w:jc w:val="center"/>
                    <w:rPr>
                      <w:rFonts w:ascii="Times New Roman" w:hAnsi="Times New Roman" w:cs="Times New Roman"/>
                      <w:bCs/>
                      <w:szCs w:val="20"/>
                    </w:rPr>
                  </w:pPr>
                  <w:r>
                    <w:rPr>
                      <w:rFonts w:ascii="Times New Roman" w:hAnsi="Times New Roman" w:cs="Times New Roman"/>
                      <w:szCs w:val="20"/>
                    </w:rPr>
                    <w:t>0.01%</w:t>
                  </w:r>
                </w:p>
              </w:tc>
            </w:tr>
          </w:tbl>
          <w:p w14:paraId="31D28497">
            <w:pPr>
              <w:pStyle w:val="51"/>
              <w:spacing w:line="360" w:lineRule="auto"/>
              <w:rPr>
                <w:rFonts w:ascii="Times New Roman" w:hAnsi="Times New Roman" w:cs="Times New Roman"/>
              </w:rPr>
            </w:pPr>
          </w:p>
        </w:tc>
      </w:tr>
      <w:tr w14:paraId="5FAE40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1" w:hRule="atLeast"/>
        </w:trPr>
        <w:tc>
          <w:tcPr>
            <w:tcW w:w="970" w:type="dxa"/>
            <w:vAlign w:val="center"/>
          </w:tcPr>
          <w:p w14:paraId="3FB0E22D">
            <w:pPr>
              <w:pStyle w:val="51"/>
              <w:spacing w:line="360" w:lineRule="auto"/>
              <w:jc w:val="center"/>
              <w:rPr>
                <w:rFonts w:ascii="Times New Roman" w:hAnsi="Times New Roman" w:cs="Times New Roman"/>
                <w:szCs w:val="24"/>
              </w:rPr>
            </w:pPr>
            <w:r>
              <w:rPr>
                <w:rFonts w:ascii="Times New Roman" w:hAnsi="Times New Roman" w:cs="Times New Roman"/>
                <w:szCs w:val="24"/>
              </w:rPr>
              <w:t>41.1</w:t>
            </w:r>
          </w:p>
        </w:tc>
        <w:tc>
          <w:tcPr>
            <w:tcW w:w="1738" w:type="dxa"/>
            <w:vAlign w:val="center"/>
          </w:tcPr>
          <w:p w14:paraId="7FE19E67">
            <w:pPr>
              <w:pStyle w:val="51"/>
              <w:spacing w:line="360" w:lineRule="auto"/>
              <w:rPr>
                <w:rFonts w:ascii="Times New Roman" w:hAnsi="Times New Roman" w:cs="Times New Roman"/>
                <w:szCs w:val="24"/>
              </w:rPr>
            </w:pPr>
            <w:r>
              <w:rPr>
                <w:rFonts w:ascii="Times New Roman" w:hAnsi="Times New Roman" w:cs="Times New Roman"/>
                <w:szCs w:val="24"/>
                <w:lang w:val="zh-CN"/>
              </w:rPr>
              <w:t>是否接受进口产品</w:t>
            </w:r>
          </w:p>
        </w:tc>
        <w:tc>
          <w:tcPr>
            <w:tcW w:w="6700" w:type="dxa"/>
            <w:vAlign w:val="center"/>
          </w:tcPr>
          <w:p w14:paraId="0D86CF41">
            <w:pPr>
              <w:pStyle w:val="51"/>
              <w:spacing w:line="360" w:lineRule="auto"/>
              <w:rPr>
                <w:rFonts w:ascii="Times New Roman" w:hAnsi="Times New Roman" w:cs="Times New Roman"/>
                <w:szCs w:val="24"/>
              </w:rPr>
            </w:pPr>
            <w:r>
              <w:rPr>
                <w:rFonts w:ascii="Times New Roman" w:hAnsi="Times New Roman" w:cs="Times New Roman"/>
                <w:szCs w:val="24"/>
              </w:rPr>
              <w:sym w:font="Wingdings" w:char="00FE"/>
            </w:r>
            <w:r>
              <w:rPr>
                <w:rFonts w:ascii="Times New Roman" w:hAnsi="Times New Roman" w:cs="Times New Roman"/>
                <w:szCs w:val="24"/>
              </w:rPr>
              <w:t>不接受</w:t>
            </w:r>
          </w:p>
          <w:p w14:paraId="07C9B194">
            <w:pPr>
              <w:pStyle w:val="51"/>
              <w:spacing w:line="360" w:lineRule="auto"/>
              <w:rPr>
                <w:rFonts w:ascii="Times New Roman" w:hAnsi="Times New Roman" w:cs="Times New Roman"/>
                <w:szCs w:val="24"/>
              </w:rPr>
            </w:pPr>
            <w:r>
              <w:rPr>
                <w:rFonts w:ascii="Times New Roman" w:hAnsi="Times New Roman" w:cs="Times New Roman"/>
                <w:szCs w:val="24"/>
              </w:rPr>
              <w:sym w:font="Wingdings" w:char="F0A8"/>
            </w:r>
            <w:r>
              <w:rPr>
                <w:rFonts w:ascii="Times New Roman" w:hAnsi="Times New Roman" w:cs="Times New Roman"/>
                <w:szCs w:val="24"/>
                <w:lang w:val="zh-CN"/>
              </w:rPr>
              <w:t>接受</w:t>
            </w:r>
          </w:p>
        </w:tc>
      </w:tr>
      <w:tr w14:paraId="38A9124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98" w:hRule="atLeast"/>
        </w:trPr>
        <w:tc>
          <w:tcPr>
            <w:tcW w:w="970" w:type="dxa"/>
            <w:vAlign w:val="center"/>
          </w:tcPr>
          <w:p w14:paraId="3AF6D241">
            <w:pPr>
              <w:pStyle w:val="51"/>
              <w:spacing w:line="360" w:lineRule="auto"/>
              <w:jc w:val="center"/>
              <w:rPr>
                <w:rFonts w:ascii="Times New Roman" w:hAnsi="Times New Roman" w:cs="Times New Roman"/>
                <w:szCs w:val="24"/>
              </w:rPr>
            </w:pPr>
            <w:r>
              <w:rPr>
                <w:rFonts w:ascii="Times New Roman" w:hAnsi="Times New Roman" w:cs="Times New Roman"/>
                <w:szCs w:val="24"/>
              </w:rPr>
              <w:t>42</w:t>
            </w:r>
            <w:r>
              <w:rPr>
                <w:rFonts w:hint="eastAsia" w:ascii="Times New Roman" w:hAnsi="Times New Roman" w:cs="Times New Roman"/>
                <w:szCs w:val="24"/>
              </w:rPr>
              <w:t>.1</w:t>
            </w:r>
          </w:p>
        </w:tc>
        <w:tc>
          <w:tcPr>
            <w:tcW w:w="1738" w:type="dxa"/>
            <w:vAlign w:val="center"/>
          </w:tcPr>
          <w:p w14:paraId="29ECCC8D">
            <w:pPr>
              <w:pStyle w:val="51"/>
              <w:spacing w:line="360" w:lineRule="auto"/>
              <w:rPr>
                <w:rFonts w:ascii="Times New Roman" w:hAnsi="Times New Roman" w:cs="Times New Roman"/>
                <w:szCs w:val="24"/>
              </w:rPr>
            </w:pPr>
            <w:r>
              <w:rPr>
                <w:rFonts w:ascii="Times New Roman" w:hAnsi="Times New Roman" w:cs="Times New Roman"/>
                <w:szCs w:val="24"/>
              </w:rPr>
              <w:t>支持本国产品 </w:t>
            </w:r>
            <w:r>
              <w:rPr>
                <w:rFonts w:hint="eastAsia" w:ascii="Times New Roman" w:hAnsi="Times New Roman" w:cs="Times New Roman"/>
                <w:szCs w:val="24"/>
              </w:rPr>
              <w:t>（本项目不涉及）</w:t>
            </w:r>
          </w:p>
        </w:tc>
        <w:tc>
          <w:tcPr>
            <w:tcW w:w="6700" w:type="dxa"/>
            <w:vAlign w:val="center"/>
          </w:tcPr>
          <w:p w14:paraId="7C6FF4E4">
            <w:pPr>
              <w:pStyle w:val="72"/>
              <w:widowControl w:val="0"/>
              <w:spacing w:before="0" w:beforeAutospacing="0" w:after="0" w:afterAutospacing="0"/>
              <w:jc w:val="both"/>
              <w:rPr>
                <w:rFonts w:ascii="Times New Roman" w:hAnsi="Times New Roman" w:cs="Times New Roman"/>
                <w:b w:val="0"/>
                <w:sz w:val="24"/>
                <w:szCs w:val="24"/>
              </w:rPr>
            </w:pPr>
            <w:r>
              <w:rPr>
                <w:rFonts w:hint="eastAsia" w:ascii="Times New Roman" w:hAnsi="Times New Roman" w:cs="Times New Roman"/>
                <w:b w:val="0"/>
                <w:sz w:val="24"/>
                <w:szCs w:val="24"/>
              </w:rPr>
              <w:sym w:font="Wingdings" w:char="00A8"/>
            </w:r>
            <w:r>
              <w:rPr>
                <w:rFonts w:hint="eastAsia" w:ascii="Times New Roman" w:hAnsi="Times New Roman" w:cs="Times New Roman"/>
                <w:b w:val="0"/>
                <w:sz w:val="24"/>
                <w:szCs w:val="24"/>
              </w:rPr>
              <w:t>不接受</w:t>
            </w:r>
          </w:p>
          <w:p w14:paraId="6E12CD74">
            <w:pPr>
              <w:pStyle w:val="72"/>
              <w:widowControl w:val="0"/>
              <w:spacing w:before="0" w:beforeAutospacing="0" w:after="0" w:afterAutospacing="0"/>
              <w:jc w:val="both"/>
              <w:rPr>
                <w:rFonts w:ascii="Times New Roman" w:hAnsi="Times New Roman" w:cs="Times New Roman"/>
                <w:b w:val="0"/>
                <w:sz w:val="24"/>
                <w:szCs w:val="24"/>
              </w:rPr>
            </w:pPr>
            <w:r>
              <w:rPr>
                <w:rFonts w:hint="eastAsia" w:ascii="Times New Roman" w:hAnsi="Times New Roman" w:cs="Times New Roman"/>
                <w:b w:val="0"/>
                <w:sz w:val="24"/>
                <w:szCs w:val="24"/>
              </w:rPr>
              <w:sym w:font="Wingdings" w:char="00FE"/>
            </w:r>
            <w:r>
              <w:rPr>
                <w:rFonts w:hint="eastAsia" w:ascii="Times New Roman" w:hAnsi="Times New Roman" w:cs="Times New Roman"/>
                <w:b w:val="0"/>
                <w:sz w:val="24"/>
                <w:szCs w:val="24"/>
                <w:lang w:val="zh-CN"/>
              </w:rPr>
              <w:t>接受</w:t>
            </w:r>
          </w:p>
          <w:p w14:paraId="6260DA71">
            <w:pPr>
              <w:pStyle w:val="72"/>
              <w:widowControl w:val="0"/>
              <w:spacing w:before="0" w:beforeAutospacing="0" w:after="0" w:afterAutospacing="0"/>
              <w:jc w:val="both"/>
              <w:rPr>
                <w:rFonts w:ascii="Times New Roman" w:hAnsi="Times New Roman" w:cs="Times New Roman"/>
                <w:b w:val="0"/>
                <w:sz w:val="24"/>
                <w:szCs w:val="24"/>
              </w:rPr>
            </w:pPr>
            <w:r>
              <w:rPr>
                <w:rFonts w:hint="eastAsia" w:ascii="Times New Roman" w:hAnsi="Times New Roman" w:cs="Times New Roman"/>
                <w:b w:val="0"/>
                <w:sz w:val="24"/>
                <w:szCs w:val="24"/>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tc>
      </w:tr>
      <w:tr w14:paraId="21C159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98" w:hRule="atLeast"/>
        </w:trPr>
        <w:tc>
          <w:tcPr>
            <w:tcW w:w="970" w:type="dxa"/>
            <w:vAlign w:val="center"/>
          </w:tcPr>
          <w:p w14:paraId="492EA626">
            <w:pPr>
              <w:pStyle w:val="51"/>
              <w:spacing w:line="360" w:lineRule="auto"/>
              <w:jc w:val="center"/>
              <w:rPr>
                <w:rFonts w:ascii="Times New Roman" w:hAnsi="Times New Roman" w:cs="Times New Roman"/>
                <w:szCs w:val="24"/>
              </w:rPr>
            </w:pPr>
            <w:r>
              <w:rPr>
                <w:rFonts w:hint="eastAsia" w:ascii="Times New Roman" w:hAnsi="Times New Roman" w:cs="Times New Roman"/>
                <w:szCs w:val="24"/>
              </w:rPr>
              <w:t>42.2</w:t>
            </w:r>
          </w:p>
        </w:tc>
        <w:tc>
          <w:tcPr>
            <w:tcW w:w="1738" w:type="dxa"/>
            <w:vAlign w:val="center"/>
          </w:tcPr>
          <w:p w14:paraId="1DA8EBC7">
            <w:pPr>
              <w:pStyle w:val="51"/>
              <w:spacing w:line="360" w:lineRule="auto"/>
              <w:rPr>
                <w:rFonts w:ascii="Times New Roman" w:hAnsi="Times New Roman" w:cs="Times New Roman"/>
                <w:szCs w:val="24"/>
              </w:rPr>
            </w:pPr>
            <w:r>
              <w:rPr>
                <w:rFonts w:hint="eastAsia" w:ascii="Times New Roman" w:hAnsi="Times New Roman" w:cs="Times New Roman"/>
                <w:szCs w:val="24"/>
              </w:rPr>
              <w:t>支持国产、进口产品审批（本项目不涉及）</w:t>
            </w:r>
          </w:p>
        </w:tc>
        <w:tc>
          <w:tcPr>
            <w:tcW w:w="6700" w:type="dxa"/>
            <w:vAlign w:val="center"/>
          </w:tcPr>
          <w:p w14:paraId="746A0150">
            <w:pPr>
              <w:pStyle w:val="72"/>
              <w:widowControl w:val="0"/>
              <w:spacing w:before="0" w:beforeAutospacing="0" w:after="0" w:afterAutospacing="0"/>
              <w:jc w:val="both"/>
              <w:rPr>
                <w:rFonts w:ascii="Times New Roman" w:hAnsi="Times New Roman" w:cs="Times New Roman"/>
                <w:b w:val="0"/>
                <w:sz w:val="24"/>
                <w:szCs w:val="24"/>
              </w:rPr>
            </w:pPr>
            <w:r>
              <w:rPr>
                <w:rFonts w:ascii="Times New Roman" w:hAnsi="Times New Roman" w:cs="Times New Roman"/>
                <w:b w:val="0"/>
                <w:sz w:val="24"/>
                <w:szCs w:val="24"/>
              </w:rPr>
              <w:t>支持本国产品</w:t>
            </w:r>
            <w:r>
              <w:rPr>
                <w:rFonts w:hint="eastAsia" w:ascii="Times New Roman" w:hAnsi="Times New Roman" w:cs="Times New Roman"/>
                <w:b w:val="0"/>
                <w:sz w:val="24"/>
                <w:szCs w:val="24"/>
              </w:rPr>
              <w:t>，</w:t>
            </w:r>
            <w:r>
              <w:rPr>
                <w:rFonts w:ascii="Times New Roman" w:hAnsi="Times New Roman" w:cs="Times New Roman"/>
                <w:b w:val="0"/>
                <w:sz w:val="24"/>
                <w:szCs w:val="24"/>
              </w:rPr>
              <w:t>根据国务院办公厅关于在政府采购中实施本国产品标准及相关政策的通知（国办发〔2025〕34号）要求，政府采购活动中既有本国产品又有非本国产品参与竞争的，依法对本国产品给予价格评审优惠，对本国产品的报价给予</w:t>
            </w:r>
            <w:r>
              <w:rPr>
                <w:rFonts w:ascii="Times New Roman" w:hAnsi="Times New Roman" w:cs="Times New Roman"/>
                <w:b w:val="0"/>
                <w:sz w:val="24"/>
                <w:szCs w:val="24"/>
                <w:u w:val="single"/>
              </w:rPr>
              <w:t>20%</w:t>
            </w:r>
            <w:r>
              <w:rPr>
                <w:rFonts w:ascii="Times New Roman" w:hAnsi="Times New Roman" w:cs="Times New Roman"/>
                <w:b w:val="0"/>
                <w:sz w:val="24"/>
                <w:szCs w:val="24"/>
              </w:rPr>
              <w:t>的价格扣除，用扣除后的价格参与评审。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供应商对其提供的产品出具《关于符合本国产品标准的声明函》（格式详见第七章 投标文件格式）或财政部会同有关部门规定的有关证明文件，《声明函》或有关证明文件符合要求的，该产品视为本国产品。</w:t>
            </w:r>
          </w:p>
        </w:tc>
      </w:tr>
      <w:tr w14:paraId="540DFE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098" w:hRule="atLeast"/>
        </w:trPr>
        <w:tc>
          <w:tcPr>
            <w:tcW w:w="970" w:type="dxa"/>
            <w:vAlign w:val="center"/>
          </w:tcPr>
          <w:p w14:paraId="11A534F8">
            <w:pPr>
              <w:pStyle w:val="51"/>
              <w:spacing w:line="360" w:lineRule="auto"/>
              <w:jc w:val="center"/>
              <w:rPr>
                <w:rFonts w:ascii="Times New Roman" w:hAnsi="Times New Roman" w:cs="Times New Roman"/>
                <w:szCs w:val="24"/>
              </w:rPr>
            </w:pPr>
            <w:r>
              <w:rPr>
                <w:rFonts w:ascii="Times New Roman" w:hAnsi="Times New Roman" w:cs="Times New Roman"/>
                <w:szCs w:val="24"/>
              </w:rPr>
              <w:t>42</w:t>
            </w:r>
            <w:r>
              <w:rPr>
                <w:rFonts w:hint="eastAsia" w:ascii="Times New Roman" w:hAnsi="Times New Roman" w:cs="Times New Roman"/>
                <w:szCs w:val="24"/>
              </w:rPr>
              <w:t>.2</w:t>
            </w:r>
          </w:p>
        </w:tc>
        <w:tc>
          <w:tcPr>
            <w:tcW w:w="1738" w:type="dxa"/>
            <w:vAlign w:val="center"/>
          </w:tcPr>
          <w:p w14:paraId="09EDD893">
            <w:pPr>
              <w:pStyle w:val="51"/>
              <w:spacing w:line="360" w:lineRule="auto"/>
              <w:rPr>
                <w:rFonts w:ascii="Times New Roman" w:hAnsi="Times New Roman" w:cs="Times New Roman"/>
                <w:szCs w:val="24"/>
              </w:rPr>
            </w:pPr>
            <w:r>
              <w:rPr>
                <w:rFonts w:ascii="Times New Roman" w:hAnsi="Times New Roman" w:cs="Times New Roman"/>
                <w:szCs w:val="24"/>
              </w:rPr>
              <w:t>支持中小企业政策</w:t>
            </w:r>
            <w:r>
              <w:rPr>
                <w:rStyle w:val="34"/>
                <w:rFonts w:ascii="Times New Roman" w:hAnsi="Times New Roman" w:cs="Times New Roman"/>
                <w:b w:val="0"/>
                <w:szCs w:val="24"/>
              </w:rPr>
              <w:t>（非专门面向中小企业采购项目适用）</w:t>
            </w:r>
          </w:p>
        </w:tc>
        <w:tc>
          <w:tcPr>
            <w:tcW w:w="6700" w:type="dxa"/>
            <w:vAlign w:val="center"/>
          </w:tcPr>
          <w:p w14:paraId="049A4803">
            <w:pPr>
              <w:pStyle w:val="72"/>
              <w:widowControl w:val="0"/>
              <w:spacing w:before="0" w:beforeAutospacing="0" w:after="0" w:afterAutospacing="0"/>
              <w:jc w:val="both"/>
              <w:rPr>
                <w:rFonts w:ascii="Times New Roman" w:hAnsi="Times New Roman" w:cs="Times New Roman"/>
                <w:b w:val="0"/>
                <w:sz w:val="24"/>
                <w:szCs w:val="24"/>
              </w:rPr>
            </w:pPr>
            <w:r>
              <w:rPr>
                <w:rFonts w:ascii="Times New Roman" w:hAnsi="Times New Roman" w:cs="Times New Roman"/>
                <w:b w:val="0"/>
                <w:sz w:val="24"/>
                <w:szCs w:val="24"/>
              </w:rPr>
              <w:t xml:space="preserve"> 1.小型和微型企业价格扣除：</w:t>
            </w:r>
            <w:r>
              <w:rPr>
                <w:rFonts w:ascii="Times New Roman" w:hAnsi="Times New Roman" w:cs="Times New Roman"/>
                <w:b w:val="0"/>
                <w:sz w:val="24"/>
                <w:szCs w:val="24"/>
                <w:u w:val="single"/>
              </w:rPr>
              <w:t xml:space="preserve">   /  </w:t>
            </w:r>
            <w:r>
              <w:rPr>
                <w:rFonts w:ascii="Times New Roman" w:hAnsi="Times New Roman" w:cs="Times New Roman"/>
                <w:b w:val="0"/>
                <w:sz w:val="24"/>
                <w:szCs w:val="24"/>
              </w:rPr>
              <w:t>。</w:t>
            </w:r>
          </w:p>
          <w:p w14:paraId="2DC94EF1">
            <w:pPr>
              <w:pStyle w:val="72"/>
              <w:widowControl w:val="0"/>
              <w:spacing w:before="0" w:beforeAutospacing="0" w:after="0" w:afterAutospacing="0"/>
              <w:jc w:val="both"/>
              <w:rPr>
                <w:rFonts w:ascii="Times New Roman" w:hAnsi="Times New Roman" w:cs="Times New Roman"/>
                <w:b w:val="0"/>
                <w:sz w:val="24"/>
                <w:szCs w:val="24"/>
              </w:rPr>
            </w:pPr>
            <w:r>
              <w:rPr>
                <w:rFonts w:ascii="Times New Roman" w:hAnsi="Times New Roman" w:cs="Times New Roman"/>
                <w:b w:val="0"/>
                <w:sz w:val="24"/>
                <w:szCs w:val="24"/>
              </w:rPr>
              <w:t xml:space="preserve"> 2.监狱企业价格扣除：同小型和微型企业。</w:t>
            </w:r>
          </w:p>
          <w:p w14:paraId="1EE641B4">
            <w:pPr>
              <w:pStyle w:val="72"/>
              <w:widowControl w:val="0"/>
              <w:spacing w:before="0" w:beforeAutospacing="0" w:after="0" w:afterAutospacing="0"/>
              <w:jc w:val="both"/>
              <w:rPr>
                <w:rFonts w:ascii="Times New Roman" w:hAnsi="Times New Roman" w:cs="Times New Roman"/>
                <w:b w:val="0"/>
                <w:sz w:val="24"/>
                <w:szCs w:val="24"/>
              </w:rPr>
            </w:pPr>
            <w:r>
              <w:rPr>
                <w:rFonts w:ascii="Times New Roman" w:hAnsi="Times New Roman" w:cs="Times New Roman"/>
                <w:b w:val="0"/>
                <w:sz w:val="24"/>
                <w:szCs w:val="24"/>
              </w:rPr>
              <w:t xml:space="preserve"> 3.残疾人福利性单位价格扣除：同小型和微型企业。</w:t>
            </w:r>
          </w:p>
          <w:p w14:paraId="02735B2E">
            <w:pPr>
              <w:pStyle w:val="72"/>
              <w:widowControl w:val="0"/>
              <w:spacing w:before="0" w:beforeAutospacing="0" w:after="0" w:afterAutospacing="0"/>
              <w:jc w:val="both"/>
              <w:rPr>
                <w:rFonts w:ascii="Times New Roman" w:hAnsi="Times New Roman" w:cs="Times New Roman"/>
                <w:b w:val="0"/>
                <w:sz w:val="24"/>
                <w:szCs w:val="24"/>
              </w:rPr>
            </w:pPr>
            <w:r>
              <w:rPr>
                <w:rFonts w:ascii="Times New Roman" w:hAnsi="Times New Roman" w:cs="Times New Roman"/>
                <w:b w:val="0"/>
                <w:sz w:val="24"/>
                <w:szCs w:val="24"/>
              </w:rPr>
              <w:t xml:space="preserve"> 4.符合条件的联合体价格扣除：</w:t>
            </w:r>
            <w:r>
              <w:rPr>
                <w:rFonts w:ascii="Times New Roman" w:hAnsi="Times New Roman" w:cs="Times New Roman"/>
                <w:b w:val="0"/>
                <w:sz w:val="24"/>
                <w:szCs w:val="24"/>
                <w:u w:val="single"/>
              </w:rPr>
              <w:t xml:space="preserve">  /     </w:t>
            </w:r>
            <w:r>
              <w:rPr>
                <w:rFonts w:ascii="Times New Roman" w:hAnsi="Times New Roman" w:cs="Times New Roman"/>
                <w:b w:val="0"/>
                <w:sz w:val="24"/>
                <w:szCs w:val="24"/>
              </w:rPr>
              <w:t>。</w:t>
            </w:r>
          </w:p>
          <w:p w14:paraId="1E7D9D73">
            <w:pPr>
              <w:pStyle w:val="72"/>
              <w:widowControl w:val="0"/>
              <w:spacing w:before="0" w:beforeAutospacing="0" w:after="0" w:afterAutospacing="0"/>
              <w:jc w:val="both"/>
              <w:rPr>
                <w:rFonts w:ascii="Times New Roman" w:hAnsi="Times New Roman" w:cs="Times New Roman"/>
                <w:b w:val="0"/>
                <w:sz w:val="24"/>
                <w:szCs w:val="24"/>
              </w:rPr>
            </w:pPr>
            <w:r>
              <w:rPr>
                <w:rFonts w:ascii="Times New Roman" w:hAnsi="Times New Roman" w:cs="Times New Roman"/>
                <w:b w:val="0"/>
                <w:sz w:val="24"/>
                <w:szCs w:val="24"/>
              </w:rPr>
              <w:t xml:space="preserve"> 5.符合条件的向小微企业分包的大中型企业价格扣除：</w:t>
            </w:r>
            <w:r>
              <w:rPr>
                <w:rFonts w:ascii="Times New Roman" w:hAnsi="Times New Roman" w:cs="Times New Roman"/>
                <w:b w:val="0"/>
                <w:sz w:val="24"/>
                <w:szCs w:val="24"/>
                <w:u w:val="single"/>
              </w:rPr>
              <w:t xml:space="preserve">    /    </w:t>
            </w:r>
            <w:r>
              <w:rPr>
                <w:rFonts w:ascii="Times New Roman" w:hAnsi="Times New Roman" w:cs="Times New Roman"/>
                <w:b w:val="0"/>
                <w:sz w:val="24"/>
                <w:szCs w:val="24"/>
              </w:rPr>
              <w:t>。（允许大中型企业向小微企业分包的项目适用）</w:t>
            </w:r>
          </w:p>
        </w:tc>
      </w:tr>
      <w:tr w14:paraId="7E8DB1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98" w:hRule="atLeast"/>
        </w:trPr>
        <w:tc>
          <w:tcPr>
            <w:tcW w:w="970" w:type="dxa"/>
            <w:vAlign w:val="center"/>
          </w:tcPr>
          <w:p w14:paraId="37F992C7">
            <w:pPr>
              <w:pStyle w:val="51"/>
              <w:spacing w:line="360" w:lineRule="auto"/>
              <w:jc w:val="center"/>
              <w:rPr>
                <w:rFonts w:ascii="Times New Roman" w:hAnsi="Times New Roman" w:cs="Times New Roman"/>
                <w:szCs w:val="24"/>
              </w:rPr>
            </w:pPr>
            <w:r>
              <w:rPr>
                <w:rFonts w:ascii="Times New Roman" w:hAnsi="Times New Roman" w:cs="Times New Roman"/>
                <w:szCs w:val="24"/>
              </w:rPr>
              <w:t>42.5</w:t>
            </w:r>
          </w:p>
        </w:tc>
        <w:tc>
          <w:tcPr>
            <w:tcW w:w="1738" w:type="dxa"/>
            <w:vAlign w:val="center"/>
          </w:tcPr>
          <w:p w14:paraId="7C80BD79">
            <w:pPr>
              <w:pStyle w:val="51"/>
              <w:spacing w:line="360" w:lineRule="auto"/>
              <w:rPr>
                <w:rFonts w:ascii="Times New Roman" w:hAnsi="Times New Roman" w:cs="Times New Roman"/>
                <w:szCs w:val="24"/>
              </w:rPr>
            </w:pPr>
            <w:r>
              <w:rPr>
                <w:rFonts w:ascii="Times New Roman" w:hAnsi="Times New Roman" w:cs="Times New Roman"/>
                <w:szCs w:val="24"/>
              </w:rPr>
              <w:t>标的所属行业</w:t>
            </w:r>
          </w:p>
          <w:p w14:paraId="71F1BB59">
            <w:pPr>
              <w:pStyle w:val="51"/>
              <w:spacing w:line="360" w:lineRule="auto"/>
              <w:rPr>
                <w:rFonts w:ascii="Times New Roman" w:hAnsi="Times New Roman" w:cs="Times New Roman"/>
                <w:szCs w:val="24"/>
              </w:rPr>
            </w:pPr>
            <w:r>
              <w:rPr>
                <w:rStyle w:val="34"/>
                <w:rFonts w:ascii="Times New Roman" w:hAnsi="Times New Roman" w:cs="Times New Roman"/>
                <w:b w:val="0"/>
                <w:szCs w:val="24"/>
              </w:rPr>
              <w:t>（参照后附《工信部联企业〔2011〕300号》）</w:t>
            </w:r>
          </w:p>
        </w:tc>
        <w:tc>
          <w:tcPr>
            <w:tcW w:w="6700" w:type="dxa"/>
            <w:vAlign w:val="center"/>
          </w:tcPr>
          <w:p w14:paraId="61AD30DA">
            <w:pPr>
              <w:widowControl/>
              <w:rPr>
                <w:rFonts w:ascii="Times New Roman" w:hAnsi="Times New Roman" w:cs="Times New Roman"/>
                <w:szCs w:val="24"/>
              </w:rPr>
            </w:pPr>
            <w:r>
              <w:rPr>
                <w:rFonts w:ascii="Times New Roman" w:hAnsi="Times New Roman" w:cs="Times New Roman"/>
                <w:kern w:val="0"/>
                <w:szCs w:val="24"/>
                <w:lang w:bidi="ar"/>
              </w:rPr>
              <w:t xml:space="preserve">本项目采购标的对应的中小企业划分标准所属行业： </w:t>
            </w:r>
          </w:p>
          <w:tbl>
            <w:tblPr>
              <w:tblStyle w:val="32"/>
              <w:tblW w:w="649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3641"/>
              <w:gridCol w:w="2110"/>
            </w:tblGrid>
            <w:tr w14:paraId="41485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4C380E36">
                  <w:pPr>
                    <w:widowControl/>
                    <w:jc w:val="center"/>
                    <w:rPr>
                      <w:rFonts w:ascii="Times New Roman" w:hAnsi="Times New Roman" w:cs="Times New Roman"/>
                      <w:kern w:val="0"/>
                      <w:szCs w:val="24"/>
                      <w:lang w:bidi="ar"/>
                    </w:rPr>
                  </w:pPr>
                  <w:r>
                    <w:rPr>
                      <w:rFonts w:ascii="Times New Roman" w:hAnsi="Times New Roman" w:cs="Times New Roman"/>
                      <w:kern w:val="0"/>
                      <w:szCs w:val="24"/>
                      <w:lang w:bidi="ar"/>
                    </w:rPr>
                    <w:t>包号</w:t>
                  </w:r>
                </w:p>
              </w:tc>
              <w:tc>
                <w:tcPr>
                  <w:tcW w:w="3641" w:type="dxa"/>
                  <w:vAlign w:val="center"/>
                </w:tcPr>
                <w:p w14:paraId="1D86007E">
                  <w:pPr>
                    <w:widowControl/>
                    <w:jc w:val="center"/>
                    <w:rPr>
                      <w:rFonts w:ascii="Times New Roman" w:hAnsi="Times New Roman" w:cs="Times New Roman"/>
                      <w:kern w:val="0"/>
                      <w:szCs w:val="24"/>
                      <w:lang w:bidi="ar"/>
                    </w:rPr>
                  </w:pPr>
                  <w:r>
                    <w:rPr>
                      <w:rFonts w:ascii="Times New Roman" w:hAnsi="Times New Roman" w:cs="Times New Roman"/>
                      <w:kern w:val="0"/>
                      <w:szCs w:val="24"/>
                      <w:lang w:bidi="ar"/>
                    </w:rPr>
                    <w:t>标的名称</w:t>
                  </w:r>
                </w:p>
              </w:tc>
              <w:tc>
                <w:tcPr>
                  <w:tcW w:w="2110" w:type="dxa"/>
                  <w:vAlign w:val="center"/>
                </w:tcPr>
                <w:p w14:paraId="38CD9134">
                  <w:pPr>
                    <w:widowControl/>
                    <w:jc w:val="center"/>
                    <w:rPr>
                      <w:rFonts w:ascii="Times New Roman" w:hAnsi="Times New Roman" w:cs="Times New Roman"/>
                      <w:kern w:val="0"/>
                      <w:szCs w:val="24"/>
                      <w:lang w:bidi="ar"/>
                    </w:rPr>
                  </w:pPr>
                  <w:r>
                    <w:rPr>
                      <w:rFonts w:ascii="Times New Roman" w:hAnsi="Times New Roman" w:cs="Times New Roman"/>
                      <w:kern w:val="0"/>
                      <w:szCs w:val="24"/>
                      <w:lang w:bidi="ar"/>
                    </w:rPr>
                    <w:t>中小企业划分标准所属行业</w:t>
                  </w:r>
                </w:p>
              </w:tc>
            </w:tr>
            <w:tr w14:paraId="593804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2" w:type="dxa"/>
                  <w:vAlign w:val="center"/>
                </w:tcPr>
                <w:p w14:paraId="0E54A608">
                  <w:pPr>
                    <w:widowControl/>
                    <w:jc w:val="center"/>
                    <w:rPr>
                      <w:rFonts w:ascii="Times New Roman" w:hAnsi="Times New Roman" w:cs="Times New Roman"/>
                      <w:kern w:val="0"/>
                      <w:szCs w:val="24"/>
                      <w:lang w:bidi="ar"/>
                    </w:rPr>
                  </w:pPr>
                  <w:r>
                    <w:rPr>
                      <w:rFonts w:ascii="Times New Roman" w:hAnsi="Times New Roman" w:cs="Times New Roman"/>
                      <w:kern w:val="0"/>
                      <w:szCs w:val="24"/>
                      <w:lang w:bidi="ar"/>
                    </w:rPr>
                    <w:t>/</w:t>
                  </w:r>
                </w:p>
              </w:tc>
              <w:tc>
                <w:tcPr>
                  <w:tcW w:w="3641" w:type="dxa"/>
                  <w:vAlign w:val="center"/>
                </w:tcPr>
                <w:p w14:paraId="60723AE6">
                  <w:pPr>
                    <w:widowControl/>
                    <w:jc w:val="center"/>
                    <w:rPr>
                      <w:rFonts w:hint="eastAsia" w:ascii="Times New Roman" w:hAnsi="Times New Roman" w:eastAsia="宋体" w:cs="Times New Roman"/>
                      <w:kern w:val="0"/>
                      <w:szCs w:val="24"/>
                      <w:lang w:eastAsia="zh-CN" w:bidi="ar"/>
                    </w:rPr>
                  </w:pPr>
                  <w:r>
                    <w:rPr>
                      <w:rFonts w:hint="eastAsia" w:ascii="Times New Roman" w:hAnsi="Times New Roman" w:cs="Times New Roman"/>
                      <w:kern w:val="0"/>
                      <w:szCs w:val="24"/>
                      <w:lang w:eastAsia="zh-CN" w:bidi="ar"/>
                    </w:rPr>
                    <w:t>新疆生产建设兵团东天山“三北”工程核心攻坚区（第十三师）历史遗留废弃矿山生态修复示范工程（全过程技术管理咨询）-</w:t>
                  </w:r>
                </w:p>
              </w:tc>
              <w:tc>
                <w:tcPr>
                  <w:tcW w:w="2110" w:type="dxa"/>
                  <w:vAlign w:val="center"/>
                </w:tcPr>
                <w:p w14:paraId="194A7A06">
                  <w:pPr>
                    <w:widowControl/>
                    <w:jc w:val="center"/>
                    <w:rPr>
                      <w:rFonts w:ascii="Times New Roman" w:hAnsi="Times New Roman" w:cs="Times New Roman"/>
                      <w:kern w:val="0"/>
                      <w:szCs w:val="24"/>
                      <w:lang w:bidi="ar"/>
                    </w:rPr>
                  </w:pPr>
                  <w:r>
                    <w:rPr>
                      <w:rFonts w:hint="eastAsia" w:ascii="Times New Roman" w:hAnsi="Times New Roman" w:cs="Times New Roman"/>
                      <w:kern w:val="0"/>
                      <w:szCs w:val="24"/>
                      <w:lang w:bidi="ar"/>
                    </w:rPr>
                    <w:t>其他未列明行业</w:t>
                  </w:r>
                </w:p>
              </w:tc>
            </w:tr>
          </w:tbl>
          <w:p w14:paraId="550A1327">
            <w:pPr>
              <w:pStyle w:val="51"/>
              <w:spacing w:line="360" w:lineRule="auto"/>
              <w:rPr>
                <w:rFonts w:ascii="Times New Roman" w:hAnsi="Times New Roman" w:cs="Times New Roman"/>
                <w:szCs w:val="24"/>
              </w:rPr>
            </w:pPr>
          </w:p>
        </w:tc>
      </w:tr>
      <w:tr w14:paraId="3BFAE8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172" w:hRule="atLeast"/>
        </w:trPr>
        <w:tc>
          <w:tcPr>
            <w:tcW w:w="970" w:type="dxa"/>
            <w:vAlign w:val="center"/>
          </w:tcPr>
          <w:p w14:paraId="1CEB2898">
            <w:pPr>
              <w:pStyle w:val="51"/>
              <w:spacing w:line="360" w:lineRule="auto"/>
              <w:jc w:val="center"/>
              <w:rPr>
                <w:rFonts w:ascii="Times New Roman" w:hAnsi="Times New Roman" w:cs="Times New Roman"/>
                <w:szCs w:val="24"/>
              </w:rPr>
            </w:pPr>
            <w:r>
              <w:rPr>
                <w:rFonts w:ascii="Times New Roman" w:hAnsi="Times New Roman" w:cs="Times New Roman"/>
                <w:szCs w:val="24"/>
              </w:rPr>
              <w:t>43.5</w:t>
            </w:r>
          </w:p>
        </w:tc>
        <w:tc>
          <w:tcPr>
            <w:tcW w:w="1738" w:type="dxa"/>
            <w:vAlign w:val="center"/>
          </w:tcPr>
          <w:p w14:paraId="04811355">
            <w:pPr>
              <w:pStyle w:val="51"/>
              <w:spacing w:line="360" w:lineRule="auto"/>
              <w:rPr>
                <w:rFonts w:ascii="Times New Roman" w:hAnsi="Times New Roman" w:cs="Times New Roman"/>
                <w:szCs w:val="24"/>
              </w:rPr>
            </w:pPr>
            <w:r>
              <w:rPr>
                <w:rFonts w:ascii="Times New Roman" w:hAnsi="Times New Roman" w:cs="Times New Roman"/>
                <w:szCs w:val="24"/>
              </w:rPr>
              <w:t>优先采购创新节能环保产品</w:t>
            </w:r>
          </w:p>
        </w:tc>
        <w:tc>
          <w:tcPr>
            <w:tcW w:w="6700" w:type="dxa"/>
            <w:vAlign w:val="center"/>
          </w:tcPr>
          <w:p w14:paraId="66CF5BA0">
            <w:pPr>
              <w:pStyle w:val="51"/>
              <w:spacing w:line="360" w:lineRule="auto"/>
              <w:rPr>
                <w:rFonts w:ascii="Times New Roman" w:hAnsi="Times New Roman" w:cs="Times New Roman"/>
                <w:szCs w:val="24"/>
              </w:rPr>
            </w:pPr>
            <w:r>
              <w:rPr>
                <w:rFonts w:ascii="Times New Roman" w:hAnsi="Times New Roman" w:cs="Times New Roman"/>
                <w:szCs w:val="24"/>
              </w:rPr>
              <w:t>所响应产品纳入创新产品应用示范推荐目录内企业、所响应产品获得节能产品或环境标志产品认证证书的供应商报价给予</w:t>
            </w:r>
            <w:r>
              <w:rPr>
                <w:rFonts w:ascii="Times New Roman" w:hAnsi="Times New Roman" w:cs="Times New Roman"/>
                <w:szCs w:val="24"/>
                <w:u w:val="single"/>
              </w:rPr>
              <w:t xml:space="preserve"> /    </w:t>
            </w:r>
            <w:r>
              <w:rPr>
                <w:rFonts w:ascii="Times New Roman" w:hAnsi="Times New Roman" w:cs="Times New Roman"/>
                <w:szCs w:val="24"/>
              </w:rPr>
              <w:t>的价格扣除。</w:t>
            </w:r>
          </w:p>
        </w:tc>
      </w:tr>
      <w:tr w14:paraId="3BE4ED7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74" w:hRule="atLeast"/>
        </w:trPr>
        <w:tc>
          <w:tcPr>
            <w:tcW w:w="970" w:type="dxa"/>
            <w:tcBorders>
              <w:right w:val="single" w:color="auto" w:sz="4" w:space="0"/>
            </w:tcBorders>
            <w:vAlign w:val="center"/>
          </w:tcPr>
          <w:p w14:paraId="23B0E618">
            <w:pPr>
              <w:pStyle w:val="51"/>
              <w:spacing w:line="360" w:lineRule="auto"/>
              <w:jc w:val="center"/>
              <w:rPr>
                <w:rFonts w:ascii="Times New Roman" w:hAnsi="Times New Roman" w:cs="Times New Roman"/>
                <w:szCs w:val="24"/>
              </w:rPr>
            </w:pPr>
            <w:r>
              <w:rPr>
                <w:rFonts w:ascii="Times New Roman" w:hAnsi="Times New Roman" w:cs="Times New Roman"/>
                <w:szCs w:val="24"/>
              </w:rPr>
              <w:t>47.1</w:t>
            </w:r>
          </w:p>
        </w:tc>
        <w:tc>
          <w:tcPr>
            <w:tcW w:w="1738" w:type="dxa"/>
            <w:tcBorders>
              <w:left w:val="single" w:color="auto" w:sz="4" w:space="0"/>
              <w:right w:val="single" w:color="auto" w:sz="4" w:space="0"/>
            </w:tcBorders>
            <w:vAlign w:val="center"/>
          </w:tcPr>
          <w:p w14:paraId="5477E3EF">
            <w:pPr>
              <w:pStyle w:val="51"/>
              <w:spacing w:line="360" w:lineRule="auto"/>
              <w:jc w:val="center"/>
              <w:rPr>
                <w:rFonts w:ascii="Times New Roman" w:hAnsi="Times New Roman" w:cs="Times New Roman"/>
                <w:szCs w:val="24"/>
              </w:rPr>
            </w:pPr>
            <w:r>
              <w:rPr>
                <w:rFonts w:ascii="Times New Roman" w:hAnsi="Times New Roman" w:cs="Times New Roman"/>
                <w:szCs w:val="24"/>
              </w:rPr>
              <w:t>政府采购合同融资政策</w:t>
            </w:r>
          </w:p>
        </w:tc>
        <w:tc>
          <w:tcPr>
            <w:tcW w:w="6700" w:type="dxa"/>
            <w:tcBorders>
              <w:left w:val="single" w:color="auto" w:sz="4" w:space="0"/>
            </w:tcBorders>
            <w:vAlign w:val="center"/>
          </w:tcPr>
          <w:p w14:paraId="16703107">
            <w:pPr>
              <w:pStyle w:val="51"/>
              <w:spacing w:line="360" w:lineRule="auto"/>
              <w:rPr>
                <w:rFonts w:ascii="Times New Roman" w:hAnsi="Times New Roman" w:cs="Times New Roman"/>
                <w:szCs w:val="24"/>
              </w:rPr>
            </w:pPr>
            <w:r>
              <w:rPr>
                <w:rFonts w:ascii="Times New Roman" w:hAnsi="Times New Roman" w:cs="Times New Roman"/>
                <w:szCs w:val="24"/>
              </w:rPr>
              <w:t>（1）有融资需求的中标人在获得政府采购中标通知书后，即可向开展“政采贷”业务的金融机构提出申请，金融机构依据政府采购中标通知书和政府采购合同，为中小微企业提供融资服务。</w:t>
            </w:r>
          </w:p>
          <w:p w14:paraId="69158DEA">
            <w:pPr>
              <w:pStyle w:val="51"/>
              <w:spacing w:line="360" w:lineRule="auto"/>
              <w:rPr>
                <w:rFonts w:ascii="Times New Roman" w:hAnsi="Times New Roman" w:cs="Times New Roman"/>
                <w:szCs w:val="24"/>
              </w:rPr>
            </w:pPr>
            <w:r>
              <w:rPr>
                <w:rFonts w:ascii="Times New Roman" w:hAnsi="Times New Roman" w:cs="Times New Roman"/>
                <w:szCs w:val="24"/>
              </w:rPr>
              <w:t>渠道和方式：详见兵团政府采购网。</w:t>
            </w:r>
          </w:p>
          <w:p w14:paraId="7AF248EF">
            <w:pPr>
              <w:pStyle w:val="51"/>
              <w:spacing w:line="360" w:lineRule="auto"/>
              <w:rPr>
                <w:rFonts w:ascii="Times New Roman" w:hAnsi="Times New Roman" w:cs="Times New Roman"/>
                <w:szCs w:val="24"/>
              </w:rPr>
            </w:pPr>
            <w:r>
              <w:rPr>
                <w:rFonts w:ascii="Times New Roman" w:hAnsi="Times New Roman" w:cs="Times New Roman"/>
                <w:szCs w:val="24"/>
              </w:rPr>
              <w:t>（2）“政采贷”融资指引：在取得政府采购中标通知书后，可访问“兵团政采贷融资服务平台”，查看和联系第三方平台或者金融机构，商洽融资事项，确定融资意向。中标人签署政府采购中标合同后，登录“兵团政采贷融资服务平台”，选择意向产品进行申请，并填写相关信息，“兵团政采贷融资服务平台”将中标人融资申请信息推送第三方平台、意向金融机构。</w:t>
            </w:r>
          </w:p>
        </w:tc>
      </w:tr>
      <w:tr w14:paraId="7A1647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56" w:hRule="atLeast"/>
        </w:trPr>
        <w:tc>
          <w:tcPr>
            <w:tcW w:w="970" w:type="dxa"/>
            <w:tcBorders>
              <w:right w:val="single" w:color="auto" w:sz="4" w:space="0"/>
            </w:tcBorders>
            <w:vAlign w:val="center"/>
          </w:tcPr>
          <w:p w14:paraId="5877A734">
            <w:pPr>
              <w:pStyle w:val="51"/>
              <w:spacing w:line="360" w:lineRule="auto"/>
              <w:jc w:val="center"/>
              <w:rPr>
                <w:rFonts w:ascii="Times New Roman" w:hAnsi="Times New Roman" w:cs="Times New Roman"/>
                <w:szCs w:val="24"/>
              </w:rPr>
            </w:pPr>
            <w:r>
              <w:rPr>
                <w:rFonts w:ascii="Times New Roman" w:hAnsi="Times New Roman" w:cs="Times New Roman"/>
                <w:szCs w:val="24"/>
              </w:rPr>
              <w:t>48.1</w:t>
            </w:r>
          </w:p>
        </w:tc>
        <w:tc>
          <w:tcPr>
            <w:tcW w:w="1738" w:type="dxa"/>
            <w:tcBorders>
              <w:right w:val="single" w:color="auto" w:sz="4" w:space="0"/>
            </w:tcBorders>
            <w:vAlign w:val="center"/>
          </w:tcPr>
          <w:p w14:paraId="01566B15">
            <w:pPr>
              <w:pStyle w:val="51"/>
              <w:spacing w:line="360" w:lineRule="auto"/>
              <w:jc w:val="center"/>
              <w:rPr>
                <w:rFonts w:ascii="Times New Roman" w:hAnsi="Times New Roman" w:cs="Times New Roman"/>
                <w:szCs w:val="24"/>
              </w:rPr>
            </w:pPr>
            <w:r>
              <w:rPr>
                <w:rFonts w:ascii="Times New Roman" w:hAnsi="Times New Roman" w:cs="Times New Roman"/>
                <w:szCs w:val="24"/>
              </w:rPr>
              <w:t>需要补充的其他内容</w:t>
            </w:r>
          </w:p>
        </w:tc>
        <w:tc>
          <w:tcPr>
            <w:tcW w:w="6700" w:type="dxa"/>
            <w:tcBorders>
              <w:left w:val="single" w:color="auto" w:sz="4" w:space="0"/>
            </w:tcBorders>
            <w:vAlign w:val="center"/>
          </w:tcPr>
          <w:p w14:paraId="6B56BB66">
            <w:pPr>
              <w:pStyle w:val="51"/>
              <w:numPr>
                <w:ilvl w:val="0"/>
                <w:numId w:val="3"/>
              </w:numPr>
              <w:spacing w:line="360" w:lineRule="auto"/>
              <w:rPr>
                <w:rFonts w:ascii="Times New Roman" w:hAnsi="Times New Roman" w:cs="Times New Roman"/>
                <w:szCs w:val="24"/>
              </w:rPr>
            </w:pPr>
            <w:r>
              <w:rPr>
                <w:rFonts w:ascii="Times New Roman" w:hAnsi="Times New Roman" w:cs="Times New Roman"/>
                <w:szCs w:val="24"/>
              </w:rPr>
              <w:t>电子标书加盖印章的两种方式</w:t>
            </w:r>
            <w:r>
              <w:rPr>
                <w:rFonts w:hint="eastAsia" w:ascii="Times New Roman" w:hAnsi="Times New Roman" w:cs="Times New Roman"/>
                <w:szCs w:val="24"/>
                <w:lang w:eastAsia="zh-CN"/>
              </w:rPr>
              <w:t>；</w:t>
            </w:r>
            <w:r>
              <w:rPr>
                <w:rFonts w:ascii="Times New Roman" w:hAnsi="Times New Roman" w:cs="Times New Roman"/>
                <w:szCs w:val="24"/>
              </w:rPr>
              <w:t>一种为电子章</w:t>
            </w:r>
            <w:r>
              <w:rPr>
                <w:rFonts w:hint="eastAsia" w:ascii="Times New Roman" w:hAnsi="Times New Roman" w:cs="Times New Roman"/>
                <w:szCs w:val="24"/>
              </w:rPr>
              <w:t>；</w:t>
            </w:r>
            <w:r>
              <w:rPr>
                <w:rFonts w:ascii="Times New Roman" w:hAnsi="Times New Roman" w:cs="Times New Roman"/>
                <w:szCs w:val="24"/>
              </w:rPr>
              <w:t>另一种为纸质版盖章后扫描，两种方式的任意一种在评审时均予认可。</w:t>
            </w:r>
          </w:p>
          <w:p w14:paraId="79602FCA">
            <w:pPr>
              <w:pStyle w:val="51"/>
              <w:numPr>
                <w:ilvl w:val="0"/>
                <w:numId w:val="3"/>
              </w:numPr>
              <w:spacing w:line="360" w:lineRule="auto"/>
              <w:rPr>
                <w:rFonts w:ascii="Times New Roman" w:hAnsi="Times New Roman" w:cs="Times New Roman"/>
                <w:szCs w:val="24"/>
              </w:rPr>
            </w:pPr>
            <w:r>
              <w:rPr>
                <w:rFonts w:ascii="Times New Roman" w:hAnsi="Times New Roman" w:cs="Times New Roman"/>
                <w:szCs w:val="24"/>
              </w:rPr>
              <w:t>供应商在上传电子响应文件时，需在“商务技术响应文件”中按响应文件格式要求上传完整(从封面开始至最后一页)的响应文件。</w:t>
            </w:r>
          </w:p>
        </w:tc>
      </w:tr>
      <w:tr w14:paraId="37B20D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56" w:hRule="atLeast"/>
        </w:trPr>
        <w:tc>
          <w:tcPr>
            <w:tcW w:w="970" w:type="dxa"/>
            <w:tcBorders>
              <w:right w:val="single" w:color="auto" w:sz="4" w:space="0"/>
            </w:tcBorders>
            <w:vAlign w:val="center"/>
          </w:tcPr>
          <w:p w14:paraId="43CD6135">
            <w:pPr>
              <w:pStyle w:val="51"/>
              <w:spacing w:line="360" w:lineRule="auto"/>
              <w:jc w:val="center"/>
              <w:rPr>
                <w:rFonts w:ascii="Times New Roman" w:hAnsi="Times New Roman" w:cs="Times New Roman"/>
                <w:szCs w:val="24"/>
              </w:rPr>
            </w:pPr>
            <w:r>
              <w:rPr>
                <w:rFonts w:hint="eastAsia" w:ascii="Times New Roman" w:hAnsi="Times New Roman" w:cs="Times New Roman"/>
                <w:szCs w:val="24"/>
              </w:rPr>
              <w:t>48.2</w:t>
            </w:r>
          </w:p>
        </w:tc>
        <w:tc>
          <w:tcPr>
            <w:tcW w:w="1738" w:type="dxa"/>
            <w:tcBorders>
              <w:right w:val="single" w:color="auto" w:sz="4" w:space="0"/>
            </w:tcBorders>
            <w:vAlign w:val="center"/>
          </w:tcPr>
          <w:p w14:paraId="39171116">
            <w:pPr>
              <w:pStyle w:val="51"/>
              <w:spacing w:line="360" w:lineRule="auto"/>
              <w:jc w:val="center"/>
              <w:rPr>
                <w:rFonts w:ascii="Times New Roman" w:hAnsi="Times New Roman" w:cs="Times New Roman"/>
                <w:szCs w:val="24"/>
              </w:rPr>
            </w:pPr>
            <w:r>
              <w:rPr>
                <w:rFonts w:hint="eastAsia" w:ascii="Times New Roman" w:hAnsi="Times New Roman" w:cs="Times New Roman"/>
                <w:szCs w:val="24"/>
              </w:rPr>
              <w:t>异常低价审查程序</w:t>
            </w:r>
          </w:p>
        </w:tc>
        <w:tc>
          <w:tcPr>
            <w:tcW w:w="6700" w:type="dxa"/>
            <w:tcBorders>
              <w:left w:val="single" w:color="auto" w:sz="4" w:space="0"/>
            </w:tcBorders>
            <w:vAlign w:val="center"/>
          </w:tcPr>
          <w:p w14:paraId="44F742DF">
            <w:pPr>
              <w:pStyle w:val="51"/>
              <w:spacing w:line="360" w:lineRule="auto"/>
              <w:rPr>
                <w:rFonts w:ascii="Times New Roman" w:hAnsi="Times New Roman" w:cs="Times New Roman"/>
                <w:szCs w:val="24"/>
              </w:rPr>
            </w:pPr>
            <w:r>
              <w:rPr>
                <w:rFonts w:hint="eastAsia" w:ascii="Times New Roman" w:hAnsi="Times New Roman" w:cs="Times New Roman"/>
                <w:szCs w:val="24"/>
              </w:rPr>
              <w:t>在评审过程中，出现下列情形之一的，评标委员会将启动异常低价投标（响应）审查程序：</w:t>
            </w:r>
          </w:p>
          <w:p w14:paraId="5CCD4299">
            <w:pPr>
              <w:pStyle w:val="51"/>
              <w:spacing w:line="360" w:lineRule="auto"/>
              <w:rPr>
                <w:rFonts w:ascii="Times New Roman" w:hAnsi="Times New Roman" w:cs="Times New Roman"/>
                <w:szCs w:val="24"/>
              </w:rPr>
            </w:pPr>
            <w:r>
              <w:rPr>
                <w:rFonts w:hint="eastAsia" w:ascii="Times New Roman" w:hAnsi="Times New Roman" w:cs="Times New Roman"/>
                <w:szCs w:val="24"/>
              </w:rPr>
              <w:t>1.投标报价低于全部通过符合性审查供应商投标报价平均值50%的，即投标报价&lt;全部通过符合性审查供应商投标报价平均值×50%；</w:t>
            </w:r>
          </w:p>
          <w:p w14:paraId="4980BC67">
            <w:pPr>
              <w:pStyle w:val="51"/>
              <w:spacing w:line="360" w:lineRule="auto"/>
              <w:rPr>
                <w:rFonts w:ascii="Times New Roman" w:hAnsi="Times New Roman" w:cs="Times New Roman"/>
                <w:szCs w:val="24"/>
              </w:rPr>
            </w:pPr>
            <w:r>
              <w:rPr>
                <w:rFonts w:hint="eastAsia" w:ascii="Times New Roman" w:hAnsi="Times New Roman" w:cs="Times New Roman"/>
                <w:szCs w:val="24"/>
              </w:rPr>
              <w:t>2.投标报价低于通过符合性审查的次低报价供应商投标报价50%的，即投标报价&lt;通过符合性审查的次低报价供应商投标报价×50%；</w:t>
            </w:r>
          </w:p>
          <w:p w14:paraId="6AC88692">
            <w:pPr>
              <w:pStyle w:val="51"/>
              <w:spacing w:line="360" w:lineRule="auto"/>
              <w:rPr>
                <w:rFonts w:ascii="Times New Roman" w:hAnsi="Times New Roman" w:cs="Times New Roman"/>
                <w:szCs w:val="24"/>
              </w:rPr>
            </w:pPr>
            <w:r>
              <w:rPr>
                <w:rFonts w:hint="eastAsia" w:ascii="Times New Roman" w:hAnsi="Times New Roman" w:cs="Times New Roman"/>
                <w:szCs w:val="24"/>
              </w:rPr>
              <w:t>3.投标报价低于采购项目最高限价45%的，即投标报价&lt;采购项目最高限价×45%；</w:t>
            </w:r>
          </w:p>
          <w:p w14:paraId="29DF6FFF">
            <w:pPr>
              <w:pStyle w:val="51"/>
              <w:spacing w:line="360" w:lineRule="auto"/>
              <w:rPr>
                <w:rFonts w:ascii="Times New Roman" w:hAnsi="Times New Roman" w:cs="Times New Roman"/>
                <w:szCs w:val="24"/>
              </w:rPr>
            </w:pPr>
            <w:r>
              <w:rPr>
                <w:rFonts w:hint="eastAsia" w:ascii="Times New Roman" w:hAnsi="Times New Roman" w:cs="Times New Roman"/>
                <w:szCs w:val="24"/>
              </w:rPr>
              <w:t>4.评审委员会基于专业判断，认为供应商报价过低，有可能影响产品质量或者不能诚信履约的其他情形。</w:t>
            </w:r>
          </w:p>
          <w:p w14:paraId="7BD86545">
            <w:pPr>
              <w:pStyle w:val="51"/>
              <w:spacing w:line="360" w:lineRule="auto"/>
              <w:rPr>
                <w:rFonts w:ascii="Times New Roman" w:hAnsi="Times New Roman" w:cs="Times New Roman"/>
                <w:szCs w:val="24"/>
              </w:rPr>
            </w:pPr>
            <w:r>
              <w:rPr>
                <w:rFonts w:hint="eastAsia" w:ascii="Times New Roman" w:hAnsi="Times New Roman" w:cs="Times New Roman"/>
                <w:szCs w:val="24"/>
              </w:rPr>
              <w:t>如存在上述条款内容供应商在评审现场30分钟内对响应价格作出解释，提供项目具体成本测算等与报价合理性相关的书面说明及必要的证明材料（包括：①成本构成明细表②履约保障方案③同类项目成交记录等，以现场实际要求为准）。投标供应商不能合理说明或者不能提供相关证明材料的，评审小组认定该投标供应商以低于成本报价竞标，其投标将被否决。投标的最低报价，不作为是否中标（成交）的保证。</w:t>
            </w:r>
          </w:p>
        </w:tc>
      </w:tr>
      <w:tr w14:paraId="54D88B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08" w:type="dxa"/>
            <w:gridSpan w:val="3"/>
            <w:vAlign w:val="center"/>
          </w:tcPr>
          <w:p w14:paraId="44CBA730">
            <w:pPr>
              <w:pStyle w:val="51"/>
              <w:spacing w:line="360" w:lineRule="auto"/>
              <w:rPr>
                <w:rFonts w:hint="eastAsia" w:ascii="Times New Roman" w:hAnsi="Times New Roman" w:eastAsia="宋体" w:cs="Times New Roman"/>
                <w:szCs w:val="24"/>
                <w:lang w:eastAsia="zh-CN"/>
              </w:rPr>
            </w:pPr>
            <w:r>
              <w:rPr>
                <w:rFonts w:ascii="Times New Roman" w:hAnsi="Times New Roman" w:cs="Times New Roman"/>
                <w:szCs w:val="24"/>
              </w:rPr>
              <w:t>备注</w:t>
            </w:r>
            <w:r>
              <w:rPr>
                <w:rFonts w:hint="eastAsia" w:ascii="Times New Roman" w:hAnsi="Times New Roman" w:cs="Times New Roman"/>
                <w:szCs w:val="24"/>
                <w:lang w:eastAsia="zh-CN"/>
              </w:rPr>
              <w:t>；</w:t>
            </w:r>
          </w:p>
          <w:p w14:paraId="53D9C197">
            <w:pPr>
              <w:pStyle w:val="51"/>
              <w:spacing w:line="360" w:lineRule="auto"/>
              <w:rPr>
                <w:rFonts w:ascii="Times New Roman" w:hAnsi="Times New Roman" w:cs="Times New Roman"/>
                <w:szCs w:val="24"/>
              </w:rPr>
            </w:pPr>
            <w:r>
              <w:rPr>
                <w:rFonts w:ascii="Times New Roman" w:hAnsi="Times New Roman" w:cs="Times New Roman"/>
                <w:szCs w:val="24"/>
              </w:rPr>
              <w:t>1. 除本招标文件另有规定外，招标文件中出现的类似于“近三年”或“前三年”、“近五年”或“前五年”均指递交投标文件截止时间之前三年或前五年，以此类推。如：递交投标文件时间为  年  月  日，则“近三年”是指  年  月  日至  年  月  日。</w:t>
            </w:r>
          </w:p>
          <w:p w14:paraId="63E49FEF">
            <w:pPr>
              <w:pStyle w:val="51"/>
              <w:spacing w:line="360" w:lineRule="auto"/>
              <w:rPr>
                <w:rFonts w:ascii="Times New Roman" w:hAnsi="Times New Roman" w:cs="Times New Roman"/>
                <w:szCs w:val="24"/>
              </w:rPr>
            </w:pPr>
            <w:r>
              <w:rPr>
                <w:rFonts w:ascii="Times New Roman" w:hAnsi="Times New Roman" w:cs="Times New Roman"/>
                <w:szCs w:val="24"/>
              </w:rPr>
              <w:t>2. 本招标文件所称的“以上”、“以下”、“内”、“以内”，包括本数；所称的“不足”，不包括本数。</w:t>
            </w:r>
          </w:p>
        </w:tc>
      </w:tr>
    </w:tbl>
    <w:p w14:paraId="125D919C">
      <w:pPr>
        <w:rPr>
          <w:rFonts w:hint="eastAsia"/>
        </w:rPr>
      </w:pPr>
      <w:r>
        <w:br w:type="page"/>
      </w:r>
    </w:p>
    <w:p w14:paraId="2AA7B862">
      <w:pPr>
        <w:pStyle w:val="4"/>
        <w:spacing w:before="80" w:after="80" w:line="360" w:lineRule="auto"/>
        <w:ind w:left="420" w:hanging="420"/>
        <w:jc w:val="both"/>
        <w:rPr>
          <w:rFonts w:hint="eastAsia"/>
          <w:sz w:val="28"/>
          <w:szCs w:val="28"/>
        </w:rPr>
      </w:pPr>
      <w:bookmarkStart w:id="125" w:name="_Toc155185869"/>
      <w:bookmarkStart w:id="126" w:name="_Toc27559"/>
      <w:bookmarkStart w:id="127" w:name="_Toc9440"/>
      <w:r>
        <w:rPr>
          <w:rFonts w:hint="eastAsia"/>
          <w:sz w:val="28"/>
          <w:szCs w:val="28"/>
        </w:rPr>
        <w:t>二、投标人须知</w:t>
      </w:r>
      <w:bookmarkEnd w:id="125"/>
      <w:bookmarkEnd w:id="126"/>
      <w:bookmarkEnd w:id="127"/>
    </w:p>
    <w:p w14:paraId="7F594F9B">
      <w:pPr>
        <w:pStyle w:val="5"/>
        <w:keepNext w:val="0"/>
        <w:keepLines w:val="0"/>
        <w:spacing w:before="120" w:after="120" w:line="240" w:lineRule="auto"/>
        <w:ind w:left="420" w:hanging="420"/>
        <w:jc w:val="both"/>
        <w:rPr>
          <w:rFonts w:hint="eastAsia" w:cs="宋体"/>
          <w:sz w:val="24"/>
          <w:szCs w:val="24"/>
        </w:rPr>
      </w:pPr>
      <w:bookmarkStart w:id="128" w:name="_Toc22384"/>
      <w:bookmarkStart w:id="129" w:name="_Toc163492822"/>
      <w:bookmarkStart w:id="130" w:name="_Toc155185870"/>
      <w:r>
        <w:rPr>
          <w:rFonts w:hint="eastAsia" w:cs="宋体"/>
          <w:sz w:val="24"/>
          <w:szCs w:val="24"/>
        </w:rPr>
        <w:t>（一）总则</w:t>
      </w:r>
      <w:bookmarkEnd w:id="128"/>
      <w:bookmarkEnd w:id="129"/>
      <w:bookmarkEnd w:id="130"/>
    </w:p>
    <w:p w14:paraId="204FDC81">
      <w:pPr>
        <w:pStyle w:val="6"/>
        <w:keepNext w:val="0"/>
        <w:keepLines w:val="0"/>
        <w:spacing w:before="80" w:after="80" w:line="240" w:lineRule="auto"/>
        <w:ind w:left="420" w:hanging="420"/>
        <w:jc w:val="both"/>
        <w:rPr>
          <w:rFonts w:hint="eastAsia" w:ascii="宋体" w:hAnsi="宋体" w:cs="宋体"/>
          <w:sz w:val="24"/>
          <w:szCs w:val="24"/>
        </w:rPr>
      </w:pPr>
      <w:bookmarkStart w:id="131" w:name="_Toc163492823"/>
      <w:bookmarkStart w:id="132" w:name="_Toc109900469"/>
      <w:bookmarkStart w:id="133" w:name="_Toc30340"/>
      <w:bookmarkStart w:id="134" w:name="_Toc109900050"/>
      <w:bookmarkStart w:id="135" w:name="_Toc155095689"/>
      <w:bookmarkStart w:id="136" w:name="_Toc109897532"/>
      <w:bookmarkStart w:id="137" w:name="_Toc109899631"/>
      <w:bookmarkStart w:id="138" w:name="_Toc31233"/>
      <w:r>
        <w:rPr>
          <w:rFonts w:hint="eastAsia" w:ascii="宋体" w:hAnsi="宋体" w:cs="宋体"/>
          <w:sz w:val="24"/>
          <w:szCs w:val="24"/>
        </w:rPr>
        <w:t>1.适用范围</w:t>
      </w:r>
      <w:bookmarkEnd w:id="131"/>
      <w:bookmarkEnd w:id="132"/>
      <w:bookmarkEnd w:id="133"/>
      <w:bookmarkEnd w:id="134"/>
      <w:bookmarkEnd w:id="135"/>
      <w:bookmarkEnd w:id="136"/>
      <w:bookmarkEnd w:id="137"/>
      <w:bookmarkEnd w:id="138"/>
    </w:p>
    <w:p w14:paraId="32CB099F">
      <w:pPr>
        <w:pStyle w:val="39"/>
        <w:jc w:val="both"/>
        <w:rPr>
          <w:rFonts w:hint="eastAsia" w:cs="宋体"/>
          <w:snapToGrid w:val="0"/>
          <w:szCs w:val="24"/>
        </w:rPr>
      </w:pPr>
      <w:r>
        <w:rPr>
          <w:rFonts w:hint="eastAsia" w:cs="宋体"/>
          <w:snapToGrid w:val="0"/>
          <w:szCs w:val="24"/>
        </w:rPr>
        <w:t>1.1本招标文件仅适用于本项目的采购活动。</w:t>
      </w:r>
    </w:p>
    <w:p w14:paraId="323CDA8D">
      <w:pPr>
        <w:pStyle w:val="6"/>
        <w:keepNext w:val="0"/>
        <w:keepLines w:val="0"/>
        <w:spacing w:before="80" w:after="80" w:line="240" w:lineRule="auto"/>
        <w:ind w:left="420" w:hanging="420"/>
        <w:jc w:val="both"/>
        <w:rPr>
          <w:rFonts w:hint="eastAsia" w:ascii="宋体" w:hAnsi="宋体" w:cs="宋体"/>
          <w:sz w:val="24"/>
          <w:szCs w:val="24"/>
        </w:rPr>
      </w:pPr>
      <w:bookmarkStart w:id="139" w:name="_Toc163492824"/>
      <w:bookmarkStart w:id="140" w:name="_Toc7979"/>
      <w:r>
        <w:rPr>
          <w:rFonts w:hint="eastAsia" w:ascii="宋体" w:hAnsi="宋体" w:cs="宋体"/>
          <w:sz w:val="24"/>
          <w:szCs w:val="24"/>
        </w:rPr>
        <w:t>2.基本定义</w:t>
      </w:r>
      <w:bookmarkEnd w:id="139"/>
      <w:bookmarkEnd w:id="140"/>
    </w:p>
    <w:p w14:paraId="63991921">
      <w:pPr>
        <w:pStyle w:val="39"/>
        <w:jc w:val="both"/>
        <w:rPr>
          <w:rFonts w:hint="eastAsia" w:cs="宋体"/>
          <w:szCs w:val="24"/>
        </w:rPr>
      </w:pPr>
      <w:r>
        <w:rPr>
          <w:rFonts w:hint="eastAsia" w:cs="宋体"/>
          <w:szCs w:val="24"/>
        </w:rPr>
        <w:t>2.1根据《中华人民共和国政府采购法》及其实施条例等有关法律、法规和规章的规定，制定本招标文件。</w:t>
      </w:r>
    </w:p>
    <w:p w14:paraId="0365F2E4">
      <w:pPr>
        <w:ind w:firstLine="480" w:firstLineChars="200"/>
        <w:jc w:val="both"/>
        <w:rPr>
          <w:rFonts w:hint="eastAsia" w:cs="宋体"/>
          <w:szCs w:val="24"/>
        </w:rPr>
      </w:pPr>
      <w:r>
        <w:rPr>
          <w:rFonts w:hint="eastAsia" w:cs="宋体"/>
          <w:szCs w:val="24"/>
        </w:rPr>
        <w:t>2.2采购人：</w:t>
      </w:r>
      <w:r>
        <w:rPr>
          <w:rFonts w:hint="eastAsia" w:cs="宋体"/>
          <w:kern w:val="0"/>
          <w:szCs w:val="24"/>
          <w:lang w:bidi="ar"/>
        </w:rPr>
        <w:t>指依法进行政府采购的国家机关、事业单位、团体组织</w:t>
      </w:r>
      <w:r>
        <w:rPr>
          <w:rFonts w:hint="eastAsia" w:cs="宋体"/>
          <w:szCs w:val="24"/>
        </w:rPr>
        <w:t>。</w:t>
      </w:r>
    </w:p>
    <w:p w14:paraId="7923B784">
      <w:pPr>
        <w:ind w:firstLine="480" w:firstLineChars="200"/>
        <w:jc w:val="both"/>
        <w:rPr>
          <w:rFonts w:hint="eastAsia" w:cs="宋体"/>
          <w:szCs w:val="24"/>
        </w:rPr>
      </w:pPr>
      <w:r>
        <w:rPr>
          <w:rFonts w:hint="eastAsia" w:cs="宋体"/>
          <w:szCs w:val="24"/>
        </w:rPr>
        <w:t>2.3采购代理机构：</w:t>
      </w:r>
      <w:r>
        <w:rPr>
          <w:rFonts w:hint="eastAsia" w:cs="宋体"/>
          <w:kern w:val="0"/>
          <w:szCs w:val="24"/>
          <w:lang w:bidi="ar"/>
        </w:rPr>
        <w:t>指依法进行政府采购的国家机关、事业单位、团体组织</w:t>
      </w:r>
      <w:r>
        <w:rPr>
          <w:rFonts w:hint="eastAsia" w:cs="宋体"/>
          <w:szCs w:val="24"/>
        </w:rPr>
        <w:t>委托的采购代理机构。</w:t>
      </w:r>
    </w:p>
    <w:p w14:paraId="6A4446F9">
      <w:pPr>
        <w:pStyle w:val="39"/>
        <w:jc w:val="both"/>
        <w:rPr>
          <w:rFonts w:hint="eastAsia" w:cs="宋体"/>
          <w:szCs w:val="24"/>
        </w:rPr>
      </w:pPr>
      <w:r>
        <w:rPr>
          <w:rFonts w:hint="eastAsia" w:cs="宋体"/>
          <w:szCs w:val="24"/>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5863C0C2">
      <w:pPr>
        <w:pStyle w:val="39"/>
        <w:jc w:val="both"/>
        <w:rPr>
          <w:rFonts w:hint="eastAsia" w:cs="宋体"/>
          <w:szCs w:val="24"/>
          <w:lang w:val="en-US"/>
        </w:rPr>
      </w:pPr>
      <w:r>
        <w:rPr>
          <w:rFonts w:hint="eastAsia" w:cs="宋体"/>
          <w:szCs w:val="24"/>
          <w:lang w:val="en-US"/>
        </w:rPr>
        <w:t>2.5 服务包含的内容见</w:t>
      </w:r>
      <w:r>
        <w:rPr>
          <w:rFonts w:hint="eastAsia" w:cs="宋体"/>
          <w:szCs w:val="24"/>
        </w:rPr>
        <w:t>“投标人须知前附表”</w:t>
      </w:r>
      <w:r>
        <w:rPr>
          <w:rFonts w:hint="eastAsia" w:cs="宋体"/>
          <w:szCs w:val="24"/>
          <w:lang w:val="en-US"/>
        </w:rPr>
        <w:t>。</w:t>
      </w:r>
    </w:p>
    <w:p w14:paraId="05E6A773">
      <w:pPr>
        <w:ind w:firstLine="480" w:firstLineChars="200"/>
        <w:jc w:val="both"/>
        <w:rPr>
          <w:rFonts w:hint="eastAsia" w:cs="宋体"/>
          <w:szCs w:val="24"/>
        </w:rPr>
      </w:pPr>
      <w:r>
        <w:rPr>
          <w:rFonts w:hint="eastAsia" w:cs="宋体"/>
          <w:iCs/>
          <w:szCs w:val="24"/>
          <w:shd w:val="clear" w:color="auto" w:fill="FFFFFF" w:themeFill="background1"/>
        </w:rPr>
        <w:t>2.6投标人（也称“供应商”、“申请人”）：指向采购人提供货物、工程或者服务的法人、其他组织或者自然人。</w:t>
      </w:r>
      <w:r>
        <w:rPr>
          <w:rFonts w:hint="eastAsia" w:cs="宋体"/>
          <w:szCs w:val="24"/>
        </w:rPr>
        <w:t>分支机构不得参加政府采购活动，但银行、保险、石油石化、电力、电信等有行业特殊情况的除外。本项目的投标人须满足以下条件：</w:t>
      </w:r>
    </w:p>
    <w:p w14:paraId="7CB29980">
      <w:pPr>
        <w:ind w:firstLine="480" w:firstLineChars="200"/>
        <w:jc w:val="both"/>
        <w:rPr>
          <w:rFonts w:hint="eastAsia" w:cs="宋体"/>
          <w:szCs w:val="24"/>
        </w:rPr>
      </w:pPr>
      <w:r>
        <w:rPr>
          <w:rFonts w:hint="eastAsia" w:cs="宋体"/>
          <w:szCs w:val="24"/>
        </w:rPr>
        <w:t>2.6.1具备《中华人民共和国政府采购法》第二十二条规定的条件，遵守本项目采购人本级和上级财政部门政府采购的有关规定。</w:t>
      </w:r>
    </w:p>
    <w:p w14:paraId="6AB7C293">
      <w:pPr>
        <w:ind w:firstLine="480" w:firstLineChars="200"/>
        <w:jc w:val="both"/>
        <w:rPr>
          <w:rFonts w:hint="eastAsia" w:cs="宋体"/>
          <w:szCs w:val="24"/>
        </w:rPr>
      </w:pPr>
      <w:r>
        <w:rPr>
          <w:rFonts w:hint="eastAsia" w:cs="宋体"/>
          <w:szCs w:val="24"/>
        </w:rPr>
        <w:t>2.6.2以招标公告中发布的方式依法获得了本项目的招标文件。</w:t>
      </w:r>
    </w:p>
    <w:p w14:paraId="26B08401">
      <w:pPr>
        <w:ind w:firstLine="480" w:firstLineChars="200"/>
        <w:jc w:val="both"/>
        <w:rPr>
          <w:rFonts w:hint="eastAsia" w:cs="宋体"/>
          <w:szCs w:val="24"/>
        </w:rPr>
      </w:pPr>
      <w:r>
        <w:rPr>
          <w:rFonts w:hint="eastAsia" w:cs="宋体"/>
          <w:szCs w:val="24"/>
        </w:rPr>
        <w:t>2.6.3符合本招标文件规定并参加投标的供应商。</w:t>
      </w:r>
    </w:p>
    <w:p w14:paraId="5CC4E4D7">
      <w:pPr>
        <w:pStyle w:val="39"/>
        <w:ind w:firstLineChars="200"/>
        <w:jc w:val="both"/>
        <w:rPr>
          <w:rFonts w:hint="eastAsia" w:cs="宋体"/>
          <w:szCs w:val="24"/>
          <w:lang w:val="en-US"/>
        </w:rPr>
      </w:pPr>
      <w:r>
        <w:rPr>
          <w:rFonts w:hint="eastAsia" w:cs="宋体"/>
          <w:szCs w:val="24"/>
          <w:lang w:val="en-US"/>
        </w:rPr>
        <w:t>2.7</w:t>
      </w:r>
      <w:r>
        <w:rPr>
          <w:rFonts w:hint="eastAsia" w:cs="宋体"/>
          <w:szCs w:val="24"/>
        </w:rPr>
        <w:t>潜在投标人、潜在供应商：</w:t>
      </w:r>
      <w:r>
        <w:rPr>
          <w:rFonts w:hint="eastAsia" w:cs="宋体"/>
          <w:szCs w:val="24"/>
          <w:lang w:val="en-US"/>
        </w:rPr>
        <w:t>指符合本招标文件规定的供应商</w:t>
      </w:r>
      <w:r>
        <w:rPr>
          <w:rFonts w:hint="eastAsia" w:cs="宋体"/>
          <w:szCs w:val="24"/>
        </w:rPr>
        <w:t>。</w:t>
      </w:r>
    </w:p>
    <w:p w14:paraId="088BFB14">
      <w:pPr>
        <w:pStyle w:val="6"/>
        <w:keepNext w:val="0"/>
        <w:keepLines w:val="0"/>
        <w:spacing w:before="80" w:after="80" w:line="240" w:lineRule="auto"/>
        <w:ind w:left="420" w:hanging="420"/>
        <w:jc w:val="both"/>
        <w:rPr>
          <w:rFonts w:hint="eastAsia" w:ascii="宋体" w:hAnsi="宋体" w:cs="宋体"/>
          <w:sz w:val="24"/>
          <w:szCs w:val="24"/>
        </w:rPr>
      </w:pPr>
      <w:bookmarkStart w:id="141" w:name="_Toc21761"/>
      <w:bookmarkStart w:id="142" w:name="_Toc163492825"/>
      <w:bookmarkStart w:id="143" w:name="_Toc140132758"/>
      <w:r>
        <w:rPr>
          <w:rFonts w:hint="eastAsia" w:ascii="宋体" w:hAnsi="宋体" w:cs="宋体"/>
          <w:sz w:val="24"/>
          <w:szCs w:val="24"/>
        </w:rPr>
        <w:t>3.资金来源</w:t>
      </w:r>
      <w:bookmarkEnd w:id="141"/>
      <w:bookmarkEnd w:id="142"/>
      <w:bookmarkEnd w:id="143"/>
    </w:p>
    <w:p w14:paraId="7D2BE21D">
      <w:pPr>
        <w:pStyle w:val="39"/>
        <w:jc w:val="both"/>
        <w:rPr>
          <w:rFonts w:hint="eastAsia" w:cs="宋体"/>
          <w:szCs w:val="24"/>
        </w:rPr>
      </w:pPr>
      <w:r>
        <w:rPr>
          <w:rFonts w:hint="eastAsia" w:cs="宋体"/>
          <w:szCs w:val="24"/>
        </w:rPr>
        <w:t>3.1资金来源：</w:t>
      </w:r>
      <w:r>
        <w:rPr>
          <w:rFonts w:hint="eastAsia" w:cs="宋体"/>
          <w:szCs w:val="24"/>
          <w:lang w:val="en-US"/>
        </w:rPr>
        <w:t>为财政性资金即</w:t>
      </w:r>
      <w:r>
        <w:rPr>
          <w:rFonts w:hint="eastAsia" w:cs="宋体"/>
          <w:szCs w:val="24"/>
        </w:rPr>
        <w:t>纳入预算管理的资金。以财政性资金作为还款来源的借贷资金，视同财政性资金。财政性资金与非财政性资金无法分割采购的，统一适用《中华人民共和国政府采购法》及其实施条例。</w:t>
      </w:r>
    </w:p>
    <w:p w14:paraId="178E670D">
      <w:pPr>
        <w:pStyle w:val="6"/>
        <w:keepNext w:val="0"/>
        <w:keepLines w:val="0"/>
        <w:spacing w:before="80" w:after="80" w:line="240" w:lineRule="auto"/>
        <w:ind w:left="420" w:hanging="420"/>
        <w:jc w:val="both"/>
        <w:rPr>
          <w:rFonts w:hint="eastAsia" w:ascii="宋体" w:hAnsi="宋体" w:cs="宋体"/>
          <w:sz w:val="24"/>
          <w:szCs w:val="24"/>
        </w:rPr>
      </w:pPr>
      <w:bookmarkStart w:id="144" w:name="_Toc140132760"/>
      <w:bookmarkStart w:id="145" w:name="_Toc8143"/>
      <w:bookmarkStart w:id="146" w:name="_Toc163492826"/>
      <w:r>
        <w:rPr>
          <w:rFonts w:hint="eastAsia" w:ascii="宋体" w:hAnsi="宋体" w:cs="宋体"/>
          <w:sz w:val="24"/>
          <w:szCs w:val="24"/>
        </w:rPr>
        <w:t>4.投标人资格要求</w:t>
      </w:r>
      <w:bookmarkEnd w:id="144"/>
      <w:bookmarkEnd w:id="145"/>
      <w:bookmarkEnd w:id="146"/>
    </w:p>
    <w:p w14:paraId="4D142295">
      <w:pPr>
        <w:pStyle w:val="39"/>
        <w:jc w:val="both"/>
        <w:rPr>
          <w:rFonts w:hint="eastAsia" w:cs="宋体"/>
          <w:szCs w:val="24"/>
        </w:rPr>
      </w:pPr>
      <w:r>
        <w:rPr>
          <w:rFonts w:hint="eastAsia" w:cs="宋体"/>
          <w:szCs w:val="24"/>
        </w:rPr>
        <w:t>4.1投标人资格要求：见“</w:t>
      </w:r>
      <w:r>
        <w:rPr>
          <w:rFonts w:hint="eastAsia" w:cs="宋体"/>
          <w:szCs w:val="24"/>
          <w:lang w:val="en-US"/>
        </w:rPr>
        <w:t>第一章 招标公告</w:t>
      </w:r>
      <w:r>
        <w:rPr>
          <w:rFonts w:hint="eastAsia" w:cs="宋体"/>
          <w:szCs w:val="24"/>
        </w:rPr>
        <w:t>”；</w:t>
      </w:r>
    </w:p>
    <w:p w14:paraId="187F8533">
      <w:pPr>
        <w:pStyle w:val="39"/>
        <w:jc w:val="both"/>
        <w:rPr>
          <w:rFonts w:hint="eastAsia" w:cs="宋体"/>
          <w:szCs w:val="24"/>
        </w:rPr>
      </w:pPr>
      <w:r>
        <w:rPr>
          <w:rFonts w:hint="eastAsia" w:cs="宋体"/>
          <w:szCs w:val="24"/>
          <w:lang w:val="en-US"/>
        </w:rPr>
        <w:t>4</w:t>
      </w:r>
      <w:r>
        <w:rPr>
          <w:rFonts w:hint="eastAsia" w:cs="宋体"/>
          <w:szCs w:val="24"/>
        </w:rPr>
        <w:t>.</w:t>
      </w:r>
      <w:r>
        <w:rPr>
          <w:rFonts w:hint="eastAsia" w:cs="宋体"/>
          <w:szCs w:val="24"/>
          <w:lang w:val="en-US"/>
        </w:rPr>
        <w:t>2</w:t>
      </w:r>
      <w:r>
        <w:rPr>
          <w:rFonts w:hint="eastAsia" w:cs="宋体"/>
          <w:szCs w:val="24"/>
        </w:rPr>
        <w:t>“</w:t>
      </w:r>
      <w:r>
        <w:rPr>
          <w:rFonts w:hint="eastAsia" w:cs="宋体"/>
          <w:szCs w:val="24"/>
          <w:lang w:val="en-US"/>
        </w:rPr>
        <w:t>第一章 招标公告</w:t>
      </w:r>
      <w:r>
        <w:rPr>
          <w:rFonts w:hint="eastAsia" w:cs="宋体"/>
          <w:szCs w:val="24"/>
        </w:rPr>
        <w:t>”规定接受联合体投标的，还应遵守以下规定：</w:t>
      </w:r>
    </w:p>
    <w:p w14:paraId="6F25AB8C">
      <w:pPr>
        <w:pStyle w:val="39"/>
        <w:jc w:val="both"/>
        <w:rPr>
          <w:rFonts w:hint="eastAsia" w:cs="宋体"/>
          <w:szCs w:val="24"/>
        </w:rPr>
      </w:pPr>
      <w:r>
        <w:rPr>
          <w:rFonts w:hint="eastAsia" w:cs="宋体"/>
          <w:szCs w:val="24"/>
          <w:lang w:val="en-US"/>
        </w:rPr>
        <w:t>4</w:t>
      </w:r>
      <w:r>
        <w:rPr>
          <w:rFonts w:hint="eastAsia" w:cs="宋体"/>
          <w:szCs w:val="24"/>
        </w:rPr>
        <w:t>.</w:t>
      </w:r>
      <w:r>
        <w:rPr>
          <w:rFonts w:hint="eastAsia" w:cs="宋体"/>
          <w:szCs w:val="24"/>
          <w:lang w:val="en-US"/>
        </w:rPr>
        <w:t>2.</w:t>
      </w:r>
      <w:r>
        <w:rPr>
          <w:rFonts w:hint="eastAsia" w:cs="宋体"/>
          <w:szCs w:val="24"/>
        </w:rPr>
        <w:t>1两个以上的自然人、法人或者其他组织可以组成一个联合体，以一个</w:t>
      </w:r>
      <w:r>
        <w:rPr>
          <w:rFonts w:hint="eastAsia" w:cs="宋体"/>
          <w:szCs w:val="24"/>
          <w:lang w:val="en-US"/>
        </w:rPr>
        <w:t>投标人</w:t>
      </w:r>
      <w:r>
        <w:rPr>
          <w:rFonts w:hint="eastAsia" w:cs="宋体"/>
          <w:szCs w:val="24"/>
        </w:rPr>
        <w:t>的身份共同参加政府采购。以联合体形式进行政府采购的，参加联合体的供应商均应当具备《中华人民共和国政府采购法》第二十二条规定的条件。</w:t>
      </w:r>
    </w:p>
    <w:p w14:paraId="133318A4">
      <w:pPr>
        <w:pStyle w:val="39"/>
        <w:jc w:val="both"/>
        <w:rPr>
          <w:rFonts w:hint="eastAsia" w:cs="宋体"/>
          <w:szCs w:val="24"/>
        </w:rPr>
      </w:pPr>
      <w:r>
        <w:rPr>
          <w:rFonts w:hint="eastAsia" w:cs="宋体"/>
          <w:szCs w:val="24"/>
          <w:lang w:val="en-US"/>
        </w:rPr>
        <w:t>4</w:t>
      </w:r>
      <w:r>
        <w:rPr>
          <w:rFonts w:hint="eastAsia" w:cs="宋体"/>
          <w:szCs w:val="24"/>
        </w:rPr>
        <w:t>.</w:t>
      </w:r>
      <w:r>
        <w:rPr>
          <w:rFonts w:hint="eastAsia" w:cs="宋体"/>
          <w:szCs w:val="24"/>
          <w:lang w:val="en-US"/>
        </w:rPr>
        <w:t>2.2</w:t>
      </w:r>
      <w:r>
        <w:rPr>
          <w:rFonts w:hint="eastAsia" w:cs="宋体"/>
          <w:szCs w:val="24"/>
        </w:rPr>
        <w:t>联合体各方应按招标文件提供的格式签订联合</w:t>
      </w:r>
      <w:r>
        <w:rPr>
          <w:rFonts w:hint="eastAsia" w:cs="宋体"/>
          <w:szCs w:val="24"/>
          <w:lang w:val="en-US"/>
        </w:rPr>
        <w:t>体</w:t>
      </w:r>
      <w:r>
        <w:rPr>
          <w:rFonts w:hint="eastAsia" w:cs="宋体"/>
          <w:szCs w:val="24"/>
        </w:rPr>
        <w:t>协议</w:t>
      </w:r>
      <w:r>
        <w:rPr>
          <w:rFonts w:hint="eastAsia" w:cs="宋体"/>
          <w:szCs w:val="24"/>
          <w:lang w:val="en-US"/>
        </w:rPr>
        <w:t>书</w:t>
      </w:r>
      <w:r>
        <w:rPr>
          <w:rFonts w:hint="eastAsia" w:cs="宋体"/>
          <w:szCs w:val="24"/>
        </w:rPr>
        <w:t>，明确约定联合体各方承担的工作和相应的责任，并将联合</w:t>
      </w:r>
      <w:r>
        <w:rPr>
          <w:rFonts w:hint="eastAsia" w:cs="宋体"/>
          <w:szCs w:val="24"/>
          <w:lang w:val="en-US"/>
        </w:rPr>
        <w:t>体</w:t>
      </w:r>
      <w:r>
        <w:rPr>
          <w:rFonts w:hint="eastAsia" w:cs="宋体"/>
          <w:szCs w:val="24"/>
        </w:rPr>
        <w:t>协议</w:t>
      </w:r>
      <w:r>
        <w:rPr>
          <w:rFonts w:hint="eastAsia" w:cs="宋体"/>
          <w:szCs w:val="24"/>
          <w:lang w:val="en-US"/>
        </w:rPr>
        <w:t>书</w:t>
      </w:r>
      <w:r>
        <w:rPr>
          <w:rFonts w:hint="eastAsia" w:cs="宋体"/>
          <w:szCs w:val="24"/>
        </w:rPr>
        <w:t>作为投标文件的一部分提交，该协议书对联合</w:t>
      </w:r>
      <w:r>
        <w:rPr>
          <w:rFonts w:hint="eastAsia" w:cs="宋体"/>
          <w:szCs w:val="24"/>
          <w:lang w:val="en-US"/>
        </w:rPr>
        <w:t>体所有成员</w:t>
      </w:r>
      <w:r>
        <w:rPr>
          <w:rFonts w:hint="eastAsia" w:cs="宋体"/>
          <w:szCs w:val="24"/>
        </w:rPr>
        <w:t>均具有法律约束力。</w:t>
      </w:r>
    </w:p>
    <w:p w14:paraId="2A450BF1">
      <w:pPr>
        <w:pStyle w:val="39"/>
        <w:jc w:val="both"/>
        <w:rPr>
          <w:rFonts w:hint="eastAsia" w:cs="宋体"/>
          <w:szCs w:val="24"/>
        </w:rPr>
      </w:pPr>
      <w:r>
        <w:rPr>
          <w:rFonts w:hint="eastAsia" w:cs="宋体"/>
          <w:szCs w:val="24"/>
          <w:lang w:val="en-US"/>
        </w:rPr>
        <w:t>4.2.3</w:t>
      </w:r>
      <w:r>
        <w:rPr>
          <w:rFonts w:hint="eastAsia" w:cs="宋体"/>
          <w:szCs w:val="24"/>
        </w:rPr>
        <w:t>联合体中有同类资质的供应商按照联合体分工承担相同工作的，应当按照资质等级较低的供应商确定资质等级。</w:t>
      </w:r>
    </w:p>
    <w:p w14:paraId="35E7F784">
      <w:pPr>
        <w:pStyle w:val="39"/>
        <w:jc w:val="both"/>
        <w:rPr>
          <w:rFonts w:hint="eastAsia" w:cs="宋体"/>
          <w:szCs w:val="24"/>
        </w:rPr>
      </w:pPr>
      <w:r>
        <w:rPr>
          <w:rFonts w:hint="eastAsia" w:cs="宋体"/>
          <w:szCs w:val="24"/>
          <w:lang w:val="en-US"/>
        </w:rPr>
        <w:t>4.2</w:t>
      </w:r>
      <w:r>
        <w:rPr>
          <w:rFonts w:hint="eastAsia" w:cs="宋体"/>
          <w:szCs w:val="24"/>
        </w:rPr>
        <w:t>.</w:t>
      </w:r>
      <w:r>
        <w:rPr>
          <w:rFonts w:hint="eastAsia" w:cs="宋体"/>
          <w:szCs w:val="24"/>
          <w:lang w:val="en-US"/>
        </w:rPr>
        <w:t>4</w:t>
      </w:r>
      <w:r>
        <w:rPr>
          <w:rFonts w:hint="eastAsia" w:cs="宋体"/>
          <w:szCs w:val="24"/>
        </w:rPr>
        <w:t>以联合体形式参加政府采购活动的，联合体各方不得再单独参加或者与其他供应商另外组成联合体参加</w:t>
      </w:r>
      <w:r>
        <w:rPr>
          <w:rFonts w:hint="eastAsia" w:cs="宋体"/>
          <w:szCs w:val="24"/>
          <w:lang w:val="en-US"/>
        </w:rPr>
        <w:t>同一合同项下的</w:t>
      </w:r>
      <w:r>
        <w:rPr>
          <w:rFonts w:hint="eastAsia" w:cs="宋体"/>
          <w:szCs w:val="24"/>
        </w:rPr>
        <w:t>投标，否则相关投标将被认定为</w:t>
      </w:r>
      <w:r>
        <w:rPr>
          <w:rFonts w:hint="eastAsia" w:cs="宋体"/>
          <w:b/>
          <w:bCs/>
          <w:szCs w:val="24"/>
        </w:rPr>
        <w:t>投标无效</w:t>
      </w:r>
      <w:r>
        <w:rPr>
          <w:rFonts w:hint="eastAsia" w:cs="宋体"/>
          <w:szCs w:val="24"/>
        </w:rPr>
        <w:t>。</w:t>
      </w:r>
    </w:p>
    <w:p w14:paraId="1F0F4A10">
      <w:pPr>
        <w:pStyle w:val="39"/>
        <w:jc w:val="both"/>
        <w:rPr>
          <w:rFonts w:hint="eastAsia" w:cs="宋体"/>
          <w:szCs w:val="24"/>
        </w:rPr>
      </w:pPr>
      <w:r>
        <w:rPr>
          <w:rFonts w:hint="eastAsia" w:cs="宋体"/>
          <w:szCs w:val="24"/>
          <w:lang w:val="en-US"/>
        </w:rPr>
        <w:t>4.2</w:t>
      </w:r>
      <w:r>
        <w:rPr>
          <w:rFonts w:hint="eastAsia" w:cs="宋体"/>
          <w:szCs w:val="24"/>
        </w:rPr>
        <w:t>.5大中型企业、其他自然人、法人或者非法人组织与小型、微型企业组成联合体共同参加投标</w:t>
      </w:r>
      <w:r>
        <w:rPr>
          <w:rFonts w:hint="eastAsia" w:cs="宋体"/>
          <w:szCs w:val="24"/>
          <w:lang w:val="en-US"/>
        </w:rPr>
        <w:t>的</w:t>
      </w:r>
      <w:r>
        <w:rPr>
          <w:rFonts w:hint="eastAsia" w:cs="宋体"/>
          <w:szCs w:val="24"/>
        </w:rPr>
        <w:t>，联合</w:t>
      </w:r>
      <w:r>
        <w:rPr>
          <w:rFonts w:hint="eastAsia" w:cs="宋体"/>
          <w:szCs w:val="24"/>
          <w:lang w:val="en-US"/>
        </w:rPr>
        <w:t>体</w:t>
      </w:r>
      <w:r>
        <w:rPr>
          <w:rFonts w:hint="eastAsia" w:cs="宋体"/>
          <w:szCs w:val="24"/>
        </w:rPr>
        <w:t>协议</w:t>
      </w:r>
      <w:r>
        <w:rPr>
          <w:rFonts w:hint="eastAsia" w:cs="宋体"/>
          <w:szCs w:val="24"/>
          <w:lang w:val="en-US"/>
        </w:rPr>
        <w:t>书</w:t>
      </w:r>
      <w:r>
        <w:rPr>
          <w:rFonts w:hint="eastAsia" w:cs="宋体"/>
          <w:szCs w:val="24"/>
        </w:rPr>
        <w:t>中应写明小型、微型企业的合同金额占到联合</w:t>
      </w:r>
      <w:r>
        <w:rPr>
          <w:rFonts w:hint="eastAsia" w:cs="宋体"/>
          <w:szCs w:val="24"/>
          <w:lang w:val="en-US"/>
        </w:rPr>
        <w:t>体</w:t>
      </w:r>
      <w:r>
        <w:rPr>
          <w:rFonts w:hint="eastAsia" w:cs="宋体"/>
          <w:szCs w:val="24"/>
        </w:rPr>
        <w:t>投标</w:t>
      </w:r>
      <w:r>
        <w:rPr>
          <w:rFonts w:hint="eastAsia" w:cs="宋体"/>
          <w:szCs w:val="24"/>
          <w:lang w:val="en-US"/>
        </w:rPr>
        <w:t>合同</w:t>
      </w:r>
      <w:r>
        <w:rPr>
          <w:rFonts w:hint="eastAsia" w:cs="宋体"/>
          <w:szCs w:val="24"/>
        </w:rPr>
        <w:t>总金额的比例。</w:t>
      </w:r>
    </w:p>
    <w:p w14:paraId="289909C0">
      <w:pPr>
        <w:pStyle w:val="39"/>
        <w:jc w:val="both"/>
        <w:rPr>
          <w:rFonts w:hint="eastAsia" w:cs="宋体"/>
          <w:szCs w:val="24"/>
        </w:rPr>
      </w:pPr>
      <w:r>
        <w:rPr>
          <w:rFonts w:hint="eastAsia" w:cs="宋体"/>
          <w:szCs w:val="24"/>
        </w:rPr>
        <w:t>4.2</w:t>
      </w:r>
      <w:r>
        <w:rPr>
          <w:rFonts w:hint="eastAsia" w:cs="宋体"/>
          <w:szCs w:val="24"/>
          <w:lang w:val="en-US"/>
        </w:rPr>
        <w:t>.6</w:t>
      </w:r>
      <w:r>
        <w:rPr>
          <w:rFonts w:hint="eastAsia" w:cs="宋体"/>
          <w:szCs w:val="24"/>
        </w:rPr>
        <w:t>联合体中标</w:t>
      </w:r>
      <w:r>
        <w:rPr>
          <w:rFonts w:hint="eastAsia" w:cs="宋体"/>
          <w:szCs w:val="24"/>
          <w:lang w:val="en-US"/>
        </w:rPr>
        <w:t>的</w:t>
      </w:r>
      <w:r>
        <w:rPr>
          <w:rFonts w:hint="eastAsia" w:cs="宋体"/>
          <w:szCs w:val="24"/>
        </w:rPr>
        <w:t>，</w:t>
      </w:r>
      <w:r>
        <w:rPr>
          <w:rFonts w:hint="eastAsia" w:cs="宋体"/>
          <w:szCs w:val="24"/>
          <w:lang w:val="en-US"/>
        </w:rPr>
        <w:t>采购</w:t>
      </w:r>
      <w:r>
        <w:rPr>
          <w:rFonts w:hint="eastAsia" w:cs="宋体"/>
          <w:szCs w:val="24"/>
        </w:rPr>
        <w:t>合同应由</w:t>
      </w:r>
      <w:r>
        <w:rPr>
          <w:rFonts w:hint="eastAsia" w:cs="宋体"/>
          <w:szCs w:val="24"/>
          <w:lang w:val="en-US"/>
        </w:rPr>
        <w:t>联合体</w:t>
      </w:r>
      <w:r>
        <w:rPr>
          <w:rFonts w:hint="eastAsia" w:cs="宋体"/>
          <w:szCs w:val="24"/>
        </w:rPr>
        <w:t>各成员的合法授权代表签字</w:t>
      </w:r>
      <w:r>
        <w:rPr>
          <w:rFonts w:hint="eastAsia" w:cs="宋体"/>
          <w:szCs w:val="24"/>
          <w:lang w:val="en-US"/>
        </w:rPr>
        <w:t>及</w:t>
      </w:r>
      <w:r>
        <w:rPr>
          <w:rFonts w:hint="eastAsia" w:cs="宋体"/>
          <w:szCs w:val="24"/>
        </w:rPr>
        <w:t>加盖</w:t>
      </w:r>
      <w:r>
        <w:rPr>
          <w:rFonts w:hint="eastAsia" w:cs="宋体"/>
          <w:szCs w:val="24"/>
          <w:lang w:val="en-US"/>
        </w:rPr>
        <w:t>联合体</w:t>
      </w:r>
      <w:r>
        <w:rPr>
          <w:rFonts w:hint="eastAsia" w:cs="宋体"/>
          <w:szCs w:val="24"/>
        </w:rPr>
        <w:t>各成员公章，</w:t>
      </w:r>
      <w:r>
        <w:rPr>
          <w:rFonts w:hint="eastAsia" w:cs="宋体"/>
          <w:szCs w:val="24"/>
          <w:lang w:val="en-US"/>
        </w:rPr>
        <w:t>并</w:t>
      </w:r>
      <w:r>
        <w:rPr>
          <w:rFonts w:hint="eastAsia" w:cs="宋体"/>
          <w:szCs w:val="24"/>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1217DE99">
      <w:pPr>
        <w:pStyle w:val="39"/>
        <w:jc w:val="both"/>
        <w:rPr>
          <w:rFonts w:hint="eastAsia" w:cs="宋体"/>
          <w:szCs w:val="24"/>
        </w:rPr>
      </w:pPr>
      <w:r>
        <w:rPr>
          <w:rFonts w:hint="eastAsia" w:cs="宋体"/>
          <w:szCs w:val="24"/>
        </w:rPr>
        <w:t>4.2</w:t>
      </w:r>
      <w:r>
        <w:rPr>
          <w:rFonts w:hint="eastAsia" w:cs="宋体"/>
          <w:szCs w:val="24"/>
          <w:lang w:val="en-US"/>
        </w:rPr>
        <w:t>.7</w:t>
      </w:r>
      <w:r>
        <w:rPr>
          <w:rFonts w:hint="eastAsia" w:cs="宋体"/>
          <w:szCs w:val="24"/>
        </w:rPr>
        <w:t>联合体或其成员不得将其在合同项下的权利或义务全部或部分转让给第三人，有关分包事项须事先取得采购</w:t>
      </w:r>
      <w:r>
        <w:rPr>
          <w:rFonts w:hint="eastAsia" w:cs="宋体"/>
          <w:szCs w:val="24"/>
          <w:lang w:val="en-US"/>
        </w:rPr>
        <w:t>人</w:t>
      </w:r>
      <w:r>
        <w:rPr>
          <w:rFonts w:hint="eastAsia" w:cs="宋体"/>
          <w:szCs w:val="24"/>
        </w:rPr>
        <w:t>书面同意并且须遵守相关法律、法规、本次招标的全部相关规定。</w:t>
      </w:r>
    </w:p>
    <w:p w14:paraId="38C350E0">
      <w:pPr>
        <w:pStyle w:val="39"/>
        <w:jc w:val="both"/>
        <w:rPr>
          <w:rFonts w:hint="eastAsia" w:cs="宋体"/>
          <w:szCs w:val="24"/>
        </w:rPr>
      </w:pPr>
      <w:r>
        <w:rPr>
          <w:rFonts w:hint="eastAsia" w:cs="宋体"/>
          <w:szCs w:val="24"/>
          <w:lang w:val="en-US"/>
        </w:rPr>
        <w:t>4.2</w:t>
      </w:r>
      <w:r>
        <w:rPr>
          <w:rFonts w:hint="eastAsia" w:cs="宋体"/>
          <w:szCs w:val="24"/>
        </w:rPr>
        <w:t>.</w:t>
      </w:r>
      <w:r>
        <w:rPr>
          <w:rFonts w:hint="eastAsia" w:cs="宋体"/>
          <w:szCs w:val="24"/>
          <w:lang w:val="en-US"/>
        </w:rPr>
        <w:t>8</w:t>
      </w:r>
      <w:r>
        <w:rPr>
          <w:rFonts w:hint="eastAsia" w:cs="宋体"/>
          <w:szCs w:val="24"/>
        </w:rPr>
        <w:t>对联合体投标的其他资格要求见“</w:t>
      </w:r>
      <w:r>
        <w:rPr>
          <w:rFonts w:hint="eastAsia" w:cs="宋体"/>
          <w:szCs w:val="24"/>
          <w:lang w:val="en-US"/>
        </w:rPr>
        <w:t>第一章 招标公告</w:t>
      </w:r>
      <w:r>
        <w:rPr>
          <w:rFonts w:hint="eastAsia" w:cs="宋体"/>
          <w:szCs w:val="24"/>
        </w:rPr>
        <w:t>”</w:t>
      </w:r>
      <w:r>
        <w:rPr>
          <w:rFonts w:hint="eastAsia" w:cs="宋体"/>
          <w:szCs w:val="24"/>
          <w:lang w:val="en-US"/>
        </w:rPr>
        <w:t>中的“二、申请人的</w:t>
      </w:r>
      <w:r>
        <w:rPr>
          <w:rFonts w:hint="eastAsia" w:cs="宋体"/>
          <w:szCs w:val="24"/>
        </w:rPr>
        <w:t>资格</w:t>
      </w:r>
      <w:r>
        <w:rPr>
          <w:rFonts w:hint="eastAsia" w:cs="宋体"/>
          <w:szCs w:val="24"/>
          <w:lang w:val="en-US"/>
        </w:rPr>
        <w:t>要求”</w:t>
      </w:r>
      <w:r>
        <w:rPr>
          <w:rFonts w:hint="eastAsia" w:cs="宋体"/>
          <w:szCs w:val="24"/>
        </w:rPr>
        <w:t>。</w:t>
      </w:r>
    </w:p>
    <w:p w14:paraId="38026B2E">
      <w:pPr>
        <w:pStyle w:val="6"/>
        <w:keepNext w:val="0"/>
        <w:keepLines w:val="0"/>
        <w:spacing w:before="80" w:after="80" w:line="240" w:lineRule="auto"/>
        <w:ind w:left="420" w:hanging="420"/>
        <w:jc w:val="both"/>
        <w:rPr>
          <w:rFonts w:hint="eastAsia" w:ascii="宋体" w:hAnsi="宋体" w:cs="宋体"/>
          <w:sz w:val="24"/>
          <w:szCs w:val="24"/>
        </w:rPr>
      </w:pPr>
      <w:bookmarkStart w:id="147" w:name="_Toc163492827"/>
      <w:bookmarkStart w:id="148" w:name="_Toc18281"/>
      <w:r>
        <w:rPr>
          <w:rFonts w:hint="eastAsia" w:ascii="宋体" w:hAnsi="宋体" w:cs="宋体"/>
          <w:sz w:val="24"/>
          <w:szCs w:val="24"/>
        </w:rPr>
        <w:t>5.费用承担</w:t>
      </w:r>
      <w:bookmarkEnd w:id="147"/>
      <w:bookmarkEnd w:id="148"/>
    </w:p>
    <w:p w14:paraId="4FD69A54">
      <w:pPr>
        <w:pStyle w:val="39"/>
        <w:jc w:val="both"/>
        <w:rPr>
          <w:rFonts w:hint="eastAsia" w:cs="宋体"/>
          <w:szCs w:val="24"/>
        </w:rPr>
      </w:pPr>
      <w:r>
        <w:rPr>
          <w:rFonts w:hint="eastAsia" w:cs="宋体"/>
          <w:szCs w:val="24"/>
        </w:rPr>
        <w:t>5.1</w:t>
      </w:r>
      <w:r>
        <w:rPr>
          <w:rFonts w:hint="eastAsia" w:cs="宋体"/>
          <w:szCs w:val="24"/>
          <w:lang w:val="en-US"/>
        </w:rPr>
        <w:t>不论投标的结果如何，投标人应承担所有与准备和参加投标有关的费用。</w:t>
      </w:r>
    </w:p>
    <w:p w14:paraId="76EB6174">
      <w:pPr>
        <w:pStyle w:val="6"/>
        <w:keepNext w:val="0"/>
        <w:keepLines w:val="0"/>
        <w:spacing w:before="80" w:after="80" w:line="240" w:lineRule="auto"/>
        <w:ind w:left="420" w:hanging="420"/>
        <w:jc w:val="both"/>
        <w:rPr>
          <w:rFonts w:hint="eastAsia" w:ascii="宋体" w:hAnsi="宋体" w:cs="宋体"/>
          <w:sz w:val="24"/>
          <w:szCs w:val="24"/>
        </w:rPr>
      </w:pPr>
      <w:bookmarkStart w:id="149" w:name="_Toc4542"/>
      <w:bookmarkStart w:id="150" w:name="_Toc140132761"/>
      <w:bookmarkStart w:id="151" w:name="_Toc163492828"/>
      <w:r>
        <w:rPr>
          <w:rFonts w:hint="eastAsia" w:ascii="宋体" w:hAnsi="宋体" w:cs="宋体"/>
          <w:sz w:val="24"/>
          <w:szCs w:val="24"/>
        </w:rPr>
        <w:t>6.保密</w:t>
      </w:r>
      <w:bookmarkEnd w:id="149"/>
      <w:bookmarkEnd w:id="150"/>
      <w:bookmarkEnd w:id="151"/>
    </w:p>
    <w:p w14:paraId="3F069048">
      <w:pPr>
        <w:pStyle w:val="39"/>
        <w:jc w:val="both"/>
        <w:rPr>
          <w:rFonts w:hint="eastAsia" w:cs="宋体"/>
          <w:szCs w:val="24"/>
        </w:rPr>
      </w:pPr>
      <w:r>
        <w:rPr>
          <w:rFonts w:hint="eastAsia" w:cs="宋体"/>
          <w:szCs w:val="24"/>
        </w:rPr>
        <w:t>6.1</w:t>
      </w:r>
      <w:r>
        <w:rPr>
          <w:rFonts w:hint="eastAsia" w:cs="宋体"/>
          <w:szCs w:val="24"/>
          <w:lang w:val="en-US"/>
        </w:rPr>
        <w:t xml:space="preserve"> </w:t>
      </w:r>
      <w:r>
        <w:rPr>
          <w:rFonts w:hint="eastAsia" w:cs="宋体"/>
          <w:szCs w:val="24"/>
        </w:rPr>
        <w:t>参与招标投标活动的各方应对招标文件和投标文件中的商业和技术等秘密保密，否则应承担相应的法律责任。</w:t>
      </w:r>
    </w:p>
    <w:p w14:paraId="79D9FEC8">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6.2 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B103CB0">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6.3 采购代理机构有权将投标人提供的所有资料向有关政府部门或评审投标文件的有关人员披露。</w:t>
      </w:r>
    </w:p>
    <w:p w14:paraId="78F4F37E">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6.4 各级人民政府财政部门对政府采购活动进行监督检查，有权查阅、复制有关文件、资料，相关单位和人员应当予以配合。</w:t>
      </w:r>
    </w:p>
    <w:p w14:paraId="682E1485">
      <w:pPr>
        <w:pStyle w:val="6"/>
        <w:keepNext w:val="0"/>
        <w:keepLines w:val="0"/>
        <w:spacing w:before="80" w:after="80" w:line="240" w:lineRule="auto"/>
        <w:ind w:left="420" w:hanging="420"/>
        <w:jc w:val="both"/>
        <w:rPr>
          <w:rFonts w:hint="eastAsia" w:ascii="宋体" w:hAnsi="宋体" w:cs="宋体"/>
          <w:sz w:val="24"/>
          <w:szCs w:val="24"/>
        </w:rPr>
      </w:pPr>
      <w:bookmarkStart w:id="152" w:name="_Toc163492829"/>
      <w:bookmarkStart w:id="153" w:name="_Toc9160"/>
      <w:bookmarkStart w:id="154" w:name="_Toc140132762"/>
      <w:r>
        <w:rPr>
          <w:rFonts w:hint="eastAsia" w:ascii="宋体" w:hAnsi="宋体" w:cs="宋体"/>
          <w:sz w:val="24"/>
          <w:szCs w:val="24"/>
        </w:rPr>
        <w:t>7.语言文字</w:t>
      </w:r>
      <w:bookmarkEnd w:id="152"/>
      <w:bookmarkEnd w:id="153"/>
      <w:bookmarkEnd w:id="154"/>
    </w:p>
    <w:p w14:paraId="4AD613F3">
      <w:pPr>
        <w:pStyle w:val="39"/>
        <w:jc w:val="both"/>
        <w:rPr>
          <w:rFonts w:hint="eastAsia" w:cs="宋体"/>
          <w:szCs w:val="24"/>
        </w:rPr>
      </w:pPr>
      <w:r>
        <w:rPr>
          <w:rFonts w:hint="eastAsia" w:cs="宋体"/>
          <w:szCs w:val="24"/>
        </w:rPr>
        <w:t>7.1招标投标</w:t>
      </w:r>
      <w:r>
        <w:rPr>
          <w:rFonts w:hint="eastAsia" w:cs="宋体"/>
          <w:szCs w:val="24"/>
          <w:lang w:val="en-US"/>
        </w:rPr>
        <w:t>过程</w:t>
      </w:r>
      <w:r>
        <w:rPr>
          <w:rFonts w:hint="eastAsia" w:cs="宋体"/>
          <w:szCs w:val="24"/>
        </w:rPr>
        <w:t>文件使用的语言文字为中文。专用术语使用外文的，应附有中文注释。</w:t>
      </w:r>
      <w:r>
        <w:rPr>
          <w:rFonts w:hint="eastAsia" w:cs="宋体"/>
          <w:szCs w:val="24"/>
          <w:lang w:val="en-US"/>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11C81EC2">
      <w:pPr>
        <w:pStyle w:val="6"/>
        <w:keepNext w:val="0"/>
        <w:keepLines w:val="0"/>
        <w:spacing w:before="80" w:after="80" w:line="240" w:lineRule="auto"/>
        <w:ind w:left="420" w:hanging="420"/>
        <w:jc w:val="both"/>
        <w:rPr>
          <w:rFonts w:hint="eastAsia" w:ascii="宋体" w:hAnsi="宋体" w:cs="宋体"/>
          <w:sz w:val="24"/>
          <w:szCs w:val="24"/>
        </w:rPr>
      </w:pPr>
      <w:bookmarkStart w:id="155" w:name="_Toc140132763"/>
      <w:bookmarkStart w:id="156" w:name="_Toc163492830"/>
      <w:bookmarkStart w:id="157" w:name="_Toc15679"/>
      <w:r>
        <w:rPr>
          <w:rFonts w:hint="eastAsia" w:ascii="宋体" w:hAnsi="宋体" w:cs="宋体"/>
          <w:sz w:val="24"/>
          <w:szCs w:val="24"/>
        </w:rPr>
        <w:t>8.计量单位</w:t>
      </w:r>
      <w:bookmarkEnd w:id="155"/>
      <w:bookmarkEnd w:id="156"/>
      <w:bookmarkEnd w:id="157"/>
    </w:p>
    <w:p w14:paraId="4550A4E9">
      <w:pPr>
        <w:pStyle w:val="39"/>
        <w:jc w:val="both"/>
        <w:rPr>
          <w:rFonts w:hint="eastAsia" w:cs="宋体"/>
          <w:szCs w:val="24"/>
        </w:rPr>
      </w:pPr>
      <w:r>
        <w:rPr>
          <w:rFonts w:hint="eastAsia" w:cs="宋体"/>
          <w:szCs w:val="24"/>
        </w:rPr>
        <w:t>8.1所有计量均采用中华人民共和国法定计量单位。</w:t>
      </w:r>
    </w:p>
    <w:p w14:paraId="41D34D78">
      <w:pPr>
        <w:pStyle w:val="6"/>
        <w:keepNext w:val="0"/>
        <w:keepLines w:val="0"/>
        <w:spacing w:before="80" w:after="80" w:line="240" w:lineRule="auto"/>
        <w:ind w:left="420" w:hanging="420"/>
        <w:jc w:val="both"/>
        <w:rPr>
          <w:rFonts w:hint="eastAsia" w:ascii="宋体" w:hAnsi="宋体" w:cs="宋体"/>
          <w:sz w:val="24"/>
          <w:szCs w:val="24"/>
        </w:rPr>
      </w:pPr>
      <w:bookmarkStart w:id="158" w:name="_Toc163492831"/>
      <w:bookmarkStart w:id="159" w:name="_Toc23050"/>
      <w:bookmarkStart w:id="160" w:name="_Toc140132764"/>
      <w:r>
        <w:rPr>
          <w:rFonts w:hint="eastAsia" w:ascii="宋体" w:hAnsi="宋体" w:cs="宋体"/>
          <w:sz w:val="24"/>
          <w:szCs w:val="24"/>
        </w:rPr>
        <w:t>9.现场考察和答疑会</w:t>
      </w:r>
      <w:bookmarkEnd w:id="158"/>
      <w:bookmarkEnd w:id="159"/>
      <w:bookmarkEnd w:id="160"/>
    </w:p>
    <w:p w14:paraId="624FD1BA">
      <w:pPr>
        <w:pStyle w:val="39"/>
        <w:jc w:val="both"/>
        <w:rPr>
          <w:rFonts w:hint="eastAsia" w:cs="宋体"/>
          <w:szCs w:val="24"/>
        </w:rPr>
      </w:pPr>
      <w:bookmarkStart w:id="161" w:name="_Hlk143529198"/>
      <w:r>
        <w:rPr>
          <w:rFonts w:hint="eastAsia" w:cs="宋体"/>
          <w:szCs w:val="24"/>
        </w:rPr>
        <w:t xml:space="preserve">9.1 “投标人须知前附表”规定组织现场考察的，采购代理机构按“投标人须知前附表”规定的时间、地点组织投标人项目现场考察。 </w:t>
      </w:r>
    </w:p>
    <w:p w14:paraId="2B2DC44F">
      <w:pPr>
        <w:pStyle w:val="39"/>
        <w:jc w:val="both"/>
        <w:rPr>
          <w:rFonts w:hint="eastAsia" w:cs="宋体"/>
          <w:szCs w:val="24"/>
        </w:rPr>
      </w:pPr>
      <w:r>
        <w:rPr>
          <w:rFonts w:hint="eastAsia" w:cs="宋体"/>
          <w:szCs w:val="24"/>
        </w:rPr>
        <w:t>9.2 投标人现场考察发生的费用自理。</w:t>
      </w:r>
    </w:p>
    <w:p w14:paraId="15D0C838">
      <w:pPr>
        <w:pStyle w:val="39"/>
        <w:jc w:val="both"/>
        <w:rPr>
          <w:rFonts w:hint="eastAsia" w:cs="宋体"/>
          <w:szCs w:val="24"/>
        </w:rPr>
      </w:pPr>
      <w:r>
        <w:rPr>
          <w:rFonts w:hint="eastAsia" w:cs="宋体"/>
          <w:szCs w:val="24"/>
        </w:rPr>
        <w:t>9.3 在现场考察中，因投标人自身原因发生的人员伤亡和财产损失，由投标人自行负责。</w:t>
      </w:r>
    </w:p>
    <w:p w14:paraId="059DC4B2">
      <w:pPr>
        <w:pStyle w:val="39"/>
        <w:jc w:val="both"/>
        <w:rPr>
          <w:rFonts w:hint="eastAsia" w:cs="宋体"/>
          <w:szCs w:val="24"/>
        </w:rPr>
      </w:pPr>
      <w:r>
        <w:rPr>
          <w:rFonts w:hint="eastAsia" w:cs="宋体"/>
          <w:szCs w:val="24"/>
        </w:rPr>
        <w:t>9.4 采购人在现场考察中介绍的项目场地和相关的周边环境情况，仅供投标人在编制投标文件时参考，采购人和采购代理机构不对投标人据此作出的判断和决策负责。</w:t>
      </w:r>
    </w:p>
    <w:p w14:paraId="108F848F">
      <w:pPr>
        <w:pStyle w:val="39"/>
        <w:jc w:val="both"/>
        <w:rPr>
          <w:rFonts w:hint="eastAsia" w:cs="宋体"/>
          <w:szCs w:val="24"/>
        </w:rPr>
      </w:pPr>
      <w:r>
        <w:rPr>
          <w:rFonts w:hint="eastAsia" w:cs="宋体"/>
          <w:szCs w:val="24"/>
        </w:rPr>
        <w:t>9.5 “投标人须知前附表”规定召开答疑会的，采购代理机构按“投标人须知前附表”规定的时间和地点召开答疑会，澄清投标人提出的问题。</w:t>
      </w:r>
    </w:p>
    <w:p w14:paraId="6CDD15A6">
      <w:pPr>
        <w:pStyle w:val="39"/>
        <w:jc w:val="both"/>
        <w:rPr>
          <w:rFonts w:hint="eastAsia" w:cs="宋体"/>
          <w:szCs w:val="24"/>
          <w:lang w:val="en-US"/>
        </w:rPr>
      </w:pPr>
      <w:r>
        <w:rPr>
          <w:rFonts w:hint="eastAsia" w:cs="宋体"/>
          <w:szCs w:val="24"/>
          <w:lang w:val="en-US"/>
        </w:rPr>
        <w:t>9.6 由于未参加现场考察或未参加标前答疑会而导致对项目实际情况不了解，影响投标文件编制、投标报价准确性、综合因素响应不全面等问题的，由投标人自行承担不利评审后果。</w:t>
      </w:r>
    </w:p>
    <w:bookmarkEnd w:id="161"/>
    <w:p w14:paraId="789467E1">
      <w:pPr>
        <w:pStyle w:val="6"/>
        <w:keepNext w:val="0"/>
        <w:keepLines w:val="0"/>
        <w:spacing w:before="80" w:after="80" w:line="240" w:lineRule="auto"/>
        <w:ind w:left="420" w:hanging="420"/>
        <w:jc w:val="both"/>
        <w:rPr>
          <w:rFonts w:hint="eastAsia" w:ascii="宋体" w:hAnsi="宋体" w:cs="宋体"/>
          <w:sz w:val="24"/>
          <w:szCs w:val="24"/>
        </w:rPr>
      </w:pPr>
      <w:bookmarkStart w:id="162" w:name="_Toc72"/>
      <w:bookmarkStart w:id="163" w:name="_Toc163492833"/>
      <w:bookmarkStart w:id="164" w:name="_Toc155185858"/>
      <w:bookmarkStart w:id="165" w:name="_Toc155185871"/>
      <w:r>
        <w:rPr>
          <w:rFonts w:hint="eastAsia" w:ascii="宋体" w:hAnsi="宋体" w:cs="宋体"/>
          <w:sz w:val="24"/>
          <w:szCs w:val="24"/>
        </w:rPr>
        <w:t>10.电子投标说明</w:t>
      </w:r>
      <w:bookmarkEnd w:id="162"/>
      <w:bookmarkEnd w:id="163"/>
      <w:bookmarkEnd w:id="164"/>
      <w:r>
        <w:rPr>
          <w:rFonts w:hint="eastAsia" w:ascii="宋体" w:hAnsi="宋体" w:cs="宋体"/>
          <w:sz w:val="24"/>
          <w:szCs w:val="24"/>
        </w:rPr>
        <w:t xml:space="preserve">   </w:t>
      </w:r>
    </w:p>
    <w:p w14:paraId="70621633">
      <w:pPr>
        <w:pStyle w:val="39"/>
        <w:jc w:val="both"/>
        <w:rPr>
          <w:rFonts w:hint="eastAsia" w:cs="宋体"/>
          <w:szCs w:val="24"/>
          <w:lang w:val="en-US"/>
        </w:rPr>
      </w:pPr>
      <w:r>
        <w:rPr>
          <w:rFonts w:hint="eastAsia" w:cs="宋体"/>
          <w:szCs w:val="24"/>
          <w:lang w:val="en-US"/>
        </w:rPr>
        <w:t xml:space="preserve">10.1 </w:t>
      </w:r>
      <w:r>
        <w:rPr>
          <w:rFonts w:hint="eastAsia" w:cs="宋体"/>
          <w:szCs w:val="24"/>
        </w:rPr>
        <w:t>本次采购采用电子交易方式</w:t>
      </w:r>
      <w:r>
        <w:rPr>
          <w:rFonts w:hint="eastAsia" w:cs="宋体"/>
          <w:szCs w:val="24"/>
          <w:lang w:val="en-US"/>
        </w:rPr>
        <w:t>，</w:t>
      </w:r>
      <w:r>
        <w:rPr>
          <w:rFonts w:hint="eastAsia" w:cs="宋体"/>
          <w:szCs w:val="24"/>
        </w:rPr>
        <w:t>电子交易平台为</w:t>
      </w:r>
      <w:r>
        <w:rPr>
          <w:rFonts w:hint="eastAsia" w:cs="宋体"/>
          <w:szCs w:val="24"/>
          <w:lang w:val="en-US"/>
        </w:rPr>
        <w:t>兵团</w:t>
      </w:r>
      <w:r>
        <w:rPr>
          <w:rFonts w:hint="eastAsia" w:cs="宋体"/>
          <w:szCs w:val="24"/>
        </w:rPr>
        <w:t>政府采购</w:t>
      </w:r>
      <w:r>
        <w:rPr>
          <w:rFonts w:hint="eastAsia" w:cs="宋体"/>
          <w:szCs w:val="24"/>
          <w:lang w:val="en-US"/>
        </w:rPr>
        <w:t>电子交易云</w:t>
      </w:r>
      <w:r>
        <w:rPr>
          <w:rFonts w:hint="eastAsia" w:cs="宋体"/>
          <w:szCs w:val="24"/>
        </w:rPr>
        <w:t>平台</w:t>
      </w:r>
      <w:r>
        <w:rPr>
          <w:rFonts w:hint="eastAsia" w:cs="宋体"/>
          <w:szCs w:val="24"/>
          <w:lang w:val="hr-HR"/>
        </w:rPr>
        <w:t>（</w:t>
      </w:r>
      <w:r>
        <w:rPr>
          <w:rFonts w:hint="eastAsia" w:cs="宋体"/>
          <w:szCs w:val="24"/>
        </w:rPr>
        <w:t>网址</w:t>
      </w:r>
      <w:r>
        <w:rPr>
          <w:rFonts w:hint="eastAsia" w:cs="宋体"/>
          <w:szCs w:val="24"/>
          <w:lang w:val="hr-HR"/>
        </w:rPr>
        <w:t>：https</w:t>
      </w:r>
      <w:r>
        <w:rPr>
          <w:rFonts w:hint="eastAsia" w:cs="宋体"/>
          <w:szCs w:val="24"/>
          <w:lang w:val="hr-HR" w:eastAsia="zh-CN"/>
        </w:rPr>
        <w:t>；</w:t>
      </w:r>
      <w:r>
        <w:rPr>
          <w:rFonts w:hint="eastAsia" w:cs="宋体"/>
          <w:szCs w:val="24"/>
          <w:lang w:val="hr-HR"/>
        </w:rPr>
        <w:t>//www.zcygov.cn/）</w:t>
      </w:r>
      <w:r>
        <w:rPr>
          <w:rFonts w:hint="eastAsia" w:cs="宋体"/>
          <w:szCs w:val="24"/>
        </w:rPr>
        <w:t>。投标人参与本项目电子交易活动前，应</w:t>
      </w:r>
      <w:r>
        <w:rPr>
          <w:rFonts w:hint="eastAsia" w:cs="宋体"/>
          <w:szCs w:val="24"/>
          <w:lang w:val="en-US"/>
        </w:rPr>
        <w:t>在</w:t>
      </w:r>
      <w:r>
        <w:rPr>
          <w:rFonts w:hint="eastAsia" w:cs="宋体"/>
          <w:szCs w:val="24"/>
        </w:rPr>
        <w:t>政</w:t>
      </w:r>
      <w:r>
        <w:rPr>
          <w:rFonts w:hint="eastAsia" w:cs="宋体"/>
          <w:szCs w:val="24"/>
          <w:lang w:val="en-US"/>
        </w:rPr>
        <w:t>采云</w:t>
      </w:r>
      <w:r>
        <w:rPr>
          <w:rFonts w:hint="eastAsia" w:cs="宋体"/>
          <w:szCs w:val="24"/>
        </w:rPr>
        <w:t>平台</w:t>
      </w:r>
      <w:r>
        <w:rPr>
          <w:rFonts w:hint="eastAsia" w:cs="宋体"/>
          <w:szCs w:val="24"/>
          <w:lang w:val="en-US"/>
        </w:rPr>
        <w:t>上</w:t>
      </w:r>
      <w:r>
        <w:rPr>
          <w:rFonts w:hint="eastAsia" w:cs="宋体"/>
          <w:szCs w:val="24"/>
        </w:rPr>
        <w:t>注册</w:t>
      </w:r>
      <w:r>
        <w:rPr>
          <w:rFonts w:hint="eastAsia" w:cs="宋体"/>
          <w:szCs w:val="24"/>
          <w:lang w:val="en-US"/>
        </w:rPr>
        <w:t>供应商账号</w:t>
      </w:r>
      <w:r>
        <w:rPr>
          <w:rFonts w:hint="eastAsia" w:cs="宋体"/>
          <w:szCs w:val="24"/>
        </w:rPr>
        <w:t>。编制电子</w:t>
      </w:r>
      <w:r>
        <w:rPr>
          <w:rFonts w:hint="eastAsia" w:cs="宋体"/>
          <w:szCs w:val="24"/>
          <w:lang w:val="en-US"/>
        </w:rPr>
        <w:t>投标</w:t>
      </w:r>
      <w:r>
        <w:rPr>
          <w:rFonts w:hint="eastAsia" w:cs="宋体"/>
          <w:szCs w:val="24"/>
        </w:rPr>
        <w:t>文件前还需</w:t>
      </w:r>
      <w:r>
        <w:rPr>
          <w:rFonts w:hint="eastAsia" w:cs="宋体"/>
          <w:szCs w:val="24"/>
          <w:lang w:val="en-US"/>
        </w:rPr>
        <w:t>申领CA证书并绑定帐号。投标人应充分考虑完成平台注册、申领CA证书等所需的时间。</w:t>
      </w:r>
      <w:r>
        <w:rPr>
          <w:rFonts w:hint="eastAsia" w:cs="宋体"/>
          <w:szCs w:val="24"/>
        </w:rPr>
        <w:t>潜在投标人领取文件须提前完成注册、CA证书和电子签章申领和绑定、下载“投标客户端”。因未办理CA数字证书、CA证书故障、操作不当等原因造成无法投标或投标失败等后果由投标人自行承担。</w:t>
      </w:r>
      <w:r>
        <w:rPr>
          <w:rFonts w:hint="eastAsia" w:cs="宋体"/>
          <w:szCs w:val="24"/>
          <w:lang w:val="en-US"/>
        </w:rPr>
        <w:t>投标人</w:t>
      </w:r>
      <w:r>
        <w:rPr>
          <w:rFonts w:hint="eastAsia" w:cs="宋体"/>
          <w:szCs w:val="24"/>
        </w:rPr>
        <w:t>登录兵团政府采购网“供应商注册”—“新疆生产建设兵团政府采购供应商入驻登记”—“立即登记”进行自助注册绑定。</w:t>
      </w:r>
    </w:p>
    <w:p w14:paraId="7DFA9F48">
      <w:pPr>
        <w:pStyle w:val="39"/>
        <w:jc w:val="both"/>
        <w:rPr>
          <w:rFonts w:hint="eastAsia" w:cs="宋体"/>
          <w:szCs w:val="24"/>
        </w:rPr>
      </w:pPr>
      <w:r>
        <w:rPr>
          <w:rFonts w:hint="eastAsia" w:cs="宋体"/>
          <w:szCs w:val="24"/>
          <w:lang w:val="en-US"/>
        </w:rPr>
        <w:t>10.</w:t>
      </w:r>
      <w:r>
        <w:rPr>
          <w:rFonts w:hint="eastAsia" w:cs="宋体"/>
          <w:szCs w:val="24"/>
        </w:rPr>
        <w:t>2</w:t>
      </w:r>
      <w:r>
        <w:rPr>
          <w:rFonts w:hint="eastAsia" w:cs="宋体"/>
          <w:szCs w:val="24"/>
          <w:lang w:val="en-US"/>
        </w:rPr>
        <w:t xml:space="preserve"> </w:t>
      </w:r>
      <w:r>
        <w:rPr>
          <w:rFonts w:hint="eastAsia" w:cs="宋体"/>
          <w:szCs w:val="24"/>
        </w:rPr>
        <w:t>投标人将</w:t>
      </w:r>
      <w:r>
        <w:rPr>
          <w:rFonts w:hint="eastAsia" w:cs="宋体"/>
          <w:szCs w:val="24"/>
          <w:lang w:val="en-US"/>
        </w:rPr>
        <w:t>兵团</w:t>
      </w:r>
      <w:r>
        <w:rPr>
          <w:rFonts w:hint="eastAsia" w:cs="宋体"/>
          <w:szCs w:val="24"/>
        </w:rPr>
        <w:t>政府采购</w:t>
      </w:r>
      <w:r>
        <w:rPr>
          <w:rFonts w:hint="eastAsia" w:cs="宋体"/>
          <w:szCs w:val="24"/>
          <w:lang w:val="en-US"/>
        </w:rPr>
        <w:t>电子交易云</w:t>
      </w:r>
      <w:r>
        <w:rPr>
          <w:rFonts w:hint="eastAsia" w:cs="宋体"/>
          <w:szCs w:val="24"/>
        </w:rPr>
        <w:t>平台电子交易客户端下载、安装完成后，可通过账号密码或CA登录客户端进行投标文件制作。在使用政采云“投标客户端”时，建议使用WIN7及以上操作系统。</w:t>
      </w:r>
      <w:r>
        <w:rPr>
          <w:rFonts w:hint="eastAsia" w:cs="宋体"/>
          <w:szCs w:val="24"/>
          <w:lang w:val="en-US"/>
        </w:rPr>
        <w:t>投标人</w:t>
      </w:r>
      <w:r>
        <w:rPr>
          <w:rFonts w:hint="eastAsia" w:cs="宋体"/>
          <w:szCs w:val="24"/>
        </w:rPr>
        <w:t>登录兵团政府采购网“下载专区”—“电子招投标客户端下载”下载相关客户端，如有问题可拨打政采云客户服务热线95763进行咨询。</w:t>
      </w:r>
    </w:p>
    <w:p w14:paraId="12BD77A2">
      <w:pPr>
        <w:pStyle w:val="39"/>
        <w:jc w:val="both"/>
        <w:rPr>
          <w:rFonts w:hint="eastAsia" w:cs="宋体"/>
          <w:szCs w:val="24"/>
        </w:rPr>
      </w:pPr>
      <w:r>
        <w:rPr>
          <w:rFonts w:hint="eastAsia" w:cs="宋体"/>
          <w:szCs w:val="24"/>
          <w:lang w:val="en-US"/>
        </w:rPr>
        <w:t>10.</w:t>
      </w:r>
      <w:r>
        <w:rPr>
          <w:rFonts w:hint="eastAsia" w:cs="宋体"/>
          <w:szCs w:val="24"/>
        </w:rPr>
        <w:t>3</w:t>
      </w:r>
      <w:r>
        <w:rPr>
          <w:rFonts w:hint="eastAsia" w:cs="宋体"/>
          <w:szCs w:val="24"/>
          <w:lang w:val="en-US"/>
        </w:rPr>
        <w:t xml:space="preserve"> </w:t>
      </w:r>
      <w:r>
        <w:rPr>
          <w:rFonts w:hint="eastAsia" w:cs="宋体"/>
          <w:szCs w:val="24"/>
        </w:rPr>
        <w:t>加密的电子投标文件应在投标文件递交截止时间前通过政采云平台上传完成。逾期上传或者未上传指定地点的投标文件，不予受理。</w:t>
      </w:r>
    </w:p>
    <w:p w14:paraId="09A339AD">
      <w:pPr>
        <w:pStyle w:val="39"/>
        <w:jc w:val="both"/>
        <w:rPr>
          <w:rFonts w:hint="eastAsia" w:cs="宋体"/>
          <w:szCs w:val="24"/>
        </w:rPr>
      </w:pPr>
      <w:r>
        <w:rPr>
          <w:rFonts w:hint="eastAsia" w:cs="宋体"/>
          <w:szCs w:val="24"/>
          <w:lang w:val="en-US"/>
        </w:rPr>
        <w:t>10.</w:t>
      </w:r>
      <w:r>
        <w:rPr>
          <w:rFonts w:hint="eastAsia" w:cs="宋体"/>
          <w:szCs w:val="24"/>
        </w:rPr>
        <w:t>4</w:t>
      </w:r>
      <w:r>
        <w:rPr>
          <w:rFonts w:hint="eastAsia" w:cs="宋体"/>
          <w:szCs w:val="24"/>
          <w:lang w:val="en-US"/>
        </w:rPr>
        <w:t xml:space="preserve"> </w:t>
      </w:r>
      <w:r>
        <w:rPr>
          <w:rFonts w:hint="eastAsia" w:cs="宋体"/>
          <w:szCs w:val="24"/>
        </w:rPr>
        <w:t>投标人在开标前须提前配置好电脑</w:t>
      </w:r>
      <w:r>
        <w:rPr>
          <w:rFonts w:hint="eastAsia" w:cs="宋体"/>
          <w:szCs w:val="24"/>
          <w:lang w:val="en-US"/>
        </w:rPr>
        <w:t>及</w:t>
      </w:r>
      <w:r>
        <w:rPr>
          <w:rFonts w:hint="eastAsia" w:cs="宋体"/>
          <w:szCs w:val="24"/>
        </w:rPr>
        <w:t>浏览器，开标时请使用制作加密电子投标文件的CA锁进行解密及报价确认。本项目投标文件解密时间</w:t>
      </w:r>
      <w:r>
        <w:rPr>
          <w:rFonts w:hint="eastAsia" w:cs="宋体"/>
          <w:szCs w:val="24"/>
          <w:lang w:val="en-US"/>
        </w:rPr>
        <w:t>详见“投标人须知前附表”</w:t>
      </w:r>
      <w:r>
        <w:rPr>
          <w:rFonts w:hint="eastAsia" w:cs="宋体"/>
          <w:szCs w:val="24"/>
        </w:rPr>
        <w:t>，如因自身原因导致无法正常解密，后果由投标人自行承担。</w:t>
      </w:r>
    </w:p>
    <w:p w14:paraId="55E861B0">
      <w:pPr>
        <w:pStyle w:val="39"/>
        <w:jc w:val="both"/>
        <w:rPr>
          <w:rFonts w:hint="eastAsia" w:cs="宋体"/>
          <w:szCs w:val="24"/>
        </w:rPr>
      </w:pPr>
      <w:r>
        <w:rPr>
          <w:rFonts w:hint="eastAsia" w:cs="宋体"/>
          <w:szCs w:val="24"/>
          <w:lang w:val="en-US"/>
        </w:rPr>
        <w:t>10.</w:t>
      </w:r>
      <w:r>
        <w:rPr>
          <w:rFonts w:hint="eastAsia" w:cs="宋体"/>
          <w:szCs w:val="24"/>
        </w:rPr>
        <w:t>5</w:t>
      </w:r>
      <w:r>
        <w:rPr>
          <w:rFonts w:hint="eastAsia" w:cs="宋体"/>
          <w:szCs w:val="24"/>
          <w:lang w:val="en-US"/>
        </w:rPr>
        <w:t xml:space="preserve"> </w:t>
      </w:r>
      <w:r>
        <w:rPr>
          <w:rFonts w:hint="eastAsia" w:cs="宋体"/>
          <w:szCs w:val="24"/>
        </w:rPr>
        <w:t>如遇“</w:t>
      </w:r>
      <w:r>
        <w:rPr>
          <w:rFonts w:hint="eastAsia" w:cs="宋体"/>
          <w:szCs w:val="24"/>
          <w:lang w:val="en-US"/>
        </w:rPr>
        <w:t>兵团</w:t>
      </w:r>
      <w:r>
        <w:rPr>
          <w:rFonts w:hint="eastAsia" w:cs="宋体"/>
          <w:szCs w:val="24"/>
        </w:rPr>
        <w:t>政府采购</w:t>
      </w:r>
      <w:r>
        <w:rPr>
          <w:rFonts w:hint="eastAsia" w:cs="宋体"/>
          <w:szCs w:val="24"/>
          <w:lang w:val="en-US"/>
        </w:rPr>
        <w:t>电子交易云</w:t>
      </w:r>
      <w:r>
        <w:rPr>
          <w:rFonts w:hint="eastAsia" w:cs="宋体"/>
          <w:szCs w:val="24"/>
        </w:rPr>
        <w:t>平台</w:t>
      </w:r>
      <w:r>
        <w:rPr>
          <w:rFonts w:hint="eastAsia" w:cs="宋体"/>
          <w:szCs w:val="24"/>
          <w:lang w:val="hr-HR"/>
        </w:rPr>
        <w:t>（</w:t>
      </w:r>
      <w:r>
        <w:rPr>
          <w:rFonts w:hint="eastAsia" w:cs="宋体"/>
          <w:szCs w:val="24"/>
        </w:rPr>
        <w:t>网址</w:t>
      </w:r>
      <w:r>
        <w:rPr>
          <w:rFonts w:hint="eastAsia" w:cs="宋体"/>
          <w:szCs w:val="24"/>
          <w:lang w:val="hr-HR"/>
        </w:rPr>
        <w:t>：https</w:t>
      </w:r>
      <w:r>
        <w:rPr>
          <w:rFonts w:hint="eastAsia" w:cs="宋体"/>
          <w:szCs w:val="24"/>
          <w:lang w:val="hr-HR" w:eastAsia="zh-CN"/>
        </w:rPr>
        <w:t>；</w:t>
      </w:r>
      <w:r>
        <w:rPr>
          <w:rFonts w:hint="eastAsia" w:cs="宋体"/>
          <w:szCs w:val="24"/>
          <w:lang w:val="hr-HR"/>
        </w:rPr>
        <w:t>//www.zcygov.cn/）</w:t>
      </w:r>
      <w:r>
        <w:rPr>
          <w:rFonts w:hint="eastAsia" w:cs="宋体"/>
          <w:szCs w:val="24"/>
        </w:rPr>
        <w:t>”电子交易规则调整，以最新要求为准。</w:t>
      </w:r>
    </w:p>
    <w:p w14:paraId="4EF86D7C">
      <w:pPr>
        <w:pStyle w:val="39"/>
        <w:jc w:val="both"/>
        <w:rPr>
          <w:rFonts w:hint="eastAsia" w:cs="宋体"/>
          <w:szCs w:val="24"/>
          <w:lang w:val="en-US"/>
        </w:rPr>
      </w:pPr>
      <w:r>
        <w:rPr>
          <w:rFonts w:hint="eastAsia" w:cs="宋体"/>
          <w:szCs w:val="24"/>
          <w:lang w:val="en-US"/>
        </w:rPr>
        <w:t>10.6 电子交易系统咨询：投标人应当充分考虑到电子投标可能会发生的各种问题和风险，特别是投标文件签署、提交等问题，可按照“第一章 招标公告”的联系方式咨询相关人员。</w:t>
      </w:r>
    </w:p>
    <w:p w14:paraId="2B8D1201">
      <w:pPr>
        <w:pStyle w:val="39"/>
        <w:jc w:val="both"/>
        <w:rPr>
          <w:rFonts w:hint="eastAsia" w:cs="宋体"/>
          <w:szCs w:val="24"/>
          <w:lang w:val="en-US"/>
        </w:rPr>
      </w:pPr>
      <w:r>
        <w:rPr>
          <w:rFonts w:hint="eastAsia" w:cs="宋体"/>
          <w:szCs w:val="24"/>
          <w:lang w:val="en-US"/>
        </w:rPr>
        <w:t>10.7 由于本项目采用电子招标方式，潜在投标人的名单将在提交投标文件截止时间后才会解密。因此，采购人或采购代理机构无法通过传统的传真或邮件方式，将招标文件的澄清或修改内容逐一通知到每位已获取招标文件的潜在投标人。为确保信息的及时性和准确性，澄清或修改的内容将仅在政采云平台以更正公告的形式发布。潜在投标人需密切关注该网站，及时查看并下载相关更正公告。若因潜在投标人未能及时查看或下载相关更正公告，而导致的一切后果，将由潜在投标人自行承担。</w:t>
      </w:r>
    </w:p>
    <w:p w14:paraId="5DF86FAD">
      <w:pPr>
        <w:pStyle w:val="5"/>
        <w:keepNext w:val="0"/>
        <w:keepLines w:val="0"/>
        <w:spacing w:before="120" w:after="120" w:line="240" w:lineRule="auto"/>
        <w:ind w:left="420" w:hanging="420"/>
        <w:jc w:val="both"/>
        <w:rPr>
          <w:rFonts w:hint="eastAsia" w:cs="宋体"/>
          <w:sz w:val="24"/>
          <w:szCs w:val="24"/>
        </w:rPr>
      </w:pPr>
      <w:bookmarkStart w:id="166" w:name="_Toc12064"/>
      <w:bookmarkStart w:id="167" w:name="_Toc163492834"/>
      <w:r>
        <w:rPr>
          <w:rFonts w:hint="eastAsia" w:cs="宋体"/>
          <w:sz w:val="24"/>
          <w:szCs w:val="24"/>
        </w:rPr>
        <w:t>（二）招标文件</w:t>
      </w:r>
      <w:bookmarkEnd w:id="165"/>
      <w:bookmarkEnd w:id="166"/>
      <w:bookmarkEnd w:id="167"/>
    </w:p>
    <w:p w14:paraId="1EE12C59">
      <w:pPr>
        <w:pStyle w:val="6"/>
        <w:keepNext w:val="0"/>
        <w:keepLines w:val="0"/>
        <w:spacing w:before="80" w:after="80" w:line="240" w:lineRule="auto"/>
        <w:ind w:left="420" w:hanging="420"/>
        <w:jc w:val="both"/>
        <w:rPr>
          <w:rFonts w:hint="eastAsia" w:ascii="宋体" w:hAnsi="宋体" w:cs="宋体"/>
          <w:sz w:val="24"/>
          <w:szCs w:val="24"/>
        </w:rPr>
      </w:pPr>
      <w:bookmarkStart w:id="168" w:name="_Toc140132768"/>
      <w:bookmarkStart w:id="169" w:name="_Toc14223"/>
      <w:bookmarkStart w:id="170" w:name="_Toc163492835"/>
      <w:r>
        <w:rPr>
          <w:rFonts w:hint="eastAsia" w:ascii="宋体" w:hAnsi="宋体" w:cs="宋体"/>
          <w:sz w:val="24"/>
          <w:szCs w:val="24"/>
        </w:rPr>
        <w:t>11.招标文件的组成</w:t>
      </w:r>
      <w:bookmarkEnd w:id="168"/>
      <w:bookmarkEnd w:id="169"/>
      <w:bookmarkEnd w:id="170"/>
    </w:p>
    <w:p w14:paraId="3F6F0668">
      <w:pPr>
        <w:ind w:firstLine="480" w:firstLineChars="200"/>
        <w:jc w:val="both"/>
        <w:rPr>
          <w:rFonts w:hint="eastAsia" w:cs="宋体"/>
          <w:szCs w:val="24"/>
        </w:rPr>
      </w:pPr>
      <w:r>
        <w:rPr>
          <w:rFonts w:hint="eastAsia" w:cs="宋体"/>
          <w:szCs w:val="24"/>
        </w:rPr>
        <w:t>11.1本招标文件包括下列文件及根据本章第9款、第12款对招标文件所作的澄清或者修改。</w:t>
      </w:r>
    </w:p>
    <w:p w14:paraId="2155A6D7">
      <w:pPr>
        <w:ind w:firstLine="480" w:firstLineChars="200"/>
        <w:jc w:val="both"/>
        <w:rPr>
          <w:rFonts w:hint="eastAsia" w:cs="宋体"/>
          <w:szCs w:val="24"/>
        </w:rPr>
      </w:pPr>
      <w:r>
        <w:rPr>
          <w:rFonts w:hint="eastAsia" w:cs="宋体"/>
          <w:szCs w:val="24"/>
        </w:rPr>
        <w:t>第一章 招标公告</w:t>
      </w:r>
    </w:p>
    <w:p w14:paraId="6DEE3E86">
      <w:pPr>
        <w:ind w:firstLine="480" w:firstLineChars="200"/>
        <w:jc w:val="both"/>
        <w:rPr>
          <w:rFonts w:hint="eastAsia" w:cs="宋体"/>
          <w:szCs w:val="24"/>
        </w:rPr>
      </w:pPr>
      <w:r>
        <w:rPr>
          <w:rFonts w:hint="eastAsia" w:cs="宋体"/>
          <w:szCs w:val="24"/>
        </w:rPr>
        <w:t>第二章 投标人须知</w:t>
      </w:r>
    </w:p>
    <w:p w14:paraId="67E19243">
      <w:pPr>
        <w:ind w:firstLine="480" w:firstLineChars="200"/>
        <w:jc w:val="both"/>
        <w:rPr>
          <w:rFonts w:hint="eastAsia" w:cs="宋体"/>
          <w:szCs w:val="24"/>
        </w:rPr>
      </w:pPr>
      <w:r>
        <w:rPr>
          <w:rFonts w:hint="eastAsia" w:cs="宋体"/>
          <w:szCs w:val="24"/>
        </w:rPr>
        <w:t>第三章 采购需求</w:t>
      </w:r>
    </w:p>
    <w:p w14:paraId="53B510A5">
      <w:pPr>
        <w:ind w:firstLine="480" w:firstLineChars="200"/>
        <w:jc w:val="both"/>
        <w:rPr>
          <w:rFonts w:hint="eastAsia" w:cs="宋体"/>
          <w:szCs w:val="24"/>
        </w:rPr>
      </w:pPr>
      <w:r>
        <w:rPr>
          <w:rFonts w:hint="eastAsia" w:cs="宋体"/>
          <w:szCs w:val="24"/>
        </w:rPr>
        <w:t>第四章 资格审查</w:t>
      </w:r>
    </w:p>
    <w:p w14:paraId="644C70E4">
      <w:pPr>
        <w:ind w:firstLine="480" w:firstLineChars="200"/>
        <w:jc w:val="both"/>
        <w:rPr>
          <w:rFonts w:hint="eastAsia" w:cs="宋体"/>
          <w:szCs w:val="24"/>
        </w:rPr>
      </w:pPr>
      <w:r>
        <w:rPr>
          <w:rFonts w:hint="eastAsia" w:cs="宋体"/>
          <w:szCs w:val="24"/>
        </w:rPr>
        <w:t>第五章 评标方法及标准</w:t>
      </w:r>
    </w:p>
    <w:p w14:paraId="6393CAB2">
      <w:pPr>
        <w:ind w:firstLine="480" w:firstLineChars="200"/>
        <w:jc w:val="both"/>
        <w:rPr>
          <w:rFonts w:hint="eastAsia" w:cs="宋体"/>
          <w:szCs w:val="24"/>
        </w:rPr>
      </w:pPr>
      <w:r>
        <w:rPr>
          <w:rFonts w:hint="eastAsia" w:cs="宋体"/>
          <w:szCs w:val="24"/>
        </w:rPr>
        <w:t>第六章 合同草案</w:t>
      </w:r>
    </w:p>
    <w:p w14:paraId="37D3EFC6">
      <w:pPr>
        <w:ind w:firstLine="480" w:firstLineChars="200"/>
        <w:jc w:val="both"/>
        <w:rPr>
          <w:rFonts w:hint="eastAsia" w:cs="宋体"/>
          <w:szCs w:val="24"/>
        </w:rPr>
      </w:pPr>
      <w:r>
        <w:rPr>
          <w:rFonts w:hint="eastAsia" w:cs="宋体"/>
          <w:szCs w:val="24"/>
        </w:rPr>
        <w:t>第七章 投标文件的格式</w:t>
      </w:r>
    </w:p>
    <w:p w14:paraId="58A241FD">
      <w:pPr>
        <w:pStyle w:val="6"/>
        <w:keepNext w:val="0"/>
        <w:keepLines w:val="0"/>
        <w:spacing w:before="80" w:after="80" w:line="240" w:lineRule="auto"/>
        <w:ind w:left="420" w:hanging="420"/>
        <w:jc w:val="both"/>
        <w:rPr>
          <w:rFonts w:hint="eastAsia" w:ascii="宋体" w:hAnsi="宋体" w:cs="宋体"/>
          <w:sz w:val="24"/>
          <w:szCs w:val="24"/>
        </w:rPr>
      </w:pPr>
      <w:bookmarkStart w:id="171" w:name="_Toc163492836"/>
      <w:bookmarkStart w:id="172" w:name="_Toc12876"/>
      <w:bookmarkStart w:id="173" w:name="_Toc140132769"/>
      <w:r>
        <w:rPr>
          <w:rFonts w:hint="eastAsia" w:ascii="宋体" w:hAnsi="宋体" w:cs="宋体"/>
          <w:sz w:val="24"/>
          <w:szCs w:val="24"/>
        </w:rPr>
        <w:t>12.招标文件的询问、澄清或者修改</w:t>
      </w:r>
      <w:bookmarkEnd w:id="171"/>
      <w:bookmarkEnd w:id="172"/>
      <w:bookmarkEnd w:id="173"/>
    </w:p>
    <w:p w14:paraId="63CA768D">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1</w:t>
      </w:r>
      <w:r>
        <w:rPr>
          <w:rFonts w:cs="仿宋_GB2312"/>
          <w:szCs w:val="24"/>
        </w:rPr>
        <w:t>投标人如对招标文件内容有疑问，须在投标人须知前附表规定的</w:t>
      </w:r>
      <w:r>
        <w:rPr>
          <w:rFonts w:hint="eastAsia" w:cs="仿宋_GB2312"/>
          <w:szCs w:val="24"/>
        </w:rPr>
        <w:t>询问方式和</w:t>
      </w:r>
      <w:r>
        <w:rPr>
          <w:rFonts w:cs="仿宋_GB2312"/>
          <w:szCs w:val="24"/>
        </w:rPr>
        <w:t>时间提交给</w:t>
      </w:r>
      <w:r>
        <w:rPr>
          <w:rFonts w:hint="eastAsia" w:cs="仿宋_GB2312"/>
          <w:szCs w:val="24"/>
        </w:rPr>
        <w:t>采购人或</w:t>
      </w:r>
      <w:r>
        <w:rPr>
          <w:rFonts w:cs="仿宋_GB2312"/>
          <w:szCs w:val="24"/>
        </w:rPr>
        <w:t>采购代理机构。</w:t>
      </w:r>
    </w:p>
    <w:p w14:paraId="6932F1C9">
      <w:pPr>
        <w:ind w:firstLine="480" w:firstLineChars="200"/>
        <w:jc w:val="both"/>
        <w:rPr>
          <w:rFonts w:hint="eastAsia" w:cs="仿宋_GB2312"/>
          <w:szCs w:val="24"/>
        </w:rPr>
      </w:pPr>
      <w:r>
        <w:rPr>
          <w:rFonts w:hint="eastAsia" w:cs="仿宋_GB2312"/>
          <w:szCs w:val="24"/>
        </w:rPr>
        <w:t>12</w:t>
      </w:r>
      <w:r>
        <w:rPr>
          <w:rFonts w:cs="仿宋_GB2312"/>
          <w:szCs w:val="24"/>
        </w:rPr>
        <w:t>.</w:t>
      </w:r>
      <w:r>
        <w:rPr>
          <w:rFonts w:hint="eastAsia" w:cs="仿宋_GB2312"/>
          <w:szCs w:val="24"/>
        </w:rPr>
        <w:t>2采购人可主动地或在答复投标人提出的询问时对招标文件进行澄清与修改。</w:t>
      </w:r>
      <w:r>
        <w:rPr>
          <w:rFonts w:cs="仿宋_GB2312"/>
          <w:szCs w:val="24"/>
        </w:rPr>
        <w:t>采购代理机构将</w:t>
      </w:r>
      <w:r>
        <w:rPr>
          <w:rFonts w:hint="eastAsia" w:cs="仿宋_GB2312"/>
          <w:szCs w:val="24"/>
        </w:rPr>
        <w:t>在兵团政府采购云平台以发布更正公告的方式澄清或修改招标文件，更正公告的</w:t>
      </w:r>
      <w:r>
        <w:rPr>
          <w:rFonts w:cs="仿宋_GB2312"/>
          <w:szCs w:val="24"/>
        </w:rPr>
        <w:t>内容</w:t>
      </w:r>
      <w:r>
        <w:rPr>
          <w:rFonts w:hint="eastAsia" w:cs="仿宋_GB2312"/>
          <w:szCs w:val="24"/>
        </w:rPr>
        <w:t>作</w:t>
      </w:r>
      <w:r>
        <w:rPr>
          <w:rFonts w:cs="仿宋_GB2312"/>
          <w:szCs w:val="24"/>
        </w:rPr>
        <w:t>为招标文件</w:t>
      </w:r>
      <w:r>
        <w:rPr>
          <w:rFonts w:hint="eastAsia" w:cs="仿宋_GB2312"/>
          <w:szCs w:val="24"/>
        </w:rPr>
        <w:t>的</w:t>
      </w:r>
      <w:r>
        <w:rPr>
          <w:rFonts w:cs="仿宋_GB2312"/>
          <w:szCs w:val="24"/>
        </w:rPr>
        <w:t>组成部分，对投标人起约束作用</w:t>
      </w:r>
      <w:r>
        <w:rPr>
          <w:rFonts w:hint="eastAsia" w:cs="仿宋_GB2312"/>
          <w:szCs w:val="24"/>
        </w:rPr>
        <w:t>。投标人应主动上网查询。采购代理机构不承担投标人未及时关注相关信息引发的相关责任。</w:t>
      </w:r>
    </w:p>
    <w:p w14:paraId="6272A1CE">
      <w:pPr>
        <w:ind w:firstLine="480" w:firstLineChars="200"/>
        <w:jc w:val="both"/>
        <w:rPr>
          <w:rFonts w:hint="eastAsia" w:cs="仿宋_GB2312"/>
          <w:szCs w:val="24"/>
        </w:rPr>
      </w:pPr>
      <w:r>
        <w:rPr>
          <w:rFonts w:cs="仿宋_GB2312"/>
          <w:szCs w:val="24"/>
        </w:rPr>
        <w:t>1</w:t>
      </w:r>
      <w:r>
        <w:rPr>
          <w:rFonts w:hint="eastAsia" w:cs="仿宋_GB2312"/>
          <w:szCs w:val="24"/>
        </w:rPr>
        <w:t>2.3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62B64A5A">
      <w:pPr>
        <w:ind w:firstLine="480" w:firstLineChars="200"/>
        <w:jc w:val="both"/>
        <w:rPr>
          <w:rFonts w:hint="eastAsia" w:cs="仿宋_GB2312"/>
          <w:szCs w:val="24"/>
        </w:rPr>
      </w:pPr>
      <w:r>
        <w:rPr>
          <w:rFonts w:hint="eastAsia" w:cs="仿宋_GB2312"/>
          <w:szCs w:val="24"/>
        </w:rPr>
        <w:t>12.4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064F5BD4">
      <w:pPr>
        <w:ind w:firstLine="480" w:firstLineChars="200"/>
        <w:jc w:val="both"/>
        <w:rPr>
          <w:rFonts w:hint="eastAsia" w:cs="仿宋_GB2312"/>
          <w:szCs w:val="24"/>
        </w:rPr>
      </w:pPr>
      <w:r>
        <w:rPr>
          <w:rFonts w:hint="eastAsia" w:cs="仿宋_GB2312"/>
          <w:szCs w:val="24"/>
        </w:rPr>
        <w:t>12.5</w:t>
      </w:r>
      <w:r>
        <w:rPr>
          <w:rFonts w:cs="仿宋_GB2312"/>
          <w:szCs w:val="24"/>
        </w:rPr>
        <w:t>对于没有提出</w:t>
      </w:r>
      <w:r>
        <w:rPr>
          <w:rFonts w:hint="eastAsia" w:cs="仿宋_GB2312"/>
          <w:szCs w:val="24"/>
        </w:rPr>
        <w:t>疑问</w:t>
      </w:r>
      <w:r>
        <w:rPr>
          <w:rFonts w:cs="仿宋_GB2312"/>
          <w:szCs w:val="24"/>
        </w:rPr>
        <w:t>又参与了</w:t>
      </w:r>
      <w:r>
        <w:rPr>
          <w:rFonts w:hint="eastAsia" w:cs="仿宋_GB2312"/>
          <w:szCs w:val="24"/>
        </w:rPr>
        <w:t>本</w:t>
      </w:r>
      <w:r>
        <w:rPr>
          <w:rFonts w:cs="仿宋_GB2312"/>
          <w:szCs w:val="24"/>
        </w:rPr>
        <w:t>项目投标的</w:t>
      </w:r>
      <w:r>
        <w:rPr>
          <w:rFonts w:hint="eastAsia" w:cs="仿宋_GB2312"/>
          <w:szCs w:val="24"/>
        </w:rPr>
        <w:t>投标人</w:t>
      </w:r>
      <w:r>
        <w:rPr>
          <w:rFonts w:cs="仿宋_GB2312"/>
          <w:szCs w:val="24"/>
        </w:rPr>
        <w:t>将被视为完全认同</w:t>
      </w:r>
      <w:r>
        <w:rPr>
          <w:rFonts w:hint="eastAsia" w:cs="仿宋_GB2312"/>
          <w:szCs w:val="24"/>
        </w:rPr>
        <w:t>本</w:t>
      </w:r>
      <w:r>
        <w:rPr>
          <w:rFonts w:cs="仿宋_GB2312"/>
          <w:szCs w:val="24"/>
        </w:rPr>
        <w:t>招标文件（含</w:t>
      </w:r>
      <w:r>
        <w:rPr>
          <w:rFonts w:hint="eastAsia" w:cs="仿宋_GB2312"/>
          <w:szCs w:val="24"/>
        </w:rPr>
        <w:t>更正公告的</w:t>
      </w:r>
      <w:r>
        <w:rPr>
          <w:rFonts w:cs="仿宋_GB2312"/>
          <w:szCs w:val="24"/>
        </w:rPr>
        <w:t>内容）</w:t>
      </w:r>
      <w:r>
        <w:rPr>
          <w:rFonts w:hint="eastAsia" w:cs="仿宋_GB2312"/>
          <w:szCs w:val="24"/>
        </w:rPr>
        <w:t>。</w:t>
      </w:r>
    </w:p>
    <w:p w14:paraId="2D829488">
      <w:pPr>
        <w:pStyle w:val="39"/>
        <w:jc w:val="both"/>
        <w:rPr>
          <w:rFonts w:hint="eastAsia"/>
        </w:rPr>
      </w:pPr>
      <w:r>
        <w:t>1</w:t>
      </w:r>
      <w:r>
        <w:rPr>
          <w:rFonts w:hint="eastAsia"/>
          <w:lang w:val="en-US"/>
        </w:rPr>
        <w:t>2</w:t>
      </w:r>
      <w:r>
        <w:t>.</w:t>
      </w:r>
      <w:r>
        <w:rPr>
          <w:rFonts w:hint="eastAsia"/>
          <w:lang w:val="en-US"/>
        </w:rPr>
        <w:t>6</w:t>
      </w:r>
      <w:r>
        <w:rPr>
          <w:rFonts w:hint="eastAsia"/>
        </w:rPr>
        <w:t xml:space="preserve"> </w:t>
      </w:r>
      <w:r>
        <w:rPr>
          <w:rFonts w:hint="eastAsia" w:cs="仿宋_GB2312"/>
          <w:szCs w:val="24"/>
          <w:lang w:val="en-US"/>
        </w:rPr>
        <w:t>“</w:t>
      </w:r>
      <w:r>
        <w:rPr>
          <w:rFonts w:hint="eastAsia" w:cs="仿宋_GB2312"/>
          <w:szCs w:val="24"/>
        </w:rPr>
        <w:t>投标人须知”所称“</w:t>
      </w:r>
      <w:r>
        <w:rPr>
          <w:rFonts w:hint="eastAsia"/>
        </w:rPr>
        <w:t>书面形式</w:t>
      </w:r>
      <w:r>
        <w:rPr>
          <w:rFonts w:hint="eastAsia" w:cs="仿宋_GB2312"/>
          <w:szCs w:val="24"/>
        </w:rPr>
        <w:t>”</w:t>
      </w:r>
      <w:r>
        <w:rPr>
          <w:rFonts w:hint="eastAsia"/>
        </w:rPr>
        <w:t>包括系统消息、政府采购</w:t>
      </w:r>
      <w:r>
        <w:rPr>
          <w:rFonts w:hint="eastAsia"/>
          <w:lang w:val="en-US"/>
        </w:rPr>
        <w:t>云平台</w:t>
      </w:r>
      <w:r>
        <w:rPr>
          <w:rFonts w:hint="eastAsia"/>
        </w:rPr>
        <w:t>发布的公告。</w:t>
      </w:r>
    </w:p>
    <w:p w14:paraId="0588E7F2">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2"/>
        </w:rPr>
        <w:t>12.7当招标文件的澄清、修改及其他答复等就同一内容的表述不一致时，以最后发布的内容为准。</w:t>
      </w:r>
    </w:p>
    <w:p w14:paraId="7036EDC7">
      <w:pPr>
        <w:pStyle w:val="5"/>
        <w:keepNext w:val="0"/>
        <w:keepLines w:val="0"/>
        <w:spacing w:before="120" w:after="120" w:line="240" w:lineRule="auto"/>
        <w:ind w:left="420" w:hanging="420"/>
        <w:jc w:val="both"/>
        <w:rPr>
          <w:rFonts w:hint="eastAsia" w:cs="宋体"/>
          <w:sz w:val="24"/>
          <w:szCs w:val="24"/>
        </w:rPr>
      </w:pPr>
      <w:bookmarkStart w:id="174" w:name="_Toc19757"/>
      <w:bookmarkStart w:id="175" w:name="_Toc163492837"/>
      <w:bookmarkStart w:id="176" w:name="_Toc155185872"/>
      <w:r>
        <w:rPr>
          <w:rFonts w:hint="eastAsia" w:cs="宋体"/>
          <w:sz w:val="24"/>
          <w:szCs w:val="24"/>
        </w:rPr>
        <w:t>（三）投标文件</w:t>
      </w:r>
      <w:bookmarkEnd w:id="174"/>
      <w:bookmarkEnd w:id="175"/>
      <w:bookmarkEnd w:id="176"/>
    </w:p>
    <w:p w14:paraId="064CD459">
      <w:pPr>
        <w:pStyle w:val="6"/>
        <w:keepNext w:val="0"/>
        <w:keepLines w:val="0"/>
        <w:spacing w:before="80" w:after="80" w:line="240" w:lineRule="auto"/>
        <w:ind w:left="420" w:hanging="420"/>
        <w:jc w:val="both"/>
        <w:rPr>
          <w:rFonts w:hint="eastAsia" w:ascii="宋体" w:hAnsi="宋体" w:cs="宋体"/>
          <w:sz w:val="24"/>
          <w:szCs w:val="24"/>
        </w:rPr>
      </w:pPr>
      <w:bookmarkStart w:id="177" w:name="_Toc163492838"/>
      <w:bookmarkStart w:id="178" w:name="_Toc17841"/>
      <w:r>
        <w:rPr>
          <w:rFonts w:hint="eastAsia" w:ascii="宋体" w:hAnsi="宋体" w:cs="宋体"/>
          <w:sz w:val="24"/>
          <w:szCs w:val="24"/>
        </w:rPr>
        <w:t>13.投标文件的组成</w:t>
      </w:r>
      <w:bookmarkEnd w:id="177"/>
      <w:bookmarkEnd w:id="178"/>
    </w:p>
    <w:p w14:paraId="4C7B00EB">
      <w:pPr>
        <w:pStyle w:val="56"/>
        <w:spacing w:line="360" w:lineRule="auto"/>
        <w:ind w:firstLine="480" w:firstLineChars="200"/>
        <w:rPr>
          <w:rFonts w:hint="eastAsia" w:ascii="宋体" w:hAnsi="宋体" w:eastAsia="宋体" w:cs="宋体"/>
          <w:kern w:val="2"/>
          <w:sz w:val="24"/>
          <w:szCs w:val="24"/>
        </w:rPr>
      </w:pPr>
      <w:bookmarkStart w:id="179" w:name="_Toc140132772"/>
      <w:bookmarkStart w:id="180" w:name="_Toc163492839"/>
      <w:r>
        <w:rPr>
          <w:rFonts w:hint="eastAsia" w:ascii="宋体" w:hAnsi="宋体" w:eastAsia="宋体" w:cs="宋体"/>
          <w:kern w:val="2"/>
          <w:sz w:val="24"/>
          <w:szCs w:val="24"/>
        </w:rPr>
        <w:t>13.1投标人应完整地按招标文件提供的投标文件格式及要求编写投标文件，具体内容详见“第七章 投标文件格式”的相关内容。</w:t>
      </w:r>
    </w:p>
    <w:p w14:paraId="25DF261E">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13.2投标人应提交招标文件要求的证明文件，证明其投标内容符合招标文件规定，该证明文件是投标文件的一部分。证明文件形式可以是文字资料、图纸和数据</w:t>
      </w:r>
      <w:bookmarkStart w:id="181" w:name="_Hlk11703583"/>
      <w:r>
        <w:rPr>
          <w:rFonts w:hint="eastAsia" w:ascii="宋体" w:hAnsi="宋体" w:eastAsia="宋体" w:cs="宋体"/>
          <w:kern w:val="2"/>
          <w:sz w:val="24"/>
          <w:szCs w:val="24"/>
        </w:rPr>
        <w:t>等。</w:t>
      </w:r>
    </w:p>
    <w:bookmarkEnd w:id="181"/>
    <w:p w14:paraId="7CC61234">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13.3为保证公平公正，除非本招标文件另有规定或说明，投标人对同一项目投标时，不得同时提供备选投标方案。</w:t>
      </w:r>
    </w:p>
    <w:p w14:paraId="55B555C4">
      <w:pPr>
        <w:pStyle w:val="6"/>
        <w:keepNext w:val="0"/>
        <w:keepLines w:val="0"/>
        <w:spacing w:before="80" w:after="80" w:line="240" w:lineRule="auto"/>
        <w:ind w:left="420" w:hanging="420"/>
        <w:jc w:val="both"/>
        <w:rPr>
          <w:rFonts w:hint="eastAsia" w:ascii="宋体" w:hAnsi="宋体" w:cs="宋体"/>
          <w:sz w:val="24"/>
          <w:szCs w:val="24"/>
        </w:rPr>
      </w:pPr>
      <w:bookmarkStart w:id="182" w:name="_Toc348"/>
      <w:r>
        <w:rPr>
          <w:rFonts w:hint="eastAsia" w:ascii="宋体" w:hAnsi="宋体" w:cs="宋体"/>
          <w:sz w:val="24"/>
          <w:szCs w:val="24"/>
        </w:rPr>
        <w:t>14.投标报价</w:t>
      </w:r>
      <w:bookmarkEnd w:id="179"/>
      <w:bookmarkEnd w:id="180"/>
      <w:bookmarkEnd w:id="182"/>
    </w:p>
    <w:p w14:paraId="28A82A3A">
      <w:pPr>
        <w:ind w:firstLine="480" w:firstLineChars="200"/>
        <w:jc w:val="both"/>
        <w:rPr>
          <w:rFonts w:hint="eastAsia" w:cs="宋体"/>
          <w:snapToGrid w:val="0"/>
          <w:szCs w:val="24"/>
          <w:lang w:val="zh-CN"/>
        </w:rPr>
      </w:pPr>
      <w:r>
        <w:rPr>
          <w:rFonts w:hint="eastAsia" w:cs="宋体"/>
          <w:snapToGrid w:val="0"/>
          <w:szCs w:val="24"/>
        </w:rPr>
        <w:t xml:space="preserve">14.1 </w:t>
      </w:r>
      <w:r>
        <w:rPr>
          <w:rFonts w:hint="eastAsia" w:cs="宋体"/>
          <w:snapToGrid w:val="0"/>
          <w:szCs w:val="24"/>
          <w:lang w:val="zh-CN"/>
        </w:rPr>
        <w:t>投标人的报价均应以人民币进行报价。</w:t>
      </w:r>
    </w:p>
    <w:p w14:paraId="5668CDBC">
      <w:pPr>
        <w:ind w:firstLine="480" w:firstLineChars="200"/>
        <w:jc w:val="both"/>
        <w:rPr>
          <w:rFonts w:hint="eastAsia" w:cs="宋体"/>
          <w:snapToGrid w:val="0"/>
          <w:szCs w:val="24"/>
        </w:rPr>
      </w:pPr>
      <w:r>
        <w:rPr>
          <w:rFonts w:hint="eastAsia" w:cs="宋体"/>
          <w:snapToGrid w:val="0"/>
          <w:szCs w:val="24"/>
        </w:rPr>
        <w:t>14.2 投标人应按照本招标文件规定的报价方式进行报价，投标报价中不得包含招标文件要求以外的内容，否则，在评标时不予核减。投标报价中也不得遗漏招标文件所要求的内容，否则其</w:t>
      </w:r>
      <w:r>
        <w:rPr>
          <w:rFonts w:hint="eastAsia" w:cs="宋体"/>
          <w:b/>
          <w:bCs/>
          <w:snapToGrid w:val="0"/>
          <w:szCs w:val="24"/>
        </w:rPr>
        <w:t>投标无效</w:t>
      </w:r>
      <w:r>
        <w:rPr>
          <w:rFonts w:hint="eastAsia" w:cs="宋体"/>
          <w:snapToGrid w:val="0"/>
          <w:szCs w:val="24"/>
        </w:rPr>
        <w:t>。</w:t>
      </w:r>
    </w:p>
    <w:p w14:paraId="0DA976E6">
      <w:pPr>
        <w:ind w:firstLine="480" w:firstLineChars="200"/>
        <w:jc w:val="both"/>
        <w:rPr>
          <w:rFonts w:hint="eastAsia" w:cs="宋体"/>
          <w:snapToGrid w:val="0"/>
          <w:szCs w:val="24"/>
        </w:rPr>
      </w:pPr>
      <w:r>
        <w:rPr>
          <w:rFonts w:hint="eastAsia" w:cs="宋体"/>
          <w:szCs w:val="24"/>
        </w:rPr>
        <w:t>14.3</w:t>
      </w:r>
      <w:r>
        <w:rPr>
          <w:rFonts w:hint="eastAsia" w:cs="宋体"/>
          <w:snapToGrid w:val="0"/>
          <w:szCs w:val="24"/>
        </w:rPr>
        <w:t>投标人的报价应包括为完成本项目所发生的一切费用和税费，采购人将不再支付报价以外的任何费用。只要投报了一个确定数额的总价，无论分项价格是否全部填报了相应的金额或免费字样，该报价应被视为已包含但不限于本次招标全部采购需求所应提供的服务，以及伴随的货物和工程等的费用和所需缴纳的所有价格、税、费。在其他情况下，由于分项报价填报不完整、不清楚或存在其他任何失误，所导致的任何不利后果均应当由投标人自行承担。</w:t>
      </w:r>
    </w:p>
    <w:p w14:paraId="3943019D">
      <w:pPr>
        <w:pStyle w:val="11"/>
        <w:ind w:firstLine="480"/>
        <w:jc w:val="both"/>
        <w:rPr>
          <w:rFonts w:hint="eastAsia" w:ascii="宋体" w:hAnsi="宋体" w:cs="宋体"/>
          <w:szCs w:val="24"/>
        </w:rPr>
      </w:pPr>
      <w:r>
        <w:rPr>
          <w:rFonts w:hint="eastAsia" w:ascii="宋体" w:hAnsi="宋体" w:cs="宋体"/>
          <w:szCs w:val="24"/>
        </w:rPr>
        <w:t>14.4投标人的报价应包括但不限于按照招标文件要求完成本项目的全部相关费用。</w:t>
      </w:r>
    </w:p>
    <w:p w14:paraId="5AA1B661">
      <w:pPr>
        <w:ind w:firstLine="480" w:firstLineChars="200"/>
        <w:jc w:val="both"/>
        <w:rPr>
          <w:rFonts w:hint="eastAsia" w:cs="宋体"/>
          <w:snapToGrid w:val="0"/>
          <w:szCs w:val="24"/>
          <w:lang w:val="zh-CN"/>
        </w:rPr>
      </w:pPr>
      <w:r>
        <w:rPr>
          <w:rFonts w:hint="eastAsia" w:cs="宋体"/>
          <w:szCs w:val="24"/>
        </w:rPr>
        <w:t>14.5 投标人须严格按照分项报价表规定的内容填写服务单价以及其他事项。</w:t>
      </w:r>
      <w:r>
        <w:rPr>
          <w:rFonts w:hint="eastAsia" w:cs="宋体"/>
          <w:snapToGrid w:val="0"/>
          <w:szCs w:val="24"/>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交纳的费用都应包括在投标人提交的投标报价中。</w:t>
      </w:r>
    </w:p>
    <w:p w14:paraId="08DE98FC">
      <w:pPr>
        <w:ind w:firstLine="480" w:firstLineChars="200"/>
        <w:jc w:val="both"/>
        <w:rPr>
          <w:rFonts w:hint="eastAsia" w:cs="宋体"/>
          <w:szCs w:val="24"/>
        </w:rPr>
      </w:pPr>
      <w:r>
        <w:rPr>
          <w:rFonts w:hint="eastAsia" w:cs="宋体"/>
          <w:szCs w:val="24"/>
        </w:rPr>
        <w:t>14.6 投标人在投标文件中注明免费的项目将视为包含在投标报价中。</w:t>
      </w:r>
    </w:p>
    <w:p w14:paraId="5E9FA4AE">
      <w:pPr>
        <w:pStyle w:val="11"/>
        <w:ind w:firstLine="480"/>
        <w:jc w:val="both"/>
        <w:rPr>
          <w:rFonts w:hint="eastAsia" w:ascii="宋体" w:hAnsi="宋体" w:cs="宋体"/>
          <w:szCs w:val="24"/>
        </w:rPr>
      </w:pPr>
      <w:r>
        <w:rPr>
          <w:rFonts w:hint="eastAsia" w:ascii="宋体" w:hAnsi="宋体" w:cs="宋体"/>
          <w:szCs w:val="24"/>
        </w:rPr>
        <w:t>14.7 每一种采购内容只允许</w:t>
      </w:r>
      <w:r>
        <w:rPr>
          <w:rFonts w:hint="eastAsia" w:ascii="宋体" w:hAnsi="宋体" w:cs="宋体"/>
          <w:snapToGrid w:val="0"/>
          <w:szCs w:val="24"/>
        </w:rPr>
        <w:t>有一个报价，否则其</w:t>
      </w:r>
      <w:r>
        <w:rPr>
          <w:rFonts w:hint="eastAsia" w:ascii="宋体" w:hAnsi="宋体" w:cs="宋体"/>
          <w:b/>
          <w:bCs/>
          <w:snapToGrid w:val="0"/>
          <w:szCs w:val="24"/>
        </w:rPr>
        <w:t>投标无效</w:t>
      </w:r>
      <w:r>
        <w:rPr>
          <w:rFonts w:hint="eastAsia" w:ascii="宋体" w:hAnsi="宋体" w:cs="宋体"/>
          <w:snapToGrid w:val="0"/>
          <w:szCs w:val="24"/>
        </w:rPr>
        <w:t>。</w:t>
      </w:r>
      <w:r>
        <w:rPr>
          <w:rFonts w:hint="eastAsia" w:ascii="宋体" w:hAnsi="宋体" w:cs="宋体"/>
          <w:szCs w:val="24"/>
        </w:rPr>
        <w:t>除非招标文件另有规定，不接受可选择或可调整的投标方案和报价，任何有选择的或可调整的投标方案和报价将被视为非实质性响应招标文件,其</w:t>
      </w:r>
      <w:r>
        <w:rPr>
          <w:rFonts w:hint="eastAsia" w:ascii="宋体" w:hAnsi="宋体" w:cs="宋体"/>
          <w:b/>
          <w:bCs/>
          <w:szCs w:val="24"/>
        </w:rPr>
        <w:t>投标无效</w:t>
      </w:r>
      <w:r>
        <w:rPr>
          <w:rFonts w:hint="eastAsia" w:ascii="宋体" w:hAnsi="宋体" w:cs="宋体"/>
          <w:szCs w:val="24"/>
        </w:rPr>
        <w:t>。</w:t>
      </w:r>
    </w:p>
    <w:p w14:paraId="2D7D9CB3">
      <w:pPr>
        <w:ind w:firstLine="480" w:firstLineChars="200"/>
        <w:jc w:val="both"/>
        <w:rPr>
          <w:rFonts w:hint="eastAsia" w:cs="宋体"/>
          <w:szCs w:val="24"/>
        </w:rPr>
      </w:pPr>
      <w:r>
        <w:rPr>
          <w:rFonts w:hint="eastAsia" w:cs="宋体"/>
          <w:szCs w:val="24"/>
        </w:rPr>
        <w:t>14.8 投标报价不得超过“第一章 招标公告”中规定的最高投标限价或者预算金额，否则评标委员会将对其作</w:t>
      </w:r>
      <w:r>
        <w:rPr>
          <w:rFonts w:hint="eastAsia" w:cs="宋体"/>
          <w:b/>
          <w:bCs/>
          <w:szCs w:val="24"/>
        </w:rPr>
        <w:t>无效投标处理</w:t>
      </w:r>
      <w:r>
        <w:rPr>
          <w:rFonts w:hint="eastAsia" w:cs="宋体"/>
          <w:szCs w:val="24"/>
        </w:rPr>
        <w:t>。</w:t>
      </w:r>
    </w:p>
    <w:p w14:paraId="46F151AC">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14.9 投标人对投标报价若有说明应在投标文件中显著处注明。</w:t>
      </w:r>
    </w:p>
    <w:p w14:paraId="32D71ABD">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除政策性文件规定以外，投标人所报价格在合同实施期间不因市场变化因素而变动。</w:t>
      </w:r>
    </w:p>
    <w:p w14:paraId="012983AE">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kern w:val="2"/>
          <w:sz w:val="24"/>
          <w:szCs w:val="24"/>
        </w:rPr>
        <w:t>14.10 最低报价不能作为中标的保证。</w:t>
      </w:r>
    </w:p>
    <w:p w14:paraId="30AD5479">
      <w:pPr>
        <w:pStyle w:val="11"/>
        <w:ind w:firstLine="480"/>
        <w:jc w:val="both"/>
        <w:rPr>
          <w:rFonts w:hint="eastAsia" w:ascii="宋体" w:hAnsi="宋体" w:cs="宋体"/>
          <w:szCs w:val="24"/>
        </w:rPr>
      </w:pPr>
      <w:r>
        <w:rPr>
          <w:rFonts w:hint="eastAsia" w:ascii="宋体" w:hAnsi="宋体" w:cs="宋体"/>
          <w:szCs w:val="24"/>
        </w:rPr>
        <w:t>14.11</w:t>
      </w:r>
      <w:r>
        <w:rPr>
          <w:rFonts w:hint="eastAsia" w:ascii="宋体" w:hAnsi="宋体" w:cs="宋体"/>
          <w:kern w:val="0"/>
          <w:szCs w:val="24"/>
          <w:lang w:bidi="ar"/>
        </w:rPr>
        <w:t>采购人不得向投标人索要或者接受其给予的赠品、回扣或者与采购无关的其他商品、服务。</w:t>
      </w:r>
    </w:p>
    <w:p w14:paraId="048E6A86">
      <w:pPr>
        <w:pStyle w:val="6"/>
        <w:keepNext w:val="0"/>
        <w:keepLines w:val="0"/>
        <w:spacing w:before="80" w:after="80" w:line="240" w:lineRule="auto"/>
        <w:ind w:left="420" w:hanging="420"/>
        <w:jc w:val="both"/>
        <w:rPr>
          <w:rFonts w:hint="eastAsia" w:ascii="宋体" w:hAnsi="宋体" w:cs="宋体"/>
          <w:sz w:val="24"/>
          <w:szCs w:val="24"/>
        </w:rPr>
      </w:pPr>
      <w:bookmarkStart w:id="183" w:name="_Toc163492840"/>
      <w:bookmarkStart w:id="184" w:name="_Toc7336"/>
      <w:bookmarkStart w:id="185" w:name="_Toc140132773"/>
      <w:r>
        <w:rPr>
          <w:rFonts w:hint="eastAsia" w:ascii="宋体" w:hAnsi="宋体" w:cs="宋体"/>
          <w:sz w:val="24"/>
          <w:szCs w:val="24"/>
        </w:rPr>
        <w:t>15.投标有效期</w:t>
      </w:r>
      <w:bookmarkEnd w:id="183"/>
      <w:bookmarkEnd w:id="184"/>
      <w:bookmarkEnd w:id="185"/>
    </w:p>
    <w:p w14:paraId="66993702">
      <w:pPr>
        <w:ind w:firstLine="480" w:firstLineChars="200"/>
        <w:jc w:val="both"/>
        <w:rPr>
          <w:rFonts w:hint="eastAsia" w:cs="宋体"/>
          <w:szCs w:val="24"/>
        </w:rPr>
      </w:pPr>
      <w:r>
        <w:rPr>
          <w:rFonts w:hint="eastAsia" w:cs="宋体"/>
          <w:szCs w:val="24"/>
        </w:rPr>
        <w:t xml:space="preserve">15.1 </w:t>
      </w:r>
      <w:r>
        <w:rPr>
          <w:rFonts w:hint="eastAsia" w:cs="宋体"/>
          <w:kern w:val="0"/>
          <w:szCs w:val="24"/>
          <w:lang w:val="en"/>
        </w:rPr>
        <w:t>投标有效期</w:t>
      </w:r>
      <w:r>
        <w:rPr>
          <w:rFonts w:hint="eastAsia" w:cs="宋体"/>
          <w:szCs w:val="24"/>
        </w:rPr>
        <w:t>见“第二章 投标人须知前附表”，投标人承诺的投标有效期</w:t>
      </w:r>
      <w:r>
        <w:rPr>
          <w:rFonts w:hint="eastAsia" w:cs="宋体"/>
          <w:snapToGrid w:val="0"/>
          <w:szCs w:val="24"/>
          <w:lang w:val="zh-CN"/>
        </w:rPr>
        <w:t>少于</w:t>
      </w:r>
      <w:r>
        <w:rPr>
          <w:rFonts w:hint="eastAsia" w:cs="宋体"/>
          <w:snapToGrid w:val="0"/>
          <w:szCs w:val="24"/>
        </w:rPr>
        <w:t>招标</w:t>
      </w:r>
      <w:r>
        <w:rPr>
          <w:rFonts w:hint="eastAsia" w:cs="宋体"/>
          <w:snapToGrid w:val="0"/>
          <w:szCs w:val="24"/>
          <w:lang w:val="zh-CN"/>
        </w:rPr>
        <w:t>文件规定期限的，其</w:t>
      </w:r>
      <w:r>
        <w:rPr>
          <w:rFonts w:hint="eastAsia" w:cs="宋体"/>
          <w:b/>
          <w:bCs/>
          <w:snapToGrid w:val="0"/>
          <w:szCs w:val="24"/>
        </w:rPr>
        <w:t>投标</w:t>
      </w:r>
      <w:r>
        <w:rPr>
          <w:rFonts w:hint="eastAsia" w:cs="宋体"/>
          <w:b/>
          <w:bCs/>
          <w:snapToGrid w:val="0"/>
          <w:szCs w:val="24"/>
          <w:lang w:val="zh-CN"/>
        </w:rPr>
        <w:t>无效</w:t>
      </w:r>
      <w:r>
        <w:rPr>
          <w:rFonts w:hint="eastAsia" w:cs="宋体"/>
          <w:snapToGrid w:val="0"/>
          <w:szCs w:val="24"/>
          <w:lang w:val="zh-CN"/>
        </w:rPr>
        <w:t>。</w:t>
      </w:r>
    </w:p>
    <w:p w14:paraId="1EE04340">
      <w:pPr>
        <w:ind w:firstLine="480" w:firstLineChars="200"/>
        <w:jc w:val="both"/>
        <w:rPr>
          <w:rFonts w:hint="eastAsia" w:cs="宋体"/>
          <w:szCs w:val="24"/>
        </w:rPr>
      </w:pPr>
      <w:r>
        <w:rPr>
          <w:rFonts w:hint="eastAsia" w:cs="宋体"/>
          <w:szCs w:val="24"/>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1C809F41">
      <w:pPr>
        <w:ind w:firstLine="480" w:firstLineChars="200"/>
        <w:jc w:val="both"/>
        <w:rPr>
          <w:rFonts w:hint="eastAsia" w:cs="宋体"/>
          <w:szCs w:val="24"/>
        </w:rPr>
      </w:pPr>
      <w:r>
        <w:rPr>
          <w:rFonts w:hint="eastAsia" w:cs="宋体"/>
          <w:szCs w:val="24"/>
        </w:rPr>
        <w:t>15.3特殊情况下，在原投标文件有效期截止之前，采购代理机构或采购人可要求投标人延长投标有效期。需要延长投标有效期时，采购代理机构或采购人将以书面形式通知所有投标人，投标人应以书面形式答复是否同意延长投标有效期。</w:t>
      </w:r>
    </w:p>
    <w:p w14:paraId="0D6A5283">
      <w:pPr>
        <w:ind w:firstLine="480" w:firstLineChars="200"/>
        <w:jc w:val="both"/>
        <w:rPr>
          <w:rFonts w:hint="eastAsia" w:cs="宋体"/>
          <w:szCs w:val="24"/>
        </w:rPr>
      </w:pPr>
      <w:r>
        <w:rPr>
          <w:rFonts w:hint="eastAsia" w:cs="宋体"/>
          <w:szCs w:val="24"/>
        </w:rPr>
        <w:t>15.4投标人同意延长的，其投标保证金的有效期也相应延长，但不得要求或被允许修改或撤销其投标文件；投标人拒绝延长的，其投标文件在原投标有效期满后将不再有效，但其提交的投标保证金可予以退还。</w:t>
      </w:r>
    </w:p>
    <w:p w14:paraId="42EC3385">
      <w:pPr>
        <w:pStyle w:val="6"/>
        <w:keepNext w:val="0"/>
        <w:keepLines w:val="0"/>
        <w:spacing w:before="80" w:after="80" w:line="240" w:lineRule="auto"/>
        <w:ind w:left="420" w:hanging="420"/>
        <w:jc w:val="both"/>
        <w:rPr>
          <w:rFonts w:hint="eastAsia" w:ascii="宋体" w:hAnsi="宋体" w:cs="宋体"/>
          <w:sz w:val="24"/>
          <w:szCs w:val="24"/>
        </w:rPr>
      </w:pPr>
      <w:bookmarkStart w:id="186" w:name="_Toc163492841"/>
      <w:bookmarkStart w:id="187" w:name="_Toc26129"/>
      <w:bookmarkStart w:id="188" w:name="_Toc140132774"/>
      <w:r>
        <w:rPr>
          <w:rFonts w:hint="eastAsia" w:ascii="宋体" w:hAnsi="宋体" w:cs="宋体"/>
          <w:sz w:val="24"/>
          <w:szCs w:val="24"/>
        </w:rPr>
        <w:t>16.投标文件的编制</w:t>
      </w:r>
      <w:bookmarkEnd w:id="186"/>
      <w:bookmarkEnd w:id="187"/>
      <w:bookmarkEnd w:id="188"/>
    </w:p>
    <w:p w14:paraId="7A815D8A">
      <w:pPr>
        <w:ind w:firstLine="480" w:firstLineChars="200"/>
        <w:jc w:val="both"/>
        <w:rPr>
          <w:rFonts w:hint="eastAsia" w:cs="宋体"/>
          <w:szCs w:val="24"/>
        </w:rPr>
      </w:pPr>
      <w:r>
        <w:rPr>
          <w:rFonts w:hint="eastAsia" w:cs="宋体"/>
          <w:szCs w:val="24"/>
        </w:rPr>
        <w:t>16.1投标文件应在“</w:t>
      </w:r>
      <w:r>
        <w:rPr>
          <w:rFonts w:hint="eastAsia" w:cs="仿宋_GB2312"/>
          <w:szCs w:val="24"/>
        </w:rPr>
        <w:t>投标客户端”</w:t>
      </w:r>
      <w:r>
        <w:rPr>
          <w:rFonts w:hint="eastAsia" w:cs="宋体"/>
          <w:szCs w:val="24"/>
        </w:rPr>
        <w:t>中进行编制，在投标文件中要求加盖印章的，除有特殊说明之外，可使用电子签章签署。</w:t>
      </w:r>
    </w:p>
    <w:p w14:paraId="4FEE6A5F">
      <w:pPr>
        <w:pStyle w:val="39"/>
        <w:jc w:val="both"/>
        <w:rPr>
          <w:rFonts w:hint="eastAsia" w:cs="宋体"/>
          <w:szCs w:val="24"/>
        </w:rPr>
      </w:pPr>
      <w:r>
        <w:rPr>
          <w:rFonts w:hint="eastAsia" w:cs="宋体"/>
          <w:szCs w:val="24"/>
        </w:rPr>
        <w:t>1</w:t>
      </w:r>
      <w:r>
        <w:rPr>
          <w:rFonts w:hint="eastAsia" w:cs="宋体"/>
          <w:szCs w:val="24"/>
          <w:lang w:val="en-US"/>
        </w:rPr>
        <w:t>6</w:t>
      </w:r>
      <w:r>
        <w:rPr>
          <w:rFonts w:hint="eastAsia" w:cs="宋体"/>
          <w:szCs w:val="24"/>
        </w:rPr>
        <w:t>.</w:t>
      </w:r>
      <w:bookmarkStart w:id="189" w:name="_Hlk143528557"/>
      <w:r>
        <w:rPr>
          <w:rFonts w:hint="eastAsia" w:cs="宋体"/>
          <w:szCs w:val="24"/>
        </w:rPr>
        <w:t>2投标人在“</w:t>
      </w:r>
      <w:r>
        <w:rPr>
          <w:rFonts w:hint="eastAsia" w:cs="仿宋_GB2312"/>
          <w:szCs w:val="24"/>
          <w:lang w:val="en-US"/>
        </w:rPr>
        <w:t>投标</w:t>
      </w:r>
      <w:r>
        <w:rPr>
          <w:rFonts w:hint="eastAsia" w:cs="仿宋_GB2312"/>
          <w:szCs w:val="24"/>
        </w:rPr>
        <w:t>客户端”</w:t>
      </w:r>
      <w:r>
        <w:rPr>
          <w:rFonts w:hint="eastAsia" w:cs="宋体"/>
          <w:szCs w:val="24"/>
        </w:rPr>
        <w:t>中按照“</w:t>
      </w:r>
      <w:r>
        <w:rPr>
          <w:rFonts w:hint="eastAsia" w:cs="仿宋_GB2312"/>
          <w:szCs w:val="24"/>
          <w:lang w:val="en-US"/>
        </w:rPr>
        <w:t>投标</w:t>
      </w:r>
      <w:r>
        <w:rPr>
          <w:rFonts w:hint="eastAsia" w:cs="仿宋_GB2312"/>
          <w:szCs w:val="24"/>
        </w:rPr>
        <w:t>客户端”</w:t>
      </w:r>
      <w:r>
        <w:rPr>
          <w:rFonts w:hint="eastAsia" w:cs="宋体"/>
          <w:szCs w:val="24"/>
        </w:rPr>
        <w:t>中的格式要求填写响应内容后，生成投标文件。投标人须按照招标文件的要求使用电子签章对要求加盖印章的部分逐一进行签章。</w:t>
      </w:r>
      <w:bookmarkEnd w:id="189"/>
    </w:p>
    <w:p w14:paraId="0873A671">
      <w:pPr>
        <w:pStyle w:val="39"/>
        <w:jc w:val="both"/>
        <w:rPr>
          <w:rFonts w:hint="eastAsia" w:cs="宋体"/>
          <w:szCs w:val="24"/>
        </w:rPr>
      </w:pPr>
      <w:r>
        <w:rPr>
          <w:rFonts w:hint="eastAsia" w:cs="宋体"/>
          <w:szCs w:val="24"/>
        </w:rPr>
        <w:t>1</w:t>
      </w:r>
      <w:r>
        <w:rPr>
          <w:rFonts w:hint="eastAsia" w:cs="宋体"/>
          <w:szCs w:val="24"/>
          <w:lang w:val="en-US"/>
        </w:rPr>
        <w:t>6</w:t>
      </w:r>
      <w:r>
        <w:rPr>
          <w:rFonts w:hint="eastAsia" w:cs="宋体"/>
          <w:szCs w:val="24"/>
        </w:rPr>
        <w:t>.</w:t>
      </w:r>
      <w:r>
        <w:rPr>
          <w:rFonts w:hint="eastAsia" w:cs="宋体"/>
          <w:szCs w:val="24"/>
          <w:lang w:val="en-US"/>
        </w:rPr>
        <w:t>3</w:t>
      </w:r>
      <w:r>
        <w:rPr>
          <w:rFonts w:hint="eastAsia" w:cs="宋体"/>
          <w:szCs w:val="24"/>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cs="宋体"/>
          <w:b/>
          <w:bCs/>
          <w:szCs w:val="24"/>
        </w:rPr>
        <w:t>导致</w:t>
      </w:r>
      <w:r>
        <w:rPr>
          <w:rFonts w:hint="eastAsia" w:cs="宋体"/>
          <w:b/>
          <w:bCs/>
          <w:szCs w:val="24"/>
          <w:lang w:val="en-US"/>
        </w:rPr>
        <w:t>其</w:t>
      </w:r>
      <w:r>
        <w:rPr>
          <w:rFonts w:hint="eastAsia" w:cs="宋体"/>
          <w:b/>
          <w:bCs/>
          <w:szCs w:val="24"/>
        </w:rPr>
        <w:t>投标</w:t>
      </w:r>
      <w:r>
        <w:rPr>
          <w:rFonts w:hint="eastAsia" w:cs="宋体"/>
          <w:b/>
          <w:bCs/>
          <w:szCs w:val="24"/>
          <w:lang w:val="en-US"/>
        </w:rPr>
        <w:t>无效</w:t>
      </w:r>
      <w:r>
        <w:rPr>
          <w:rFonts w:hint="eastAsia" w:cs="宋体"/>
          <w:szCs w:val="24"/>
        </w:rPr>
        <w:t>。</w:t>
      </w:r>
    </w:p>
    <w:p w14:paraId="57C4EE0E">
      <w:pPr>
        <w:pStyle w:val="39"/>
        <w:jc w:val="both"/>
        <w:rPr>
          <w:rFonts w:hint="eastAsia" w:cs="宋体"/>
          <w:szCs w:val="24"/>
        </w:rPr>
      </w:pPr>
      <w:r>
        <w:rPr>
          <w:rFonts w:hint="eastAsia" w:cs="宋体"/>
          <w:szCs w:val="24"/>
        </w:rPr>
        <w:t>1</w:t>
      </w:r>
      <w:r>
        <w:rPr>
          <w:rFonts w:hint="eastAsia" w:cs="宋体"/>
          <w:szCs w:val="24"/>
          <w:lang w:val="en-US"/>
        </w:rPr>
        <w:t>6</w:t>
      </w:r>
      <w:r>
        <w:rPr>
          <w:rFonts w:hint="eastAsia" w:cs="宋体"/>
          <w:szCs w:val="24"/>
        </w:rPr>
        <w:t>.</w:t>
      </w:r>
      <w:r>
        <w:rPr>
          <w:rFonts w:hint="eastAsia" w:cs="宋体"/>
          <w:szCs w:val="24"/>
          <w:lang w:val="en-US"/>
        </w:rPr>
        <w:t>4</w:t>
      </w:r>
      <w:r>
        <w:rPr>
          <w:rFonts w:hint="eastAsia" w:cs="宋体"/>
          <w:szCs w:val="24"/>
        </w:rPr>
        <w:t>投标文件须严格按照</w:t>
      </w:r>
      <w:r>
        <w:rPr>
          <w:rFonts w:hint="eastAsia" w:cs="宋体"/>
          <w:szCs w:val="24"/>
          <w:lang w:val="en-US"/>
        </w:rPr>
        <w:t>本</w:t>
      </w:r>
      <w:r>
        <w:rPr>
          <w:rFonts w:hint="eastAsia" w:cs="宋体"/>
          <w:szCs w:val="24"/>
        </w:rPr>
        <w:t>招标文件第</w:t>
      </w:r>
      <w:r>
        <w:rPr>
          <w:rFonts w:hint="eastAsia" w:cs="宋体"/>
          <w:szCs w:val="24"/>
          <w:lang w:val="en-US"/>
        </w:rPr>
        <w:t>七章</w:t>
      </w:r>
      <w:r>
        <w:rPr>
          <w:rFonts w:hint="eastAsia" w:cs="宋体"/>
          <w:szCs w:val="24"/>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38ED60FC">
      <w:pPr>
        <w:pStyle w:val="39"/>
        <w:jc w:val="both"/>
        <w:rPr>
          <w:rFonts w:hint="eastAsia" w:cs="宋体"/>
          <w:szCs w:val="24"/>
        </w:rPr>
      </w:pPr>
      <w:r>
        <w:rPr>
          <w:rFonts w:hint="eastAsia" w:cs="宋体"/>
          <w:szCs w:val="24"/>
        </w:rPr>
        <w:t>1</w:t>
      </w:r>
      <w:r>
        <w:rPr>
          <w:rFonts w:hint="eastAsia" w:cs="宋体"/>
          <w:szCs w:val="24"/>
          <w:lang w:val="en-US"/>
        </w:rPr>
        <w:t>6</w:t>
      </w:r>
      <w:r>
        <w:rPr>
          <w:rFonts w:hint="eastAsia" w:cs="宋体"/>
          <w:szCs w:val="24"/>
        </w:rPr>
        <w:t>.</w:t>
      </w:r>
      <w:r>
        <w:rPr>
          <w:rFonts w:hint="eastAsia" w:cs="宋体"/>
          <w:szCs w:val="24"/>
          <w:lang w:val="en-US"/>
        </w:rPr>
        <w:t>5</w:t>
      </w:r>
      <w:r>
        <w:rPr>
          <w:rFonts w:hint="eastAsia" w:cs="宋体"/>
          <w:szCs w:val="24"/>
        </w:rPr>
        <w:t>开标一览表为在开标</w:t>
      </w:r>
      <w:r>
        <w:rPr>
          <w:rFonts w:hint="eastAsia" w:cs="宋体"/>
          <w:szCs w:val="24"/>
          <w:lang w:val="en-US"/>
        </w:rPr>
        <w:t>时</w:t>
      </w:r>
      <w:r>
        <w:rPr>
          <w:rFonts w:hint="eastAsia" w:cs="宋体"/>
          <w:szCs w:val="24"/>
        </w:rPr>
        <w:t>唱标的内容，要求按格式统一填写，不得自行增减内容。</w:t>
      </w:r>
    </w:p>
    <w:p w14:paraId="05AE6B7B">
      <w:pPr>
        <w:pStyle w:val="39"/>
        <w:jc w:val="both"/>
        <w:rPr>
          <w:rFonts w:hint="eastAsia" w:cs="宋体"/>
          <w:szCs w:val="24"/>
        </w:rPr>
      </w:pPr>
      <w:r>
        <w:rPr>
          <w:rFonts w:hint="eastAsia" w:cs="宋体"/>
          <w:szCs w:val="24"/>
        </w:rPr>
        <w:t>1</w:t>
      </w:r>
      <w:r>
        <w:rPr>
          <w:rFonts w:hint="eastAsia" w:cs="宋体"/>
          <w:szCs w:val="24"/>
          <w:lang w:val="en-US"/>
        </w:rPr>
        <w:t>6</w:t>
      </w:r>
      <w:r>
        <w:rPr>
          <w:rFonts w:hint="eastAsia" w:cs="宋体"/>
          <w:szCs w:val="24"/>
        </w:rPr>
        <w:t>.</w:t>
      </w:r>
      <w:r>
        <w:rPr>
          <w:rFonts w:hint="eastAsia" w:cs="宋体"/>
          <w:szCs w:val="24"/>
          <w:lang w:val="en-US"/>
        </w:rPr>
        <w:t>6</w:t>
      </w:r>
      <w:r>
        <w:rPr>
          <w:rFonts w:hint="eastAsia" w:cs="宋体"/>
          <w:szCs w:val="24"/>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cs="宋体"/>
          <w:szCs w:val="24"/>
          <w:lang w:val="en-US"/>
        </w:rPr>
        <w:t>按</w:t>
      </w:r>
      <w:r>
        <w:rPr>
          <w:rFonts w:hint="eastAsia" w:cs="宋体"/>
          <w:b/>
          <w:bCs/>
          <w:szCs w:val="24"/>
          <w:lang w:val="en-US"/>
        </w:rPr>
        <w:t>无效投标</w:t>
      </w:r>
      <w:r>
        <w:rPr>
          <w:rFonts w:hint="eastAsia" w:cs="宋体"/>
          <w:szCs w:val="24"/>
        </w:rPr>
        <w:t>处理。</w:t>
      </w:r>
    </w:p>
    <w:p w14:paraId="0F5E0F8D">
      <w:pPr>
        <w:pStyle w:val="39"/>
        <w:jc w:val="both"/>
        <w:rPr>
          <w:rFonts w:hint="eastAsia" w:cs="宋体"/>
          <w:szCs w:val="24"/>
        </w:rPr>
      </w:pPr>
      <w:r>
        <w:rPr>
          <w:rFonts w:hint="eastAsia" w:cs="宋体"/>
          <w:szCs w:val="24"/>
        </w:rPr>
        <w:t>1</w:t>
      </w:r>
      <w:r>
        <w:rPr>
          <w:rFonts w:hint="eastAsia" w:cs="宋体"/>
          <w:szCs w:val="24"/>
          <w:lang w:val="en-US"/>
        </w:rPr>
        <w:t>6</w:t>
      </w:r>
      <w:r>
        <w:rPr>
          <w:rFonts w:hint="eastAsia" w:cs="宋体"/>
          <w:szCs w:val="24"/>
        </w:rPr>
        <w:t>.</w:t>
      </w:r>
      <w:r>
        <w:rPr>
          <w:rFonts w:hint="eastAsia" w:cs="宋体"/>
          <w:szCs w:val="24"/>
          <w:lang w:val="en-US"/>
        </w:rPr>
        <w:t>7</w:t>
      </w:r>
      <w:r>
        <w:rPr>
          <w:rFonts w:hint="eastAsia" w:cs="宋体"/>
          <w:szCs w:val="24"/>
        </w:rPr>
        <w:t>投标人必须保证投标文件所提供的全部资料真实可靠，并接受采购</w:t>
      </w:r>
      <w:r>
        <w:rPr>
          <w:rFonts w:hint="eastAsia" w:cs="宋体"/>
          <w:szCs w:val="24"/>
          <w:lang w:val="en-US"/>
        </w:rPr>
        <w:t>人、采购</w:t>
      </w:r>
      <w:r>
        <w:rPr>
          <w:rFonts w:hint="eastAsia" w:cs="宋体"/>
          <w:szCs w:val="24"/>
        </w:rPr>
        <w:t>代理机构或评标委员会对其中任何资料进一步审查的要求。</w:t>
      </w:r>
    </w:p>
    <w:p w14:paraId="26873ABD">
      <w:pPr>
        <w:pStyle w:val="39"/>
        <w:jc w:val="both"/>
        <w:rPr>
          <w:rFonts w:hint="eastAsia" w:cs="宋体"/>
          <w:szCs w:val="24"/>
        </w:rPr>
      </w:pPr>
      <w:r>
        <w:rPr>
          <w:rFonts w:hint="eastAsia" w:cs="宋体"/>
          <w:szCs w:val="24"/>
        </w:rPr>
        <w:t>1</w:t>
      </w:r>
      <w:r>
        <w:rPr>
          <w:rFonts w:hint="eastAsia" w:cs="宋体"/>
          <w:szCs w:val="24"/>
          <w:lang w:val="en-US"/>
        </w:rPr>
        <w:t>6</w:t>
      </w:r>
      <w:r>
        <w:rPr>
          <w:rFonts w:hint="eastAsia" w:cs="宋体"/>
          <w:szCs w:val="24"/>
        </w:rPr>
        <w:t>.</w:t>
      </w:r>
      <w:r>
        <w:rPr>
          <w:rFonts w:hint="eastAsia" w:cs="宋体"/>
          <w:szCs w:val="24"/>
          <w:lang w:val="en-US"/>
        </w:rPr>
        <w:t>8</w:t>
      </w:r>
      <w:r>
        <w:rPr>
          <w:rFonts w:hint="eastAsia" w:cs="宋体"/>
          <w:szCs w:val="24"/>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cs="宋体"/>
          <w:b/>
          <w:bCs/>
          <w:szCs w:val="24"/>
        </w:rPr>
        <w:t>无效投标</w:t>
      </w:r>
      <w:r>
        <w:rPr>
          <w:rFonts w:hint="eastAsia" w:cs="宋体"/>
          <w:szCs w:val="24"/>
        </w:rPr>
        <w:t>处理。</w:t>
      </w:r>
    </w:p>
    <w:p w14:paraId="2CE52613">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16.9电子投标文件的编制</w:t>
      </w:r>
    </w:p>
    <w:p w14:paraId="6DF27054">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16.9.1电子投标文件需按招标文件要求进行制作编制。投标文件制作时，不同内容按标签提示制作导入，按照招标文件中明确的投标文件目录和格式进行编制，保证目录清晰、内容完整；           </w:t>
      </w:r>
    </w:p>
    <w:p w14:paraId="08CC4705">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16.9.2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宋体"/>
          <w:b/>
          <w:bCs/>
          <w:iCs/>
          <w:kern w:val="2"/>
          <w:sz w:val="24"/>
          <w:szCs w:val="24"/>
          <w:shd w:val="clear" w:color="auto" w:fill="FFFFFF" w:themeFill="background1"/>
        </w:rPr>
        <w:t>其投标无效</w:t>
      </w:r>
      <w:r>
        <w:rPr>
          <w:rFonts w:hint="eastAsia" w:ascii="宋体" w:hAnsi="宋体" w:eastAsia="宋体" w:cs="宋体"/>
          <w:iCs/>
          <w:kern w:val="2"/>
          <w:sz w:val="24"/>
          <w:szCs w:val="24"/>
          <w:shd w:val="clear" w:color="auto" w:fill="FFFFFF" w:themeFill="background1"/>
        </w:rPr>
        <w:t xml:space="preserve">。 </w:t>
      </w:r>
    </w:p>
    <w:p w14:paraId="1FCD5213">
      <w:pPr>
        <w:pStyle w:val="5"/>
        <w:keepNext w:val="0"/>
        <w:keepLines w:val="0"/>
        <w:spacing w:before="120" w:after="120" w:line="240" w:lineRule="auto"/>
        <w:ind w:left="420" w:hanging="420"/>
        <w:jc w:val="both"/>
        <w:rPr>
          <w:rFonts w:hint="eastAsia" w:cs="宋体"/>
          <w:sz w:val="24"/>
          <w:szCs w:val="24"/>
        </w:rPr>
      </w:pPr>
      <w:bookmarkStart w:id="190" w:name="_Toc155185873"/>
      <w:bookmarkStart w:id="191" w:name="_Toc25951"/>
      <w:bookmarkStart w:id="192" w:name="_Toc163492842"/>
      <w:r>
        <w:rPr>
          <w:rFonts w:hint="eastAsia" w:cs="宋体"/>
          <w:sz w:val="24"/>
          <w:szCs w:val="24"/>
        </w:rPr>
        <w:t>（四）投标</w:t>
      </w:r>
      <w:bookmarkEnd w:id="190"/>
      <w:bookmarkEnd w:id="191"/>
      <w:bookmarkEnd w:id="192"/>
    </w:p>
    <w:p w14:paraId="22D272C7">
      <w:pPr>
        <w:pStyle w:val="6"/>
        <w:keepNext w:val="0"/>
        <w:keepLines w:val="0"/>
        <w:spacing w:before="80" w:after="80" w:line="240" w:lineRule="auto"/>
        <w:ind w:left="420" w:hanging="420"/>
        <w:jc w:val="both"/>
        <w:rPr>
          <w:rFonts w:hint="eastAsia" w:ascii="宋体" w:hAnsi="宋体" w:cs="宋体"/>
          <w:sz w:val="24"/>
          <w:szCs w:val="24"/>
        </w:rPr>
      </w:pPr>
      <w:bookmarkStart w:id="193" w:name="_Toc3205"/>
      <w:bookmarkStart w:id="194" w:name="_Toc163492843"/>
      <w:r>
        <w:rPr>
          <w:rFonts w:hint="eastAsia" w:ascii="宋体" w:hAnsi="宋体" w:cs="宋体"/>
          <w:sz w:val="24"/>
          <w:szCs w:val="24"/>
        </w:rPr>
        <w:t>17.投标保证金</w:t>
      </w:r>
      <w:bookmarkEnd w:id="193"/>
    </w:p>
    <w:p w14:paraId="7E8A07E4">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17.1投标人应按照招标文件“第二章 投标人须知前附表”规定的金额及要求提交投标保证金。投标人自愿超额缴纳投标保证金的，投标文件不做无效处理。</w:t>
      </w:r>
    </w:p>
    <w:p w14:paraId="105DC099">
      <w:pPr>
        <w:ind w:firstLine="480" w:firstLineChars="200"/>
        <w:jc w:val="both"/>
        <w:rPr>
          <w:rFonts w:hint="eastAsia" w:cs="宋体"/>
          <w:szCs w:val="24"/>
        </w:rPr>
      </w:pPr>
      <w:r>
        <w:rPr>
          <w:rFonts w:hint="eastAsia" w:cs="宋体"/>
          <w:iCs/>
          <w:szCs w:val="24"/>
          <w:shd w:val="clear" w:color="auto" w:fill="FFFFFF" w:themeFill="background1"/>
        </w:rPr>
        <w:t>17.2提交投标保证金可采用的形式：政府采购法律法规接受的支票、汇票、本票、网上银行支付或者金融机构、担保机构出具的保函等非现金形式。</w:t>
      </w:r>
      <w:r>
        <w:rPr>
          <w:rFonts w:hint="eastAsia" w:cs="宋体"/>
          <w:szCs w:val="24"/>
        </w:rPr>
        <w:t>投标人未按照招标文件要求提交投标保证金的，其</w:t>
      </w:r>
      <w:r>
        <w:rPr>
          <w:rFonts w:hint="eastAsia" w:cs="宋体"/>
          <w:b/>
          <w:bCs/>
          <w:szCs w:val="24"/>
        </w:rPr>
        <w:t>投标无效</w:t>
      </w:r>
      <w:r>
        <w:rPr>
          <w:rFonts w:hint="eastAsia" w:cs="宋体"/>
          <w:szCs w:val="24"/>
        </w:rPr>
        <w:t>。投标保证金有效期同投标有效期。</w:t>
      </w:r>
    </w:p>
    <w:p w14:paraId="77B27057">
      <w:pPr>
        <w:pStyle w:val="11"/>
        <w:ind w:firstLine="480"/>
        <w:jc w:val="both"/>
        <w:rPr>
          <w:rFonts w:hint="eastAsia" w:ascii="宋体" w:hAnsi="宋体" w:cs="宋体"/>
          <w:szCs w:val="24"/>
        </w:rPr>
      </w:pPr>
      <w:r>
        <w:rPr>
          <w:rFonts w:hint="eastAsia" w:ascii="宋体" w:hAnsi="宋体" w:cs="宋体"/>
          <w:szCs w:val="24"/>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cs="宋体"/>
          <w:b/>
          <w:bCs/>
          <w:szCs w:val="24"/>
        </w:rPr>
        <w:t>投标无效</w:t>
      </w:r>
      <w:r>
        <w:rPr>
          <w:rFonts w:hint="eastAsia" w:ascii="宋体" w:hAnsi="宋体" w:cs="宋体"/>
          <w:szCs w:val="24"/>
        </w:rPr>
        <w:t>。</w:t>
      </w:r>
    </w:p>
    <w:p w14:paraId="138CB3BE">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17.4 投标人为联合体的，可以由联合体中的一方或者多方共同提交投标保证金，其提交的投标保证金对联合体各方均具有约束力。 </w:t>
      </w:r>
    </w:p>
    <w:p w14:paraId="17D83680">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 17.5采购人或者采购代理机构应当在采购活动结束后及时退还投标人的投标保证金，采用银行保函、担保机构担保函等形式递交的投标保证金，经投标人同意后采购人、采购代理机构可以不再退还，但因投标人自身原因导致无法及时退还的除外。未中标投标人的投标保证金应当自中标通知书发出之日起 5 个工作日内退还，中标投标人的投标保证金应当自采购合同签订之日起 5 个工作日内退还。 </w:t>
      </w:r>
    </w:p>
    <w:p w14:paraId="5CAF81FF">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17.6 投标人在投标截止时间前撤回已提交的投标文件的，自收到投标人书面撤回通知之日起 5 个工作日内，退还已收取的投标保证金，但因投标人自身原因导致无法及时退还的除外。 </w:t>
      </w:r>
    </w:p>
    <w:p w14:paraId="541B0800">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17.7 终止招标项目已经收取投标保证金的，自终止采购活动后 5 个工作日内退还已收取的投标保证金及其在银行产生的孳息。</w:t>
      </w:r>
    </w:p>
    <w:p w14:paraId="2C0EC536">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17.8 有下列情形之一的，采购人或采购代理机构可以不予退还投标保证金,</w:t>
      </w:r>
      <w:r>
        <w:rPr>
          <w:rFonts w:hint="eastAsia" w:ascii="宋体" w:hAnsi="宋体" w:eastAsia="宋体" w:cs="宋体"/>
          <w:kern w:val="2"/>
          <w:sz w:val="24"/>
          <w:szCs w:val="24"/>
        </w:rPr>
        <w:t>情节严重的将其列入不良记录名单</w:t>
      </w:r>
      <w:r>
        <w:rPr>
          <w:rFonts w:hint="eastAsia" w:ascii="宋体" w:hAnsi="宋体" w:eastAsia="宋体" w:cs="宋体"/>
          <w:iCs/>
          <w:kern w:val="2"/>
          <w:sz w:val="24"/>
          <w:szCs w:val="24"/>
          <w:shd w:val="clear" w:color="auto" w:fill="FFFFFF" w:themeFill="background1"/>
        </w:rPr>
        <w:t xml:space="preserve">： </w:t>
      </w:r>
    </w:p>
    <w:p w14:paraId="4DB080F5">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17.8.1 </w:t>
      </w:r>
      <w:r>
        <w:rPr>
          <w:rFonts w:hint="eastAsia" w:ascii="宋体" w:hAnsi="宋体" w:eastAsia="宋体" w:cs="宋体"/>
          <w:kern w:val="2"/>
          <w:sz w:val="24"/>
          <w:szCs w:val="24"/>
        </w:rPr>
        <w:t>开标后在投标有效期内，投标人撤销其投标的；</w:t>
      </w:r>
      <w:r>
        <w:rPr>
          <w:rFonts w:hint="eastAsia" w:ascii="宋体" w:hAnsi="宋体" w:eastAsia="宋体" w:cs="宋体"/>
          <w:iCs/>
          <w:kern w:val="2"/>
          <w:sz w:val="24"/>
          <w:szCs w:val="24"/>
          <w:shd w:val="clear" w:color="auto" w:fill="FFFFFF" w:themeFill="background1"/>
        </w:rPr>
        <w:t xml:space="preserve"> </w:t>
      </w:r>
    </w:p>
    <w:p w14:paraId="075016C4">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 xml:space="preserve">17.8.2 </w:t>
      </w:r>
      <w:r>
        <w:rPr>
          <w:rFonts w:hint="eastAsia" w:ascii="宋体" w:hAnsi="宋体" w:eastAsia="宋体" w:cs="宋体"/>
          <w:kern w:val="2"/>
          <w:sz w:val="24"/>
          <w:szCs w:val="24"/>
        </w:rPr>
        <w:t>中标后无正当理由不与采购人签订合同的；</w:t>
      </w:r>
    </w:p>
    <w:p w14:paraId="268615ED">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 xml:space="preserve">17.8.3 </w:t>
      </w:r>
      <w:r>
        <w:rPr>
          <w:rFonts w:hint="eastAsia" w:ascii="宋体" w:hAnsi="宋体" w:eastAsia="宋体" w:cs="宋体"/>
          <w:kern w:val="2"/>
          <w:sz w:val="24"/>
          <w:szCs w:val="24"/>
        </w:rPr>
        <w:t>中标人与采购人订立背离合同实质性内容的其他协议；</w:t>
      </w:r>
    </w:p>
    <w:p w14:paraId="0103EBD6">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17.8.</w:t>
      </w:r>
      <w:r>
        <w:rPr>
          <w:rFonts w:hint="eastAsia" w:ascii="宋体" w:hAnsi="宋体" w:eastAsia="宋体" w:cs="宋体"/>
          <w:kern w:val="2"/>
          <w:sz w:val="24"/>
          <w:szCs w:val="24"/>
        </w:rPr>
        <w:t>4 将中标项目转让给他人，或者在投标文件中未说明，且未经采购人同意，将中标项目分包给他人的；</w:t>
      </w:r>
    </w:p>
    <w:p w14:paraId="0E7B0FD7">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17.8.</w:t>
      </w:r>
      <w:r>
        <w:rPr>
          <w:rFonts w:hint="eastAsia" w:ascii="宋体" w:hAnsi="宋体" w:eastAsia="宋体" w:cs="宋体"/>
          <w:kern w:val="2"/>
          <w:sz w:val="24"/>
          <w:szCs w:val="24"/>
        </w:rPr>
        <w:t>5 存在串通投标行为的；</w:t>
      </w:r>
    </w:p>
    <w:p w14:paraId="221B6D32">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17.8.</w:t>
      </w:r>
      <w:r>
        <w:rPr>
          <w:rFonts w:hint="eastAsia" w:ascii="宋体" w:hAnsi="宋体" w:eastAsia="宋体" w:cs="宋体"/>
          <w:kern w:val="2"/>
          <w:sz w:val="24"/>
          <w:szCs w:val="24"/>
        </w:rPr>
        <w:t>6 存在弄虚作假或提供虚假材料谋取中标的；</w:t>
      </w:r>
    </w:p>
    <w:p w14:paraId="1138DE16">
      <w:pPr>
        <w:pStyle w:val="56"/>
        <w:spacing w:line="360" w:lineRule="auto"/>
        <w:ind w:firstLine="480" w:firstLineChars="200"/>
        <w:rPr>
          <w:rFonts w:hint="eastAsia" w:ascii="宋体" w:hAnsi="宋体" w:eastAsia="宋体" w:cs="宋体"/>
          <w:kern w:val="2"/>
          <w:sz w:val="24"/>
          <w:szCs w:val="24"/>
        </w:rPr>
      </w:pPr>
      <w:r>
        <w:rPr>
          <w:rFonts w:hint="eastAsia" w:ascii="宋体" w:hAnsi="宋体" w:eastAsia="宋体" w:cs="宋体"/>
          <w:iCs/>
          <w:kern w:val="2"/>
          <w:sz w:val="24"/>
          <w:szCs w:val="24"/>
          <w:shd w:val="clear" w:color="auto" w:fill="FFFFFF" w:themeFill="background1"/>
        </w:rPr>
        <w:t>17.8.</w:t>
      </w:r>
      <w:r>
        <w:rPr>
          <w:rFonts w:hint="eastAsia" w:ascii="宋体" w:hAnsi="宋体" w:eastAsia="宋体" w:cs="宋体"/>
          <w:kern w:val="2"/>
          <w:sz w:val="24"/>
          <w:szCs w:val="24"/>
        </w:rPr>
        <w:t>7 投标人其他未按招标文件规定和合同约定履行义务的行为。</w:t>
      </w:r>
    </w:p>
    <w:p w14:paraId="4DACB5B0">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17.9如开标时投标人对本单位投标保证金缴纳情况有疑义，投标人应在开标结束前向采购人提交书面申请核实保证金缴纳情况。由银行或保险公司核实后出具书面材料予以答复。</w:t>
      </w:r>
    </w:p>
    <w:p w14:paraId="75C31243">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17.10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兵团政府采购网”—顶部通栏“信用融资”或者“兵团政府采购网”首页“政采贷｜电子保函”快捷模块查看：</w:t>
      </w:r>
    </w:p>
    <w:p w14:paraId="57A09D75">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直达链接（电子保函）：</w:t>
      </w:r>
    </w:p>
    <w:p w14:paraId="47C57AEE">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https</w:t>
      </w:r>
      <w:r>
        <w:rPr>
          <w:rFonts w:hint="eastAsia" w:ascii="宋体" w:hAnsi="宋体" w:eastAsia="宋体" w:cs="宋体"/>
          <w:iCs/>
          <w:kern w:val="2"/>
          <w:sz w:val="24"/>
          <w:szCs w:val="24"/>
          <w:shd w:val="clear" w:color="auto" w:fill="FFFFFF" w:themeFill="background1"/>
          <w:lang w:eastAsia="zh-CN"/>
        </w:rPr>
        <w:t>；</w:t>
      </w:r>
      <w:r>
        <w:rPr>
          <w:rFonts w:hint="eastAsia" w:ascii="宋体" w:hAnsi="宋体" w:eastAsia="宋体" w:cs="宋体"/>
          <w:iCs/>
          <w:kern w:val="2"/>
          <w:sz w:val="24"/>
          <w:szCs w:val="24"/>
          <w:shd w:val="clear" w:color="auto" w:fill="FFFFFF" w:themeFill="background1"/>
        </w:rPr>
        <w:t>//jinrong.zcygov.cn/luban/finance/xinjiang?utm=site.site-PC-4838.1473-pc-wsg-customFloatWindow-front.1.b9d627301e6311efb796b33a13fe0d0a</w:t>
      </w:r>
    </w:p>
    <w:p w14:paraId="7E09C5BD">
      <w:pPr>
        <w:pStyle w:val="56"/>
        <w:spacing w:line="360" w:lineRule="auto"/>
        <w:ind w:firstLine="480" w:firstLineChars="200"/>
        <w:rPr>
          <w:rFonts w:hint="eastAsia" w:ascii="宋体" w:hAnsi="宋体" w:eastAsia="宋体" w:cs="宋体"/>
          <w:iCs/>
          <w:kern w:val="2"/>
          <w:sz w:val="24"/>
          <w:szCs w:val="24"/>
          <w:shd w:val="clear" w:color="auto" w:fill="FFFFFF" w:themeFill="background1"/>
        </w:rPr>
      </w:pPr>
      <w:r>
        <w:rPr>
          <w:rFonts w:hint="eastAsia" w:ascii="宋体" w:hAnsi="宋体" w:eastAsia="宋体" w:cs="宋体"/>
          <w:iCs/>
          <w:kern w:val="2"/>
          <w:sz w:val="24"/>
          <w:szCs w:val="24"/>
          <w:shd w:val="clear" w:color="auto" w:fill="FFFFFF" w:themeFill="background1"/>
        </w:rPr>
        <w:t>金融服务支撑热线：</w:t>
      </w:r>
      <w:r>
        <w:rPr>
          <w:rFonts w:hint="eastAsia" w:ascii="宋体" w:hAnsi="宋体" w:eastAsia="宋体" w:cs="宋体"/>
          <w:b/>
          <w:bCs/>
          <w:iCs/>
          <w:kern w:val="2"/>
          <w:sz w:val="24"/>
          <w:szCs w:val="24"/>
          <w:shd w:val="clear" w:color="auto" w:fill="FFFFFF" w:themeFill="background1"/>
        </w:rPr>
        <w:t>95763</w:t>
      </w:r>
      <w:r>
        <w:rPr>
          <w:rFonts w:hint="eastAsia" w:ascii="宋体" w:hAnsi="宋体" w:eastAsia="宋体" w:cs="宋体"/>
          <w:iCs/>
          <w:kern w:val="2"/>
          <w:sz w:val="24"/>
          <w:szCs w:val="24"/>
          <w:shd w:val="clear" w:color="auto" w:fill="FFFFFF" w:themeFill="background1"/>
        </w:rPr>
        <w:t xml:space="preserve">     </w:t>
      </w:r>
    </w:p>
    <w:p w14:paraId="57F3D639">
      <w:pPr>
        <w:pStyle w:val="6"/>
        <w:keepNext w:val="0"/>
        <w:keepLines w:val="0"/>
        <w:spacing w:before="80" w:after="80" w:line="240" w:lineRule="auto"/>
        <w:ind w:left="420" w:hanging="420"/>
        <w:jc w:val="both"/>
        <w:rPr>
          <w:rFonts w:hint="eastAsia" w:ascii="宋体" w:hAnsi="宋体" w:cs="宋体"/>
          <w:sz w:val="24"/>
          <w:szCs w:val="24"/>
        </w:rPr>
      </w:pPr>
      <w:bookmarkStart w:id="195" w:name="_Toc16592"/>
      <w:r>
        <w:rPr>
          <w:rFonts w:hint="eastAsia" w:ascii="宋体" w:hAnsi="宋体" w:cs="宋体"/>
          <w:sz w:val="24"/>
          <w:szCs w:val="24"/>
        </w:rPr>
        <w:t>18.投标文件的加密</w:t>
      </w:r>
      <w:bookmarkEnd w:id="194"/>
      <w:bookmarkEnd w:id="195"/>
    </w:p>
    <w:p w14:paraId="406E3E92">
      <w:pPr>
        <w:ind w:firstLine="480" w:firstLineChars="200"/>
        <w:jc w:val="both"/>
        <w:rPr>
          <w:rFonts w:hint="eastAsia" w:cs="宋体"/>
          <w:szCs w:val="24"/>
          <w:u w:val="single"/>
        </w:rPr>
      </w:pPr>
      <w:bookmarkStart w:id="196" w:name="_Hlk143531864"/>
      <w:r>
        <w:rPr>
          <w:rFonts w:hint="eastAsia" w:cs="宋体"/>
          <w:szCs w:val="24"/>
        </w:rPr>
        <w:t>18.1投标人在“</w:t>
      </w:r>
      <w:r>
        <w:rPr>
          <w:rFonts w:hint="eastAsia" w:cs="仿宋_GB2312"/>
          <w:szCs w:val="24"/>
        </w:rPr>
        <w:t>投标客户端”</w:t>
      </w:r>
      <w:r>
        <w:rPr>
          <w:rFonts w:hint="eastAsia" w:cs="宋体"/>
          <w:szCs w:val="24"/>
        </w:rPr>
        <w:t>中生成投标文件并完成签章之后，使用CA证书在“</w:t>
      </w:r>
      <w:r>
        <w:rPr>
          <w:rFonts w:hint="eastAsia" w:cs="仿宋_GB2312"/>
          <w:szCs w:val="24"/>
        </w:rPr>
        <w:t>投标客户端”</w:t>
      </w:r>
      <w:r>
        <w:rPr>
          <w:rFonts w:hint="eastAsia" w:cs="宋体"/>
          <w:szCs w:val="24"/>
        </w:rPr>
        <w:t>中对投标文件进行加密。</w:t>
      </w:r>
    </w:p>
    <w:p w14:paraId="60633629">
      <w:pPr>
        <w:ind w:firstLine="480" w:firstLineChars="200"/>
        <w:jc w:val="both"/>
        <w:rPr>
          <w:rFonts w:hint="eastAsia" w:cs="宋体"/>
          <w:szCs w:val="24"/>
        </w:rPr>
      </w:pPr>
      <w:r>
        <w:rPr>
          <w:rFonts w:hint="eastAsia" w:cs="宋体"/>
          <w:szCs w:val="24"/>
        </w:rPr>
        <w:t>18.2投标人应在“</w:t>
      </w:r>
      <w:r>
        <w:rPr>
          <w:rFonts w:hint="eastAsia" w:cs="仿宋_GB2312"/>
          <w:szCs w:val="24"/>
        </w:rPr>
        <w:t>投标客户端”</w:t>
      </w:r>
      <w:r>
        <w:rPr>
          <w:rFonts w:hint="eastAsia" w:cs="宋体"/>
          <w:szCs w:val="24"/>
        </w:rPr>
        <w:t>中对加密的投标文件进行解密验证，以防止投标文件加密异常，在开标时无法解密。</w:t>
      </w:r>
    </w:p>
    <w:p w14:paraId="5921BBE7">
      <w:pPr>
        <w:ind w:firstLine="480" w:firstLineChars="200"/>
        <w:jc w:val="both"/>
        <w:rPr>
          <w:rFonts w:hint="eastAsia" w:cs="宋体"/>
          <w:szCs w:val="24"/>
        </w:rPr>
      </w:pPr>
      <w:r>
        <w:rPr>
          <w:rFonts w:hint="eastAsia" w:cs="宋体"/>
          <w:szCs w:val="24"/>
        </w:rPr>
        <w:t>18.3 投标人应保证加密投标文件的CA证书有效期在开标时间之前。若CA证书有效期临近开标时间，建议投标人提前办理CA证书续期，以免开标时无法进行解密。</w:t>
      </w:r>
    </w:p>
    <w:p w14:paraId="7E32742A">
      <w:pPr>
        <w:wordWrap w:val="0"/>
        <w:ind w:firstLine="480" w:firstLineChars="200"/>
        <w:jc w:val="both"/>
        <w:rPr>
          <w:rFonts w:hint="eastAsia" w:cs="宋体"/>
          <w:szCs w:val="24"/>
        </w:rPr>
      </w:pPr>
      <w:r>
        <w:rPr>
          <w:rFonts w:hint="eastAsia" w:cs="宋体"/>
          <w:szCs w:val="24"/>
        </w:rPr>
        <w:t>18.4投标人在投标文件递交截止时间前通过兵团政府采购网（http</w:t>
      </w:r>
      <w:r>
        <w:rPr>
          <w:rFonts w:hint="eastAsia" w:cs="宋体"/>
          <w:szCs w:val="24"/>
          <w:lang w:eastAsia="zh-CN"/>
        </w:rPr>
        <w:t>；</w:t>
      </w:r>
      <w:r>
        <w:rPr>
          <w:rFonts w:hint="eastAsia" w:cs="宋体"/>
          <w:szCs w:val="24"/>
        </w:rPr>
        <w:t>//ccgp-bingtuan.gov.cn/）的”政采云登录入口”登录后，将加密电子投标文件（为.jmbs后缀格式）上传到对应项目的指定位置，投标人认为有必要提交的其他资料请于投标截止时间前一并提交。</w:t>
      </w:r>
    </w:p>
    <w:p w14:paraId="709F7AFF">
      <w:pPr>
        <w:ind w:firstLine="480" w:firstLineChars="200"/>
        <w:jc w:val="both"/>
        <w:rPr>
          <w:rFonts w:hint="eastAsia" w:cs="宋体"/>
          <w:szCs w:val="24"/>
        </w:rPr>
      </w:pPr>
      <w:r>
        <w:rPr>
          <w:rFonts w:hint="eastAsia" w:cs="宋体"/>
          <w:szCs w:val="24"/>
        </w:rPr>
        <w:t>18.5如果投标人未按上述要求加密并上传，采购代理机构对投标文件的误投、无法解密、传输错误等问题概不负责。对由此造成无法正常开启的投标文件，采购代理机构有权予以拒绝，并退回投标人。</w:t>
      </w:r>
    </w:p>
    <w:p w14:paraId="313E7FB3">
      <w:pPr>
        <w:ind w:firstLine="480" w:firstLineChars="200"/>
        <w:jc w:val="both"/>
        <w:rPr>
          <w:rFonts w:hint="eastAsia" w:cs="宋体"/>
          <w:szCs w:val="24"/>
        </w:rPr>
      </w:pPr>
      <w:r>
        <w:rPr>
          <w:rFonts w:hint="eastAsia" w:cs="宋体"/>
          <w:szCs w:val="24"/>
        </w:rPr>
        <w:t>18.6本项目采用不见面开标，无需提供电子投标文件U盘。</w:t>
      </w:r>
    </w:p>
    <w:bookmarkEnd w:id="196"/>
    <w:p w14:paraId="45B5C1A1">
      <w:pPr>
        <w:pStyle w:val="6"/>
        <w:keepNext w:val="0"/>
        <w:keepLines w:val="0"/>
        <w:spacing w:before="80" w:after="80" w:line="240" w:lineRule="auto"/>
        <w:ind w:left="420" w:hanging="420"/>
        <w:jc w:val="both"/>
        <w:rPr>
          <w:rFonts w:hint="eastAsia" w:ascii="宋体" w:hAnsi="宋体" w:cs="宋体"/>
          <w:sz w:val="24"/>
          <w:szCs w:val="24"/>
        </w:rPr>
      </w:pPr>
      <w:bookmarkStart w:id="197" w:name="_Toc140132777"/>
      <w:bookmarkStart w:id="198" w:name="_Toc7146"/>
      <w:bookmarkStart w:id="199" w:name="_Toc163492844"/>
      <w:r>
        <w:rPr>
          <w:rFonts w:hint="eastAsia" w:ascii="宋体" w:hAnsi="宋体" w:cs="宋体"/>
          <w:sz w:val="24"/>
          <w:szCs w:val="24"/>
        </w:rPr>
        <w:t>19.投标文件的递交</w:t>
      </w:r>
      <w:bookmarkEnd w:id="197"/>
      <w:r>
        <w:rPr>
          <w:rFonts w:hint="eastAsia" w:ascii="宋体" w:hAnsi="宋体" w:cs="宋体"/>
          <w:sz w:val="24"/>
          <w:szCs w:val="24"/>
        </w:rPr>
        <w:t>（上传）</w:t>
      </w:r>
      <w:bookmarkEnd w:id="198"/>
      <w:bookmarkEnd w:id="199"/>
    </w:p>
    <w:p w14:paraId="68D221E4">
      <w:pPr>
        <w:ind w:firstLine="480" w:firstLineChars="200"/>
        <w:jc w:val="both"/>
        <w:rPr>
          <w:rFonts w:hint="eastAsia" w:cs="宋体"/>
          <w:szCs w:val="24"/>
        </w:rPr>
      </w:pPr>
      <w:bookmarkStart w:id="200" w:name="_Hlk143531977"/>
      <w:r>
        <w:rPr>
          <w:rFonts w:hint="eastAsia" w:cs="宋体"/>
          <w:szCs w:val="24"/>
        </w:rPr>
        <w:t>19.1 投标人应在“第一章 招标公告”规定的投标截止时间前递交（上传）投标文件。</w:t>
      </w:r>
    </w:p>
    <w:p w14:paraId="606B10F3">
      <w:pPr>
        <w:ind w:firstLine="480" w:firstLineChars="200"/>
        <w:jc w:val="both"/>
        <w:rPr>
          <w:rFonts w:hint="eastAsia" w:cs="宋体"/>
          <w:szCs w:val="24"/>
        </w:rPr>
      </w:pPr>
      <w:r>
        <w:rPr>
          <w:rFonts w:hint="eastAsia" w:cs="宋体"/>
          <w:szCs w:val="24"/>
        </w:rPr>
        <w:t>19.2 投标人递交（上传）投标文件的地点见“第一章 招标公告”。</w:t>
      </w:r>
    </w:p>
    <w:p w14:paraId="0676346A">
      <w:pPr>
        <w:ind w:firstLine="480" w:firstLineChars="200"/>
        <w:jc w:val="both"/>
        <w:rPr>
          <w:rFonts w:hint="eastAsia" w:cs="宋体"/>
          <w:szCs w:val="24"/>
        </w:rPr>
      </w:pPr>
      <w:r>
        <w:rPr>
          <w:rFonts w:hint="eastAsia" w:cs="宋体"/>
          <w:szCs w:val="24"/>
        </w:rPr>
        <w:t>19.3投标人应充分评估集中同时投标带来的网络影响，尽量避开投标高峰时间，错峰进行电子投标。投标人递交全部的投标文件后可在政采云平台（项目采购—投标文件上传）中获取投标文件递交回执单。</w:t>
      </w:r>
    </w:p>
    <w:p w14:paraId="7FC57CD4">
      <w:pPr>
        <w:ind w:firstLine="480" w:firstLineChars="200"/>
        <w:jc w:val="both"/>
        <w:rPr>
          <w:rFonts w:hint="eastAsia" w:cs="宋体"/>
          <w:szCs w:val="24"/>
        </w:rPr>
      </w:pPr>
      <w:r>
        <w:rPr>
          <w:rFonts w:hint="eastAsia" w:cs="宋体"/>
          <w:szCs w:val="24"/>
        </w:rPr>
        <w:t>19.4 投标人应在“</w:t>
      </w:r>
      <w:r>
        <w:rPr>
          <w:rFonts w:hint="eastAsia" w:cs="仿宋_GB2312"/>
          <w:szCs w:val="24"/>
        </w:rPr>
        <w:t>投标客户端”</w:t>
      </w:r>
      <w:r>
        <w:rPr>
          <w:rFonts w:hint="eastAsia" w:cs="宋体"/>
          <w:szCs w:val="24"/>
        </w:rPr>
        <w:t>中下载未加密且完成签章的投标文件妥善保存，以便启动应急开标程序时使用。</w:t>
      </w:r>
    </w:p>
    <w:p w14:paraId="5652C54E">
      <w:pPr>
        <w:ind w:firstLine="480" w:firstLineChars="200"/>
        <w:jc w:val="both"/>
        <w:rPr>
          <w:rFonts w:hint="eastAsia" w:cs="宋体"/>
          <w:szCs w:val="24"/>
        </w:rPr>
      </w:pPr>
      <w:r>
        <w:rPr>
          <w:rFonts w:hint="eastAsia" w:cs="宋体"/>
          <w:szCs w:val="24"/>
        </w:rPr>
        <w:t>19.5投标人所递交的投标文件不予退还。</w:t>
      </w:r>
    </w:p>
    <w:bookmarkEnd w:id="200"/>
    <w:p w14:paraId="40681794">
      <w:pPr>
        <w:pStyle w:val="6"/>
        <w:keepNext w:val="0"/>
        <w:keepLines w:val="0"/>
        <w:spacing w:before="80" w:after="80" w:line="240" w:lineRule="auto"/>
        <w:ind w:left="420" w:hanging="420"/>
        <w:jc w:val="both"/>
        <w:rPr>
          <w:rFonts w:hint="eastAsia" w:ascii="宋体" w:hAnsi="宋体" w:cs="宋体"/>
          <w:sz w:val="24"/>
          <w:szCs w:val="24"/>
        </w:rPr>
      </w:pPr>
      <w:bookmarkStart w:id="201" w:name="_Toc788"/>
      <w:bookmarkStart w:id="202" w:name="_Toc163492845"/>
      <w:r>
        <w:rPr>
          <w:rFonts w:hint="eastAsia" w:ascii="宋体" w:hAnsi="宋体" w:cs="宋体"/>
          <w:sz w:val="24"/>
          <w:szCs w:val="24"/>
        </w:rPr>
        <w:t>20.拒收</w:t>
      </w:r>
      <w:bookmarkEnd w:id="201"/>
      <w:bookmarkEnd w:id="202"/>
    </w:p>
    <w:p w14:paraId="745D6539">
      <w:pPr>
        <w:ind w:firstLine="480" w:firstLineChars="200"/>
        <w:jc w:val="both"/>
        <w:rPr>
          <w:rFonts w:hint="eastAsia" w:cs="宋体"/>
          <w:szCs w:val="24"/>
        </w:rPr>
      </w:pPr>
      <w:r>
        <w:rPr>
          <w:rFonts w:hint="eastAsia" w:cs="宋体"/>
          <w:szCs w:val="24"/>
        </w:rPr>
        <w:t>20.1 超过投标文件提交截止时间</w:t>
      </w:r>
      <w:bookmarkStart w:id="203" w:name="_Hlk143532404"/>
      <w:r>
        <w:rPr>
          <w:rFonts w:hint="eastAsia" w:cs="宋体"/>
          <w:szCs w:val="24"/>
        </w:rPr>
        <w:t>或者不按照本章要求加密的投标文件，交易系统应当拒收</w:t>
      </w:r>
      <w:bookmarkEnd w:id="203"/>
      <w:r>
        <w:rPr>
          <w:rFonts w:hint="eastAsia" w:cs="宋体"/>
          <w:szCs w:val="24"/>
        </w:rPr>
        <w:t>。</w:t>
      </w:r>
    </w:p>
    <w:p w14:paraId="3E014174">
      <w:pPr>
        <w:pStyle w:val="6"/>
        <w:keepNext w:val="0"/>
        <w:keepLines w:val="0"/>
        <w:spacing w:before="80" w:after="80" w:line="240" w:lineRule="auto"/>
        <w:ind w:left="420" w:hanging="420"/>
        <w:jc w:val="both"/>
        <w:rPr>
          <w:rFonts w:hint="eastAsia" w:ascii="宋体" w:hAnsi="宋体" w:cs="宋体"/>
          <w:sz w:val="24"/>
          <w:szCs w:val="24"/>
        </w:rPr>
      </w:pPr>
      <w:bookmarkStart w:id="204" w:name="_Toc140132778"/>
      <w:bookmarkStart w:id="205" w:name="_Toc735"/>
      <w:bookmarkStart w:id="206" w:name="_Toc163492846"/>
      <w:r>
        <w:rPr>
          <w:rFonts w:hint="eastAsia" w:ascii="宋体" w:hAnsi="宋体" w:cs="宋体"/>
          <w:sz w:val="24"/>
          <w:szCs w:val="24"/>
        </w:rPr>
        <w:t>21.投标文件的修改与撤回</w:t>
      </w:r>
      <w:bookmarkEnd w:id="204"/>
      <w:bookmarkEnd w:id="205"/>
      <w:bookmarkEnd w:id="206"/>
    </w:p>
    <w:p w14:paraId="5138E1D2">
      <w:pPr>
        <w:ind w:firstLine="480" w:firstLineChars="200"/>
        <w:jc w:val="both"/>
        <w:rPr>
          <w:rFonts w:hint="eastAsia" w:cs="宋体"/>
          <w:szCs w:val="24"/>
        </w:rPr>
      </w:pPr>
      <w:r>
        <w:rPr>
          <w:rFonts w:hint="eastAsia" w:cs="宋体"/>
          <w:szCs w:val="24"/>
        </w:rPr>
        <w:t>21.1</w:t>
      </w:r>
      <w:bookmarkStart w:id="207" w:name="_Hlk143532466"/>
      <w:r>
        <w:rPr>
          <w:rFonts w:hint="eastAsia" w:cs="宋体"/>
          <w:szCs w:val="24"/>
        </w:rPr>
        <w:t>投标人在“第一章 招标公告”规定的投标文件递交截止时间之前，可在兵团政府采购电子交易云平台上随时撤回已上传的电子投标文件，将修改好的电子投标文件在投标文件递交截止时间前重新上传到兵团政府采购电子交易云平台的指定位置。</w:t>
      </w:r>
    </w:p>
    <w:bookmarkEnd w:id="207"/>
    <w:p w14:paraId="0E3C1799">
      <w:pPr>
        <w:pStyle w:val="6"/>
        <w:keepNext w:val="0"/>
        <w:keepLines w:val="0"/>
        <w:spacing w:before="80" w:after="80" w:line="240" w:lineRule="auto"/>
        <w:ind w:left="420" w:hanging="420"/>
        <w:jc w:val="both"/>
        <w:rPr>
          <w:rFonts w:hint="eastAsia" w:ascii="宋体" w:hAnsi="宋体" w:cs="宋体"/>
          <w:sz w:val="24"/>
          <w:szCs w:val="24"/>
        </w:rPr>
      </w:pPr>
      <w:bookmarkStart w:id="208" w:name="_Toc163492847"/>
      <w:bookmarkStart w:id="209" w:name="_Toc18326"/>
      <w:bookmarkStart w:id="210" w:name="_Toc155185874"/>
      <w:r>
        <w:rPr>
          <w:rFonts w:hint="eastAsia" w:ascii="宋体" w:hAnsi="宋体" w:cs="宋体"/>
          <w:sz w:val="24"/>
          <w:szCs w:val="24"/>
        </w:rPr>
        <w:t>22.实物样品</w:t>
      </w:r>
      <w:bookmarkEnd w:id="208"/>
      <w:bookmarkEnd w:id="209"/>
      <w:bookmarkEnd w:id="210"/>
    </w:p>
    <w:p w14:paraId="3262080C">
      <w:pPr>
        <w:pStyle w:val="39"/>
        <w:jc w:val="both"/>
        <w:rPr>
          <w:rFonts w:hint="eastAsia" w:cs="宋体"/>
          <w:szCs w:val="24"/>
        </w:rPr>
      </w:pPr>
      <w:r>
        <w:rPr>
          <w:rFonts w:hint="eastAsia" w:cs="宋体"/>
          <w:szCs w:val="24"/>
        </w:rPr>
        <w:t>2</w:t>
      </w:r>
      <w:r>
        <w:rPr>
          <w:rFonts w:hint="eastAsia" w:cs="宋体"/>
          <w:szCs w:val="24"/>
          <w:lang w:val="en-US"/>
        </w:rPr>
        <w:t>2</w:t>
      </w:r>
      <w:r>
        <w:rPr>
          <w:rFonts w:hint="eastAsia" w:cs="宋体"/>
          <w:szCs w:val="24"/>
        </w:rPr>
        <w:t>.1“投标人须知前附表”要求提供样品的，样品的具体要求及评审详见“第三章 采购需求”和“第五章 评标</w:t>
      </w:r>
      <w:r>
        <w:rPr>
          <w:rFonts w:hint="eastAsia" w:cs="宋体"/>
          <w:snapToGrid w:val="0"/>
          <w:szCs w:val="24"/>
          <w:lang w:val="en-US"/>
        </w:rPr>
        <w:t>方</w:t>
      </w:r>
      <w:r>
        <w:rPr>
          <w:rFonts w:hint="eastAsia" w:cs="宋体"/>
          <w:szCs w:val="24"/>
        </w:rPr>
        <w:t>法及标准”。</w:t>
      </w:r>
    </w:p>
    <w:p w14:paraId="75DB886D">
      <w:pPr>
        <w:pStyle w:val="39"/>
        <w:jc w:val="both"/>
        <w:rPr>
          <w:rFonts w:hint="eastAsia" w:cs="宋体"/>
          <w:b/>
          <w:szCs w:val="24"/>
        </w:rPr>
      </w:pPr>
      <w:r>
        <w:rPr>
          <w:rFonts w:hint="eastAsia" w:cs="宋体"/>
          <w:szCs w:val="24"/>
        </w:rPr>
        <w:t>2</w:t>
      </w:r>
      <w:r>
        <w:rPr>
          <w:rFonts w:hint="eastAsia" w:cs="宋体"/>
          <w:szCs w:val="24"/>
          <w:lang w:val="en-US"/>
        </w:rPr>
        <w:t>2</w:t>
      </w:r>
      <w:r>
        <w:rPr>
          <w:rFonts w:hint="eastAsia" w:cs="宋体"/>
          <w:szCs w:val="24"/>
        </w:rPr>
        <w:t>.2样品退还：未中标的投标人应</w:t>
      </w:r>
      <w:r>
        <w:rPr>
          <w:rFonts w:hint="eastAsia" w:cs="宋体"/>
          <w:szCs w:val="24"/>
          <w:lang w:val="en-US"/>
        </w:rPr>
        <w:t>按照</w:t>
      </w:r>
      <w:r>
        <w:rPr>
          <w:rFonts w:hint="eastAsia" w:cs="宋体"/>
          <w:szCs w:val="24"/>
        </w:rPr>
        <w:t>“投标人须知前附表”</w:t>
      </w:r>
      <w:r>
        <w:rPr>
          <w:rFonts w:hint="eastAsia" w:cs="宋体"/>
          <w:szCs w:val="24"/>
          <w:lang w:val="en-US"/>
        </w:rPr>
        <w:t>要求</w:t>
      </w:r>
      <w:r>
        <w:rPr>
          <w:rFonts w:hint="eastAsia" w:cs="宋体"/>
          <w:szCs w:val="24"/>
        </w:rPr>
        <w:t>自行联系采购人取回投标样品；中标人的样品由采购人进行保管、封存，并作为履约验收的参考（招标文件另有规定的从其规定）。</w:t>
      </w:r>
    </w:p>
    <w:p w14:paraId="020DB629">
      <w:pPr>
        <w:pStyle w:val="6"/>
        <w:keepNext w:val="0"/>
        <w:keepLines w:val="0"/>
        <w:spacing w:before="80" w:after="80" w:line="240" w:lineRule="auto"/>
        <w:ind w:left="420" w:hanging="420"/>
        <w:jc w:val="both"/>
        <w:rPr>
          <w:rFonts w:hint="eastAsia" w:ascii="宋体" w:hAnsi="宋体" w:cs="宋体"/>
          <w:sz w:val="24"/>
          <w:szCs w:val="24"/>
        </w:rPr>
      </w:pPr>
      <w:bookmarkStart w:id="211" w:name="_Toc16730"/>
      <w:bookmarkStart w:id="212" w:name="_Toc163492848"/>
      <w:bookmarkStart w:id="213" w:name="_Toc155185875"/>
      <w:r>
        <w:rPr>
          <w:rFonts w:hint="eastAsia" w:ascii="宋体" w:hAnsi="宋体" w:cs="宋体"/>
          <w:sz w:val="24"/>
          <w:szCs w:val="24"/>
        </w:rPr>
        <w:t>23.演示</w:t>
      </w:r>
      <w:bookmarkEnd w:id="211"/>
      <w:bookmarkEnd w:id="212"/>
      <w:bookmarkEnd w:id="213"/>
    </w:p>
    <w:p w14:paraId="63120069">
      <w:pPr>
        <w:pStyle w:val="39"/>
        <w:jc w:val="both"/>
        <w:rPr>
          <w:rFonts w:hint="eastAsia" w:cs="宋体"/>
          <w:szCs w:val="24"/>
        </w:rPr>
      </w:pPr>
      <w:r>
        <w:rPr>
          <w:rFonts w:hint="eastAsia" w:cs="宋体"/>
          <w:szCs w:val="24"/>
        </w:rPr>
        <w:t>2</w:t>
      </w:r>
      <w:r>
        <w:rPr>
          <w:rFonts w:hint="eastAsia" w:cs="宋体"/>
          <w:szCs w:val="24"/>
          <w:lang w:val="en-US"/>
        </w:rPr>
        <w:t>3</w:t>
      </w:r>
      <w:r>
        <w:rPr>
          <w:rFonts w:hint="eastAsia" w:cs="宋体"/>
          <w:szCs w:val="24"/>
        </w:rPr>
        <w:t>.1要求投标人进行演示的，演示要求详见“投标人须知前附表”。</w:t>
      </w:r>
    </w:p>
    <w:p w14:paraId="44A69ADB">
      <w:pPr>
        <w:pStyle w:val="39"/>
        <w:jc w:val="both"/>
        <w:rPr>
          <w:rFonts w:hint="eastAsia" w:cs="宋体"/>
          <w:szCs w:val="24"/>
        </w:rPr>
      </w:pPr>
      <w:r>
        <w:rPr>
          <w:rFonts w:hint="eastAsia" w:cs="宋体"/>
          <w:szCs w:val="24"/>
        </w:rPr>
        <w:t>2</w:t>
      </w:r>
      <w:r>
        <w:rPr>
          <w:rFonts w:hint="eastAsia" w:cs="宋体"/>
          <w:szCs w:val="24"/>
          <w:lang w:val="en-US"/>
        </w:rPr>
        <w:t>3</w:t>
      </w:r>
      <w:r>
        <w:rPr>
          <w:rFonts w:hint="eastAsia" w:cs="宋体"/>
          <w:szCs w:val="24"/>
        </w:rPr>
        <w:t>.2演示的评审详见“第三章 采购需求”和“第五章 评标</w:t>
      </w:r>
      <w:r>
        <w:rPr>
          <w:rFonts w:hint="eastAsia" w:cs="宋体"/>
          <w:szCs w:val="24"/>
          <w:lang w:val="en-US"/>
        </w:rPr>
        <w:t>方</w:t>
      </w:r>
      <w:r>
        <w:rPr>
          <w:rFonts w:hint="eastAsia" w:cs="宋体"/>
          <w:szCs w:val="24"/>
        </w:rPr>
        <w:t>法及标准”。</w:t>
      </w:r>
    </w:p>
    <w:p w14:paraId="468FA4D1">
      <w:pPr>
        <w:pStyle w:val="5"/>
        <w:keepNext w:val="0"/>
        <w:keepLines w:val="0"/>
        <w:spacing w:before="120" w:after="120" w:line="240" w:lineRule="auto"/>
        <w:ind w:left="420" w:hanging="420"/>
        <w:jc w:val="both"/>
        <w:rPr>
          <w:rFonts w:hint="eastAsia" w:cs="宋体"/>
          <w:sz w:val="24"/>
          <w:szCs w:val="24"/>
        </w:rPr>
      </w:pPr>
      <w:bookmarkStart w:id="214" w:name="_Toc155185876"/>
      <w:bookmarkStart w:id="215" w:name="_Toc32704"/>
      <w:bookmarkStart w:id="216" w:name="_Toc140132779"/>
      <w:bookmarkStart w:id="217" w:name="_Toc163492849"/>
      <w:r>
        <w:rPr>
          <w:rFonts w:hint="eastAsia" w:cs="宋体"/>
          <w:sz w:val="24"/>
          <w:szCs w:val="24"/>
        </w:rPr>
        <w:t>（五）开标</w:t>
      </w:r>
      <w:bookmarkEnd w:id="214"/>
      <w:bookmarkEnd w:id="215"/>
      <w:bookmarkEnd w:id="216"/>
      <w:bookmarkEnd w:id="217"/>
    </w:p>
    <w:p w14:paraId="0FB2B6ED">
      <w:pPr>
        <w:pStyle w:val="6"/>
        <w:keepNext w:val="0"/>
        <w:keepLines w:val="0"/>
        <w:spacing w:before="80" w:after="80" w:line="240" w:lineRule="auto"/>
        <w:ind w:left="420" w:hanging="420"/>
        <w:jc w:val="both"/>
        <w:rPr>
          <w:rFonts w:hint="eastAsia" w:ascii="宋体" w:hAnsi="宋体" w:cs="宋体"/>
          <w:sz w:val="24"/>
          <w:szCs w:val="24"/>
        </w:rPr>
      </w:pPr>
      <w:bookmarkStart w:id="218" w:name="_Toc163492850"/>
      <w:bookmarkStart w:id="219" w:name="_Toc140132780"/>
      <w:bookmarkStart w:id="220" w:name="_Toc30506"/>
      <w:r>
        <w:rPr>
          <w:rFonts w:hint="eastAsia" w:ascii="宋体" w:hAnsi="宋体" w:cs="宋体"/>
          <w:sz w:val="24"/>
          <w:szCs w:val="24"/>
        </w:rPr>
        <w:t>24.开标会议</w:t>
      </w:r>
      <w:bookmarkEnd w:id="218"/>
      <w:bookmarkEnd w:id="219"/>
      <w:bookmarkEnd w:id="220"/>
    </w:p>
    <w:p w14:paraId="56206322">
      <w:pPr>
        <w:ind w:firstLine="480" w:firstLineChars="200"/>
        <w:jc w:val="both"/>
        <w:rPr>
          <w:rFonts w:hint="eastAsia" w:cs="宋体"/>
          <w:szCs w:val="24"/>
        </w:rPr>
      </w:pPr>
      <w:bookmarkStart w:id="221" w:name="_Toc140132781"/>
      <w:r>
        <w:rPr>
          <w:rFonts w:hint="eastAsia" w:cs="宋体"/>
          <w:szCs w:val="24"/>
        </w:rPr>
        <w:t>24.1开标会按“第一章 招标公告”规定的开标时间和地点准时举行，采购人、采购代理机构邀请所有投标人准时参加开标会。投标人应按照招标文件的要求参与不见面开标。</w:t>
      </w:r>
    </w:p>
    <w:p w14:paraId="338802AB">
      <w:pPr>
        <w:wordWrap w:val="0"/>
        <w:ind w:firstLine="480" w:firstLineChars="200"/>
        <w:jc w:val="both"/>
        <w:rPr>
          <w:rFonts w:hint="eastAsia" w:cs="宋体"/>
          <w:szCs w:val="24"/>
        </w:rPr>
      </w:pPr>
      <w:r>
        <w:rPr>
          <w:rFonts w:hint="eastAsia" w:cs="宋体"/>
          <w:szCs w:val="24"/>
        </w:rPr>
        <w:t xml:space="preserve">24.2 </w:t>
      </w:r>
      <w:bookmarkEnd w:id="221"/>
      <w:r>
        <w:rPr>
          <w:rFonts w:hint="eastAsia" w:cs="宋体"/>
          <w:szCs w:val="24"/>
        </w:rPr>
        <w:t>采购代理机构按照招标文件规定的时间、地点主持开标。采购人在规定的投标文件递交截止时间（开标时间）和地点进行不见面远程开标。投标人的法定代表人或其委托代理人无需到达开标现场，仅需在任意地点通过兵团政府采购电子交易云平台（网址：https</w:t>
      </w:r>
      <w:r>
        <w:rPr>
          <w:rFonts w:hint="eastAsia" w:cs="宋体"/>
          <w:szCs w:val="24"/>
          <w:lang w:eastAsia="zh-CN"/>
        </w:rPr>
        <w:t>；</w:t>
      </w:r>
      <w:r>
        <w:rPr>
          <w:rFonts w:hint="eastAsia" w:cs="宋体"/>
          <w:szCs w:val="24"/>
        </w:rPr>
        <w:t>//www.zcygov.cn/）的“政采云登录入口”登录后，进入“政采云远程开标大厅”参加开标会议，并使用CA密钥完成远程解密、提疑澄清、开标唱标、结果公布等交互环节。</w:t>
      </w:r>
    </w:p>
    <w:p w14:paraId="03DB2281">
      <w:pPr>
        <w:ind w:firstLine="480" w:firstLineChars="200"/>
        <w:jc w:val="both"/>
        <w:rPr>
          <w:rFonts w:hint="eastAsia" w:cs="宋体"/>
          <w:szCs w:val="24"/>
        </w:rPr>
      </w:pPr>
      <w:r>
        <w:rPr>
          <w:rFonts w:hint="eastAsia" w:cs="宋体"/>
          <w:szCs w:val="24"/>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08C7742D">
      <w:pPr>
        <w:pStyle w:val="6"/>
        <w:keepNext w:val="0"/>
        <w:keepLines w:val="0"/>
        <w:spacing w:before="80" w:after="80" w:line="240" w:lineRule="auto"/>
        <w:ind w:left="420" w:hanging="420"/>
        <w:jc w:val="both"/>
        <w:rPr>
          <w:rFonts w:hint="eastAsia" w:ascii="宋体" w:hAnsi="宋体" w:cs="宋体"/>
          <w:sz w:val="24"/>
          <w:szCs w:val="24"/>
        </w:rPr>
      </w:pPr>
      <w:bookmarkStart w:id="222" w:name="_Toc163492852"/>
      <w:bookmarkStart w:id="223" w:name="_Toc140132783"/>
      <w:bookmarkStart w:id="224" w:name="_Toc6154"/>
      <w:r>
        <w:rPr>
          <w:rFonts w:hint="eastAsia" w:ascii="宋体" w:hAnsi="宋体" w:cs="宋体"/>
          <w:sz w:val="24"/>
          <w:szCs w:val="24"/>
        </w:rPr>
        <w:t>25.开标程序</w:t>
      </w:r>
      <w:bookmarkEnd w:id="222"/>
      <w:bookmarkEnd w:id="223"/>
      <w:bookmarkEnd w:id="224"/>
    </w:p>
    <w:p w14:paraId="66C0967F">
      <w:pPr>
        <w:ind w:firstLine="480" w:firstLineChars="200"/>
        <w:jc w:val="both"/>
        <w:rPr>
          <w:rFonts w:hint="eastAsia" w:cs="宋体"/>
          <w:szCs w:val="24"/>
        </w:rPr>
      </w:pPr>
      <w:r>
        <w:rPr>
          <w:rFonts w:hint="eastAsia" w:cs="宋体"/>
          <w:szCs w:val="24"/>
        </w:rPr>
        <w:t>25.1 投标人不足3家的，不得开标。</w:t>
      </w:r>
    </w:p>
    <w:p w14:paraId="055A702A">
      <w:pPr>
        <w:ind w:firstLine="480" w:firstLineChars="200"/>
        <w:jc w:val="both"/>
        <w:rPr>
          <w:rFonts w:hint="eastAsia" w:cs="宋体"/>
          <w:szCs w:val="24"/>
        </w:rPr>
      </w:pPr>
      <w:r>
        <w:rPr>
          <w:rFonts w:hint="eastAsia" w:cs="宋体"/>
          <w:szCs w:val="24"/>
        </w:rPr>
        <w:t>25.2 评标委员会成员不得参加开标活动。</w:t>
      </w:r>
    </w:p>
    <w:p w14:paraId="798DAF8E">
      <w:pPr>
        <w:ind w:firstLine="480" w:firstLineChars="200"/>
        <w:jc w:val="both"/>
        <w:rPr>
          <w:rFonts w:hint="eastAsia" w:cs="宋体"/>
          <w:szCs w:val="24"/>
        </w:rPr>
      </w:pPr>
      <w:r>
        <w:rPr>
          <w:rFonts w:hint="eastAsia" w:cs="宋体"/>
          <w:szCs w:val="24"/>
        </w:rPr>
        <w:t>25.3主持人按下列程序进行开标：</w:t>
      </w:r>
    </w:p>
    <w:p w14:paraId="4B94D28C">
      <w:pPr>
        <w:ind w:firstLine="398" w:firstLineChars="166"/>
        <w:jc w:val="both"/>
        <w:rPr>
          <w:rFonts w:hint="eastAsia" w:cs="宋体"/>
          <w:szCs w:val="24"/>
        </w:rPr>
      </w:pPr>
      <w:r>
        <w:rPr>
          <w:rFonts w:hint="eastAsia" w:cs="宋体"/>
          <w:szCs w:val="24"/>
        </w:rPr>
        <w:t>（1）宣布开标会纪律；</w:t>
      </w:r>
    </w:p>
    <w:p w14:paraId="275E175B">
      <w:pPr>
        <w:ind w:firstLine="398" w:firstLineChars="166"/>
        <w:jc w:val="both"/>
        <w:rPr>
          <w:rFonts w:hint="eastAsia" w:cs="宋体"/>
          <w:szCs w:val="24"/>
        </w:rPr>
      </w:pPr>
      <w:r>
        <w:rPr>
          <w:rFonts w:hint="eastAsia" w:cs="宋体"/>
          <w:szCs w:val="24"/>
        </w:rPr>
        <w:t>（2）介绍参加开标会的单位和人员；</w:t>
      </w:r>
    </w:p>
    <w:p w14:paraId="5FB2D75F">
      <w:pPr>
        <w:ind w:firstLine="398" w:firstLineChars="166"/>
        <w:jc w:val="both"/>
        <w:rPr>
          <w:rFonts w:hint="eastAsia" w:cs="宋体"/>
          <w:szCs w:val="24"/>
        </w:rPr>
      </w:pPr>
      <w:r>
        <w:rPr>
          <w:rFonts w:hint="eastAsia" w:cs="宋体"/>
          <w:szCs w:val="24"/>
        </w:rPr>
        <w:t>（3）发起投标文件解密。投标人应在“投标人须知前附表”规定的时间内使用加密投标文件的CA证书在系统中完成投标文件的解密；投标人不足3家的，不予解密；</w:t>
      </w:r>
    </w:p>
    <w:p w14:paraId="6AFD4521">
      <w:pPr>
        <w:ind w:firstLine="398" w:firstLineChars="166"/>
        <w:jc w:val="both"/>
        <w:rPr>
          <w:rFonts w:hint="eastAsia" w:cs="宋体"/>
          <w:szCs w:val="24"/>
        </w:rPr>
      </w:pPr>
      <w:r>
        <w:rPr>
          <w:rFonts w:hint="eastAsia" w:cs="宋体"/>
          <w:szCs w:val="24"/>
        </w:rPr>
        <w:t>（4）解密完成后，系统自动显示投标人名称、投标价格和招标文件规定的需要宣布的其他内容；</w:t>
      </w:r>
    </w:p>
    <w:p w14:paraId="1151F93A">
      <w:pPr>
        <w:ind w:left="564" w:leftChars="200" w:hanging="84" w:hangingChars="35"/>
        <w:jc w:val="both"/>
        <w:rPr>
          <w:rFonts w:hint="eastAsia" w:cs="宋体"/>
          <w:szCs w:val="24"/>
        </w:rPr>
      </w:pPr>
      <w:r>
        <w:rPr>
          <w:rFonts w:hint="eastAsia" w:cs="宋体"/>
          <w:szCs w:val="24"/>
        </w:rPr>
        <w:t>（5）系统自动生成开标记录表，供应商应在线对开标记录进行签署确认；</w:t>
      </w:r>
    </w:p>
    <w:p w14:paraId="10D2F1D3">
      <w:pPr>
        <w:ind w:left="564" w:leftChars="200" w:hanging="84" w:hangingChars="35"/>
        <w:jc w:val="both"/>
        <w:rPr>
          <w:rFonts w:hint="eastAsia" w:cs="宋体"/>
          <w:szCs w:val="24"/>
        </w:rPr>
      </w:pPr>
      <w:r>
        <w:rPr>
          <w:rFonts w:hint="eastAsia" w:cs="宋体"/>
          <w:szCs w:val="24"/>
        </w:rPr>
        <w:t>（6）开标会结束。</w:t>
      </w:r>
      <w:bookmarkStart w:id="225" w:name="_Toc140132784"/>
      <w:bookmarkStart w:id="226" w:name="_Toc163492853"/>
    </w:p>
    <w:p w14:paraId="0793F7A2">
      <w:pPr>
        <w:pStyle w:val="6"/>
        <w:keepNext w:val="0"/>
        <w:keepLines w:val="0"/>
        <w:spacing w:before="80" w:after="80" w:line="240" w:lineRule="auto"/>
        <w:ind w:left="420" w:hanging="420"/>
        <w:jc w:val="both"/>
        <w:rPr>
          <w:rFonts w:hint="eastAsia" w:ascii="宋体" w:hAnsi="宋体" w:cs="宋体"/>
          <w:sz w:val="24"/>
          <w:szCs w:val="24"/>
        </w:rPr>
      </w:pPr>
      <w:bookmarkStart w:id="227" w:name="_Toc829"/>
      <w:r>
        <w:rPr>
          <w:rFonts w:hint="eastAsia" w:ascii="宋体" w:hAnsi="宋体" w:cs="宋体"/>
          <w:sz w:val="24"/>
          <w:szCs w:val="24"/>
        </w:rPr>
        <w:t>26.开标疑义及回避情形</w:t>
      </w:r>
      <w:bookmarkEnd w:id="225"/>
      <w:bookmarkEnd w:id="226"/>
      <w:bookmarkEnd w:id="227"/>
    </w:p>
    <w:p w14:paraId="528FBC5F">
      <w:pPr>
        <w:pStyle w:val="39"/>
        <w:jc w:val="both"/>
        <w:rPr>
          <w:rFonts w:hint="eastAsia" w:cs="宋体"/>
          <w:szCs w:val="24"/>
        </w:rPr>
      </w:pPr>
      <w:r>
        <w:rPr>
          <w:rFonts w:hint="eastAsia" w:cs="宋体"/>
          <w:szCs w:val="24"/>
        </w:rPr>
        <w:t>2</w:t>
      </w:r>
      <w:r>
        <w:rPr>
          <w:rFonts w:hint="eastAsia" w:cs="宋体"/>
          <w:szCs w:val="24"/>
          <w:lang w:val="en-US"/>
        </w:rPr>
        <w:t>6</w:t>
      </w:r>
      <w:r>
        <w:rPr>
          <w:rFonts w:hint="eastAsia" w:cs="宋体"/>
          <w:szCs w:val="24"/>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6F3A5D07">
      <w:pPr>
        <w:pStyle w:val="39"/>
        <w:jc w:val="both"/>
        <w:rPr>
          <w:rFonts w:hint="eastAsia" w:cs="宋体"/>
          <w:szCs w:val="24"/>
        </w:rPr>
      </w:pPr>
      <w:r>
        <w:rPr>
          <w:rFonts w:hint="eastAsia" w:cs="宋体"/>
          <w:szCs w:val="24"/>
        </w:rPr>
        <w:t>2</w:t>
      </w:r>
      <w:r>
        <w:rPr>
          <w:rFonts w:hint="eastAsia" w:cs="宋体"/>
          <w:szCs w:val="24"/>
          <w:lang w:val="en-US"/>
        </w:rPr>
        <w:t>6</w:t>
      </w:r>
      <w:r>
        <w:rPr>
          <w:rFonts w:hint="eastAsia" w:cs="宋体"/>
          <w:szCs w:val="24"/>
        </w:rPr>
        <w:t>.2投标人未参加开标的，视同认可开标结果。</w:t>
      </w:r>
    </w:p>
    <w:p w14:paraId="2D0FD18D">
      <w:pPr>
        <w:pStyle w:val="5"/>
        <w:keepNext w:val="0"/>
        <w:keepLines w:val="0"/>
        <w:spacing w:before="120" w:after="120" w:line="240" w:lineRule="auto"/>
        <w:ind w:left="420" w:hanging="420"/>
        <w:jc w:val="both"/>
        <w:rPr>
          <w:rFonts w:hint="eastAsia" w:cs="宋体"/>
          <w:sz w:val="24"/>
          <w:szCs w:val="24"/>
        </w:rPr>
      </w:pPr>
      <w:bookmarkStart w:id="228" w:name="_Toc163492854"/>
      <w:bookmarkStart w:id="229" w:name="_Toc155185877"/>
      <w:bookmarkStart w:id="230" w:name="_Toc28318"/>
      <w:bookmarkStart w:id="231" w:name="_Toc140132785"/>
      <w:r>
        <w:rPr>
          <w:rFonts w:hint="eastAsia" w:cs="宋体"/>
          <w:sz w:val="24"/>
          <w:szCs w:val="24"/>
        </w:rPr>
        <w:t>（六）资格审查</w:t>
      </w:r>
      <w:bookmarkEnd w:id="228"/>
      <w:bookmarkEnd w:id="229"/>
      <w:bookmarkEnd w:id="230"/>
      <w:bookmarkEnd w:id="231"/>
    </w:p>
    <w:p w14:paraId="52E6D960">
      <w:pPr>
        <w:pStyle w:val="6"/>
        <w:keepNext w:val="0"/>
        <w:keepLines w:val="0"/>
        <w:spacing w:before="80" w:after="80" w:line="240" w:lineRule="auto"/>
        <w:ind w:left="420" w:hanging="420"/>
        <w:jc w:val="both"/>
        <w:rPr>
          <w:rFonts w:hint="eastAsia" w:ascii="宋体" w:hAnsi="宋体" w:cs="宋体"/>
          <w:sz w:val="24"/>
          <w:szCs w:val="24"/>
        </w:rPr>
      </w:pPr>
      <w:bookmarkStart w:id="232" w:name="_Toc163492855"/>
      <w:bookmarkStart w:id="233" w:name="_Toc8772"/>
      <w:r>
        <w:rPr>
          <w:rFonts w:hint="eastAsia" w:ascii="宋体" w:hAnsi="宋体" w:cs="宋体"/>
          <w:sz w:val="24"/>
          <w:szCs w:val="24"/>
        </w:rPr>
        <w:t>27.资格审查及审查主体</w:t>
      </w:r>
      <w:bookmarkEnd w:id="232"/>
      <w:bookmarkEnd w:id="233"/>
    </w:p>
    <w:p w14:paraId="7D2E18D4">
      <w:pPr>
        <w:pStyle w:val="39"/>
        <w:jc w:val="both"/>
        <w:rPr>
          <w:rFonts w:hint="eastAsia" w:cs="宋体"/>
          <w:szCs w:val="24"/>
        </w:rPr>
      </w:pPr>
      <w:bookmarkStart w:id="234" w:name="_Toc140132786"/>
      <w:r>
        <w:rPr>
          <w:rFonts w:hint="eastAsia" w:cs="宋体"/>
          <w:szCs w:val="24"/>
        </w:rPr>
        <w:t>2</w:t>
      </w:r>
      <w:r>
        <w:rPr>
          <w:rFonts w:hint="eastAsia" w:cs="宋体"/>
          <w:szCs w:val="24"/>
          <w:lang w:val="en-US"/>
        </w:rPr>
        <w:t>7</w:t>
      </w:r>
      <w:r>
        <w:rPr>
          <w:rFonts w:hint="eastAsia" w:cs="宋体"/>
          <w:szCs w:val="24"/>
        </w:rPr>
        <w:t>.1</w:t>
      </w:r>
      <w:bookmarkEnd w:id="234"/>
      <w:r>
        <w:rPr>
          <w:rFonts w:hint="eastAsia" w:cs="宋体"/>
          <w:szCs w:val="24"/>
        </w:rPr>
        <w:t>开标结束后，采购人或者采购代理机构应当依法对投标人的资格进行审查。</w:t>
      </w:r>
    </w:p>
    <w:p w14:paraId="6C7B7EDD">
      <w:pPr>
        <w:pStyle w:val="39"/>
        <w:jc w:val="both"/>
        <w:rPr>
          <w:rFonts w:hint="eastAsia" w:cs="宋体"/>
          <w:szCs w:val="24"/>
        </w:rPr>
      </w:pPr>
      <w:bookmarkStart w:id="235" w:name="_Toc140132787"/>
      <w:r>
        <w:rPr>
          <w:rFonts w:hint="eastAsia" w:cs="宋体"/>
          <w:szCs w:val="24"/>
        </w:rPr>
        <w:t>2</w:t>
      </w:r>
      <w:r>
        <w:rPr>
          <w:rFonts w:hint="eastAsia" w:cs="宋体"/>
          <w:szCs w:val="24"/>
          <w:lang w:val="en-US"/>
        </w:rPr>
        <w:t>7</w:t>
      </w:r>
      <w:r>
        <w:rPr>
          <w:rFonts w:hint="eastAsia" w:cs="宋体"/>
          <w:szCs w:val="24"/>
        </w:rPr>
        <w:t>.2资格审查按“第四章</w:t>
      </w:r>
      <w:r>
        <w:rPr>
          <w:rFonts w:hint="eastAsia" w:cs="宋体"/>
          <w:szCs w:val="24"/>
          <w:lang w:val="en-US"/>
        </w:rPr>
        <w:t xml:space="preserve"> </w:t>
      </w:r>
      <w:r>
        <w:rPr>
          <w:rFonts w:hint="eastAsia" w:cs="宋体"/>
          <w:szCs w:val="24"/>
        </w:rPr>
        <w:t>资格审查”的规定进行。</w:t>
      </w:r>
      <w:bookmarkEnd w:id="235"/>
    </w:p>
    <w:p w14:paraId="58BEDC3F">
      <w:pPr>
        <w:pStyle w:val="39"/>
        <w:jc w:val="both"/>
        <w:rPr>
          <w:rFonts w:hint="eastAsia" w:cs="宋体"/>
          <w:szCs w:val="24"/>
        </w:rPr>
      </w:pPr>
      <w:bookmarkStart w:id="236" w:name="_Toc140132788"/>
      <w:r>
        <w:rPr>
          <w:rFonts w:hint="eastAsia" w:cs="宋体"/>
          <w:szCs w:val="24"/>
        </w:rPr>
        <w:t>2</w:t>
      </w:r>
      <w:r>
        <w:rPr>
          <w:rFonts w:hint="eastAsia" w:cs="宋体"/>
          <w:szCs w:val="24"/>
          <w:lang w:val="en-US"/>
        </w:rPr>
        <w:t>7</w:t>
      </w:r>
      <w:r>
        <w:rPr>
          <w:rFonts w:hint="eastAsia" w:cs="宋体"/>
          <w:szCs w:val="24"/>
        </w:rPr>
        <w:t>.3资格审查结束后，应及时对资格审查结果进行复核，对资格审查错误进行及时纠正并记录。</w:t>
      </w:r>
      <w:bookmarkEnd w:id="236"/>
    </w:p>
    <w:p w14:paraId="2D142F62">
      <w:pPr>
        <w:pStyle w:val="39"/>
        <w:jc w:val="both"/>
        <w:rPr>
          <w:rFonts w:hint="eastAsia" w:cs="宋体"/>
          <w:szCs w:val="24"/>
          <w:lang w:val="en-US"/>
        </w:rPr>
      </w:pPr>
      <w:r>
        <w:rPr>
          <w:rFonts w:hint="eastAsia" w:cs="宋体"/>
          <w:szCs w:val="24"/>
          <w:lang w:val="en-US"/>
        </w:rPr>
        <w:t>27.4</w:t>
      </w:r>
      <w:r>
        <w:rPr>
          <w:rFonts w:hint="eastAsia" w:cs="宋体"/>
          <w:szCs w:val="24"/>
        </w:rPr>
        <w:t>资格审查合格投标人不足3家的，不得评标。</w:t>
      </w:r>
    </w:p>
    <w:p w14:paraId="7A6A9BEA">
      <w:pPr>
        <w:pStyle w:val="5"/>
        <w:keepNext w:val="0"/>
        <w:keepLines w:val="0"/>
        <w:spacing w:before="120" w:after="120" w:line="240" w:lineRule="auto"/>
        <w:ind w:left="420" w:hanging="420"/>
        <w:jc w:val="both"/>
        <w:rPr>
          <w:rFonts w:hint="eastAsia" w:cs="宋体"/>
          <w:sz w:val="24"/>
          <w:szCs w:val="24"/>
        </w:rPr>
      </w:pPr>
      <w:bookmarkStart w:id="237" w:name="_Toc140132789"/>
      <w:bookmarkStart w:id="238" w:name="_Toc155185878"/>
      <w:bookmarkStart w:id="239" w:name="_Toc163492856"/>
      <w:bookmarkStart w:id="240" w:name="_Toc28643"/>
      <w:r>
        <w:rPr>
          <w:rFonts w:hint="eastAsia" w:cs="宋体"/>
          <w:sz w:val="24"/>
          <w:szCs w:val="24"/>
        </w:rPr>
        <w:t>（七）评标</w:t>
      </w:r>
      <w:bookmarkEnd w:id="237"/>
      <w:bookmarkEnd w:id="238"/>
      <w:bookmarkEnd w:id="239"/>
      <w:bookmarkEnd w:id="240"/>
    </w:p>
    <w:p w14:paraId="66EC4DA0">
      <w:pPr>
        <w:pStyle w:val="6"/>
        <w:keepNext w:val="0"/>
        <w:keepLines w:val="0"/>
        <w:spacing w:before="80" w:after="80" w:line="240" w:lineRule="auto"/>
        <w:ind w:left="420" w:hanging="420"/>
        <w:jc w:val="both"/>
        <w:rPr>
          <w:rFonts w:hint="eastAsia" w:ascii="宋体" w:hAnsi="宋体" w:cs="宋体"/>
          <w:sz w:val="24"/>
          <w:szCs w:val="24"/>
        </w:rPr>
      </w:pPr>
      <w:bookmarkStart w:id="241" w:name="_Toc163492857"/>
      <w:bookmarkStart w:id="242" w:name="_Toc12158"/>
      <w:bookmarkStart w:id="243" w:name="_Toc140132790"/>
      <w:r>
        <w:rPr>
          <w:rFonts w:hint="eastAsia" w:ascii="宋体" w:hAnsi="宋体" w:cs="宋体"/>
          <w:sz w:val="24"/>
          <w:szCs w:val="24"/>
        </w:rPr>
        <w:t>28.评标委员会</w:t>
      </w:r>
      <w:bookmarkEnd w:id="241"/>
      <w:bookmarkEnd w:id="242"/>
      <w:bookmarkEnd w:id="243"/>
    </w:p>
    <w:p w14:paraId="126AE971">
      <w:pPr>
        <w:pStyle w:val="39"/>
        <w:jc w:val="both"/>
        <w:rPr>
          <w:rFonts w:hint="eastAsia" w:cs="宋体"/>
          <w:szCs w:val="24"/>
        </w:rPr>
      </w:pPr>
      <w:r>
        <w:rPr>
          <w:rFonts w:hint="eastAsia" w:cs="宋体"/>
          <w:szCs w:val="24"/>
        </w:rPr>
        <w:t>2</w:t>
      </w:r>
      <w:r>
        <w:rPr>
          <w:rFonts w:hint="eastAsia" w:cs="宋体"/>
          <w:szCs w:val="24"/>
          <w:lang w:val="en-US"/>
        </w:rPr>
        <w:t>8</w:t>
      </w:r>
      <w:r>
        <w:rPr>
          <w:rFonts w:hint="eastAsia" w:cs="宋体"/>
          <w:szCs w:val="24"/>
        </w:rPr>
        <w:t>.1 评标由采购人依法组建的评标委员会负责。评标委员会由采购人代表和评审专家组成，</w:t>
      </w:r>
      <w:r>
        <w:rPr>
          <w:rFonts w:hint="eastAsia" w:cs="宋体"/>
          <w:szCs w:val="24"/>
          <w:lang w:val="en-US"/>
        </w:rPr>
        <w:t>成员人数应当为5</w:t>
      </w:r>
      <w:r>
        <w:rPr>
          <w:rFonts w:hint="eastAsia" w:cs="宋体"/>
          <w:szCs w:val="24"/>
        </w:rPr>
        <w:t>人以上单数，其中</w:t>
      </w:r>
      <w:r>
        <w:rPr>
          <w:rFonts w:hint="eastAsia" w:cs="宋体"/>
          <w:szCs w:val="24"/>
          <w:lang w:val="en-US"/>
        </w:rPr>
        <w:t>评审</w:t>
      </w:r>
      <w:r>
        <w:rPr>
          <w:rFonts w:hint="eastAsia" w:cs="宋体"/>
          <w:szCs w:val="24"/>
        </w:rPr>
        <w:t>专家不</w:t>
      </w:r>
      <w:r>
        <w:rPr>
          <w:rFonts w:hint="eastAsia" w:cs="宋体"/>
          <w:szCs w:val="24"/>
          <w:lang w:val="en-US"/>
        </w:rPr>
        <w:t>得</w:t>
      </w:r>
      <w:r>
        <w:rPr>
          <w:rFonts w:hint="eastAsia" w:cs="宋体"/>
          <w:szCs w:val="24"/>
        </w:rPr>
        <w:t>少于</w:t>
      </w:r>
      <w:r>
        <w:rPr>
          <w:rFonts w:hint="eastAsia" w:cs="宋体"/>
          <w:szCs w:val="24"/>
          <w:lang w:val="en-US"/>
        </w:rPr>
        <w:t>成员总数的</w:t>
      </w:r>
      <w:r>
        <w:rPr>
          <w:rFonts w:hint="eastAsia" w:cs="宋体"/>
          <w:szCs w:val="24"/>
        </w:rPr>
        <w:t>三分之二。</w:t>
      </w:r>
      <w:r>
        <w:rPr>
          <w:rFonts w:hint="eastAsia" w:cs="宋体"/>
          <w:szCs w:val="24"/>
          <w:lang w:val="en-US"/>
        </w:rPr>
        <w:t>采购人或者采购代理机构应当从省级以上财政部门设立的政府采购评审专家库中，通过随机方式抽取评审专家。</w:t>
      </w:r>
    </w:p>
    <w:p w14:paraId="2A8A4043">
      <w:pPr>
        <w:pStyle w:val="39"/>
        <w:jc w:val="both"/>
        <w:rPr>
          <w:rFonts w:hint="eastAsia" w:cs="宋体"/>
          <w:szCs w:val="24"/>
        </w:rPr>
      </w:pPr>
      <w:r>
        <w:rPr>
          <w:rFonts w:hint="eastAsia" w:cs="宋体"/>
          <w:szCs w:val="24"/>
          <w:lang w:val="en-US"/>
        </w:rPr>
        <w:t>28.2 采购项目符合下列情形之一的，评标委员会成员人数应当为7人以上单数：</w:t>
      </w:r>
    </w:p>
    <w:p w14:paraId="14D00443">
      <w:pPr>
        <w:pStyle w:val="39"/>
        <w:jc w:val="both"/>
        <w:rPr>
          <w:rFonts w:hint="eastAsia" w:cs="宋体"/>
          <w:szCs w:val="24"/>
        </w:rPr>
      </w:pPr>
      <w:r>
        <w:rPr>
          <w:rFonts w:hint="eastAsia" w:cs="宋体"/>
          <w:szCs w:val="24"/>
          <w:lang w:val="en-US"/>
        </w:rPr>
        <w:t>（1）采购预算金额在1000万元以上；</w:t>
      </w:r>
    </w:p>
    <w:p w14:paraId="0B40417B">
      <w:pPr>
        <w:pStyle w:val="39"/>
        <w:jc w:val="both"/>
        <w:rPr>
          <w:rFonts w:hint="eastAsia" w:cs="宋体"/>
          <w:szCs w:val="24"/>
        </w:rPr>
      </w:pPr>
      <w:r>
        <w:rPr>
          <w:rFonts w:hint="eastAsia" w:cs="宋体"/>
          <w:szCs w:val="24"/>
          <w:lang w:val="en-US"/>
        </w:rPr>
        <w:t>（2）技术复杂；</w:t>
      </w:r>
    </w:p>
    <w:p w14:paraId="3B1CB592">
      <w:pPr>
        <w:pStyle w:val="39"/>
        <w:jc w:val="both"/>
        <w:rPr>
          <w:rFonts w:hint="eastAsia" w:cs="宋体"/>
          <w:szCs w:val="24"/>
        </w:rPr>
      </w:pPr>
      <w:r>
        <w:rPr>
          <w:rFonts w:hint="eastAsia" w:cs="宋体"/>
          <w:szCs w:val="24"/>
          <w:lang w:val="en-US"/>
        </w:rPr>
        <w:t>（3）社会影响较大。</w:t>
      </w:r>
    </w:p>
    <w:p w14:paraId="576E6A1E">
      <w:pPr>
        <w:pStyle w:val="39"/>
        <w:jc w:val="both"/>
        <w:rPr>
          <w:rFonts w:hint="eastAsia" w:cs="宋体"/>
          <w:szCs w:val="24"/>
        </w:rPr>
      </w:pPr>
      <w:r>
        <w:rPr>
          <w:rFonts w:hint="eastAsia" w:cs="宋体"/>
          <w:szCs w:val="24"/>
          <w:lang w:val="en-US"/>
        </w:rPr>
        <w:t>28.3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41E9F710">
      <w:pPr>
        <w:pStyle w:val="39"/>
        <w:jc w:val="both"/>
        <w:rPr>
          <w:rFonts w:hint="eastAsia" w:cs="宋体"/>
          <w:szCs w:val="24"/>
        </w:rPr>
      </w:pPr>
      <w:r>
        <w:rPr>
          <w:rFonts w:hint="eastAsia" w:cs="宋体"/>
          <w:szCs w:val="24"/>
          <w:lang w:val="en-US"/>
        </w:rPr>
        <w:t>28.4评标委员会成员名单在评标结果公告前应当保密。</w:t>
      </w:r>
    </w:p>
    <w:p w14:paraId="47B7E572">
      <w:pPr>
        <w:pStyle w:val="39"/>
        <w:jc w:val="both"/>
        <w:rPr>
          <w:rFonts w:hint="eastAsia" w:cs="宋体"/>
          <w:szCs w:val="24"/>
          <w:lang w:val="en-US"/>
        </w:rPr>
      </w:pPr>
      <w:r>
        <w:rPr>
          <w:rFonts w:hint="eastAsia" w:cs="宋体"/>
          <w:szCs w:val="24"/>
          <w:lang w:val="en-US"/>
        </w:rPr>
        <w:t>28.5评标中因评标委员会成员缺席、回避或者健康等特殊原因导致评标委员会组成不符合本办法规定的，采购人或者采购代理机构应当依法补足后继续评标。被更换的评标委员会成员所作出的评标意见无效。</w:t>
      </w:r>
    </w:p>
    <w:p w14:paraId="74EA2EF0">
      <w:pPr>
        <w:pStyle w:val="39"/>
        <w:jc w:val="both"/>
        <w:rPr>
          <w:rFonts w:hint="eastAsia" w:cs="宋体"/>
          <w:szCs w:val="24"/>
          <w:lang w:val="en-US"/>
        </w:rPr>
      </w:pPr>
      <w:r>
        <w:rPr>
          <w:rFonts w:hint="eastAsia" w:cs="宋体"/>
          <w:szCs w:val="24"/>
          <w:lang w:val="en-US"/>
        </w:rPr>
        <w:t>28.6无法及时补足评标委员会成员的，采购人或者采购代理机构应当停止评标活动，封存所有投标文件和开标、评标资料，依法重新组建评标委员会进行评标。原评标委员会所作出的评标意见无效。</w:t>
      </w:r>
    </w:p>
    <w:p w14:paraId="571795F0">
      <w:pPr>
        <w:pStyle w:val="39"/>
        <w:jc w:val="both"/>
        <w:rPr>
          <w:rFonts w:hint="eastAsia" w:cs="宋体"/>
          <w:szCs w:val="24"/>
        </w:rPr>
      </w:pPr>
      <w:r>
        <w:rPr>
          <w:rFonts w:hint="eastAsia" w:cs="宋体"/>
          <w:szCs w:val="24"/>
        </w:rPr>
        <w:t>2</w:t>
      </w:r>
      <w:r>
        <w:rPr>
          <w:rFonts w:hint="eastAsia" w:cs="宋体"/>
          <w:szCs w:val="24"/>
          <w:lang w:val="en-US"/>
        </w:rPr>
        <w:t>8</w:t>
      </w:r>
      <w:r>
        <w:rPr>
          <w:rFonts w:hint="eastAsia" w:cs="宋体"/>
          <w:szCs w:val="24"/>
        </w:rPr>
        <w:t>.</w:t>
      </w:r>
      <w:r>
        <w:rPr>
          <w:rFonts w:hint="eastAsia" w:cs="宋体"/>
          <w:szCs w:val="24"/>
          <w:lang w:val="en-US"/>
        </w:rPr>
        <w:t>7</w:t>
      </w:r>
      <w:r>
        <w:rPr>
          <w:rFonts w:hint="eastAsia" w:cs="宋体"/>
          <w:szCs w:val="24"/>
        </w:rPr>
        <w:t xml:space="preserve"> 评标委员会成员有下列情形之一的，应当回避：</w:t>
      </w:r>
    </w:p>
    <w:p w14:paraId="3EDFEFA1">
      <w:pPr>
        <w:pStyle w:val="39"/>
        <w:jc w:val="both"/>
        <w:rPr>
          <w:rFonts w:hint="eastAsia" w:cs="宋体"/>
          <w:szCs w:val="24"/>
        </w:rPr>
      </w:pPr>
      <w:r>
        <w:rPr>
          <w:rFonts w:hint="eastAsia" w:cs="宋体"/>
          <w:szCs w:val="24"/>
        </w:rPr>
        <w:t>（1）参加采购活动前3年内与投标人存在劳动关系；</w:t>
      </w:r>
    </w:p>
    <w:p w14:paraId="2FF8CC5B">
      <w:pPr>
        <w:pStyle w:val="39"/>
        <w:jc w:val="both"/>
        <w:rPr>
          <w:rFonts w:hint="eastAsia" w:cs="宋体"/>
          <w:szCs w:val="24"/>
        </w:rPr>
      </w:pPr>
      <w:r>
        <w:rPr>
          <w:rFonts w:hint="eastAsia" w:cs="宋体"/>
          <w:szCs w:val="24"/>
        </w:rPr>
        <w:t>（2）参加采购活动前3年内担任投标人的董事、监事；</w:t>
      </w:r>
    </w:p>
    <w:p w14:paraId="76C482DE">
      <w:pPr>
        <w:pStyle w:val="39"/>
        <w:jc w:val="both"/>
        <w:rPr>
          <w:rFonts w:hint="eastAsia" w:cs="宋体"/>
          <w:szCs w:val="24"/>
        </w:rPr>
      </w:pPr>
      <w:r>
        <w:rPr>
          <w:rFonts w:hint="eastAsia" w:cs="宋体"/>
          <w:szCs w:val="24"/>
        </w:rPr>
        <w:t>（3）参加采购活动前3年内是投标人的控股股东或实际控制人；</w:t>
      </w:r>
    </w:p>
    <w:p w14:paraId="6BDD673F">
      <w:pPr>
        <w:pStyle w:val="39"/>
        <w:jc w:val="both"/>
        <w:rPr>
          <w:rFonts w:hint="eastAsia" w:cs="宋体"/>
          <w:szCs w:val="24"/>
        </w:rPr>
      </w:pPr>
      <w:r>
        <w:rPr>
          <w:rFonts w:hint="eastAsia" w:cs="宋体"/>
          <w:szCs w:val="24"/>
        </w:rPr>
        <w:t>（4）与投标人的法定代表人或者负责人有夫妻、直系血亲、三代以内旁系血亲或者近姻亲关系；</w:t>
      </w:r>
    </w:p>
    <w:p w14:paraId="27CECB9B">
      <w:pPr>
        <w:pStyle w:val="39"/>
        <w:jc w:val="both"/>
        <w:rPr>
          <w:rFonts w:hint="eastAsia" w:cs="宋体"/>
          <w:szCs w:val="24"/>
        </w:rPr>
      </w:pPr>
      <w:r>
        <w:rPr>
          <w:rFonts w:hint="eastAsia" w:cs="宋体"/>
          <w:szCs w:val="24"/>
        </w:rPr>
        <w:t>（5）与投标人有其他可能影响采购活动公平、公正进行的关系。</w:t>
      </w:r>
    </w:p>
    <w:p w14:paraId="4365CC8E">
      <w:pPr>
        <w:pStyle w:val="6"/>
        <w:keepNext w:val="0"/>
        <w:keepLines w:val="0"/>
        <w:spacing w:before="80" w:after="80" w:line="240" w:lineRule="auto"/>
        <w:ind w:left="420" w:hanging="420"/>
        <w:jc w:val="both"/>
        <w:rPr>
          <w:rFonts w:hint="eastAsia" w:ascii="宋体" w:hAnsi="宋体" w:cs="宋体"/>
          <w:sz w:val="24"/>
          <w:szCs w:val="24"/>
        </w:rPr>
      </w:pPr>
      <w:bookmarkStart w:id="244" w:name="_Toc4280"/>
      <w:bookmarkStart w:id="245" w:name="_Toc140132791"/>
      <w:bookmarkStart w:id="246" w:name="_Toc163492858"/>
      <w:r>
        <w:rPr>
          <w:rFonts w:hint="eastAsia" w:ascii="宋体" w:hAnsi="宋体" w:cs="宋体"/>
          <w:sz w:val="24"/>
          <w:szCs w:val="24"/>
        </w:rPr>
        <w:t>29.评标</w:t>
      </w:r>
      <w:bookmarkEnd w:id="244"/>
      <w:bookmarkEnd w:id="245"/>
      <w:bookmarkEnd w:id="246"/>
    </w:p>
    <w:p w14:paraId="336535DC">
      <w:pPr>
        <w:pStyle w:val="39"/>
        <w:jc w:val="both"/>
        <w:rPr>
          <w:rFonts w:hint="eastAsia" w:cs="宋体"/>
          <w:szCs w:val="24"/>
        </w:rPr>
      </w:pPr>
      <w:r>
        <w:rPr>
          <w:rFonts w:hint="eastAsia" w:cs="宋体"/>
          <w:szCs w:val="24"/>
          <w:lang w:val="en-US"/>
        </w:rPr>
        <w:t>29</w:t>
      </w:r>
      <w:r>
        <w:rPr>
          <w:rFonts w:hint="eastAsia" w:cs="宋体"/>
          <w:szCs w:val="24"/>
        </w:rPr>
        <w:t>.1</w:t>
      </w:r>
      <w:r>
        <w:rPr>
          <w:rFonts w:hint="eastAsia" w:cs="宋体"/>
          <w:szCs w:val="24"/>
          <w:lang w:val="en-US"/>
        </w:rPr>
        <w:t xml:space="preserve"> 评标方法分为综合评分法和</w:t>
      </w:r>
      <w:r>
        <w:rPr>
          <w:rFonts w:hint="eastAsia" w:cs="宋体"/>
          <w:szCs w:val="24"/>
        </w:rPr>
        <w:t>最低评标价法，本项目评标</w:t>
      </w:r>
      <w:r>
        <w:rPr>
          <w:rFonts w:hint="eastAsia" w:cs="宋体"/>
          <w:szCs w:val="24"/>
          <w:lang w:val="en-US"/>
        </w:rPr>
        <w:t>方法详见</w:t>
      </w:r>
      <w:r>
        <w:rPr>
          <w:rFonts w:hint="eastAsia" w:cs="宋体"/>
          <w:szCs w:val="24"/>
        </w:rPr>
        <w:t>“投标人须知前附表”。</w:t>
      </w:r>
    </w:p>
    <w:p w14:paraId="4CCFFD55">
      <w:pPr>
        <w:pStyle w:val="39"/>
        <w:jc w:val="both"/>
        <w:rPr>
          <w:rFonts w:hint="eastAsia" w:cs="宋体"/>
          <w:szCs w:val="24"/>
        </w:rPr>
      </w:pPr>
      <w:r>
        <w:rPr>
          <w:rFonts w:hint="eastAsia" w:cs="宋体"/>
          <w:szCs w:val="24"/>
        </w:rPr>
        <w:t>2</w:t>
      </w:r>
      <w:r>
        <w:rPr>
          <w:rFonts w:hint="eastAsia" w:cs="宋体"/>
          <w:szCs w:val="24"/>
          <w:lang w:val="en-US"/>
        </w:rPr>
        <w:t>9.1.1</w:t>
      </w:r>
      <w:r>
        <w:rPr>
          <w:rFonts w:hint="eastAsia" w:cs="宋体"/>
          <w:szCs w:val="24"/>
        </w:rPr>
        <w:t>综合评分法，是指投标文件满足招标文件全部实质性要求，且按照评审因素的量化指标评审得分最高的投标人为中标候选人的评标方法。</w:t>
      </w:r>
    </w:p>
    <w:p w14:paraId="6236797F">
      <w:pPr>
        <w:pStyle w:val="39"/>
        <w:jc w:val="both"/>
        <w:rPr>
          <w:rFonts w:hint="eastAsia" w:cs="宋体"/>
          <w:szCs w:val="24"/>
          <w:lang w:val="en-US"/>
        </w:rPr>
      </w:pPr>
      <w:r>
        <w:rPr>
          <w:rFonts w:hint="eastAsia" w:cs="宋体"/>
          <w:szCs w:val="24"/>
          <w:lang w:val="en-US"/>
        </w:rPr>
        <w:t>29.1.2.</w:t>
      </w:r>
      <w:r>
        <w:rPr>
          <w:rFonts w:hint="eastAsia" w:cs="宋体"/>
          <w:szCs w:val="24"/>
        </w:rPr>
        <w:t>最低评标价法，是指投标文件满足招标文件全部实质性要求，且投标报价最低的投标人为中标候选人的评标方法。</w:t>
      </w:r>
    </w:p>
    <w:p w14:paraId="5EDFF240">
      <w:pPr>
        <w:pStyle w:val="39"/>
        <w:jc w:val="both"/>
        <w:rPr>
          <w:rFonts w:hint="eastAsia" w:cs="宋体"/>
          <w:szCs w:val="24"/>
        </w:rPr>
      </w:pPr>
      <w:r>
        <w:rPr>
          <w:rFonts w:hint="eastAsia" w:cs="宋体"/>
          <w:szCs w:val="24"/>
          <w:lang w:val="en-US"/>
        </w:rPr>
        <w:t>29</w:t>
      </w:r>
      <w:r>
        <w:rPr>
          <w:rFonts w:hint="eastAsia" w:cs="宋体"/>
          <w:szCs w:val="24"/>
        </w:rPr>
        <w:t>.</w:t>
      </w:r>
      <w:r>
        <w:rPr>
          <w:rFonts w:hint="eastAsia" w:cs="宋体"/>
          <w:szCs w:val="24"/>
          <w:lang w:val="en-US"/>
        </w:rPr>
        <w:t xml:space="preserve">2 </w:t>
      </w:r>
      <w:r>
        <w:rPr>
          <w:rFonts w:hint="eastAsia" w:cs="宋体"/>
          <w:szCs w:val="24"/>
        </w:rPr>
        <w:t>评标委员会按照“第五章</w:t>
      </w:r>
      <w:r>
        <w:rPr>
          <w:rFonts w:hint="eastAsia" w:cs="宋体"/>
          <w:szCs w:val="24"/>
          <w:lang w:val="en-US"/>
        </w:rPr>
        <w:t xml:space="preserve"> </w:t>
      </w:r>
      <w:r>
        <w:rPr>
          <w:rFonts w:hint="eastAsia" w:cs="宋体"/>
          <w:szCs w:val="24"/>
        </w:rPr>
        <w:t>评标</w:t>
      </w:r>
      <w:r>
        <w:rPr>
          <w:rFonts w:hint="eastAsia" w:cs="宋体"/>
          <w:szCs w:val="24"/>
          <w:lang w:val="en-US"/>
        </w:rPr>
        <w:t>方</w:t>
      </w:r>
      <w:r>
        <w:rPr>
          <w:rFonts w:hint="eastAsia" w:cs="宋体"/>
          <w:szCs w:val="24"/>
        </w:rPr>
        <w:t>法及标准”</w:t>
      </w:r>
      <w:r>
        <w:rPr>
          <w:rFonts w:hint="eastAsia" w:cs="宋体"/>
          <w:szCs w:val="24"/>
          <w:lang w:val="en-US"/>
        </w:rPr>
        <w:t>的</w:t>
      </w:r>
      <w:r>
        <w:rPr>
          <w:rFonts w:hint="eastAsia" w:cs="宋体"/>
          <w:szCs w:val="24"/>
        </w:rPr>
        <w:t>规定对投标文件进行评审。“第五章</w:t>
      </w:r>
      <w:r>
        <w:rPr>
          <w:rFonts w:hint="eastAsia" w:cs="宋体"/>
          <w:szCs w:val="24"/>
          <w:lang w:val="en-US"/>
        </w:rPr>
        <w:t xml:space="preserve"> </w:t>
      </w:r>
      <w:r>
        <w:rPr>
          <w:rFonts w:hint="eastAsia" w:cs="宋体"/>
          <w:szCs w:val="24"/>
        </w:rPr>
        <w:t>评标</w:t>
      </w:r>
      <w:r>
        <w:rPr>
          <w:rFonts w:hint="eastAsia" w:cs="宋体"/>
          <w:szCs w:val="24"/>
          <w:lang w:val="en-US"/>
        </w:rPr>
        <w:t>方</w:t>
      </w:r>
      <w:r>
        <w:rPr>
          <w:rFonts w:hint="eastAsia" w:cs="宋体"/>
          <w:szCs w:val="24"/>
        </w:rPr>
        <w:t>法及标准”没有规定的方法、评审因素和标准，不作为评标依据。</w:t>
      </w:r>
    </w:p>
    <w:p w14:paraId="505D576B">
      <w:pPr>
        <w:pStyle w:val="39"/>
        <w:jc w:val="both"/>
        <w:rPr>
          <w:rFonts w:hint="eastAsia" w:cs="宋体"/>
          <w:szCs w:val="24"/>
        </w:rPr>
      </w:pPr>
      <w:r>
        <w:rPr>
          <w:rFonts w:hint="eastAsia" w:cs="宋体"/>
          <w:szCs w:val="24"/>
          <w:lang w:val="en-US"/>
        </w:rPr>
        <w:t>29</w:t>
      </w:r>
      <w:r>
        <w:rPr>
          <w:rFonts w:hint="eastAsia" w:cs="宋体"/>
          <w:szCs w:val="24"/>
        </w:rPr>
        <w:t>.</w:t>
      </w:r>
      <w:r>
        <w:rPr>
          <w:rFonts w:hint="eastAsia" w:cs="宋体"/>
          <w:szCs w:val="24"/>
          <w:lang w:val="en-US"/>
        </w:rPr>
        <w:t xml:space="preserve">3 </w:t>
      </w:r>
      <w:r>
        <w:rPr>
          <w:rFonts w:hint="eastAsia" w:cs="宋体"/>
          <w:szCs w:val="24"/>
        </w:rPr>
        <w:t>评标委员会按“投标人须知前附表”规定的中标候选人数量在评标报告中向采购人推荐中标候选人。</w:t>
      </w:r>
    </w:p>
    <w:p w14:paraId="27EF795E">
      <w:pPr>
        <w:pStyle w:val="39"/>
        <w:jc w:val="both"/>
        <w:rPr>
          <w:rFonts w:hint="eastAsia" w:cs="宋体"/>
          <w:szCs w:val="24"/>
          <w:lang w:val="en-US"/>
        </w:rPr>
      </w:pPr>
      <w:r>
        <w:rPr>
          <w:rFonts w:hint="eastAsia" w:cs="宋体"/>
          <w:szCs w:val="24"/>
          <w:lang w:val="en-US"/>
        </w:rPr>
        <w:t>29.4 开标之后，直到签订合同止，凡是属于审查、澄清、评价和比较投标的有关资料以及定标意向等，均不得向投标人或者其他与评标无关的人员透露。</w:t>
      </w:r>
    </w:p>
    <w:p w14:paraId="290FC84B">
      <w:pPr>
        <w:pStyle w:val="39"/>
        <w:jc w:val="both"/>
        <w:rPr>
          <w:rFonts w:hint="eastAsia" w:cs="宋体"/>
          <w:szCs w:val="24"/>
          <w:lang w:val="en-US"/>
        </w:rPr>
      </w:pPr>
      <w:r>
        <w:rPr>
          <w:rFonts w:hint="eastAsia" w:cs="宋体"/>
          <w:szCs w:val="24"/>
          <w:lang w:val="en-US"/>
        </w:rPr>
        <w:t>29.5 在确定中标人之前，投标人试图在投标文件审查、澄清、比较和评标时对评标委员会、采购人和采购代理机构施加任何影响都可能导致其</w:t>
      </w:r>
      <w:r>
        <w:rPr>
          <w:rFonts w:hint="eastAsia" w:cs="宋体"/>
          <w:b/>
          <w:bCs/>
          <w:szCs w:val="24"/>
          <w:lang w:val="en-US"/>
        </w:rPr>
        <w:t>投标无效</w:t>
      </w:r>
      <w:r>
        <w:rPr>
          <w:rFonts w:hint="eastAsia" w:cs="宋体"/>
          <w:szCs w:val="24"/>
          <w:lang w:val="en-US"/>
        </w:rPr>
        <w:t>。</w:t>
      </w:r>
    </w:p>
    <w:p w14:paraId="5D83A11D">
      <w:pPr>
        <w:pStyle w:val="39"/>
        <w:jc w:val="both"/>
        <w:rPr>
          <w:rFonts w:hint="eastAsia" w:cs="宋体"/>
          <w:szCs w:val="24"/>
          <w:lang w:val="en-US"/>
        </w:rPr>
      </w:pPr>
      <w:r>
        <w:rPr>
          <w:rFonts w:hint="eastAsia" w:cs="宋体"/>
          <w:szCs w:val="24"/>
          <w:lang w:val="en-US"/>
        </w:rPr>
        <w:t>29.6 电子招投标的应急措施</w:t>
      </w:r>
    </w:p>
    <w:p w14:paraId="1DC8B466">
      <w:pPr>
        <w:pStyle w:val="39"/>
        <w:jc w:val="both"/>
        <w:rPr>
          <w:rFonts w:hint="eastAsia" w:cs="宋体"/>
          <w:szCs w:val="24"/>
          <w:lang w:val="en-US"/>
        </w:rPr>
      </w:pPr>
      <w:r>
        <w:rPr>
          <w:rFonts w:hint="eastAsia" w:cs="宋体"/>
          <w:szCs w:val="24"/>
          <w:lang w:val="en-US"/>
        </w:rPr>
        <w:t>29.6.1电子开标、评标如出现下列原因，导致系统无法正常运行或无法正常评标时，应采取应急措施。</w:t>
      </w:r>
    </w:p>
    <w:p w14:paraId="37BD5EE2">
      <w:pPr>
        <w:pStyle w:val="39"/>
        <w:jc w:val="both"/>
        <w:rPr>
          <w:rFonts w:hint="eastAsia" w:cs="宋体"/>
          <w:szCs w:val="24"/>
          <w:lang w:val="en-US"/>
        </w:rPr>
      </w:pPr>
      <w:r>
        <w:rPr>
          <w:rFonts w:hint="eastAsia" w:cs="宋体"/>
          <w:szCs w:val="24"/>
          <w:lang w:val="en-US"/>
        </w:rPr>
        <w:t>（1）系统服务器发生故障，无法访问或无法使用系统；</w:t>
      </w:r>
    </w:p>
    <w:p w14:paraId="76EDD5EC">
      <w:pPr>
        <w:pStyle w:val="39"/>
        <w:jc w:val="both"/>
        <w:rPr>
          <w:rFonts w:hint="eastAsia" w:cs="宋体"/>
          <w:szCs w:val="24"/>
          <w:lang w:val="en-US"/>
        </w:rPr>
      </w:pPr>
      <w:r>
        <w:rPr>
          <w:rFonts w:hint="eastAsia" w:cs="宋体"/>
          <w:szCs w:val="24"/>
          <w:lang w:val="en-US"/>
        </w:rPr>
        <w:t>（2）系统的软件或数据库出现错误，不能进行正常操作；</w:t>
      </w:r>
    </w:p>
    <w:p w14:paraId="1D34A610">
      <w:pPr>
        <w:pStyle w:val="39"/>
        <w:jc w:val="both"/>
        <w:rPr>
          <w:rFonts w:hint="eastAsia" w:cs="宋体"/>
          <w:szCs w:val="24"/>
          <w:lang w:val="en-US"/>
        </w:rPr>
      </w:pPr>
      <w:r>
        <w:rPr>
          <w:rFonts w:hint="eastAsia" w:cs="宋体"/>
          <w:szCs w:val="24"/>
          <w:lang w:val="en-US"/>
        </w:rPr>
        <w:t>（3）系统发现有安全漏洞，有潜在的泄密危险；</w:t>
      </w:r>
    </w:p>
    <w:p w14:paraId="07D379E0">
      <w:pPr>
        <w:pStyle w:val="39"/>
        <w:jc w:val="both"/>
        <w:rPr>
          <w:rFonts w:hint="eastAsia" w:cs="宋体"/>
          <w:szCs w:val="24"/>
          <w:lang w:val="en-US"/>
        </w:rPr>
      </w:pPr>
      <w:r>
        <w:rPr>
          <w:rFonts w:hint="eastAsia" w:cs="宋体"/>
          <w:szCs w:val="24"/>
          <w:lang w:val="en-US"/>
        </w:rPr>
        <w:t>（4）病毒发作或受到外来病毒的攻击；</w:t>
      </w:r>
    </w:p>
    <w:p w14:paraId="56F7337B">
      <w:pPr>
        <w:pStyle w:val="39"/>
        <w:jc w:val="both"/>
        <w:rPr>
          <w:rFonts w:hint="eastAsia" w:cs="宋体"/>
          <w:szCs w:val="24"/>
          <w:lang w:val="en-US"/>
        </w:rPr>
      </w:pPr>
      <w:r>
        <w:rPr>
          <w:rFonts w:hint="eastAsia" w:cs="宋体"/>
          <w:szCs w:val="24"/>
          <w:lang w:val="en-US"/>
        </w:rPr>
        <w:t>（5）出现其他不可抗拒的客观原因造成开评标系统无法正常使用。</w:t>
      </w:r>
    </w:p>
    <w:p w14:paraId="647EDCDC">
      <w:pPr>
        <w:pStyle w:val="39"/>
        <w:jc w:val="both"/>
        <w:rPr>
          <w:rFonts w:hint="eastAsia" w:cs="宋体"/>
          <w:szCs w:val="24"/>
          <w:lang w:val="en-US"/>
        </w:rPr>
      </w:pPr>
      <w:r>
        <w:rPr>
          <w:rFonts w:hint="eastAsia" w:cs="宋体"/>
          <w:szCs w:val="24"/>
          <w:lang w:val="en-US"/>
        </w:rPr>
        <w:t>出现上述情况时，应对未开标的暂停开标。已在系统内开标、评标的立即停止。采取应急措施时，必须对原有资料及信息作出妥善保密处理。</w:t>
      </w:r>
    </w:p>
    <w:p w14:paraId="71EBC254">
      <w:pPr>
        <w:pStyle w:val="39"/>
        <w:jc w:val="both"/>
        <w:rPr>
          <w:rFonts w:hint="eastAsia" w:cs="宋体"/>
          <w:szCs w:val="24"/>
          <w:lang w:val="en-US"/>
        </w:rPr>
      </w:pPr>
      <w:r>
        <w:rPr>
          <w:rFonts w:hint="eastAsia" w:cs="宋体"/>
          <w:szCs w:val="24"/>
          <w:lang w:val="en-US"/>
        </w:rPr>
        <w:t>29.6.2因系统原因导致投标人均无法解密电子投标文件时，采购代理机构可在开标现场直接导入投标人在投标截止时间前递交的未加密的电子投标文件进行开标、评标。</w:t>
      </w:r>
    </w:p>
    <w:p w14:paraId="7C8B0B9F">
      <w:pPr>
        <w:pStyle w:val="39"/>
        <w:jc w:val="both"/>
        <w:rPr>
          <w:rFonts w:hint="eastAsia" w:cs="宋体"/>
          <w:szCs w:val="24"/>
          <w:lang w:val="en-US"/>
        </w:rPr>
      </w:pPr>
      <w:r>
        <w:rPr>
          <w:rFonts w:hint="eastAsia" w:cs="宋体"/>
          <w:szCs w:val="24"/>
          <w:lang w:val="en-US"/>
        </w:rPr>
        <w:t>29.7 投标人瑕疵滞后发现的处理规则</w:t>
      </w:r>
    </w:p>
    <w:p w14:paraId="7D49BD62">
      <w:pPr>
        <w:pStyle w:val="39"/>
        <w:jc w:val="both"/>
        <w:rPr>
          <w:rFonts w:hint="eastAsia" w:cs="宋体"/>
          <w:szCs w:val="24"/>
          <w:lang w:val="en-US"/>
        </w:rPr>
      </w:pPr>
      <w:r>
        <w:rPr>
          <w:rFonts w:hint="eastAsia" w:cs="宋体"/>
          <w:szCs w:val="24"/>
          <w:lang w:val="en-US"/>
        </w:rPr>
        <w:t>29.7.1无论基于何种原因，各项本应作</w:t>
      </w:r>
      <w:r>
        <w:rPr>
          <w:rFonts w:hint="eastAsia" w:cs="宋体"/>
          <w:b/>
          <w:bCs/>
          <w:szCs w:val="24"/>
          <w:lang w:val="en-US"/>
        </w:rPr>
        <w:t>无效投标</w:t>
      </w:r>
      <w:r>
        <w:rPr>
          <w:rFonts w:hint="eastAsia" w:cs="宋体"/>
          <w:szCs w:val="24"/>
          <w:lang w:val="en-US"/>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10F344BA">
      <w:pPr>
        <w:pStyle w:val="5"/>
        <w:keepNext w:val="0"/>
        <w:keepLines w:val="0"/>
        <w:spacing w:before="120" w:after="120" w:line="240" w:lineRule="auto"/>
        <w:ind w:left="420" w:hanging="420"/>
        <w:jc w:val="both"/>
        <w:rPr>
          <w:rFonts w:hint="eastAsia" w:cs="宋体"/>
          <w:sz w:val="24"/>
          <w:szCs w:val="24"/>
        </w:rPr>
      </w:pPr>
      <w:bookmarkStart w:id="247" w:name="_Toc140132792"/>
      <w:bookmarkStart w:id="248" w:name="_Toc155185879"/>
      <w:bookmarkStart w:id="249" w:name="_Toc163492859"/>
      <w:bookmarkStart w:id="250" w:name="_Toc157"/>
      <w:r>
        <w:rPr>
          <w:rFonts w:hint="eastAsia" w:cs="宋体"/>
          <w:sz w:val="24"/>
          <w:szCs w:val="24"/>
        </w:rPr>
        <w:t>（八）中标</w:t>
      </w:r>
      <w:bookmarkEnd w:id="247"/>
      <w:bookmarkEnd w:id="248"/>
      <w:bookmarkEnd w:id="249"/>
      <w:bookmarkEnd w:id="250"/>
    </w:p>
    <w:p w14:paraId="5FA04B3E">
      <w:pPr>
        <w:pStyle w:val="6"/>
        <w:keepNext w:val="0"/>
        <w:keepLines w:val="0"/>
        <w:spacing w:before="80" w:after="80" w:line="240" w:lineRule="auto"/>
        <w:ind w:left="420" w:hanging="420"/>
        <w:jc w:val="both"/>
        <w:rPr>
          <w:rFonts w:hint="eastAsia" w:ascii="宋体" w:hAnsi="宋体" w:cs="宋体"/>
          <w:sz w:val="24"/>
          <w:szCs w:val="24"/>
        </w:rPr>
      </w:pPr>
      <w:bookmarkStart w:id="251" w:name="_Toc140132793"/>
      <w:bookmarkStart w:id="252" w:name="_Toc23329"/>
      <w:bookmarkStart w:id="253" w:name="_Toc163492860"/>
      <w:r>
        <w:rPr>
          <w:rFonts w:hint="eastAsia" w:ascii="宋体" w:hAnsi="宋体" w:cs="宋体"/>
          <w:sz w:val="24"/>
          <w:szCs w:val="24"/>
        </w:rPr>
        <w:t>30.确定中标人</w:t>
      </w:r>
      <w:bookmarkEnd w:id="251"/>
      <w:bookmarkEnd w:id="252"/>
      <w:bookmarkEnd w:id="253"/>
    </w:p>
    <w:p w14:paraId="237361CB">
      <w:pPr>
        <w:ind w:firstLine="480" w:firstLineChars="200"/>
        <w:jc w:val="both"/>
        <w:rPr>
          <w:rFonts w:hint="eastAsia" w:cs="宋体"/>
          <w:kern w:val="0"/>
          <w:szCs w:val="24"/>
          <w:lang w:bidi="ar"/>
        </w:rPr>
      </w:pPr>
      <w:r>
        <w:rPr>
          <w:rFonts w:hint="eastAsia" w:cs="宋体"/>
          <w:szCs w:val="24"/>
        </w:rPr>
        <w:t>30.1</w:t>
      </w:r>
      <w:r>
        <w:rPr>
          <w:rFonts w:hint="eastAsia" w:cs="宋体"/>
          <w:kern w:val="0"/>
          <w:szCs w:val="24"/>
          <w:lang w:bidi="ar"/>
        </w:rPr>
        <w:t>采购人将在评标报告确定的中标候选人名单中按顺序确定中标人，中标候选人并列的，按照</w:t>
      </w:r>
      <w:r>
        <w:rPr>
          <w:rFonts w:hint="eastAsia" w:cs="宋体"/>
          <w:szCs w:val="24"/>
        </w:rPr>
        <w:t>“投标人须知前附表”</w:t>
      </w:r>
      <w:r>
        <w:rPr>
          <w:rFonts w:hint="eastAsia" w:cs="宋体"/>
          <w:kern w:val="0"/>
          <w:szCs w:val="24"/>
          <w:lang w:bidi="ar"/>
        </w:rPr>
        <w:t>确定中标人；招标文件未规定的，采取随机抽取的方式确定。采购人是否委托评标委员会直接确定中标人，见</w:t>
      </w:r>
      <w:r>
        <w:rPr>
          <w:rFonts w:hint="eastAsia" w:cs="宋体"/>
          <w:szCs w:val="24"/>
        </w:rPr>
        <w:t>“投标人须知前附表”</w:t>
      </w:r>
      <w:r>
        <w:rPr>
          <w:rFonts w:hint="eastAsia" w:cs="宋体"/>
          <w:kern w:val="0"/>
          <w:szCs w:val="24"/>
          <w:lang w:bidi="ar"/>
        </w:rPr>
        <w:t>。</w:t>
      </w:r>
    </w:p>
    <w:p w14:paraId="1C7B5B2D">
      <w:pPr>
        <w:pStyle w:val="6"/>
        <w:keepNext w:val="0"/>
        <w:keepLines w:val="0"/>
        <w:spacing w:before="80" w:after="80" w:line="240" w:lineRule="auto"/>
        <w:ind w:left="420" w:hanging="420"/>
        <w:jc w:val="both"/>
        <w:rPr>
          <w:rFonts w:hint="eastAsia" w:ascii="宋体" w:hAnsi="宋体" w:cs="宋体"/>
          <w:sz w:val="24"/>
          <w:szCs w:val="24"/>
        </w:rPr>
      </w:pPr>
      <w:bookmarkStart w:id="254" w:name="_Toc140132794"/>
      <w:bookmarkStart w:id="255" w:name="_Toc163492861"/>
      <w:bookmarkStart w:id="256" w:name="_Toc24110"/>
      <w:r>
        <w:rPr>
          <w:rFonts w:hint="eastAsia" w:ascii="宋体" w:hAnsi="宋体" w:cs="宋体"/>
          <w:sz w:val="24"/>
          <w:szCs w:val="24"/>
        </w:rPr>
        <w:t>31.中标结果公告</w:t>
      </w:r>
      <w:bookmarkEnd w:id="254"/>
      <w:bookmarkEnd w:id="255"/>
      <w:bookmarkEnd w:id="256"/>
    </w:p>
    <w:p w14:paraId="43658A31">
      <w:pPr>
        <w:pStyle w:val="39"/>
        <w:jc w:val="both"/>
        <w:rPr>
          <w:rFonts w:hint="eastAsia" w:cs="宋体"/>
          <w:szCs w:val="24"/>
        </w:rPr>
      </w:pPr>
      <w:r>
        <w:rPr>
          <w:rFonts w:hint="eastAsia" w:cs="宋体"/>
          <w:bCs/>
          <w:szCs w:val="24"/>
        </w:rPr>
        <w:t>3</w:t>
      </w:r>
      <w:r>
        <w:rPr>
          <w:rFonts w:hint="eastAsia" w:cs="宋体"/>
          <w:bCs/>
          <w:szCs w:val="24"/>
          <w:lang w:val="en-US"/>
        </w:rPr>
        <w:t>1</w:t>
      </w:r>
      <w:r>
        <w:rPr>
          <w:rFonts w:hint="eastAsia" w:cs="宋体"/>
          <w:szCs w:val="24"/>
        </w:rPr>
        <w:t>.1</w:t>
      </w:r>
      <w:r>
        <w:rPr>
          <w:rFonts w:hint="eastAsia" w:cs="宋体"/>
          <w:szCs w:val="24"/>
          <w:lang w:val="en-US"/>
        </w:rPr>
        <w:t>采购人或</w:t>
      </w:r>
      <w:r>
        <w:rPr>
          <w:rFonts w:hint="eastAsia" w:cs="宋体"/>
          <w:szCs w:val="24"/>
        </w:rPr>
        <w:t>采购代理机构应当自中标人确定之日起2个工作日内，在</w:t>
      </w:r>
      <w:r>
        <w:rPr>
          <w:rFonts w:hint="eastAsia" w:cs="宋体"/>
          <w:szCs w:val="24"/>
          <w:lang w:val="en-US"/>
        </w:rPr>
        <w:t>发布招标公告的同一</w:t>
      </w:r>
      <w:r>
        <w:rPr>
          <w:rFonts w:hint="eastAsia" w:cs="宋体"/>
          <w:szCs w:val="24"/>
        </w:rPr>
        <w:t>媒体上发布中标结果公告，</w:t>
      </w:r>
      <w:r>
        <w:rPr>
          <w:rFonts w:hint="eastAsia" w:cs="宋体"/>
          <w:szCs w:val="24"/>
          <w:lang w:val="en-US"/>
        </w:rPr>
        <w:t>同时向中标人</w:t>
      </w:r>
      <w:r>
        <w:rPr>
          <w:rFonts w:hint="eastAsia" w:cs="宋体"/>
          <w:szCs w:val="24"/>
        </w:rPr>
        <w:t>发出中标通知书。招标文件随中标结果同时公告，中标结果公告期限为1个工作日。</w:t>
      </w:r>
    </w:p>
    <w:p w14:paraId="29734029">
      <w:pPr>
        <w:pStyle w:val="39"/>
        <w:jc w:val="both"/>
        <w:rPr>
          <w:rFonts w:hint="eastAsia" w:cs="宋体"/>
          <w:bCs/>
          <w:szCs w:val="24"/>
        </w:rPr>
      </w:pPr>
      <w:r>
        <w:rPr>
          <w:rFonts w:hint="eastAsia" w:cs="宋体"/>
          <w:bCs/>
          <w:szCs w:val="24"/>
        </w:rPr>
        <w:t>3</w:t>
      </w:r>
      <w:r>
        <w:rPr>
          <w:rFonts w:hint="eastAsia" w:cs="宋体"/>
          <w:bCs/>
          <w:szCs w:val="24"/>
          <w:lang w:val="en-US"/>
        </w:rPr>
        <w:t>1</w:t>
      </w:r>
      <w:r>
        <w:rPr>
          <w:rFonts w:hint="eastAsia" w:cs="宋体"/>
          <w:bCs/>
          <w:szCs w:val="24"/>
        </w:rPr>
        <w:t>.2中标供应商为中小企业</w:t>
      </w:r>
      <w:r>
        <w:rPr>
          <w:rFonts w:hint="eastAsia" w:cs="宋体"/>
          <w:bCs/>
          <w:szCs w:val="24"/>
          <w:lang w:val="en-US"/>
        </w:rPr>
        <w:t>享受中小企业扶持政策的</w:t>
      </w:r>
      <w:r>
        <w:rPr>
          <w:rFonts w:hint="eastAsia" w:cs="宋体"/>
          <w:bCs/>
          <w:szCs w:val="24"/>
        </w:rPr>
        <w:t>，其“中小企业声明函”随中标结果同时公告。中标供应商为残疾人福利性单位的，其“残疾人福利性单位声明函”随中标结果同时公告。</w:t>
      </w:r>
    </w:p>
    <w:p w14:paraId="45712DE0">
      <w:pPr>
        <w:pStyle w:val="39"/>
        <w:jc w:val="both"/>
        <w:rPr>
          <w:rFonts w:hint="eastAsia" w:cs="宋体"/>
          <w:szCs w:val="24"/>
        </w:rPr>
      </w:pPr>
      <w:r>
        <w:rPr>
          <w:rFonts w:hint="eastAsia" w:cs="宋体"/>
          <w:szCs w:val="24"/>
          <w:lang w:val="en-US"/>
        </w:rPr>
        <w:t>31.3</w:t>
      </w:r>
      <w:r>
        <w:rPr>
          <w:rFonts w:hint="eastAsia" w:cs="宋体"/>
          <w:szCs w:val="24"/>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21F9C112">
      <w:pPr>
        <w:pStyle w:val="6"/>
        <w:keepNext w:val="0"/>
        <w:keepLines w:val="0"/>
        <w:spacing w:before="80" w:after="80" w:line="240" w:lineRule="auto"/>
        <w:ind w:left="420" w:hanging="420"/>
        <w:jc w:val="both"/>
        <w:rPr>
          <w:rFonts w:hint="eastAsia" w:ascii="宋体" w:hAnsi="宋体" w:cs="宋体"/>
          <w:sz w:val="24"/>
          <w:szCs w:val="24"/>
        </w:rPr>
      </w:pPr>
      <w:bookmarkStart w:id="257" w:name="_Toc10669"/>
      <w:bookmarkStart w:id="258" w:name="_Toc163492862"/>
      <w:bookmarkStart w:id="259" w:name="_Toc140132795"/>
      <w:r>
        <w:rPr>
          <w:rFonts w:hint="eastAsia" w:ascii="宋体" w:hAnsi="宋体" w:cs="宋体"/>
          <w:sz w:val="24"/>
          <w:szCs w:val="24"/>
        </w:rPr>
        <w:t>32.中标通知</w:t>
      </w:r>
      <w:bookmarkEnd w:id="257"/>
      <w:bookmarkEnd w:id="258"/>
      <w:bookmarkEnd w:id="259"/>
    </w:p>
    <w:p w14:paraId="05708917">
      <w:pPr>
        <w:pStyle w:val="39"/>
        <w:jc w:val="both"/>
        <w:rPr>
          <w:rFonts w:hint="eastAsia" w:cs="宋体"/>
          <w:szCs w:val="24"/>
        </w:rPr>
      </w:pPr>
      <w:r>
        <w:rPr>
          <w:rFonts w:hint="eastAsia" w:cs="宋体"/>
          <w:bCs/>
          <w:szCs w:val="24"/>
        </w:rPr>
        <w:t>3</w:t>
      </w:r>
      <w:r>
        <w:rPr>
          <w:rFonts w:hint="eastAsia" w:cs="宋体"/>
          <w:bCs/>
          <w:szCs w:val="24"/>
          <w:lang w:val="en-US"/>
        </w:rPr>
        <w:t>2</w:t>
      </w:r>
      <w:r>
        <w:rPr>
          <w:rFonts w:hint="eastAsia" w:cs="宋体"/>
          <w:szCs w:val="24"/>
        </w:rPr>
        <w:t>.1采购人和采购代理机构以书面形式向中标人发出中标通知书，同时将招标结果通知未中标的投标人。对未通过资格审查的投标人，应当告知其未通过的原因；采用综合评分法评审的，还应当告知未中标人本人的评审得分与排序。</w:t>
      </w:r>
    </w:p>
    <w:p w14:paraId="4947D7A6">
      <w:pPr>
        <w:pStyle w:val="39"/>
        <w:jc w:val="both"/>
        <w:rPr>
          <w:rFonts w:hint="eastAsia" w:cs="宋体"/>
          <w:szCs w:val="24"/>
          <w:lang w:val="en-US"/>
        </w:rPr>
      </w:pPr>
      <w:r>
        <w:rPr>
          <w:rFonts w:hint="eastAsia" w:cs="宋体"/>
          <w:szCs w:val="24"/>
          <w:lang w:val="en-US"/>
        </w:rPr>
        <w:t>32.2中标通知书对采购人和中标供应商均具有法律效力。中标通知书发出后，采购人改变中标结果的，或者中标供应商放弃中标项目的，应当依法承担法律责任。</w:t>
      </w:r>
    </w:p>
    <w:p w14:paraId="6428E028">
      <w:pPr>
        <w:pStyle w:val="5"/>
        <w:keepNext w:val="0"/>
        <w:keepLines w:val="0"/>
        <w:spacing w:before="120" w:after="120" w:line="240" w:lineRule="auto"/>
        <w:ind w:left="420" w:hanging="420"/>
        <w:jc w:val="both"/>
        <w:rPr>
          <w:rFonts w:hint="eastAsia" w:cs="宋体"/>
          <w:sz w:val="24"/>
          <w:szCs w:val="24"/>
        </w:rPr>
      </w:pPr>
      <w:bookmarkStart w:id="260" w:name="_Toc25579"/>
      <w:bookmarkStart w:id="261" w:name="_Toc163492863"/>
      <w:r>
        <w:rPr>
          <w:rFonts w:hint="eastAsia" w:cs="宋体"/>
          <w:sz w:val="24"/>
          <w:szCs w:val="24"/>
        </w:rPr>
        <w:t>（九）签订</w:t>
      </w:r>
      <w:bookmarkStart w:id="262" w:name="_Toc140132796"/>
      <w:bookmarkStart w:id="263" w:name="_Toc155185880"/>
      <w:r>
        <w:rPr>
          <w:rFonts w:hint="eastAsia" w:cs="宋体"/>
          <w:sz w:val="24"/>
          <w:szCs w:val="24"/>
        </w:rPr>
        <w:t>合同</w:t>
      </w:r>
      <w:bookmarkEnd w:id="260"/>
      <w:bookmarkEnd w:id="261"/>
      <w:bookmarkEnd w:id="262"/>
      <w:bookmarkEnd w:id="263"/>
    </w:p>
    <w:p w14:paraId="0F2C4B1B">
      <w:pPr>
        <w:pStyle w:val="6"/>
        <w:keepNext w:val="0"/>
        <w:keepLines w:val="0"/>
        <w:spacing w:before="80" w:after="80" w:line="240" w:lineRule="auto"/>
        <w:ind w:left="420" w:hanging="420"/>
        <w:jc w:val="both"/>
        <w:rPr>
          <w:rFonts w:hint="eastAsia" w:ascii="宋体" w:hAnsi="宋体" w:cs="宋体"/>
          <w:sz w:val="24"/>
          <w:szCs w:val="24"/>
        </w:rPr>
      </w:pPr>
      <w:bookmarkStart w:id="264" w:name="_Toc20208"/>
      <w:bookmarkStart w:id="265" w:name="_Toc163492864"/>
      <w:bookmarkStart w:id="266" w:name="_Toc140132797"/>
      <w:r>
        <w:rPr>
          <w:rFonts w:hint="eastAsia" w:ascii="宋体" w:hAnsi="宋体" w:cs="宋体"/>
          <w:sz w:val="24"/>
          <w:szCs w:val="24"/>
        </w:rPr>
        <w:t>33.履约保证金</w:t>
      </w:r>
      <w:bookmarkEnd w:id="264"/>
      <w:bookmarkEnd w:id="265"/>
      <w:bookmarkEnd w:id="266"/>
    </w:p>
    <w:p w14:paraId="314A05DA">
      <w:pPr>
        <w:pStyle w:val="39"/>
        <w:jc w:val="both"/>
        <w:rPr>
          <w:rFonts w:hint="eastAsia" w:cs="宋体"/>
          <w:szCs w:val="24"/>
        </w:rPr>
      </w:pPr>
      <w:r>
        <w:rPr>
          <w:rFonts w:hint="eastAsia" w:cs="宋体"/>
          <w:bCs/>
          <w:szCs w:val="24"/>
        </w:rPr>
        <w:t>3</w:t>
      </w:r>
      <w:r>
        <w:rPr>
          <w:rFonts w:hint="eastAsia" w:cs="宋体"/>
          <w:bCs/>
          <w:szCs w:val="24"/>
          <w:lang w:val="en-US"/>
        </w:rPr>
        <w:t>3</w:t>
      </w:r>
      <w:r>
        <w:rPr>
          <w:rFonts w:hint="eastAsia" w:cs="宋体"/>
          <w:szCs w:val="24"/>
        </w:rPr>
        <w:t>.1在签订合同前，中标人应按“投标人须知前附表”规定的金额、担保形式和采购人认可的履约担保格式向采购人提交履约保证金。</w:t>
      </w:r>
    </w:p>
    <w:p w14:paraId="7FCF5B20">
      <w:pPr>
        <w:pStyle w:val="39"/>
        <w:jc w:val="both"/>
        <w:rPr>
          <w:rFonts w:hint="eastAsia" w:cs="宋体"/>
          <w:szCs w:val="24"/>
        </w:rPr>
      </w:pPr>
      <w:r>
        <w:rPr>
          <w:rFonts w:hint="eastAsia" w:cs="宋体"/>
          <w:bCs/>
          <w:szCs w:val="24"/>
        </w:rPr>
        <w:t>3</w:t>
      </w:r>
      <w:r>
        <w:rPr>
          <w:rFonts w:hint="eastAsia" w:cs="宋体"/>
          <w:bCs/>
          <w:szCs w:val="24"/>
          <w:lang w:val="en-US"/>
        </w:rPr>
        <w:t>3</w:t>
      </w:r>
      <w:r>
        <w:rPr>
          <w:rFonts w:hint="eastAsia" w:cs="宋体"/>
          <w:szCs w:val="24"/>
        </w:rPr>
        <w:t>.2中标人不能按本章第3</w:t>
      </w:r>
      <w:r>
        <w:rPr>
          <w:rFonts w:hint="eastAsia" w:cs="宋体"/>
          <w:szCs w:val="24"/>
          <w:lang w:val="en-US"/>
        </w:rPr>
        <w:t>3</w:t>
      </w:r>
      <w:r>
        <w:rPr>
          <w:rFonts w:hint="eastAsia" w:cs="宋体"/>
          <w:szCs w:val="24"/>
        </w:rPr>
        <w:t>.1项要求提交履约担保的，视为放弃中标，给采购人造成损失的，中标人还应当承担民事责任。</w:t>
      </w:r>
    </w:p>
    <w:p w14:paraId="50E7E026">
      <w:pPr>
        <w:pStyle w:val="6"/>
        <w:keepNext w:val="0"/>
        <w:keepLines w:val="0"/>
        <w:spacing w:before="80" w:after="80" w:line="240" w:lineRule="auto"/>
        <w:ind w:left="420" w:hanging="420"/>
        <w:jc w:val="both"/>
        <w:rPr>
          <w:rFonts w:hint="eastAsia" w:ascii="宋体" w:hAnsi="宋体" w:cs="宋体"/>
          <w:sz w:val="24"/>
          <w:szCs w:val="24"/>
        </w:rPr>
      </w:pPr>
      <w:bookmarkStart w:id="267" w:name="_Toc163492865"/>
      <w:bookmarkStart w:id="268" w:name="_Toc140132798"/>
      <w:bookmarkStart w:id="269" w:name="_Toc12503"/>
      <w:r>
        <w:rPr>
          <w:rFonts w:hint="eastAsia" w:ascii="宋体" w:hAnsi="宋体" w:cs="宋体"/>
          <w:sz w:val="24"/>
          <w:szCs w:val="24"/>
        </w:rPr>
        <w:t>34.签订合同</w:t>
      </w:r>
      <w:bookmarkEnd w:id="267"/>
      <w:bookmarkEnd w:id="268"/>
      <w:bookmarkEnd w:id="269"/>
    </w:p>
    <w:p w14:paraId="6A8EDFA7">
      <w:pPr>
        <w:pStyle w:val="39"/>
        <w:jc w:val="both"/>
        <w:rPr>
          <w:rFonts w:hint="eastAsia" w:cs="宋体"/>
          <w:szCs w:val="24"/>
        </w:rPr>
      </w:pPr>
      <w:r>
        <w:rPr>
          <w:rFonts w:hint="eastAsia" w:cs="宋体"/>
          <w:bCs/>
          <w:szCs w:val="24"/>
        </w:rPr>
        <w:t>3</w:t>
      </w:r>
      <w:r>
        <w:rPr>
          <w:rFonts w:hint="eastAsia" w:cs="宋体"/>
          <w:bCs/>
          <w:szCs w:val="24"/>
          <w:lang w:val="en-US"/>
        </w:rPr>
        <w:t>4</w:t>
      </w:r>
      <w:r>
        <w:rPr>
          <w:rFonts w:hint="eastAsia" w:cs="宋体"/>
          <w:szCs w:val="24"/>
        </w:rPr>
        <w:t>.1 采购人和中标人应当自中标通知书发出之日起</w:t>
      </w:r>
      <w:r>
        <w:rPr>
          <w:rFonts w:hint="eastAsia" w:cs="宋体"/>
          <w:szCs w:val="24"/>
          <w:lang w:val="en-US"/>
        </w:rPr>
        <w:t>25</w:t>
      </w:r>
      <w:r>
        <w:rPr>
          <w:rFonts w:hint="eastAsia" w:cs="宋体"/>
          <w:szCs w:val="24"/>
        </w:rPr>
        <w:t>天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0626FF4F">
      <w:pPr>
        <w:pStyle w:val="39"/>
        <w:jc w:val="both"/>
        <w:rPr>
          <w:rFonts w:hint="eastAsia" w:cs="宋体"/>
          <w:szCs w:val="24"/>
          <w:lang w:val="en-US"/>
        </w:rPr>
      </w:pPr>
      <w:r>
        <w:rPr>
          <w:rFonts w:hint="eastAsia" w:cs="宋体"/>
          <w:szCs w:val="24"/>
          <w:lang w:val="en-US"/>
        </w:rPr>
        <w:t>34.2 中标人拒绝与采购人签订合同的，采购人可以按照评标报告推荐的中标候选人名单排序，确定下一候选人为中标人，也可以重新开展政府采购活动。</w:t>
      </w:r>
    </w:p>
    <w:p w14:paraId="211D33EC">
      <w:pPr>
        <w:pStyle w:val="39"/>
        <w:jc w:val="both"/>
        <w:rPr>
          <w:rFonts w:hint="eastAsia" w:cs="宋体"/>
          <w:szCs w:val="24"/>
        </w:rPr>
      </w:pPr>
      <w:r>
        <w:rPr>
          <w:rFonts w:hint="eastAsia" w:cs="宋体"/>
          <w:bCs/>
          <w:szCs w:val="24"/>
        </w:rPr>
        <w:t>3</w:t>
      </w:r>
      <w:r>
        <w:rPr>
          <w:rFonts w:hint="eastAsia" w:cs="宋体"/>
          <w:bCs/>
          <w:szCs w:val="24"/>
          <w:lang w:val="en-US"/>
        </w:rPr>
        <w:t>4</w:t>
      </w:r>
      <w:r>
        <w:rPr>
          <w:rFonts w:hint="eastAsia" w:cs="宋体"/>
          <w:szCs w:val="24"/>
        </w:rPr>
        <w:t>.</w:t>
      </w:r>
      <w:r>
        <w:rPr>
          <w:rFonts w:hint="eastAsia" w:cs="宋体"/>
          <w:szCs w:val="24"/>
          <w:lang w:val="en-US"/>
        </w:rPr>
        <w:t>3</w:t>
      </w:r>
      <w:r>
        <w:rPr>
          <w:rFonts w:hint="eastAsia" w:cs="宋体"/>
          <w:szCs w:val="24"/>
        </w:rPr>
        <w:t xml:space="preserve"> 采购人和中标人不得向对方提出任何不合理的要求，作为签订合同的条件，双方不得私下订立背离合同实质性内容的协议。</w:t>
      </w:r>
    </w:p>
    <w:p w14:paraId="785D9D61">
      <w:pPr>
        <w:pStyle w:val="39"/>
        <w:jc w:val="both"/>
        <w:rPr>
          <w:rFonts w:hint="eastAsia" w:cs="宋体"/>
          <w:szCs w:val="24"/>
          <w:lang w:val="en-US"/>
        </w:rPr>
      </w:pPr>
      <w:r>
        <w:rPr>
          <w:rFonts w:hint="eastAsia" w:cs="宋体"/>
          <w:szCs w:val="24"/>
          <w:lang w:val="en-US"/>
        </w:rPr>
        <w:t>34.4 联合体中标的，联合体各方应当共同与采购人签订合同，就采购合同约定的事项向采购人承担连带责任。</w:t>
      </w:r>
    </w:p>
    <w:p w14:paraId="3A6B785E">
      <w:pPr>
        <w:pStyle w:val="39"/>
        <w:jc w:val="both"/>
        <w:rPr>
          <w:rFonts w:hint="eastAsia" w:cs="宋体"/>
          <w:b/>
          <w:bCs/>
          <w:szCs w:val="24"/>
          <w:lang w:val="en-US"/>
        </w:rPr>
      </w:pPr>
      <w:r>
        <w:rPr>
          <w:rFonts w:hint="eastAsia" w:cs="宋体"/>
          <w:szCs w:val="24"/>
          <w:lang w:val="en-US"/>
        </w:rPr>
        <w:t>34.5 本项目的非主体、非关键性工作是否允许分包，见“投标人须知前附表”。采购人允许采用分包方式履行合同的，中标人可以依法在中标后将中标项目的非主体、非关键性工作采取分包方式履行合同。政府采购合同分包履行的，应当在投标文件中载明分包承担主体，分包承担主体应当具备相应资质条件且不得再次分包，否则</w:t>
      </w:r>
      <w:r>
        <w:rPr>
          <w:rFonts w:hint="eastAsia" w:cs="宋体"/>
          <w:b/>
          <w:bCs/>
          <w:szCs w:val="24"/>
          <w:lang w:val="en-US"/>
        </w:rPr>
        <w:t>投标无效</w:t>
      </w:r>
      <w:r>
        <w:rPr>
          <w:rFonts w:hint="eastAsia" w:cs="宋体"/>
          <w:szCs w:val="24"/>
          <w:lang w:val="en-US"/>
        </w:rPr>
        <w:t>。中标人就采购项目和分包项目向采购人负责，分包供应商就分包项目承担责任。</w:t>
      </w:r>
      <w:r>
        <w:rPr>
          <w:rFonts w:hint="eastAsia" w:cs="宋体"/>
          <w:b/>
          <w:bCs/>
          <w:szCs w:val="24"/>
          <w:lang w:val="en-US"/>
        </w:rPr>
        <w:t>政府采购合同不能转包。</w:t>
      </w:r>
    </w:p>
    <w:p w14:paraId="47F577CE">
      <w:pPr>
        <w:pStyle w:val="39"/>
        <w:jc w:val="both"/>
        <w:rPr>
          <w:rFonts w:hint="eastAsia" w:cs="宋体"/>
          <w:szCs w:val="24"/>
        </w:rPr>
      </w:pPr>
      <w:r>
        <w:rPr>
          <w:rFonts w:hint="eastAsia" w:cs="宋体"/>
          <w:bCs/>
          <w:szCs w:val="24"/>
        </w:rPr>
        <w:t>3</w:t>
      </w:r>
      <w:r>
        <w:rPr>
          <w:rFonts w:hint="eastAsia" w:cs="宋体"/>
          <w:bCs/>
          <w:szCs w:val="24"/>
          <w:lang w:val="en-US"/>
        </w:rPr>
        <w:t>4</w:t>
      </w:r>
      <w:r>
        <w:rPr>
          <w:rFonts w:hint="eastAsia" w:cs="宋体"/>
          <w:szCs w:val="24"/>
        </w:rPr>
        <w:t>.</w:t>
      </w:r>
      <w:r>
        <w:rPr>
          <w:rFonts w:hint="eastAsia" w:cs="宋体"/>
          <w:szCs w:val="24"/>
          <w:lang w:val="en-US"/>
        </w:rPr>
        <w:t>6</w:t>
      </w:r>
      <w:r>
        <w:rPr>
          <w:rFonts w:hint="eastAsia" w:cs="宋体"/>
          <w:szCs w:val="24"/>
        </w:rPr>
        <w:t>采购合同履行中，采购人需追加与合同标的相同的</w:t>
      </w:r>
      <w:r>
        <w:rPr>
          <w:rFonts w:hint="eastAsia" w:cs="宋体"/>
          <w:szCs w:val="24"/>
          <w:lang w:val="en-US"/>
        </w:rPr>
        <w:t>货物、工程或者服务</w:t>
      </w:r>
      <w:r>
        <w:rPr>
          <w:rFonts w:hint="eastAsia" w:cs="宋体"/>
          <w:szCs w:val="24"/>
        </w:rPr>
        <w:t>的，在不改变合同其他条款的前提下，可以与中标人协商签订补充合同，但所有补充合同的采购金额不得超过原合同采购金额的百分之十。</w:t>
      </w:r>
    </w:p>
    <w:p w14:paraId="2F01E285">
      <w:pPr>
        <w:pStyle w:val="39"/>
        <w:jc w:val="both"/>
        <w:rPr>
          <w:rFonts w:hint="eastAsia" w:cs="宋体"/>
          <w:szCs w:val="24"/>
          <w:lang w:val="en-US"/>
        </w:rPr>
      </w:pPr>
      <w:r>
        <w:rPr>
          <w:rFonts w:hint="eastAsia" w:cs="宋体"/>
          <w:szCs w:val="24"/>
          <w:lang w:val="en-US"/>
        </w:rPr>
        <w:t>34.7 采购人应于签订合同之日起2个工作日内在政采云平台备案公示。</w:t>
      </w:r>
    </w:p>
    <w:p w14:paraId="765BC322">
      <w:pPr>
        <w:pStyle w:val="5"/>
        <w:keepNext w:val="0"/>
        <w:keepLines w:val="0"/>
        <w:spacing w:before="120" w:after="120" w:line="240" w:lineRule="auto"/>
        <w:ind w:left="420" w:hanging="420"/>
        <w:jc w:val="both"/>
        <w:rPr>
          <w:rFonts w:hint="eastAsia" w:cs="宋体"/>
          <w:sz w:val="24"/>
          <w:szCs w:val="24"/>
        </w:rPr>
      </w:pPr>
      <w:bookmarkStart w:id="270" w:name="_Toc4530"/>
      <w:bookmarkStart w:id="271" w:name="_Toc155185881"/>
      <w:bookmarkStart w:id="272" w:name="_Toc163492866"/>
      <w:bookmarkStart w:id="273" w:name="_Toc140132799"/>
      <w:r>
        <w:rPr>
          <w:rFonts w:hint="eastAsia" w:cs="宋体"/>
          <w:sz w:val="24"/>
          <w:szCs w:val="24"/>
        </w:rPr>
        <w:t>（十）质疑和投诉</w:t>
      </w:r>
      <w:bookmarkEnd w:id="270"/>
      <w:bookmarkEnd w:id="271"/>
      <w:bookmarkEnd w:id="272"/>
      <w:bookmarkEnd w:id="273"/>
    </w:p>
    <w:p w14:paraId="3959DFBF">
      <w:pPr>
        <w:pStyle w:val="6"/>
        <w:keepNext w:val="0"/>
        <w:keepLines w:val="0"/>
        <w:spacing w:before="80" w:after="80" w:line="240" w:lineRule="auto"/>
        <w:ind w:left="420" w:hanging="420"/>
        <w:jc w:val="both"/>
        <w:rPr>
          <w:rFonts w:hint="eastAsia" w:ascii="宋体" w:hAnsi="宋体" w:cs="宋体"/>
          <w:sz w:val="24"/>
          <w:szCs w:val="24"/>
        </w:rPr>
      </w:pPr>
      <w:bookmarkStart w:id="274" w:name="_Toc19743"/>
      <w:bookmarkStart w:id="275" w:name="_Toc140132800"/>
      <w:bookmarkStart w:id="276" w:name="_Toc163492867"/>
      <w:r>
        <w:rPr>
          <w:rFonts w:hint="eastAsia" w:ascii="宋体" w:hAnsi="宋体" w:cs="宋体"/>
          <w:sz w:val="24"/>
          <w:szCs w:val="24"/>
        </w:rPr>
        <w:t>35.质疑</w:t>
      </w:r>
      <w:bookmarkEnd w:id="274"/>
      <w:bookmarkEnd w:id="275"/>
      <w:bookmarkEnd w:id="276"/>
    </w:p>
    <w:p w14:paraId="47E9678C">
      <w:pPr>
        <w:pStyle w:val="39"/>
        <w:jc w:val="both"/>
        <w:rPr>
          <w:rFonts w:hint="eastAsia" w:cs="宋体"/>
          <w:szCs w:val="24"/>
          <w:lang w:val="en-US"/>
        </w:rPr>
      </w:pPr>
      <w:r>
        <w:rPr>
          <w:rFonts w:hint="eastAsia" w:cs="宋体"/>
          <w:szCs w:val="24"/>
        </w:rPr>
        <w:t>3</w:t>
      </w:r>
      <w:r>
        <w:rPr>
          <w:rFonts w:hint="eastAsia" w:cs="宋体"/>
          <w:szCs w:val="24"/>
          <w:lang w:val="en-US"/>
        </w:rPr>
        <w:t>5</w:t>
      </w:r>
      <w:r>
        <w:rPr>
          <w:rFonts w:hint="eastAsia" w:cs="宋体"/>
          <w:szCs w:val="24"/>
        </w:rPr>
        <w:t>.1供应商认为采购文件、采购过程、中标结果使自己的权益受到损害的，可以在知道或者应知其权益受到损害之日起7个工作日内，以书面形式向采购人、采购代理机构提出质疑，</w:t>
      </w:r>
      <w:r>
        <w:rPr>
          <w:rFonts w:hint="eastAsia" w:cs="宋体"/>
          <w:szCs w:val="24"/>
          <w:lang w:val="en-US"/>
        </w:rPr>
        <w:t>详见“投标人须知前附表”</w:t>
      </w:r>
      <w:r>
        <w:rPr>
          <w:rFonts w:hint="eastAsia" w:cs="宋体"/>
          <w:szCs w:val="24"/>
        </w:rPr>
        <w:t>。供应商在法定质疑期内一次性提出针对同一采购程序环节的质疑。</w:t>
      </w:r>
    </w:p>
    <w:p w14:paraId="6036326F">
      <w:pPr>
        <w:pStyle w:val="39"/>
        <w:jc w:val="both"/>
        <w:rPr>
          <w:rFonts w:hint="eastAsia" w:cs="宋体"/>
          <w:szCs w:val="24"/>
        </w:rPr>
      </w:pPr>
      <w:r>
        <w:rPr>
          <w:rFonts w:hint="eastAsia" w:cs="宋体"/>
          <w:szCs w:val="24"/>
        </w:rPr>
        <w:t>3</w:t>
      </w:r>
      <w:r>
        <w:rPr>
          <w:rFonts w:hint="eastAsia" w:cs="宋体"/>
          <w:szCs w:val="24"/>
          <w:lang w:val="en-US"/>
        </w:rPr>
        <w:t>5</w:t>
      </w:r>
      <w:r>
        <w:rPr>
          <w:rFonts w:hint="eastAsia" w:cs="宋体"/>
          <w:szCs w:val="24"/>
        </w:rPr>
        <w:t>.2提出质疑的供应商（以下简称质疑供应商）应当是参与所质疑项目采购活动的供应商。</w:t>
      </w:r>
    </w:p>
    <w:p w14:paraId="1A39BE98">
      <w:pPr>
        <w:pStyle w:val="39"/>
        <w:jc w:val="both"/>
        <w:rPr>
          <w:rFonts w:hint="eastAsia" w:cs="宋体"/>
          <w:szCs w:val="24"/>
        </w:rPr>
      </w:pPr>
      <w:r>
        <w:rPr>
          <w:rFonts w:hint="eastAsia" w:cs="宋体"/>
          <w:szCs w:val="24"/>
          <w:lang w:val="en-US"/>
        </w:rPr>
        <w:t>35.3</w:t>
      </w:r>
      <w:r>
        <w:rPr>
          <w:rFonts w:hint="eastAsia" w:cs="宋体"/>
          <w:szCs w:val="24"/>
        </w:rPr>
        <w:t>潜在供应商已依法获取其可质疑的采购文件的，可以对该文件提出质疑。对采购文件提出质疑的，应当在获取采购文件或者采购文件公告期限届满之日起7个工作日内提出。</w:t>
      </w:r>
    </w:p>
    <w:p w14:paraId="345180C5">
      <w:pPr>
        <w:pStyle w:val="39"/>
        <w:jc w:val="both"/>
        <w:rPr>
          <w:rFonts w:hint="eastAsia" w:cs="宋体"/>
          <w:szCs w:val="24"/>
        </w:rPr>
      </w:pPr>
      <w:r>
        <w:rPr>
          <w:rFonts w:hint="eastAsia" w:cs="宋体"/>
          <w:szCs w:val="24"/>
          <w:lang w:val="en-US"/>
        </w:rPr>
        <w:t>35.4</w:t>
      </w:r>
      <w:r>
        <w:rPr>
          <w:rFonts w:hint="eastAsia" w:cs="宋体"/>
          <w:szCs w:val="24"/>
        </w:rPr>
        <w:t>供应商提出质疑应当提交质疑函和必要的证明材料。质疑函应当包括下列内容：</w:t>
      </w:r>
    </w:p>
    <w:p w14:paraId="35C5DE35">
      <w:pPr>
        <w:pStyle w:val="39"/>
        <w:jc w:val="both"/>
        <w:rPr>
          <w:rFonts w:hint="eastAsia" w:cs="宋体"/>
          <w:szCs w:val="24"/>
        </w:rPr>
      </w:pPr>
      <w:r>
        <w:rPr>
          <w:rFonts w:hint="eastAsia" w:cs="宋体"/>
          <w:szCs w:val="24"/>
        </w:rPr>
        <w:t>（</w:t>
      </w:r>
      <w:r>
        <w:rPr>
          <w:rFonts w:hint="eastAsia" w:cs="宋体"/>
          <w:szCs w:val="24"/>
          <w:lang w:val="en-US"/>
        </w:rPr>
        <w:t>1</w:t>
      </w:r>
      <w:r>
        <w:rPr>
          <w:rFonts w:hint="eastAsia" w:cs="宋体"/>
          <w:szCs w:val="24"/>
        </w:rPr>
        <w:t>）供应商的姓名或者名称、地址、邮编、联系人及联系电话；</w:t>
      </w:r>
    </w:p>
    <w:p w14:paraId="02EA6C87">
      <w:pPr>
        <w:pStyle w:val="39"/>
        <w:jc w:val="both"/>
        <w:rPr>
          <w:rFonts w:hint="eastAsia" w:cs="宋体"/>
          <w:szCs w:val="24"/>
        </w:rPr>
      </w:pPr>
      <w:r>
        <w:rPr>
          <w:rFonts w:hint="eastAsia" w:cs="宋体"/>
          <w:szCs w:val="24"/>
        </w:rPr>
        <w:t>（</w:t>
      </w:r>
      <w:r>
        <w:rPr>
          <w:rFonts w:hint="eastAsia" w:cs="宋体"/>
          <w:szCs w:val="24"/>
          <w:lang w:val="en-US"/>
        </w:rPr>
        <w:t>2</w:t>
      </w:r>
      <w:r>
        <w:rPr>
          <w:rFonts w:hint="eastAsia" w:cs="宋体"/>
          <w:szCs w:val="24"/>
        </w:rPr>
        <w:t>）质疑项目的名称、</w:t>
      </w:r>
      <w:r>
        <w:rPr>
          <w:rFonts w:hint="eastAsia" w:cs="宋体"/>
          <w:szCs w:val="24"/>
          <w:lang w:val="en-US"/>
        </w:rPr>
        <w:t>项目</w:t>
      </w:r>
      <w:r>
        <w:rPr>
          <w:rFonts w:hint="eastAsia" w:cs="宋体"/>
          <w:szCs w:val="24"/>
        </w:rPr>
        <w:t>编号</w:t>
      </w:r>
      <w:r>
        <w:rPr>
          <w:rFonts w:hint="eastAsia"/>
          <w:lang w:val="en-US"/>
        </w:rPr>
        <w:t>/包号</w:t>
      </w:r>
      <w:r>
        <w:rPr>
          <w:rFonts w:hint="eastAsia" w:cs="宋体"/>
          <w:szCs w:val="24"/>
        </w:rPr>
        <w:t>；</w:t>
      </w:r>
    </w:p>
    <w:p w14:paraId="76521F47">
      <w:pPr>
        <w:pStyle w:val="39"/>
        <w:jc w:val="both"/>
        <w:rPr>
          <w:rFonts w:hint="eastAsia" w:cs="宋体"/>
          <w:szCs w:val="24"/>
        </w:rPr>
      </w:pPr>
      <w:r>
        <w:rPr>
          <w:rFonts w:hint="eastAsia" w:cs="宋体"/>
          <w:szCs w:val="24"/>
        </w:rPr>
        <w:t>（</w:t>
      </w:r>
      <w:r>
        <w:rPr>
          <w:rFonts w:hint="eastAsia" w:cs="宋体"/>
          <w:szCs w:val="24"/>
          <w:lang w:val="en-US"/>
        </w:rPr>
        <w:t>3</w:t>
      </w:r>
      <w:r>
        <w:rPr>
          <w:rFonts w:hint="eastAsia" w:cs="宋体"/>
          <w:szCs w:val="24"/>
        </w:rPr>
        <w:t>）具体、明确的质疑事项和与质疑事项相关的请求；</w:t>
      </w:r>
    </w:p>
    <w:p w14:paraId="4786D564">
      <w:pPr>
        <w:pStyle w:val="39"/>
        <w:jc w:val="both"/>
        <w:rPr>
          <w:rFonts w:hint="eastAsia" w:cs="宋体"/>
          <w:szCs w:val="24"/>
        </w:rPr>
      </w:pPr>
      <w:r>
        <w:rPr>
          <w:rFonts w:hint="eastAsia" w:cs="宋体"/>
          <w:szCs w:val="24"/>
        </w:rPr>
        <w:t>（</w:t>
      </w:r>
      <w:r>
        <w:rPr>
          <w:rFonts w:hint="eastAsia" w:cs="宋体"/>
          <w:szCs w:val="24"/>
          <w:lang w:val="en-US"/>
        </w:rPr>
        <w:t>4</w:t>
      </w:r>
      <w:r>
        <w:rPr>
          <w:rFonts w:hint="eastAsia" w:cs="宋体"/>
          <w:szCs w:val="24"/>
        </w:rPr>
        <w:t>）事实依据；</w:t>
      </w:r>
    </w:p>
    <w:p w14:paraId="1AB52BC8">
      <w:pPr>
        <w:pStyle w:val="39"/>
        <w:jc w:val="both"/>
        <w:rPr>
          <w:rFonts w:hint="eastAsia" w:cs="宋体"/>
          <w:szCs w:val="24"/>
        </w:rPr>
      </w:pPr>
      <w:r>
        <w:rPr>
          <w:rFonts w:hint="eastAsia" w:cs="宋体"/>
          <w:szCs w:val="24"/>
        </w:rPr>
        <w:t>（</w:t>
      </w:r>
      <w:r>
        <w:rPr>
          <w:rFonts w:hint="eastAsia" w:cs="宋体"/>
          <w:szCs w:val="24"/>
          <w:lang w:val="en-US"/>
        </w:rPr>
        <w:t>5</w:t>
      </w:r>
      <w:r>
        <w:rPr>
          <w:rFonts w:hint="eastAsia" w:cs="宋体"/>
          <w:szCs w:val="24"/>
        </w:rPr>
        <w:t>）必要的法律依据；</w:t>
      </w:r>
    </w:p>
    <w:p w14:paraId="335D51F4">
      <w:pPr>
        <w:pStyle w:val="39"/>
        <w:jc w:val="both"/>
        <w:rPr>
          <w:rFonts w:hint="eastAsia" w:cs="宋体"/>
          <w:szCs w:val="24"/>
        </w:rPr>
      </w:pPr>
      <w:r>
        <w:rPr>
          <w:rFonts w:hint="eastAsia" w:cs="宋体"/>
          <w:szCs w:val="24"/>
        </w:rPr>
        <w:t>（</w:t>
      </w:r>
      <w:r>
        <w:rPr>
          <w:rFonts w:hint="eastAsia" w:cs="宋体"/>
          <w:szCs w:val="24"/>
          <w:lang w:val="en-US"/>
        </w:rPr>
        <w:t>6</w:t>
      </w:r>
      <w:r>
        <w:rPr>
          <w:rFonts w:hint="eastAsia" w:cs="宋体"/>
          <w:szCs w:val="24"/>
        </w:rPr>
        <w:t>）提出质疑的日期。</w:t>
      </w:r>
    </w:p>
    <w:p w14:paraId="1E1DBD42">
      <w:pPr>
        <w:pStyle w:val="39"/>
        <w:jc w:val="both"/>
        <w:rPr>
          <w:rFonts w:hint="eastAsia" w:cs="宋体"/>
          <w:szCs w:val="24"/>
        </w:rPr>
      </w:pPr>
      <w:r>
        <w:rPr>
          <w:rFonts w:hint="eastAsia" w:cs="宋体"/>
          <w:szCs w:val="24"/>
        </w:rPr>
        <w:t>供应商为自然人的，应当由本人签字；供应商为法人或者其他组织的，应当由法定代表人、主要负责人，或者其授权代表签字或者盖章，并加盖公章。</w:t>
      </w:r>
    </w:p>
    <w:p w14:paraId="75F2489E">
      <w:pPr>
        <w:pStyle w:val="39"/>
        <w:jc w:val="both"/>
        <w:rPr>
          <w:rFonts w:hint="eastAsia" w:cs="宋体"/>
          <w:szCs w:val="24"/>
        </w:rPr>
      </w:pPr>
      <w:r>
        <w:rPr>
          <w:rFonts w:hint="eastAsia" w:cs="宋体"/>
          <w:szCs w:val="24"/>
        </w:rPr>
        <w:t>3</w:t>
      </w:r>
      <w:r>
        <w:rPr>
          <w:rFonts w:hint="eastAsia" w:cs="宋体"/>
          <w:szCs w:val="24"/>
          <w:lang w:val="en-US"/>
        </w:rPr>
        <w:t>5</w:t>
      </w:r>
      <w:r>
        <w:rPr>
          <w:rFonts w:hint="eastAsia" w:cs="宋体"/>
          <w:szCs w:val="24"/>
        </w:rPr>
        <w:t>.5质疑函不符合上述要求的，采购人或代理机构应书面告知具体事项，质疑人应当按要求进行修改或补充，并在质疑有效期限内提交。</w:t>
      </w:r>
    </w:p>
    <w:p w14:paraId="6AD8C5B7">
      <w:pPr>
        <w:pStyle w:val="39"/>
        <w:jc w:val="both"/>
        <w:rPr>
          <w:rFonts w:hint="eastAsia" w:cs="宋体"/>
          <w:snapToGrid w:val="0"/>
          <w:szCs w:val="24"/>
        </w:rPr>
      </w:pPr>
      <w:r>
        <w:rPr>
          <w:rFonts w:hint="eastAsia" w:cs="宋体"/>
          <w:snapToGrid w:val="0"/>
          <w:szCs w:val="24"/>
        </w:rPr>
        <w:t>3</w:t>
      </w:r>
      <w:r>
        <w:rPr>
          <w:rFonts w:hint="eastAsia" w:cs="宋体"/>
          <w:snapToGrid w:val="0"/>
          <w:szCs w:val="24"/>
          <w:lang w:val="en-US"/>
        </w:rPr>
        <w:t>5</w:t>
      </w:r>
      <w:r>
        <w:rPr>
          <w:rFonts w:hint="eastAsia" w:cs="宋体"/>
          <w:snapToGrid w:val="0"/>
          <w:szCs w:val="24"/>
        </w:rPr>
        <w:t>.</w:t>
      </w:r>
      <w:r>
        <w:rPr>
          <w:rFonts w:hint="eastAsia" w:cs="宋体"/>
          <w:snapToGrid w:val="0"/>
          <w:szCs w:val="24"/>
          <w:lang w:val="en-US"/>
        </w:rPr>
        <w:t>6</w:t>
      </w:r>
      <w:r>
        <w:rPr>
          <w:rFonts w:hint="eastAsia" w:cs="宋体"/>
          <w:snapToGrid w:val="0"/>
          <w:szCs w:val="24"/>
        </w:rPr>
        <w:t>投标人进行虚假和恶意</w:t>
      </w:r>
      <w:r>
        <w:rPr>
          <w:rFonts w:hint="eastAsia" w:cs="宋体"/>
          <w:snapToGrid w:val="0"/>
          <w:szCs w:val="24"/>
          <w:lang w:val="en-US"/>
        </w:rPr>
        <w:t>质疑投诉</w:t>
      </w:r>
      <w:r>
        <w:rPr>
          <w:rFonts w:hint="eastAsia" w:cs="宋体"/>
          <w:snapToGrid w:val="0"/>
          <w:szCs w:val="24"/>
        </w:rPr>
        <w:t>的，采购代理机构将提请有关部门将其列入不良记录名单，在一至三年内禁止参加政府采购活动，并将处理决定在相关政府采购媒体上公布。</w:t>
      </w:r>
    </w:p>
    <w:p w14:paraId="1925E21D">
      <w:pPr>
        <w:pStyle w:val="39"/>
        <w:jc w:val="both"/>
        <w:rPr>
          <w:rFonts w:hint="eastAsia" w:cs="宋体"/>
          <w:snapToGrid w:val="0"/>
          <w:szCs w:val="24"/>
        </w:rPr>
      </w:pPr>
      <w:r>
        <w:rPr>
          <w:rFonts w:hint="eastAsia" w:cs="宋体"/>
          <w:snapToGrid w:val="0"/>
          <w:szCs w:val="24"/>
          <w:lang w:val="en-US"/>
        </w:rPr>
        <w:t>35.7</w:t>
      </w:r>
      <w:r>
        <w:rPr>
          <w:rFonts w:hint="eastAsia" w:cs="宋体"/>
          <w:szCs w:val="24"/>
        </w:rPr>
        <w:t>质疑函</w:t>
      </w:r>
      <w:r>
        <w:rPr>
          <w:rFonts w:hint="eastAsia" w:cs="宋体"/>
          <w:szCs w:val="24"/>
          <w:lang w:val="en-US"/>
        </w:rPr>
        <w:t>应当使用中文，并采用财政部门制定的范本。</w:t>
      </w:r>
    </w:p>
    <w:p w14:paraId="5D6023E9">
      <w:pPr>
        <w:pStyle w:val="6"/>
        <w:keepNext w:val="0"/>
        <w:keepLines w:val="0"/>
        <w:spacing w:before="80" w:after="80" w:line="240" w:lineRule="auto"/>
        <w:ind w:left="420" w:hanging="420"/>
        <w:jc w:val="both"/>
        <w:rPr>
          <w:rFonts w:hint="eastAsia" w:ascii="宋体" w:hAnsi="宋体" w:cs="宋体"/>
          <w:sz w:val="24"/>
          <w:szCs w:val="24"/>
        </w:rPr>
      </w:pPr>
      <w:bookmarkStart w:id="277" w:name="_Toc140132801"/>
      <w:bookmarkStart w:id="278" w:name="_Toc163492868"/>
      <w:bookmarkStart w:id="279" w:name="_Toc27598"/>
      <w:r>
        <w:rPr>
          <w:rFonts w:hint="eastAsia" w:ascii="宋体" w:hAnsi="宋体" w:cs="宋体"/>
          <w:sz w:val="24"/>
          <w:szCs w:val="24"/>
        </w:rPr>
        <w:t>36.质疑答复</w:t>
      </w:r>
      <w:bookmarkEnd w:id="277"/>
      <w:bookmarkEnd w:id="278"/>
      <w:bookmarkEnd w:id="279"/>
    </w:p>
    <w:p w14:paraId="4C4E9662">
      <w:pPr>
        <w:pStyle w:val="39"/>
        <w:jc w:val="both"/>
        <w:rPr>
          <w:rFonts w:hint="eastAsia" w:cs="宋体"/>
          <w:szCs w:val="24"/>
        </w:rPr>
      </w:pPr>
      <w:bookmarkStart w:id="280" w:name="_Toc140132802"/>
      <w:bookmarkStart w:id="281" w:name="_Toc163492869"/>
      <w:r>
        <w:rPr>
          <w:rFonts w:hint="eastAsia" w:cs="宋体"/>
          <w:szCs w:val="24"/>
        </w:rPr>
        <w:t>3</w:t>
      </w:r>
      <w:r>
        <w:rPr>
          <w:rFonts w:hint="eastAsia" w:cs="宋体"/>
          <w:szCs w:val="24"/>
          <w:lang w:val="en-US"/>
        </w:rPr>
        <w:t>6</w:t>
      </w:r>
      <w:r>
        <w:rPr>
          <w:rFonts w:hint="eastAsia" w:cs="宋体"/>
          <w:szCs w:val="24"/>
        </w:rPr>
        <w:t>.1采购人、采购代理机构不得拒收质疑供应商在法定质疑期内发出的质疑函，应当在收到质疑函后7个工作日内作出答复，并以书面形式通知质疑供应商和其他有关供应商。</w:t>
      </w:r>
    </w:p>
    <w:p w14:paraId="7DEC074A">
      <w:pPr>
        <w:pStyle w:val="39"/>
        <w:jc w:val="both"/>
        <w:rPr>
          <w:rFonts w:hint="eastAsia" w:cs="宋体"/>
          <w:szCs w:val="24"/>
          <w:lang w:val="en-US"/>
        </w:rPr>
      </w:pPr>
      <w:r>
        <w:rPr>
          <w:rFonts w:hint="eastAsia" w:cs="宋体"/>
          <w:szCs w:val="24"/>
          <w:lang w:val="en-US"/>
        </w:rPr>
        <w:t>36.2供应商对评审过程、中标结果提出质疑的，采购人、采购代理机构可以组织原评标委员会协助答复质疑。</w:t>
      </w:r>
    </w:p>
    <w:p w14:paraId="62E08BFB">
      <w:pPr>
        <w:pStyle w:val="39"/>
        <w:jc w:val="both"/>
        <w:rPr>
          <w:rFonts w:hint="eastAsia" w:cs="宋体"/>
          <w:szCs w:val="24"/>
        </w:rPr>
      </w:pPr>
      <w:r>
        <w:rPr>
          <w:rFonts w:hint="eastAsia" w:cs="宋体"/>
          <w:szCs w:val="24"/>
        </w:rPr>
        <w:t>质疑答复应当包括下列内容：</w:t>
      </w:r>
    </w:p>
    <w:p w14:paraId="5B66FDD0">
      <w:pPr>
        <w:pStyle w:val="39"/>
        <w:jc w:val="both"/>
        <w:rPr>
          <w:rFonts w:hint="eastAsia" w:cs="宋体"/>
          <w:szCs w:val="24"/>
        </w:rPr>
      </w:pPr>
      <w:r>
        <w:rPr>
          <w:rFonts w:hint="eastAsia" w:cs="宋体"/>
          <w:szCs w:val="24"/>
        </w:rPr>
        <w:t>（</w:t>
      </w:r>
      <w:r>
        <w:rPr>
          <w:rFonts w:hint="eastAsia" w:cs="宋体"/>
          <w:szCs w:val="24"/>
          <w:lang w:val="en-US"/>
        </w:rPr>
        <w:t>1</w:t>
      </w:r>
      <w:r>
        <w:rPr>
          <w:rFonts w:hint="eastAsia" w:cs="宋体"/>
          <w:szCs w:val="24"/>
        </w:rPr>
        <w:t>）质疑供应商的姓名或者名称；</w:t>
      </w:r>
    </w:p>
    <w:p w14:paraId="19240868">
      <w:pPr>
        <w:pStyle w:val="39"/>
        <w:jc w:val="both"/>
        <w:rPr>
          <w:rFonts w:hint="eastAsia" w:cs="宋体"/>
          <w:szCs w:val="24"/>
        </w:rPr>
      </w:pPr>
      <w:r>
        <w:rPr>
          <w:rFonts w:hint="eastAsia" w:cs="宋体"/>
          <w:szCs w:val="24"/>
        </w:rPr>
        <w:t>（</w:t>
      </w:r>
      <w:r>
        <w:rPr>
          <w:rFonts w:hint="eastAsia" w:cs="宋体"/>
          <w:szCs w:val="24"/>
          <w:lang w:val="en-US"/>
        </w:rPr>
        <w:t>2</w:t>
      </w:r>
      <w:r>
        <w:rPr>
          <w:rFonts w:hint="eastAsia" w:cs="宋体"/>
          <w:szCs w:val="24"/>
        </w:rPr>
        <w:t>）收到质疑函的日期、质疑项目名称及</w:t>
      </w:r>
      <w:r>
        <w:rPr>
          <w:rFonts w:hint="eastAsia" w:cs="宋体"/>
          <w:szCs w:val="24"/>
          <w:lang w:val="en-US"/>
        </w:rPr>
        <w:t>项目</w:t>
      </w:r>
      <w:r>
        <w:rPr>
          <w:rFonts w:hint="eastAsia" w:cs="宋体"/>
          <w:szCs w:val="24"/>
        </w:rPr>
        <w:t>编号</w:t>
      </w:r>
      <w:r>
        <w:rPr>
          <w:rFonts w:hint="eastAsia"/>
          <w:lang w:val="en-US"/>
        </w:rPr>
        <w:t>/包号</w:t>
      </w:r>
      <w:r>
        <w:rPr>
          <w:rFonts w:hint="eastAsia" w:cs="宋体"/>
          <w:szCs w:val="24"/>
        </w:rPr>
        <w:t>；</w:t>
      </w:r>
    </w:p>
    <w:p w14:paraId="16632A37">
      <w:pPr>
        <w:pStyle w:val="39"/>
        <w:jc w:val="both"/>
        <w:rPr>
          <w:rFonts w:hint="eastAsia" w:cs="宋体"/>
          <w:szCs w:val="24"/>
        </w:rPr>
      </w:pPr>
      <w:r>
        <w:rPr>
          <w:rFonts w:hint="eastAsia" w:cs="宋体"/>
          <w:szCs w:val="24"/>
        </w:rPr>
        <w:t>（</w:t>
      </w:r>
      <w:r>
        <w:rPr>
          <w:rFonts w:hint="eastAsia" w:cs="宋体"/>
          <w:szCs w:val="24"/>
          <w:lang w:val="en-US"/>
        </w:rPr>
        <w:t>3</w:t>
      </w:r>
      <w:r>
        <w:rPr>
          <w:rFonts w:hint="eastAsia" w:cs="宋体"/>
          <w:szCs w:val="24"/>
        </w:rPr>
        <w:t>）质疑事项、质疑答复的具体内容、事实依据和法律依据；</w:t>
      </w:r>
    </w:p>
    <w:p w14:paraId="75574ECD">
      <w:pPr>
        <w:pStyle w:val="39"/>
        <w:jc w:val="both"/>
        <w:rPr>
          <w:rFonts w:hint="eastAsia" w:cs="宋体"/>
          <w:szCs w:val="24"/>
        </w:rPr>
      </w:pPr>
      <w:r>
        <w:rPr>
          <w:rFonts w:hint="eastAsia" w:cs="宋体"/>
          <w:szCs w:val="24"/>
        </w:rPr>
        <w:t>（</w:t>
      </w:r>
      <w:r>
        <w:rPr>
          <w:rFonts w:hint="eastAsia" w:cs="宋体"/>
          <w:szCs w:val="24"/>
          <w:lang w:val="en-US"/>
        </w:rPr>
        <w:t>4</w:t>
      </w:r>
      <w:r>
        <w:rPr>
          <w:rFonts w:hint="eastAsia" w:cs="宋体"/>
          <w:szCs w:val="24"/>
        </w:rPr>
        <w:t>）告知质疑供应商依法投诉的权利；</w:t>
      </w:r>
    </w:p>
    <w:p w14:paraId="317711F9">
      <w:pPr>
        <w:pStyle w:val="39"/>
        <w:jc w:val="both"/>
        <w:rPr>
          <w:rFonts w:hint="eastAsia" w:cs="宋体"/>
          <w:szCs w:val="24"/>
        </w:rPr>
      </w:pPr>
      <w:r>
        <w:rPr>
          <w:rFonts w:hint="eastAsia" w:cs="宋体"/>
          <w:szCs w:val="24"/>
        </w:rPr>
        <w:t>（</w:t>
      </w:r>
      <w:r>
        <w:rPr>
          <w:rFonts w:hint="eastAsia" w:cs="宋体"/>
          <w:szCs w:val="24"/>
          <w:lang w:val="en-US"/>
        </w:rPr>
        <w:t>5</w:t>
      </w:r>
      <w:r>
        <w:rPr>
          <w:rFonts w:hint="eastAsia" w:cs="宋体"/>
          <w:szCs w:val="24"/>
        </w:rPr>
        <w:t>）质疑答复人名称；</w:t>
      </w:r>
    </w:p>
    <w:p w14:paraId="3FF94EE8">
      <w:pPr>
        <w:pStyle w:val="39"/>
        <w:jc w:val="both"/>
        <w:rPr>
          <w:rFonts w:hint="eastAsia" w:cs="宋体"/>
          <w:szCs w:val="24"/>
        </w:rPr>
      </w:pPr>
      <w:r>
        <w:rPr>
          <w:rFonts w:hint="eastAsia" w:cs="宋体"/>
          <w:szCs w:val="24"/>
        </w:rPr>
        <w:t>（</w:t>
      </w:r>
      <w:r>
        <w:rPr>
          <w:rFonts w:hint="eastAsia" w:cs="宋体"/>
          <w:szCs w:val="24"/>
          <w:lang w:val="en-US"/>
        </w:rPr>
        <w:t>6</w:t>
      </w:r>
      <w:r>
        <w:rPr>
          <w:rFonts w:hint="eastAsia" w:cs="宋体"/>
          <w:szCs w:val="24"/>
        </w:rPr>
        <w:t>）答复质疑的日期。</w:t>
      </w:r>
    </w:p>
    <w:p w14:paraId="5A54DEC4">
      <w:pPr>
        <w:pStyle w:val="39"/>
        <w:jc w:val="both"/>
        <w:rPr>
          <w:rFonts w:hint="eastAsia" w:cs="宋体"/>
          <w:szCs w:val="24"/>
        </w:rPr>
      </w:pPr>
      <w:r>
        <w:rPr>
          <w:rFonts w:hint="eastAsia" w:cs="宋体"/>
          <w:szCs w:val="24"/>
        </w:rPr>
        <w:t>质疑答复的内容不得涉及商业秘密。</w:t>
      </w:r>
    </w:p>
    <w:p w14:paraId="04F2DFCC">
      <w:pPr>
        <w:pStyle w:val="6"/>
        <w:keepNext w:val="0"/>
        <w:keepLines w:val="0"/>
        <w:spacing w:before="80" w:after="80" w:line="240" w:lineRule="auto"/>
        <w:ind w:left="420" w:hanging="420"/>
        <w:jc w:val="both"/>
        <w:rPr>
          <w:rFonts w:hint="eastAsia" w:ascii="宋体" w:hAnsi="宋体" w:cs="宋体"/>
          <w:sz w:val="24"/>
          <w:szCs w:val="24"/>
        </w:rPr>
      </w:pPr>
      <w:bookmarkStart w:id="282" w:name="_Toc7181"/>
      <w:r>
        <w:rPr>
          <w:rFonts w:hint="eastAsia" w:ascii="宋体" w:hAnsi="宋体" w:cs="宋体"/>
          <w:sz w:val="24"/>
          <w:szCs w:val="24"/>
        </w:rPr>
        <w:t>37.投诉</w:t>
      </w:r>
      <w:bookmarkEnd w:id="280"/>
      <w:bookmarkEnd w:id="281"/>
      <w:bookmarkEnd w:id="282"/>
    </w:p>
    <w:p w14:paraId="7480395F">
      <w:pPr>
        <w:pStyle w:val="39"/>
        <w:jc w:val="both"/>
        <w:rPr>
          <w:rFonts w:hint="eastAsia" w:cs="宋体"/>
          <w:szCs w:val="24"/>
        </w:rPr>
      </w:pPr>
      <w:r>
        <w:rPr>
          <w:rFonts w:hint="eastAsia" w:cs="宋体"/>
          <w:szCs w:val="24"/>
          <w:lang w:val="en-US"/>
        </w:rPr>
        <w:t>37.1</w:t>
      </w:r>
      <w:r>
        <w:rPr>
          <w:rFonts w:hint="eastAsia" w:cs="宋体"/>
          <w:szCs w:val="24"/>
        </w:rPr>
        <w:t>质疑供应商对采购人、采购代理机构的答复不满意，或者采购人、采购代理机构未在规定时间内作出答复的，可以在答复期满后15个工作日内向</w:t>
      </w:r>
      <w:r>
        <w:rPr>
          <w:rFonts w:hint="eastAsia" w:cs="宋体"/>
          <w:szCs w:val="24"/>
          <w:lang w:val="en-US"/>
        </w:rPr>
        <w:t>同级政府采购监督管理部门</w:t>
      </w:r>
      <w:r>
        <w:rPr>
          <w:rFonts w:hint="eastAsia" w:cs="宋体"/>
          <w:szCs w:val="24"/>
        </w:rPr>
        <w:t>提起投诉。</w:t>
      </w:r>
    </w:p>
    <w:p w14:paraId="7625EE6A">
      <w:pPr>
        <w:pStyle w:val="39"/>
        <w:jc w:val="both"/>
        <w:rPr>
          <w:rFonts w:hint="eastAsia" w:cs="宋体"/>
          <w:szCs w:val="24"/>
        </w:rPr>
      </w:pPr>
      <w:r>
        <w:rPr>
          <w:rFonts w:hint="eastAsia" w:cs="宋体"/>
          <w:szCs w:val="24"/>
          <w:lang w:val="en-US"/>
        </w:rPr>
        <w:t>37.2</w:t>
      </w:r>
      <w:r>
        <w:rPr>
          <w:rFonts w:hint="eastAsia" w:cs="宋体"/>
          <w:szCs w:val="24"/>
        </w:rPr>
        <w:t>投诉人投诉时,应当提交投诉书和必要的证明材料，并按照被投诉采购人、采购代理机构（以下简称被投诉人）和与投诉事项有关的供应商数量提供投诉书的副本。投诉书应当包括下列内容：</w:t>
      </w:r>
    </w:p>
    <w:p w14:paraId="283850EB">
      <w:pPr>
        <w:pStyle w:val="39"/>
        <w:jc w:val="both"/>
        <w:rPr>
          <w:rFonts w:hint="eastAsia" w:cs="宋体"/>
          <w:szCs w:val="24"/>
        </w:rPr>
      </w:pPr>
      <w:r>
        <w:rPr>
          <w:rFonts w:hint="eastAsia" w:cs="宋体"/>
          <w:szCs w:val="24"/>
        </w:rPr>
        <w:t>（</w:t>
      </w:r>
      <w:r>
        <w:rPr>
          <w:rFonts w:hint="eastAsia" w:cs="宋体"/>
          <w:szCs w:val="24"/>
          <w:lang w:val="en-US"/>
        </w:rPr>
        <w:t>1</w:t>
      </w:r>
      <w:r>
        <w:rPr>
          <w:rFonts w:hint="eastAsia" w:cs="宋体"/>
          <w:szCs w:val="24"/>
        </w:rPr>
        <w:t>）投诉人和被投诉人的姓名或者名称、通讯地址、邮编、联系人及联系电话；</w:t>
      </w:r>
    </w:p>
    <w:p w14:paraId="13851D51">
      <w:pPr>
        <w:pStyle w:val="39"/>
        <w:jc w:val="both"/>
        <w:rPr>
          <w:rFonts w:hint="eastAsia" w:cs="宋体"/>
          <w:szCs w:val="24"/>
        </w:rPr>
      </w:pPr>
      <w:r>
        <w:rPr>
          <w:rFonts w:hint="eastAsia" w:cs="宋体"/>
          <w:szCs w:val="24"/>
        </w:rPr>
        <w:t>（</w:t>
      </w:r>
      <w:r>
        <w:rPr>
          <w:rFonts w:hint="eastAsia" w:cs="宋体"/>
          <w:szCs w:val="24"/>
          <w:lang w:val="en-US"/>
        </w:rPr>
        <w:t>2</w:t>
      </w:r>
      <w:r>
        <w:rPr>
          <w:rFonts w:hint="eastAsia" w:cs="宋体"/>
          <w:szCs w:val="24"/>
        </w:rPr>
        <w:t>）质疑和质疑答复情况说明及相关证明材料；</w:t>
      </w:r>
    </w:p>
    <w:p w14:paraId="74C26D03">
      <w:pPr>
        <w:pStyle w:val="39"/>
        <w:jc w:val="both"/>
        <w:rPr>
          <w:rFonts w:hint="eastAsia" w:cs="宋体"/>
          <w:szCs w:val="24"/>
        </w:rPr>
      </w:pPr>
      <w:r>
        <w:rPr>
          <w:rFonts w:hint="eastAsia" w:cs="宋体"/>
          <w:szCs w:val="24"/>
        </w:rPr>
        <w:t>（</w:t>
      </w:r>
      <w:r>
        <w:rPr>
          <w:rFonts w:hint="eastAsia" w:cs="宋体"/>
          <w:szCs w:val="24"/>
          <w:lang w:val="en-US"/>
        </w:rPr>
        <w:t>3</w:t>
      </w:r>
      <w:r>
        <w:rPr>
          <w:rFonts w:hint="eastAsia" w:cs="宋体"/>
          <w:szCs w:val="24"/>
        </w:rPr>
        <w:t>）具体、明确的投诉事项和与投诉事项相关的投诉请求；</w:t>
      </w:r>
    </w:p>
    <w:p w14:paraId="61DCFBF5">
      <w:pPr>
        <w:pStyle w:val="39"/>
        <w:jc w:val="both"/>
        <w:rPr>
          <w:rFonts w:hint="eastAsia" w:cs="宋体"/>
          <w:szCs w:val="24"/>
        </w:rPr>
      </w:pPr>
      <w:r>
        <w:rPr>
          <w:rFonts w:hint="eastAsia" w:cs="宋体"/>
          <w:szCs w:val="24"/>
        </w:rPr>
        <w:t>（</w:t>
      </w:r>
      <w:r>
        <w:rPr>
          <w:rFonts w:hint="eastAsia" w:cs="宋体"/>
          <w:szCs w:val="24"/>
          <w:lang w:val="en-US"/>
        </w:rPr>
        <w:t>4</w:t>
      </w:r>
      <w:r>
        <w:rPr>
          <w:rFonts w:hint="eastAsia" w:cs="宋体"/>
          <w:szCs w:val="24"/>
        </w:rPr>
        <w:t>）事实依据；</w:t>
      </w:r>
    </w:p>
    <w:p w14:paraId="75BAC72F">
      <w:pPr>
        <w:pStyle w:val="39"/>
        <w:jc w:val="both"/>
        <w:rPr>
          <w:rFonts w:hint="eastAsia" w:cs="宋体"/>
          <w:szCs w:val="24"/>
        </w:rPr>
      </w:pPr>
      <w:r>
        <w:rPr>
          <w:rFonts w:hint="eastAsia" w:cs="宋体"/>
          <w:szCs w:val="24"/>
        </w:rPr>
        <w:t>（</w:t>
      </w:r>
      <w:r>
        <w:rPr>
          <w:rFonts w:hint="eastAsia" w:cs="宋体"/>
          <w:szCs w:val="24"/>
          <w:lang w:val="en-US"/>
        </w:rPr>
        <w:t>5</w:t>
      </w:r>
      <w:r>
        <w:rPr>
          <w:rFonts w:hint="eastAsia" w:cs="宋体"/>
          <w:szCs w:val="24"/>
        </w:rPr>
        <w:t>）法律依据；</w:t>
      </w:r>
    </w:p>
    <w:p w14:paraId="19784678">
      <w:pPr>
        <w:pStyle w:val="39"/>
        <w:jc w:val="both"/>
        <w:rPr>
          <w:rFonts w:hint="eastAsia" w:cs="宋体"/>
          <w:szCs w:val="24"/>
        </w:rPr>
      </w:pPr>
      <w:r>
        <w:rPr>
          <w:rFonts w:hint="eastAsia" w:cs="宋体"/>
          <w:szCs w:val="24"/>
        </w:rPr>
        <w:t>（</w:t>
      </w:r>
      <w:r>
        <w:rPr>
          <w:rFonts w:hint="eastAsia" w:cs="宋体"/>
          <w:szCs w:val="24"/>
          <w:lang w:val="en-US"/>
        </w:rPr>
        <w:t>6</w:t>
      </w:r>
      <w:r>
        <w:rPr>
          <w:rFonts w:hint="eastAsia" w:cs="宋体"/>
          <w:szCs w:val="24"/>
        </w:rPr>
        <w:t>）提起投诉的日期。</w:t>
      </w:r>
    </w:p>
    <w:p w14:paraId="36342EC1">
      <w:pPr>
        <w:pStyle w:val="39"/>
        <w:jc w:val="both"/>
        <w:rPr>
          <w:rFonts w:hint="eastAsia" w:cs="宋体"/>
          <w:szCs w:val="24"/>
        </w:rPr>
      </w:pPr>
      <w:r>
        <w:rPr>
          <w:rFonts w:hint="eastAsia" w:cs="宋体"/>
          <w:szCs w:val="24"/>
        </w:rPr>
        <w:t>投诉人为自然人的，应当由本人签字；投诉人为法人或者其他组织的，应当由法定代表人、主要负责人，或者其授权代表签字或者盖章，并加盖公章。</w:t>
      </w:r>
    </w:p>
    <w:p w14:paraId="0AF26EB2">
      <w:pPr>
        <w:pStyle w:val="39"/>
        <w:jc w:val="both"/>
        <w:rPr>
          <w:rFonts w:hint="eastAsia" w:cs="宋体"/>
          <w:bCs/>
          <w:szCs w:val="24"/>
        </w:rPr>
      </w:pPr>
      <w:r>
        <w:rPr>
          <w:rFonts w:hint="eastAsia" w:cs="宋体"/>
          <w:szCs w:val="24"/>
          <w:lang w:val="en-US"/>
        </w:rPr>
        <w:t>37.3</w:t>
      </w:r>
      <w:r>
        <w:rPr>
          <w:rFonts w:hint="eastAsia" w:cs="宋体"/>
          <w:szCs w:val="24"/>
        </w:rPr>
        <w:t>供应商</w:t>
      </w:r>
      <w:r>
        <w:rPr>
          <w:rFonts w:hint="eastAsia" w:cs="宋体"/>
          <w:szCs w:val="24"/>
          <w:lang w:val="en-US"/>
        </w:rPr>
        <w:t>质疑、</w:t>
      </w:r>
      <w:r>
        <w:rPr>
          <w:rFonts w:hint="eastAsia" w:cs="宋体"/>
          <w:szCs w:val="24"/>
        </w:rPr>
        <w:t>投诉</w:t>
      </w:r>
      <w:r>
        <w:rPr>
          <w:rFonts w:hint="eastAsia" w:cs="宋体"/>
          <w:szCs w:val="24"/>
          <w:lang w:val="en-US"/>
        </w:rPr>
        <w:t>应当有明确的请求和必要的证明材料</w:t>
      </w:r>
      <w:r>
        <w:rPr>
          <w:rFonts w:hint="eastAsia" w:cs="宋体"/>
          <w:szCs w:val="24"/>
        </w:rPr>
        <w:t>。供应商投诉的事项不得超出</w:t>
      </w:r>
      <w:r>
        <w:rPr>
          <w:rFonts w:hint="eastAsia" w:cs="宋体"/>
          <w:szCs w:val="24"/>
          <w:lang w:val="en-US"/>
        </w:rPr>
        <w:t>已</w:t>
      </w:r>
      <w:r>
        <w:rPr>
          <w:rFonts w:hint="eastAsia" w:cs="宋体"/>
          <w:szCs w:val="24"/>
        </w:rPr>
        <w:t>质疑事项的范围，但基于质疑答复内容提出的投诉事项除外</w:t>
      </w:r>
      <w:r>
        <w:rPr>
          <w:rFonts w:hint="eastAsia" w:cs="宋体"/>
          <w:bCs/>
          <w:szCs w:val="24"/>
        </w:rPr>
        <w:t>。</w:t>
      </w:r>
    </w:p>
    <w:p w14:paraId="118D4835">
      <w:pPr>
        <w:pStyle w:val="39"/>
        <w:jc w:val="both"/>
        <w:rPr>
          <w:rFonts w:hint="eastAsia" w:cs="宋体"/>
          <w:bCs/>
          <w:szCs w:val="24"/>
        </w:rPr>
      </w:pPr>
      <w:r>
        <w:rPr>
          <w:rFonts w:hint="eastAsia" w:cs="宋体"/>
          <w:snapToGrid w:val="0"/>
          <w:szCs w:val="24"/>
          <w:lang w:val="en-US"/>
        </w:rPr>
        <w:t>37.4</w:t>
      </w:r>
      <w:r>
        <w:rPr>
          <w:rFonts w:hint="eastAsia" w:cs="宋体"/>
          <w:szCs w:val="24"/>
          <w:lang w:val="en-US"/>
        </w:rPr>
        <w:t>投诉书应当使用中文，并采用财政部门制定的范本。</w:t>
      </w:r>
    </w:p>
    <w:p w14:paraId="7417CCCD">
      <w:pPr>
        <w:pStyle w:val="5"/>
        <w:keepNext w:val="0"/>
        <w:keepLines w:val="0"/>
        <w:spacing w:before="120" w:after="120" w:line="240" w:lineRule="auto"/>
        <w:ind w:left="420" w:hanging="420"/>
        <w:jc w:val="both"/>
        <w:rPr>
          <w:rFonts w:hint="eastAsia" w:cs="宋体"/>
          <w:sz w:val="24"/>
          <w:szCs w:val="24"/>
        </w:rPr>
      </w:pPr>
      <w:bookmarkStart w:id="283" w:name="_Toc155185882"/>
      <w:bookmarkStart w:id="284" w:name="_Toc163492870"/>
      <w:bookmarkStart w:id="285" w:name="_Toc10455"/>
      <w:bookmarkStart w:id="286" w:name="_Toc140132803"/>
      <w:r>
        <w:rPr>
          <w:rFonts w:hint="eastAsia" w:cs="宋体"/>
          <w:sz w:val="24"/>
          <w:szCs w:val="24"/>
        </w:rPr>
        <w:t>（十一）采购代理服务费</w:t>
      </w:r>
      <w:bookmarkEnd w:id="283"/>
      <w:bookmarkEnd w:id="284"/>
      <w:bookmarkEnd w:id="285"/>
      <w:bookmarkEnd w:id="286"/>
    </w:p>
    <w:p w14:paraId="5018D37A">
      <w:pPr>
        <w:pStyle w:val="6"/>
        <w:keepNext w:val="0"/>
        <w:keepLines w:val="0"/>
        <w:spacing w:before="80" w:after="80" w:line="240" w:lineRule="auto"/>
        <w:ind w:left="420" w:hanging="420"/>
        <w:jc w:val="both"/>
        <w:rPr>
          <w:rFonts w:hint="eastAsia" w:ascii="宋体" w:hAnsi="宋体" w:cs="宋体"/>
          <w:sz w:val="24"/>
          <w:szCs w:val="24"/>
        </w:rPr>
      </w:pPr>
      <w:bookmarkStart w:id="287" w:name="_Toc8855"/>
      <w:bookmarkStart w:id="288" w:name="_Toc140132804"/>
      <w:bookmarkStart w:id="289" w:name="_Toc163492871"/>
      <w:r>
        <w:rPr>
          <w:rFonts w:hint="eastAsia" w:ascii="宋体" w:hAnsi="宋体" w:cs="宋体"/>
          <w:sz w:val="24"/>
          <w:szCs w:val="24"/>
        </w:rPr>
        <w:t>38.收取方式和标准</w:t>
      </w:r>
      <w:bookmarkEnd w:id="287"/>
      <w:bookmarkEnd w:id="288"/>
      <w:bookmarkEnd w:id="289"/>
    </w:p>
    <w:p w14:paraId="6375C4A9">
      <w:pPr>
        <w:pStyle w:val="39"/>
        <w:jc w:val="both"/>
        <w:rPr>
          <w:rFonts w:hint="eastAsia" w:cs="宋体"/>
          <w:szCs w:val="24"/>
        </w:rPr>
      </w:pPr>
      <w:r>
        <w:rPr>
          <w:rFonts w:hint="eastAsia" w:cs="宋体"/>
          <w:bCs/>
          <w:szCs w:val="24"/>
        </w:rPr>
        <w:t>3</w:t>
      </w:r>
      <w:r>
        <w:rPr>
          <w:rFonts w:hint="eastAsia" w:cs="宋体"/>
          <w:bCs/>
          <w:szCs w:val="24"/>
          <w:lang w:val="en-US"/>
        </w:rPr>
        <w:t>8</w:t>
      </w:r>
      <w:r>
        <w:rPr>
          <w:rFonts w:hint="eastAsia" w:cs="宋体"/>
          <w:szCs w:val="24"/>
        </w:rPr>
        <w:t>.1采购代理机构按“投标人须知前附表”规定的方式和标准收取采购代理服务费。</w:t>
      </w:r>
    </w:p>
    <w:p w14:paraId="38068354">
      <w:pPr>
        <w:pStyle w:val="5"/>
        <w:keepNext w:val="0"/>
        <w:keepLines w:val="0"/>
        <w:spacing w:before="120" w:after="120" w:line="240" w:lineRule="auto"/>
        <w:ind w:left="420" w:hanging="420"/>
        <w:jc w:val="both"/>
        <w:rPr>
          <w:rFonts w:hint="eastAsia" w:cs="宋体"/>
          <w:sz w:val="24"/>
          <w:szCs w:val="24"/>
        </w:rPr>
      </w:pPr>
      <w:bookmarkStart w:id="290" w:name="_Toc10992"/>
      <w:bookmarkStart w:id="291" w:name="_Toc163492872"/>
      <w:bookmarkStart w:id="292" w:name="_Toc140132805"/>
      <w:bookmarkStart w:id="293" w:name="_Toc155185883"/>
      <w:r>
        <w:rPr>
          <w:rFonts w:hint="eastAsia" w:cs="宋体"/>
          <w:sz w:val="24"/>
          <w:szCs w:val="24"/>
        </w:rPr>
        <w:t>（十二）无效投标和废标</w:t>
      </w:r>
      <w:bookmarkEnd w:id="290"/>
      <w:bookmarkEnd w:id="291"/>
      <w:bookmarkEnd w:id="292"/>
      <w:bookmarkEnd w:id="293"/>
    </w:p>
    <w:p w14:paraId="6CE8F19F">
      <w:pPr>
        <w:pStyle w:val="6"/>
        <w:keepNext w:val="0"/>
        <w:keepLines w:val="0"/>
        <w:spacing w:before="80" w:after="80" w:line="240" w:lineRule="auto"/>
        <w:ind w:left="420" w:hanging="420"/>
        <w:jc w:val="both"/>
        <w:rPr>
          <w:rFonts w:hint="eastAsia" w:ascii="宋体" w:hAnsi="宋体" w:cs="宋体"/>
          <w:sz w:val="24"/>
          <w:szCs w:val="24"/>
        </w:rPr>
      </w:pPr>
      <w:bookmarkStart w:id="294" w:name="_Toc28487"/>
      <w:bookmarkStart w:id="295" w:name="_Toc140132806"/>
      <w:bookmarkStart w:id="296" w:name="_Toc163492873"/>
      <w:r>
        <w:rPr>
          <w:rFonts w:hint="eastAsia" w:ascii="宋体" w:hAnsi="宋体" w:cs="宋体"/>
          <w:sz w:val="24"/>
          <w:szCs w:val="24"/>
        </w:rPr>
        <w:t>39.无效投标</w:t>
      </w:r>
      <w:bookmarkEnd w:id="294"/>
      <w:bookmarkEnd w:id="295"/>
      <w:bookmarkEnd w:id="296"/>
    </w:p>
    <w:p w14:paraId="3F8A653C">
      <w:pPr>
        <w:pStyle w:val="39"/>
        <w:jc w:val="both"/>
        <w:rPr>
          <w:rFonts w:hint="eastAsia" w:cs="宋体"/>
          <w:szCs w:val="24"/>
        </w:rPr>
      </w:pPr>
      <w:r>
        <w:rPr>
          <w:rFonts w:hint="eastAsia" w:cs="宋体"/>
          <w:szCs w:val="24"/>
          <w:lang w:val="en-US"/>
        </w:rPr>
        <w:t>39</w:t>
      </w:r>
      <w:r>
        <w:rPr>
          <w:rFonts w:hint="eastAsia" w:cs="宋体"/>
          <w:szCs w:val="24"/>
        </w:rPr>
        <w:t>.1投标文件存在“第四章</w:t>
      </w:r>
      <w:r>
        <w:rPr>
          <w:rFonts w:hint="eastAsia" w:cs="宋体"/>
          <w:szCs w:val="24"/>
          <w:lang w:val="en-US"/>
        </w:rPr>
        <w:t xml:space="preserve"> </w:t>
      </w:r>
      <w:r>
        <w:rPr>
          <w:rFonts w:hint="eastAsia" w:cs="宋体"/>
          <w:szCs w:val="24"/>
        </w:rPr>
        <w:t>资格审查”、“第五章</w:t>
      </w:r>
      <w:r>
        <w:rPr>
          <w:rFonts w:hint="eastAsia" w:cs="宋体"/>
          <w:szCs w:val="24"/>
          <w:lang w:val="en-US"/>
        </w:rPr>
        <w:t xml:space="preserve"> </w:t>
      </w:r>
      <w:r>
        <w:rPr>
          <w:rFonts w:hint="eastAsia" w:cs="宋体"/>
          <w:szCs w:val="24"/>
        </w:rPr>
        <w:t>评标</w:t>
      </w:r>
      <w:r>
        <w:rPr>
          <w:rFonts w:hint="eastAsia" w:cs="宋体"/>
          <w:szCs w:val="24"/>
          <w:lang w:val="en-US"/>
        </w:rPr>
        <w:t>方</w:t>
      </w:r>
      <w:r>
        <w:rPr>
          <w:rFonts w:hint="eastAsia" w:cs="宋体"/>
          <w:szCs w:val="24"/>
        </w:rPr>
        <w:t>法及标准”</w:t>
      </w:r>
      <w:r>
        <w:rPr>
          <w:rFonts w:hint="eastAsia" w:cs="宋体"/>
          <w:szCs w:val="24"/>
          <w:lang w:val="en-US"/>
        </w:rPr>
        <w:t>及本招标文件</w:t>
      </w:r>
      <w:r>
        <w:rPr>
          <w:rFonts w:hint="eastAsia" w:cs="宋体"/>
          <w:szCs w:val="24"/>
        </w:rPr>
        <w:t>规定的投标无效情形的，其</w:t>
      </w:r>
      <w:r>
        <w:rPr>
          <w:rFonts w:hint="eastAsia" w:cs="宋体"/>
          <w:b/>
          <w:bCs/>
          <w:szCs w:val="24"/>
        </w:rPr>
        <w:t>投标无效</w:t>
      </w:r>
      <w:r>
        <w:rPr>
          <w:rFonts w:hint="eastAsia" w:cs="宋体"/>
          <w:szCs w:val="24"/>
        </w:rPr>
        <w:t>。</w:t>
      </w:r>
    </w:p>
    <w:p w14:paraId="3B5A8E08">
      <w:pPr>
        <w:pStyle w:val="6"/>
        <w:keepNext w:val="0"/>
        <w:keepLines w:val="0"/>
        <w:spacing w:before="80" w:after="80" w:line="240" w:lineRule="auto"/>
        <w:ind w:left="420" w:hanging="420"/>
        <w:jc w:val="both"/>
        <w:rPr>
          <w:rFonts w:hint="eastAsia" w:ascii="宋体" w:hAnsi="宋体" w:cs="宋体"/>
          <w:sz w:val="24"/>
          <w:szCs w:val="24"/>
        </w:rPr>
      </w:pPr>
      <w:bookmarkStart w:id="297" w:name="_Toc3980"/>
      <w:bookmarkStart w:id="298" w:name="_Toc140132807"/>
      <w:bookmarkStart w:id="299" w:name="_Toc163492874"/>
      <w:r>
        <w:rPr>
          <w:rFonts w:hint="eastAsia" w:ascii="宋体" w:hAnsi="宋体" w:cs="宋体"/>
          <w:sz w:val="24"/>
          <w:szCs w:val="24"/>
        </w:rPr>
        <w:t>40.废标</w:t>
      </w:r>
      <w:bookmarkEnd w:id="297"/>
      <w:bookmarkEnd w:id="298"/>
      <w:bookmarkEnd w:id="299"/>
    </w:p>
    <w:p w14:paraId="1C079D94">
      <w:pPr>
        <w:pStyle w:val="39"/>
        <w:jc w:val="both"/>
        <w:rPr>
          <w:rFonts w:hint="eastAsia" w:cs="宋体"/>
          <w:szCs w:val="24"/>
        </w:rPr>
      </w:pPr>
      <w:r>
        <w:rPr>
          <w:rFonts w:hint="eastAsia" w:cs="宋体"/>
          <w:szCs w:val="24"/>
        </w:rPr>
        <w:t>4</w:t>
      </w:r>
      <w:r>
        <w:rPr>
          <w:rFonts w:hint="eastAsia" w:cs="宋体"/>
          <w:szCs w:val="24"/>
          <w:lang w:val="en-US"/>
        </w:rPr>
        <w:t>0</w:t>
      </w:r>
      <w:r>
        <w:rPr>
          <w:rFonts w:hint="eastAsia" w:cs="宋体"/>
          <w:szCs w:val="24"/>
        </w:rPr>
        <w:t>.1在招标采购中出现有“第五章</w:t>
      </w:r>
      <w:r>
        <w:rPr>
          <w:rFonts w:hint="eastAsia" w:cs="宋体"/>
          <w:szCs w:val="24"/>
          <w:lang w:val="en-US"/>
        </w:rPr>
        <w:t xml:space="preserve"> </w:t>
      </w:r>
      <w:r>
        <w:rPr>
          <w:rFonts w:hint="eastAsia" w:cs="宋体"/>
          <w:szCs w:val="24"/>
        </w:rPr>
        <w:t>评标</w:t>
      </w:r>
      <w:r>
        <w:rPr>
          <w:rFonts w:hint="eastAsia" w:cs="宋体"/>
          <w:szCs w:val="24"/>
          <w:lang w:val="en-US"/>
        </w:rPr>
        <w:t>方</w:t>
      </w:r>
      <w:r>
        <w:rPr>
          <w:rFonts w:hint="eastAsia" w:cs="宋体"/>
          <w:szCs w:val="24"/>
        </w:rPr>
        <w:t>法及标准”</w:t>
      </w:r>
      <w:r>
        <w:rPr>
          <w:rFonts w:hint="eastAsia" w:cs="宋体"/>
          <w:szCs w:val="24"/>
          <w:lang w:val="en-US"/>
        </w:rPr>
        <w:t>及本招标文件</w:t>
      </w:r>
      <w:r>
        <w:rPr>
          <w:rFonts w:hint="eastAsia" w:cs="宋体"/>
          <w:szCs w:val="24"/>
        </w:rPr>
        <w:t>规定的废标情形的，应予以</w:t>
      </w:r>
      <w:r>
        <w:rPr>
          <w:rFonts w:hint="eastAsia" w:cs="宋体"/>
          <w:b/>
          <w:bCs/>
          <w:szCs w:val="24"/>
        </w:rPr>
        <w:t>废标</w:t>
      </w:r>
      <w:r>
        <w:rPr>
          <w:rFonts w:hint="eastAsia" w:cs="宋体"/>
          <w:szCs w:val="24"/>
        </w:rPr>
        <w:t>。</w:t>
      </w:r>
    </w:p>
    <w:p w14:paraId="6B34F3FB">
      <w:pPr>
        <w:pStyle w:val="5"/>
        <w:keepNext w:val="0"/>
        <w:keepLines w:val="0"/>
        <w:spacing w:before="120" w:after="120" w:line="240" w:lineRule="auto"/>
        <w:ind w:left="420" w:hanging="420"/>
        <w:jc w:val="both"/>
        <w:rPr>
          <w:rFonts w:hint="eastAsia" w:cs="宋体"/>
          <w:sz w:val="24"/>
          <w:szCs w:val="24"/>
        </w:rPr>
      </w:pPr>
      <w:bookmarkStart w:id="300" w:name="_Toc140132766"/>
      <w:bookmarkStart w:id="301" w:name="_Toc163492875"/>
      <w:bookmarkStart w:id="302" w:name="_Toc5781"/>
      <w:bookmarkStart w:id="303" w:name="_Toc140132808"/>
      <w:bookmarkStart w:id="304" w:name="_Toc155185884"/>
      <w:r>
        <w:rPr>
          <w:rFonts w:hint="eastAsia" w:cs="宋体"/>
          <w:sz w:val="24"/>
          <w:szCs w:val="24"/>
        </w:rPr>
        <w:t>（十三）落实政府采购政策</w:t>
      </w:r>
      <w:bookmarkEnd w:id="300"/>
      <w:bookmarkEnd w:id="301"/>
      <w:r>
        <w:rPr>
          <w:rFonts w:hint="eastAsia" w:cs="宋体"/>
          <w:sz w:val="24"/>
          <w:szCs w:val="24"/>
        </w:rPr>
        <w:t>（包括但不限于下列具体政策要求）</w:t>
      </w:r>
      <w:bookmarkEnd w:id="302"/>
    </w:p>
    <w:p w14:paraId="6980CD61">
      <w:pPr>
        <w:pStyle w:val="6"/>
        <w:keepNext w:val="0"/>
        <w:keepLines w:val="0"/>
        <w:spacing w:before="80" w:after="80" w:line="240" w:lineRule="auto"/>
        <w:ind w:left="420" w:hanging="420"/>
        <w:jc w:val="both"/>
        <w:rPr>
          <w:rFonts w:hint="eastAsia" w:ascii="宋体" w:hAnsi="宋体" w:cs="宋体"/>
          <w:sz w:val="24"/>
        </w:rPr>
      </w:pPr>
      <w:bookmarkStart w:id="305" w:name="_Toc163492876"/>
      <w:r>
        <w:rPr>
          <w:rFonts w:hint="eastAsia" w:ascii="宋体" w:hAnsi="宋体" w:cs="宋体"/>
          <w:sz w:val="24"/>
        </w:rPr>
        <w:t>41.本国产品和进口产品</w:t>
      </w:r>
      <w:bookmarkEnd w:id="305"/>
    </w:p>
    <w:p w14:paraId="0D540358">
      <w:pPr>
        <w:pStyle w:val="39"/>
        <w:jc w:val="both"/>
        <w:rPr>
          <w:rFonts w:hint="eastAsia"/>
          <w:snapToGrid w:val="0"/>
          <w:lang w:val="en-US"/>
        </w:rPr>
      </w:pPr>
      <w:r>
        <w:rPr>
          <w:rFonts w:hint="eastAsia"/>
          <w:snapToGrid w:val="0"/>
          <w:lang w:val="en-US"/>
        </w:rPr>
        <w:t>41.1本国产品标准及支持政策</w:t>
      </w:r>
    </w:p>
    <w:p w14:paraId="6B10F92B">
      <w:pPr>
        <w:pStyle w:val="39"/>
        <w:jc w:val="both"/>
        <w:rPr>
          <w:rFonts w:hint="eastAsia"/>
          <w:snapToGrid w:val="0"/>
          <w:lang w:val="en-US"/>
        </w:rPr>
      </w:pPr>
      <w:r>
        <w:rPr>
          <w:rFonts w:hint="eastAsia"/>
          <w:snapToGrid w:val="0"/>
          <w:lang w:val="en-US"/>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0533DB4A">
      <w:pPr>
        <w:pStyle w:val="39"/>
        <w:jc w:val="both"/>
        <w:rPr>
          <w:rFonts w:hint="eastAsia"/>
          <w:snapToGrid w:val="0"/>
          <w:lang w:val="en-US"/>
        </w:rPr>
      </w:pPr>
      <w:r>
        <w:rPr>
          <w:rFonts w:hint="eastAsia"/>
          <w:snapToGrid w:val="0"/>
          <w:lang w:val="en-US"/>
        </w:rPr>
        <w:t>41.1.2产品在境内生产的组件成本应达到财政部会同相关部门确定的总成本规定比例(具体产品目录及比例标准按国家后续发布的规定执行)。在分产品目</w:t>
      </w:r>
      <w:r>
        <w:rPr>
          <w:rFonts w:hint="eastAsia"/>
          <w:snapToGrid w:val="0"/>
          <w:spacing w:val="-6"/>
          <w:lang w:val="en-US"/>
        </w:rPr>
        <w:t>录及比例标准正式实施前的过渡期内，符合境内生产条件的产品，可视同本国产</w:t>
      </w:r>
      <w:r>
        <w:rPr>
          <w:rFonts w:hint="eastAsia"/>
          <w:snapToGrid w:val="0"/>
          <w:lang w:val="en-US"/>
        </w:rPr>
        <w:t>品。</w:t>
      </w:r>
    </w:p>
    <w:p w14:paraId="31705251">
      <w:pPr>
        <w:pStyle w:val="39"/>
        <w:jc w:val="both"/>
        <w:rPr>
          <w:rFonts w:hint="eastAsia"/>
          <w:snapToGrid w:val="0"/>
          <w:lang w:val="en-US"/>
        </w:rPr>
      </w:pPr>
      <w:r>
        <w:rPr>
          <w:rFonts w:hint="eastAsia"/>
          <w:snapToGrid w:val="0"/>
          <w:lang w:val="en-US"/>
        </w:rPr>
        <w:t>41.1.3对国家相关部门后续发布的特定产品清单内的产品，除满足上述条件外，还需同时满足关键组件境内生产、关键工序境内完成等特定要求。</w:t>
      </w:r>
    </w:p>
    <w:p w14:paraId="3D12BC40">
      <w:pPr>
        <w:pStyle w:val="39"/>
        <w:jc w:val="both"/>
        <w:rPr>
          <w:rFonts w:hint="eastAsia"/>
          <w:snapToGrid w:val="0"/>
          <w:lang w:val="en-US"/>
        </w:rPr>
      </w:pPr>
      <w:r>
        <w:rPr>
          <w:rFonts w:hint="eastAsia"/>
          <w:snapToGrid w:val="0"/>
          <w:lang w:val="en-US"/>
        </w:rPr>
        <w:t>41.1.4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12CCC064">
      <w:pPr>
        <w:pStyle w:val="39"/>
        <w:jc w:val="both"/>
        <w:rPr>
          <w:rFonts w:hint="eastAsia"/>
          <w:snapToGrid w:val="0"/>
          <w:lang w:val="en-US"/>
        </w:rPr>
      </w:pPr>
      <w:r>
        <w:rPr>
          <w:rFonts w:hint="eastAsia"/>
          <w:snapToGrid w:val="0"/>
          <w:lang w:val="en-US"/>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53FD6756">
      <w:pPr>
        <w:pStyle w:val="39"/>
        <w:jc w:val="both"/>
        <w:rPr>
          <w:rFonts w:hint="eastAsia"/>
          <w:snapToGrid w:val="0"/>
          <w:lang w:val="en-US"/>
        </w:rPr>
      </w:pPr>
      <w:r>
        <w:rPr>
          <w:rFonts w:hint="eastAsia"/>
          <w:snapToGrid w:val="0"/>
          <w:lang w:val="en-US"/>
        </w:rPr>
        <w:t>医疗器械产品，取得药品监督管理部门授予的准字号医疗器械注册证的，视为符合本国产品标准。</w:t>
      </w:r>
    </w:p>
    <w:p w14:paraId="3B72321F">
      <w:pPr>
        <w:pStyle w:val="39"/>
        <w:jc w:val="both"/>
        <w:rPr>
          <w:rFonts w:hint="eastAsia"/>
          <w:snapToGrid w:val="0"/>
          <w:lang w:val="en-US"/>
        </w:rPr>
      </w:pPr>
      <w:r>
        <w:rPr>
          <w:rFonts w:hint="eastAsia"/>
          <w:snapToGrid w:val="0"/>
          <w:lang w:val="en-US"/>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26F9ADF9">
      <w:pPr>
        <w:pStyle w:val="39"/>
        <w:jc w:val="both"/>
        <w:rPr>
          <w:rFonts w:hint="eastAsia"/>
          <w:snapToGrid w:val="0"/>
          <w:lang w:val="en-US"/>
        </w:rPr>
      </w:pPr>
      <w:r>
        <w:rPr>
          <w:rFonts w:hint="eastAsia"/>
          <w:snapToGrid w:val="0"/>
          <w:lang w:val="en-US"/>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5393F3B6">
      <w:pPr>
        <w:pStyle w:val="39"/>
        <w:jc w:val="both"/>
        <w:rPr>
          <w:rFonts w:hint="eastAsia"/>
          <w:snapToGrid w:val="0"/>
          <w:lang w:val="en-US"/>
        </w:rPr>
      </w:pPr>
      <w:r>
        <w:rPr>
          <w:rFonts w:hint="eastAsia"/>
          <w:snapToGrid w:val="0"/>
          <w:lang w:val="en-US"/>
        </w:rPr>
        <w:t>41.1.8对于仅有本国产品参与竞争的政府采购项目，本国产品不享受价格扣除评审优惠。</w:t>
      </w:r>
    </w:p>
    <w:p w14:paraId="6DF9672E">
      <w:pPr>
        <w:pStyle w:val="39"/>
        <w:jc w:val="both"/>
        <w:rPr>
          <w:rFonts w:hint="eastAsia"/>
          <w:snapToGrid w:val="0"/>
          <w:lang w:val="en-US"/>
        </w:rPr>
      </w:pPr>
      <w:r>
        <w:rPr>
          <w:rFonts w:hint="eastAsia"/>
          <w:snapToGrid w:val="0"/>
          <w:lang w:val="en-US"/>
        </w:rPr>
        <w:t>41.2进口产品</w:t>
      </w:r>
    </w:p>
    <w:p w14:paraId="13F8364A">
      <w:pPr>
        <w:pStyle w:val="39"/>
        <w:jc w:val="both"/>
        <w:rPr>
          <w:rFonts w:hint="eastAsia"/>
          <w:snapToGrid w:val="0"/>
        </w:rPr>
      </w:pPr>
      <w:r>
        <w:rPr>
          <w:rFonts w:hint="eastAsia"/>
          <w:snapToGrid w:val="0"/>
          <w:lang w:val="en-US"/>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344781FC">
      <w:pPr>
        <w:pStyle w:val="39"/>
        <w:jc w:val="both"/>
        <w:rPr>
          <w:rFonts w:hint="eastAsia" w:cs="宋体"/>
          <w:snapToGrid w:val="0"/>
          <w:szCs w:val="24"/>
          <w:lang w:val="en-US"/>
        </w:rPr>
      </w:pPr>
      <w:r>
        <w:rPr>
          <w:rFonts w:hint="eastAsia" w:cs="宋体"/>
          <w:snapToGrid w:val="0"/>
          <w:szCs w:val="24"/>
          <w:lang w:val="en-US"/>
        </w:rPr>
        <w:t xml:space="preserve">41.2.2进口产品指通过中国海关报关验放进入中国境内且产自关境外的产品，包括已经进入中国境内的进口产品。 </w:t>
      </w:r>
    </w:p>
    <w:p w14:paraId="365276DD">
      <w:pPr>
        <w:pStyle w:val="39"/>
        <w:jc w:val="both"/>
        <w:rPr>
          <w:rFonts w:hint="eastAsia" w:cs="宋体"/>
          <w:snapToGrid w:val="0"/>
          <w:szCs w:val="24"/>
          <w:lang w:val="en-US"/>
        </w:rPr>
      </w:pPr>
      <w:r>
        <w:rPr>
          <w:rFonts w:hint="eastAsia" w:cs="宋体"/>
          <w:snapToGrid w:val="0"/>
          <w:szCs w:val="24"/>
          <w:lang w:val="en-US"/>
        </w:rPr>
        <w:t>41.2.3若采购需求中写明允许采购进口产品，投标人应保证所投产品可履行合法报通关手续进入中国关境内。</w:t>
      </w:r>
    </w:p>
    <w:p w14:paraId="14A6DFB8">
      <w:pPr>
        <w:pStyle w:val="39"/>
        <w:jc w:val="both"/>
        <w:rPr>
          <w:rFonts w:hint="eastAsia" w:cs="宋体"/>
          <w:snapToGrid w:val="0"/>
          <w:szCs w:val="24"/>
          <w:lang w:val="en-US"/>
        </w:rPr>
      </w:pPr>
      <w:r>
        <w:rPr>
          <w:rFonts w:hint="eastAsia" w:cs="宋体"/>
          <w:snapToGrid w:val="0"/>
          <w:szCs w:val="24"/>
          <w:lang w:val="en-US"/>
        </w:rPr>
        <w:t>41.2.4若采购需求中未写明允许采购进口产品，如投标人所投产品为进口产品，其投标将被认定为</w:t>
      </w:r>
      <w:r>
        <w:rPr>
          <w:rFonts w:hint="eastAsia" w:cs="宋体"/>
          <w:b/>
          <w:bCs/>
          <w:snapToGrid w:val="0"/>
          <w:szCs w:val="24"/>
          <w:lang w:val="en-US"/>
        </w:rPr>
        <w:t>投标无效</w:t>
      </w:r>
      <w:r>
        <w:rPr>
          <w:rFonts w:hint="eastAsia" w:cs="宋体"/>
          <w:snapToGrid w:val="0"/>
          <w:szCs w:val="24"/>
          <w:lang w:val="en-US"/>
        </w:rPr>
        <w:t>。</w:t>
      </w:r>
    </w:p>
    <w:p w14:paraId="60E14ABE">
      <w:pPr>
        <w:pStyle w:val="6"/>
        <w:keepNext w:val="0"/>
        <w:keepLines w:val="0"/>
        <w:spacing w:before="80" w:after="80" w:line="240" w:lineRule="auto"/>
        <w:ind w:left="420" w:hanging="420"/>
        <w:jc w:val="both"/>
        <w:rPr>
          <w:rFonts w:hint="eastAsia" w:ascii="宋体" w:hAnsi="宋体" w:cs="宋体"/>
          <w:sz w:val="24"/>
          <w:szCs w:val="24"/>
        </w:rPr>
      </w:pPr>
      <w:bookmarkStart w:id="306" w:name="_Toc3821"/>
      <w:bookmarkStart w:id="307" w:name="_Toc163492877"/>
      <w:r>
        <w:rPr>
          <w:rFonts w:hint="eastAsia" w:ascii="宋体" w:hAnsi="宋体" w:cs="宋体"/>
          <w:sz w:val="24"/>
          <w:szCs w:val="24"/>
        </w:rPr>
        <w:t>42.中小企业、监狱企业及残疾人福利性单位</w:t>
      </w:r>
      <w:bookmarkEnd w:id="306"/>
      <w:bookmarkEnd w:id="307"/>
    </w:p>
    <w:p w14:paraId="3DFD3E01">
      <w:pPr>
        <w:pStyle w:val="39"/>
        <w:jc w:val="both"/>
        <w:rPr>
          <w:rFonts w:hint="eastAsia" w:cs="宋体"/>
          <w:snapToGrid w:val="0"/>
          <w:szCs w:val="24"/>
        </w:rPr>
      </w:pPr>
      <w:r>
        <w:rPr>
          <w:rFonts w:hint="eastAsia" w:cs="宋体"/>
          <w:snapToGrid w:val="0"/>
          <w:szCs w:val="24"/>
          <w:lang w:val="en-US"/>
        </w:rPr>
        <w:t>42</w:t>
      </w:r>
      <w:r>
        <w:rPr>
          <w:rFonts w:hint="eastAsia" w:cs="宋体"/>
          <w:snapToGrid w:val="0"/>
          <w:szCs w:val="24"/>
        </w:rPr>
        <w:t>.</w:t>
      </w:r>
      <w:r>
        <w:rPr>
          <w:rFonts w:hint="eastAsia" w:cs="宋体"/>
          <w:snapToGrid w:val="0"/>
          <w:szCs w:val="24"/>
          <w:lang w:val="en-US"/>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3740842E">
      <w:pPr>
        <w:pStyle w:val="39"/>
        <w:jc w:val="both"/>
        <w:rPr>
          <w:rFonts w:hint="eastAsia" w:cs="宋体"/>
          <w:snapToGrid w:val="0"/>
          <w:szCs w:val="24"/>
        </w:rPr>
      </w:pPr>
      <w:r>
        <w:rPr>
          <w:rFonts w:hint="eastAsia" w:cs="宋体"/>
          <w:snapToGrid w:val="0"/>
          <w:szCs w:val="24"/>
          <w:lang w:val="en-US"/>
        </w:rPr>
        <w:t>42</w:t>
      </w:r>
      <w:r>
        <w:rPr>
          <w:rFonts w:hint="eastAsia" w:cs="宋体"/>
          <w:snapToGrid w:val="0"/>
          <w:szCs w:val="24"/>
        </w:rPr>
        <w:t>.</w:t>
      </w:r>
      <w:r>
        <w:rPr>
          <w:rFonts w:hint="eastAsia" w:cs="宋体"/>
          <w:snapToGrid w:val="0"/>
          <w:szCs w:val="24"/>
          <w:lang w:val="en-US"/>
        </w:rPr>
        <w:t>2</w:t>
      </w:r>
      <w:r>
        <w:rPr>
          <w:rFonts w:hint="eastAsia" w:cs="宋体"/>
          <w:snapToGrid w:val="0"/>
          <w:szCs w:val="24"/>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需享受中小企业相关政策的，且符合上述文件规定的，应按本</w:t>
      </w:r>
      <w:r>
        <w:rPr>
          <w:rFonts w:hint="eastAsia" w:cs="宋体"/>
          <w:snapToGrid w:val="0"/>
          <w:szCs w:val="24"/>
          <w:lang w:val="en-US"/>
        </w:rPr>
        <w:t>招标</w:t>
      </w:r>
      <w:r>
        <w:rPr>
          <w:rFonts w:hint="eastAsia" w:cs="宋体"/>
          <w:snapToGrid w:val="0"/>
          <w:szCs w:val="24"/>
        </w:rPr>
        <w:t>文件规定格式提供“中小企业声明函”</w:t>
      </w:r>
      <w:r>
        <w:rPr>
          <w:rFonts w:hint="eastAsia" w:cs="宋体"/>
          <w:snapToGrid w:val="0"/>
          <w:szCs w:val="24"/>
          <w:lang w:val="en-US"/>
        </w:rPr>
        <w:t>或“</w:t>
      </w:r>
      <w:r>
        <w:rPr>
          <w:rFonts w:hint="eastAsia" w:cs="宋体"/>
          <w:snapToGrid w:val="0"/>
          <w:szCs w:val="24"/>
        </w:rPr>
        <w:t>监狱企业证明文件”</w:t>
      </w:r>
      <w:r>
        <w:rPr>
          <w:rFonts w:hint="eastAsia" w:cs="宋体"/>
          <w:snapToGrid w:val="0"/>
          <w:szCs w:val="24"/>
          <w:lang w:val="en-US"/>
        </w:rPr>
        <w:t>或</w:t>
      </w:r>
      <w:r>
        <w:rPr>
          <w:rFonts w:hint="eastAsia" w:cs="宋体"/>
          <w:snapToGrid w:val="0"/>
          <w:szCs w:val="24"/>
        </w:rPr>
        <w:t>“残疾人福利性单位声明函”，评审时，</w:t>
      </w:r>
      <w:r>
        <w:rPr>
          <w:rFonts w:hint="eastAsia" w:cs="宋体"/>
          <w:snapToGrid w:val="0"/>
          <w:szCs w:val="24"/>
          <w:lang w:val="en-US"/>
        </w:rPr>
        <w:t>评标委员会</w:t>
      </w:r>
      <w:r>
        <w:rPr>
          <w:rFonts w:hint="eastAsia" w:cs="宋体"/>
          <w:snapToGrid w:val="0"/>
          <w:szCs w:val="24"/>
        </w:rPr>
        <w:t>将依据本</w:t>
      </w:r>
      <w:r>
        <w:rPr>
          <w:rFonts w:hint="eastAsia" w:cs="宋体"/>
          <w:snapToGrid w:val="0"/>
          <w:szCs w:val="24"/>
          <w:lang w:val="en-US"/>
        </w:rPr>
        <w:t>招标</w:t>
      </w:r>
      <w:r>
        <w:rPr>
          <w:rFonts w:hint="eastAsia" w:cs="宋体"/>
          <w:snapToGrid w:val="0"/>
          <w:szCs w:val="24"/>
        </w:rPr>
        <w:t>文件“</w:t>
      </w:r>
      <w:r>
        <w:rPr>
          <w:rFonts w:hint="eastAsia" w:cs="宋体"/>
          <w:snapToGrid w:val="0"/>
          <w:szCs w:val="24"/>
          <w:lang w:val="en-US"/>
        </w:rPr>
        <w:t>投标人</w:t>
      </w:r>
      <w:r>
        <w:rPr>
          <w:rFonts w:hint="eastAsia" w:cs="宋体"/>
          <w:snapToGrid w:val="0"/>
          <w:szCs w:val="24"/>
        </w:rPr>
        <w:t>须知前附表”规定的报价扣除比例，对供应商报价进行价格扣除，用扣除后的价格参与评审；</w:t>
      </w:r>
      <w:r>
        <w:rPr>
          <w:rFonts w:hint="eastAsia" w:cs="宋体"/>
          <w:snapToGrid w:val="0"/>
          <w:szCs w:val="24"/>
          <w:lang w:val="en-US"/>
        </w:rPr>
        <w:t>招标</w:t>
      </w:r>
      <w:r>
        <w:rPr>
          <w:rFonts w:hint="eastAsia" w:cs="宋体"/>
          <w:snapToGrid w:val="0"/>
          <w:szCs w:val="24"/>
        </w:rPr>
        <w:t>公告中明确项目专门面向中小企业采购的，“中小企业声明函”为资格要求文件，供应商参与</w:t>
      </w:r>
      <w:r>
        <w:rPr>
          <w:rFonts w:hint="eastAsia" w:cs="宋体"/>
          <w:snapToGrid w:val="0"/>
          <w:szCs w:val="24"/>
          <w:lang w:val="en-US"/>
        </w:rPr>
        <w:t>投标</w:t>
      </w:r>
      <w:r>
        <w:rPr>
          <w:rFonts w:hint="eastAsia" w:cs="宋体"/>
          <w:snapToGrid w:val="0"/>
          <w:szCs w:val="24"/>
        </w:rPr>
        <w:t>须按本</w:t>
      </w:r>
      <w:r>
        <w:rPr>
          <w:rFonts w:hint="eastAsia" w:cs="宋体"/>
          <w:snapToGrid w:val="0"/>
          <w:szCs w:val="24"/>
          <w:lang w:val="en-US"/>
        </w:rPr>
        <w:t>招标</w:t>
      </w:r>
      <w:r>
        <w:rPr>
          <w:rFonts w:hint="eastAsia" w:cs="宋体"/>
          <w:snapToGrid w:val="0"/>
          <w:szCs w:val="24"/>
        </w:rPr>
        <w:t>文件规定格式提供“中小企业声明函”</w:t>
      </w:r>
      <w:r>
        <w:rPr>
          <w:rFonts w:hint="eastAsia" w:cs="宋体"/>
          <w:snapToGrid w:val="0"/>
          <w:szCs w:val="24"/>
          <w:lang w:val="en-US"/>
        </w:rPr>
        <w:t>或“</w:t>
      </w:r>
      <w:r>
        <w:rPr>
          <w:rFonts w:hint="eastAsia" w:cs="宋体"/>
          <w:snapToGrid w:val="0"/>
          <w:szCs w:val="24"/>
        </w:rPr>
        <w:t>监狱企业证明文件”</w:t>
      </w:r>
      <w:r>
        <w:rPr>
          <w:rFonts w:hint="eastAsia" w:cs="宋体"/>
          <w:snapToGrid w:val="0"/>
          <w:szCs w:val="24"/>
          <w:lang w:val="en-US"/>
        </w:rPr>
        <w:t>或</w:t>
      </w:r>
      <w:r>
        <w:rPr>
          <w:rFonts w:hint="eastAsia" w:cs="宋体"/>
          <w:snapToGrid w:val="0"/>
          <w:szCs w:val="24"/>
        </w:rPr>
        <w:t>“残疾人福利性单位声明函”等作为资格证明文件。</w:t>
      </w:r>
      <w:r>
        <w:rPr>
          <w:rFonts w:hint="eastAsia" w:cs="宋体"/>
          <w:snapToGrid w:val="0"/>
          <w:szCs w:val="24"/>
          <w:lang w:val="en-US"/>
        </w:rPr>
        <w:t xml:space="preserve"> </w:t>
      </w:r>
    </w:p>
    <w:p w14:paraId="411BAE0E">
      <w:pPr>
        <w:pStyle w:val="39"/>
        <w:jc w:val="both"/>
        <w:rPr>
          <w:rFonts w:hint="eastAsia" w:cs="宋体"/>
          <w:snapToGrid w:val="0"/>
          <w:szCs w:val="24"/>
        </w:rPr>
      </w:pPr>
      <w:r>
        <w:rPr>
          <w:rFonts w:hint="eastAsia" w:cs="宋体"/>
          <w:snapToGrid w:val="0"/>
          <w:szCs w:val="24"/>
          <w:lang w:val="en-US"/>
        </w:rPr>
        <w:t xml:space="preserve">42.3 供应商提供的货物、工程或者服务符合下列情形的，享受中小企业扶持政策： </w:t>
      </w:r>
    </w:p>
    <w:p w14:paraId="5DF124A7">
      <w:pPr>
        <w:pStyle w:val="39"/>
        <w:jc w:val="both"/>
        <w:rPr>
          <w:rFonts w:hint="eastAsia" w:cs="宋体"/>
          <w:snapToGrid w:val="0"/>
          <w:szCs w:val="24"/>
        </w:rPr>
      </w:pPr>
      <w:r>
        <w:rPr>
          <w:rFonts w:hint="eastAsia" w:cs="宋体"/>
          <w:snapToGrid w:val="0"/>
          <w:szCs w:val="24"/>
          <w:lang w:val="en-US"/>
        </w:rPr>
        <w:t xml:space="preserve">（1）在货物采购项目中，货物由中小企业制造，即货物由中小企业生产且使用该中小企业商号或者注册商标； </w:t>
      </w:r>
    </w:p>
    <w:p w14:paraId="07180525">
      <w:pPr>
        <w:pStyle w:val="39"/>
        <w:jc w:val="both"/>
        <w:rPr>
          <w:rFonts w:hint="eastAsia" w:cs="宋体"/>
          <w:snapToGrid w:val="0"/>
          <w:szCs w:val="24"/>
        </w:rPr>
      </w:pPr>
      <w:r>
        <w:rPr>
          <w:rFonts w:hint="eastAsia" w:cs="宋体"/>
          <w:snapToGrid w:val="0"/>
          <w:szCs w:val="24"/>
          <w:lang w:val="en-US"/>
        </w:rPr>
        <w:t xml:space="preserve">（2）在工程采购项目中，工程由中小企业承建，即工程施工单位为中小企业； </w:t>
      </w:r>
    </w:p>
    <w:p w14:paraId="3F8A1430">
      <w:pPr>
        <w:pStyle w:val="39"/>
        <w:jc w:val="both"/>
        <w:rPr>
          <w:rFonts w:hint="eastAsia" w:cs="宋体"/>
          <w:snapToGrid w:val="0"/>
          <w:szCs w:val="24"/>
        </w:rPr>
      </w:pPr>
      <w:r>
        <w:rPr>
          <w:rFonts w:hint="eastAsia" w:cs="宋体"/>
          <w:snapToGrid w:val="0"/>
          <w:szCs w:val="24"/>
          <w:lang w:val="en-US"/>
        </w:rPr>
        <w:t>（3）在服务采购项目中，服务由中小企业承接，即提供服务的人员为中小企业依照《中华人民共和国劳动合同法》订立劳动合同的从业人员。</w:t>
      </w:r>
    </w:p>
    <w:p w14:paraId="2F3554AC">
      <w:pPr>
        <w:pStyle w:val="39"/>
        <w:jc w:val="both"/>
        <w:rPr>
          <w:rFonts w:hint="eastAsia" w:cs="宋体"/>
          <w:snapToGrid w:val="0"/>
          <w:szCs w:val="24"/>
        </w:rPr>
      </w:pPr>
      <w:r>
        <w:rPr>
          <w:rFonts w:hint="eastAsia" w:cs="宋体"/>
          <w:snapToGrid w:val="0"/>
          <w:szCs w:val="24"/>
          <w:lang w:val="en-US"/>
        </w:rPr>
        <w:t xml:space="preserve">42.4 在服务采购项目中，供应商提供的服务既有中小企业承接，也有大型企业承接的，不享受中小企业扶持政策。 </w:t>
      </w:r>
    </w:p>
    <w:p w14:paraId="2BFE1F28">
      <w:pPr>
        <w:pStyle w:val="39"/>
        <w:jc w:val="both"/>
        <w:rPr>
          <w:rFonts w:hint="eastAsia" w:cs="宋体"/>
          <w:snapToGrid w:val="0"/>
          <w:szCs w:val="24"/>
          <w:lang w:val="en-US"/>
        </w:rPr>
      </w:pPr>
      <w:r>
        <w:rPr>
          <w:rFonts w:hint="eastAsia" w:cs="宋体"/>
          <w:snapToGrid w:val="0"/>
          <w:szCs w:val="24"/>
          <w:lang w:val="en-US"/>
        </w:rPr>
        <w:t>42.5 以联合体形式参加政府采购活动，联合体各方均为中小企业的，联合体视同中小企业。其中，联合体各方均为小微企业的，联合体视同小微企业。</w:t>
      </w:r>
    </w:p>
    <w:p w14:paraId="4EFDFEBF">
      <w:pPr>
        <w:pStyle w:val="39"/>
        <w:jc w:val="both"/>
        <w:rPr>
          <w:rFonts w:hint="eastAsia" w:cs="宋体"/>
          <w:snapToGrid w:val="0"/>
          <w:szCs w:val="24"/>
        </w:rPr>
      </w:pPr>
      <w:r>
        <w:rPr>
          <w:rFonts w:hint="eastAsia" w:cs="宋体"/>
          <w:snapToGrid w:val="0"/>
          <w:szCs w:val="24"/>
          <w:lang w:val="en-US"/>
        </w:rPr>
        <w:t xml:space="preserve">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0122CE97">
      <w:pPr>
        <w:pStyle w:val="39"/>
        <w:jc w:val="both"/>
        <w:rPr>
          <w:rFonts w:hint="eastAsia" w:cs="宋体"/>
          <w:snapToGrid w:val="0"/>
          <w:szCs w:val="24"/>
        </w:rPr>
      </w:pPr>
      <w:r>
        <w:rPr>
          <w:rFonts w:hint="eastAsia" w:cs="宋体"/>
          <w:snapToGrid w:val="0"/>
          <w:szCs w:val="24"/>
          <w:lang w:val="en-US"/>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F5C2B3B">
      <w:pPr>
        <w:pStyle w:val="39"/>
        <w:jc w:val="both"/>
        <w:rPr>
          <w:rFonts w:hint="eastAsia" w:cs="宋体"/>
          <w:snapToGrid w:val="0"/>
          <w:szCs w:val="24"/>
        </w:rPr>
      </w:pPr>
      <w:r>
        <w:rPr>
          <w:rFonts w:hint="eastAsia" w:cs="宋体"/>
          <w:snapToGrid w:val="0"/>
          <w:szCs w:val="24"/>
          <w:lang w:val="en-US"/>
        </w:rPr>
        <w:t xml:space="preserve">42.7.1 安置的残疾人占本单位在职职工人数的比例不低于 25% （含 25%），并且安置的残疾人人数不少于 10 人（含 10人）； </w:t>
      </w:r>
    </w:p>
    <w:p w14:paraId="7DF34EFF">
      <w:pPr>
        <w:pStyle w:val="39"/>
        <w:jc w:val="both"/>
        <w:rPr>
          <w:rFonts w:hint="eastAsia" w:cs="宋体"/>
          <w:snapToGrid w:val="0"/>
          <w:szCs w:val="24"/>
        </w:rPr>
      </w:pPr>
      <w:r>
        <w:rPr>
          <w:rFonts w:hint="eastAsia" w:cs="宋体"/>
          <w:snapToGrid w:val="0"/>
          <w:szCs w:val="24"/>
          <w:lang w:val="en-US"/>
        </w:rPr>
        <w:t xml:space="preserve">42.7.2 依法与安置的每位残疾人签订了1年以上（含1年）的劳动合同或服务协议； </w:t>
      </w:r>
    </w:p>
    <w:p w14:paraId="7A2A8CCC">
      <w:pPr>
        <w:pStyle w:val="39"/>
        <w:jc w:val="both"/>
        <w:rPr>
          <w:rFonts w:hint="eastAsia" w:cs="宋体"/>
          <w:snapToGrid w:val="0"/>
          <w:szCs w:val="24"/>
        </w:rPr>
      </w:pPr>
      <w:r>
        <w:rPr>
          <w:rFonts w:hint="eastAsia" w:cs="宋体"/>
          <w:snapToGrid w:val="0"/>
          <w:szCs w:val="24"/>
          <w:lang w:val="en-US"/>
        </w:rPr>
        <w:t xml:space="preserve">42.7.3 为安置的每位残疾人按月足额缴纳了基本养老保险、基本医疗保险、失业保险、工伤保险和生育保险等社会保险费； </w:t>
      </w:r>
    </w:p>
    <w:p w14:paraId="4D6875F4">
      <w:pPr>
        <w:pStyle w:val="39"/>
        <w:jc w:val="both"/>
        <w:rPr>
          <w:rFonts w:hint="eastAsia" w:cs="宋体"/>
          <w:snapToGrid w:val="0"/>
          <w:szCs w:val="24"/>
        </w:rPr>
      </w:pPr>
      <w:r>
        <w:rPr>
          <w:rFonts w:hint="eastAsia" w:cs="宋体"/>
          <w:snapToGrid w:val="0"/>
          <w:szCs w:val="24"/>
          <w:lang w:val="en-US"/>
        </w:rPr>
        <w:t xml:space="preserve">42.7.4 通过银行等金融机构向安置的每位残疾人，按月支付了不低于单位所在区县适用的经省级人民政府批准的月最低工资标准的工资； </w:t>
      </w:r>
    </w:p>
    <w:p w14:paraId="3B81F79E">
      <w:pPr>
        <w:pStyle w:val="39"/>
        <w:jc w:val="both"/>
        <w:rPr>
          <w:rFonts w:hint="eastAsia" w:cs="宋体"/>
          <w:snapToGrid w:val="0"/>
          <w:szCs w:val="24"/>
        </w:rPr>
      </w:pPr>
      <w:r>
        <w:rPr>
          <w:rFonts w:hint="eastAsia" w:cs="宋体"/>
          <w:snapToGrid w:val="0"/>
          <w:szCs w:val="24"/>
          <w:lang w:val="en-US"/>
        </w:rPr>
        <w:t xml:space="preserve">42.7.5 提供本单位制造的货物、承担的工程或者服务（以下简称产品），或者提供其他残疾人福利性单位制造的货物（不包括使用非残疾人福利性单位注册商标的货物）； </w:t>
      </w:r>
    </w:p>
    <w:p w14:paraId="04054A69">
      <w:pPr>
        <w:pStyle w:val="39"/>
        <w:jc w:val="both"/>
        <w:rPr>
          <w:rFonts w:hint="eastAsia" w:cs="宋体"/>
          <w:snapToGrid w:val="0"/>
          <w:szCs w:val="24"/>
        </w:rPr>
      </w:pPr>
      <w:r>
        <w:rPr>
          <w:rFonts w:hint="eastAsia" w:cs="宋体"/>
          <w:snapToGrid w:val="0"/>
          <w:szCs w:val="24"/>
          <w:lang w:val="en-US"/>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14:paraId="5A0441BC">
      <w:pPr>
        <w:pStyle w:val="39"/>
        <w:jc w:val="both"/>
        <w:rPr>
          <w:rFonts w:hint="eastAsia" w:cs="宋体"/>
          <w:snapToGrid w:val="0"/>
          <w:szCs w:val="24"/>
        </w:rPr>
      </w:pPr>
      <w:r>
        <w:rPr>
          <w:rFonts w:hint="eastAsia" w:cs="宋体"/>
          <w:snapToGrid w:val="0"/>
          <w:szCs w:val="24"/>
          <w:lang w:val="en-US"/>
        </w:rPr>
        <w:t xml:space="preserve">42.8 本项目是否专门面向中小企业预留采购份额见“第一章 </w:t>
      </w:r>
      <w:r>
        <w:rPr>
          <w:rFonts w:hint="eastAsia" w:cs="宋体"/>
          <w:szCs w:val="24"/>
          <w:lang w:val="en-US"/>
        </w:rPr>
        <w:t>招标公告</w:t>
      </w:r>
      <w:r>
        <w:rPr>
          <w:rFonts w:hint="eastAsia" w:cs="宋体"/>
          <w:snapToGrid w:val="0"/>
          <w:szCs w:val="24"/>
          <w:lang w:val="en-US"/>
        </w:rPr>
        <w:t>”。    42.9 采购标的对应的中小企业划分标准所属行业见“投标人须知前附表”。    42.10 小微企业价格评审优惠的政策调整：见“投标人须知前附表”及“第五章 评标方法及标准”。</w:t>
      </w:r>
    </w:p>
    <w:p w14:paraId="705AADD9">
      <w:pPr>
        <w:pStyle w:val="6"/>
        <w:keepNext w:val="0"/>
        <w:keepLines w:val="0"/>
        <w:spacing w:before="80" w:after="80" w:line="240" w:lineRule="auto"/>
        <w:ind w:left="420" w:hanging="420"/>
        <w:jc w:val="both"/>
        <w:rPr>
          <w:rFonts w:hint="eastAsia" w:ascii="宋体" w:hAnsi="宋体" w:cs="宋体"/>
          <w:sz w:val="24"/>
          <w:szCs w:val="24"/>
        </w:rPr>
      </w:pPr>
      <w:bookmarkStart w:id="308" w:name="_Toc18531"/>
      <w:bookmarkStart w:id="309" w:name="_Toc163492878"/>
      <w:r>
        <w:rPr>
          <w:rFonts w:hint="eastAsia" w:ascii="宋体" w:hAnsi="宋体" w:cs="宋体"/>
          <w:sz w:val="24"/>
          <w:szCs w:val="24"/>
        </w:rPr>
        <w:t>43.政府采购节能产品、环境标志产品</w:t>
      </w:r>
      <w:bookmarkEnd w:id="308"/>
      <w:bookmarkEnd w:id="309"/>
    </w:p>
    <w:p w14:paraId="61CC54E4">
      <w:pPr>
        <w:pStyle w:val="39"/>
        <w:jc w:val="both"/>
        <w:rPr>
          <w:rFonts w:hint="eastAsia" w:cs="宋体"/>
          <w:snapToGrid w:val="0"/>
          <w:szCs w:val="24"/>
        </w:rPr>
      </w:pPr>
      <w:r>
        <w:rPr>
          <w:rFonts w:hint="eastAsia" w:cs="宋体"/>
          <w:snapToGrid w:val="0"/>
          <w:szCs w:val="24"/>
          <w:lang w:val="en-US"/>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76E1A0CB">
      <w:pPr>
        <w:pStyle w:val="39"/>
        <w:jc w:val="both"/>
        <w:rPr>
          <w:rFonts w:hint="eastAsia" w:cs="宋体"/>
          <w:snapToGrid w:val="0"/>
          <w:szCs w:val="24"/>
        </w:rPr>
      </w:pPr>
      <w:r>
        <w:rPr>
          <w:rFonts w:hint="eastAsia" w:cs="宋体"/>
          <w:snapToGrid w:val="0"/>
          <w:szCs w:val="24"/>
          <w:lang w:val="en-US"/>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48E27026">
      <w:pPr>
        <w:pStyle w:val="39"/>
        <w:jc w:val="both"/>
        <w:rPr>
          <w:rFonts w:hint="eastAsia" w:cs="宋体"/>
          <w:snapToGrid w:val="0"/>
          <w:szCs w:val="24"/>
        </w:rPr>
      </w:pPr>
      <w:r>
        <w:rPr>
          <w:rFonts w:hint="eastAsia" w:cs="宋体"/>
          <w:snapToGrid w:val="0"/>
          <w:szCs w:val="24"/>
          <w:lang w:val="en-US"/>
        </w:rPr>
        <w:t>43.3 如本项目采购产品属于实施政府强制采购品目清单范围的节能产品，则投标人所报产品必须获得国家确定的认证机构出具的、处于有效期之内的节能产品认证证书，否则</w:t>
      </w:r>
      <w:r>
        <w:rPr>
          <w:rFonts w:hint="eastAsia" w:cs="宋体"/>
          <w:b/>
          <w:bCs/>
          <w:snapToGrid w:val="0"/>
          <w:szCs w:val="24"/>
          <w:lang w:val="en-US"/>
        </w:rPr>
        <w:t>投标无效</w:t>
      </w:r>
      <w:r>
        <w:rPr>
          <w:rFonts w:hint="eastAsia" w:cs="宋体"/>
          <w:snapToGrid w:val="0"/>
          <w:szCs w:val="24"/>
          <w:lang w:val="en-US"/>
        </w:rPr>
        <w:t xml:space="preserve">。 </w:t>
      </w:r>
    </w:p>
    <w:p w14:paraId="31F54AEE">
      <w:pPr>
        <w:pStyle w:val="39"/>
        <w:jc w:val="both"/>
        <w:rPr>
          <w:rFonts w:hint="eastAsia" w:cs="宋体"/>
          <w:snapToGrid w:val="0"/>
          <w:szCs w:val="24"/>
        </w:rPr>
      </w:pPr>
      <w:r>
        <w:rPr>
          <w:rFonts w:hint="eastAsia" w:cs="宋体"/>
          <w:snapToGrid w:val="0"/>
          <w:szCs w:val="24"/>
          <w:lang w:val="en-US"/>
        </w:rPr>
        <w:t>43.4 非政府强制采购的节能产品或环境标志产品，依据品目清单和认证证书实施政府优先采购。优先采购的具体规定见“第五章 评标方法及标准”（如涉及）。</w:t>
      </w:r>
    </w:p>
    <w:p w14:paraId="2A48603B">
      <w:pPr>
        <w:pStyle w:val="39"/>
        <w:jc w:val="both"/>
        <w:rPr>
          <w:rFonts w:hint="eastAsia" w:cs="宋体"/>
          <w:szCs w:val="24"/>
        </w:rPr>
      </w:pPr>
      <w:r>
        <w:rPr>
          <w:rFonts w:hint="eastAsia" w:cs="宋体"/>
          <w:snapToGrid w:val="0"/>
          <w:szCs w:val="24"/>
          <w:lang w:val="en-US"/>
        </w:rPr>
        <w:t xml:space="preserve">43.5 </w:t>
      </w:r>
      <w:r>
        <w:rPr>
          <w:rFonts w:hint="eastAsia" w:cs="宋体"/>
          <w:snapToGrid w:val="0"/>
          <w:szCs w:val="24"/>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已作为投标时强制性要求不再给予</w:t>
      </w:r>
      <w:r>
        <w:rPr>
          <w:rFonts w:hint="eastAsia" w:cs="宋体"/>
          <w:snapToGrid w:val="0"/>
          <w:szCs w:val="24"/>
          <w:lang w:val="en-US"/>
        </w:rPr>
        <w:t>评审优惠</w:t>
      </w:r>
      <w:r>
        <w:rPr>
          <w:rFonts w:hint="eastAsia" w:cs="宋体"/>
          <w:snapToGrid w:val="0"/>
          <w:szCs w:val="24"/>
        </w:rPr>
        <w:t>，未提供认证证书的视为</w:t>
      </w:r>
      <w:r>
        <w:rPr>
          <w:rFonts w:hint="eastAsia" w:cs="宋体"/>
          <w:b/>
          <w:bCs/>
          <w:snapToGrid w:val="0"/>
          <w:szCs w:val="24"/>
          <w:lang w:val="en-US"/>
        </w:rPr>
        <w:t>投标</w:t>
      </w:r>
      <w:r>
        <w:rPr>
          <w:rFonts w:hint="eastAsia" w:cs="宋体"/>
          <w:b/>
          <w:bCs/>
          <w:snapToGrid w:val="0"/>
          <w:szCs w:val="24"/>
        </w:rPr>
        <w:t>无效</w:t>
      </w:r>
      <w:r>
        <w:rPr>
          <w:rFonts w:hint="eastAsia" w:cs="宋体"/>
          <w:snapToGrid w:val="0"/>
          <w:szCs w:val="24"/>
        </w:rPr>
        <w:t>。属于</w:t>
      </w:r>
      <w:r>
        <w:rPr>
          <w:rFonts w:hint="eastAsia" w:cs="宋体"/>
          <w:snapToGrid w:val="0"/>
          <w:szCs w:val="24"/>
          <w:lang w:val="en-US"/>
        </w:rPr>
        <w:t>优先采购</w:t>
      </w:r>
      <w:r>
        <w:rPr>
          <w:rFonts w:hint="eastAsia" w:cs="宋体"/>
          <w:snapToGrid w:val="0"/>
          <w:szCs w:val="24"/>
        </w:rPr>
        <w:t>节能产品政府采购品目清单、环境标志产品政府采购品目清单、</w:t>
      </w:r>
      <w:r>
        <w:rPr>
          <w:rFonts w:hint="eastAsia" w:cs="宋体"/>
          <w:snapToGrid w:val="0"/>
          <w:szCs w:val="24"/>
          <w:lang w:val="en-US"/>
        </w:rPr>
        <w:t>创新产品</w:t>
      </w:r>
      <w:r>
        <w:rPr>
          <w:rFonts w:hint="eastAsia" w:cs="宋体"/>
          <w:snapToGrid w:val="0"/>
          <w:szCs w:val="24"/>
        </w:rPr>
        <w:t>范围的，按照“</w:t>
      </w:r>
      <w:r>
        <w:rPr>
          <w:rFonts w:hint="eastAsia" w:cs="宋体"/>
          <w:szCs w:val="24"/>
          <w:lang w:val="en-US"/>
        </w:rPr>
        <w:t>第五章 评标方法及标准</w:t>
      </w:r>
      <w:r>
        <w:rPr>
          <w:rFonts w:hint="eastAsia" w:cs="宋体"/>
          <w:snapToGrid w:val="0"/>
          <w:szCs w:val="24"/>
        </w:rPr>
        <w:t>”中相关规定</w:t>
      </w:r>
      <w:r>
        <w:rPr>
          <w:rFonts w:hint="eastAsia" w:cs="宋体"/>
          <w:szCs w:val="24"/>
          <w:lang w:val="en-US"/>
        </w:rPr>
        <w:t>在</w:t>
      </w:r>
      <w:r>
        <w:rPr>
          <w:rFonts w:hint="eastAsia" w:cs="宋体"/>
          <w:snapToGrid w:val="0"/>
          <w:szCs w:val="24"/>
          <w:lang w:val="en-US"/>
        </w:rPr>
        <w:t>评审时给予优惠，具</w:t>
      </w:r>
      <w:r>
        <w:rPr>
          <w:rFonts w:hint="eastAsia" w:cs="宋体"/>
          <w:szCs w:val="24"/>
          <w:lang w:val="en-US"/>
        </w:rPr>
        <w:t>体详见</w:t>
      </w:r>
      <w:r>
        <w:rPr>
          <w:rFonts w:hint="eastAsia" w:cs="宋体"/>
          <w:snapToGrid w:val="0"/>
          <w:szCs w:val="24"/>
          <w:lang w:val="en-US"/>
        </w:rPr>
        <w:t>“投标人须知前附表”及</w:t>
      </w:r>
      <w:r>
        <w:rPr>
          <w:rFonts w:hint="eastAsia" w:cs="宋体"/>
          <w:szCs w:val="24"/>
          <w:lang w:val="en-US"/>
        </w:rPr>
        <w:t>“第五章 评标方法及标准”</w:t>
      </w:r>
      <w:r>
        <w:rPr>
          <w:rFonts w:hint="eastAsia" w:cs="宋体"/>
          <w:szCs w:val="24"/>
        </w:rPr>
        <w:t>。</w:t>
      </w:r>
    </w:p>
    <w:p w14:paraId="35A0941F">
      <w:pPr>
        <w:pStyle w:val="6"/>
        <w:keepNext w:val="0"/>
        <w:keepLines w:val="0"/>
        <w:spacing w:before="80" w:after="80" w:line="240" w:lineRule="auto"/>
        <w:ind w:left="420" w:hanging="420"/>
        <w:jc w:val="both"/>
        <w:rPr>
          <w:rFonts w:hint="eastAsia" w:ascii="宋体" w:hAnsi="宋体" w:cs="宋体"/>
          <w:sz w:val="24"/>
          <w:szCs w:val="24"/>
        </w:rPr>
      </w:pPr>
      <w:bookmarkStart w:id="310" w:name="_Toc20976"/>
      <w:bookmarkStart w:id="311" w:name="_Toc163492879"/>
      <w:r>
        <w:rPr>
          <w:rFonts w:hint="eastAsia" w:ascii="宋体" w:hAnsi="宋体" w:cs="宋体"/>
          <w:sz w:val="24"/>
          <w:szCs w:val="24"/>
        </w:rPr>
        <w:t>44.正版软件</w:t>
      </w:r>
      <w:bookmarkEnd w:id="310"/>
      <w:r>
        <w:rPr>
          <w:rFonts w:hint="eastAsia" w:ascii="宋体" w:hAnsi="宋体" w:cs="宋体"/>
          <w:sz w:val="24"/>
          <w:szCs w:val="24"/>
        </w:rPr>
        <w:t xml:space="preserve">  </w:t>
      </w:r>
    </w:p>
    <w:p w14:paraId="6C5F372F">
      <w:pPr>
        <w:pStyle w:val="39"/>
        <w:jc w:val="both"/>
        <w:rPr>
          <w:rFonts w:hint="eastAsia" w:cs="宋体"/>
          <w:snapToGrid w:val="0"/>
          <w:szCs w:val="24"/>
          <w:lang w:val="en-US"/>
        </w:rPr>
      </w:pPr>
      <w:r>
        <w:rPr>
          <w:rFonts w:hint="eastAsia" w:cs="宋体"/>
          <w:snapToGrid w:val="0"/>
          <w:szCs w:val="24"/>
          <w:lang w:val="en-US"/>
        </w:rPr>
        <w:t>44.1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BD502AF">
      <w:pPr>
        <w:pStyle w:val="6"/>
        <w:keepNext w:val="0"/>
        <w:keepLines w:val="0"/>
        <w:spacing w:before="80" w:after="80" w:line="240" w:lineRule="auto"/>
        <w:ind w:left="420" w:hanging="420"/>
        <w:jc w:val="both"/>
        <w:rPr>
          <w:rFonts w:hint="eastAsia" w:ascii="宋体" w:hAnsi="宋体" w:cs="宋体"/>
          <w:sz w:val="24"/>
          <w:szCs w:val="24"/>
        </w:rPr>
      </w:pPr>
      <w:bookmarkStart w:id="312" w:name="_Toc3951"/>
      <w:r>
        <w:rPr>
          <w:rFonts w:hint="eastAsia" w:ascii="宋体" w:hAnsi="宋体" w:cs="宋体"/>
          <w:sz w:val="24"/>
          <w:szCs w:val="24"/>
        </w:rPr>
        <w:t>45.网络安全专用产品</w:t>
      </w:r>
      <w:bookmarkEnd w:id="312"/>
      <w:r>
        <w:rPr>
          <w:rFonts w:hint="eastAsia" w:ascii="宋体" w:hAnsi="宋体" w:cs="宋体"/>
          <w:sz w:val="24"/>
          <w:szCs w:val="24"/>
        </w:rPr>
        <w:t xml:space="preserve">   </w:t>
      </w:r>
    </w:p>
    <w:p w14:paraId="55D4A9BF">
      <w:pPr>
        <w:pStyle w:val="39"/>
        <w:jc w:val="both"/>
        <w:rPr>
          <w:rFonts w:hint="eastAsia" w:cs="宋体"/>
          <w:snapToGrid w:val="0"/>
          <w:szCs w:val="24"/>
          <w:lang w:val="en-US"/>
        </w:rPr>
      </w:pPr>
      <w:r>
        <w:rPr>
          <w:rFonts w:hint="eastAsia" w:cs="宋体"/>
          <w:snapToGrid w:val="0"/>
          <w:szCs w:val="24"/>
          <w:lang w:val="en-US"/>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A80EABD">
      <w:pPr>
        <w:pStyle w:val="39"/>
        <w:jc w:val="both"/>
        <w:rPr>
          <w:rFonts w:hint="eastAsia" w:cs="宋体"/>
          <w:snapToGrid w:val="0"/>
          <w:szCs w:val="24"/>
          <w:lang w:val="en-US"/>
        </w:rPr>
      </w:pPr>
      <w:r>
        <w:rPr>
          <w:rFonts w:hint="eastAsia" w:cs="宋体"/>
          <w:snapToGrid w:val="0"/>
          <w:szCs w:val="24"/>
          <w:lang w:val="en-US"/>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1EBA3326">
      <w:pPr>
        <w:pStyle w:val="6"/>
        <w:keepNext w:val="0"/>
        <w:keepLines w:val="0"/>
        <w:spacing w:before="80" w:after="80" w:line="240" w:lineRule="auto"/>
        <w:ind w:left="420" w:hanging="420"/>
        <w:jc w:val="both"/>
        <w:rPr>
          <w:rFonts w:hint="eastAsia" w:ascii="宋体" w:hAnsi="宋体" w:cs="宋体"/>
          <w:sz w:val="24"/>
          <w:szCs w:val="24"/>
        </w:rPr>
      </w:pPr>
      <w:bookmarkStart w:id="313" w:name="_Toc5298"/>
      <w:r>
        <w:rPr>
          <w:rFonts w:hint="eastAsia" w:ascii="宋体" w:hAnsi="宋体" w:cs="宋体"/>
          <w:sz w:val="24"/>
          <w:szCs w:val="24"/>
        </w:rPr>
        <w:t>46.采购需求标准</w:t>
      </w:r>
      <w:bookmarkEnd w:id="313"/>
      <w:r>
        <w:rPr>
          <w:rFonts w:hint="eastAsia" w:ascii="宋体" w:hAnsi="宋体" w:cs="宋体"/>
          <w:sz w:val="24"/>
          <w:szCs w:val="24"/>
        </w:rPr>
        <w:t xml:space="preserve">   </w:t>
      </w:r>
    </w:p>
    <w:p w14:paraId="6848EE27">
      <w:pPr>
        <w:pStyle w:val="39"/>
        <w:jc w:val="both"/>
        <w:rPr>
          <w:rFonts w:hint="eastAsia" w:cs="宋体"/>
          <w:snapToGrid w:val="0"/>
          <w:szCs w:val="24"/>
          <w:lang w:val="en-US"/>
        </w:rPr>
      </w:pPr>
      <w:r>
        <w:rPr>
          <w:rFonts w:hint="eastAsia" w:cs="宋体"/>
          <w:snapToGrid w:val="0"/>
          <w:szCs w:val="24"/>
          <w:lang w:val="en-US"/>
        </w:rPr>
        <w:t xml:space="preserve">46.1 商品包装、快递包装政府采购需求标准（试行） </w:t>
      </w:r>
    </w:p>
    <w:p w14:paraId="50E53498">
      <w:pPr>
        <w:pStyle w:val="39"/>
        <w:jc w:val="both"/>
        <w:rPr>
          <w:rFonts w:hint="eastAsia" w:cs="宋体"/>
          <w:snapToGrid w:val="0"/>
          <w:szCs w:val="24"/>
          <w:lang w:val="en-US"/>
        </w:rPr>
      </w:pPr>
      <w:r>
        <w:rPr>
          <w:rFonts w:hint="eastAsia" w:cs="宋体"/>
          <w:snapToGrid w:val="0"/>
          <w:szCs w:val="24"/>
          <w:lang w:val="en-US"/>
        </w:rPr>
        <w:t xml:space="preserve">为助力打好污染防治攻坚战，推广使用绿色包装，根据财政部关于印发《商品包装政府采购需求标准（试行）》、《快递包装政府采购需求标准（试行）》的通知（财办库〔2020〕123 号），本项目如涉及商品包装和快递包装的，则其具体要求见第三章《采购需求》。 </w:t>
      </w:r>
    </w:p>
    <w:p w14:paraId="041F90AD">
      <w:pPr>
        <w:pStyle w:val="39"/>
        <w:jc w:val="both"/>
        <w:rPr>
          <w:rFonts w:hint="eastAsia" w:cs="宋体"/>
          <w:snapToGrid w:val="0"/>
          <w:szCs w:val="24"/>
          <w:lang w:val="en-US"/>
        </w:rPr>
      </w:pPr>
      <w:r>
        <w:rPr>
          <w:rFonts w:hint="eastAsia" w:cs="宋体"/>
          <w:snapToGrid w:val="0"/>
          <w:szCs w:val="24"/>
          <w:lang w:val="en-US"/>
        </w:rPr>
        <w:t xml:space="preserve">46.2 绿色数据中心政府采购需求标准（试行） </w:t>
      </w:r>
    </w:p>
    <w:p w14:paraId="49FDEE13">
      <w:pPr>
        <w:pStyle w:val="39"/>
        <w:jc w:val="both"/>
        <w:rPr>
          <w:rFonts w:hint="eastAsia" w:cs="宋体"/>
          <w:snapToGrid w:val="0"/>
          <w:szCs w:val="24"/>
          <w:lang w:val="en-US"/>
        </w:rPr>
      </w:pPr>
      <w:r>
        <w:rPr>
          <w:rFonts w:hint="eastAsia" w:cs="宋体"/>
          <w:snapToGrid w:val="0"/>
          <w:szCs w:val="24"/>
          <w:lang w:val="en-US"/>
        </w:rPr>
        <w:t xml:space="preserve">为加快数据中心绿色转型，根据财政部 生态环境部 工业和信息化部关于印发《绿色数据中心政府采购需求标准（试行）》的通知（财库〔2023〕7 号），本项目如涉及绿色数据中心，则具体要求见第三章《采购需求》。 </w:t>
      </w:r>
    </w:p>
    <w:p w14:paraId="2DA335B5">
      <w:pPr>
        <w:pStyle w:val="39"/>
        <w:jc w:val="both"/>
        <w:rPr>
          <w:rFonts w:hint="eastAsia" w:cs="宋体"/>
          <w:snapToGrid w:val="0"/>
          <w:szCs w:val="24"/>
          <w:lang w:val="en-US"/>
        </w:rPr>
      </w:pPr>
      <w:r>
        <w:rPr>
          <w:rFonts w:hint="eastAsia" w:cs="宋体"/>
          <w:snapToGrid w:val="0"/>
          <w:szCs w:val="24"/>
          <w:lang w:val="en-US"/>
        </w:rPr>
        <w:t>46.3台式计算机政府采购需求标准</w:t>
      </w:r>
    </w:p>
    <w:p w14:paraId="69501C52">
      <w:pPr>
        <w:pStyle w:val="39"/>
        <w:jc w:val="both"/>
        <w:rPr>
          <w:rFonts w:hint="eastAsia" w:cs="宋体"/>
          <w:snapToGrid w:val="0"/>
          <w:szCs w:val="24"/>
          <w:lang w:val="en-US"/>
        </w:rPr>
      </w:pPr>
      <w:r>
        <w:rPr>
          <w:rFonts w:hint="eastAsia" w:cs="宋体"/>
          <w:snapToGrid w:val="0"/>
          <w:szCs w:val="24"/>
          <w:lang w:val="en-US"/>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工业和信息化部关于印发《台式计算机政府采购需求标准（2023年版）》的通知（财库〔2023〕29号），本项目如涉及台式计算机采购，则具体要求见第三章《采购需求》。</w:t>
      </w:r>
    </w:p>
    <w:p w14:paraId="415B5F23">
      <w:pPr>
        <w:pStyle w:val="39"/>
        <w:jc w:val="both"/>
        <w:rPr>
          <w:rFonts w:hint="eastAsia" w:cs="宋体"/>
          <w:snapToGrid w:val="0"/>
          <w:szCs w:val="24"/>
          <w:lang w:val="en-US"/>
        </w:rPr>
      </w:pPr>
      <w:r>
        <w:rPr>
          <w:rFonts w:hint="eastAsia" w:cs="宋体"/>
          <w:snapToGrid w:val="0"/>
          <w:szCs w:val="24"/>
          <w:lang w:val="en-US"/>
        </w:rPr>
        <w:t>46.4便携式计算机政府采购需求标准</w:t>
      </w:r>
    </w:p>
    <w:p w14:paraId="695DAA63">
      <w:pPr>
        <w:pStyle w:val="39"/>
        <w:jc w:val="both"/>
        <w:rPr>
          <w:rFonts w:hint="eastAsia" w:cs="宋体"/>
          <w:snapToGrid w:val="0"/>
          <w:szCs w:val="24"/>
          <w:lang w:val="en-US"/>
        </w:rPr>
      </w:pPr>
      <w:r>
        <w:rPr>
          <w:rFonts w:hint="eastAsia" w:cs="宋体"/>
          <w:snapToGrid w:val="0"/>
          <w:szCs w:val="24"/>
          <w:lang w:val="en-US"/>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工业和信息化部关于印发《便携式计算机政府采购需求标准（2023年版）》的通知（财库〔2023〕30号），本项目如涉及便携式计算机采购，则具体要求见第三章《采购需求》。</w:t>
      </w:r>
    </w:p>
    <w:p w14:paraId="495E8EA7">
      <w:pPr>
        <w:pStyle w:val="39"/>
        <w:jc w:val="both"/>
        <w:rPr>
          <w:rFonts w:hint="eastAsia" w:cs="宋体"/>
          <w:snapToGrid w:val="0"/>
          <w:szCs w:val="24"/>
          <w:lang w:val="en-US"/>
        </w:rPr>
      </w:pPr>
      <w:r>
        <w:rPr>
          <w:rFonts w:hint="eastAsia" w:cs="宋体"/>
          <w:snapToGrid w:val="0"/>
          <w:szCs w:val="24"/>
          <w:lang w:val="en-US"/>
        </w:rPr>
        <w:t>46.5一体式计算机政府采购需求标准</w:t>
      </w:r>
    </w:p>
    <w:p w14:paraId="4B936BB8">
      <w:pPr>
        <w:pStyle w:val="39"/>
        <w:jc w:val="both"/>
        <w:rPr>
          <w:rFonts w:hint="eastAsia" w:cs="宋体"/>
          <w:snapToGrid w:val="0"/>
          <w:szCs w:val="24"/>
          <w:lang w:val="en-US"/>
        </w:rPr>
      </w:pPr>
      <w:r>
        <w:rPr>
          <w:rFonts w:hint="eastAsia" w:cs="宋体"/>
          <w:snapToGrid w:val="0"/>
          <w:szCs w:val="24"/>
          <w:lang w:val="en-US"/>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工业和信息化部关于印发《一体式计算机政府采购需求标准（2023年版）》的通知（财库〔2023〕31号），本项目如涉及一体式计算机采购，则具体要求见第三章《采购需求》。</w:t>
      </w:r>
    </w:p>
    <w:p w14:paraId="71983D85">
      <w:pPr>
        <w:pStyle w:val="39"/>
        <w:jc w:val="both"/>
        <w:rPr>
          <w:rFonts w:hint="eastAsia" w:cs="宋体"/>
          <w:snapToGrid w:val="0"/>
          <w:szCs w:val="24"/>
          <w:lang w:val="en-US"/>
        </w:rPr>
      </w:pPr>
      <w:r>
        <w:rPr>
          <w:rFonts w:hint="eastAsia" w:cs="宋体"/>
          <w:snapToGrid w:val="0"/>
          <w:szCs w:val="24"/>
          <w:lang w:val="en-US"/>
        </w:rPr>
        <w:t>46.6工作站政府采购需求标准</w:t>
      </w:r>
    </w:p>
    <w:p w14:paraId="787D02AF">
      <w:pPr>
        <w:pStyle w:val="39"/>
        <w:jc w:val="both"/>
        <w:rPr>
          <w:rFonts w:hint="eastAsia" w:cs="宋体"/>
          <w:snapToGrid w:val="0"/>
          <w:szCs w:val="24"/>
          <w:lang w:val="en-US"/>
        </w:rPr>
      </w:pPr>
      <w:r>
        <w:rPr>
          <w:rFonts w:hint="eastAsia" w:cs="宋体"/>
          <w:snapToGrid w:val="0"/>
          <w:szCs w:val="24"/>
          <w:lang w:val="en-US"/>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工业和信息化部关于印发《工作站政府采购需求标准（2023年版）》的通知（财库〔2023〕32号），本项目如涉及工作站采购，则具体要求见第三章《采购需求》。</w:t>
      </w:r>
    </w:p>
    <w:p w14:paraId="6EDCFF03">
      <w:pPr>
        <w:pStyle w:val="39"/>
        <w:jc w:val="both"/>
        <w:rPr>
          <w:rFonts w:hint="eastAsia" w:cs="宋体"/>
          <w:snapToGrid w:val="0"/>
          <w:szCs w:val="24"/>
          <w:lang w:val="en-US"/>
        </w:rPr>
      </w:pPr>
      <w:r>
        <w:rPr>
          <w:rFonts w:hint="eastAsia" w:cs="宋体"/>
          <w:snapToGrid w:val="0"/>
          <w:szCs w:val="24"/>
          <w:lang w:val="en-US"/>
        </w:rPr>
        <w:t>46.7通用服务器政府采购需求标准</w:t>
      </w:r>
    </w:p>
    <w:p w14:paraId="2F3017A4">
      <w:pPr>
        <w:pStyle w:val="39"/>
        <w:jc w:val="both"/>
        <w:rPr>
          <w:rFonts w:hint="eastAsia" w:cs="宋体"/>
          <w:snapToGrid w:val="0"/>
          <w:szCs w:val="24"/>
          <w:lang w:val="en-US"/>
        </w:rPr>
      </w:pPr>
      <w:r>
        <w:rPr>
          <w:rFonts w:hint="eastAsia" w:cs="宋体"/>
          <w:snapToGrid w:val="0"/>
          <w:szCs w:val="24"/>
          <w:lang w:val="en-US"/>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工业和信息化部关于印发《通用服务器政府采购需求标准（2023年版）》的通知（财库〔2023〕33号），本项目如涉及通用服务器采购，则具体要求见第三章《采购需求》。</w:t>
      </w:r>
    </w:p>
    <w:p w14:paraId="6307CAAA">
      <w:pPr>
        <w:pStyle w:val="39"/>
        <w:jc w:val="both"/>
        <w:rPr>
          <w:rFonts w:hint="eastAsia" w:cs="宋体"/>
          <w:snapToGrid w:val="0"/>
          <w:szCs w:val="24"/>
          <w:lang w:val="en-US"/>
        </w:rPr>
      </w:pPr>
      <w:r>
        <w:rPr>
          <w:rFonts w:hint="eastAsia" w:cs="宋体"/>
          <w:snapToGrid w:val="0"/>
          <w:szCs w:val="24"/>
          <w:lang w:val="en-US"/>
        </w:rPr>
        <w:t>46.8操作系统政府采购需求标准</w:t>
      </w:r>
    </w:p>
    <w:p w14:paraId="3CF6BEAA">
      <w:pPr>
        <w:pStyle w:val="39"/>
        <w:jc w:val="both"/>
        <w:rPr>
          <w:rFonts w:hint="eastAsia" w:cs="宋体"/>
          <w:snapToGrid w:val="0"/>
          <w:szCs w:val="24"/>
          <w:lang w:val="en-US"/>
        </w:rPr>
      </w:pPr>
      <w:r>
        <w:rPr>
          <w:rFonts w:hint="eastAsia" w:cs="宋体"/>
          <w:snapToGrid w:val="0"/>
          <w:szCs w:val="24"/>
          <w:lang w:val="en-US"/>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工业和信息化部关于印发《操作系统政府采购需求标准（2023年版）》的通知（财库〔2023〕34号），本项目如涉及操作系统采购，则具体要求见第三章《采购需求》。</w:t>
      </w:r>
    </w:p>
    <w:p w14:paraId="60FD509B">
      <w:pPr>
        <w:pStyle w:val="39"/>
        <w:jc w:val="both"/>
        <w:rPr>
          <w:rFonts w:hint="eastAsia" w:cs="宋体"/>
          <w:snapToGrid w:val="0"/>
          <w:szCs w:val="24"/>
          <w:lang w:val="en-US"/>
        </w:rPr>
      </w:pPr>
      <w:r>
        <w:rPr>
          <w:rFonts w:hint="eastAsia" w:cs="宋体"/>
          <w:snapToGrid w:val="0"/>
          <w:szCs w:val="24"/>
          <w:lang w:val="en-US"/>
        </w:rPr>
        <w:t>46.9数据库政府采购需求标准</w:t>
      </w:r>
    </w:p>
    <w:p w14:paraId="710A23C5">
      <w:pPr>
        <w:pStyle w:val="39"/>
        <w:jc w:val="both"/>
        <w:rPr>
          <w:rFonts w:hint="eastAsia" w:cs="宋体"/>
          <w:snapToGrid w:val="0"/>
          <w:szCs w:val="24"/>
          <w:lang w:val="en-US"/>
        </w:rPr>
      </w:pPr>
      <w:r>
        <w:rPr>
          <w:rFonts w:hint="eastAsia" w:cs="宋体"/>
          <w:snapToGrid w:val="0"/>
          <w:szCs w:val="24"/>
          <w:lang w:val="en-US"/>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工业和信息化部关于印发《数据库政府采购需求标准（2023年版）》的通知（财库〔2023〕35号），本项目如涉及数据库采购，则具体要求见第三章《采购需求》。</w:t>
      </w:r>
    </w:p>
    <w:p w14:paraId="2D0B3820">
      <w:pPr>
        <w:pStyle w:val="39"/>
        <w:jc w:val="both"/>
        <w:rPr>
          <w:rFonts w:hint="eastAsia" w:cs="宋体"/>
          <w:snapToGrid w:val="0"/>
          <w:szCs w:val="24"/>
          <w:lang w:val="en-US"/>
        </w:rPr>
      </w:pPr>
      <w:r>
        <w:rPr>
          <w:rFonts w:hint="eastAsia" w:cs="宋体"/>
          <w:snapToGrid w:val="0"/>
          <w:szCs w:val="24"/>
          <w:lang w:val="en-US"/>
        </w:rPr>
        <w:t>46.10物业管理服务政府采购需求标准（办公场所类）（试行）</w:t>
      </w:r>
    </w:p>
    <w:p w14:paraId="2274EB55">
      <w:pPr>
        <w:pStyle w:val="39"/>
        <w:jc w:val="both"/>
        <w:rPr>
          <w:rFonts w:hint="eastAsia" w:cs="宋体"/>
          <w:snapToGrid w:val="0"/>
          <w:szCs w:val="24"/>
          <w:lang w:val="en-US"/>
        </w:rPr>
      </w:pPr>
      <w:r>
        <w:rPr>
          <w:rFonts w:hint="eastAsia" w:cs="宋体"/>
          <w:snapToGrid w:val="0"/>
          <w:szCs w:val="24"/>
          <w:lang w:val="en-US"/>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第三章《采购需求》。</w:t>
      </w:r>
    </w:p>
    <w:p w14:paraId="7A74EF32">
      <w:pPr>
        <w:pStyle w:val="5"/>
        <w:keepNext w:val="0"/>
        <w:keepLines w:val="0"/>
        <w:spacing w:before="120" w:after="120" w:line="240" w:lineRule="auto"/>
        <w:ind w:left="420" w:hanging="420"/>
        <w:jc w:val="both"/>
        <w:rPr>
          <w:rFonts w:hint="eastAsia" w:cs="宋体"/>
          <w:sz w:val="24"/>
          <w:szCs w:val="24"/>
        </w:rPr>
      </w:pPr>
      <w:bookmarkStart w:id="314" w:name="_Toc10007"/>
      <w:r>
        <w:rPr>
          <w:rFonts w:hint="eastAsia" w:cs="宋体"/>
          <w:sz w:val="24"/>
          <w:szCs w:val="24"/>
        </w:rPr>
        <w:t>（十四）政府采购合同融资政策</w:t>
      </w:r>
      <w:bookmarkEnd w:id="303"/>
      <w:bookmarkEnd w:id="304"/>
      <w:bookmarkEnd w:id="311"/>
      <w:bookmarkEnd w:id="314"/>
    </w:p>
    <w:p w14:paraId="730950C4">
      <w:pPr>
        <w:pStyle w:val="6"/>
        <w:keepNext w:val="0"/>
        <w:keepLines w:val="0"/>
        <w:spacing w:before="80" w:after="80" w:line="240" w:lineRule="auto"/>
        <w:ind w:left="420" w:hanging="420"/>
        <w:jc w:val="both"/>
        <w:rPr>
          <w:rFonts w:hint="eastAsia" w:ascii="宋体" w:hAnsi="宋体" w:cs="宋体"/>
          <w:sz w:val="24"/>
          <w:szCs w:val="24"/>
        </w:rPr>
      </w:pPr>
      <w:bookmarkStart w:id="315" w:name="_Toc14089"/>
      <w:bookmarkStart w:id="316" w:name="_Toc163492880"/>
      <w:r>
        <w:rPr>
          <w:rFonts w:hint="eastAsia" w:ascii="宋体" w:hAnsi="宋体" w:cs="宋体"/>
          <w:sz w:val="24"/>
          <w:szCs w:val="24"/>
        </w:rPr>
        <w:t>47.政府采购合同融资政策</w:t>
      </w:r>
      <w:bookmarkEnd w:id="315"/>
      <w:bookmarkEnd w:id="316"/>
    </w:p>
    <w:p w14:paraId="476C55EE">
      <w:pPr>
        <w:pStyle w:val="39"/>
        <w:jc w:val="both"/>
        <w:rPr>
          <w:rFonts w:hint="eastAsia" w:cs="宋体"/>
          <w:szCs w:val="24"/>
        </w:rPr>
      </w:pPr>
      <w:r>
        <w:rPr>
          <w:rFonts w:hint="eastAsia" w:cs="宋体"/>
          <w:szCs w:val="24"/>
        </w:rPr>
        <w:t>4</w:t>
      </w:r>
      <w:r>
        <w:rPr>
          <w:rFonts w:hint="eastAsia" w:cs="宋体"/>
          <w:szCs w:val="24"/>
          <w:lang w:val="en-US"/>
        </w:rPr>
        <w:t>7</w:t>
      </w:r>
      <w:r>
        <w:rPr>
          <w:rFonts w:hint="eastAsia" w:cs="宋体"/>
          <w:szCs w:val="24"/>
        </w:rPr>
        <w:t>.1政府采购合同融资政策：见投标人须知前附表。</w:t>
      </w:r>
    </w:p>
    <w:p w14:paraId="22296680">
      <w:pPr>
        <w:pStyle w:val="5"/>
        <w:keepNext w:val="0"/>
        <w:keepLines w:val="0"/>
        <w:spacing w:before="120" w:after="120" w:line="240" w:lineRule="auto"/>
        <w:ind w:left="420" w:hanging="420"/>
        <w:jc w:val="both"/>
        <w:rPr>
          <w:rFonts w:hint="eastAsia" w:cs="宋体"/>
          <w:sz w:val="24"/>
          <w:szCs w:val="24"/>
        </w:rPr>
      </w:pPr>
      <w:bookmarkStart w:id="317" w:name="_Toc26816"/>
      <w:bookmarkStart w:id="318" w:name="_Toc163492881"/>
      <w:r>
        <w:rPr>
          <w:rFonts w:hint="eastAsia" w:cs="宋体"/>
          <w:sz w:val="24"/>
          <w:szCs w:val="24"/>
        </w:rPr>
        <w:t>（十五）其他</w:t>
      </w:r>
      <w:bookmarkEnd w:id="317"/>
      <w:bookmarkEnd w:id="318"/>
    </w:p>
    <w:p w14:paraId="294E0A94">
      <w:pPr>
        <w:pStyle w:val="6"/>
        <w:keepNext w:val="0"/>
        <w:keepLines w:val="0"/>
        <w:spacing w:before="80" w:after="80" w:line="240" w:lineRule="auto"/>
        <w:ind w:left="420" w:hanging="420"/>
        <w:jc w:val="both"/>
        <w:rPr>
          <w:rFonts w:hint="eastAsia" w:ascii="宋体" w:hAnsi="宋体" w:cs="宋体"/>
          <w:sz w:val="24"/>
          <w:szCs w:val="24"/>
        </w:rPr>
      </w:pPr>
      <w:bookmarkStart w:id="319" w:name="_Toc163492882"/>
      <w:bookmarkStart w:id="320" w:name="_Toc18980"/>
      <w:r>
        <w:rPr>
          <w:rFonts w:hint="eastAsia" w:ascii="宋体" w:hAnsi="宋体" w:cs="宋体"/>
          <w:sz w:val="24"/>
          <w:szCs w:val="24"/>
        </w:rPr>
        <w:t>48.需要补充的其他内容</w:t>
      </w:r>
      <w:bookmarkEnd w:id="319"/>
      <w:bookmarkEnd w:id="320"/>
    </w:p>
    <w:p w14:paraId="31F88D95">
      <w:pPr>
        <w:pStyle w:val="39"/>
        <w:jc w:val="both"/>
        <w:rPr>
          <w:rFonts w:hint="eastAsia" w:cs="宋体"/>
          <w:szCs w:val="24"/>
        </w:rPr>
      </w:pPr>
      <w:r>
        <w:rPr>
          <w:rFonts w:hint="eastAsia" w:cs="宋体"/>
          <w:szCs w:val="24"/>
        </w:rPr>
        <w:t>4</w:t>
      </w:r>
      <w:r>
        <w:rPr>
          <w:rFonts w:hint="eastAsia" w:cs="宋体"/>
          <w:szCs w:val="24"/>
          <w:lang w:val="en-US"/>
        </w:rPr>
        <w:t>8</w:t>
      </w:r>
      <w:r>
        <w:rPr>
          <w:rFonts w:hint="eastAsia" w:cs="宋体"/>
          <w:szCs w:val="24"/>
        </w:rPr>
        <w:t>.1需要补充的其他内容：见投标人须知前附表。</w:t>
      </w:r>
    </w:p>
    <w:p w14:paraId="275C615A">
      <w:pPr>
        <w:pStyle w:val="6"/>
        <w:keepNext w:val="0"/>
        <w:keepLines w:val="0"/>
        <w:spacing w:before="80" w:after="80" w:line="240" w:lineRule="auto"/>
        <w:ind w:left="420" w:hanging="420"/>
        <w:jc w:val="both"/>
        <w:rPr>
          <w:rFonts w:hint="eastAsia" w:ascii="宋体" w:hAnsi="宋体" w:cs="宋体"/>
          <w:sz w:val="24"/>
          <w:szCs w:val="24"/>
        </w:rPr>
      </w:pPr>
      <w:bookmarkStart w:id="321" w:name="_Toc155185886"/>
      <w:bookmarkStart w:id="322" w:name="_Toc12494"/>
      <w:bookmarkStart w:id="323" w:name="_Toc163492883"/>
      <w:bookmarkStart w:id="324" w:name="_Toc140132810"/>
      <w:r>
        <w:rPr>
          <w:rFonts w:hint="eastAsia" w:ascii="宋体" w:hAnsi="宋体" w:cs="宋体"/>
          <w:sz w:val="24"/>
          <w:szCs w:val="24"/>
        </w:rPr>
        <w:t>49.适用法律</w:t>
      </w:r>
      <w:bookmarkEnd w:id="321"/>
      <w:bookmarkEnd w:id="322"/>
      <w:bookmarkEnd w:id="323"/>
      <w:bookmarkEnd w:id="324"/>
    </w:p>
    <w:p w14:paraId="1E0F7378">
      <w:pPr>
        <w:pStyle w:val="39"/>
        <w:jc w:val="both"/>
        <w:rPr>
          <w:rFonts w:hint="eastAsia" w:cs="宋体"/>
          <w:snapToGrid w:val="0"/>
          <w:szCs w:val="24"/>
        </w:rPr>
      </w:pPr>
      <w:r>
        <w:rPr>
          <w:rFonts w:hint="eastAsia" w:cs="宋体"/>
          <w:snapToGrid w:val="0"/>
          <w:szCs w:val="24"/>
          <w:lang w:val="en-US"/>
        </w:rPr>
        <w:t>49</w:t>
      </w:r>
      <w:r>
        <w:rPr>
          <w:rFonts w:hint="eastAsia" w:cs="宋体"/>
          <w:snapToGrid w:val="0"/>
          <w:szCs w:val="24"/>
        </w:rPr>
        <w:t>.1采购人、采购代理机构及投标人的一切采购活动均适用《中华人民共和国政府采购法》、《中华人民共和国政府采购法实施条例》、《政府采购货物和服务招标投标管理办法》（财政部令第87号）及相关法律法规。</w:t>
      </w:r>
    </w:p>
    <w:p w14:paraId="51CD77CB">
      <w:pPr>
        <w:pStyle w:val="39"/>
        <w:jc w:val="both"/>
        <w:rPr>
          <w:rFonts w:hint="eastAsia" w:cs="宋体"/>
          <w:szCs w:val="24"/>
        </w:rPr>
      </w:pPr>
      <w:r>
        <w:rPr>
          <w:rFonts w:hint="eastAsia" w:cs="宋体"/>
          <w:snapToGrid w:val="0"/>
          <w:szCs w:val="24"/>
          <w:lang w:val="en-US"/>
        </w:rPr>
        <w:t>49</w:t>
      </w:r>
      <w:r>
        <w:rPr>
          <w:rFonts w:hint="eastAsia" w:cs="宋体"/>
          <w:snapToGrid w:val="0"/>
          <w:szCs w:val="24"/>
        </w:rPr>
        <w:t>.2政府采购合同的履行、违约责任和解决争议的方法等适用《中华人民共和国民法典》。</w:t>
      </w:r>
    </w:p>
    <w:p w14:paraId="52797F3C">
      <w:pPr>
        <w:pStyle w:val="6"/>
        <w:keepNext w:val="0"/>
        <w:keepLines w:val="0"/>
        <w:spacing w:before="80" w:after="80" w:line="240" w:lineRule="auto"/>
        <w:ind w:left="420" w:hanging="420"/>
        <w:jc w:val="both"/>
        <w:rPr>
          <w:rFonts w:hint="eastAsia" w:ascii="宋体" w:hAnsi="宋体" w:cs="宋体"/>
          <w:sz w:val="24"/>
          <w:szCs w:val="24"/>
        </w:rPr>
      </w:pPr>
      <w:bookmarkStart w:id="325" w:name="_Toc20737"/>
      <w:bookmarkStart w:id="326" w:name="_Toc155185887"/>
      <w:bookmarkStart w:id="327" w:name="_Toc163492884"/>
      <w:r>
        <w:rPr>
          <w:rFonts w:hint="eastAsia" w:ascii="宋体" w:hAnsi="宋体" w:cs="宋体"/>
          <w:sz w:val="24"/>
          <w:szCs w:val="24"/>
        </w:rPr>
        <w:t>50.解释权</w:t>
      </w:r>
      <w:bookmarkEnd w:id="325"/>
      <w:bookmarkEnd w:id="326"/>
      <w:bookmarkEnd w:id="327"/>
    </w:p>
    <w:p w14:paraId="1A130E7F">
      <w:pPr>
        <w:pStyle w:val="39"/>
        <w:jc w:val="both"/>
        <w:rPr>
          <w:rFonts w:hint="eastAsia" w:cs="宋体"/>
          <w:snapToGrid w:val="0"/>
          <w:szCs w:val="24"/>
        </w:rPr>
      </w:pPr>
      <w:r>
        <w:rPr>
          <w:rFonts w:hint="eastAsia" w:cs="宋体"/>
          <w:snapToGrid w:val="0"/>
          <w:szCs w:val="24"/>
          <w:lang w:val="en-US"/>
        </w:rPr>
        <w:t>50</w:t>
      </w:r>
      <w:r>
        <w:rPr>
          <w:rFonts w:hint="eastAsia" w:cs="宋体"/>
          <w:snapToGrid w:val="0"/>
          <w:szCs w:val="24"/>
        </w:rPr>
        <w:t>.1本招标文件最终解释权归采购人或采购代理机构所有。</w:t>
      </w:r>
    </w:p>
    <w:p w14:paraId="681FCE9D">
      <w:pPr>
        <w:jc w:val="both"/>
        <w:rPr>
          <w:rFonts w:hint="eastAsia" w:cs="宋体"/>
          <w:snapToGrid w:val="0"/>
          <w:szCs w:val="24"/>
        </w:rPr>
      </w:pPr>
      <w:r>
        <w:rPr>
          <w:rFonts w:hint="eastAsia" w:cs="宋体"/>
          <w:snapToGrid w:val="0"/>
          <w:szCs w:val="24"/>
        </w:rPr>
        <w:br w:type="page"/>
      </w:r>
    </w:p>
    <w:p w14:paraId="27464AE2">
      <w:pPr>
        <w:pStyle w:val="3"/>
        <w:spacing w:before="220" w:after="220" w:line="480" w:lineRule="auto"/>
        <w:ind w:left="420" w:hanging="420"/>
        <w:rPr>
          <w:rFonts w:hint="eastAsia" w:eastAsia="宋体" w:cs="宋体"/>
          <w:sz w:val="36"/>
          <w:szCs w:val="36"/>
        </w:rPr>
      </w:pPr>
      <w:bookmarkStart w:id="328" w:name="_Toc155185888"/>
      <w:bookmarkStart w:id="329" w:name="_Toc21960"/>
      <w:bookmarkStart w:id="330" w:name="_Toc32401"/>
      <w:r>
        <w:rPr>
          <w:rFonts w:hint="eastAsia" w:eastAsia="宋体" w:cs="宋体"/>
          <w:sz w:val="36"/>
          <w:szCs w:val="36"/>
        </w:rPr>
        <w:t>第三章 采购需求</w:t>
      </w:r>
      <w:bookmarkEnd w:id="328"/>
      <w:bookmarkEnd w:id="329"/>
      <w:bookmarkEnd w:id="330"/>
    </w:p>
    <w:p w14:paraId="4EB37E84">
      <w:pPr>
        <w:pStyle w:val="39"/>
        <w:rPr>
          <w:rFonts w:hint="eastAsia"/>
          <w:b/>
          <w:bCs/>
          <w:snapToGrid w:val="0"/>
          <w:szCs w:val="24"/>
          <w:lang w:val="en-US"/>
        </w:rPr>
      </w:pPr>
      <w:bookmarkStart w:id="331" w:name="_Toc155185889"/>
      <w:bookmarkStart w:id="332" w:name="_Toc140132812"/>
      <w:r>
        <w:rPr>
          <w:rFonts w:hint="eastAsia"/>
          <w:b/>
          <w:bCs/>
          <w:snapToGrid w:val="0"/>
          <w:szCs w:val="24"/>
          <w:lang w:val="en-US"/>
        </w:rPr>
        <w:t xml:space="preserve">说明： </w:t>
      </w:r>
    </w:p>
    <w:p w14:paraId="5709738E">
      <w:pPr>
        <w:pStyle w:val="39"/>
        <w:rPr>
          <w:rFonts w:hint="eastAsia"/>
          <w:snapToGrid w:val="0"/>
          <w:szCs w:val="24"/>
          <w:lang w:val="en-US"/>
        </w:rPr>
      </w:pPr>
      <w:r>
        <w:rPr>
          <w:rFonts w:hint="eastAsia"/>
          <w:snapToGrid w:val="0"/>
          <w:szCs w:val="24"/>
          <w:lang w:val="en-US"/>
        </w:rPr>
        <w:t>1. 当采购项目涉及数据中心相关设备、运维服务时，采购需求应当符合《绿色数据中心政府采购需求标准（试行）》（财库〔</w:t>
      </w:r>
      <w:r>
        <w:rPr>
          <w:snapToGrid w:val="0"/>
          <w:szCs w:val="24"/>
          <w:lang w:val="en-US"/>
        </w:rPr>
        <w:t>2023</w:t>
      </w:r>
      <w:r>
        <w:rPr>
          <w:rFonts w:hint="eastAsia"/>
          <w:snapToGrid w:val="0"/>
          <w:szCs w:val="24"/>
          <w:lang w:val="en-US"/>
        </w:rPr>
        <w:t>〕</w:t>
      </w:r>
      <w:r>
        <w:rPr>
          <w:snapToGrid w:val="0"/>
          <w:szCs w:val="24"/>
          <w:lang w:val="en-US"/>
        </w:rPr>
        <w:t xml:space="preserve">7 </w:t>
      </w:r>
      <w:r>
        <w:rPr>
          <w:rFonts w:hint="eastAsia"/>
          <w:snapToGrid w:val="0"/>
          <w:szCs w:val="24"/>
          <w:lang w:val="en-US"/>
        </w:rPr>
        <w:t xml:space="preserve">号）的有关要求。 </w:t>
      </w:r>
    </w:p>
    <w:p w14:paraId="20A2F41E">
      <w:pPr>
        <w:pStyle w:val="39"/>
        <w:rPr>
          <w:rFonts w:hint="eastAsia"/>
          <w:snapToGrid w:val="0"/>
          <w:szCs w:val="24"/>
          <w:lang w:val="en-US"/>
        </w:rPr>
      </w:pPr>
      <w:r>
        <w:rPr>
          <w:snapToGrid w:val="0"/>
          <w:szCs w:val="24"/>
          <w:lang w:val="en-US"/>
        </w:rPr>
        <w:t xml:space="preserve">2. </w:t>
      </w:r>
      <w:r>
        <w:rPr>
          <w:rFonts w:hint="eastAsia"/>
          <w:snapToGrid w:val="0"/>
          <w:szCs w:val="24"/>
          <w:lang w:val="en-US"/>
        </w:rPr>
        <w:t>当采购项目涉及政务信息系统时，采购需求应当符合《政务信息系统政府采购管理暂行办法》（财库〔</w:t>
      </w:r>
      <w:r>
        <w:rPr>
          <w:snapToGrid w:val="0"/>
          <w:szCs w:val="24"/>
          <w:lang w:val="en-US"/>
        </w:rPr>
        <w:t>2017</w:t>
      </w:r>
      <w:r>
        <w:rPr>
          <w:rFonts w:hint="eastAsia"/>
          <w:snapToGrid w:val="0"/>
          <w:szCs w:val="24"/>
          <w:lang w:val="en-US"/>
        </w:rPr>
        <w:t>〕</w:t>
      </w:r>
      <w:r>
        <w:rPr>
          <w:snapToGrid w:val="0"/>
          <w:szCs w:val="24"/>
          <w:lang w:val="en-US"/>
        </w:rPr>
        <w:t xml:space="preserve">210 </w:t>
      </w:r>
      <w:r>
        <w:rPr>
          <w:rFonts w:hint="eastAsia"/>
          <w:snapToGrid w:val="0"/>
          <w:szCs w:val="24"/>
          <w:lang w:val="en-US"/>
        </w:rPr>
        <w:t xml:space="preserve">号）的相关要求。 </w:t>
      </w:r>
    </w:p>
    <w:p w14:paraId="267BDB19">
      <w:pPr>
        <w:pStyle w:val="39"/>
        <w:rPr>
          <w:rFonts w:hint="eastAsia"/>
          <w:snapToGrid w:val="0"/>
          <w:szCs w:val="24"/>
          <w:lang w:val="en-US"/>
        </w:rPr>
      </w:pPr>
    </w:p>
    <w:p w14:paraId="78910A65">
      <w:pPr>
        <w:pStyle w:val="39"/>
        <w:spacing w:before="120" w:beforeLines="50" w:after="120" w:afterLines="50"/>
        <w:ind w:firstLine="482"/>
        <w:rPr>
          <w:rFonts w:hint="eastAsia"/>
          <w:b/>
          <w:bCs/>
          <w:snapToGrid w:val="0"/>
          <w:szCs w:val="24"/>
          <w:lang w:val="en-US"/>
        </w:rPr>
      </w:pPr>
      <w:r>
        <w:rPr>
          <w:rFonts w:hint="eastAsia"/>
          <w:b/>
          <w:bCs/>
          <w:snapToGrid w:val="0"/>
          <w:szCs w:val="24"/>
          <w:lang w:val="en-US"/>
        </w:rPr>
        <w:t xml:space="preserve">一、采购标的 </w:t>
      </w:r>
    </w:p>
    <w:p w14:paraId="6F48CD5C">
      <w:pPr>
        <w:pStyle w:val="39"/>
        <w:rPr>
          <w:rFonts w:hint="eastAsia"/>
          <w:snapToGrid w:val="0"/>
          <w:szCs w:val="24"/>
          <w:lang w:val="en-US"/>
        </w:rPr>
      </w:pPr>
      <w:r>
        <w:rPr>
          <w:snapToGrid w:val="0"/>
          <w:szCs w:val="24"/>
          <w:lang w:val="en-US"/>
        </w:rPr>
        <w:t xml:space="preserve">1. </w:t>
      </w:r>
      <w:r>
        <w:rPr>
          <w:rFonts w:hint="eastAsia"/>
          <w:snapToGrid w:val="0"/>
          <w:szCs w:val="24"/>
          <w:lang w:val="en-US"/>
        </w:rPr>
        <w:t>采购标的</w:t>
      </w:r>
    </w:p>
    <w:p w14:paraId="56FB2840">
      <w:pPr>
        <w:pStyle w:val="39"/>
        <w:rPr>
          <w:rFonts w:hint="eastAsia" w:eastAsia="宋体"/>
          <w:snapToGrid w:val="0"/>
          <w:szCs w:val="24"/>
          <w:lang w:val="en-US" w:eastAsia="zh-CN"/>
        </w:rPr>
      </w:pPr>
      <w:r>
        <w:rPr>
          <w:rFonts w:hint="eastAsia" w:ascii="Times New Roman" w:hAnsi="Times New Roman" w:cs="Times New Roman"/>
          <w:iCs w:val="0"/>
          <w:szCs w:val="24"/>
          <w:lang w:eastAsia="zh-CN"/>
        </w:rPr>
        <w:t>新疆生产建设兵团东天山“三北”工程核心攻坚区（第十三师）历史遗留废弃矿山生态修复示范工程（全过程技术管理咨询）-</w:t>
      </w:r>
    </w:p>
    <w:p w14:paraId="7C43F364">
      <w:pPr>
        <w:pStyle w:val="39"/>
        <w:numPr>
          <w:ilvl w:val="0"/>
          <w:numId w:val="4"/>
        </w:numPr>
        <w:rPr>
          <w:rFonts w:hint="eastAsia"/>
          <w:snapToGrid w:val="0"/>
          <w:szCs w:val="24"/>
          <w:lang w:val="en-US"/>
        </w:rPr>
      </w:pPr>
      <w:r>
        <w:rPr>
          <w:rFonts w:hint="eastAsia"/>
          <w:snapToGrid w:val="0"/>
          <w:szCs w:val="24"/>
          <w:lang w:val="en-US"/>
        </w:rPr>
        <w:t>项目概述</w:t>
      </w:r>
    </w:p>
    <w:p w14:paraId="55DD42DB">
      <w:pPr>
        <w:ind w:firstLine="480" w:firstLineChars="200"/>
        <w:rPr>
          <w:rFonts w:ascii="Times New Roman" w:hAnsi="Times New Roman" w:cs="Times New Roman"/>
          <w:color w:val="auto"/>
          <w:szCs w:val="24"/>
          <w:lang w:val="hr-HR"/>
        </w:rPr>
      </w:pPr>
      <w:r>
        <w:rPr>
          <w:rFonts w:hint="eastAsia" w:ascii="Times New Roman" w:hAnsi="Times New Roman" w:cs="Times New Roman"/>
          <w:szCs w:val="24"/>
        </w:rPr>
        <w:t>新疆生产建设兵团东天山“三北”工程核心攻坚区（第十三师）历史遗留废弃矿山生态修复示范工程项目</w:t>
      </w:r>
      <w:r>
        <w:rPr>
          <w:rFonts w:hint="eastAsia" w:ascii="Times New Roman" w:hAnsi="Times New Roman" w:cs="Times New Roman"/>
          <w:szCs w:val="24"/>
          <w:lang w:val="hr-HR"/>
        </w:rPr>
        <w:t>包含122个废弃矿山图斑，面积</w:t>
      </w:r>
      <w:r>
        <w:rPr>
          <w:rFonts w:hint="eastAsia" w:ascii="Times New Roman" w:hAnsi="Times New Roman" w:cs="Times New Roman"/>
          <w:szCs w:val="24"/>
        </w:rPr>
        <w:t>约1009.99</w:t>
      </w:r>
      <w:r>
        <w:rPr>
          <w:rFonts w:hint="eastAsia" w:ascii="Times New Roman" w:hAnsi="Times New Roman" w:cs="Times New Roman"/>
          <w:szCs w:val="24"/>
          <w:lang w:val="hr-HR"/>
        </w:rPr>
        <w:t>公顷（具体治理面积以批复面积为准），分布在红星一场、红星二场、黄田农场、红星四场、火箭农场、柳树泉农场、红山农场。共部署12个子项目。采取矿山地质环境隐患消除、地形重塑、覆土复垦、植被恢复、安全警示工程、养护工程等措施，</w:t>
      </w:r>
      <w:r>
        <w:rPr>
          <w:rFonts w:hint="eastAsia" w:ascii="Times New Roman" w:hAnsi="Times New Roman" w:cs="Times New Roman"/>
          <w:color w:val="auto"/>
          <w:szCs w:val="24"/>
          <w:lang w:val="hr-HR"/>
        </w:rPr>
        <w:t>消除矿山地质环境隐患点，采坑治理，边坡治理，新增耕地，林地提质改造，退化草地修复，修复历史遗留废弃矿山图斑。</w:t>
      </w:r>
    </w:p>
    <w:p w14:paraId="245AAB65">
      <w:pPr>
        <w:ind w:firstLine="480" w:firstLineChars="200"/>
        <w:rPr>
          <w:rFonts w:ascii="Times New Roman" w:hAnsi="Times New Roman" w:cs="Times New Roman"/>
          <w:color w:val="auto"/>
          <w:szCs w:val="24"/>
        </w:rPr>
      </w:pPr>
      <w:r>
        <w:rPr>
          <w:rFonts w:hint="eastAsia" w:ascii="Times New Roman" w:hAnsi="Times New Roman" w:cs="Times New Roman"/>
          <w:color w:val="auto"/>
          <w:szCs w:val="24"/>
        </w:rPr>
        <w:t>中标人需</w:t>
      </w:r>
      <w:r>
        <w:rPr>
          <w:rFonts w:hint="eastAsia" w:ascii="Times New Roman" w:hAnsi="Times New Roman" w:cs="Times New Roman"/>
          <w:color w:val="auto"/>
          <w:szCs w:val="24"/>
          <w:lang w:val="hr-HR"/>
        </w:rPr>
        <w:t>承担</w:t>
      </w:r>
      <w:r>
        <w:rPr>
          <w:rFonts w:hint="eastAsia" w:ascii="Times New Roman" w:hAnsi="Times New Roman" w:cs="Times New Roman"/>
          <w:color w:val="auto"/>
          <w:szCs w:val="24"/>
        </w:rPr>
        <w:t>本</w:t>
      </w:r>
      <w:r>
        <w:rPr>
          <w:rFonts w:hint="eastAsia" w:ascii="Times New Roman" w:hAnsi="Times New Roman" w:cs="Times New Roman"/>
          <w:color w:val="auto"/>
          <w:szCs w:val="24"/>
          <w:lang w:val="hr-HR"/>
        </w:rPr>
        <w:t>项目的全过程</w:t>
      </w:r>
      <w:r>
        <w:rPr>
          <w:rFonts w:hint="eastAsia" w:ascii="Times New Roman" w:hAnsi="Times New Roman" w:cs="Times New Roman"/>
          <w:color w:val="auto"/>
          <w:szCs w:val="24"/>
        </w:rPr>
        <w:t>技术管理</w:t>
      </w:r>
      <w:r>
        <w:rPr>
          <w:rFonts w:hint="eastAsia" w:ascii="Times New Roman" w:hAnsi="Times New Roman" w:cs="Times New Roman"/>
          <w:color w:val="auto"/>
          <w:szCs w:val="24"/>
          <w:lang w:val="hr-HR"/>
        </w:rPr>
        <w:t>咨询任务，包括但不限于</w:t>
      </w:r>
      <w:r>
        <w:rPr>
          <w:rFonts w:ascii="Times New Roman" w:hAnsi="Times New Roman" w:cs="Times New Roman"/>
          <w:color w:val="auto"/>
          <w:szCs w:val="24"/>
          <w:lang w:val="hr-HR"/>
        </w:rPr>
        <w:t>代业主履行相关职责，对工程实施进度、效果、内外业工作、设计变更及其落实情况等进行监督检查；完成</w:t>
      </w:r>
      <w:r>
        <w:rPr>
          <w:rFonts w:hint="eastAsia" w:ascii="Times New Roman" w:hAnsi="Times New Roman" w:cs="Times New Roman"/>
          <w:color w:val="auto"/>
          <w:szCs w:val="24"/>
          <w:lang w:val="hr-HR"/>
        </w:rPr>
        <w:t>自然资源部国土空间生态保护修复信息管理系统</w:t>
      </w:r>
      <w:r>
        <w:rPr>
          <w:rFonts w:ascii="Times New Roman" w:hAnsi="Times New Roman" w:cs="Times New Roman"/>
          <w:color w:val="auto"/>
          <w:szCs w:val="24"/>
          <w:lang w:val="hr-HR"/>
        </w:rPr>
        <w:t>填报工作，</w:t>
      </w:r>
      <w:r>
        <w:rPr>
          <w:rFonts w:hint="eastAsia" w:ascii="Times New Roman" w:hAnsi="Times New Roman" w:cs="Times New Roman"/>
          <w:color w:val="auto"/>
          <w:szCs w:val="24"/>
          <w:lang w:val="hr-HR"/>
        </w:rPr>
        <w:t>搭建十三师示范工程项目全要素数字化平台；</w:t>
      </w:r>
      <w:r>
        <w:rPr>
          <w:rFonts w:ascii="Times New Roman" w:hAnsi="Times New Roman" w:cs="Times New Roman"/>
          <w:color w:val="auto"/>
          <w:szCs w:val="24"/>
          <w:lang w:val="hr-HR"/>
        </w:rPr>
        <w:t>对实施各阶段的资料予以整理、汇总与分析，构建档案资料库；开展季度、年度及总体绩效评价，并形成绩效评价报告；组织开展项目竣工验收</w:t>
      </w:r>
      <w:r>
        <w:rPr>
          <w:rFonts w:hint="eastAsia" w:ascii="Times New Roman" w:hAnsi="Times New Roman" w:cs="Times New Roman"/>
          <w:color w:val="auto"/>
          <w:szCs w:val="24"/>
          <w:lang w:val="hr-HR"/>
        </w:rPr>
        <w:t>、其他与本项目有关的技术研究及咨询工作</w:t>
      </w:r>
      <w:r>
        <w:rPr>
          <w:rFonts w:ascii="Times New Roman" w:hAnsi="Times New Roman" w:cs="Times New Roman"/>
          <w:color w:val="auto"/>
          <w:szCs w:val="24"/>
          <w:lang w:val="hr-HR"/>
        </w:rPr>
        <w:t>。</w:t>
      </w:r>
    </w:p>
    <w:p w14:paraId="001536D1">
      <w:pPr>
        <w:pStyle w:val="39"/>
        <w:spacing w:before="120" w:beforeLines="50" w:after="120" w:afterLines="50"/>
        <w:ind w:firstLine="482"/>
        <w:rPr>
          <w:rFonts w:hint="eastAsia"/>
          <w:b/>
          <w:bCs/>
          <w:snapToGrid w:val="0"/>
          <w:szCs w:val="24"/>
          <w:lang w:val="en-US"/>
        </w:rPr>
      </w:pPr>
      <w:r>
        <w:rPr>
          <w:rFonts w:hint="eastAsia"/>
          <w:b/>
          <w:bCs/>
          <w:snapToGrid w:val="0"/>
          <w:szCs w:val="24"/>
          <w:lang w:val="en-US"/>
        </w:rPr>
        <w:t>二、商务要求</w:t>
      </w:r>
    </w:p>
    <w:p w14:paraId="084FDAC7">
      <w:pPr>
        <w:pStyle w:val="39"/>
        <w:rPr>
          <w:rFonts w:hint="eastAsia"/>
          <w:snapToGrid w:val="0"/>
          <w:szCs w:val="24"/>
          <w:shd w:val="clear" w:color="auto" w:fill="auto"/>
          <w:lang w:val="en-US"/>
        </w:rPr>
      </w:pPr>
      <w:r>
        <w:rPr>
          <w:snapToGrid w:val="0"/>
          <w:szCs w:val="24"/>
          <w:lang w:val="en-US"/>
        </w:rPr>
        <w:t xml:space="preserve">1. </w:t>
      </w:r>
      <w:r>
        <w:rPr>
          <w:snapToGrid w:val="0"/>
          <w:szCs w:val="24"/>
          <w:shd w:val="clear" w:color="auto" w:fill="auto"/>
          <w:lang w:val="en-US"/>
        </w:rPr>
        <w:t xml:space="preserve"> </w:t>
      </w:r>
      <w:r>
        <w:rPr>
          <w:rFonts w:hint="eastAsia"/>
          <w:snapToGrid w:val="0"/>
          <w:szCs w:val="24"/>
          <w:shd w:val="clear" w:color="auto" w:fill="auto"/>
          <w:lang w:val="en-US"/>
        </w:rPr>
        <w:t>实施的时间和地点：</w:t>
      </w:r>
    </w:p>
    <w:p w14:paraId="48E4AE7E">
      <w:pPr>
        <w:pStyle w:val="39"/>
        <w:rPr>
          <w:rFonts w:hint="eastAsia"/>
          <w:snapToGrid w:val="0"/>
          <w:szCs w:val="24"/>
          <w:lang w:val="en-US"/>
        </w:rPr>
      </w:pPr>
      <w:r>
        <w:rPr>
          <w:rFonts w:hint="eastAsia"/>
          <w:snapToGrid w:val="0"/>
          <w:szCs w:val="24"/>
          <w:shd w:val="clear" w:color="auto" w:fill="auto"/>
          <w:lang w:val="en-US"/>
        </w:rPr>
        <w:t>时间 ：自合同签订之日起至项目竣工验收结算完毕。地点：批复文件要求及招标人指定地点。</w:t>
      </w:r>
    </w:p>
    <w:p w14:paraId="0806E4F4">
      <w:pPr>
        <w:pStyle w:val="39"/>
        <w:rPr>
          <w:rFonts w:hint="eastAsia"/>
          <w:snapToGrid w:val="0"/>
          <w:color w:val="auto"/>
          <w:szCs w:val="24"/>
          <w:lang w:val="en-US"/>
        </w:rPr>
      </w:pPr>
      <w:r>
        <w:rPr>
          <w:snapToGrid w:val="0"/>
          <w:color w:val="auto"/>
          <w:szCs w:val="24"/>
          <w:lang w:val="en-US"/>
        </w:rPr>
        <w:t xml:space="preserve">2. </w:t>
      </w:r>
      <w:r>
        <w:rPr>
          <w:rFonts w:hint="eastAsia"/>
          <w:snapToGrid w:val="0"/>
          <w:color w:val="auto"/>
          <w:szCs w:val="24"/>
          <w:lang w:val="en-US"/>
        </w:rPr>
        <w:t xml:space="preserve">付款条件（进度和方式） </w:t>
      </w:r>
    </w:p>
    <w:p w14:paraId="2427F180">
      <w:pPr>
        <w:spacing w:line="560" w:lineRule="exact"/>
        <w:ind w:firstLine="480" w:firstLineChars="200"/>
        <w:jc w:val="both"/>
        <w:rPr>
          <w:rFonts w:hint="eastAsia"/>
          <w:iCs/>
          <w:snapToGrid w:val="0"/>
          <w:color w:val="auto"/>
          <w:szCs w:val="24"/>
          <w:shd w:val="clear" w:color="auto" w:fill="FFFFFF" w:themeFill="background1"/>
        </w:rPr>
      </w:pPr>
      <w:r>
        <w:rPr>
          <w:rFonts w:hint="eastAsia"/>
          <w:iCs/>
          <w:snapToGrid w:val="0"/>
          <w:color w:val="auto"/>
          <w:szCs w:val="24"/>
          <w:shd w:val="clear" w:color="auto" w:fill="FFFFFF" w:themeFill="background1"/>
        </w:rPr>
        <w:t>自双方签订合同之日起</w:t>
      </w:r>
      <w:r>
        <w:rPr>
          <w:rFonts w:hint="eastAsia"/>
          <w:iCs/>
          <w:snapToGrid w:val="0"/>
          <w:color w:val="auto"/>
          <w:szCs w:val="24"/>
          <w:shd w:val="clear" w:color="auto" w:fill="FFFFFF" w:themeFill="background1"/>
          <w:lang w:val="en-US" w:eastAsia="zh-CN"/>
        </w:rPr>
        <w:t>60</w:t>
      </w:r>
      <w:r>
        <w:rPr>
          <w:rFonts w:hint="eastAsia"/>
          <w:iCs/>
          <w:snapToGrid w:val="0"/>
          <w:color w:val="auto"/>
          <w:szCs w:val="24"/>
          <w:shd w:val="clear" w:color="auto" w:fill="FFFFFF" w:themeFill="background1"/>
        </w:rPr>
        <w:t>天内，甲方支付乙方合同价款的3</w:t>
      </w:r>
      <w:r>
        <w:rPr>
          <w:rFonts w:hint="eastAsia"/>
          <w:iCs/>
          <w:snapToGrid w:val="0"/>
          <w:color w:val="auto"/>
          <w:szCs w:val="24"/>
          <w:shd w:val="clear" w:color="auto" w:fill="FFFFFF" w:themeFill="background1"/>
          <w:lang w:val="en-US" w:eastAsia="zh-CN"/>
        </w:rPr>
        <w:t>0</w:t>
      </w:r>
      <w:r>
        <w:rPr>
          <w:rFonts w:hint="eastAsia"/>
          <w:iCs/>
          <w:snapToGrid w:val="0"/>
          <w:color w:val="auto"/>
          <w:szCs w:val="24"/>
          <w:shd w:val="clear" w:color="auto" w:fill="FFFFFF" w:themeFill="background1"/>
        </w:rPr>
        <w:t>%，2026年12月底前支付合同价款的30%，2027年12月底前支付合同价款20%，通过竣工验收后30天内支付合同价款的</w:t>
      </w:r>
      <w:r>
        <w:rPr>
          <w:rFonts w:hint="eastAsia"/>
          <w:iCs/>
          <w:snapToGrid w:val="0"/>
          <w:color w:val="auto"/>
          <w:szCs w:val="24"/>
          <w:shd w:val="clear" w:color="auto" w:fill="FFFFFF" w:themeFill="background1"/>
          <w:lang w:val="en-US" w:eastAsia="zh-CN"/>
        </w:rPr>
        <w:t>20</w:t>
      </w:r>
      <w:r>
        <w:rPr>
          <w:rFonts w:hint="eastAsia"/>
          <w:iCs/>
          <w:snapToGrid w:val="0"/>
          <w:color w:val="auto"/>
          <w:szCs w:val="24"/>
          <w:shd w:val="clear" w:color="auto" w:fill="FFFFFF" w:themeFill="background1"/>
        </w:rPr>
        <w:t>%</w:t>
      </w:r>
      <w:r>
        <w:rPr>
          <w:rFonts w:hint="eastAsia"/>
          <w:iCs/>
          <w:snapToGrid w:val="0"/>
          <w:color w:val="auto"/>
          <w:szCs w:val="24"/>
          <w:shd w:val="clear" w:color="auto" w:fill="FFFFFF" w:themeFill="background1"/>
          <w:lang w:eastAsia="zh-CN"/>
        </w:rPr>
        <w:t>（</w:t>
      </w:r>
      <w:r>
        <w:rPr>
          <w:rFonts w:hint="eastAsia"/>
          <w:iCs/>
          <w:snapToGrid w:val="0"/>
          <w:color w:val="auto"/>
          <w:szCs w:val="24"/>
          <w:shd w:val="clear" w:color="auto" w:fill="FFFFFF" w:themeFill="background1"/>
          <w:lang w:val="en-US" w:eastAsia="zh-CN"/>
        </w:rPr>
        <w:t>按合同实际签订</w:t>
      </w:r>
      <w:r>
        <w:rPr>
          <w:rFonts w:hint="eastAsia"/>
          <w:iCs/>
          <w:snapToGrid w:val="0"/>
          <w:color w:val="auto"/>
          <w:szCs w:val="24"/>
          <w:shd w:val="clear" w:color="auto" w:fill="FFFFFF" w:themeFill="background1"/>
          <w:lang w:eastAsia="zh-CN"/>
        </w:rPr>
        <w:t>）</w:t>
      </w:r>
      <w:r>
        <w:rPr>
          <w:rFonts w:hint="eastAsia"/>
          <w:iCs/>
          <w:snapToGrid w:val="0"/>
          <w:color w:val="auto"/>
          <w:szCs w:val="24"/>
          <w:shd w:val="clear" w:color="auto" w:fill="FFFFFF" w:themeFill="background1"/>
        </w:rPr>
        <w:t>。</w:t>
      </w:r>
    </w:p>
    <w:p w14:paraId="2B68926B">
      <w:pPr>
        <w:pStyle w:val="39"/>
        <w:rPr>
          <w:rFonts w:hint="eastAsia"/>
          <w:snapToGrid w:val="0"/>
          <w:szCs w:val="24"/>
          <w:lang w:val="en-US"/>
        </w:rPr>
      </w:pPr>
    </w:p>
    <w:p w14:paraId="65C5E152">
      <w:pPr>
        <w:pStyle w:val="39"/>
        <w:spacing w:before="120" w:beforeLines="50" w:after="120" w:afterLines="50"/>
        <w:ind w:firstLine="482"/>
        <w:rPr>
          <w:rFonts w:hint="eastAsia"/>
          <w:b/>
          <w:bCs/>
          <w:snapToGrid w:val="0"/>
          <w:szCs w:val="24"/>
          <w:lang w:val="en-US"/>
        </w:rPr>
      </w:pPr>
      <w:r>
        <w:rPr>
          <w:rFonts w:hint="eastAsia"/>
          <w:b/>
          <w:bCs/>
          <w:snapToGrid w:val="0"/>
          <w:szCs w:val="24"/>
          <w:lang w:val="en-US"/>
        </w:rPr>
        <w:t>三、技术要求</w:t>
      </w:r>
    </w:p>
    <w:p w14:paraId="7361E772">
      <w:pPr>
        <w:ind w:firstLine="480" w:firstLineChars="200"/>
        <w:rPr>
          <w:rFonts w:ascii="Times New Roman" w:hAnsi="Times New Roman" w:cs="Times New Roman"/>
          <w:szCs w:val="24"/>
        </w:rPr>
      </w:pPr>
      <w:r>
        <w:rPr>
          <w:rFonts w:hint="eastAsia" w:ascii="Times New Roman" w:hAnsi="Times New Roman" w:cs="Times New Roman"/>
          <w:szCs w:val="24"/>
        </w:rPr>
        <w:t>1.项目负责人：具有本项目所需相关专业高级技术职称，具有独立主持工作的能力及经验。</w:t>
      </w:r>
    </w:p>
    <w:p w14:paraId="0DF8E665">
      <w:pPr>
        <w:ind w:firstLine="480" w:firstLineChars="200"/>
        <w:rPr>
          <w:rFonts w:ascii="Times New Roman" w:hAnsi="Times New Roman" w:cs="Times New Roman"/>
          <w:szCs w:val="24"/>
        </w:rPr>
      </w:pPr>
      <w:r>
        <w:rPr>
          <w:rFonts w:hint="eastAsia" w:ascii="Times New Roman" w:hAnsi="Times New Roman" w:cs="Times New Roman"/>
          <w:szCs w:val="24"/>
        </w:rPr>
        <w:t>2.团队人员：根据项目工作组情况及业务需要，派驻专人进行驻场服务，配备人员具有相关证书及服务经验。</w:t>
      </w:r>
    </w:p>
    <w:p w14:paraId="20AB6C69">
      <w:pPr>
        <w:ind w:firstLine="480" w:firstLineChars="200"/>
        <w:rPr>
          <w:rFonts w:ascii="Times New Roman" w:hAnsi="Times New Roman" w:cs="Times New Roman"/>
          <w:szCs w:val="24"/>
        </w:rPr>
      </w:pPr>
      <w:r>
        <w:rPr>
          <w:rFonts w:hint="eastAsia" w:ascii="Times New Roman" w:hAnsi="Times New Roman" w:cs="Times New Roman"/>
          <w:szCs w:val="24"/>
        </w:rPr>
        <w:t>3.成果要求：根据项目情况制作效果图册和专题片，编写专项课题研究报告、绩效评价报告、完成自然资源部国土空间生态保护修复信息管理系统填报工作，搭建十三师示范工程项目全要素数字化平台、档案资料汇编等服务成果资料。</w:t>
      </w:r>
    </w:p>
    <w:p w14:paraId="6B6AC911">
      <w:pPr>
        <w:ind w:firstLine="480" w:firstLineChars="200"/>
        <w:rPr>
          <w:rFonts w:ascii="Times New Roman" w:hAnsi="Times New Roman" w:cs="Times New Roman"/>
          <w:szCs w:val="24"/>
        </w:rPr>
      </w:pPr>
      <w:r>
        <w:rPr>
          <w:rFonts w:hint="eastAsia" w:ascii="Times New Roman" w:hAnsi="Times New Roman" w:cs="Times New Roman"/>
          <w:szCs w:val="24"/>
        </w:rPr>
        <w:t>4.</w:t>
      </w:r>
      <w:r>
        <w:rPr>
          <w:rFonts w:ascii="Times New Roman" w:hAnsi="Times New Roman" w:cs="Times New Roman"/>
          <w:szCs w:val="24"/>
        </w:rPr>
        <w:t>资料的保管要求</w:t>
      </w:r>
      <w:r>
        <w:rPr>
          <w:rFonts w:hint="eastAsia" w:ascii="Times New Roman" w:hAnsi="Times New Roman" w:cs="Times New Roman"/>
          <w:szCs w:val="24"/>
        </w:rPr>
        <w:t>：</w:t>
      </w:r>
      <w:r>
        <w:rPr>
          <w:rFonts w:ascii="Times New Roman" w:hAnsi="Times New Roman" w:cs="Times New Roman"/>
          <w:szCs w:val="24"/>
        </w:rPr>
        <w:t>中标人需遵守保密工作要求，未经允许不得泄露项目内容信息。委托项目完成后，投标人应将所涉及的资料按项目整理，移交给采购人进行归档保存。</w:t>
      </w:r>
    </w:p>
    <w:p w14:paraId="597F14E0">
      <w:pPr>
        <w:ind w:firstLine="480"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5.服务成果交付的成果及方式；</w:t>
      </w:r>
    </w:p>
    <w:p w14:paraId="3AB1C951">
      <w:pPr>
        <w:ind w:firstLine="480"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①项目档案资料、巡查检查记录、效果图册、成果展示材料、专家指导培训会材料、绩效评价报告（季度、年度及总体）、子项目及整体竣工验收报告；</w:t>
      </w:r>
    </w:p>
    <w:p w14:paraId="69435E7B">
      <w:pPr>
        <w:ind w:firstLine="480"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②典型项目技术成果亮点综合研究报告；</w:t>
      </w:r>
    </w:p>
    <w:p w14:paraId="01CB185E">
      <w:pPr>
        <w:ind w:firstLine="480"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③信息化平台建设等；</w:t>
      </w:r>
    </w:p>
    <w:p w14:paraId="3ED426D4">
      <w:pPr>
        <w:ind w:firstLine="480" w:firstLineChars="200"/>
        <w:rPr>
          <w:rFonts w:hint="eastAsia" w:ascii="Times New Roman" w:hAnsi="Times New Roman" w:cs="Times New Roman"/>
          <w:szCs w:val="24"/>
          <w:lang w:val="en-US" w:eastAsia="zh-CN"/>
        </w:rPr>
      </w:pPr>
      <w:r>
        <w:rPr>
          <w:rFonts w:hint="eastAsia" w:ascii="Times New Roman" w:hAnsi="Times New Roman" w:cs="Times New Roman"/>
          <w:szCs w:val="24"/>
          <w:lang w:val="en-US" w:eastAsia="zh-CN"/>
        </w:rPr>
        <w:t>④制作宣传视频约8分钟左右。</w:t>
      </w:r>
    </w:p>
    <w:p w14:paraId="5680CC56">
      <w:pPr>
        <w:ind w:firstLine="480" w:firstLineChars="200"/>
        <w:rPr>
          <w:rFonts w:hint="default" w:ascii="Times New Roman" w:hAnsi="Times New Roman" w:cs="Times New Roman"/>
          <w:szCs w:val="24"/>
          <w:lang w:val="en-US" w:eastAsia="zh-CN"/>
        </w:rPr>
      </w:pPr>
      <w:r>
        <w:rPr>
          <w:rFonts w:hint="eastAsia" w:ascii="Times New Roman" w:hAnsi="Times New Roman" w:cs="Times New Roman"/>
          <w:szCs w:val="24"/>
          <w:lang w:val="en-US" w:eastAsia="zh-CN"/>
        </w:rPr>
        <w:t>以上相关文字、图件、视频、数据及图件成果纸质版各12份、电子版各4份。</w:t>
      </w:r>
    </w:p>
    <w:p w14:paraId="7AB0719B">
      <w:pPr>
        <w:pStyle w:val="57"/>
        <w:spacing w:line="360" w:lineRule="auto"/>
        <w:ind w:firstLine="424" w:firstLineChars="177"/>
        <w:rPr>
          <w:rFonts w:hint="eastAsia" w:ascii="宋体" w:hAnsi="宋体" w:cs="宋体"/>
          <w:sz w:val="24"/>
        </w:rPr>
      </w:pPr>
    </w:p>
    <w:bookmarkEnd w:id="331"/>
    <w:bookmarkEnd w:id="332"/>
    <w:p w14:paraId="5E033ED1">
      <w:pPr>
        <w:pStyle w:val="57"/>
        <w:spacing w:line="360" w:lineRule="auto"/>
        <w:ind w:firstLine="424" w:firstLineChars="177"/>
        <w:rPr>
          <w:rFonts w:hint="eastAsia" w:ascii="宋体" w:hAnsi="宋体" w:cs="宋体"/>
          <w:sz w:val="24"/>
        </w:rPr>
      </w:pPr>
    </w:p>
    <w:p w14:paraId="124DA508">
      <w:pPr>
        <w:pStyle w:val="3"/>
        <w:spacing w:before="100" w:after="60" w:line="360" w:lineRule="auto"/>
        <w:ind w:left="420" w:hanging="420"/>
        <w:rPr>
          <w:rFonts w:hint="eastAsia" w:eastAsia="宋体" w:cs="宋体"/>
          <w:sz w:val="36"/>
          <w:szCs w:val="36"/>
        </w:rPr>
      </w:pPr>
      <w:bookmarkStart w:id="333" w:name="_Toc7544"/>
      <w:bookmarkStart w:id="334" w:name="_Toc12673"/>
      <w:bookmarkStart w:id="335" w:name="_Toc155185895"/>
      <w:r>
        <w:rPr>
          <w:rFonts w:hint="eastAsia" w:eastAsia="宋体" w:cs="宋体"/>
          <w:sz w:val="36"/>
          <w:szCs w:val="36"/>
        </w:rPr>
        <w:t>第四章 资格审查</w:t>
      </w:r>
      <w:bookmarkEnd w:id="333"/>
      <w:bookmarkEnd w:id="334"/>
      <w:bookmarkEnd w:id="335"/>
    </w:p>
    <w:p w14:paraId="47C0DD3A">
      <w:pPr>
        <w:pStyle w:val="4"/>
        <w:spacing w:before="60" w:after="60" w:line="360" w:lineRule="auto"/>
        <w:ind w:left="420" w:hanging="420"/>
        <w:rPr>
          <w:rFonts w:hint="eastAsia"/>
          <w:sz w:val="28"/>
          <w:szCs w:val="28"/>
          <w:lang w:val="zh-CN"/>
        </w:rPr>
      </w:pPr>
      <w:bookmarkStart w:id="336" w:name="_Toc26947"/>
      <w:bookmarkStart w:id="337" w:name="_Toc20891"/>
      <w:bookmarkStart w:id="338" w:name="_Toc23139"/>
      <w:r>
        <w:rPr>
          <w:rFonts w:hint="eastAsia"/>
          <w:sz w:val="28"/>
          <w:szCs w:val="28"/>
        </w:rPr>
        <w:t>一、资格审查程序</w:t>
      </w:r>
      <w:bookmarkEnd w:id="336"/>
      <w:bookmarkEnd w:id="337"/>
      <w:bookmarkEnd w:id="338"/>
      <w:r>
        <w:rPr>
          <w:rFonts w:hint="eastAsia"/>
          <w:sz w:val="28"/>
          <w:szCs w:val="28"/>
        </w:rPr>
        <w:t xml:space="preserve"> </w:t>
      </w:r>
    </w:p>
    <w:p w14:paraId="4CF3D22F">
      <w:pPr>
        <w:pStyle w:val="39"/>
        <w:spacing w:line="400" w:lineRule="exact"/>
        <w:ind w:firstLine="482"/>
        <w:rPr>
          <w:rFonts w:hint="eastAsia"/>
        </w:rPr>
      </w:pPr>
      <w:r>
        <w:rPr>
          <w:rFonts w:hint="eastAsia"/>
          <w:lang w:val="en-US"/>
        </w:rPr>
        <w:t xml:space="preserve">1 开标结束后，采购人或采购代理机构将根据《资格审查要求》中的规定，对投标人进行资格审查，并形成资格审查结果。 </w:t>
      </w:r>
    </w:p>
    <w:p w14:paraId="40D3464B">
      <w:pPr>
        <w:pStyle w:val="39"/>
        <w:spacing w:line="400" w:lineRule="exact"/>
        <w:ind w:firstLine="482"/>
        <w:rPr>
          <w:rFonts w:hint="eastAsia"/>
        </w:rPr>
      </w:pPr>
      <w:r>
        <w:rPr>
          <w:lang w:val="en-US"/>
        </w:rPr>
        <w:t xml:space="preserve">2 </w:t>
      </w:r>
      <w:r>
        <w:rPr>
          <w:rFonts w:hint="eastAsia"/>
          <w:lang w:val="en-US"/>
        </w:rPr>
        <w:t>投标人《资格证明文件》有任何一项不符合《资格审查要求》的，资格审查不合格，其</w:t>
      </w:r>
      <w:r>
        <w:rPr>
          <w:rFonts w:hint="eastAsia"/>
          <w:b/>
          <w:bCs/>
          <w:lang w:val="en-US"/>
        </w:rPr>
        <w:t>投标无效</w:t>
      </w:r>
      <w:r>
        <w:rPr>
          <w:rFonts w:hint="eastAsia"/>
          <w:lang w:val="en-US"/>
        </w:rPr>
        <w:t xml:space="preserve">。 </w:t>
      </w:r>
    </w:p>
    <w:p w14:paraId="043C7055">
      <w:pPr>
        <w:pStyle w:val="39"/>
        <w:spacing w:line="400" w:lineRule="exact"/>
        <w:ind w:firstLine="482"/>
        <w:rPr>
          <w:rFonts w:hint="eastAsia"/>
        </w:rPr>
      </w:pPr>
      <w:r>
        <w:rPr>
          <w:rFonts w:hint="eastAsia"/>
          <w:lang w:val="en-US"/>
        </w:rPr>
        <w:t>3</w:t>
      </w:r>
      <w:r>
        <w:rPr>
          <w:lang w:val="en-US"/>
        </w:rPr>
        <w:t xml:space="preserve"> </w:t>
      </w:r>
      <w:r>
        <w:rPr>
          <w:rFonts w:hint="eastAsia"/>
          <w:lang w:val="en-US"/>
        </w:rPr>
        <w:t xml:space="preserve">资格审查合格的投标人不足 </w:t>
      </w:r>
      <w:r>
        <w:rPr>
          <w:lang w:val="en-US"/>
        </w:rPr>
        <w:t xml:space="preserve">3 </w:t>
      </w:r>
      <w:r>
        <w:rPr>
          <w:rFonts w:hint="eastAsia"/>
          <w:lang w:val="en-US"/>
        </w:rPr>
        <w:t xml:space="preserve">家的，不进行评标。 </w:t>
      </w:r>
    </w:p>
    <w:p w14:paraId="1DAE327D">
      <w:pPr>
        <w:pStyle w:val="4"/>
        <w:spacing w:before="60" w:after="60" w:line="360" w:lineRule="auto"/>
        <w:ind w:left="420" w:hanging="420"/>
        <w:rPr>
          <w:rFonts w:hint="eastAsia"/>
          <w:sz w:val="28"/>
          <w:szCs w:val="28"/>
        </w:rPr>
      </w:pPr>
      <w:bookmarkStart w:id="339" w:name="_Toc17193"/>
      <w:bookmarkStart w:id="340" w:name="_Toc22545"/>
      <w:bookmarkStart w:id="341" w:name="_Toc15886"/>
      <w:r>
        <w:rPr>
          <w:rFonts w:hint="eastAsia"/>
          <w:sz w:val="28"/>
          <w:szCs w:val="28"/>
        </w:rPr>
        <w:t>二、资格审查要求</w:t>
      </w:r>
      <w:bookmarkEnd w:id="339"/>
      <w:bookmarkEnd w:id="340"/>
      <w:bookmarkEnd w:id="341"/>
      <w:r>
        <w:rPr>
          <w:rFonts w:hint="eastAsia"/>
          <w:sz w:val="28"/>
          <w:szCs w:val="28"/>
        </w:rPr>
        <w:t xml:space="preserve"> </w:t>
      </w:r>
    </w:p>
    <w:tbl>
      <w:tblPr>
        <w:tblStyle w:val="31"/>
        <w:tblW w:w="56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21"/>
        <w:gridCol w:w="1816"/>
        <w:gridCol w:w="5047"/>
        <w:gridCol w:w="1934"/>
      </w:tblGrid>
      <w:tr w14:paraId="40D7FC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26" w:type="pct"/>
            <w:shd w:val="clear" w:color="auto" w:fill="D8D8D8" w:themeFill="background1" w:themeFillShade="D9"/>
            <w:vAlign w:val="center"/>
          </w:tcPr>
          <w:p w14:paraId="3ED3B56F">
            <w:pPr>
              <w:pStyle w:val="51"/>
              <w:jc w:val="center"/>
              <w:rPr>
                <w:rFonts w:hint="eastAsia" w:cs="宋体"/>
                <w:b/>
                <w:bCs/>
                <w:szCs w:val="24"/>
              </w:rPr>
            </w:pPr>
            <w:r>
              <w:rPr>
                <w:rFonts w:hint="eastAsia" w:cs="宋体"/>
                <w:b/>
                <w:bCs/>
                <w:szCs w:val="24"/>
              </w:rPr>
              <w:t>序号</w:t>
            </w:r>
          </w:p>
        </w:tc>
        <w:tc>
          <w:tcPr>
            <w:tcW w:w="944" w:type="pct"/>
            <w:shd w:val="clear" w:color="auto" w:fill="D8D8D8" w:themeFill="background1" w:themeFillShade="D9"/>
            <w:vAlign w:val="center"/>
          </w:tcPr>
          <w:p w14:paraId="5AE43CDD">
            <w:pPr>
              <w:pStyle w:val="51"/>
              <w:jc w:val="center"/>
              <w:rPr>
                <w:rFonts w:hint="eastAsia" w:cs="宋体"/>
                <w:b/>
                <w:bCs/>
                <w:szCs w:val="24"/>
              </w:rPr>
            </w:pPr>
            <w:r>
              <w:rPr>
                <w:rFonts w:hint="eastAsia" w:cs="宋体"/>
                <w:b/>
                <w:bCs/>
                <w:szCs w:val="24"/>
              </w:rPr>
              <w:t>审查因素</w:t>
            </w:r>
          </w:p>
        </w:tc>
        <w:tc>
          <w:tcPr>
            <w:tcW w:w="2623" w:type="pct"/>
            <w:shd w:val="clear" w:color="auto" w:fill="D8D8D8" w:themeFill="background1" w:themeFillShade="D9"/>
            <w:vAlign w:val="center"/>
          </w:tcPr>
          <w:p w14:paraId="00FFC673">
            <w:pPr>
              <w:pStyle w:val="51"/>
              <w:jc w:val="center"/>
              <w:rPr>
                <w:rFonts w:hint="eastAsia" w:cs="宋体"/>
                <w:b/>
                <w:bCs/>
                <w:szCs w:val="24"/>
              </w:rPr>
            </w:pPr>
            <w:r>
              <w:rPr>
                <w:rFonts w:hint="eastAsia" w:cs="宋体"/>
                <w:b/>
                <w:bCs/>
                <w:szCs w:val="24"/>
              </w:rPr>
              <w:t>审查内容</w:t>
            </w:r>
          </w:p>
        </w:tc>
        <w:tc>
          <w:tcPr>
            <w:tcW w:w="1005" w:type="pct"/>
            <w:shd w:val="clear" w:color="auto" w:fill="D8D8D8" w:themeFill="background1" w:themeFillShade="D9"/>
            <w:vAlign w:val="center"/>
          </w:tcPr>
          <w:p w14:paraId="6F6CED49">
            <w:pPr>
              <w:pStyle w:val="51"/>
              <w:jc w:val="center"/>
              <w:rPr>
                <w:rFonts w:hint="eastAsia" w:cs="宋体"/>
                <w:b/>
                <w:bCs/>
                <w:szCs w:val="24"/>
              </w:rPr>
            </w:pPr>
            <w:r>
              <w:rPr>
                <w:rFonts w:hint="eastAsia" w:cs="宋体"/>
                <w:b/>
                <w:bCs/>
                <w:szCs w:val="24"/>
              </w:rPr>
              <w:t>格式要求</w:t>
            </w:r>
          </w:p>
        </w:tc>
      </w:tr>
      <w:tr w14:paraId="0EED72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48" w:hRule="atLeast"/>
          <w:jc w:val="center"/>
        </w:trPr>
        <w:tc>
          <w:tcPr>
            <w:tcW w:w="426" w:type="pct"/>
            <w:shd w:val="clear" w:color="auto" w:fill="FFFFFF" w:themeFill="background1"/>
            <w:vAlign w:val="center"/>
          </w:tcPr>
          <w:p w14:paraId="3902D20D">
            <w:pPr>
              <w:pStyle w:val="51"/>
              <w:jc w:val="center"/>
              <w:rPr>
                <w:rFonts w:hint="eastAsia" w:cs="宋体"/>
                <w:b/>
                <w:bCs/>
                <w:szCs w:val="24"/>
              </w:rPr>
            </w:pPr>
            <w:r>
              <w:rPr>
                <w:rFonts w:hint="eastAsia" w:cs="宋体"/>
                <w:b/>
                <w:bCs/>
                <w:szCs w:val="24"/>
              </w:rPr>
              <w:t>1</w:t>
            </w:r>
          </w:p>
        </w:tc>
        <w:tc>
          <w:tcPr>
            <w:tcW w:w="944" w:type="pct"/>
            <w:shd w:val="clear" w:color="auto" w:fill="FFFFFF" w:themeFill="background1"/>
            <w:vAlign w:val="center"/>
          </w:tcPr>
          <w:p w14:paraId="3C410D59">
            <w:pPr>
              <w:widowControl/>
              <w:spacing w:line="280" w:lineRule="exact"/>
              <w:rPr>
                <w:rFonts w:hint="eastAsia" w:cs="宋体"/>
                <w:kern w:val="0"/>
                <w:szCs w:val="24"/>
                <w:lang w:bidi="ar"/>
              </w:rPr>
            </w:pPr>
            <w:r>
              <w:rPr>
                <w:rFonts w:hint="eastAsia" w:cs="宋体"/>
                <w:kern w:val="0"/>
                <w:szCs w:val="24"/>
                <w:lang w:bidi="ar"/>
              </w:rPr>
              <w:t xml:space="preserve">满足《政府采购 </w:t>
            </w:r>
          </w:p>
          <w:p w14:paraId="26A9D3E5">
            <w:pPr>
              <w:widowControl/>
              <w:spacing w:line="280" w:lineRule="exact"/>
              <w:rPr>
                <w:rFonts w:hint="eastAsia" w:cs="宋体"/>
                <w:kern w:val="0"/>
                <w:szCs w:val="24"/>
                <w:lang w:bidi="ar"/>
              </w:rPr>
            </w:pPr>
            <w:r>
              <w:rPr>
                <w:rFonts w:hint="eastAsia" w:cs="宋体"/>
                <w:kern w:val="0"/>
                <w:szCs w:val="24"/>
                <w:lang w:bidi="ar"/>
              </w:rPr>
              <w:t xml:space="preserve">法》第二十二条 </w:t>
            </w:r>
          </w:p>
          <w:p w14:paraId="5C32B362">
            <w:pPr>
              <w:widowControl/>
              <w:spacing w:line="280" w:lineRule="exact"/>
              <w:rPr>
                <w:rFonts w:hint="eastAsia" w:cs="宋体"/>
                <w:kern w:val="0"/>
                <w:szCs w:val="24"/>
                <w:lang w:bidi="ar"/>
              </w:rPr>
            </w:pPr>
            <w:r>
              <w:rPr>
                <w:rFonts w:hint="eastAsia" w:cs="宋体"/>
                <w:kern w:val="0"/>
                <w:szCs w:val="24"/>
                <w:lang w:bidi="ar"/>
              </w:rPr>
              <w:t>规定</w:t>
            </w:r>
          </w:p>
        </w:tc>
        <w:tc>
          <w:tcPr>
            <w:tcW w:w="2623" w:type="pct"/>
            <w:shd w:val="clear" w:color="auto" w:fill="FFFFFF" w:themeFill="background1"/>
            <w:vAlign w:val="center"/>
          </w:tcPr>
          <w:p w14:paraId="2018A37A">
            <w:pPr>
              <w:pStyle w:val="51"/>
              <w:jc w:val="both"/>
              <w:rPr>
                <w:rFonts w:hint="eastAsia" w:cs="宋体"/>
                <w:szCs w:val="24"/>
              </w:rPr>
            </w:pPr>
            <w:r>
              <w:rPr>
                <w:rFonts w:hint="eastAsia" w:cs="宋体"/>
                <w:szCs w:val="24"/>
              </w:rPr>
              <w:t>具体规定见“第一章 招标公告”</w:t>
            </w:r>
          </w:p>
        </w:tc>
        <w:tc>
          <w:tcPr>
            <w:tcW w:w="1005" w:type="pct"/>
            <w:shd w:val="clear" w:color="auto" w:fill="FFFFFF" w:themeFill="background1"/>
            <w:vAlign w:val="center"/>
          </w:tcPr>
          <w:p w14:paraId="6C442FDF">
            <w:pPr>
              <w:pStyle w:val="51"/>
              <w:jc w:val="center"/>
              <w:rPr>
                <w:rFonts w:hint="eastAsia" w:cs="宋体"/>
                <w:b/>
                <w:bCs/>
                <w:szCs w:val="24"/>
              </w:rPr>
            </w:pPr>
            <w:r>
              <w:rPr>
                <w:rFonts w:hint="eastAsia" w:cs="宋体"/>
                <w:szCs w:val="24"/>
              </w:rPr>
              <w:t>提供了符合招标文件要求的《兵团政府采购供应商信用承诺函》。</w:t>
            </w:r>
          </w:p>
        </w:tc>
      </w:tr>
      <w:tr w14:paraId="20CA6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36" w:hRule="atLeast"/>
          <w:jc w:val="center"/>
        </w:trPr>
        <w:tc>
          <w:tcPr>
            <w:tcW w:w="426" w:type="pct"/>
            <w:shd w:val="clear" w:color="auto" w:fill="FFFFFF" w:themeFill="background1"/>
            <w:vAlign w:val="center"/>
          </w:tcPr>
          <w:p w14:paraId="465AE962">
            <w:pPr>
              <w:pStyle w:val="51"/>
              <w:jc w:val="center"/>
              <w:rPr>
                <w:rFonts w:hint="eastAsia" w:cs="宋体"/>
                <w:b/>
                <w:bCs/>
                <w:szCs w:val="24"/>
              </w:rPr>
            </w:pPr>
            <w:r>
              <w:rPr>
                <w:rFonts w:hint="eastAsia" w:cs="宋体"/>
                <w:b/>
                <w:bCs/>
                <w:szCs w:val="24"/>
              </w:rPr>
              <w:t>1-1</w:t>
            </w:r>
          </w:p>
        </w:tc>
        <w:tc>
          <w:tcPr>
            <w:tcW w:w="944" w:type="pct"/>
            <w:shd w:val="clear" w:color="auto" w:fill="FFFFFF" w:themeFill="background1"/>
            <w:vAlign w:val="center"/>
          </w:tcPr>
          <w:p w14:paraId="28B8418D">
            <w:pPr>
              <w:pStyle w:val="51"/>
              <w:jc w:val="both"/>
              <w:rPr>
                <w:rFonts w:hint="eastAsia" w:cs="宋体"/>
                <w:szCs w:val="24"/>
              </w:rPr>
            </w:pPr>
            <w:r>
              <w:rPr>
                <w:rFonts w:hint="eastAsia" w:cs="宋体"/>
                <w:szCs w:val="24"/>
              </w:rPr>
              <w:t>营业执照等证明文件</w:t>
            </w:r>
          </w:p>
        </w:tc>
        <w:tc>
          <w:tcPr>
            <w:tcW w:w="2623" w:type="pct"/>
            <w:shd w:val="clear" w:color="auto" w:fill="FFFFFF" w:themeFill="background1"/>
            <w:vAlign w:val="center"/>
          </w:tcPr>
          <w:p w14:paraId="3FB775BF">
            <w:pPr>
              <w:widowControl/>
              <w:spacing w:line="280" w:lineRule="exact"/>
              <w:rPr>
                <w:rFonts w:hint="eastAsia" w:cs="宋体"/>
                <w:spacing w:val="-6"/>
                <w:kern w:val="0"/>
                <w:szCs w:val="24"/>
                <w:lang w:bidi="ar"/>
              </w:rPr>
            </w:pPr>
            <w:r>
              <w:rPr>
                <w:rFonts w:hint="eastAsia" w:cs="宋体"/>
                <w:spacing w:val="-6"/>
                <w:kern w:val="0"/>
                <w:szCs w:val="24"/>
                <w:lang w:bidi="ar"/>
              </w:rPr>
              <w:t xml:space="preserve">投标人为企业（包括合伙企业）的，应提供有效的“营业执照”； </w:t>
            </w:r>
          </w:p>
          <w:p w14:paraId="7C2CEAB6">
            <w:pPr>
              <w:widowControl/>
              <w:spacing w:line="280" w:lineRule="exact"/>
              <w:rPr>
                <w:rFonts w:hint="eastAsia" w:cs="宋体"/>
                <w:spacing w:val="-6"/>
                <w:kern w:val="0"/>
                <w:szCs w:val="24"/>
                <w:lang w:bidi="ar"/>
              </w:rPr>
            </w:pPr>
            <w:r>
              <w:rPr>
                <w:rFonts w:hint="eastAsia" w:cs="宋体"/>
                <w:spacing w:val="-6"/>
                <w:kern w:val="0"/>
                <w:szCs w:val="24"/>
                <w:lang w:bidi="ar"/>
              </w:rPr>
              <w:t xml:space="preserve">投标人为事业单位的，应提供有效的“事业单位法人证书” ； </w:t>
            </w:r>
          </w:p>
          <w:p w14:paraId="62354F83">
            <w:pPr>
              <w:widowControl/>
              <w:spacing w:line="280" w:lineRule="exact"/>
              <w:rPr>
                <w:rFonts w:hint="eastAsia" w:cs="宋体"/>
                <w:spacing w:val="-6"/>
                <w:kern w:val="0"/>
                <w:szCs w:val="24"/>
                <w:lang w:bidi="ar"/>
              </w:rPr>
            </w:pPr>
            <w:r>
              <w:rPr>
                <w:rFonts w:hint="eastAsia" w:cs="宋体"/>
                <w:spacing w:val="-6"/>
                <w:kern w:val="0"/>
                <w:szCs w:val="24"/>
                <w:lang w:bidi="ar"/>
              </w:rPr>
              <w:t xml:space="preserve">投标人是非企业机构的，应提供有效的“执业许可证”、“登记证书”等证明文件； </w:t>
            </w:r>
          </w:p>
          <w:p w14:paraId="3238371F">
            <w:pPr>
              <w:widowControl/>
              <w:spacing w:line="280" w:lineRule="exact"/>
              <w:rPr>
                <w:rFonts w:hint="eastAsia" w:cs="宋体"/>
                <w:spacing w:val="-6"/>
                <w:kern w:val="0"/>
                <w:szCs w:val="24"/>
                <w:lang w:bidi="ar"/>
              </w:rPr>
            </w:pPr>
            <w:r>
              <w:rPr>
                <w:rFonts w:hint="eastAsia" w:cs="宋体"/>
                <w:spacing w:val="-6"/>
                <w:kern w:val="0"/>
                <w:szCs w:val="24"/>
                <w:lang w:bidi="ar"/>
              </w:rPr>
              <w:t xml:space="preserve">投标人是个体工商户的，应提供有效的“个体工商户营业执照”； </w:t>
            </w:r>
          </w:p>
          <w:p w14:paraId="31A774A2">
            <w:pPr>
              <w:widowControl/>
              <w:spacing w:line="280" w:lineRule="exact"/>
              <w:rPr>
                <w:rFonts w:hint="eastAsia" w:cs="宋体"/>
                <w:spacing w:val="-6"/>
                <w:kern w:val="0"/>
                <w:szCs w:val="24"/>
                <w:lang w:bidi="ar"/>
              </w:rPr>
            </w:pPr>
            <w:r>
              <w:rPr>
                <w:rFonts w:hint="eastAsia" w:cs="宋体"/>
                <w:spacing w:val="-6"/>
                <w:kern w:val="0"/>
                <w:szCs w:val="24"/>
                <w:lang w:bidi="ar"/>
              </w:rPr>
              <w:t>投标人是自然人的，应提供有效的自然人身份证明。</w:t>
            </w:r>
          </w:p>
        </w:tc>
        <w:tc>
          <w:tcPr>
            <w:tcW w:w="1005" w:type="pct"/>
            <w:shd w:val="clear" w:color="auto" w:fill="FFFFFF" w:themeFill="background1"/>
            <w:vAlign w:val="center"/>
          </w:tcPr>
          <w:p w14:paraId="00323290">
            <w:pPr>
              <w:widowControl/>
              <w:spacing w:line="240" w:lineRule="auto"/>
              <w:rPr>
                <w:rFonts w:hint="eastAsia" w:cs="宋体"/>
                <w:kern w:val="0"/>
                <w:szCs w:val="24"/>
                <w:lang w:bidi="ar"/>
              </w:rPr>
            </w:pPr>
            <w:r>
              <w:rPr>
                <w:rFonts w:hint="eastAsia" w:cs="宋体"/>
                <w:kern w:val="0"/>
                <w:szCs w:val="24"/>
                <w:lang w:bidi="ar"/>
              </w:rPr>
              <w:t>提供证明文件的电子件或电子证照</w:t>
            </w:r>
          </w:p>
        </w:tc>
      </w:tr>
      <w:tr w14:paraId="641F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32" w:hRule="atLeast"/>
          <w:jc w:val="center"/>
        </w:trPr>
        <w:tc>
          <w:tcPr>
            <w:tcW w:w="426" w:type="pct"/>
            <w:shd w:val="clear" w:color="auto" w:fill="FFFFFF" w:themeFill="background1"/>
            <w:vAlign w:val="center"/>
          </w:tcPr>
          <w:p w14:paraId="10820F50">
            <w:pPr>
              <w:pStyle w:val="51"/>
              <w:jc w:val="center"/>
              <w:rPr>
                <w:rFonts w:hint="eastAsia" w:cs="宋体"/>
                <w:b/>
                <w:bCs/>
                <w:szCs w:val="24"/>
              </w:rPr>
            </w:pPr>
            <w:r>
              <w:rPr>
                <w:rFonts w:hint="eastAsia" w:cs="宋体"/>
                <w:b/>
                <w:bCs/>
                <w:szCs w:val="24"/>
              </w:rPr>
              <w:t>1-2</w:t>
            </w:r>
          </w:p>
        </w:tc>
        <w:tc>
          <w:tcPr>
            <w:tcW w:w="944" w:type="pct"/>
            <w:shd w:val="clear" w:color="auto" w:fill="FFFFFF" w:themeFill="background1"/>
            <w:vAlign w:val="center"/>
          </w:tcPr>
          <w:p w14:paraId="6892185F">
            <w:pPr>
              <w:pStyle w:val="51"/>
              <w:spacing w:line="280" w:lineRule="exact"/>
              <w:jc w:val="both"/>
              <w:rPr>
                <w:rFonts w:hint="eastAsia" w:cs="宋体"/>
                <w:szCs w:val="24"/>
              </w:rPr>
            </w:pPr>
            <w:r>
              <w:rPr>
                <w:rFonts w:hint="eastAsia" w:cs="宋体"/>
                <w:szCs w:val="24"/>
              </w:rPr>
              <w:t>投标人信用承诺</w:t>
            </w:r>
          </w:p>
        </w:tc>
        <w:tc>
          <w:tcPr>
            <w:tcW w:w="2623" w:type="pct"/>
            <w:shd w:val="clear" w:color="auto" w:fill="FFFFFF" w:themeFill="background1"/>
            <w:vAlign w:val="center"/>
          </w:tcPr>
          <w:p w14:paraId="47BDEA13">
            <w:pPr>
              <w:widowControl/>
              <w:spacing w:line="280" w:lineRule="exact"/>
              <w:rPr>
                <w:rFonts w:hint="eastAsia" w:eastAsia="宋体" w:cs="宋体"/>
                <w:spacing w:val="-11"/>
                <w:kern w:val="0"/>
                <w:szCs w:val="24"/>
                <w:lang w:eastAsia="zh-CN" w:bidi="ar"/>
              </w:rPr>
            </w:pPr>
            <w:r>
              <w:rPr>
                <w:rFonts w:hint="eastAsia" w:cs="宋体"/>
                <w:szCs w:val="24"/>
                <w:lang w:val="en-US" w:eastAsia="zh-CN"/>
              </w:rPr>
              <w:t>/</w:t>
            </w:r>
          </w:p>
        </w:tc>
        <w:tc>
          <w:tcPr>
            <w:tcW w:w="1005" w:type="pct"/>
            <w:shd w:val="clear" w:color="auto" w:fill="FFFFFF" w:themeFill="background1"/>
            <w:vAlign w:val="center"/>
          </w:tcPr>
          <w:p w14:paraId="5BC9B484">
            <w:pPr>
              <w:widowControl/>
              <w:spacing w:line="240" w:lineRule="auto"/>
              <w:rPr>
                <w:rFonts w:hint="eastAsia" w:cs="宋体"/>
                <w:kern w:val="0"/>
                <w:szCs w:val="24"/>
                <w:lang w:bidi="ar"/>
              </w:rPr>
            </w:pPr>
          </w:p>
        </w:tc>
      </w:tr>
      <w:tr w14:paraId="62D7C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36" w:hRule="atLeast"/>
          <w:jc w:val="center"/>
        </w:trPr>
        <w:tc>
          <w:tcPr>
            <w:tcW w:w="426" w:type="pct"/>
            <w:shd w:val="clear" w:color="auto" w:fill="FFFFFF" w:themeFill="background1"/>
            <w:vAlign w:val="center"/>
          </w:tcPr>
          <w:p w14:paraId="16927E62">
            <w:pPr>
              <w:pStyle w:val="51"/>
              <w:jc w:val="center"/>
              <w:rPr>
                <w:rFonts w:hint="eastAsia" w:cs="宋体"/>
                <w:b/>
                <w:bCs/>
                <w:szCs w:val="24"/>
              </w:rPr>
            </w:pPr>
            <w:r>
              <w:rPr>
                <w:rFonts w:hint="eastAsia" w:cs="宋体"/>
                <w:b/>
                <w:bCs/>
                <w:szCs w:val="24"/>
              </w:rPr>
              <w:t>1-2-1</w:t>
            </w:r>
          </w:p>
        </w:tc>
        <w:tc>
          <w:tcPr>
            <w:tcW w:w="944" w:type="pct"/>
            <w:shd w:val="clear" w:color="auto" w:fill="FFFFFF" w:themeFill="background1"/>
            <w:vAlign w:val="center"/>
          </w:tcPr>
          <w:p w14:paraId="0D0742B5">
            <w:pPr>
              <w:pStyle w:val="51"/>
              <w:jc w:val="both"/>
              <w:rPr>
                <w:rFonts w:hint="eastAsia" w:cs="宋体"/>
                <w:szCs w:val="24"/>
              </w:rPr>
            </w:pPr>
            <w:r>
              <w:rPr>
                <w:rFonts w:hint="eastAsia" w:cs="宋体"/>
                <w:szCs w:val="24"/>
              </w:rPr>
              <w:t>投标人信用承诺函</w:t>
            </w:r>
          </w:p>
        </w:tc>
        <w:tc>
          <w:tcPr>
            <w:tcW w:w="2623" w:type="pct"/>
            <w:shd w:val="clear" w:color="auto" w:fill="FFFFFF" w:themeFill="background1"/>
            <w:vAlign w:val="center"/>
          </w:tcPr>
          <w:p w14:paraId="6A96C9B5">
            <w:pPr>
              <w:pStyle w:val="51"/>
              <w:jc w:val="both"/>
              <w:rPr>
                <w:rFonts w:hint="eastAsia" w:cs="宋体"/>
                <w:szCs w:val="24"/>
              </w:rPr>
            </w:pPr>
            <w:r>
              <w:rPr>
                <w:rFonts w:hint="eastAsia" w:cs="宋体"/>
                <w:szCs w:val="24"/>
              </w:rPr>
              <w:t>提供了符合招标文件要求的《兵团政府采购供应商信用承诺函》。</w:t>
            </w:r>
          </w:p>
        </w:tc>
        <w:tc>
          <w:tcPr>
            <w:tcW w:w="1005" w:type="pct"/>
            <w:shd w:val="clear" w:color="auto" w:fill="FFFFFF" w:themeFill="background1"/>
            <w:vAlign w:val="center"/>
          </w:tcPr>
          <w:p w14:paraId="35C5082F">
            <w:pPr>
              <w:widowControl/>
              <w:spacing w:line="280" w:lineRule="exact"/>
              <w:rPr>
                <w:rFonts w:hint="eastAsia" w:cs="宋体"/>
                <w:kern w:val="0"/>
                <w:szCs w:val="24"/>
                <w:lang w:bidi="ar"/>
              </w:rPr>
            </w:pPr>
            <w:r>
              <w:rPr>
                <w:rFonts w:hint="eastAsia" w:cs="宋体"/>
                <w:kern w:val="0"/>
                <w:szCs w:val="24"/>
                <w:lang w:bidi="ar"/>
              </w:rPr>
              <w:t>格式见《第七章 投标文件格式》</w:t>
            </w:r>
          </w:p>
        </w:tc>
      </w:tr>
      <w:tr w14:paraId="29349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344" w:hRule="atLeast"/>
          <w:jc w:val="center"/>
        </w:trPr>
        <w:tc>
          <w:tcPr>
            <w:tcW w:w="426" w:type="pct"/>
            <w:shd w:val="clear" w:color="auto" w:fill="FFFFFF" w:themeFill="background1"/>
            <w:vAlign w:val="center"/>
          </w:tcPr>
          <w:p w14:paraId="0C139C3A">
            <w:pPr>
              <w:pStyle w:val="51"/>
              <w:jc w:val="center"/>
              <w:rPr>
                <w:rFonts w:hint="eastAsia" w:cs="宋体"/>
                <w:b/>
                <w:bCs/>
                <w:szCs w:val="24"/>
              </w:rPr>
            </w:pPr>
            <w:r>
              <w:rPr>
                <w:rFonts w:hint="eastAsia" w:cs="宋体"/>
                <w:b/>
                <w:bCs/>
                <w:szCs w:val="24"/>
              </w:rPr>
              <w:t>1-2-2</w:t>
            </w:r>
          </w:p>
        </w:tc>
        <w:tc>
          <w:tcPr>
            <w:tcW w:w="944" w:type="pct"/>
            <w:shd w:val="clear" w:color="auto" w:fill="FFFFFF" w:themeFill="background1"/>
            <w:vAlign w:val="center"/>
          </w:tcPr>
          <w:p w14:paraId="675D0E85">
            <w:pPr>
              <w:pStyle w:val="51"/>
              <w:jc w:val="both"/>
              <w:rPr>
                <w:rFonts w:hint="eastAsia" w:cs="宋体"/>
                <w:szCs w:val="24"/>
              </w:rPr>
            </w:pPr>
            <w:r>
              <w:rPr>
                <w:rFonts w:hint="eastAsia" w:cs="宋体"/>
                <w:szCs w:val="24"/>
              </w:rPr>
              <w:t>投标人信用记录</w:t>
            </w:r>
          </w:p>
        </w:tc>
        <w:tc>
          <w:tcPr>
            <w:tcW w:w="2623" w:type="pct"/>
            <w:shd w:val="clear" w:color="auto" w:fill="FFFFFF" w:themeFill="background1"/>
            <w:vAlign w:val="center"/>
          </w:tcPr>
          <w:p w14:paraId="78030005">
            <w:pPr>
              <w:pStyle w:val="51"/>
              <w:jc w:val="both"/>
              <w:rPr>
                <w:rFonts w:hint="eastAsia" w:cs="宋体"/>
                <w:spacing w:val="-6"/>
                <w:szCs w:val="24"/>
              </w:rPr>
            </w:pPr>
            <w:r>
              <w:rPr>
                <w:rFonts w:hint="eastAsia" w:cs="宋体"/>
                <w:spacing w:val="-6"/>
                <w:szCs w:val="24"/>
              </w:rPr>
              <w:t xml:space="preserve">查询渠道：信用中国网站和中国政府采购网（ </w:t>
            </w:r>
          </w:p>
          <w:p w14:paraId="2624BBC0">
            <w:pPr>
              <w:pStyle w:val="51"/>
              <w:jc w:val="both"/>
              <w:rPr>
                <w:rFonts w:hint="eastAsia" w:cs="宋体"/>
                <w:szCs w:val="24"/>
              </w:rPr>
            </w:pPr>
            <w:r>
              <w:rPr>
                <w:rFonts w:hint="eastAsia" w:cs="宋体"/>
                <w:spacing w:val="-6"/>
                <w:szCs w:val="24"/>
              </w:rPr>
              <w:t>www.creditchina.gov.cn 、www.ccgp.gov.cn）；</w:t>
            </w:r>
            <w:r>
              <w:rPr>
                <w:rFonts w:hint="eastAsia" w:cs="宋体"/>
                <w:szCs w:val="24"/>
              </w:rPr>
              <w:t xml:space="preserve"> </w:t>
            </w:r>
          </w:p>
          <w:p w14:paraId="6A437902">
            <w:pPr>
              <w:pStyle w:val="51"/>
              <w:jc w:val="both"/>
              <w:rPr>
                <w:rFonts w:hint="eastAsia" w:cs="宋体"/>
                <w:szCs w:val="24"/>
              </w:rPr>
            </w:pPr>
            <w:r>
              <w:rPr>
                <w:rFonts w:hint="eastAsia" w:cs="宋体"/>
                <w:szCs w:val="24"/>
              </w:rPr>
              <w:t xml:space="preserve">截止时点：投标截止时间以后、资格审查阶段采购人或采购代理机构的实际查询时间； </w:t>
            </w:r>
          </w:p>
          <w:p w14:paraId="39862DC6">
            <w:pPr>
              <w:pStyle w:val="51"/>
              <w:jc w:val="both"/>
              <w:rPr>
                <w:rFonts w:hint="eastAsia" w:cs="宋体"/>
                <w:szCs w:val="24"/>
              </w:rPr>
            </w:pPr>
            <w:r>
              <w:rPr>
                <w:rFonts w:hint="eastAsia" w:cs="宋体"/>
                <w:szCs w:val="24"/>
              </w:rPr>
              <w:t xml:space="preserve">信用信息查询记录和证据留存具体方式：查询结果网页打印页作为查询记录和证据，与其他采购文件一并保存； </w:t>
            </w:r>
          </w:p>
          <w:p w14:paraId="6B96DBEB">
            <w:pPr>
              <w:pStyle w:val="51"/>
              <w:jc w:val="both"/>
              <w:rPr>
                <w:rFonts w:hint="eastAsia" w:cs="宋体"/>
                <w:szCs w:val="24"/>
              </w:rPr>
            </w:pPr>
            <w:r>
              <w:rPr>
                <w:rFonts w:hint="eastAsia" w:cs="宋体"/>
                <w:spacing w:val="-6"/>
                <w:szCs w:val="24"/>
              </w:rPr>
              <w:t>信用信息的使用原则：经认定的被列入失信被执行人、重大税收违法失信主体、政府采购严重违法失信行为记录名单的投标人，其</w:t>
            </w:r>
            <w:r>
              <w:rPr>
                <w:rFonts w:hint="eastAsia" w:cs="宋体"/>
                <w:b/>
                <w:bCs/>
                <w:spacing w:val="-6"/>
                <w:szCs w:val="24"/>
              </w:rPr>
              <w:t>投标无效</w:t>
            </w:r>
            <w:r>
              <w:rPr>
                <w:rFonts w:hint="eastAsia" w:cs="宋体"/>
                <w:spacing w:val="-6"/>
                <w:szCs w:val="24"/>
              </w:rPr>
              <w:t>。联合体形式投标的，联合体成员存在不良信用记录，视同联合体存在不良信用记录。</w:t>
            </w:r>
          </w:p>
        </w:tc>
        <w:tc>
          <w:tcPr>
            <w:tcW w:w="1005" w:type="pct"/>
            <w:shd w:val="clear" w:color="auto" w:fill="FFFFFF" w:themeFill="background1"/>
            <w:vAlign w:val="center"/>
          </w:tcPr>
          <w:p w14:paraId="157FC228">
            <w:pPr>
              <w:widowControl/>
              <w:spacing w:line="240" w:lineRule="auto"/>
              <w:rPr>
                <w:rFonts w:hint="eastAsia" w:cs="宋体"/>
                <w:kern w:val="0"/>
                <w:szCs w:val="24"/>
                <w:lang w:bidi="ar"/>
              </w:rPr>
            </w:pPr>
            <w:r>
              <w:rPr>
                <w:rFonts w:hint="eastAsia" w:cs="宋体"/>
                <w:kern w:val="0"/>
                <w:szCs w:val="24"/>
                <w:lang w:bidi="ar"/>
              </w:rPr>
              <w:t>无须投标人提供，由采购人或采购代理机构查询。</w:t>
            </w:r>
          </w:p>
          <w:p w14:paraId="61482EB4">
            <w:pPr>
              <w:widowControl/>
              <w:spacing w:line="240" w:lineRule="auto"/>
              <w:rPr>
                <w:rFonts w:hint="eastAsia" w:cs="宋体"/>
                <w:kern w:val="0"/>
                <w:szCs w:val="24"/>
                <w:lang w:bidi="ar"/>
              </w:rPr>
            </w:pPr>
          </w:p>
        </w:tc>
      </w:tr>
      <w:tr w14:paraId="1398D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20" w:hRule="atLeast"/>
          <w:jc w:val="center"/>
        </w:trPr>
        <w:tc>
          <w:tcPr>
            <w:tcW w:w="426" w:type="pct"/>
            <w:shd w:val="clear" w:color="auto" w:fill="FFFFFF" w:themeFill="background1"/>
            <w:vAlign w:val="center"/>
          </w:tcPr>
          <w:p w14:paraId="61617882">
            <w:pPr>
              <w:pStyle w:val="51"/>
              <w:jc w:val="center"/>
              <w:rPr>
                <w:rFonts w:hint="eastAsia" w:cs="宋体"/>
                <w:b/>
                <w:bCs/>
                <w:szCs w:val="24"/>
              </w:rPr>
            </w:pPr>
            <w:r>
              <w:rPr>
                <w:rFonts w:hint="eastAsia" w:cs="宋体"/>
                <w:b/>
                <w:bCs/>
                <w:szCs w:val="24"/>
              </w:rPr>
              <w:t>1-3</w:t>
            </w:r>
          </w:p>
        </w:tc>
        <w:tc>
          <w:tcPr>
            <w:tcW w:w="944" w:type="pct"/>
            <w:shd w:val="clear" w:color="auto" w:fill="FFFFFF" w:themeFill="background1"/>
            <w:vAlign w:val="center"/>
          </w:tcPr>
          <w:p w14:paraId="7358EEF0">
            <w:pPr>
              <w:pStyle w:val="51"/>
              <w:jc w:val="both"/>
              <w:rPr>
                <w:rFonts w:hint="eastAsia" w:cs="宋体"/>
                <w:szCs w:val="24"/>
              </w:rPr>
            </w:pPr>
            <w:r>
              <w:rPr>
                <w:rFonts w:hint="eastAsia" w:cs="宋体"/>
                <w:szCs w:val="24"/>
              </w:rPr>
              <w:t>法律、行政法规规定的其他条件</w:t>
            </w:r>
          </w:p>
        </w:tc>
        <w:tc>
          <w:tcPr>
            <w:tcW w:w="2623" w:type="pct"/>
            <w:shd w:val="clear" w:color="auto" w:fill="FFFFFF" w:themeFill="background1"/>
            <w:vAlign w:val="center"/>
          </w:tcPr>
          <w:p w14:paraId="35D3539E">
            <w:pPr>
              <w:pStyle w:val="51"/>
              <w:jc w:val="both"/>
              <w:rPr>
                <w:rFonts w:hint="eastAsia" w:cs="宋体"/>
                <w:szCs w:val="24"/>
              </w:rPr>
            </w:pPr>
            <w:r>
              <w:rPr>
                <w:rFonts w:hint="eastAsia" w:cs="宋体"/>
                <w:szCs w:val="24"/>
              </w:rPr>
              <w:t>法律、行政法规规定的其他条件</w:t>
            </w:r>
          </w:p>
        </w:tc>
        <w:tc>
          <w:tcPr>
            <w:tcW w:w="1005" w:type="pct"/>
            <w:shd w:val="clear" w:color="auto" w:fill="FFFFFF" w:themeFill="background1"/>
            <w:vAlign w:val="center"/>
          </w:tcPr>
          <w:p w14:paraId="073B9391">
            <w:pPr>
              <w:pStyle w:val="51"/>
              <w:jc w:val="center"/>
              <w:rPr>
                <w:rFonts w:hint="eastAsia" w:cs="宋体"/>
                <w:b/>
                <w:bCs/>
                <w:szCs w:val="24"/>
              </w:rPr>
            </w:pPr>
          </w:p>
        </w:tc>
      </w:tr>
      <w:tr w14:paraId="5711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20" w:hRule="atLeast"/>
          <w:jc w:val="center"/>
        </w:trPr>
        <w:tc>
          <w:tcPr>
            <w:tcW w:w="426" w:type="pct"/>
            <w:shd w:val="clear" w:color="auto" w:fill="FFFFFF" w:themeFill="background1"/>
            <w:vAlign w:val="center"/>
          </w:tcPr>
          <w:p w14:paraId="69EB22B1">
            <w:pPr>
              <w:pStyle w:val="51"/>
              <w:jc w:val="center"/>
              <w:rPr>
                <w:rFonts w:hint="eastAsia" w:cs="宋体"/>
                <w:b/>
                <w:bCs/>
                <w:szCs w:val="24"/>
              </w:rPr>
            </w:pPr>
            <w:r>
              <w:rPr>
                <w:rFonts w:hint="eastAsia" w:cs="宋体"/>
                <w:b/>
                <w:bCs/>
                <w:szCs w:val="24"/>
              </w:rPr>
              <w:t>2</w:t>
            </w:r>
          </w:p>
        </w:tc>
        <w:tc>
          <w:tcPr>
            <w:tcW w:w="944" w:type="pct"/>
            <w:shd w:val="clear" w:color="auto" w:fill="FFFFFF" w:themeFill="background1"/>
            <w:vAlign w:val="center"/>
          </w:tcPr>
          <w:p w14:paraId="7C9EC29A">
            <w:pPr>
              <w:pStyle w:val="51"/>
              <w:jc w:val="both"/>
              <w:rPr>
                <w:rFonts w:hint="eastAsia" w:cs="宋体"/>
                <w:szCs w:val="24"/>
              </w:rPr>
            </w:pPr>
            <w:r>
              <w:rPr>
                <w:rFonts w:hint="eastAsia" w:cs="宋体"/>
                <w:szCs w:val="24"/>
              </w:rPr>
              <w:t>落实政府采购政策需满足的资格要求</w:t>
            </w:r>
          </w:p>
        </w:tc>
        <w:tc>
          <w:tcPr>
            <w:tcW w:w="2623" w:type="pct"/>
            <w:shd w:val="clear" w:color="auto" w:fill="FFFFFF" w:themeFill="background1"/>
            <w:vAlign w:val="center"/>
          </w:tcPr>
          <w:p w14:paraId="719C9A22">
            <w:pPr>
              <w:pStyle w:val="51"/>
              <w:jc w:val="both"/>
              <w:rPr>
                <w:rFonts w:hint="eastAsia" w:cs="宋体"/>
                <w:szCs w:val="24"/>
              </w:rPr>
            </w:pPr>
            <w:r>
              <w:rPr>
                <w:rFonts w:hint="eastAsia" w:cs="宋体"/>
                <w:szCs w:val="24"/>
              </w:rPr>
              <w:t>具体要求见“第一章 招标公告”</w:t>
            </w:r>
          </w:p>
        </w:tc>
        <w:tc>
          <w:tcPr>
            <w:tcW w:w="1005" w:type="pct"/>
            <w:shd w:val="clear" w:color="auto" w:fill="FFFFFF" w:themeFill="background1"/>
            <w:vAlign w:val="center"/>
          </w:tcPr>
          <w:p w14:paraId="1FD204DD">
            <w:pPr>
              <w:pStyle w:val="51"/>
              <w:jc w:val="center"/>
              <w:rPr>
                <w:rFonts w:hint="eastAsia" w:cs="宋体"/>
                <w:b/>
                <w:bCs/>
                <w:szCs w:val="24"/>
              </w:rPr>
            </w:pPr>
          </w:p>
        </w:tc>
      </w:tr>
      <w:tr w14:paraId="51EC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16" w:hRule="atLeast"/>
          <w:jc w:val="center"/>
        </w:trPr>
        <w:tc>
          <w:tcPr>
            <w:tcW w:w="426" w:type="pct"/>
            <w:shd w:val="clear" w:color="auto" w:fill="FFFFFF" w:themeFill="background1"/>
            <w:vAlign w:val="center"/>
          </w:tcPr>
          <w:p w14:paraId="4C971C8C">
            <w:pPr>
              <w:pStyle w:val="51"/>
              <w:jc w:val="center"/>
              <w:rPr>
                <w:rFonts w:hint="eastAsia" w:cs="宋体"/>
                <w:b/>
                <w:bCs/>
                <w:szCs w:val="24"/>
              </w:rPr>
            </w:pPr>
            <w:r>
              <w:rPr>
                <w:rFonts w:hint="eastAsia" w:cs="宋体"/>
                <w:b/>
                <w:bCs/>
                <w:szCs w:val="24"/>
              </w:rPr>
              <w:t>2-1</w:t>
            </w:r>
          </w:p>
        </w:tc>
        <w:tc>
          <w:tcPr>
            <w:tcW w:w="944" w:type="pct"/>
            <w:shd w:val="clear" w:color="auto" w:fill="FFFFFF" w:themeFill="background1"/>
            <w:vAlign w:val="center"/>
          </w:tcPr>
          <w:p w14:paraId="5C2EFADA">
            <w:pPr>
              <w:pStyle w:val="51"/>
              <w:jc w:val="both"/>
              <w:rPr>
                <w:rFonts w:hint="eastAsia" w:cs="宋体"/>
                <w:szCs w:val="24"/>
              </w:rPr>
            </w:pPr>
            <w:r>
              <w:rPr>
                <w:rFonts w:hint="eastAsia" w:cs="宋体"/>
                <w:kern w:val="0"/>
                <w:szCs w:val="24"/>
                <w:lang w:bidi="ar"/>
              </w:rPr>
              <w:t>中小企业政策</w:t>
            </w:r>
          </w:p>
        </w:tc>
        <w:tc>
          <w:tcPr>
            <w:tcW w:w="2623" w:type="pct"/>
            <w:shd w:val="clear" w:color="auto" w:fill="FFFFFF" w:themeFill="background1"/>
            <w:vAlign w:val="center"/>
          </w:tcPr>
          <w:p w14:paraId="115A6ECA">
            <w:pPr>
              <w:pStyle w:val="51"/>
              <w:jc w:val="both"/>
              <w:rPr>
                <w:rFonts w:hint="eastAsia" w:cs="宋体"/>
                <w:szCs w:val="24"/>
              </w:rPr>
            </w:pPr>
            <w:r>
              <w:rPr>
                <w:rFonts w:hint="eastAsia" w:cs="宋体"/>
                <w:kern w:val="0"/>
                <w:szCs w:val="24"/>
                <w:lang w:bidi="ar"/>
              </w:rPr>
              <w:t>具体要求见</w:t>
            </w:r>
            <w:r>
              <w:rPr>
                <w:rFonts w:hint="eastAsia" w:cs="宋体"/>
                <w:szCs w:val="24"/>
              </w:rPr>
              <w:t>“第一章 招标公告”</w:t>
            </w:r>
          </w:p>
        </w:tc>
        <w:tc>
          <w:tcPr>
            <w:tcW w:w="1005" w:type="pct"/>
            <w:shd w:val="clear" w:color="auto" w:fill="FFFFFF" w:themeFill="background1"/>
            <w:vAlign w:val="center"/>
          </w:tcPr>
          <w:p w14:paraId="5558FCF2">
            <w:pPr>
              <w:pStyle w:val="51"/>
              <w:jc w:val="center"/>
              <w:rPr>
                <w:rFonts w:hint="eastAsia" w:cs="宋体"/>
                <w:b/>
                <w:bCs/>
                <w:szCs w:val="24"/>
              </w:rPr>
            </w:pPr>
          </w:p>
        </w:tc>
      </w:tr>
      <w:tr w14:paraId="37375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712" w:hRule="atLeast"/>
          <w:jc w:val="center"/>
        </w:trPr>
        <w:tc>
          <w:tcPr>
            <w:tcW w:w="426" w:type="pct"/>
            <w:shd w:val="clear" w:color="auto" w:fill="FFFFFF" w:themeFill="background1"/>
            <w:vAlign w:val="center"/>
          </w:tcPr>
          <w:p w14:paraId="7EDA470D">
            <w:pPr>
              <w:pStyle w:val="51"/>
              <w:jc w:val="center"/>
              <w:rPr>
                <w:rFonts w:hint="eastAsia" w:cs="宋体"/>
                <w:b/>
                <w:bCs/>
                <w:szCs w:val="24"/>
              </w:rPr>
            </w:pPr>
            <w:r>
              <w:rPr>
                <w:rFonts w:hint="eastAsia" w:cs="宋体"/>
                <w:b/>
                <w:bCs/>
                <w:szCs w:val="24"/>
              </w:rPr>
              <w:t>2-1-1</w:t>
            </w:r>
          </w:p>
        </w:tc>
        <w:tc>
          <w:tcPr>
            <w:tcW w:w="944" w:type="pct"/>
            <w:shd w:val="clear" w:color="auto" w:fill="FFFFFF" w:themeFill="background1"/>
            <w:vAlign w:val="center"/>
          </w:tcPr>
          <w:p w14:paraId="16E4AC05">
            <w:pPr>
              <w:pStyle w:val="51"/>
              <w:jc w:val="both"/>
              <w:rPr>
                <w:rFonts w:hint="eastAsia" w:cs="宋体"/>
                <w:szCs w:val="24"/>
              </w:rPr>
            </w:pPr>
            <w:r>
              <w:rPr>
                <w:rFonts w:hint="eastAsia" w:cs="宋体"/>
                <w:kern w:val="0"/>
                <w:szCs w:val="24"/>
                <w:lang w:bidi="ar"/>
              </w:rPr>
              <w:t>中小企业证明文件</w:t>
            </w:r>
          </w:p>
        </w:tc>
        <w:tc>
          <w:tcPr>
            <w:tcW w:w="2623" w:type="pct"/>
            <w:shd w:val="clear" w:color="auto" w:fill="FFFFFF" w:themeFill="background1"/>
            <w:vAlign w:val="center"/>
          </w:tcPr>
          <w:p w14:paraId="5DA7FDAD">
            <w:pPr>
              <w:pStyle w:val="51"/>
              <w:jc w:val="both"/>
              <w:rPr>
                <w:rFonts w:hint="eastAsia" w:cs="宋体"/>
                <w:kern w:val="0"/>
                <w:szCs w:val="24"/>
                <w:lang w:bidi="ar"/>
              </w:rPr>
            </w:pPr>
            <w:r>
              <w:rPr>
                <w:rFonts w:hint="eastAsia" w:cs="宋体"/>
                <w:kern w:val="0"/>
                <w:szCs w:val="24"/>
                <w:lang w:bidi="ar"/>
              </w:rPr>
              <w:t>当本项目（包）涉及预留份额专门面向</w:t>
            </w:r>
            <w:r>
              <w:rPr>
                <w:rFonts w:hint="eastAsia" w:cs="宋体"/>
                <w:kern w:val="0"/>
                <w:szCs w:val="24"/>
                <w:lang w:val="en-US" w:eastAsia="zh-CN" w:bidi="ar"/>
              </w:rPr>
              <w:t>小微</w:t>
            </w:r>
            <w:r>
              <w:rPr>
                <w:rFonts w:hint="eastAsia" w:cs="宋体"/>
                <w:kern w:val="0"/>
                <w:szCs w:val="24"/>
                <w:lang w:bidi="ar"/>
              </w:rPr>
              <w:t>企业采购，此时建议在《资格证明文件》中提供。</w:t>
            </w:r>
          </w:p>
          <w:p w14:paraId="10BBC917">
            <w:pPr>
              <w:widowControl/>
              <w:spacing w:line="240" w:lineRule="auto"/>
              <w:rPr>
                <w:rFonts w:hint="eastAsia" w:cs="宋体"/>
                <w:kern w:val="0"/>
                <w:szCs w:val="24"/>
                <w:lang w:bidi="ar"/>
              </w:rPr>
            </w:pPr>
            <w:r>
              <w:rPr>
                <w:rFonts w:hint="eastAsia" w:cs="宋体"/>
                <w:kern w:val="0"/>
                <w:szCs w:val="24"/>
                <w:lang w:bidi="ar"/>
              </w:rPr>
              <w:t xml:space="preserve">1、投标人单独投标的，应提供“中小企业声明函”或“残疾人福利性单位声明函”或由省级以上监狱管理局、戒毒管理局（含新疆生产建设兵团）出具的属于监狱企业的证明文件。 </w:t>
            </w:r>
          </w:p>
          <w:p w14:paraId="0F1E38C5">
            <w:pPr>
              <w:pStyle w:val="51"/>
              <w:jc w:val="both"/>
              <w:rPr>
                <w:rFonts w:hint="eastAsia" w:cs="宋体"/>
                <w:kern w:val="0"/>
                <w:szCs w:val="24"/>
                <w:lang w:bidi="ar"/>
              </w:rPr>
            </w:pPr>
            <w:r>
              <w:rPr>
                <w:rFonts w:hint="eastAsia" w:cs="宋体"/>
                <w:kern w:val="0"/>
                <w:szCs w:val="24"/>
                <w:lang w:bidi="ar"/>
              </w:rPr>
              <w:t>2、</w:t>
            </w:r>
            <w:r>
              <w:rPr>
                <w:rFonts w:hint="eastAsia" w:cs="宋体"/>
                <w:spacing w:val="-6"/>
                <w:kern w:val="0"/>
                <w:szCs w:val="24"/>
                <w:lang w:bidi="ar"/>
              </w:rPr>
              <w:t>如招标文件要求以联合体形式参加或者要求合同分包的，且投标人为联合体或拟进行合同分包的，则联合体中的中小企业、签订分包意向协议书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1005" w:type="pct"/>
            <w:shd w:val="clear" w:color="auto" w:fill="FFFFFF" w:themeFill="background1"/>
            <w:vAlign w:val="center"/>
          </w:tcPr>
          <w:p w14:paraId="1574A700">
            <w:pPr>
              <w:widowControl/>
              <w:spacing w:line="240" w:lineRule="auto"/>
              <w:rPr>
                <w:rFonts w:hint="eastAsia" w:cs="宋体"/>
                <w:kern w:val="0"/>
                <w:szCs w:val="24"/>
                <w:lang w:bidi="ar"/>
              </w:rPr>
            </w:pPr>
            <w:r>
              <w:rPr>
                <w:rFonts w:hint="eastAsia" w:cs="宋体"/>
                <w:kern w:val="0"/>
                <w:szCs w:val="24"/>
                <w:lang w:bidi="ar"/>
              </w:rPr>
              <w:t>格式见《第七章 投标文件格式》</w:t>
            </w:r>
          </w:p>
        </w:tc>
      </w:tr>
      <w:tr w14:paraId="6AE14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552" w:hRule="atLeast"/>
          <w:jc w:val="center"/>
        </w:trPr>
        <w:tc>
          <w:tcPr>
            <w:tcW w:w="426" w:type="pct"/>
            <w:shd w:val="clear" w:color="auto" w:fill="FFFFFF" w:themeFill="background1"/>
            <w:vAlign w:val="center"/>
          </w:tcPr>
          <w:p w14:paraId="623BBF79">
            <w:pPr>
              <w:pStyle w:val="51"/>
              <w:jc w:val="center"/>
              <w:rPr>
                <w:rFonts w:hint="eastAsia" w:cs="宋体"/>
                <w:b/>
                <w:bCs/>
                <w:szCs w:val="24"/>
              </w:rPr>
            </w:pPr>
            <w:r>
              <w:rPr>
                <w:rFonts w:hint="eastAsia" w:cs="宋体"/>
                <w:b/>
                <w:bCs/>
                <w:szCs w:val="24"/>
              </w:rPr>
              <w:t>2-1-2</w:t>
            </w:r>
          </w:p>
        </w:tc>
        <w:tc>
          <w:tcPr>
            <w:tcW w:w="944" w:type="pct"/>
            <w:shd w:val="clear" w:color="auto" w:fill="FFFFFF" w:themeFill="background1"/>
            <w:vAlign w:val="center"/>
          </w:tcPr>
          <w:p w14:paraId="292D743A">
            <w:pPr>
              <w:pStyle w:val="51"/>
              <w:jc w:val="both"/>
              <w:rPr>
                <w:rFonts w:hint="eastAsia" w:cs="宋体"/>
                <w:szCs w:val="24"/>
              </w:rPr>
            </w:pPr>
            <w:r>
              <w:rPr>
                <w:rFonts w:hint="eastAsia" w:cs="宋体"/>
                <w:kern w:val="0"/>
                <w:szCs w:val="24"/>
                <w:lang w:bidi="ar"/>
              </w:rPr>
              <w:t>拟分包情况说明及分包意向协议书</w:t>
            </w:r>
            <w:r>
              <w:rPr>
                <w:rFonts w:ascii="Times New Roman" w:hAnsi="Times New Roman" w:cs="Times New Roman"/>
                <w:b/>
                <w:bCs/>
                <w:kern w:val="0"/>
                <w:szCs w:val="24"/>
                <w:lang w:bidi="ar"/>
              </w:rPr>
              <w:t>（本项不适用，不作为评审项）</w:t>
            </w:r>
          </w:p>
        </w:tc>
        <w:tc>
          <w:tcPr>
            <w:tcW w:w="2623" w:type="pct"/>
            <w:shd w:val="clear" w:color="auto" w:fill="FFFFFF" w:themeFill="background1"/>
            <w:vAlign w:val="center"/>
          </w:tcPr>
          <w:p w14:paraId="4FD0A4CB">
            <w:pPr>
              <w:widowControl/>
              <w:spacing w:line="240" w:lineRule="auto"/>
              <w:rPr>
                <w:rFonts w:hint="eastAsia" w:cs="宋体"/>
                <w:kern w:val="0"/>
                <w:szCs w:val="24"/>
                <w:lang w:bidi="ar"/>
              </w:rPr>
            </w:pPr>
            <w:r>
              <w:rPr>
                <w:rFonts w:hint="eastAsia" w:cs="宋体"/>
                <w:kern w:val="0"/>
                <w:szCs w:val="24"/>
                <w:lang w:bidi="ar"/>
              </w:rPr>
              <w:t xml:space="preserve">如本项目（包）要求通过分包措施预留部分采购份额面向中小企业采购、且投标人因落实政府采购政策拟进行分包的，必须提供；否则无须提供。 </w:t>
            </w:r>
          </w:p>
          <w:p w14:paraId="124EE3C7">
            <w:pPr>
              <w:pStyle w:val="51"/>
              <w:jc w:val="both"/>
              <w:rPr>
                <w:rFonts w:hint="eastAsia" w:cs="宋体"/>
                <w:szCs w:val="24"/>
              </w:rPr>
            </w:pPr>
            <w:r>
              <w:rPr>
                <w:rFonts w:hint="eastAsia" w:cs="宋体"/>
                <w:kern w:val="0"/>
                <w:szCs w:val="24"/>
                <w:lang w:bidi="ar"/>
              </w:rPr>
              <w:t>对于预留份额专门面向中小企业采购的项目（包），组成联合体或者接受分包合同的中小企业与联合体内其他企业、分包企业之间不得存在直接控股、管理关系。</w:t>
            </w:r>
          </w:p>
        </w:tc>
        <w:tc>
          <w:tcPr>
            <w:tcW w:w="1005" w:type="pct"/>
            <w:shd w:val="clear" w:color="auto" w:fill="FFFFFF" w:themeFill="background1"/>
            <w:vAlign w:val="center"/>
          </w:tcPr>
          <w:p w14:paraId="77850F93">
            <w:pPr>
              <w:widowControl/>
              <w:spacing w:line="240" w:lineRule="auto"/>
              <w:rPr>
                <w:rFonts w:hint="eastAsia" w:cs="宋体"/>
                <w:kern w:val="0"/>
                <w:szCs w:val="24"/>
                <w:lang w:bidi="ar"/>
              </w:rPr>
            </w:pPr>
            <w:r>
              <w:rPr>
                <w:rFonts w:hint="eastAsia" w:cs="宋体"/>
                <w:kern w:val="0"/>
                <w:szCs w:val="24"/>
                <w:lang w:bidi="ar"/>
              </w:rPr>
              <w:t>格式见《第七章 投标文件格式》</w:t>
            </w:r>
          </w:p>
          <w:p w14:paraId="46B362C7">
            <w:pPr>
              <w:widowControl/>
              <w:spacing w:line="240" w:lineRule="auto"/>
              <w:rPr>
                <w:rFonts w:hint="eastAsia" w:cs="宋体"/>
                <w:kern w:val="0"/>
                <w:szCs w:val="24"/>
                <w:lang w:bidi="ar"/>
              </w:rPr>
            </w:pPr>
          </w:p>
        </w:tc>
      </w:tr>
      <w:tr w14:paraId="021E8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24" w:hRule="atLeast"/>
          <w:jc w:val="center"/>
        </w:trPr>
        <w:tc>
          <w:tcPr>
            <w:tcW w:w="426" w:type="pct"/>
            <w:shd w:val="clear" w:color="auto" w:fill="FFFFFF" w:themeFill="background1"/>
            <w:vAlign w:val="center"/>
          </w:tcPr>
          <w:p w14:paraId="5F749636">
            <w:pPr>
              <w:pStyle w:val="51"/>
              <w:jc w:val="center"/>
              <w:rPr>
                <w:rFonts w:hint="eastAsia" w:cs="宋体"/>
                <w:b/>
                <w:bCs/>
                <w:szCs w:val="24"/>
              </w:rPr>
            </w:pPr>
            <w:r>
              <w:rPr>
                <w:rFonts w:hint="eastAsia" w:cs="宋体"/>
                <w:b/>
                <w:bCs/>
                <w:szCs w:val="24"/>
              </w:rPr>
              <w:t>2-2</w:t>
            </w:r>
          </w:p>
        </w:tc>
        <w:tc>
          <w:tcPr>
            <w:tcW w:w="944" w:type="pct"/>
            <w:shd w:val="clear" w:color="auto" w:fill="FFFFFF" w:themeFill="background1"/>
            <w:vAlign w:val="center"/>
          </w:tcPr>
          <w:p w14:paraId="16B3820B">
            <w:pPr>
              <w:pStyle w:val="51"/>
              <w:jc w:val="both"/>
              <w:rPr>
                <w:rFonts w:hint="eastAsia" w:cs="宋体"/>
                <w:kern w:val="0"/>
                <w:szCs w:val="24"/>
                <w:lang w:bidi="ar"/>
              </w:rPr>
            </w:pPr>
            <w:r>
              <w:rPr>
                <w:rFonts w:hint="eastAsia" w:cs="宋体"/>
                <w:spacing w:val="-6"/>
                <w:kern w:val="0"/>
                <w:szCs w:val="24"/>
                <w:lang w:bidi="ar"/>
              </w:rPr>
              <w:t>其它落实政府采购政策的资格要求</w:t>
            </w:r>
          </w:p>
        </w:tc>
        <w:tc>
          <w:tcPr>
            <w:tcW w:w="2623" w:type="pct"/>
            <w:shd w:val="clear" w:color="auto" w:fill="FFFFFF" w:themeFill="background1"/>
            <w:vAlign w:val="center"/>
          </w:tcPr>
          <w:p w14:paraId="7F908D19">
            <w:pPr>
              <w:pStyle w:val="51"/>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1005" w:type="pct"/>
            <w:shd w:val="clear" w:color="auto" w:fill="FFFFFF" w:themeFill="background1"/>
            <w:vAlign w:val="center"/>
          </w:tcPr>
          <w:p w14:paraId="6782059F">
            <w:pPr>
              <w:pStyle w:val="51"/>
              <w:jc w:val="both"/>
              <w:rPr>
                <w:rFonts w:hint="eastAsia" w:cs="宋体"/>
                <w:kern w:val="0"/>
                <w:szCs w:val="24"/>
                <w:lang w:bidi="ar"/>
              </w:rPr>
            </w:pPr>
            <w:r>
              <w:rPr>
                <w:rFonts w:hint="eastAsia" w:cs="宋体"/>
                <w:kern w:val="0"/>
                <w:szCs w:val="24"/>
                <w:lang w:bidi="ar"/>
              </w:rPr>
              <w:t>提供证明文件的电子件或电子证照</w:t>
            </w:r>
          </w:p>
        </w:tc>
      </w:tr>
      <w:tr w14:paraId="26717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72" w:hRule="atLeast"/>
          <w:jc w:val="center"/>
        </w:trPr>
        <w:tc>
          <w:tcPr>
            <w:tcW w:w="426" w:type="pct"/>
            <w:shd w:val="clear" w:color="auto" w:fill="FFFFFF" w:themeFill="background1"/>
            <w:vAlign w:val="center"/>
          </w:tcPr>
          <w:p w14:paraId="679DE399">
            <w:pPr>
              <w:pStyle w:val="51"/>
              <w:jc w:val="center"/>
              <w:rPr>
                <w:rFonts w:hint="eastAsia" w:cs="宋体"/>
                <w:b/>
                <w:bCs/>
                <w:szCs w:val="24"/>
              </w:rPr>
            </w:pPr>
            <w:r>
              <w:rPr>
                <w:rFonts w:hint="eastAsia" w:cs="宋体"/>
                <w:b/>
                <w:bCs/>
                <w:szCs w:val="24"/>
              </w:rPr>
              <w:t>3</w:t>
            </w:r>
          </w:p>
        </w:tc>
        <w:tc>
          <w:tcPr>
            <w:tcW w:w="944" w:type="pct"/>
            <w:shd w:val="clear" w:color="auto" w:fill="FFFFFF" w:themeFill="background1"/>
            <w:vAlign w:val="center"/>
          </w:tcPr>
          <w:p w14:paraId="2F314B03">
            <w:pPr>
              <w:pStyle w:val="51"/>
              <w:jc w:val="both"/>
              <w:rPr>
                <w:rFonts w:hint="eastAsia" w:cs="宋体"/>
                <w:kern w:val="0"/>
                <w:szCs w:val="24"/>
                <w:lang w:bidi="ar"/>
              </w:rPr>
            </w:pPr>
            <w:r>
              <w:rPr>
                <w:rFonts w:hint="eastAsia" w:cs="宋体"/>
                <w:kern w:val="0"/>
                <w:szCs w:val="24"/>
                <w:lang w:bidi="ar"/>
              </w:rPr>
              <w:t>本项目的特定资格要求</w:t>
            </w:r>
          </w:p>
        </w:tc>
        <w:tc>
          <w:tcPr>
            <w:tcW w:w="2623" w:type="pct"/>
            <w:shd w:val="clear" w:color="auto" w:fill="FFFFFF" w:themeFill="background1"/>
            <w:vAlign w:val="center"/>
          </w:tcPr>
          <w:p w14:paraId="11178830">
            <w:pPr>
              <w:pStyle w:val="51"/>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1005" w:type="pct"/>
            <w:shd w:val="clear" w:color="auto" w:fill="FFFFFF" w:themeFill="background1"/>
            <w:vAlign w:val="center"/>
          </w:tcPr>
          <w:p w14:paraId="4ED04199">
            <w:pPr>
              <w:pStyle w:val="51"/>
              <w:jc w:val="both"/>
              <w:rPr>
                <w:rFonts w:hint="eastAsia" w:cs="宋体"/>
                <w:kern w:val="0"/>
                <w:szCs w:val="24"/>
                <w:lang w:bidi="ar"/>
              </w:rPr>
            </w:pPr>
          </w:p>
        </w:tc>
      </w:tr>
      <w:tr w14:paraId="6DC6C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436" w:hRule="atLeast"/>
          <w:jc w:val="center"/>
        </w:trPr>
        <w:tc>
          <w:tcPr>
            <w:tcW w:w="426" w:type="pct"/>
            <w:shd w:val="clear" w:color="auto" w:fill="FFFFFF" w:themeFill="background1"/>
            <w:vAlign w:val="center"/>
          </w:tcPr>
          <w:p w14:paraId="69373D1C">
            <w:pPr>
              <w:pStyle w:val="51"/>
              <w:jc w:val="center"/>
              <w:rPr>
                <w:rFonts w:hint="eastAsia" w:cs="宋体"/>
                <w:b/>
                <w:bCs/>
                <w:szCs w:val="24"/>
              </w:rPr>
            </w:pPr>
            <w:r>
              <w:rPr>
                <w:rFonts w:hint="eastAsia" w:cs="宋体"/>
                <w:b/>
                <w:bCs/>
                <w:szCs w:val="24"/>
              </w:rPr>
              <w:t>3-1</w:t>
            </w:r>
          </w:p>
        </w:tc>
        <w:tc>
          <w:tcPr>
            <w:tcW w:w="944" w:type="pct"/>
            <w:shd w:val="clear" w:color="auto" w:fill="FFFFFF" w:themeFill="background1"/>
            <w:vAlign w:val="center"/>
          </w:tcPr>
          <w:p w14:paraId="07303D8E">
            <w:pPr>
              <w:pStyle w:val="51"/>
              <w:jc w:val="both"/>
              <w:rPr>
                <w:rFonts w:hint="eastAsia" w:cs="宋体"/>
                <w:kern w:val="0"/>
                <w:szCs w:val="24"/>
                <w:lang w:bidi="ar"/>
              </w:rPr>
            </w:pPr>
            <w:r>
              <w:rPr>
                <w:rFonts w:hint="eastAsia" w:cs="宋体"/>
                <w:kern w:val="0"/>
                <w:szCs w:val="24"/>
                <w:lang w:bidi="ar"/>
              </w:rPr>
              <w:t>本项目对于联合体的要求</w:t>
            </w:r>
            <w:r>
              <w:rPr>
                <w:rFonts w:ascii="Times New Roman" w:hAnsi="Times New Roman" w:cs="Times New Roman"/>
                <w:b/>
                <w:bCs/>
                <w:kern w:val="0"/>
                <w:szCs w:val="24"/>
                <w:lang w:bidi="ar"/>
              </w:rPr>
              <w:t>（本项不适用，不作为评审项）</w:t>
            </w:r>
          </w:p>
        </w:tc>
        <w:tc>
          <w:tcPr>
            <w:tcW w:w="2623" w:type="pct"/>
            <w:shd w:val="clear" w:color="auto" w:fill="FFFFFF" w:themeFill="background1"/>
            <w:vAlign w:val="center"/>
          </w:tcPr>
          <w:p w14:paraId="60B63704">
            <w:pPr>
              <w:pStyle w:val="51"/>
              <w:jc w:val="both"/>
              <w:rPr>
                <w:rFonts w:hint="eastAsia" w:cs="宋体"/>
                <w:kern w:val="0"/>
                <w:szCs w:val="24"/>
                <w:lang w:bidi="ar"/>
              </w:rPr>
            </w:pPr>
            <w:r>
              <w:rPr>
                <w:rFonts w:hint="eastAsia" w:cs="宋体"/>
                <w:kern w:val="0"/>
                <w:szCs w:val="24"/>
                <w:lang w:bidi="ar"/>
              </w:rPr>
              <w:t xml:space="preserve">1、如本项目接受联合体投标，且投标人为联合体时必须提供《联合体协议书》，明确各方拟承担的工作和责任，并指定联合体牵头人，授权其代表所有联合体成员负责本项目投标和合同实施阶段的牵头、协调工作。该联合体协议书应当作为投标文件的组成部分，与投标文件其他内容同时递交。 </w:t>
            </w:r>
          </w:p>
          <w:p w14:paraId="49698AC4">
            <w:pPr>
              <w:pStyle w:val="51"/>
              <w:jc w:val="both"/>
              <w:rPr>
                <w:rFonts w:hint="eastAsia" w:cs="宋体"/>
                <w:kern w:val="0"/>
                <w:szCs w:val="24"/>
                <w:lang w:bidi="ar"/>
              </w:rPr>
            </w:pPr>
            <w:r>
              <w:rPr>
                <w:rFonts w:hint="eastAsia" w:cs="宋体"/>
                <w:kern w:val="0"/>
                <w:szCs w:val="24"/>
                <w:lang w:bidi="ar"/>
              </w:rPr>
              <w:t xml:space="preserve">2、联合体各成员单位均须提供本表中序号1-1、1-2 的证明文件。联合体各成员单位均应满足本表 1-3 项规定。 </w:t>
            </w:r>
          </w:p>
          <w:p w14:paraId="70FD53C5">
            <w:pPr>
              <w:pStyle w:val="51"/>
              <w:jc w:val="both"/>
              <w:rPr>
                <w:rFonts w:hint="eastAsia" w:cs="宋体"/>
                <w:kern w:val="0"/>
                <w:szCs w:val="24"/>
                <w:lang w:bidi="ar"/>
              </w:rPr>
            </w:pPr>
            <w:r>
              <w:rPr>
                <w:rFonts w:hint="eastAsia" w:cs="宋体"/>
                <w:kern w:val="0"/>
                <w:szCs w:val="24"/>
                <w:lang w:bidi="ar"/>
              </w:rPr>
              <w:t>3、</w:t>
            </w:r>
            <w:r>
              <w:rPr>
                <w:rFonts w:hint="eastAsia" w:cs="宋体"/>
                <w:spacing w:val="-6"/>
                <w:kern w:val="0"/>
                <w:szCs w:val="24"/>
                <w:lang w:bidi="ar"/>
              </w:rPr>
              <w:t>本表序号 3-2及3-3 项规定的其他特定资格要求中的每一小项要求，按照《联合体协议书》的分工，联合体各方应具备承担工作所需的特定资格要求并提供证明材料。</w:t>
            </w:r>
            <w:r>
              <w:rPr>
                <w:rFonts w:hint="eastAsia" w:cs="宋体"/>
                <w:kern w:val="0"/>
                <w:szCs w:val="24"/>
                <w:lang w:bidi="ar"/>
              </w:rPr>
              <w:t xml:space="preserve"> </w:t>
            </w:r>
          </w:p>
          <w:p w14:paraId="4183B336">
            <w:pPr>
              <w:pStyle w:val="51"/>
              <w:jc w:val="both"/>
              <w:rPr>
                <w:rFonts w:hint="eastAsia" w:cs="宋体"/>
                <w:kern w:val="0"/>
                <w:szCs w:val="24"/>
                <w:lang w:bidi="ar"/>
              </w:rPr>
            </w:pPr>
            <w:r>
              <w:rPr>
                <w:rFonts w:hint="eastAsia" w:cs="宋体"/>
                <w:kern w:val="0"/>
                <w:szCs w:val="24"/>
                <w:lang w:bidi="ar"/>
              </w:rPr>
              <w:t xml:space="preserve">4、联合体中有同类资质的供应商按照联合体分工承担相同工作的，应当按照资质等级较低的供应商确定资质等级。 </w:t>
            </w:r>
          </w:p>
          <w:p w14:paraId="747F0830">
            <w:pPr>
              <w:pStyle w:val="51"/>
              <w:jc w:val="both"/>
              <w:rPr>
                <w:rFonts w:hint="eastAsia" w:cs="宋体"/>
                <w:kern w:val="0"/>
                <w:szCs w:val="24"/>
                <w:lang w:bidi="ar"/>
              </w:rPr>
            </w:pPr>
            <w:r>
              <w:rPr>
                <w:rFonts w:hint="eastAsia" w:cs="宋体"/>
                <w:kern w:val="0"/>
                <w:szCs w:val="24"/>
                <w:lang w:bidi="ar"/>
              </w:rPr>
              <w:t xml:space="preserve">5、以联合体形式参加政府采购活动的，联合体各方不得再单独参加或者与其他供应商另外组成联合体参加同一合同项下的政府采购活动。 </w:t>
            </w:r>
          </w:p>
          <w:p w14:paraId="486A1704">
            <w:pPr>
              <w:pStyle w:val="51"/>
              <w:jc w:val="both"/>
              <w:rPr>
                <w:rFonts w:hint="eastAsia" w:cs="宋体"/>
                <w:kern w:val="0"/>
                <w:szCs w:val="24"/>
                <w:lang w:bidi="ar"/>
              </w:rPr>
            </w:pPr>
            <w:r>
              <w:rPr>
                <w:rFonts w:hint="eastAsia" w:cs="宋体"/>
                <w:kern w:val="0"/>
                <w:szCs w:val="24"/>
                <w:lang w:bidi="ar"/>
              </w:rPr>
              <w:t xml:space="preserve">6、若联合体中任一成员单位中途退出，则该联合体的投标无效。 </w:t>
            </w:r>
          </w:p>
          <w:p w14:paraId="2901DEC7">
            <w:pPr>
              <w:pStyle w:val="51"/>
              <w:jc w:val="both"/>
              <w:rPr>
                <w:rFonts w:hint="eastAsia" w:cs="宋体"/>
                <w:kern w:val="0"/>
                <w:szCs w:val="24"/>
                <w:lang w:bidi="ar"/>
              </w:rPr>
            </w:pPr>
            <w:r>
              <w:rPr>
                <w:rFonts w:hint="eastAsia" w:cs="宋体"/>
                <w:kern w:val="0"/>
                <w:szCs w:val="24"/>
                <w:lang w:bidi="ar"/>
              </w:rPr>
              <w:t>7、本项目不接受联合体投标时，投标人不得为联合体。</w:t>
            </w:r>
          </w:p>
        </w:tc>
        <w:tc>
          <w:tcPr>
            <w:tcW w:w="1005" w:type="pct"/>
            <w:shd w:val="clear" w:color="auto" w:fill="FFFFFF" w:themeFill="background1"/>
            <w:vAlign w:val="center"/>
          </w:tcPr>
          <w:p w14:paraId="47CC4877">
            <w:pPr>
              <w:pStyle w:val="51"/>
              <w:rPr>
                <w:rFonts w:hint="eastAsia" w:cs="宋体"/>
                <w:kern w:val="0"/>
                <w:szCs w:val="24"/>
                <w:lang w:bidi="ar"/>
              </w:rPr>
            </w:pPr>
            <w:r>
              <w:rPr>
                <w:rFonts w:hint="eastAsia" w:cs="宋体"/>
                <w:kern w:val="0"/>
                <w:szCs w:val="24"/>
                <w:lang w:bidi="ar"/>
              </w:rPr>
              <w:t xml:space="preserve">提供《联合体协议书》原件的电子件 </w:t>
            </w:r>
          </w:p>
          <w:p w14:paraId="0304E4B6">
            <w:pPr>
              <w:pStyle w:val="51"/>
              <w:rPr>
                <w:rFonts w:hint="eastAsia" w:cs="宋体"/>
                <w:kern w:val="0"/>
                <w:szCs w:val="24"/>
                <w:lang w:bidi="ar"/>
              </w:rPr>
            </w:pPr>
            <w:r>
              <w:rPr>
                <w:rFonts w:hint="eastAsia" w:cs="宋体"/>
                <w:kern w:val="0"/>
                <w:szCs w:val="24"/>
                <w:lang w:bidi="ar"/>
              </w:rPr>
              <w:t>格式见《第七章 投标文件格式》</w:t>
            </w:r>
          </w:p>
        </w:tc>
      </w:tr>
      <w:tr w14:paraId="5DEFD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66" w:hRule="atLeast"/>
          <w:jc w:val="center"/>
        </w:trPr>
        <w:tc>
          <w:tcPr>
            <w:tcW w:w="426" w:type="pct"/>
            <w:shd w:val="clear" w:color="auto" w:fill="FFFFFF" w:themeFill="background1"/>
            <w:vAlign w:val="center"/>
          </w:tcPr>
          <w:p w14:paraId="7DE6FC1B">
            <w:pPr>
              <w:pStyle w:val="51"/>
              <w:jc w:val="center"/>
              <w:rPr>
                <w:rFonts w:hint="eastAsia" w:cs="宋体"/>
                <w:b/>
                <w:bCs/>
                <w:szCs w:val="24"/>
              </w:rPr>
            </w:pPr>
            <w:r>
              <w:rPr>
                <w:rFonts w:hint="eastAsia" w:cs="宋体"/>
                <w:b/>
                <w:bCs/>
                <w:szCs w:val="24"/>
              </w:rPr>
              <w:t>3-2</w:t>
            </w:r>
          </w:p>
        </w:tc>
        <w:tc>
          <w:tcPr>
            <w:tcW w:w="944" w:type="pct"/>
            <w:shd w:val="clear" w:color="auto" w:fill="FFFFFF" w:themeFill="background1"/>
            <w:vAlign w:val="center"/>
          </w:tcPr>
          <w:p w14:paraId="21629ADC">
            <w:pPr>
              <w:pStyle w:val="51"/>
              <w:jc w:val="both"/>
              <w:rPr>
                <w:rFonts w:hint="eastAsia" w:cs="宋体"/>
                <w:color w:val="auto"/>
                <w:kern w:val="0"/>
                <w:szCs w:val="24"/>
                <w:lang w:bidi="ar"/>
              </w:rPr>
            </w:pPr>
            <w:r>
              <w:rPr>
                <w:rFonts w:hint="eastAsia" w:cs="宋体"/>
                <w:color w:val="auto"/>
                <w:kern w:val="0"/>
                <w:szCs w:val="24"/>
                <w:lang w:bidi="ar"/>
              </w:rPr>
              <w:t>其他特定资格要求</w:t>
            </w:r>
          </w:p>
        </w:tc>
        <w:tc>
          <w:tcPr>
            <w:tcW w:w="2623" w:type="pct"/>
            <w:shd w:val="clear" w:color="auto" w:fill="FFFFFF" w:themeFill="background1"/>
            <w:vAlign w:val="center"/>
          </w:tcPr>
          <w:p w14:paraId="5EDBB7EC">
            <w:pPr>
              <w:pStyle w:val="51"/>
              <w:jc w:val="both"/>
              <w:rPr>
                <w:rFonts w:hint="default" w:eastAsia="宋体" w:cs="宋体"/>
                <w:color w:val="auto"/>
                <w:kern w:val="0"/>
                <w:szCs w:val="24"/>
                <w:lang w:val="en-US" w:eastAsia="zh-CN" w:bidi="ar"/>
              </w:rPr>
            </w:pPr>
            <w:r>
              <w:rPr>
                <w:rFonts w:hint="eastAsia" w:ascii="Times New Roman" w:hAnsi="Times New Roman" w:cs="Times New Roman"/>
                <w:color w:val="auto"/>
                <w:szCs w:val="24"/>
                <w:lang w:val="en-US" w:eastAsia="zh-CN"/>
              </w:rPr>
              <w:t>见“第一章 招标公告”</w:t>
            </w:r>
          </w:p>
        </w:tc>
        <w:tc>
          <w:tcPr>
            <w:tcW w:w="1005" w:type="pct"/>
            <w:shd w:val="clear" w:color="auto" w:fill="FFFFFF" w:themeFill="background1"/>
            <w:vAlign w:val="center"/>
          </w:tcPr>
          <w:p w14:paraId="2E2BB5F2">
            <w:pPr>
              <w:pStyle w:val="51"/>
              <w:rPr>
                <w:rFonts w:hint="eastAsia" w:cs="宋体"/>
                <w:kern w:val="0"/>
                <w:szCs w:val="24"/>
                <w:lang w:bidi="ar"/>
              </w:rPr>
            </w:pPr>
            <w:r>
              <w:rPr>
                <w:rFonts w:hint="eastAsia" w:cs="宋体"/>
                <w:kern w:val="0"/>
                <w:szCs w:val="24"/>
                <w:lang w:bidi="ar"/>
              </w:rPr>
              <w:t>提供证明文件的电子件或电子证照</w:t>
            </w:r>
          </w:p>
        </w:tc>
      </w:tr>
    </w:tbl>
    <w:p w14:paraId="75001950">
      <w:pPr>
        <w:pStyle w:val="3"/>
        <w:spacing w:before="220" w:after="220" w:line="480" w:lineRule="auto"/>
        <w:ind w:left="420" w:hanging="420"/>
        <w:rPr>
          <w:rFonts w:hint="eastAsia" w:eastAsia="宋体" w:cs="宋体"/>
          <w:sz w:val="36"/>
          <w:szCs w:val="36"/>
        </w:rPr>
      </w:pPr>
      <w:bookmarkStart w:id="342" w:name="_Toc155185903"/>
      <w:bookmarkStart w:id="343" w:name="_Toc28158"/>
      <w:bookmarkStart w:id="344" w:name="_Toc30175"/>
      <w:r>
        <w:rPr>
          <w:rFonts w:hint="eastAsia" w:eastAsia="宋体" w:cs="宋体"/>
          <w:sz w:val="36"/>
          <w:szCs w:val="36"/>
        </w:rPr>
        <w:t>第五章 评标方法</w:t>
      </w:r>
      <w:bookmarkEnd w:id="342"/>
      <w:r>
        <w:rPr>
          <w:rFonts w:hint="eastAsia" w:eastAsia="宋体" w:cs="宋体"/>
          <w:sz w:val="36"/>
          <w:szCs w:val="36"/>
        </w:rPr>
        <w:t>及标准(综合评分法)</w:t>
      </w:r>
      <w:bookmarkEnd w:id="343"/>
      <w:bookmarkEnd w:id="344"/>
    </w:p>
    <w:p w14:paraId="1FD7FDE3">
      <w:pPr>
        <w:pStyle w:val="39"/>
        <w:jc w:val="both"/>
        <w:rPr>
          <w:rFonts w:hint="eastAsia" w:cs="宋体"/>
          <w:szCs w:val="24"/>
        </w:rPr>
      </w:pPr>
      <w:r>
        <w:rPr>
          <w:rFonts w:hint="eastAsia" w:cs="宋体"/>
          <w:szCs w:val="24"/>
        </w:rPr>
        <w:t>根据《中华人民共和国政府采购法》及其实施条例、《政府采购货物和服务招标投标管理办法》</w:t>
      </w:r>
      <w:r>
        <w:rPr>
          <w:rFonts w:hint="eastAsia" w:cs="宋体"/>
          <w:szCs w:val="24"/>
          <w:lang w:val="en-US"/>
        </w:rPr>
        <w:t>及</w:t>
      </w:r>
      <w:r>
        <w:rPr>
          <w:rFonts w:hint="eastAsia" w:cs="宋体"/>
          <w:szCs w:val="24"/>
        </w:rPr>
        <w:t>相关法律法规确定以下评标</w:t>
      </w:r>
      <w:r>
        <w:rPr>
          <w:rFonts w:hint="eastAsia" w:cs="宋体"/>
          <w:szCs w:val="24"/>
          <w:lang w:val="en-US"/>
        </w:rPr>
        <w:t>方</w:t>
      </w:r>
      <w:r>
        <w:rPr>
          <w:rFonts w:hint="eastAsia" w:cs="宋体"/>
          <w:szCs w:val="24"/>
        </w:rPr>
        <w:t>法及标准。</w:t>
      </w:r>
    </w:p>
    <w:p w14:paraId="3C33AFA1">
      <w:pPr>
        <w:pStyle w:val="4"/>
        <w:spacing w:before="160" w:after="160" w:line="360" w:lineRule="auto"/>
        <w:ind w:left="420" w:hanging="420"/>
        <w:jc w:val="both"/>
        <w:rPr>
          <w:rFonts w:hint="eastAsia" w:ascii="宋体" w:hAnsi="宋体" w:cs="宋体"/>
          <w:sz w:val="28"/>
          <w:szCs w:val="28"/>
          <w:lang w:val="zh-CN"/>
        </w:rPr>
      </w:pPr>
      <w:bookmarkStart w:id="345" w:name="_Toc17592"/>
      <w:bookmarkStart w:id="346" w:name="_Toc4301"/>
      <w:bookmarkStart w:id="347" w:name="_Toc278891606"/>
      <w:bookmarkStart w:id="348" w:name="_Toc61280402"/>
      <w:bookmarkStart w:id="349" w:name="_Toc109899903"/>
      <w:bookmarkStart w:id="350" w:name="_Toc109900322"/>
      <w:bookmarkStart w:id="351" w:name="_Toc511894518"/>
      <w:bookmarkStart w:id="352" w:name="_Toc155185905"/>
      <w:bookmarkStart w:id="353" w:name="_Toc272247709"/>
      <w:bookmarkStart w:id="354" w:name="_Toc140132826"/>
      <w:bookmarkStart w:id="355" w:name="_Toc109899484"/>
      <w:bookmarkStart w:id="356" w:name="_Toc494561962"/>
      <w:r>
        <w:rPr>
          <w:rFonts w:hint="eastAsia" w:ascii="宋体" w:hAnsi="宋体" w:cs="宋体"/>
          <w:sz w:val="28"/>
          <w:szCs w:val="28"/>
          <w:lang w:val="zh-CN"/>
        </w:rPr>
        <w:t>一、评标</w:t>
      </w:r>
      <w:r>
        <w:rPr>
          <w:rFonts w:hint="eastAsia" w:ascii="宋体" w:hAnsi="宋体" w:cs="宋体"/>
          <w:sz w:val="28"/>
          <w:szCs w:val="28"/>
        </w:rPr>
        <w:t>方</w:t>
      </w:r>
      <w:r>
        <w:rPr>
          <w:rFonts w:hint="eastAsia" w:ascii="宋体" w:hAnsi="宋体" w:cs="宋体"/>
          <w:sz w:val="28"/>
          <w:szCs w:val="28"/>
          <w:lang w:val="zh-CN"/>
        </w:rPr>
        <w:t>法</w:t>
      </w:r>
      <w:bookmarkEnd w:id="345"/>
      <w:bookmarkEnd w:id="346"/>
    </w:p>
    <w:p w14:paraId="25E575E0">
      <w:pPr>
        <w:pStyle w:val="39"/>
        <w:ind w:firstLine="482"/>
        <w:jc w:val="both"/>
        <w:rPr>
          <w:rFonts w:hint="eastAsia"/>
        </w:rPr>
      </w:pPr>
      <w:r>
        <w:rPr>
          <w:rFonts w:hint="eastAsia"/>
        </w:rPr>
        <w:t>1.</w:t>
      </w:r>
      <w:r>
        <w:rPr>
          <w:rFonts w:hint="eastAsia"/>
          <w:b/>
          <w:bCs/>
        </w:rPr>
        <w:t>本项目采用综合评分法</w:t>
      </w:r>
      <w:r>
        <w:rPr>
          <w:rFonts w:hint="eastAsia"/>
        </w:rPr>
        <w:t>。综合评分法，是指投标文件满足招标文件全部实质性要求，且按照评审因素的量化指标评审得分最高的投标人为中标候选人的评标方法。</w:t>
      </w:r>
    </w:p>
    <w:p w14:paraId="6EE7E9AA">
      <w:pPr>
        <w:pStyle w:val="4"/>
        <w:spacing w:before="160" w:after="160" w:line="360" w:lineRule="auto"/>
        <w:ind w:left="420" w:hanging="420"/>
        <w:jc w:val="both"/>
        <w:rPr>
          <w:rFonts w:hint="eastAsia" w:ascii="宋体" w:hAnsi="宋体" w:cs="宋体"/>
          <w:sz w:val="28"/>
          <w:szCs w:val="28"/>
          <w:lang w:val="zh-CN"/>
        </w:rPr>
      </w:pPr>
      <w:bookmarkStart w:id="357" w:name="_Toc2887"/>
      <w:bookmarkStart w:id="358" w:name="_Toc27095"/>
      <w:r>
        <w:rPr>
          <w:rFonts w:hint="eastAsia" w:ascii="宋体" w:hAnsi="宋体" w:cs="宋体"/>
          <w:sz w:val="28"/>
          <w:szCs w:val="28"/>
        </w:rPr>
        <w:t>二</w:t>
      </w:r>
      <w:r>
        <w:rPr>
          <w:rFonts w:hint="eastAsia" w:ascii="宋体" w:hAnsi="宋体" w:cs="宋体"/>
          <w:sz w:val="28"/>
          <w:szCs w:val="28"/>
          <w:lang w:val="zh-CN"/>
        </w:rPr>
        <w:t>、评标程序</w:t>
      </w:r>
      <w:bookmarkEnd w:id="357"/>
      <w:bookmarkEnd w:id="358"/>
    </w:p>
    <w:p w14:paraId="51FC100C">
      <w:pPr>
        <w:pStyle w:val="5"/>
        <w:spacing w:before="160" w:after="160" w:line="360" w:lineRule="auto"/>
        <w:ind w:left="420" w:hanging="420"/>
        <w:jc w:val="both"/>
        <w:rPr>
          <w:rFonts w:hint="eastAsia" w:cs="宋体"/>
          <w:sz w:val="24"/>
          <w:szCs w:val="24"/>
          <w:lang w:val="zh-CN"/>
        </w:rPr>
      </w:pPr>
      <w:bookmarkStart w:id="359" w:name="_Toc19642"/>
      <w:r>
        <w:rPr>
          <w:rFonts w:hint="eastAsia" w:cs="宋体"/>
          <w:sz w:val="24"/>
          <w:szCs w:val="24"/>
          <w:lang w:val="zh-CN"/>
        </w:rPr>
        <w:t>（一）符合性审查</w:t>
      </w:r>
      <w:bookmarkEnd w:id="359"/>
    </w:p>
    <w:p w14:paraId="4E008EC6">
      <w:pPr>
        <w:pStyle w:val="39"/>
        <w:jc w:val="both"/>
        <w:rPr>
          <w:rFonts w:hint="eastAsia" w:cs="宋体"/>
          <w:szCs w:val="24"/>
        </w:rPr>
      </w:pPr>
      <w:r>
        <w:rPr>
          <w:rFonts w:hint="eastAsia" w:cs="宋体"/>
          <w:szCs w:val="24"/>
          <w:lang w:val="en-US"/>
        </w:rPr>
        <w:t>2.</w:t>
      </w:r>
      <w:r>
        <w:rPr>
          <w:rFonts w:hint="eastAsia" w:cs="宋体"/>
          <w:szCs w:val="24"/>
        </w:rPr>
        <w:t>评标委员会应当对</w:t>
      </w:r>
      <w:r>
        <w:rPr>
          <w:rFonts w:hint="eastAsia" w:cs="宋体"/>
          <w:szCs w:val="24"/>
          <w:lang w:val="en-US"/>
        </w:rPr>
        <w:t>通过</w:t>
      </w:r>
      <w:r>
        <w:rPr>
          <w:rFonts w:hint="eastAsia" w:cs="宋体"/>
          <w:szCs w:val="24"/>
        </w:rPr>
        <w:t>资格</w:t>
      </w:r>
      <w:r>
        <w:rPr>
          <w:rFonts w:hint="eastAsia" w:cs="宋体"/>
          <w:szCs w:val="24"/>
          <w:lang w:val="en-US"/>
        </w:rPr>
        <w:t>审查</w:t>
      </w:r>
      <w:r>
        <w:rPr>
          <w:rFonts w:hint="eastAsia" w:cs="宋体"/>
          <w:szCs w:val="24"/>
        </w:rPr>
        <w:t>的投标人的投标文件进行符合性审查，以确定其是否满足招标文件的实质性要求。投标人必须通过符合性审查的全部评审指标，不满足招标文件的实质性要求的，</w:t>
      </w:r>
      <w:r>
        <w:rPr>
          <w:rFonts w:hint="eastAsia" w:cs="宋体"/>
          <w:szCs w:val="24"/>
          <w:lang w:val="en-US"/>
        </w:rPr>
        <w:t>其</w:t>
      </w:r>
      <w:r>
        <w:rPr>
          <w:rFonts w:hint="eastAsia" w:cs="宋体"/>
          <w:b/>
          <w:bCs/>
          <w:szCs w:val="24"/>
        </w:rPr>
        <w:t>投标无效</w:t>
      </w:r>
      <w:r>
        <w:rPr>
          <w:rFonts w:hint="eastAsia" w:cs="宋体"/>
          <w:szCs w:val="24"/>
        </w:rPr>
        <w:t>。</w:t>
      </w:r>
      <w:r>
        <w:rPr>
          <w:rFonts w:hint="eastAsia" w:cs="宋体"/>
          <w:szCs w:val="24"/>
          <w:lang w:val="en-US"/>
        </w:rPr>
        <w:t>具体内容详</w:t>
      </w:r>
      <w:r>
        <w:rPr>
          <w:rFonts w:hint="eastAsia" w:cs="宋体"/>
          <w:szCs w:val="24"/>
        </w:rPr>
        <w:t>本章“</w:t>
      </w:r>
      <w:r>
        <w:rPr>
          <w:rFonts w:hint="eastAsia" w:cs="宋体"/>
          <w:szCs w:val="24"/>
          <w:lang w:val="en-US"/>
        </w:rPr>
        <w:t>四</w:t>
      </w:r>
      <w:r>
        <w:rPr>
          <w:rFonts w:hint="eastAsia" w:cs="宋体"/>
          <w:szCs w:val="24"/>
        </w:rPr>
        <w:t>、评标标准”中</w:t>
      </w:r>
      <w:r>
        <w:rPr>
          <w:rFonts w:hint="eastAsia" w:cs="宋体"/>
          <w:szCs w:val="24"/>
          <w:lang w:val="en-US"/>
        </w:rPr>
        <w:t>的</w:t>
      </w:r>
      <w:r>
        <w:rPr>
          <w:rFonts w:hint="eastAsia" w:cs="宋体"/>
          <w:szCs w:val="24"/>
        </w:rPr>
        <w:t>“（一）符合性审查”。</w:t>
      </w:r>
    </w:p>
    <w:p w14:paraId="067229C9">
      <w:pPr>
        <w:pStyle w:val="39"/>
        <w:jc w:val="both"/>
        <w:rPr>
          <w:rFonts w:hint="eastAsia" w:cs="宋体"/>
          <w:szCs w:val="24"/>
        </w:rPr>
      </w:pPr>
      <w:r>
        <w:rPr>
          <w:rFonts w:hint="eastAsia" w:cs="宋体"/>
          <w:szCs w:val="24"/>
          <w:lang w:val="en-US"/>
        </w:rPr>
        <w:t>通过</w:t>
      </w:r>
      <w:r>
        <w:rPr>
          <w:rFonts w:hint="eastAsia" w:cs="宋体"/>
          <w:szCs w:val="24"/>
        </w:rPr>
        <w:t>符合性审查</w:t>
      </w:r>
      <w:r>
        <w:rPr>
          <w:rFonts w:hint="eastAsia" w:cs="宋体"/>
          <w:szCs w:val="24"/>
          <w:lang w:val="en-US"/>
        </w:rPr>
        <w:t>的</w:t>
      </w:r>
      <w:r>
        <w:rPr>
          <w:rFonts w:hint="eastAsia" w:cs="宋体"/>
          <w:szCs w:val="24"/>
        </w:rPr>
        <w:t>有效供应商不足3家的应当终止采购活动，发布项目终止公告并说明原因，重新开展采购活动。</w:t>
      </w:r>
    </w:p>
    <w:p w14:paraId="64B9AE0D">
      <w:pPr>
        <w:pStyle w:val="5"/>
        <w:spacing w:before="160" w:after="160" w:line="360" w:lineRule="auto"/>
        <w:ind w:left="420" w:hanging="420"/>
        <w:jc w:val="both"/>
        <w:rPr>
          <w:rFonts w:hint="eastAsia" w:cs="宋体"/>
          <w:sz w:val="24"/>
          <w:szCs w:val="24"/>
          <w:lang w:val="zh-CN"/>
        </w:rPr>
      </w:pPr>
      <w:bookmarkStart w:id="360" w:name="_Toc155185907"/>
      <w:bookmarkStart w:id="361" w:name="_Toc102116048"/>
      <w:bookmarkStart w:id="362" w:name="_Toc102056244"/>
      <w:bookmarkStart w:id="363" w:name="_Toc102114946"/>
      <w:bookmarkStart w:id="364" w:name="_Toc102116178"/>
      <w:bookmarkStart w:id="365" w:name="_Toc102057744"/>
      <w:bookmarkStart w:id="366" w:name="_Toc102119879"/>
      <w:bookmarkStart w:id="367" w:name="_Toc163492903"/>
      <w:bookmarkStart w:id="368" w:name="_Toc32172"/>
      <w:r>
        <w:rPr>
          <w:rFonts w:hint="eastAsia" w:cs="宋体"/>
          <w:sz w:val="24"/>
          <w:szCs w:val="24"/>
          <w:lang w:val="zh-CN"/>
        </w:rPr>
        <w:t>（</w:t>
      </w:r>
      <w:r>
        <w:rPr>
          <w:rFonts w:hint="eastAsia" w:cs="宋体"/>
          <w:sz w:val="24"/>
          <w:szCs w:val="24"/>
        </w:rPr>
        <w:t>二</w:t>
      </w:r>
      <w:r>
        <w:rPr>
          <w:rFonts w:hint="eastAsia" w:cs="宋体"/>
          <w:sz w:val="24"/>
          <w:szCs w:val="24"/>
          <w:lang w:val="zh-CN"/>
        </w:rPr>
        <w:t>）投标文件澄清</w:t>
      </w:r>
      <w:bookmarkEnd w:id="360"/>
      <w:bookmarkEnd w:id="361"/>
      <w:bookmarkEnd w:id="362"/>
      <w:bookmarkEnd w:id="363"/>
      <w:bookmarkEnd w:id="364"/>
      <w:bookmarkEnd w:id="365"/>
      <w:bookmarkEnd w:id="366"/>
      <w:r>
        <w:rPr>
          <w:rFonts w:hint="eastAsia" w:cs="宋体"/>
          <w:sz w:val="24"/>
          <w:szCs w:val="24"/>
          <w:lang w:val="zh-CN"/>
        </w:rPr>
        <w:t>及修正</w:t>
      </w:r>
      <w:bookmarkEnd w:id="367"/>
      <w:bookmarkEnd w:id="368"/>
    </w:p>
    <w:p w14:paraId="4257251B">
      <w:pPr>
        <w:pStyle w:val="39"/>
        <w:jc w:val="both"/>
        <w:rPr>
          <w:rFonts w:hint="eastAsia" w:cs="宋体"/>
          <w:szCs w:val="24"/>
          <w:lang w:val="en-US"/>
        </w:rPr>
      </w:pPr>
      <w:r>
        <w:rPr>
          <w:rFonts w:hint="eastAsia" w:cs="宋体"/>
          <w:szCs w:val="24"/>
          <w:lang w:val="en-US"/>
        </w:rPr>
        <w:t>3.评标期间，对于投标文件中含义不明确、同类问题表述不一致或者有明显文字和计算错误的内容需要投标人作出必要的澄清、说明或者补正的，评标委员会应当在政采云平台评标系统中以书面形式要求投标人作出必要的澄清、说明或者补正。</w:t>
      </w:r>
    </w:p>
    <w:p w14:paraId="2437445E">
      <w:pPr>
        <w:pStyle w:val="39"/>
        <w:jc w:val="both"/>
        <w:rPr>
          <w:rFonts w:hint="eastAsia" w:cs="宋体"/>
          <w:szCs w:val="24"/>
          <w:lang w:val="en-US"/>
        </w:rPr>
      </w:pPr>
      <w:r>
        <w:rPr>
          <w:rFonts w:hint="eastAsia" w:cs="宋体"/>
          <w:szCs w:val="24"/>
          <w:lang w:val="en-US"/>
        </w:rPr>
        <w:t>4.投标人应按照评标委员会要求在规定时间内作出澄清、说明或者补正，澄清、说明或者补正不得超出投标文件的范围或者改变投标文件的实质性内容。</w:t>
      </w:r>
    </w:p>
    <w:p w14:paraId="77468F87">
      <w:pPr>
        <w:pStyle w:val="39"/>
        <w:jc w:val="both"/>
        <w:rPr>
          <w:rFonts w:hint="eastAsia" w:cs="宋体"/>
          <w:szCs w:val="24"/>
        </w:rPr>
      </w:pPr>
      <w:r>
        <w:rPr>
          <w:rFonts w:hint="eastAsia" w:cs="宋体"/>
          <w:szCs w:val="24"/>
          <w:lang w:val="en-US"/>
        </w:rPr>
        <w:t>5.投标人的澄清、说明或者补正是其投标文件的有效组成部分，澄清、说明或者补正应当在政采云平台评标系统中加盖电子印章后提交。</w:t>
      </w:r>
    </w:p>
    <w:p w14:paraId="68FD35E3">
      <w:pPr>
        <w:pStyle w:val="39"/>
        <w:jc w:val="both"/>
        <w:rPr>
          <w:rFonts w:hint="eastAsia" w:cs="宋体"/>
          <w:szCs w:val="24"/>
          <w:lang w:val="en-US"/>
        </w:rPr>
      </w:pPr>
      <w:r>
        <w:rPr>
          <w:rFonts w:hint="eastAsia" w:cs="宋体"/>
          <w:szCs w:val="24"/>
          <w:lang w:val="en-US"/>
        </w:rPr>
        <w:t>6.报价合理性说明：评标委员会认为投标人的报价明显低于其他通过符合性审查投标人的报价，有可能影响服务质量或者不能诚信履约的，应当要求该投标人在合理的时间内提供说明，必要时提交相关证明材料；若投标人不能证明其报价合理性的，评标委员会应当将其作</w:t>
      </w:r>
      <w:r>
        <w:rPr>
          <w:rFonts w:hint="eastAsia" w:cs="宋体"/>
          <w:b/>
          <w:bCs/>
          <w:szCs w:val="24"/>
          <w:lang w:val="en-US"/>
        </w:rPr>
        <w:t>无效投标</w:t>
      </w:r>
      <w:r>
        <w:rPr>
          <w:rFonts w:hint="eastAsia" w:cs="宋体"/>
          <w:szCs w:val="24"/>
          <w:lang w:val="en-US"/>
        </w:rPr>
        <w:t>处理。</w:t>
      </w:r>
    </w:p>
    <w:p w14:paraId="55092B71">
      <w:pPr>
        <w:pStyle w:val="39"/>
        <w:jc w:val="both"/>
        <w:rPr>
          <w:rFonts w:hint="eastAsia"/>
          <w:lang w:val="en-US"/>
        </w:rPr>
      </w:pPr>
      <w:r>
        <w:rPr>
          <w:rFonts w:hint="eastAsia" w:cs="宋体"/>
          <w:szCs w:val="24"/>
          <w:lang w:val="en-US"/>
        </w:rPr>
        <w:t>7.投标报价须包含招标文件全部内容，如分项报价表有缺漏视为已含在其他各项报价中，将不对投标总价进行调整。评标委员会有权要求投标人在评标现场合理的时间内对此进行书面确认，投标人不确认的，视为</w:t>
      </w:r>
      <w:r>
        <w:rPr>
          <w:rFonts w:hint="eastAsia"/>
          <w:lang w:val="en-US"/>
        </w:rPr>
        <w:t>将一个采购包中的内容拆分投标，其</w:t>
      </w:r>
      <w:r>
        <w:rPr>
          <w:rFonts w:hint="eastAsia"/>
          <w:b/>
          <w:bCs/>
          <w:lang w:val="en-US"/>
        </w:rPr>
        <w:t>投标无效</w:t>
      </w:r>
      <w:r>
        <w:rPr>
          <w:rFonts w:hint="eastAsia"/>
          <w:lang w:val="en-US"/>
        </w:rPr>
        <w:t>。</w:t>
      </w:r>
    </w:p>
    <w:p w14:paraId="5BD4700E">
      <w:pPr>
        <w:pStyle w:val="39"/>
        <w:ind w:firstLineChars="200"/>
        <w:jc w:val="both"/>
        <w:rPr>
          <w:rFonts w:hint="eastAsia"/>
          <w:lang w:val="en-US"/>
        </w:rPr>
      </w:pPr>
      <w:r>
        <w:rPr>
          <w:rFonts w:hint="eastAsia"/>
          <w:lang w:val="en-US"/>
        </w:rPr>
        <w:t>8.投标文件报价出现前后不一致的，除招标文件另有规定外，按照下列规定修正：</w:t>
      </w:r>
    </w:p>
    <w:p w14:paraId="7FDBB966">
      <w:pPr>
        <w:pStyle w:val="39"/>
        <w:ind w:firstLineChars="200"/>
        <w:jc w:val="both"/>
        <w:rPr>
          <w:rFonts w:hint="eastAsia"/>
          <w:lang w:val="en-US"/>
        </w:rPr>
      </w:pPr>
      <w:r>
        <w:rPr>
          <w:rFonts w:hint="eastAsia"/>
          <w:lang w:val="en-US"/>
        </w:rPr>
        <w:t>8.1投标文件中开标一览表（报价表）内容与投标文件中相应内容不一致的，以开标一览表（报价表）为准；</w:t>
      </w:r>
    </w:p>
    <w:p w14:paraId="2B6488F9">
      <w:pPr>
        <w:pStyle w:val="39"/>
        <w:ind w:firstLineChars="200"/>
        <w:jc w:val="both"/>
        <w:rPr>
          <w:rFonts w:hint="eastAsia"/>
          <w:lang w:val="en-US"/>
        </w:rPr>
      </w:pPr>
      <w:r>
        <w:rPr>
          <w:rFonts w:hint="eastAsia"/>
          <w:lang w:val="en-US"/>
        </w:rPr>
        <w:t>8.2大写金额和小写金额不一致的，以大写金额为准；</w:t>
      </w:r>
    </w:p>
    <w:p w14:paraId="4AE7894E">
      <w:pPr>
        <w:pStyle w:val="39"/>
        <w:ind w:firstLineChars="200"/>
        <w:jc w:val="both"/>
        <w:rPr>
          <w:rFonts w:hint="eastAsia"/>
          <w:lang w:val="en-US"/>
        </w:rPr>
      </w:pPr>
      <w:r>
        <w:rPr>
          <w:rFonts w:hint="eastAsia"/>
          <w:lang w:val="en-US"/>
        </w:rPr>
        <w:t>8.3单价金额小数点或者百分比有明显错位的，以开标一览表的总价为准，并修改单价；</w:t>
      </w:r>
    </w:p>
    <w:p w14:paraId="2F8B4ECD">
      <w:pPr>
        <w:pStyle w:val="39"/>
        <w:ind w:firstLineChars="200"/>
        <w:jc w:val="both"/>
        <w:rPr>
          <w:rFonts w:hint="eastAsia"/>
          <w:lang w:val="en-US"/>
        </w:rPr>
      </w:pPr>
      <w:r>
        <w:rPr>
          <w:rFonts w:hint="eastAsia"/>
          <w:lang w:val="en-US"/>
        </w:rPr>
        <w:t>8.4总价金额与按单价汇总金额不一致的，以单价金额计算结果为准。</w:t>
      </w:r>
    </w:p>
    <w:p w14:paraId="0E5AE3AB">
      <w:pPr>
        <w:pStyle w:val="39"/>
        <w:ind w:firstLineChars="200"/>
        <w:jc w:val="both"/>
        <w:rPr>
          <w:rFonts w:hint="eastAsia"/>
          <w:lang w:val="en-US"/>
        </w:rPr>
      </w:pPr>
      <w:r>
        <w:rPr>
          <w:rFonts w:hint="eastAsia"/>
          <w:lang w:val="en-US"/>
        </w:rPr>
        <w:t>同时出现两种以上不一致的，按照8.1—8.4的顺序修正。修正后的报价采用书面形式，并加盖公章，或者由法定代表人或其授权的代表签字，经投标人确认后产生约束力，投标人不确认的，其</w:t>
      </w:r>
      <w:r>
        <w:rPr>
          <w:rFonts w:hint="eastAsia"/>
          <w:b/>
          <w:bCs/>
          <w:lang w:val="en-US"/>
        </w:rPr>
        <w:t>投标无效</w:t>
      </w:r>
      <w:r>
        <w:rPr>
          <w:rFonts w:hint="eastAsia"/>
          <w:lang w:val="en-US"/>
        </w:rPr>
        <w:t>。</w:t>
      </w:r>
    </w:p>
    <w:p w14:paraId="4FDCDEC0">
      <w:pPr>
        <w:pStyle w:val="5"/>
        <w:spacing w:before="160" w:after="160" w:line="360" w:lineRule="auto"/>
        <w:ind w:left="420" w:hanging="420"/>
        <w:jc w:val="both"/>
        <w:rPr>
          <w:rFonts w:hint="eastAsia" w:cs="宋体"/>
          <w:sz w:val="24"/>
          <w:szCs w:val="24"/>
          <w:lang w:val="zh-CN"/>
        </w:rPr>
      </w:pPr>
      <w:bookmarkStart w:id="369" w:name="_Toc13089"/>
      <w:r>
        <w:rPr>
          <w:rFonts w:hint="eastAsia" w:cs="宋体"/>
          <w:sz w:val="24"/>
          <w:szCs w:val="24"/>
          <w:lang w:val="zh-CN"/>
        </w:rPr>
        <w:t>（</w:t>
      </w:r>
      <w:r>
        <w:rPr>
          <w:rFonts w:hint="eastAsia" w:cs="宋体"/>
          <w:sz w:val="24"/>
          <w:szCs w:val="24"/>
        </w:rPr>
        <w:t>三</w:t>
      </w:r>
      <w:r>
        <w:rPr>
          <w:rFonts w:hint="eastAsia" w:cs="宋体"/>
          <w:sz w:val="24"/>
          <w:szCs w:val="24"/>
          <w:lang w:val="zh-CN"/>
        </w:rPr>
        <w:t>）比较与评价</w:t>
      </w:r>
      <w:bookmarkEnd w:id="369"/>
    </w:p>
    <w:p w14:paraId="675A5E77">
      <w:pPr>
        <w:pStyle w:val="39"/>
        <w:jc w:val="both"/>
        <w:rPr>
          <w:rFonts w:hint="eastAsia" w:cs="宋体"/>
          <w:szCs w:val="24"/>
        </w:rPr>
      </w:pPr>
      <w:r>
        <w:rPr>
          <w:rFonts w:hint="eastAsia" w:cs="宋体"/>
          <w:szCs w:val="24"/>
          <w:lang w:val="en-US"/>
        </w:rPr>
        <w:t>9.</w:t>
      </w:r>
      <w:r>
        <w:rPr>
          <w:rFonts w:hint="eastAsia" w:cs="宋体"/>
          <w:szCs w:val="24"/>
        </w:rPr>
        <w:t>评标委员会应当按照招标文件中规定的评标方法和标准，对符合性审查合格的投标文件进行商务和技术评</w:t>
      </w:r>
      <w:r>
        <w:rPr>
          <w:rFonts w:hint="eastAsia" w:cs="宋体"/>
          <w:szCs w:val="24"/>
          <w:lang w:val="en-US"/>
        </w:rPr>
        <w:t>估</w:t>
      </w:r>
      <w:r>
        <w:rPr>
          <w:rFonts w:hint="eastAsia" w:cs="宋体"/>
          <w:szCs w:val="24"/>
        </w:rPr>
        <w:t>，综合比较与评价</w:t>
      </w:r>
      <w:r>
        <w:rPr>
          <w:rFonts w:hint="eastAsia" w:cs="宋体"/>
          <w:szCs w:val="24"/>
          <w:lang w:val="en-US"/>
        </w:rPr>
        <w:t>；未通过符合性审查的投标文件不得进入比较与评价</w:t>
      </w:r>
      <w:r>
        <w:rPr>
          <w:rFonts w:hint="eastAsia" w:cs="宋体"/>
          <w:szCs w:val="24"/>
        </w:rPr>
        <w:t>。评审因素包括投标报价、商务技术以及落实政府采购政策。评审因素及标准见本章“</w:t>
      </w:r>
      <w:r>
        <w:rPr>
          <w:rFonts w:hint="eastAsia" w:cs="宋体"/>
          <w:szCs w:val="24"/>
          <w:lang w:val="en-US"/>
        </w:rPr>
        <w:t>四、</w:t>
      </w:r>
      <w:r>
        <w:rPr>
          <w:rFonts w:hint="eastAsia" w:cs="宋体"/>
          <w:szCs w:val="24"/>
        </w:rPr>
        <w:t>评</w:t>
      </w:r>
      <w:r>
        <w:rPr>
          <w:rFonts w:hint="eastAsia" w:cs="宋体"/>
          <w:szCs w:val="24"/>
          <w:lang w:val="en-US"/>
        </w:rPr>
        <w:t>标</w:t>
      </w:r>
      <w:r>
        <w:rPr>
          <w:rFonts w:hint="eastAsia" w:cs="宋体"/>
          <w:szCs w:val="24"/>
        </w:rPr>
        <w:t>标准”。</w:t>
      </w:r>
    </w:p>
    <w:p w14:paraId="10E6D898">
      <w:pPr>
        <w:pStyle w:val="39"/>
        <w:jc w:val="both"/>
        <w:rPr>
          <w:rFonts w:hint="eastAsia" w:cs="宋体"/>
          <w:szCs w:val="24"/>
        </w:rPr>
      </w:pPr>
      <w:r>
        <w:rPr>
          <w:rFonts w:hint="eastAsia" w:cs="宋体"/>
          <w:szCs w:val="24"/>
          <w:lang w:val="en-US"/>
        </w:rPr>
        <w:t>10</w:t>
      </w:r>
      <w:r>
        <w:rPr>
          <w:rFonts w:hint="eastAsia" w:cs="宋体"/>
          <w:szCs w:val="24"/>
        </w:rPr>
        <w:t>.有效投标</w:t>
      </w:r>
      <w:r>
        <w:rPr>
          <w:rFonts w:hint="eastAsia" w:cs="宋体"/>
          <w:szCs w:val="24"/>
          <w:lang w:val="en-US"/>
        </w:rPr>
        <w:t>人</w:t>
      </w:r>
      <w:r>
        <w:rPr>
          <w:rFonts w:hint="eastAsia" w:cs="宋体"/>
          <w:szCs w:val="24"/>
        </w:rPr>
        <w:t>不足3家的应按</w:t>
      </w:r>
      <w:r>
        <w:rPr>
          <w:rFonts w:hint="eastAsia" w:cs="宋体"/>
          <w:b/>
          <w:bCs/>
          <w:szCs w:val="24"/>
        </w:rPr>
        <w:t>废标</w:t>
      </w:r>
      <w:r>
        <w:rPr>
          <w:rFonts w:hint="eastAsia" w:cs="宋体"/>
          <w:szCs w:val="24"/>
        </w:rPr>
        <w:t>处理。</w:t>
      </w:r>
    </w:p>
    <w:p w14:paraId="030FFF23">
      <w:pPr>
        <w:pStyle w:val="5"/>
        <w:spacing w:before="160" w:after="160" w:line="360" w:lineRule="auto"/>
        <w:ind w:left="420" w:hanging="420"/>
        <w:jc w:val="both"/>
        <w:rPr>
          <w:rFonts w:hint="eastAsia" w:cs="宋体"/>
          <w:sz w:val="24"/>
          <w:szCs w:val="24"/>
          <w:lang w:val="zh-CN"/>
        </w:rPr>
      </w:pPr>
      <w:bookmarkStart w:id="370" w:name="_Toc337"/>
      <w:r>
        <w:rPr>
          <w:rFonts w:hint="eastAsia" w:cs="宋体"/>
          <w:sz w:val="24"/>
          <w:szCs w:val="24"/>
          <w:lang w:val="zh-CN"/>
        </w:rPr>
        <w:t>（</w:t>
      </w:r>
      <w:r>
        <w:rPr>
          <w:rFonts w:hint="eastAsia" w:cs="宋体"/>
          <w:sz w:val="24"/>
          <w:szCs w:val="24"/>
        </w:rPr>
        <w:t>四</w:t>
      </w:r>
      <w:r>
        <w:rPr>
          <w:rFonts w:hint="eastAsia" w:cs="宋体"/>
          <w:sz w:val="24"/>
          <w:szCs w:val="24"/>
          <w:lang w:val="zh-CN"/>
        </w:rPr>
        <w:t>）报价评审</w:t>
      </w:r>
      <w:bookmarkEnd w:id="370"/>
    </w:p>
    <w:p w14:paraId="17BB92DF">
      <w:pPr>
        <w:pStyle w:val="39"/>
        <w:jc w:val="both"/>
        <w:rPr>
          <w:rFonts w:hint="eastAsia" w:cs="宋体"/>
          <w:b/>
          <w:bCs/>
          <w:szCs w:val="24"/>
        </w:rPr>
      </w:pPr>
      <w:r>
        <w:rPr>
          <w:rFonts w:hint="eastAsia" w:cs="宋体"/>
          <w:b/>
          <w:bCs/>
          <w:szCs w:val="24"/>
          <w:lang w:val="en-US"/>
        </w:rPr>
        <w:t>11.</w:t>
      </w:r>
      <w:r>
        <w:rPr>
          <w:rFonts w:hint="eastAsia" w:cs="宋体"/>
          <w:b/>
          <w:bCs/>
          <w:szCs w:val="24"/>
        </w:rPr>
        <w:t>投标报价评审</w:t>
      </w:r>
    </w:p>
    <w:p w14:paraId="11FE2E7D">
      <w:pPr>
        <w:pStyle w:val="39"/>
        <w:jc w:val="both"/>
        <w:rPr>
          <w:rFonts w:hint="eastAsia" w:cs="宋体"/>
          <w:szCs w:val="24"/>
          <w:lang w:val="en-US"/>
        </w:rPr>
      </w:pPr>
      <w:r>
        <w:rPr>
          <w:rFonts w:hint="eastAsia" w:cs="宋体"/>
          <w:szCs w:val="24"/>
          <w:lang w:val="en-US"/>
        </w:rPr>
        <w:t>11.1服务项目的价格分值占总分值的比重不得低于</w:t>
      </w:r>
      <w:r>
        <w:rPr>
          <w:rFonts w:cs="宋体"/>
          <w:szCs w:val="24"/>
          <w:lang w:val="en-US"/>
        </w:rPr>
        <w:t>10%。</w:t>
      </w:r>
      <w:r>
        <w:rPr>
          <w:rFonts w:hint="eastAsia" w:cs="宋体"/>
          <w:szCs w:val="24"/>
          <w:lang w:val="en-US"/>
        </w:rPr>
        <w:t>执行国家统一定价标准和采用固定价格采购的项目，其价格不列为评审因素。价格分应当采用低价优先法计算，即满足招标文件要求且投标价格最低的投标报价为评标基准价，其价格分为满分。其他投标人的价格分统一按照下列公式计算：</w:t>
      </w:r>
    </w:p>
    <w:p w14:paraId="5F4A21BD">
      <w:pPr>
        <w:pStyle w:val="39"/>
        <w:jc w:val="both"/>
        <w:rPr>
          <w:rFonts w:hint="eastAsia" w:cs="宋体"/>
          <w:szCs w:val="24"/>
          <w:lang w:val="en-US"/>
        </w:rPr>
      </w:pPr>
      <w:r>
        <w:rPr>
          <w:rFonts w:hint="eastAsia" w:cs="宋体"/>
          <w:szCs w:val="24"/>
          <w:lang w:val="en-US"/>
        </w:rPr>
        <w:t>投标报价得分=(评标基准价／投标报价)×价格分值</w:t>
      </w:r>
    </w:p>
    <w:p w14:paraId="39FD2F92">
      <w:pPr>
        <w:pStyle w:val="39"/>
        <w:jc w:val="both"/>
        <w:rPr>
          <w:rFonts w:hint="eastAsia" w:cs="宋体"/>
          <w:szCs w:val="24"/>
          <w:lang w:val="en-US"/>
        </w:rPr>
      </w:pPr>
      <w:r>
        <w:rPr>
          <w:rFonts w:hint="eastAsia" w:cs="宋体"/>
          <w:szCs w:val="24"/>
          <w:lang w:val="en-US"/>
        </w:rPr>
        <w:t>评标过程中，不得去掉报价中的最高报价和最低报价。</w:t>
      </w:r>
    </w:p>
    <w:p w14:paraId="4116BAB2">
      <w:pPr>
        <w:pStyle w:val="39"/>
        <w:jc w:val="both"/>
        <w:rPr>
          <w:rFonts w:hint="eastAsia" w:cs="宋体"/>
          <w:szCs w:val="24"/>
          <w:lang w:val="en-US"/>
        </w:rPr>
      </w:pPr>
      <w:r>
        <w:rPr>
          <w:rFonts w:hint="eastAsia" w:cs="宋体"/>
          <w:szCs w:val="24"/>
          <w:lang w:val="en-US"/>
        </w:rPr>
        <w:t>11.2除算术修正和落实政府采购政策的价格扣除外，不对投标报价进行调整；</w:t>
      </w:r>
    </w:p>
    <w:p w14:paraId="20052385">
      <w:pPr>
        <w:pStyle w:val="39"/>
        <w:jc w:val="both"/>
        <w:rPr>
          <w:rFonts w:hint="eastAsia"/>
        </w:rPr>
      </w:pPr>
      <w:r>
        <w:rPr>
          <w:rFonts w:hint="eastAsia" w:cs="宋体"/>
          <w:szCs w:val="24"/>
          <w:lang w:val="en-US"/>
        </w:rPr>
        <w:t>11.3价格分值见本章“四、评标标准”</w:t>
      </w:r>
      <w:r>
        <w:t>。</w:t>
      </w:r>
    </w:p>
    <w:p w14:paraId="00306B87">
      <w:pPr>
        <w:pStyle w:val="39"/>
        <w:jc w:val="both"/>
        <w:rPr>
          <w:rFonts w:hint="eastAsia" w:cs="宋体"/>
          <w:b/>
          <w:bCs/>
          <w:szCs w:val="24"/>
          <w:lang w:val="en-US"/>
        </w:rPr>
      </w:pPr>
      <w:r>
        <w:rPr>
          <w:rFonts w:hint="eastAsia" w:cs="宋体"/>
          <w:b/>
          <w:bCs/>
          <w:szCs w:val="24"/>
          <w:lang w:val="en-US"/>
        </w:rPr>
        <w:t>12.</w:t>
      </w:r>
      <w:r>
        <w:rPr>
          <w:rFonts w:hint="eastAsia" w:cs="宋体"/>
          <w:b/>
          <w:bCs/>
          <w:szCs w:val="24"/>
        </w:rPr>
        <w:t>政府采购异常低价审查</w:t>
      </w:r>
    </w:p>
    <w:p w14:paraId="5C99D516">
      <w:pPr>
        <w:ind w:firstLine="480" w:firstLineChars="200"/>
        <w:jc w:val="both"/>
        <w:rPr>
          <w:rFonts w:hint="eastAsia"/>
          <w:szCs w:val="24"/>
        </w:rPr>
      </w:pPr>
      <w:r>
        <w:rPr>
          <w:rFonts w:hint="eastAsia"/>
          <w:szCs w:val="24"/>
        </w:rPr>
        <w:t>12.1政府采购评审中出现下列情形之一的，评审委员会应当启动异常低价投标（响应）审查程序：</w:t>
      </w:r>
    </w:p>
    <w:p w14:paraId="14908BEE">
      <w:pPr>
        <w:ind w:firstLine="480" w:firstLineChars="200"/>
        <w:jc w:val="both"/>
        <w:rPr>
          <w:rFonts w:hint="eastAsia"/>
          <w:szCs w:val="24"/>
        </w:rPr>
      </w:pPr>
      <w:r>
        <w:rPr>
          <w:rFonts w:hint="eastAsia"/>
          <w:szCs w:val="24"/>
        </w:rPr>
        <w:t>（1）投标（响应）报价低于全部通过符合性审查供应商投标（响应）报价平均值50%的，即投标（响应）报价&lt;全部通过符合性审查供应商投标（响应）报价平均值×50%；</w:t>
      </w:r>
    </w:p>
    <w:p w14:paraId="0854F0A6">
      <w:pPr>
        <w:ind w:firstLine="480" w:firstLineChars="200"/>
        <w:jc w:val="both"/>
        <w:rPr>
          <w:rFonts w:hint="eastAsia"/>
          <w:szCs w:val="24"/>
        </w:rPr>
      </w:pPr>
      <w:r>
        <w:rPr>
          <w:rFonts w:hint="eastAsia"/>
          <w:szCs w:val="24"/>
        </w:rPr>
        <w:t>（2）投标（响应）报价低于通过符合性审查的次低报价供应商投标（响应）报价50%的，即投标（响应）报价&lt;通过符合性审查的次低报价供应商投标（响应）报价×50%；</w:t>
      </w:r>
    </w:p>
    <w:p w14:paraId="3DA0B2D9">
      <w:pPr>
        <w:ind w:firstLine="480" w:firstLineChars="200"/>
        <w:jc w:val="both"/>
        <w:rPr>
          <w:rFonts w:hint="eastAsia"/>
          <w:szCs w:val="24"/>
        </w:rPr>
      </w:pPr>
      <w:r>
        <w:rPr>
          <w:rFonts w:hint="eastAsia"/>
          <w:szCs w:val="24"/>
        </w:rPr>
        <w:t>（3）投标（响应）报价低于采购项目最高限价45%的，即投标（响应）报价&lt;采购项目最高限价×45%；</w:t>
      </w:r>
    </w:p>
    <w:p w14:paraId="58F9FE8E">
      <w:pPr>
        <w:ind w:firstLine="480" w:firstLineChars="200"/>
        <w:jc w:val="both"/>
        <w:rPr>
          <w:rFonts w:hint="eastAsia"/>
          <w:szCs w:val="24"/>
        </w:rPr>
      </w:pPr>
      <w:r>
        <w:rPr>
          <w:rFonts w:hint="eastAsia"/>
          <w:szCs w:val="24"/>
        </w:rPr>
        <w:t>（4）评审委员会基于专业判断，认为供应商报价过低，有可能影响产品质量或者不能诚信履约的其他情形。</w:t>
      </w:r>
    </w:p>
    <w:p w14:paraId="09A7719E">
      <w:pPr>
        <w:ind w:firstLine="480" w:firstLineChars="200"/>
        <w:jc w:val="both"/>
        <w:rPr>
          <w:rFonts w:hint="eastAsia"/>
          <w:szCs w:val="24"/>
        </w:rPr>
      </w:pPr>
      <w:r>
        <w:rPr>
          <w:rFonts w:hint="eastAsia"/>
          <w:szCs w:val="24"/>
        </w:rPr>
        <w:t>12.2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77BE80AE">
      <w:pPr>
        <w:ind w:firstLine="480" w:firstLineChars="200"/>
        <w:jc w:val="both"/>
        <w:rPr>
          <w:rFonts w:hint="eastAsia"/>
          <w:szCs w:val="24"/>
        </w:rPr>
      </w:pPr>
      <w:r>
        <w:rPr>
          <w:rFonts w:hint="eastAsia"/>
          <w:szCs w:val="24"/>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25B7B96">
      <w:pPr>
        <w:pStyle w:val="39"/>
        <w:jc w:val="both"/>
        <w:rPr>
          <w:rFonts w:hint="eastAsia" w:cs="宋体"/>
          <w:b/>
          <w:bCs/>
          <w:szCs w:val="24"/>
        </w:rPr>
      </w:pPr>
      <w:r>
        <w:rPr>
          <w:rFonts w:hint="eastAsia" w:cs="宋体"/>
          <w:b/>
          <w:bCs/>
          <w:szCs w:val="24"/>
        </w:rPr>
        <w:t>1</w:t>
      </w:r>
      <w:r>
        <w:rPr>
          <w:rFonts w:hint="eastAsia" w:cs="宋体"/>
          <w:b/>
          <w:bCs/>
          <w:szCs w:val="24"/>
          <w:lang w:val="en-US"/>
        </w:rPr>
        <w:t>3</w:t>
      </w:r>
      <w:r>
        <w:rPr>
          <w:rFonts w:hint="eastAsia" w:cs="宋体"/>
          <w:b/>
          <w:bCs/>
          <w:szCs w:val="24"/>
        </w:rPr>
        <w:t>.政府采购政策评审</w:t>
      </w:r>
    </w:p>
    <w:p w14:paraId="6AA10461">
      <w:pPr>
        <w:pStyle w:val="39"/>
        <w:ind w:firstLineChars="200"/>
        <w:jc w:val="both"/>
        <w:rPr>
          <w:rFonts w:hint="eastAsia"/>
        </w:rPr>
      </w:pPr>
      <w:r>
        <w:t>1</w:t>
      </w:r>
      <w:r>
        <w:rPr>
          <w:rFonts w:hint="eastAsia"/>
          <w:lang w:val="en-US"/>
        </w:rPr>
        <w:t>3</w:t>
      </w:r>
      <w:r>
        <w:t>.1非专门面向中小企业的采购项目或采购包，对符合规定的小微企业（</w:t>
      </w:r>
      <w:r>
        <w:rPr>
          <w:rFonts w:hint="eastAsia"/>
          <w:lang w:val="en-US"/>
        </w:rPr>
        <w:t>含</w:t>
      </w:r>
      <w:r>
        <w:t>监狱企业、残疾人福利性单位、联合体各方均为小微企业的联合体、符合小微企业划分标准的个体工商户视同小微企业）报价</w:t>
      </w:r>
      <w:r>
        <w:rPr>
          <w:rFonts w:hint="eastAsia"/>
        </w:rPr>
        <w:t>按照本招标文件“投标人须知前附表”中的规定</w:t>
      </w:r>
      <w:r>
        <w:t>扣除</w:t>
      </w:r>
      <w:r>
        <w:rPr>
          <w:rFonts w:hint="eastAsia"/>
        </w:rPr>
        <w:t>，对小微企业中的监狱企业、</w:t>
      </w:r>
      <w:r>
        <w:rPr>
          <w:rFonts w:hint="eastAsia" w:cs="宋体"/>
          <w:szCs w:val="24"/>
        </w:rPr>
        <w:t>残疾人福利性单位的报价按照本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须知前附表”中的规定扣除，用扣除后的价格</w:t>
      </w:r>
      <w:r>
        <w:rPr>
          <w:rFonts w:hint="eastAsia" w:cs="宋体"/>
          <w:szCs w:val="24"/>
          <w:lang w:val="en-US"/>
        </w:rPr>
        <w:t>参与</w:t>
      </w:r>
      <w:r>
        <w:rPr>
          <w:rFonts w:hint="eastAsia" w:cs="宋体"/>
          <w:szCs w:val="24"/>
        </w:rPr>
        <w:t>评审，采购产品纳入创新产品应用示范推荐目录内企业、采购产品获得节能产品或环境标志产品认证证书</w:t>
      </w:r>
      <w:r>
        <w:rPr>
          <w:rFonts w:hint="eastAsia" w:cs="宋体"/>
          <w:szCs w:val="24"/>
          <w:lang w:val="en-US"/>
        </w:rPr>
        <w:t>的投标人</w:t>
      </w:r>
      <w:r>
        <w:rPr>
          <w:rFonts w:hint="eastAsia" w:cs="宋体"/>
          <w:szCs w:val="24"/>
        </w:rPr>
        <w:t>按照本</w:t>
      </w:r>
      <w:r>
        <w:rPr>
          <w:rFonts w:hint="eastAsia" w:cs="宋体"/>
          <w:szCs w:val="24"/>
          <w:lang w:val="en-US"/>
        </w:rPr>
        <w:t>招标</w:t>
      </w:r>
      <w:r>
        <w:rPr>
          <w:rFonts w:hint="eastAsia" w:cs="宋体"/>
          <w:szCs w:val="24"/>
        </w:rPr>
        <w:t>文件“</w:t>
      </w:r>
      <w:r>
        <w:rPr>
          <w:rFonts w:hint="eastAsia" w:cs="宋体"/>
          <w:szCs w:val="24"/>
          <w:lang w:val="en-US"/>
        </w:rPr>
        <w:t>投标人</w:t>
      </w:r>
      <w:r>
        <w:rPr>
          <w:rFonts w:hint="eastAsia" w:cs="宋体"/>
          <w:szCs w:val="24"/>
        </w:rPr>
        <w:t>须知前附表”中的规定</w:t>
      </w:r>
      <w:r>
        <w:rPr>
          <w:rFonts w:hint="eastAsia" w:cs="宋体"/>
          <w:szCs w:val="24"/>
          <w:lang w:val="en-US"/>
        </w:rPr>
        <w:t>给予评审优惠</w:t>
      </w:r>
      <w:r>
        <w:rPr>
          <w:rFonts w:hint="eastAsia" w:cs="宋体"/>
          <w:szCs w:val="24"/>
        </w:rPr>
        <w:t>。</w:t>
      </w:r>
    </w:p>
    <w:p w14:paraId="3E31E3BE">
      <w:pPr>
        <w:pStyle w:val="39"/>
        <w:ind w:firstLineChars="200"/>
        <w:jc w:val="both"/>
        <w:rPr>
          <w:rFonts w:hint="eastAsia"/>
        </w:rPr>
      </w:pPr>
      <w:r>
        <w:rPr>
          <w:rFonts w:hint="eastAsia"/>
          <w:lang w:val="en-US"/>
        </w:rPr>
        <w:t>13.</w:t>
      </w:r>
      <w:r>
        <w:rPr>
          <w:rFonts w:hint="eastAsia"/>
        </w:rPr>
        <w:t>2</w:t>
      </w:r>
      <w:r>
        <w:t>参加政府采购活动的小微企业</w:t>
      </w:r>
      <w:r>
        <w:rPr>
          <w:rFonts w:hint="eastAsia"/>
        </w:rPr>
        <w:t>（含节能环保、创新产品企业）</w:t>
      </w:r>
      <w:r>
        <w:t>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lang w:val="en-US"/>
        </w:rPr>
        <w:t>若供应商同时属于小型或微型企业、监狱企业、残疾人福利性单位 中的两种及以上，将不重复享受小微企业价格扣减的优惠政策。</w:t>
      </w:r>
    </w:p>
    <w:p w14:paraId="1AFAB615">
      <w:pPr>
        <w:pStyle w:val="39"/>
        <w:ind w:firstLineChars="200"/>
        <w:jc w:val="both"/>
        <w:rPr>
          <w:rFonts w:hint="eastAsia"/>
          <w:lang w:val="en-US"/>
        </w:rPr>
      </w:pPr>
      <w:r>
        <w:rPr>
          <w:rFonts w:hint="eastAsia"/>
          <w:lang w:val="en-US"/>
        </w:rPr>
        <w:t>组成联合体或者接受分包的小微企业与联合体内其他企业、分包企业</w:t>
      </w:r>
      <w:r>
        <w:rPr>
          <w:lang w:val="en-US"/>
        </w:rPr>
        <w:t>之间存在直接控股、管理关系的，不享受价格扣除优惠政策。</w:t>
      </w:r>
    </w:p>
    <w:p w14:paraId="1F28171A">
      <w:pPr>
        <w:pStyle w:val="39"/>
        <w:ind w:firstLineChars="200"/>
        <w:jc w:val="both"/>
        <w:rPr>
          <w:rFonts w:hint="eastAsia"/>
        </w:rPr>
      </w:pPr>
      <w:r>
        <w:rPr>
          <w:lang w:val="en-US"/>
        </w:rPr>
        <w:t>价格扣除比例对小型企业和微型企业同等对待，不作区分。</w:t>
      </w:r>
    </w:p>
    <w:p w14:paraId="600B0142">
      <w:pPr>
        <w:pStyle w:val="39"/>
        <w:ind w:firstLineChars="200"/>
        <w:jc w:val="both"/>
        <w:rPr>
          <w:rFonts w:hint="eastAsia"/>
        </w:rPr>
      </w:pPr>
      <w:r>
        <w:rPr>
          <w:rFonts w:hint="eastAsia"/>
          <w:lang w:val="en-US"/>
        </w:rPr>
        <w:t>13.</w:t>
      </w:r>
      <w:r>
        <w:rPr>
          <w:rFonts w:hint="eastAsia"/>
        </w:rPr>
        <w:t>3</w:t>
      </w:r>
      <w:r>
        <w:t>专门面向中小企业、预留部分采购份额面向中小企业采购的项目或采购包，评审时不再进行价格扣除。</w:t>
      </w:r>
    </w:p>
    <w:p w14:paraId="213C1F63">
      <w:pPr>
        <w:pStyle w:val="39"/>
        <w:jc w:val="both"/>
        <w:rPr>
          <w:rFonts w:hint="eastAsia"/>
        </w:rPr>
      </w:pPr>
      <w:r>
        <w:rPr>
          <w:rFonts w:hint="eastAsia"/>
          <w:lang w:val="en-US"/>
        </w:rPr>
        <w:t>13.4</w:t>
      </w:r>
      <w:r>
        <w:rPr>
          <w:rFonts w:hint="eastAsia"/>
        </w:rPr>
        <w:t>对于未预留份额专门面向中小企业的政府采购项目，以及预留份额政府采购项目中的非预留部分标项，对小型和微型企业的投标报价给予10%-</w:t>
      </w:r>
      <w:r>
        <w:t>20</w:t>
      </w:r>
      <w:r>
        <w:rPr>
          <w:rFonts w:hint="eastAsia"/>
        </w:rPr>
        <w:t>%的扣除，用扣除后的价格参与评审。接受大中型企业与小微企业组成联合体或者允许大中型企业向一家或者多家小微企业分包的政府采购项目，对于联合</w:t>
      </w:r>
      <w:r>
        <w:rPr>
          <w:rFonts w:hint="eastAsia"/>
          <w:lang w:val="en-US"/>
        </w:rPr>
        <w:t>体</w:t>
      </w:r>
      <w:r>
        <w:rPr>
          <w:rFonts w:hint="eastAsia"/>
        </w:rPr>
        <w:t>协议</w:t>
      </w:r>
      <w:r>
        <w:rPr>
          <w:rFonts w:hint="eastAsia"/>
          <w:lang w:val="en-US"/>
        </w:rPr>
        <w:t>书</w:t>
      </w:r>
      <w:r>
        <w:rPr>
          <w:rFonts w:hint="eastAsia"/>
        </w:rPr>
        <w:t>或者分包意向协议</w:t>
      </w:r>
      <w:r>
        <w:rPr>
          <w:rFonts w:hint="eastAsia"/>
          <w:lang w:val="en-US"/>
        </w:rPr>
        <w:t>书</w:t>
      </w:r>
      <w:r>
        <w:rPr>
          <w:rFonts w:hint="eastAsia"/>
        </w:rPr>
        <w:t>约定小微企业的合同份额占到合同总金额30%以上的，对联合体或者大中型企业的报价给予4%-</w:t>
      </w:r>
      <w:r>
        <w:t>6</w:t>
      </w:r>
      <w:r>
        <w:rPr>
          <w:rFonts w:hint="eastAsia"/>
        </w:rPr>
        <w:t>%的扣除，用扣除后的价格参加评审。组成联合体或者接受分包的小微企业与联合体内其他企业、分包企业之间存在直接控股、管理关系的，不享受价格扣除优惠政策。</w:t>
      </w:r>
    </w:p>
    <w:p w14:paraId="1A8CEDB6">
      <w:pPr>
        <w:pStyle w:val="39"/>
        <w:jc w:val="both"/>
        <w:rPr>
          <w:rFonts w:hint="eastAsia" w:cs="宋体"/>
          <w:szCs w:val="24"/>
          <w:lang w:val="en-US"/>
        </w:rPr>
      </w:pPr>
      <w:r>
        <w:rPr>
          <w:rFonts w:hint="eastAsia" w:cs="宋体"/>
          <w:szCs w:val="24"/>
          <w:lang w:val="en-US"/>
        </w:rPr>
        <w:t>13.5供应商对其提供的产品出具《关于符合本国产品标准的声明函》（样式见附件1，以下简称《声明函》）或财政部会同有关部门规定的有关证明文件。出具符合要求的《声明函》或有关证明文件的，该产品视为本国产品。</w:t>
      </w:r>
    </w:p>
    <w:p w14:paraId="2B88234E">
      <w:pPr>
        <w:pStyle w:val="39"/>
        <w:jc w:val="both"/>
        <w:rPr>
          <w:rFonts w:hint="eastAsia" w:cs="宋体"/>
          <w:szCs w:val="24"/>
          <w:lang w:val="en-US"/>
        </w:rPr>
      </w:pPr>
      <w:r>
        <w:rPr>
          <w:rFonts w:hint="eastAsia" w:cs="宋体"/>
          <w:szCs w:val="24"/>
          <w:lang w:val="en-US"/>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20BF260E">
      <w:pPr>
        <w:pStyle w:val="39"/>
        <w:jc w:val="both"/>
        <w:rPr>
          <w:rFonts w:hint="eastAsia"/>
          <w:snapToGrid w:val="0"/>
          <w:lang w:val="en-US"/>
        </w:rPr>
      </w:pPr>
      <w:r>
        <w:rPr>
          <w:rFonts w:hint="eastAsia"/>
          <w:snapToGrid w:val="0"/>
          <w:lang w:val="en-US"/>
        </w:rPr>
        <w:t>13.6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60239BD5">
      <w:pPr>
        <w:pStyle w:val="39"/>
        <w:jc w:val="both"/>
        <w:rPr>
          <w:rFonts w:hint="eastAsia"/>
          <w:snapToGrid w:val="0"/>
          <w:lang w:val="en-US"/>
        </w:rPr>
      </w:pPr>
      <w:r>
        <w:rPr>
          <w:rFonts w:hint="eastAsia"/>
          <w:snapToGrid w:val="0"/>
          <w:lang w:val="en-US"/>
        </w:rPr>
        <w:t>13.7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511E35C9">
      <w:pPr>
        <w:pStyle w:val="39"/>
        <w:jc w:val="both"/>
        <w:rPr>
          <w:rFonts w:hint="eastAsia"/>
          <w:snapToGrid w:val="0"/>
          <w:lang w:val="en-US"/>
        </w:rPr>
      </w:pPr>
      <w:r>
        <w:rPr>
          <w:rFonts w:hint="eastAsia"/>
          <w:snapToGrid w:val="0"/>
          <w:lang w:val="en-US"/>
        </w:rPr>
        <w:t>13.8对于仅有本国产品参与竞争的政府采购项目，本国产品不享受价格扣除评审优惠。</w:t>
      </w:r>
    </w:p>
    <w:p w14:paraId="0F024015">
      <w:pPr>
        <w:pStyle w:val="39"/>
        <w:jc w:val="both"/>
        <w:rPr>
          <w:rFonts w:hint="eastAsia"/>
          <w:snapToGrid w:val="0"/>
          <w:lang w:val="en-US"/>
        </w:rPr>
      </w:pPr>
      <w:r>
        <w:rPr>
          <w:rFonts w:hint="eastAsia"/>
          <w:snapToGrid w:val="0"/>
          <w:lang w:val="en-US"/>
        </w:rPr>
        <w:t>13.9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646113DC">
      <w:pPr>
        <w:pStyle w:val="39"/>
        <w:jc w:val="both"/>
        <w:rPr>
          <w:rFonts w:hint="eastAsia"/>
          <w:snapToGrid w:val="0"/>
          <w:lang w:val="en-US"/>
        </w:rPr>
      </w:pPr>
      <w:r>
        <w:rPr>
          <w:rFonts w:hint="eastAsia"/>
          <w:snapToGrid w:val="0"/>
          <w:lang w:val="en-US"/>
        </w:rPr>
        <w:t>对医疗器械产品，提供取得药品监督管理部门授予的准字号医疗器械注册证的，视为符合本国产品标准，无须填写《声明函》，</w:t>
      </w:r>
      <w:r>
        <w:rPr>
          <w:rFonts w:hint="eastAsia" w:cs="宋体"/>
          <w:szCs w:val="24"/>
          <w:lang w:val="en-US"/>
        </w:rPr>
        <w:t>报价给予20%的价格扣除，用扣除后的价格参与评审。</w:t>
      </w:r>
    </w:p>
    <w:p w14:paraId="7B43BB88">
      <w:pPr>
        <w:pStyle w:val="39"/>
        <w:jc w:val="both"/>
        <w:rPr>
          <w:rFonts w:hint="eastAsia"/>
        </w:rPr>
      </w:pPr>
      <w:r>
        <w:rPr>
          <w:rFonts w:hint="eastAsia"/>
          <w:snapToGrid w:val="0"/>
          <w:lang w:val="en-US"/>
        </w:rPr>
        <w:t>13.10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707E3DB9">
      <w:pPr>
        <w:pStyle w:val="5"/>
        <w:spacing w:before="160" w:after="160" w:line="360" w:lineRule="auto"/>
        <w:ind w:left="420" w:hanging="420"/>
        <w:jc w:val="both"/>
        <w:rPr>
          <w:rFonts w:hint="eastAsia" w:cs="宋体"/>
          <w:sz w:val="24"/>
          <w:szCs w:val="24"/>
          <w:lang w:val="zh-CN"/>
        </w:rPr>
      </w:pPr>
      <w:bookmarkStart w:id="371" w:name="_Toc13511"/>
      <w:r>
        <w:rPr>
          <w:rFonts w:hint="eastAsia" w:cs="宋体"/>
          <w:sz w:val="24"/>
          <w:szCs w:val="24"/>
          <w:lang w:val="zh-CN"/>
        </w:rPr>
        <w:t>（</w:t>
      </w:r>
      <w:r>
        <w:rPr>
          <w:rFonts w:hint="eastAsia" w:cs="宋体"/>
          <w:sz w:val="24"/>
          <w:szCs w:val="24"/>
        </w:rPr>
        <w:t>五</w:t>
      </w:r>
      <w:r>
        <w:rPr>
          <w:rFonts w:hint="eastAsia" w:cs="宋体"/>
          <w:sz w:val="24"/>
          <w:szCs w:val="24"/>
          <w:lang w:val="zh-CN"/>
        </w:rPr>
        <w:t>）评标得分及复核</w:t>
      </w:r>
      <w:bookmarkEnd w:id="371"/>
    </w:p>
    <w:p w14:paraId="3612E302">
      <w:pPr>
        <w:pStyle w:val="39"/>
        <w:spacing w:line="460" w:lineRule="exact"/>
        <w:ind w:firstLine="482"/>
        <w:jc w:val="both"/>
        <w:rPr>
          <w:rFonts w:hint="eastAsia"/>
          <w:lang w:val="en-US"/>
        </w:rPr>
      </w:pPr>
      <w:r>
        <w:rPr>
          <w:rFonts w:hint="eastAsia"/>
          <w:lang w:val="en-US"/>
        </w:rPr>
        <w:t>14.评标过程中，各项分值一般精确到小数点后两位，评标得分应为商务评分、技术评分、报价评分之和。评标委员会各成员应汇总每个投标人的得分。</w:t>
      </w:r>
    </w:p>
    <w:p w14:paraId="0D9BA6DC">
      <w:pPr>
        <w:pStyle w:val="39"/>
        <w:spacing w:line="460" w:lineRule="exact"/>
        <w:ind w:firstLine="482"/>
        <w:jc w:val="both"/>
        <w:rPr>
          <w:rFonts w:hint="eastAsia"/>
          <w:lang w:val="en-US"/>
        </w:rPr>
      </w:pPr>
      <w:r>
        <w:rPr>
          <w:rFonts w:hint="eastAsia"/>
          <w:lang w:val="en-US"/>
        </w:rPr>
        <w:t>14.1.评标结果汇总完成后，采购代理机构应对评标结果进行复核。经复核发现存在以下情形之一的，</w:t>
      </w:r>
      <w:r>
        <w:rPr>
          <w:rFonts w:hint="eastAsia"/>
          <w:spacing w:val="-6"/>
          <w:lang w:val="en-US"/>
        </w:rPr>
        <w:t>评标委员会应当当场修改评标结果，并在评标报告中记载</w:t>
      </w:r>
      <w:r>
        <w:rPr>
          <w:rFonts w:hint="eastAsia"/>
          <w:lang w:val="en-US"/>
        </w:rPr>
        <w:t>：</w:t>
      </w:r>
    </w:p>
    <w:p w14:paraId="275D0550">
      <w:pPr>
        <w:pStyle w:val="39"/>
        <w:spacing w:line="460" w:lineRule="exact"/>
        <w:ind w:firstLine="482"/>
        <w:jc w:val="both"/>
        <w:rPr>
          <w:rFonts w:hint="eastAsia"/>
          <w:lang w:val="en-US"/>
        </w:rPr>
      </w:pPr>
      <w:r>
        <w:rPr>
          <w:rFonts w:hint="eastAsia" w:cs="宋体"/>
          <w:szCs w:val="24"/>
          <w:lang w:val="en-US"/>
        </w:rPr>
        <w:t>（1）</w:t>
      </w:r>
      <w:r>
        <w:rPr>
          <w:rFonts w:hint="eastAsia"/>
          <w:lang w:val="en-US"/>
        </w:rPr>
        <w:t>分值汇总计算错误的；</w:t>
      </w:r>
    </w:p>
    <w:p w14:paraId="36A19B2A">
      <w:pPr>
        <w:pStyle w:val="39"/>
        <w:spacing w:line="460" w:lineRule="exact"/>
        <w:ind w:firstLine="482"/>
        <w:jc w:val="both"/>
        <w:rPr>
          <w:rFonts w:hint="eastAsia"/>
          <w:lang w:val="en-US"/>
        </w:rPr>
      </w:pPr>
      <w:r>
        <w:rPr>
          <w:rFonts w:hint="eastAsia"/>
          <w:lang w:val="en-US"/>
        </w:rPr>
        <w:t>（2）分项评分超出评分标准范围的；</w:t>
      </w:r>
    </w:p>
    <w:p w14:paraId="70CA7093">
      <w:pPr>
        <w:pStyle w:val="39"/>
        <w:spacing w:line="460" w:lineRule="exact"/>
        <w:ind w:firstLine="482"/>
        <w:jc w:val="both"/>
        <w:rPr>
          <w:rFonts w:hint="eastAsia"/>
          <w:lang w:val="en-US"/>
        </w:rPr>
      </w:pPr>
      <w:r>
        <w:rPr>
          <w:rFonts w:hint="eastAsia"/>
          <w:lang w:val="en-US"/>
        </w:rPr>
        <w:t>（3）评标委员会成员对客观评审因素评分不一致的；</w:t>
      </w:r>
    </w:p>
    <w:p w14:paraId="214D9AD6">
      <w:pPr>
        <w:pStyle w:val="39"/>
        <w:spacing w:line="460" w:lineRule="exact"/>
        <w:ind w:firstLine="482"/>
        <w:jc w:val="both"/>
        <w:rPr>
          <w:rFonts w:hint="eastAsia"/>
          <w:lang w:val="en-US"/>
        </w:rPr>
      </w:pPr>
      <w:r>
        <w:rPr>
          <w:rFonts w:hint="eastAsia"/>
          <w:lang w:val="en-US"/>
        </w:rPr>
        <w:t>（4）经评标委员会认定评分畸高、畸低的。</w:t>
      </w:r>
    </w:p>
    <w:p w14:paraId="3939B8B8">
      <w:pPr>
        <w:pStyle w:val="39"/>
        <w:spacing w:line="460" w:lineRule="exact"/>
        <w:ind w:firstLine="482"/>
        <w:jc w:val="both"/>
        <w:rPr>
          <w:rFonts w:hint="eastAsia"/>
          <w:lang w:val="en-US"/>
        </w:rPr>
      </w:pPr>
      <w:r>
        <w:rPr>
          <w:rFonts w:hint="eastAsia"/>
          <w:lang w:val="en-US"/>
        </w:rPr>
        <w:t>15.各投标人的最终得分为评标委员会所有成员对各投标人评标得分汇总后的算术平均值。</w:t>
      </w:r>
    </w:p>
    <w:p w14:paraId="76702E6D">
      <w:pPr>
        <w:pStyle w:val="39"/>
        <w:spacing w:line="460" w:lineRule="exact"/>
        <w:ind w:firstLine="482"/>
        <w:jc w:val="both"/>
        <w:rPr>
          <w:rFonts w:hint="eastAsia"/>
          <w:lang w:val="en-US"/>
        </w:rPr>
      </w:pPr>
      <w:r>
        <w:rPr>
          <w:rFonts w:hint="eastAsia"/>
          <w:lang w:val="en-US"/>
        </w:rPr>
        <w:t>15.1除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48B205A8">
      <w:pPr>
        <w:pStyle w:val="39"/>
        <w:spacing w:line="460" w:lineRule="exact"/>
        <w:ind w:firstLine="482"/>
        <w:jc w:val="both"/>
        <w:rPr>
          <w:rFonts w:hint="eastAsia"/>
          <w:lang w:val="en-US"/>
        </w:rPr>
      </w:pPr>
      <w:r>
        <w:rPr>
          <w:rFonts w:hint="eastAsia"/>
          <w:lang w:val="en-US"/>
        </w:rPr>
        <w:t>15.2采购人或者采购代理机构不得通过对样品进行检测、对投标人进行考察等方式改变评审结果。</w:t>
      </w:r>
    </w:p>
    <w:p w14:paraId="708FD3D2">
      <w:pPr>
        <w:pStyle w:val="5"/>
        <w:spacing w:before="160" w:after="160" w:line="360" w:lineRule="auto"/>
        <w:ind w:left="420" w:hanging="420"/>
        <w:jc w:val="both"/>
        <w:rPr>
          <w:rFonts w:hint="eastAsia" w:cs="宋体"/>
          <w:sz w:val="24"/>
          <w:szCs w:val="24"/>
          <w:lang w:val="zh-CN"/>
        </w:rPr>
      </w:pPr>
      <w:bookmarkStart w:id="372" w:name="_Toc17225"/>
      <w:r>
        <w:rPr>
          <w:rFonts w:hint="eastAsia" w:cs="宋体"/>
          <w:sz w:val="24"/>
          <w:szCs w:val="24"/>
          <w:lang w:val="zh-CN"/>
        </w:rPr>
        <w:t>（</w:t>
      </w:r>
      <w:r>
        <w:rPr>
          <w:rFonts w:hint="eastAsia" w:cs="宋体"/>
          <w:sz w:val="24"/>
          <w:szCs w:val="24"/>
        </w:rPr>
        <w:t>六</w:t>
      </w:r>
      <w:r>
        <w:rPr>
          <w:rFonts w:hint="eastAsia" w:cs="宋体"/>
          <w:sz w:val="24"/>
          <w:szCs w:val="24"/>
          <w:lang w:val="zh-CN"/>
        </w:rPr>
        <w:t>）排序与推荐</w:t>
      </w:r>
      <w:bookmarkEnd w:id="372"/>
    </w:p>
    <w:p w14:paraId="58BE1EAA">
      <w:pPr>
        <w:pStyle w:val="39"/>
        <w:jc w:val="both"/>
        <w:rPr>
          <w:rFonts w:hint="eastAsia"/>
        </w:rPr>
      </w:pPr>
      <w:r>
        <w:rPr>
          <w:rFonts w:hint="eastAsia"/>
          <w:lang w:val="en-US"/>
        </w:rPr>
        <w:t>16.</w:t>
      </w:r>
      <w:r>
        <w:rPr>
          <w:rFonts w:hint="eastAsia"/>
        </w:rPr>
        <w:t>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w:t>
      </w:r>
      <w:r>
        <w:rPr>
          <w:rFonts w:hint="eastAsia"/>
          <w:lang w:val="en-US"/>
        </w:rPr>
        <w:t>按</w:t>
      </w:r>
      <w:r>
        <w:rPr>
          <w:rFonts w:hint="eastAsia"/>
        </w:rPr>
        <w:t>技术指标</w:t>
      </w:r>
      <w:r>
        <w:rPr>
          <w:rFonts w:hint="eastAsia"/>
          <w:lang w:val="en-US"/>
        </w:rPr>
        <w:t>优劣顺序排列</w:t>
      </w:r>
      <w:r>
        <w:rPr>
          <w:rFonts w:hint="eastAsia"/>
        </w:rPr>
        <w:t>。</w:t>
      </w:r>
    </w:p>
    <w:p w14:paraId="10AB57DF">
      <w:pPr>
        <w:pStyle w:val="39"/>
        <w:jc w:val="both"/>
        <w:rPr>
          <w:rFonts w:hint="eastAsia"/>
        </w:rPr>
      </w:pPr>
      <w:r>
        <w:rPr>
          <w:rFonts w:hint="eastAsia"/>
          <w:lang w:val="en-US"/>
        </w:rPr>
        <w:t>17.</w:t>
      </w:r>
      <w:r>
        <w:rPr>
          <w:rFonts w:hint="eastAsia"/>
        </w:rPr>
        <w:t>中标候选人</w:t>
      </w:r>
      <w:r>
        <w:rPr>
          <w:rFonts w:hint="eastAsia"/>
          <w:lang w:val="en-US"/>
        </w:rPr>
        <w:t>推荐家数详</w:t>
      </w:r>
      <w:r>
        <w:rPr>
          <w:rFonts w:hint="eastAsia"/>
        </w:rPr>
        <w:t>见“</w:t>
      </w:r>
      <w:r>
        <w:rPr>
          <w:rFonts w:hint="eastAsia"/>
          <w:lang w:val="en-US"/>
        </w:rPr>
        <w:t>投标人须知</w:t>
      </w:r>
      <w:r>
        <w:rPr>
          <w:rFonts w:hint="eastAsia"/>
        </w:rPr>
        <w:t>前附表”。</w:t>
      </w:r>
    </w:p>
    <w:p w14:paraId="1856C002">
      <w:pPr>
        <w:pStyle w:val="5"/>
        <w:spacing w:before="160" w:after="160" w:line="360" w:lineRule="auto"/>
        <w:ind w:left="420" w:hanging="420"/>
        <w:jc w:val="both"/>
        <w:rPr>
          <w:rFonts w:hint="eastAsia" w:cs="宋体"/>
          <w:sz w:val="24"/>
          <w:szCs w:val="24"/>
          <w:lang w:val="zh-CN"/>
        </w:rPr>
      </w:pPr>
      <w:bookmarkStart w:id="373" w:name="_Toc21574"/>
      <w:r>
        <w:rPr>
          <w:rFonts w:hint="eastAsia" w:cs="宋体"/>
          <w:sz w:val="24"/>
          <w:szCs w:val="24"/>
          <w:lang w:val="zh-CN"/>
        </w:rPr>
        <w:t>（</w:t>
      </w:r>
      <w:r>
        <w:rPr>
          <w:rFonts w:hint="eastAsia" w:cs="宋体"/>
          <w:sz w:val="24"/>
          <w:szCs w:val="24"/>
        </w:rPr>
        <w:t>七</w:t>
      </w:r>
      <w:r>
        <w:rPr>
          <w:rFonts w:hint="eastAsia" w:cs="宋体"/>
          <w:sz w:val="24"/>
          <w:szCs w:val="24"/>
          <w:lang w:val="zh-CN"/>
        </w:rPr>
        <w:t>）编写评标报告</w:t>
      </w:r>
      <w:bookmarkEnd w:id="373"/>
    </w:p>
    <w:p w14:paraId="5310D6D4">
      <w:pPr>
        <w:pStyle w:val="39"/>
        <w:jc w:val="both"/>
        <w:rPr>
          <w:rFonts w:hint="eastAsia"/>
        </w:rPr>
      </w:pPr>
      <w:r>
        <w:rPr>
          <w:rFonts w:hint="eastAsia"/>
          <w:lang w:val="en-US"/>
        </w:rPr>
        <w:t>18.</w:t>
      </w:r>
      <w:r>
        <w:rPr>
          <w:rFonts w:hint="eastAsia"/>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480E7582">
      <w:pPr>
        <w:pStyle w:val="5"/>
        <w:spacing w:before="160" w:after="160" w:line="360" w:lineRule="auto"/>
        <w:ind w:left="420" w:hanging="420"/>
        <w:jc w:val="both"/>
        <w:rPr>
          <w:rFonts w:hint="eastAsia" w:cs="宋体"/>
          <w:sz w:val="24"/>
          <w:szCs w:val="24"/>
          <w:lang w:val="zh-CN"/>
        </w:rPr>
      </w:pPr>
      <w:bookmarkStart w:id="374" w:name="_Toc102057717"/>
      <w:bookmarkStart w:id="375" w:name="_Toc102116021"/>
      <w:bookmarkStart w:id="376" w:name="_Toc155185913"/>
      <w:bookmarkStart w:id="377" w:name="_Toc1587"/>
      <w:bookmarkStart w:id="378" w:name="_Toc102116151"/>
      <w:bookmarkStart w:id="379" w:name="_Toc102114919"/>
      <w:bookmarkStart w:id="380" w:name="_Toc102056217"/>
      <w:bookmarkStart w:id="381" w:name="_Toc163492906"/>
      <w:bookmarkStart w:id="382" w:name="_Toc102119852"/>
      <w:r>
        <w:rPr>
          <w:rFonts w:hint="eastAsia" w:cs="宋体"/>
          <w:sz w:val="24"/>
          <w:szCs w:val="24"/>
          <w:lang w:val="zh-CN"/>
        </w:rPr>
        <w:t>（</w:t>
      </w:r>
      <w:r>
        <w:rPr>
          <w:rFonts w:hint="eastAsia" w:cs="宋体"/>
          <w:sz w:val="24"/>
          <w:szCs w:val="24"/>
        </w:rPr>
        <w:t>八</w:t>
      </w:r>
      <w:r>
        <w:rPr>
          <w:rFonts w:hint="eastAsia" w:cs="宋体"/>
          <w:sz w:val="24"/>
          <w:szCs w:val="24"/>
          <w:lang w:val="zh-CN"/>
        </w:rPr>
        <w:t>）</w:t>
      </w:r>
      <w:r>
        <w:rPr>
          <w:rFonts w:hint="eastAsia" w:cs="宋体"/>
          <w:sz w:val="24"/>
          <w:szCs w:val="24"/>
        </w:rPr>
        <w:t>投标无效及</w:t>
      </w:r>
      <w:r>
        <w:rPr>
          <w:rFonts w:hint="eastAsia" w:cs="宋体"/>
          <w:sz w:val="24"/>
          <w:szCs w:val="24"/>
          <w:lang w:val="zh-CN"/>
        </w:rPr>
        <w:t>应予废标的情形</w:t>
      </w:r>
      <w:bookmarkEnd w:id="374"/>
      <w:bookmarkEnd w:id="375"/>
      <w:bookmarkEnd w:id="376"/>
      <w:bookmarkEnd w:id="377"/>
      <w:bookmarkEnd w:id="378"/>
      <w:bookmarkEnd w:id="379"/>
      <w:bookmarkEnd w:id="380"/>
      <w:bookmarkEnd w:id="381"/>
      <w:bookmarkEnd w:id="382"/>
    </w:p>
    <w:p w14:paraId="6DBEC4AE">
      <w:pPr>
        <w:pStyle w:val="39"/>
        <w:spacing w:line="460" w:lineRule="exact"/>
        <w:ind w:firstLine="482"/>
        <w:jc w:val="both"/>
        <w:rPr>
          <w:rFonts w:hint="eastAsia"/>
          <w:lang w:val="en-US"/>
        </w:rPr>
      </w:pPr>
      <w:r>
        <w:rPr>
          <w:rFonts w:hint="eastAsia"/>
          <w:lang w:val="en-US"/>
        </w:rPr>
        <w:t>19.投标人存在下列情形之一的，</w:t>
      </w:r>
      <w:r>
        <w:rPr>
          <w:rFonts w:hint="eastAsia"/>
          <w:b/>
          <w:bCs/>
          <w:lang w:val="en-US"/>
        </w:rPr>
        <w:t>投标无效</w:t>
      </w:r>
      <w:r>
        <w:rPr>
          <w:rFonts w:hint="eastAsia"/>
          <w:lang w:val="en-US"/>
        </w:rPr>
        <w:t>：</w:t>
      </w:r>
    </w:p>
    <w:p w14:paraId="4A8C39DA">
      <w:pPr>
        <w:pStyle w:val="39"/>
        <w:spacing w:line="460" w:lineRule="exact"/>
        <w:ind w:firstLine="482"/>
        <w:jc w:val="both"/>
        <w:rPr>
          <w:rFonts w:hint="eastAsia"/>
        </w:rPr>
      </w:pPr>
      <w:r>
        <w:rPr>
          <w:rFonts w:hint="eastAsia"/>
          <w:lang w:val="en-US"/>
        </w:rPr>
        <w:t>19.</w:t>
      </w:r>
      <w:r>
        <w:rPr>
          <w:rFonts w:hint="eastAsia"/>
        </w:rPr>
        <w:t>1</w:t>
      </w:r>
      <w:r>
        <w:rPr>
          <w:rFonts w:hint="eastAsia"/>
          <w:lang w:val="en-US"/>
        </w:rPr>
        <w:t>投标人</w:t>
      </w:r>
      <w:r>
        <w:rPr>
          <w:rFonts w:hint="eastAsia"/>
        </w:rPr>
        <w:t>不具备《中华人民共和国政府采购法》第二十二条规定条件</w:t>
      </w:r>
      <w:r>
        <w:rPr>
          <w:rFonts w:hint="eastAsia"/>
          <w:lang w:val="en-US"/>
        </w:rPr>
        <w:t>；</w:t>
      </w:r>
    </w:p>
    <w:p w14:paraId="009436BE">
      <w:pPr>
        <w:pStyle w:val="39"/>
        <w:spacing w:line="460" w:lineRule="exact"/>
        <w:ind w:firstLine="482"/>
        <w:jc w:val="both"/>
        <w:rPr>
          <w:rFonts w:hint="eastAsia"/>
          <w:lang w:val="en-US"/>
        </w:rPr>
      </w:pPr>
      <w:r>
        <w:rPr>
          <w:rFonts w:hint="eastAsia"/>
          <w:lang w:val="en-US"/>
        </w:rPr>
        <w:t>19.</w:t>
      </w:r>
      <w:r>
        <w:rPr>
          <w:rFonts w:hint="eastAsia"/>
        </w:rPr>
        <w:t>2投标文件未按招标文件要求签署、盖章的</w:t>
      </w:r>
      <w:r>
        <w:rPr>
          <w:rFonts w:hint="eastAsia"/>
          <w:lang w:val="en-US"/>
        </w:rPr>
        <w:t>；</w:t>
      </w:r>
    </w:p>
    <w:p w14:paraId="5104C2A2">
      <w:pPr>
        <w:pStyle w:val="39"/>
        <w:spacing w:line="460" w:lineRule="exact"/>
        <w:ind w:firstLine="482"/>
        <w:jc w:val="both"/>
        <w:rPr>
          <w:rFonts w:hint="eastAsia"/>
          <w:lang w:val="en-US"/>
        </w:rPr>
      </w:pPr>
      <w:r>
        <w:rPr>
          <w:rFonts w:hint="eastAsia"/>
          <w:lang w:val="en-US"/>
        </w:rPr>
        <w:t>19.</w:t>
      </w:r>
      <w:r>
        <w:rPr>
          <w:rFonts w:hint="eastAsia"/>
        </w:rPr>
        <w:t>3</w:t>
      </w:r>
      <w:r>
        <w:rPr>
          <w:rFonts w:hint="eastAsia"/>
          <w:lang w:val="en-US"/>
        </w:rPr>
        <w:t>不具备招标文件中规定的资格要求的（投标人未提供有效资格文件的，视为投标人不具备招标文件中规定的资格要求）；</w:t>
      </w:r>
    </w:p>
    <w:p w14:paraId="3EAB8FC1">
      <w:pPr>
        <w:pStyle w:val="39"/>
        <w:spacing w:line="460" w:lineRule="exact"/>
        <w:ind w:firstLine="482"/>
        <w:jc w:val="both"/>
        <w:rPr>
          <w:rFonts w:hint="eastAsia"/>
        </w:rPr>
      </w:pPr>
      <w:r>
        <w:rPr>
          <w:rFonts w:hint="eastAsia"/>
          <w:lang w:val="en-US"/>
        </w:rPr>
        <w:t>19.</w:t>
      </w:r>
      <w:r>
        <w:rPr>
          <w:rFonts w:hint="eastAsia"/>
        </w:rPr>
        <w:t>4</w:t>
      </w:r>
      <w:r>
        <w:rPr>
          <w:rFonts w:hint="eastAsia"/>
          <w:lang w:val="en-US"/>
        </w:rPr>
        <w:t>投标</w:t>
      </w:r>
      <w:r>
        <w:rPr>
          <w:rFonts w:hint="eastAsia"/>
        </w:rPr>
        <w:t>文件提供虚假材料的</w:t>
      </w:r>
      <w:r>
        <w:rPr>
          <w:rFonts w:hint="eastAsia"/>
          <w:lang w:val="en-US"/>
        </w:rPr>
        <w:t>；</w:t>
      </w:r>
    </w:p>
    <w:p w14:paraId="56B6A851">
      <w:pPr>
        <w:pStyle w:val="39"/>
        <w:spacing w:line="460" w:lineRule="exact"/>
        <w:ind w:firstLine="482"/>
        <w:jc w:val="both"/>
        <w:rPr>
          <w:rFonts w:hint="eastAsia"/>
        </w:rPr>
      </w:pPr>
      <w:r>
        <w:rPr>
          <w:rFonts w:hint="eastAsia"/>
          <w:lang w:val="en-US"/>
        </w:rPr>
        <w:t>19.</w:t>
      </w:r>
      <w:r>
        <w:rPr>
          <w:rFonts w:hint="eastAsia"/>
        </w:rPr>
        <w:t>5</w:t>
      </w:r>
      <w:r>
        <w:rPr>
          <w:rFonts w:hint="eastAsia"/>
          <w:lang w:val="en-US"/>
        </w:rPr>
        <w:t>投标</w:t>
      </w:r>
      <w:r>
        <w:rPr>
          <w:rFonts w:hint="eastAsia"/>
        </w:rPr>
        <w:t>文件不满足</w:t>
      </w:r>
      <w:r>
        <w:rPr>
          <w:rFonts w:hint="eastAsia"/>
          <w:lang w:val="en-US"/>
        </w:rPr>
        <w:t>招标</w:t>
      </w:r>
      <w:r>
        <w:rPr>
          <w:rFonts w:hint="eastAsia"/>
        </w:rPr>
        <w:t>文件中标注“★”号的实质性条款（或指标）要求的</w:t>
      </w:r>
      <w:r>
        <w:rPr>
          <w:rFonts w:hint="eastAsia"/>
          <w:lang w:val="en-US"/>
        </w:rPr>
        <w:t>；</w:t>
      </w:r>
    </w:p>
    <w:p w14:paraId="38641706">
      <w:pPr>
        <w:pStyle w:val="39"/>
        <w:spacing w:line="460" w:lineRule="exact"/>
        <w:ind w:firstLine="482"/>
        <w:jc w:val="both"/>
        <w:rPr>
          <w:rFonts w:hint="eastAsia"/>
          <w:lang w:val="en-US"/>
        </w:rPr>
      </w:pPr>
      <w:r>
        <w:rPr>
          <w:rFonts w:hint="eastAsia"/>
          <w:lang w:val="en-US"/>
        </w:rPr>
        <w:t>19.</w:t>
      </w:r>
      <w:r>
        <w:rPr>
          <w:rFonts w:hint="eastAsia"/>
        </w:rPr>
        <w:t>6</w:t>
      </w:r>
      <w:r>
        <w:rPr>
          <w:rFonts w:hint="eastAsia"/>
          <w:lang w:val="en-US"/>
        </w:rPr>
        <w:t>投标人</w:t>
      </w:r>
      <w:r>
        <w:rPr>
          <w:rFonts w:hint="eastAsia"/>
        </w:rPr>
        <w:t>报价超过招标文件中规定的</w:t>
      </w:r>
      <w:r>
        <w:rPr>
          <w:rFonts w:hint="eastAsia"/>
          <w:lang w:val="en-US"/>
        </w:rPr>
        <w:t>最高限价或者预算金额</w:t>
      </w:r>
      <w:r>
        <w:rPr>
          <w:rFonts w:hint="eastAsia"/>
        </w:rPr>
        <w:t>的</w:t>
      </w:r>
      <w:r>
        <w:rPr>
          <w:rFonts w:hint="eastAsia"/>
          <w:lang w:val="en-US"/>
        </w:rPr>
        <w:t>；</w:t>
      </w:r>
    </w:p>
    <w:p w14:paraId="72D414B9">
      <w:pPr>
        <w:pStyle w:val="39"/>
        <w:spacing w:line="460" w:lineRule="exact"/>
        <w:ind w:firstLine="482"/>
        <w:jc w:val="both"/>
        <w:rPr>
          <w:rFonts w:hint="eastAsia"/>
        </w:rPr>
      </w:pPr>
      <w:r>
        <w:rPr>
          <w:rFonts w:hint="eastAsia"/>
          <w:lang w:val="en-US"/>
        </w:rPr>
        <w:t>19.</w:t>
      </w:r>
      <w:r>
        <w:rPr>
          <w:rFonts w:hint="eastAsia"/>
        </w:rPr>
        <w:t>7联合体的供应商未提交各方共同签署的</w:t>
      </w:r>
      <w:r>
        <w:rPr>
          <w:rFonts w:hint="eastAsia"/>
          <w:lang w:val="en-US"/>
        </w:rPr>
        <w:t>联合体</w:t>
      </w:r>
      <w:r>
        <w:rPr>
          <w:rFonts w:hint="eastAsia"/>
        </w:rPr>
        <w:t>协议</w:t>
      </w:r>
      <w:r>
        <w:rPr>
          <w:rFonts w:hint="eastAsia"/>
          <w:lang w:val="en-US"/>
        </w:rPr>
        <w:t>的；</w:t>
      </w:r>
    </w:p>
    <w:p w14:paraId="4D2BEB5A">
      <w:pPr>
        <w:pStyle w:val="39"/>
        <w:spacing w:line="460" w:lineRule="exact"/>
        <w:ind w:firstLine="482"/>
        <w:jc w:val="both"/>
        <w:rPr>
          <w:rFonts w:hint="eastAsia"/>
        </w:rPr>
      </w:pPr>
      <w:r>
        <w:rPr>
          <w:rFonts w:hint="eastAsia"/>
          <w:lang w:val="en-US"/>
        </w:rPr>
        <w:t>19.</w:t>
      </w:r>
      <w:r>
        <w:rPr>
          <w:rFonts w:hint="eastAsia"/>
        </w:rPr>
        <w:t>8</w:t>
      </w:r>
      <w:r>
        <w:rPr>
          <w:rFonts w:hint="eastAsia"/>
          <w:lang w:val="en-US"/>
        </w:rPr>
        <w:t>投标人</w:t>
      </w:r>
      <w:r>
        <w:rPr>
          <w:rFonts w:hint="eastAsia"/>
        </w:rPr>
        <w:t>未按</w:t>
      </w:r>
      <w:r>
        <w:rPr>
          <w:rFonts w:hint="eastAsia"/>
          <w:lang w:val="en-US"/>
        </w:rPr>
        <w:t>招标</w:t>
      </w:r>
      <w:r>
        <w:rPr>
          <w:rFonts w:hint="eastAsia"/>
        </w:rPr>
        <w:t>文件</w:t>
      </w:r>
      <w:r>
        <w:rPr>
          <w:rFonts w:hint="eastAsia"/>
          <w:lang w:val="en-US"/>
        </w:rPr>
        <w:t>的规定</w:t>
      </w:r>
      <w:r>
        <w:rPr>
          <w:rFonts w:hint="eastAsia"/>
        </w:rPr>
        <w:t>交纳投标保证金</w:t>
      </w:r>
      <w:r>
        <w:rPr>
          <w:rFonts w:hint="eastAsia"/>
          <w:lang w:val="en-US"/>
        </w:rPr>
        <w:t>的；</w:t>
      </w:r>
    </w:p>
    <w:p w14:paraId="28F0B623">
      <w:pPr>
        <w:pStyle w:val="39"/>
        <w:spacing w:line="460" w:lineRule="exact"/>
        <w:ind w:firstLine="482"/>
        <w:jc w:val="both"/>
        <w:rPr>
          <w:rFonts w:hint="eastAsia"/>
        </w:rPr>
      </w:pPr>
      <w:r>
        <w:rPr>
          <w:rFonts w:hint="eastAsia"/>
          <w:lang w:val="en-US"/>
        </w:rPr>
        <w:t>19.</w:t>
      </w:r>
      <w:r>
        <w:rPr>
          <w:rFonts w:hint="eastAsia"/>
        </w:rPr>
        <w:t>9评审期间,</w:t>
      </w:r>
      <w:r>
        <w:rPr>
          <w:rFonts w:hint="eastAsia"/>
          <w:lang w:val="en-US"/>
        </w:rPr>
        <w:t>投标人</w:t>
      </w:r>
      <w:r>
        <w:rPr>
          <w:rFonts w:hint="eastAsia"/>
        </w:rPr>
        <w:t>没有按评标委员会的要求提交经授权代表签字的澄清、说明、补正或改变了</w:t>
      </w:r>
      <w:r>
        <w:rPr>
          <w:rFonts w:hint="eastAsia"/>
          <w:lang w:val="en-US"/>
        </w:rPr>
        <w:t>投标</w:t>
      </w:r>
      <w:r>
        <w:rPr>
          <w:rFonts w:hint="eastAsia"/>
        </w:rPr>
        <w:t>文件的实质性内容</w:t>
      </w:r>
      <w:r>
        <w:rPr>
          <w:rFonts w:hint="eastAsia"/>
          <w:lang w:val="en-US"/>
        </w:rPr>
        <w:t>的；</w:t>
      </w:r>
    </w:p>
    <w:p w14:paraId="35881968">
      <w:pPr>
        <w:pStyle w:val="39"/>
        <w:spacing w:line="460" w:lineRule="exact"/>
        <w:ind w:firstLine="482"/>
        <w:jc w:val="both"/>
        <w:rPr>
          <w:rFonts w:hint="eastAsia"/>
          <w:lang w:val="en-US"/>
        </w:rPr>
      </w:pPr>
      <w:r>
        <w:rPr>
          <w:rFonts w:hint="eastAsia"/>
          <w:lang w:val="en-US"/>
        </w:rPr>
        <w:t>19.</w:t>
      </w:r>
      <w:r>
        <w:rPr>
          <w:rFonts w:hint="eastAsia"/>
        </w:rPr>
        <w:t>10</w:t>
      </w:r>
      <w:r>
        <w:rPr>
          <w:rFonts w:hint="eastAsia"/>
          <w:lang w:val="en-US"/>
        </w:rPr>
        <w:t>投标人</w:t>
      </w:r>
      <w:r>
        <w:rPr>
          <w:rFonts w:hint="eastAsia"/>
        </w:rPr>
        <w:t>对采购人、采购代理机构、评标委员会及其工作人员施加影响,有碍公平、公正</w:t>
      </w:r>
      <w:r>
        <w:rPr>
          <w:rFonts w:hint="eastAsia"/>
          <w:lang w:val="en-US"/>
        </w:rPr>
        <w:t>的；</w:t>
      </w:r>
    </w:p>
    <w:p w14:paraId="41438991">
      <w:pPr>
        <w:pStyle w:val="39"/>
        <w:spacing w:line="460" w:lineRule="exact"/>
        <w:ind w:firstLine="482"/>
        <w:jc w:val="both"/>
        <w:rPr>
          <w:rFonts w:hint="eastAsia"/>
          <w:lang w:val="en-US"/>
        </w:rPr>
      </w:pPr>
      <w:r>
        <w:rPr>
          <w:rFonts w:hint="eastAsia"/>
          <w:lang w:val="en-US"/>
        </w:rPr>
        <w:t>19.11投标文件含有采购人不能接受的附加条件的；</w:t>
      </w:r>
    </w:p>
    <w:p w14:paraId="570150E6">
      <w:pPr>
        <w:pStyle w:val="39"/>
        <w:spacing w:line="460" w:lineRule="exact"/>
        <w:ind w:firstLine="482"/>
        <w:jc w:val="both"/>
        <w:rPr>
          <w:rFonts w:hint="eastAsia"/>
          <w:lang w:val="en-US"/>
        </w:rPr>
      </w:pPr>
      <w:r>
        <w:rPr>
          <w:rFonts w:hint="eastAsia"/>
          <w:lang w:val="en-US"/>
        </w:rPr>
        <w:t>19.</w:t>
      </w:r>
      <w:r>
        <w:rPr>
          <w:rFonts w:hint="eastAsia"/>
        </w:rPr>
        <w:t>1</w:t>
      </w:r>
      <w:r>
        <w:rPr>
          <w:rFonts w:hint="eastAsia"/>
          <w:lang w:val="en-US"/>
        </w:rPr>
        <w:t>2</w:t>
      </w:r>
      <w:r>
        <w:rPr>
          <w:rFonts w:hint="eastAsia"/>
        </w:rPr>
        <w:t>法律、法规、规章规定属于</w:t>
      </w:r>
      <w:r>
        <w:rPr>
          <w:rFonts w:hint="eastAsia"/>
          <w:lang w:val="en-US"/>
        </w:rPr>
        <w:t>投标</w:t>
      </w:r>
      <w:r>
        <w:rPr>
          <w:rFonts w:hint="eastAsia"/>
        </w:rPr>
        <w:t>无效的其他情形。</w:t>
      </w:r>
    </w:p>
    <w:p w14:paraId="68895D7F">
      <w:pPr>
        <w:pStyle w:val="39"/>
        <w:spacing w:line="460" w:lineRule="exact"/>
        <w:ind w:firstLine="482"/>
        <w:jc w:val="both"/>
        <w:rPr>
          <w:rFonts w:hint="eastAsia"/>
          <w:lang w:val="en-US"/>
        </w:rPr>
      </w:pPr>
      <w:r>
        <w:rPr>
          <w:rFonts w:hint="eastAsia"/>
          <w:lang w:val="en-US"/>
        </w:rPr>
        <w:t>20.有下列情形之一的，视为投标人串通投标，其</w:t>
      </w:r>
      <w:r>
        <w:rPr>
          <w:rFonts w:hint="eastAsia"/>
          <w:b/>
          <w:bCs/>
          <w:lang w:val="en-US"/>
        </w:rPr>
        <w:t>投标无效</w:t>
      </w:r>
      <w:r>
        <w:rPr>
          <w:rFonts w:hint="eastAsia"/>
          <w:lang w:val="en-US"/>
        </w:rPr>
        <w:t>：</w:t>
      </w:r>
    </w:p>
    <w:p w14:paraId="78D4B816">
      <w:pPr>
        <w:pStyle w:val="39"/>
        <w:spacing w:line="460" w:lineRule="exact"/>
        <w:ind w:firstLine="482"/>
        <w:jc w:val="both"/>
        <w:rPr>
          <w:rFonts w:hint="eastAsia"/>
          <w:lang w:val="en-US"/>
        </w:rPr>
      </w:pPr>
      <w:r>
        <w:rPr>
          <w:rFonts w:hint="eastAsia"/>
          <w:lang w:val="en-US"/>
        </w:rPr>
        <w:t>20.1不同投标人的投标文件由同一单位或者个人编制；</w:t>
      </w:r>
    </w:p>
    <w:p w14:paraId="13A713DD">
      <w:pPr>
        <w:pStyle w:val="39"/>
        <w:spacing w:line="460" w:lineRule="exact"/>
        <w:ind w:firstLine="482"/>
        <w:jc w:val="both"/>
        <w:rPr>
          <w:rFonts w:hint="eastAsia"/>
          <w:lang w:val="en-US"/>
        </w:rPr>
      </w:pPr>
      <w:r>
        <w:rPr>
          <w:rFonts w:hint="eastAsia"/>
          <w:lang w:val="en-US"/>
        </w:rPr>
        <w:t>20.2不同投标人委托同一单位或者个人办理投标事宜；</w:t>
      </w:r>
    </w:p>
    <w:p w14:paraId="0BB1C01B">
      <w:pPr>
        <w:pStyle w:val="39"/>
        <w:spacing w:line="460" w:lineRule="exact"/>
        <w:ind w:firstLine="482"/>
        <w:jc w:val="both"/>
        <w:rPr>
          <w:rFonts w:hint="eastAsia"/>
          <w:lang w:val="en-US"/>
        </w:rPr>
      </w:pPr>
      <w:r>
        <w:rPr>
          <w:rFonts w:hint="eastAsia"/>
          <w:lang w:val="en-US"/>
        </w:rPr>
        <w:t>20.3不同投标人的投标文件载明的项目管理成员或者联系人员为同一人；</w:t>
      </w:r>
    </w:p>
    <w:p w14:paraId="3D2395D7">
      <w:pPr>
        <w:pStyle w:val="39"/>
        <w:spacing w:line="460" w:lineRule="exact"/>
        <w:ind w:firstLine="482"/>
        <w:jc w:val="both"/>
        <w:rPr>
          <w:rFonts w:hint="eastAsia"/>
          <w:lang w:val="en-US"/>
        </w:rPr>
      </w:pPr>
      <w:r>
        <w:rPr>
          <w:rFonts w:hint="eastAsia"/>
          <w:lang w:val="en-US"/>
        </w:rPr>
        <w:t>20.4不同投标人的投标文件异常一致或者投标报价呈规律性差异；</w:t>
      </w:r>
    </w:p>
    <w:p w14:paraId="19381E44">
      <w:pPr>
        <w:pStyle w:val="39"/>
        <w:spacing w:line="460" w:lineRule="exact"/>
        <w:ind w:firstLine="482"/>
        <w:jc w:val="both"/>
        <w:rPr>
          <w:rFonts w:hint="eastAsia"/>
          <w:lang w:val="en-US"/>
        </w:rPr>
      </w:pPr>
      <w:r>
        <w:rPr>
          <w:rFonts w:hint="eastAsia"/>
          <w:lang w:val="en-US"/>
        </w:rPr>
        <w:t>20.5不同投标人的投标文件相互混装；</w:t>
      </w:r>
    </w:p>
    <w:p w14:paraId="18EDE348">
      <w:pPr>
        <w:pStyle w:val="39"/>
        <w:spacing w:line="460" w:lineRule="exact"/>
        <w:ind w:firstLine="482"/>
        <w:jc w:val="both"/>
        <w:rPr>
          <w:rFonts w:hint="eastAsia"/>
          <w:lang w:val="en-US"/>
        </w:rPr>
      </w:pPr>
      <w:r>
        <w:rPr>
          <w:rFonts w:hint="eastAsia"/>
          <w:lang w:val="en-US"/>
        </w:rPr>
        <w:t>20.6不同投标人的投标保证金从同一单位或者个人的账户转出；</w:t>
      </w:r>
    </w:p>
    <w:p w14:paraId="79350D0E">
      <w:pPr>
        <w:pStyle w:val="39"/>
        <w:spacing w:line="460" w:lineRule="exact"/>
        <w:ind w:firstLine="482"/>
        <w:jc w:val="both"/>
        <w:rPr>
          <w:rFonts w:hint="eastAsia"/>
          <w:lang w:val="en-US"/>
        </w:rPr>
      </w:pPr>
      <w:r>
        <w:rPr>
          <w:rFonts w:hint="eastAsia"/>
          <w:lang w:val="en-US"/>
        </w:rPr>
        <w:t>20.7</w:t>
      </w:r>
      <w:r>
        <w:rPr>
          <w:rFonts w:hint="eastAsia"/>
        </w:rPr>
        <w:t>不同投标人使用同一电脑（机器特征值一致：如MAC地址等）或使用同一电子密钥，编制或上传电子投标文件</w:t>
      </w:r>
      <w:r>
        <w:rPr>
          <w:rFonts w:hint="eastAsia"/>
          <w:lang w:val="en-US"/>
        </w:rPr>
        <w:t>；</w:t>
      </w:r>
    </w:p>
    <w:p w14:paraId="0342D25E">
      <w:pPr>
        <w:pStyle w:val="39"/>
        <w:spacing w:line="460" w:lineRule="exact"/>
        <w:ind w:firstLine="482"/>
        <w:jc w:val="both"/>
        <w:rPr>
          <w:rFonts w:hint="eastAsia"/>
          <w:lang w:val="en-US"/>
        </w:rPr>
      </w:pPr>
      <w:r>
        <w:rPr>
          <w:rFonts w:hint="eastAsia"/>
          <w:lang w:val="en-US"/>
        </w:rPr>
        <w:t>20.8法律、法规、规章规定属于投标人串通投标的其他情形</w:t>
      </w:r>
      <w:r>
        <w:rPr>
          <w:rFonts w:hint="eastAsia"/>
        </w:rPr>
        <w:t>。</w:t>
      </w:r>
    </w:p>
    <w:p w14:paraId="358D126D">
      <w:pPr>
        <w:pStyle w:val="39"/>
        <w:spacing w:line="460" w:lineRule="exact"/>
        <w:ind w:firstLine="482"/>
        <w:jc w:val="both"/>
        <w:rPr>
          <w:rFonts w:hint="eastAsia"/>
        </w:rPr>
      </w:pPr>
      <w:r>
        <w:rPr>
          <w:rFonts w:hint="eastAsia"/>
          <w:lang w:val="en-US"/>
        </w:rPr>
        <w:t>21</w:t>
      </w:r>
      <w:r>
        <w:t>.</w:t>
      </w:r>
      <w:r>
        <w:rPr>
          <w:rFonts w:hint="eastAsia"/>
        </w:rPr>
        <w:t>根据《中华人民共和国政府采购法》第三十六条之规定，在招标采购过程中，出现下列情形之一的，应予</w:t>
      </w:r>
      <w:r>
        <w:rPr>
          <w:rFonts w:hint="eastAsia"/>
          <w:b/>
          <w:bCs/>
        </w:rPr>
        <w:t>废标</w:t>
      </w:r>
      <w:r>
        <w:rPr>
          <w:rFonts w:hint="eastAsia"/>
        </w:rPr>
        <w:t>：</w:t>
      </w:r>
    </w:p>
    <w:p w14:paraId="0008B4DF">
      <w:pPr>
        <w:pStyle w:val="39"/>
        <w:spacing w:line="460" w:lineRule="exact"/>
        <w:ind w:firstLine="482"/>
        <w:jc w:val="both"/>
        <w:rPr>
          <w:rFonts w:hint="eastAsia"/>
        </w:rPr>
      </w:pPr>
      <w:r>
        <w:rPr>
          <w:rFonts w:hint="eastAsia"/>
          <w:lang w:val="en-US"/>
        </w:rPr>
        <w:t>21</w:t>
      </w:r>
      <w:r>
        <w:t>.1</w:t>
      </w:r>
      <w:r>
        <w:rPr>
          <w:rFonts w:hint="eastAsia"/>
          <w:spacing w:val="-6"/>
        </w:rPr>
        <w:t>符合专业条件的供应商或者对招标文件作实质响应的供应商不足3家的；</w:t>
      </w:r>
    </w:p>
    <w:p w14:paraId="690F8E40">
      <w:pPr>
        <w:pStyle w:val="39"/>
        <w:spacing w:line="460" w:lineRule="exact"/>
        <w:ind w:firstLine="482"/>
        <w:jc w:val="both"/>
        <w:rPr>
          <w:rFonts w:hint="eastAsia"/>
        </w:rPr>
      </w:pPr>
      <w:r>
        <w:rPr>
          <w:rFonts w:hint="eastAsia"/>
          <w:lang w:val="en-US"/>
        </w:rPr>
        <w:t>21</w:t>
      </w:r>
      <w:r>
        <w:t>.2</w:t>
      </w:r>
      <w:r>
        <w:rPr>
          <w:rFonts w:hint="eastAsia"/>
        </w:rPr>
        <w:t>出现影响采购公正的违法、违规行为的；</w:t>
      </w:r>
    </w:p>
    <w:p w14:paraId="14D112C8">
      <w:pPr>
        <w:pStyle w:val="39"/>
        <w:spacing w:line="460" w:lineRule="exact"/>
        <w:ind w:firstLine="482"/>
        <w:jc w:val="both"/>
        <w:rPr>
          <w:rFonts w:hint="eastAsia"/>
        </w:rPr>
      </w:pPr>
      <w:r>
        <w:rPr>
          <w:rFonts w:hint="eastAsia"/>
          <w:lang w:val="en-US"/>
        </w:rPr>
        <w:t>21</w:t>
      </w:r>
      <w:r>
        <w:t>.3</w:t>
      </w:r>
      <w:r>
        <w:rPr>
          <w:rFonts w:hint="eastAsia"/>
        </w:rPr>
        <w:t>投标人的报价均超过了采购预算，采购人不能支付的；</w:t>
      </w:r>
    </w:p>
    <w:p w14:paraId="33CA487E">
      <w:pPr>
        <w:pStyle w:val="39"/>
        <w:spacing w:line="460" w:lineRule="exact"/>
        <w:ind w:firstLine="482"/>
        <w:jc w:val="both"/>
        <w:rPr>
          <w:rFonts w:hint="eastAsia"/>
          <w:lang w:val="en-US"/>
        </w:rPr>
      </w:pPr>
      <w:r>
        <w:rPr>
          <w:rFonts w:hint="eastAsia"/>
          <w:lang w:val="en-US"/>
        </w:rPr>
        <w:t>21</w:t>
      </w:r>
      <w:r>
        <w:t>.4</w:t>
      </w:r>
      <w:r>
        <w:rPr>
          <w:rFonts w:hint="eastAsia"/>
        </w:rPr>
        <w:t>因重大变故，采购任务取消的</w:t>
      </w:r>
      <w:r>
        <w:rPr>
          <w:rFonts w:hint="eastAsia"/>
          <w:lang w:val="en-US"/>
        </w:rPr>
        <w:t>；</w:t>
      </w:r>
    </w:p>
    <w:p w14:paraId="724BC856">
      <w:pPr>
        <w:pStyle w:val="39"/>
        <w:spacing w:line="460" w:lineRule="exact"/>
        <w:ind w:firstLine="482"/>
        <w:jc w:val="both"/>
        <w:rPr>
          <w:rFonts w:hint="eastAsia"/>
        </w:rPr>
      </w:pPr>
      <w:r>
        <w:rPr>
          <w:rFonts w:hint="eastAsia"/>
          <w:lang w:val="en-US"/>
        </w:rPr>
        <w:t>21.5</w:t>
      </w:r>
      <w:r>
        <w:rPr>
          <w:rFonts w:hint="eastAsia"/>
        </w:rPr>
        <w:t>法律、法规、规章规定属于</w:t>
      </w:r>
      <w:r>
        <w:rPr>
          <w:rFonts w:hint="eastAsia"/>
          <w:lang w:val="en-US"/>
        </w:rPr>
        <w:t>废标</w:t>
      </w:r>
      <w:r>
        <w:rPr>
          <w:rFonts w:hint="eastAsia"/>
        </w:rPr>
        <w:t>的其他情形。</w:t>
      </w:r>
    </w:p>
    <w:p w14:paraId="60517EC8">
      <w:pPr>
        <w:pStyle w:val="39"/>
        <w:spacing w:line="460" w:lineRule="exact"/>
        <w:ind w:firstLine="482"/>
        <w:jc w:val="both"/>
        <w:rPr>
          <w:rFonts w:hint="eastAsia"/>
        </w:rPr>
      </w:pPr>
      <w:r>
        <w:rPr>
          <w:rFonts w:hint="eastAsia"/>
          <w:lang w:val="en-US"/>
        </w:rPr>
        <w:t>22.</w:t>
      </w:r>
      <w:r>
        <w:rPr>
          <w:rFonts w:hint="eastAsia"/>
        </w:rPr>
        <w:t>废标后，采购人应当将废标理由通知所有投标人。</w:t>
      </w:r>
    </w:p>
    <w:p w14:paraId="31799C18">
      <w:pPr>
        <w:pStyle w:val="5"/>
        <w:spacing w:before="160" w:after="160" w:line="360" w:lineRule="auto"/>
        <w:ind w:left="420" w:hanging="420"/>
        <w:jc w:val="both"/>
        <w:rPr>
          <w:rFonts w:hint="eastAsia" w:cs="宋体"/>
          <w:sz w:val="24"/>
          <w:szCs w:val="24"/>
          <w:lang w:val="zh-CN"/>
        </w:rPr>
      </w:pPr>
      <w:bookmarkStart w:id="383" w:name="_Toc102057718"/>
      <w:bookmarkStart w:id="384" w:name="_Toc102114920"/>
      <w:bookmarkStart w:id="385" w:name="_Toc155185914"/>
      <w:bookmarkStart w:id="386" w:name="_Toc102119853"/>
      <w:bookmarkStart w:id="387" w:name="_Toc163492907"/>
      <w:bookmarkStart w:id="388" w:name="_Toc102116022"/>
      <w:bookmarkStart w:id="389" w:name="_Toc102056218"/>
      <w:bookmarkStart w:id="390" w:name="_Toc102116152"/>
      <w:bookmarkStart w:id="391" w:name="_Toc12911"/>
      <w:r>
        <w:rPr>
          <w:rFonts w:hint="eastAsia" w:cs="宋体"/>
          <w:sz w:val="24"/>
          <w:szCs w:val="24"/>
          <w:lang w:val="zh-CN"/>
        </w:rPr>
        <w:t>（</w:t>
      </w:r>
      <w:r>
        <w:rPr>
          <w:rFonts w:hint="eastAsia" w:cs="宋体"/>
          <w:sz w:val="24"/>
          <w:szCs w:val="24"/>
        </w:rPr>
        <w:t>九</w:t>
      </w:r>
      <w:r>
        <w:rPr>
          <w:rFonts w:hint="eastAsia" w:cs="宋体"/>
          <w:sz w:val="24"/>
          <w:szCs w:val="24"/>
          <w:lang w:val="zh-CN"/>
        </w:rPr>
        <w:t>）停止评标的情形</w:t>
      </w:r>
      <w:bookmarkEnd w:id="383"/>
      <w:bookmarkEnd w:id="384"/>
      <w:bookmarkEnd w:id="385"/>
      <w:bookmarkEnd w:id="386"/>
      <w:bookmarkEnd w:id="387"/>
      <w:bookmarkEnd w:id="388"/>
      <w:bookmarkEnd w:id="389"/>
      <w:bookmarkEnd w:id="390"/>
      <w:bookmarkEnd w:id="391"/>
    </w:p>
    <w:p w14:paraId="21660B9A">
      <w:pPr>
        <w:pStyle w:val="39"/>
        <w:jc w:val="both"/>
        <w:rPr>
          <w:rFonts w:hint="eastAsia"/>
        </w:rPr>
      </w:pPr>
      <w:r>
        <w:rPr>
          <w:rFonts w:hint="eastAsia"/>
          <w:lang w:val="en-US"/>
        </w:rPr>
        <w:t>23</w:t>
      </w:r>
      <w:r>
        <w:t>.</w:t>
      </w:r>
      <w:r>
        <w:rPr>
          <w:rFonts w:hint="eastAsia"/>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62D7E657">
      <w:pPr>
        <w:pStyle w:val="5"/>
        <w:spacing w:before="160" w:after="160" w:line="360" w:lineRule="auto"/>
        <w:ind w:left="420" w:hanging="420"/>
        <w:jc w:val="both"/>
        <w:rPr>
          <w:rFonts w:hint="eastAsia" w:cs="宋体"/>
          <w:sz w:val="24"/>
          <w:szCs w:val="24"/>
          <w:lang w:val="zh-CN"/>
        </w:rPr>
      </w:pPr>
      <w:bookmarkStart w:id="392" w:name="_Toc21922"/>
      <w:r>
        <w:rPr>
          <w:rFonts w:hint="eastAsia" w:cs="宋体"/>
          <w:sz w:val="24"/>
          <w:szCs w:val="24"/>
          <w:lang w:val="zh-CN"/>
        </w:rPr>
        <w:t>（</w:t>
      </w:r>
      <w:r>
        <w:rPr>
          <w:rFonts w:hint="eastAsia" w:cs="宋体"/>
          <w:sz w:val="24"/>
          <w:szCs w:val="24"/>
        </w:rPr>
        <w:t>十</w:t>
      </w:r>
      <w:r>
        <w:rPr>
          <w:rFonts w:hint="eastAsia" w:cs="宋体"/>
          <w:sz w:val="24"/>
          <w:szCs w:val="24"/>
          <w:lang w:val="zh-CN"/>
        </w:rPr>
        <w:t>）重新开展采购</w:t>
      </w:r>
      <w:bookmarkEnd w:id="392"/>
    </w:p>
    <w:p w14:paraId="0FAC77D1">
      <w:pPr>
        <w:pStyle w:val="39"/>
        <w:spacing w:line="460" w:lineRule="exact"/>
        <w:ind w:firstLine="482"/>
        <w:jc w:val="both"/>
        <w:rPr>
          <w:rFonts w:hint="eastAsia"/>
        </w:rPr>
      </w:pPr>
      <w:r>
        <w:rPr>
          <w:rFonts w:hint="eastAsia"/>
          <w:lang w:val="en-US"/>
        </w:rPr>
        <w:t>24.</w:t>
      </w:r>
      <w:r>
        <w:rPr>
          <w:rFonts w:hint="eastAsia"/>
        </w:rPr>
        <w:t>有《中华人民共和国政府采购法》第七十一条、第七十二条规定的违法行为之一，影响或者可能影响中标结果的，依照下列规定处理：</w:t>
      </w:r>
    </w:p>
    <w:p w14:paraId="667D4917">
      <w:pPr>
        <w:pStyle w:val="39"/>
        <w:spacing w:line="460" w:lineRule="exact"/>
        <w:ind w:firstLine="482"/>
        <w:jc w:val="both"/>
        <w:rPr>
          <w:rFonts w:hint="eastAsia"/>
        </w:rPr>
      </w:pPr>
      <w:r>
        <w:rPr>
          <w:rFonts w:hint="eastAsia"/>
          <w:lang w:val="en-US"/>
        </w:rPr>
        <w:t>24</w:t>
      </w:r>
      <w:r>
        <w:rPr>
          <w:rFonts w:hint="eastAsia"/>
        </w:rPr>
        <w:t>.1</w:t>
      </w:r>
      <w:r>
        <w:rPr>
          <w:rFonts w:hint="eastAsia"/>
          <w:spacing w:val="-6"/>
        </w:rPr>
        <w:t>未确定中标供应商的，终止本次政府采购活动，重新开展政府采购活动。</w:t>
      </w:r>
    </w:p>
    <w:p w14:paraId="6F69F216">
      <w:pPr>
        <w:pStyle w:val="39"/>
        <w:spacing w:line="460" w:lineRule="exact"/>
        <w:ind w:firstLine="482"/>
        <w:jc w:val="both"/>
        <w:rPr>
          <w:rFonts w:hint="eastAsia"/>
        </w:rPr>
      </w:pPr>
      <w:r>
        <w:rPr>
          <w:rFonts w:hint="eastAsia"/>
          <w:lang w:val="en-US"/>
        </w:rPr>
        <w:t>24</w:t>
      </w:r>
      <w:r>
        <w:rPr>
          <w:rFonts w:hint="eastAsia"/>
        </w:rPr>
        <w:t>.2已确定中标供应商但尚未签订政府采购合同的，中标结果无效，从合格的中标候选人中另行确定中标供应商；没有合格的中标候选人的，重新开展政府采购活动。</w:t>
      </w:r>
    </w:p>
    <w:p w14:paraId="4E792410">
      <w:pPr>
        <w:pStyle w:val="39"/>
        <w:spacing w:line="460" w:lineRule="exact"/>
        <w:ind w:firstLine="482"/>
        <w:jc w:val="both"/>
        <w:rPr>
          <w:rFonts w:hint="eastAsia"/>
        </w:rPr>
      </w:pPr>
      <w:r>
        <w:rPr>
          <w:rFonts w:hint="eastAsia"/>
          <w:lang w:val="en-US"/>
        </w:rPr>
        <w:t>24</w:t>
      </w:r>
      <w:r>
        <w:rPr>
          <w:rFonts w:hint="eastAsia"/>
        </w:rPr>
        <w:t>.3政府采购合同已签订但尚未履行的，撤销合同，从合格的中标候选人中另行确定中标供应商；没有合格的中标候选人的，重新开展政府采购活动。</w:t>
      </w:r>
    </w:p>
    <w:p w14:paraId="18694D36">
      <w:pPr>
        <w:pStyle w:val="39"/>
        <w:spacing w:line="460" w:lineRule="exact"/>
        <w:ind w:firstLine="482"/>
        <w:jc w:val="both"/>
        <w:rPr>
          <w:rFonts w:hint="eastAsia"/>
        </w:rPr>
      </w:pPr>
      <w:r>
        <w:rPr>
          <w:rFonts w:hint="eastAsia"/>
          <w:lang w:val="en-US"/>
        </w:rPr>
        <w:t>24</w:t>
      </w:r>
      <w:r>
        <w:rPr>
          <w:rFonts w:hint="eastAsia"/>
        </w:rPr>
        <w:t>.4政府采购合同已经履行，给采购人、供应商造成损失的，由责任人承担赔偿责任。</w:t>
      </w:r>
    </w:p>
    <w:p w14:paraId="1AC3CA77">
      <w:pPr>
        <w:pStyle w:val="39"/>
        <w:spacing w:line="460" w:lineRule="exact"/>
        <w:ind w:firstLine="482"/>
        <w:jc w:val="both"/>
        <w:rPr>
          <w:rFonts w:hint="eastAsia"/>
        </w:rPr>
      </w:pPr>
      <w:r>
        <w:rPr>
          <w:rFonts w:hint="eastAsia"/>
          <w:lang w:val="en-US"/>
        </w:rPr>
        <w:t>24</w:t>
      </w:r>
      <w:r>
        <w:rPr>
          <w:rFonts w:hint="eastAsia"/>
        </w:rPr>
        <w:t>.5政府采购当事人有其他违反</w:t>
      </w:r>
      <w:r>
        <w:rPr>
          <w:rFonts w:hint="eastAsia"/>
          <w:spacing w:val="-6"/>
        </w:rPr>
        <w:t>《中华人民共和国政府采购法》或者《中华人民共和国政府采购法实施条例》</w:t>
      </w:r>
      <w:r>
        <w:rPr>
          <w:rFonts w:hint="eastAsia"/>
        </w:rPr>
        <w:t>等法律法规规定的行为，经改正后仍然影响或者可能影响中标结果或者依法被认定为中标无效的，依照</w:t>
      </w:r>
      <w:r>
        <w:rPr>
          <w:rFonts w:hint="eastAsia"/>
          <w:lang w:val="en-US"/>
        </w:rPr>
        <w:t>24</w:t>
      </w:r>
      <w:r>
        <w:rPr>
          <w:rFonts w:hint="eastAsia"/>
        </w:rPr>
        <w:t>.1—</w:t>
      </w:r>
      <w:r>
        <w:rPr>
          <w:rFonts w:hint="eastAsia"/>
          <w:lang w:val="en-US"/>
        </w:rPr>
        <w:t>24</w:t>
      </w:r>
      <w:r>
        <w:rPr>
          <w:rFonts w:hint="eastAsia"/>
        </w:rPr>
        <w:t>.4规定处理。</w:t>
      </w:r>
    </w:p>
    <w:bookmarkEnd w:id="347"/>
    <w:bookmarkEnd w:id="348"/>
    <w:bookmarkEnd w:id="349"/>
    <w:bookmarkEnd w:id="350"/>
    <w:bookmarkEnd w:id="351"/>
    <w:bookmarkEnd w:id="352"/>
    <w:bookmarkEnd w:id="353"/>
    <w:bookmarkEnd w:id="354"/>
    <w:bookmarkEnd w:id="355"/>
    <w:bookmarkEnd w:id="356"/>
    <w:p w14:paraId="643AF365">
      <w:pPr>
        <w:pStyle w:val="4"/>
        <w:spacing w:before="160" w:after="160" w:line="360" w:lineRule="auto"/>
        <w:ind w:left="420" w:hanging="420"/>
        <w:jc w:val="both"/>
        <w:rPr>
          <w:rFonts w:hint="eastAsia" w:ascii="宋体" w:hAnsi="宋体" w:cs="宋体"/>
          <w:sz w:val="28"/>
          <w:szCs w:val="28"/>
        </w:rPr>
      </w:pPr>
      <w:bookmarkStart w:id="393" w:name="_Toc27267"/>
      <w:bookmarkStart w:id="394" w:name="_Toc5253"/>
      <w:r>
        <w:rPr>
          <w:rFonts w:hint="eastAsia" w:ascii="宋体" w:hAnsi="宋体" w:cs="宋体"/>
          <w:sz w:val="28"/>
          <w:szCs w:val="28"/>
          <w:lang w:val="zh-CN"/>
        </w:rPr>
        <w:t>三、评标</w:t>
      </w:r>
      <w:r>
        <w:rPr>
          <w:rFonts w:hint="eastAsia" w:ascii="宋体" w:hAnsi="宋体" w:cs="宋体"/>
          <w:sz w:val="28"/>
          <w:szCs w:val="28"/>
        </w:rPr>
        <w:t>其他要求</w:t>
      </w:r>
      <w:bookmarkEnd w:id="393"/>
      <w:bookmarkEnd w:id="394"/>
    </w:p>
    <w:p w14:paraId="4498646D">
      <w:pPr>
        <w:pStyle w:val="39"/>
        <w:jc w:val="both"/>
        <w:rPr>
          <w:rFonts w:hint="eastAsia"/>
        </w:rPr>
      </w:pPr>
      <w:r>
        <w:rPr>
          <w:rFonts w:hint="eastAsia"/>
        </w:rPr>
        <w:t>【</w:t>
      </w:r>
      <w:r>
        <w:rPr>
          <w:rFonts w:hint="eastAsia"/>
          <w:lang w:val="en-US"/>
        </w:rPr>
        <w:t>可根据项目的情况增加上述内容中未包含的要求</w:t>
      </w:r>
      <w:r>
        <w:rPr>
          <w:rFonts w:hint="eastAsia"/>
        </w:rPr>
        <w:t>】</w:t>
      </w:r>
    </w:p>
    <w:p w14:paraId="2551714E">
      <w:pPr>
        <w:pStyle w:val="4"/>
        <w:spacing w:before="160" w:after="160" w:line="360" w:lineRule="auto"/>
        <w:ind w:left="420" w:hanging="420"/>
        <w:jc w:val="both"/>
        <w:rPr>
          <w:rFonts w:hint="eastAsia" w:ascii="宋体" w:hAnsi="宋体" w:cs="宋体"/>
          <w:sz w:val="28"/>
          <w:szCs w:val="28"/>
          <w:lang w:val="zh-CN"/>
        </w:rPr>
      </w:pPr>
      <w:bookmarkStart w:id="395" w:name="_Toc17549"/>
      <w:bookmarkStart w:id="396" w:name="_Toc3559"/>
      <w:r>
        <w:rPr>
          <w:rFonts w:hint="eastAsia" w:ascii="宋体" w:hAnsi="宋体" w:cs="宋体"/>
          <w:sz w:val="28"/>
          <w:szCs w:val="28"/>
        </w:rPr>
        <w:t>四</w:t>
      </w:r>
      <w:r>
        <w:rPr>
          <w:rFonts w:hint="eastAsia" w:ascii="宋体" w:hAnsi="宋体" w:cs="宋体"/>
          <w:sz w:val="28"/>
          <w:szCs w:val="28"/>
          <w:lang w:val="zh-CN"/>
        </w:rPr>
        <w:t>、评标标准</w:t>
      </w:r>
      <w:bookmarkEnd w:id="395"/>
      <w:bookmarkEnd w:id="396"/>
    </w:p>
    <w:p w14:paraId="407490A8">
      <w:pPr>
        <w:pStyle w:val="5"/>
        <w:spacing w:before="60" w:after="60" w:line="360" w:lineRule="auto"/>
        <w:ind w:left="420" w:hanging="420"/>
        <w:jc w:val="both"/>
        <w:rPr>
          <w:rFonts w:hint="eastAsia" w:cs="宋体"/>
          <w:sz w:val="24"/>
          <w:szCs w:val="24"/>
          <w:lang w:val="zh-CN"/>
        </w:rPr>
      </w:pPr>
      <w:bookmarkStart w:id="397" w:name="_Toc163492909"/>
      <w:bookmarkStart w:id="398" w:name="_Toc9559"/>
      <w:r>
        <w:rPr>
          <w:rFonts w:hint="eastAsia" w:cs="宋体"/>
          <w:sz w:val="24"/>
          <w:szCs w:val="24"/>
          <w:lang w:val="zh-CN"/>
        </w:rPr>
        <w:t>（一）符合性审查表</w:t>
      </w:r>
      <w:bookmarkEnd w:id="397"/>
      <w:bookmarkEnd w:id="398"/>
    </w:p>
    <w:tbl>
      <w:tblPr>
        <w:tblStyle w:val="31"/>
        <w:tblW w:w="542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1"/>
        <w:gridCol w:w="1697"/>
        <w:gridCol w:w="5198"/>
        <w:gridCol w:w="756"/>
        <w:gridCol w:w="1089"/>
      </w:tblGrid>
      <w:tr w14:paraId="3B2638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1" w:type="pct"/>
            <w:vMerge w:val="restart"/>
            <w:shd w:val="clear" w:color="auto" w:fill="D8D8D8" w:themeFill="background1" w:themeFillShade="D9"/>
            <w:vAlign w:val="center"/>
          </w:tcPr>
          <w:p w14:paraId="52DE5645">
            <w:pPr>
              <w:pStyle w:val="51"/>
              <w:spacing w:line="360" w:lineRule="auto"/>
              <w:jc w:val="center"/>
              <w:rPr>
                <w:rFonts w:ascii="Times New Roman" w:hAnsi="Times New Roman" w:cs="Times New Roman"/>
                <w:b/>
                <w:bCs/>
                <w:sz w:val="21"/>
                <w:szCs w:val="21"/>
                <w:lang w:val="zh-CN"/>
              </w:rPr>
            </w:pPr>
            <w:bookmarkStart w:id="399" w:name="_Toc163492910"/>
            <w:bookmarkStart w:id="400" w:name="_Toc155185917"/>
            <w:r>
              <w:rPr>
                <w:rFonts w:ascii="Times New Roman" w:hAnsi="Times New Roman" w:cs="Times New Roman"/>
                <w:b/>
                <w:bCs/>
                <w:sz w:val="21"/>
                <w:szCs w:val="21"/>
                <w:lang w:val="zh-CN"/>
              </w:rPr>
              <w:t>序号</w:t>
            </w:r>
          </w:p>
        </w:tc>
        <w:tc>
          <w:tcPr>
            <w:tcW w:w="918" w:type="pct"/>
            <w:vMerge w:val="restart"/>
            <w:shd w:val="clear" w:color="auto" w:fill="D8D8D8" w:themeFill="background1" w:themeFillShade="D9"/>
            <w:vAlign w:val="center"/>
          </w:tcPr>
          <w:p w14:paraId="36A07BB8">
            <w:pPr>
              <w:pStyle w:val="51"/>
              <w:spacing w:line="360" w:lineRule="auto"/>
              <w:jc w:val="center"/>
              <w:rPr>
                <w:rFonts w:ascii="Times New Roman" w:hAnsi="Times New Roman" w:cs="Times New Roman"/>
                <w:b/>
                <w:bCs/>
                <w:sz w:val="21"/>
                <w:szCs w:val="21"/>
                <w:lang w:val="zh-CN"/>
              </w:rPr>
            </w:pPr>
            <w:r>
              <w:rPr>
                <w:rFonts w:ascii="Times New Roman" w:hAnsi="Times New Roman" w:cs="Times New Roman"/>
                <w:b/>
                <w:bCs/>
                <w:sz w:val="21"/>
                <w:szCs w:val="21"/>
                <w:lang w:val="zh-CN"/>
              </w:rPr>
              <w:t>审查项名称</w:t>
            </w:r>
          </w:p>
        </w:tc>
        <w:tc>
          <w:tcPr>
            <w:tcW w:w="2811" w:type="pct"/>
            <w:vMerge w:val="restart"/>
            <w:shd w:val="clear" w:color="auto" w:fill="D8D8D8" w:themeFill="background1" w:themeFillShade="D9"/>
            <w:vAlign w:val="center"/>
          </w:tcPr>
          <w:p w14:paraId="45B715D7">
            <w:pPr>
              <w:pStyle w:val="51"/>
              <w:spacing w:line="360" w:lineRule="auto"/>
              <w:jc w:val="center"/>
              <w:rPr>
                <w:rFonts w:ascii="Times New Roman" w:hAnsi="Times New Roman" w:cs="Times New Roman"/>
                <w:b/>
                <w:bCs/>
                <w:sz w:val="21"/>
                <w:szCs w:val="21"/>
                <w:lang w:val="zh-CN"/>
              </w:rPr>
            </w:pPr>
            <w:r>
              <w:rPr>
                <w:rFonts w:ascii="Times New Roman" w:hAnsi="Times New Roman" w:cs="Times New Roman"/>
                <w:b/>
                <w:bCs/>
                <w:sz w:val="21"/>
                <w:szCs w:val="21"/>
                <w:lang w:val="zh-CN"/>
              </w:rPr>
              <w:t>审查内容</w:t>
            </w:r>
          </w:p>
        </w:tc>
        <w:tc>
          <w:tcPr>
            <w:tcW w:w="998" w:type="pct"/>
            <w:gridSpan w:val="2"/>
            <w:shd w:val="clear" w:color="auto" w:fill="D8D8D8" w:themeFill="background1" w:themeFillShade="D9"/>
            <w:vAlign w:val="center"/>
          </w:tcPr>
          <w:p w14:paraId="1BCDA456">
            <w:pPr>
              <w:pStyle w:val="51"/>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审查结果</w:t>
            </w:r>
          </w:p>
        </w:tc>
      </w:tr>
      <w:tr w14:paraId="2A17D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1" w:type="pct"/>
            <w:vMerge w:val="continue"/>
            <w:shd w:val="clear" w:color="auto" w:fill="D8D8D8" w:themeFill="background1" w:themeFillShade="D9"/>
            <w:vAlign w:val="center"/>
          </w:tcPr>
          <w:p w14:paraId="445E0E34">
            <w:pPr>
              <w:pStyle w:val="51"/>
              <w:spacing w:line="360" w:lineRule="auto"/>
              <w:jc w:val="center"/>
              <w:rPr>
                <w:rFonts w:ascii="Times New Roman" w:hAnsi="Times New Roman" w:cs="Times New Roman"/>
                <w:b/>
                <w:bCs/>
                <w:sz w:val="21"/>
                <w:szCs w:val="21"/>
                <w:lang w:val="zh-CN"/>
              </w:rPr>
            </w:pPr>
          </w:p>
        </w:tc>
        <w:tc>
          <w:tcPr>
            <w:tcW w:w="918" w:type="pct"/>
            <w:vMerge w:val="continue"/>
            <w:shd w:val="clear" w:color="auto" w:fill="D8D8D8" w:themeFill="background1" w:themeFillShade="D9"/>
            <w:vAlign w:val="center"/>
          </w:tcPr>
          <w:p w14:paraId="6753B2C9">
            <w:pPr>
              <w:pStyle w:val="51"/>
              <w:spacing w:line="360" w:lineRule="auto"/>
              <w:jc w:val="center"/>
              <w:rPr>
                <w:rFonts w:ascii="Times New Roman" w:hAnsi="Times New Roman" w:cs="Times New Roman"/>
                <w:b/>
                <w:bCs/>
                <w:sz w:val="21"/>
                <w:szCs w:val="21"/>
                <w:lang w:val="zh-CN"/>
              </w:rPr>
            </w:pPr>
          </w:p>
        </w:tc>
        <w:tc>
          <w:tcPr>
            <w:tcW w:w="2811" w:type="pct"/>
            <w:vMerge w:val="continue"/>
            <w:shd w:val="clear" w:color="auto" w:fill="D8D8D8" w:themeFill="background1" w:themeFillShade="D9"/>
            <w:vAlign w:val="center"/>
          </w:tcPr>
          <w:p w14:paraId="10FEB751">
            <w:pPr>
              <w:pStyle w:val="51"/>
              <w:spacing w:line="360" w:lineRule="auto"/>
              <w:jc w:val="center"/>
              <w:rPr>
                <w:rFonts w:ascii="Times New Roman" w:hAnsi="Times New Roman" w:cs="Times New Roman"/>
                <w:b/>
                <w:bCs/>
                <w:sz w:val="21"/>
                <w:szCs w:val="21"/>
                <w:lang w:val="zh-CN"/>
              </w:rPr>
            </w:pPr>
          </w:p>
        </w:tc>
        <w:tc>
          <w:tcPr>
            <w:tcW w:w="409" w:type="pct"/>
            <w:shd w:val="clear" w:color="auto" w:fill="D8D8D8" w:themeFill="background1" w:themeFillShade="D9"/>
            <w:vAlign w:val="center"/>
          </w:tcPr>
          <w:p w14:paraId="16CB604A">
            <w:pPr>
              <w:pStyle w:val="51"/>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符合</w:t>
            </w:r>
          </w:p>
        </w:tc>
        <w:tc>
          <w:tcPr>
            <w:tcW w:w="589" w:type="pct"/>
            <w:shd w:val="clear" w:color="auto" w:fill="D8D8D8" w:themeFill="background1" w:themeFillShade="D9"/>
            <w:vAlign w:val="center"/>
          </w:tcPr>
          <w:p w14:paraId="1339C3C3">
            <w:pPr>
              <w:pStyle w:val="51"/>
              <w:spacing w:line="360" w:lineRule="auto"/>
              <w:jc w:val="center"/>
              <w:rPr>
                <w:rFonts w:ascii="Times New Roman" w:hAnsi="Times New Roman" w:cs="Times New Roman"/>
                <w:b/>
                <w:bCs/>
                <w:sz w:val="21"/>
                <w:szCs w:val="21"/>
              </w:rPr>
            </w:pPr>
            <w:r>
              <w:rPr>
                <w:rFonts w:ascii="Times New Roman" w:hAnsi="Times New Roman" w:cs="Times New Roman"/>
                <w:b/>
                <w:bCs/>
                <w:sz w:val="21"/>
                <w:szCs w:val="21"/>
              </w:rPr>
              <w:t>不符合</w:t>
            </w:r>
          </w:p>
        </w:tc>
      </w:tr>
      <w:tr w14:paraId="0C4BD8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271" w:type="pct"/>
            <w:vAlign w:val="center"/>
          </w:tcPr>
          <w:p w14:paraId="6EC3740A">
            <w:pPr>
              <w:pStyle w:val="51"/>
              <w:spacing w:line="360" w:lineRule="auto"/>
              <w:ind w:left="420" w:hanging="420"/>
              <w:jc w:val="center"/>
              <w:rPr>
                <w:rFonts w:ascii="Times New Roman" w:hAnsi="Times New Roman" w:cs="Times New Roman"/>
                <w:sz w:val="21"/>
                <w:szCs w:val="21"/>
                <w:lang w:val="zh-CN"/>
              </w:rPr>
            </w:pPr>
            <w:r>
              <w:rPr>
                <w:rFonts w:ascii="Times New Roman" w:hAnsi="Times New Roman" w:cs="Times New Roman"/>
                <w:sz w:val="21"/>
                <w:szCs w:val="21"/>
                <w:lang w:val="zh-CN"/>
              </w:rPr>
              <w:t>1</w:t>
            </w:r>
          </w:p>
        </w:tc>
        <w:tc>
          <w:tcPr>
            <w:tcW w:w="918" w:type="pct"/>
            <w:vAlign w:val="center"/>
          </w:tcPr>
          <w:p w14:paraId="5B47A422">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lang w:val="zh-CN"/>
              </w:rPr>
              <w:t>投标文件</w:t>
            </w:r>
            <w:r>
              <w:rPr>
                <w:rFonts w:ascii="Times New Roman" w:hAnsi="Times New Roman" w:cs="Times New Roman"/>
                <w:sz w:val="21"/>
                <w:szCs w:val="21"/>
              </w:rPr>
              <w:t>签署</w:t>
            </w:r>
          </w:p>
        </w:tc>
        <w:tc>
          <w:tcPr>
            <w:tcW w:w="2811" w:type="pct"/>
            <w:vAlign w:val="center"/>
          </w:tcPr>
          <w:p w14:paraId="667099F8">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rPr>
              <w:t>投标文件按招标文件要求签署、盖章的</w:t>
            </w:r>
          </w:p>
        </w:tc>
        <w:tc>
          <w:tcPr>
            <w:tcW w:w="409" w:type="pct"/>
            <w:vAlign w:val="center"/>
          </w:tcPr>
          <w:p w14:paraId="08CFB556">
            <w:pPr>
              <w:pStyle w:val="51"/>
              <w:spacing w:line="360" w:lineRule="auto"/>
              <w:rPr>
                <w:rFonts w:ascii="Times New Roman" w:hAnsi="Times New Roman" w:cs="Times New Roman"/>
                <w:sz w:val="21"/>
                <w:szCs w:val="21"/>
                <w:lang w:val="zh-CN"/>
              </w:rPr>
            </w:pPr>
          </w:p>
        </w:tc>
        <w:tc>
          <w:tcPr>
            <w:tcW w:w="589" w:type="pct"/>
            <w:vAlign w:val="center"/>
          </w:tcPr>
          <w:p w14:paraId="236C497C">
            <w:pPr>
              <w:pStyle w:val="51"/>
              <w:spacing w:line="360" w:lineRule="auto"/>
              <w:rPr>
                <w:rFonts w:ascii="Times New Roman" w:hAnsi="Times New Roman" w:cs="Times New Roman"/>
                <w:sz w:val="21"/>
                <w:szCs w:val="21"/>
                <w:lang w:val="zh-CN"/>
              </w:rPr>
            </w:pPr>
          </w:p>
        </w:tc>
      </w:tr>
      <w:tr w14:paraId="4F42D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1" w:type="pct"/>
            <w:vAlign w:val="center"/>
          </w:tcPr>
          <w:p w14:paraId="54ADAD1E">
            <w:pPr>
              <w:pStyle w:val="51"/>
              <w:spacing w:line="360" w:lineRule="auto"/>
              <w:ind w:left="420" w:hanging="420"/>
              <w:jc w:val="center"/>
              <w:rPr>
                <w:rFonts w:ascii="Times New Roman" w:hAnsi="Times New Roman" w:cs="Times New Roman"/>
                <w:sz w:val="21"/>
                <w:szCs w:val="21"/>
                <w:lang w:val="zh-CN"/>
              </w:rPr>
            </w:pPr>
            <w:r>
              <w:rPr>
                <w:rFonts w:ascii="Times New Roman" w:hAnsi="Times New Roman" w:cs="Times New Roman"/>
                <w:sz w:val="21"/>
                <w:szCs w:val="21"/>
                <w:lang w:val="zh-CN"/>
              </w:rPr>
              <w:t>2</w:t>
            </w:r>
          </w:p>
        </w:tc>
        <w:tc>
          <w:tcPr>
            <w:tcW w:w="918" w:type="pct"/>
            <w:vAlign w:val="center"/>
          </w:tcPr>
          <w:p w14:paraId="25D72BAC">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lang w:val="zh-CN"/>
              </w:rPr>
              <w:t>实质性要求</w:t>
            </w:r>
          </w:p>
        </w:tc>
        <w:tc>
          <w:tcPr>
            <w:tcW w:w="2811" w:type="pct"/>
            <w:vAlign w:val="center"/>
          </w:tcPr>
          <w:p w14:paraId="4AB31BCF">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lang w:val="zh-CN"/>
              </w:rPr>
              <w:t>响应文件满足</w:t>
            </w:r>
            <w:r>
              <w:rPr>
                <w:rFonts w:ascii="Times New Roman" w:hAnsi="Times New Roman" w:cs="Times New Roman"/>
                <w:sz w:val="21"/>
                <w:szCs w:val="21"/>
              </w:rPr>
              <w:t>招标</w:t>
            </w:r>
            <w:r>
              <w:rPr>
                <w:rFonts w:ascii="Times New Roman" w:hAnsi="Times New Roman" w:cs="Times New Roman"/>
                <w:sz w:val="21"/>
                <w:szCs w:val="21"/>
                <w:lang w:val="zh-CN"/>
              </w:rPr>
              <w:t>文件中标注“★”号的实质性条款（或指标）要求的</w:t>
            </w:r>
            <w:r>
              <w:rPr>
                <w:rFonts w:ascii="Times New Roman" w:hAnsi="Times New Roman" w:cs="Times New Roman"/>
                <w:sz w:val="21"/>
                <w:szCs w:val="21"/>
              </w:rPr>
              <w:t>，具体详见</w:t>
            </w:r>
            <w:r>
              <w:rPr>
                <w:rFonts w:ascii="Times New Roman" w:hAnsi="Times New Roman" w:cs="Times New Roman"/>
                <w:sz w:val="21"/>
                <w:szCs w:val="21"/>
                <w:lang w:val="zh-CN"/>
              </w:rPr>
              <w:t>“实质性响应一览表”</w:t>
            </w:r>
          </w:p>
        </w:tc>
        <w:tc>
          <w:tcPr>
            <w:tcW w:w="409" w:type="pct"/>
            <w:vAlign w:val="center"/>
          </w:tcPr>
          <w:p w14:paraId="543EA220">
            <w:pPr>
              <w:pStyle w:val="51"/>
              <w:spacing w:line="360" w:lineRule="auto"/>
              <w:rPr>
                <w:rFonts w:ascii="Times New Roman" w:hAnsi="Times New Roman" w:cs="Times New Roman"/>
                <w:sz w:val="21"/>
                <w:szCs w:val="21"/>
                <w:lang w:val="zh-CN"/>
              </w:rPr>
            </w:pPr>
          </w:p>
        </w:tc>
        <w:tc>
          <w:tcPr>
            <w:tcW w:w="589" w:type="pct"/>
            <w:vAlign w:val="center"/>
          </w:tcPr>
          <w:p w14:paraId="01DE7BDF">
            <w:pPr>
              <w:pStyle w:val="51"/>
              <w:spacing w:line="360" w:lineRule="auto"/>
              <w:rPr>
                <w:rFonts w:ascii="Times New Roman" w:hAnsi="Times New Roman" w:cs="Times New Roman"/>
                <w:sz w:val="21"/>
                <w:szCs w:val="21"/>
                <w:lang w:val="zh-CN"/>
              </w:rPr>
            </w:pPr>
          </w:p>
        </w:tc>
      </w:tr>
      <w:tr w14:paraId="54F835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1" w:type="pct"/>
            <w:vAlign w:val="center"/>
          </w:tcPr>
          <w:p w14:paraId="5136A18F">
            <w:pPr>
              <w:pStyle w:val="51"/>
              <w:spacing w:line="360" w:lineRule="auto"/>
              <w:ind w:left="420" w:hanging="420"/>
              <w:jc w:val="center"/>
              <w:rPr>
                <w:rFonts w:ascii="Times New Roman" w:hAnsi="Times New Roman" w:cs="Times New Roman"/>
                <w:sz w:val="21"/>
                <w:szCs w:val="21"/>
                <w:lang w:val="zh-CN"/>
              </w:rPr>
            </w:pPr>
            <w:r>
              <w:rPr>
                <w:rFonts w:ascii="Times New Roman" w:hAnsi="Times New Roman" w:cs="Times New Roman"/>
                <w:sz w:val="21"/>
                <w:szCs w:val="21"/>
                <w:lang w:val="zh-CN"/>
              </w:rPr>
              <w:t>3</w:t>
            </w:r>
          </w:p>
        </w:tc>
        <w:tc>
          <w:tcPr>
            <w:tcW w:w="918" w:type="pct"/>
            <w:vAlign w:val="center"/>
          </w:tcPr>
          <w:p w14:paraId="37E0BE32">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lang w:val="zh-CN"/>
              </w:rPr>
              <w:t>投标报价</w:t>
            </w:r>
          </w:p>
        </w:tc>
        <w:tc>
          <w:tcPr>
            <w:tcW w:w="2811" w:type="pct"/>
            <w:vAlign w:val="center"/>
          </w:tcPr>
          <w:p w14:paraId="43ED566F">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rPr>
              <w:t>投标人报价未超过招标文件中规定的最高限价或者预算金额的</w:t>
            </w:r>
          </w:p>
        </w:tc>
        <w:tc>
          <w:tcPr>
            <w:tcW w:w="409" w:type="pct"/>
            <w:vAlign w:val="center"/>
          </w:tcPr>
          <w:p w14:paraId="0319CB1A">
            <w:pPr>
              <w:pStyle w:val="51"/>
              <w:spacing w:line="360" w:lineRule="auto"/>
              <w:rPr>
                <w:rFonts w:ascii="Times New Roman" w:hAnsi="Times New Roman" w:cs="Times New Roman"/>
                <w:sz w:val="21"/>
                <w:szCs w:val="21"/>
                <w:lang w:val="zh-CN"/>
              </w:rPr>
            </w:pPr>
          </w:p>
        </w:tc>
        <w:tc>
          <w:tcPr>
            <w:tcW w:w="589" w:type="pct"/>
            <w:vAlign w:val="center"/>
          </w:tcPr>
          <w:p w14:paraId="0F9151B5">
            <w:pPr>
              <w:pStyle w:val="51"/>
              <w:spacing w:line="360" w:lineRule="auto"/>
              <w:rPr>
                <w:rFonts w:ascii="Times New Roman" w:hAnsi="Times New Roman" w:cs="Times New Roman"/>
                <w:sz w:val="21"/>
                <w:szCs w:val="21"/>
                <w:lang w:val="zh-CN"/>
              </w:rPr>
            </w:pPr>
          </w:p>
        </w:tc>
      </w:tr>
      <w:tr w14:paraId="399123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1" w:type="pct"/>
            <w:vAlign w:val="center"/>
          </w:tcPr>
          <w:p w14:paraId="511B933F">
            <w:pPr>
              <w:pStyle w:val="51"/>
              <w:spacing w:line="360" w:lineRule="auto"/>
              <w:ind w:left="420" w:hanging="420"/>
              <w:jc w:val="center"/>
              <w:rPr>
                <w:rFonts w:ascii="Times New Roman" w:hAnsi="Times New Roman" w:cs="Times New Roman"/>
                <w:sz w:val="21"/>
                <w:szCs w:val="21"/>
              </w:rPr>
            </w:pPr>
            <w:r>
              <w:rPr>
                <w:rFonts w:hint="eastAsia" w:ascii="Times New Roman" w:hAnsi="Times New Roman" w:cs="Times New Roman"/>
                <w:sz w:val="21"/>
                <w:szCs w:val="21"/>
              </w:rPr>
              <w:t>4</w:t>
            </w:r>
          </w:p>
        </w:tc>
        <w:tc>
          <w:tcPr>
            <w:tcW w:w="918" w:type="pct"/>
            <w:vAlign w:val="center"/>
          </w:tcPr>
          <w:p w14:paraId="29ECCAAE">
            <w:pPr>
              <w:pStyle w:val="51"/>
              <w:spacing w:line="360" w:lineRule="auto"/>
              <w:rPr>
                <w:rFonts w:ascii="Times New Roman" w:hAnsi="Times New Roman" w:cs="Times New Roman"/>
                <w:sz w:val="21"/>
                <w:szCs w:val="21"/>
              </w:rPr>
            </w:pPr>
            <w:r>
              <w:rPr>
                <w:rFonts w:hint="eastAsia" w:ascii="Times New Roman" w:hAnsi="Times New Roman" w:cs="Times New Roman"/>
                <w:sz w:val="21"/>
                <w:szCs w:val="21"/>
              </w:rPr>
              <w:t>异常低价审查</w:t>
            </w:r>
          </w:p>
        </w:tc>
        <w:tc>
          <w:tcPr>
            <w:tcW w:w="2811" w:type="pct"/>
            <w:vAlign w:val="center"/>
          </w:tcPr>
          <w:p w14:paraId="7C28332C">
            <w:pPr>
              <w:pStyle w:val="51"/>
              <w:spacing w:line="360" w:lineRule="auto"/>
              <w:rPr>
                <w:rFonts w:ascii="Times New Roman" w:hAnsi="Times New Roman" w:cs="Times New Roman"/>
                <w:sz w:val="21"/>
                <w:szCs w:val="21"/>
                <w:lang w:val="zh-CN"/>
              </w:rPr>
            </w:pPr>
            <w:r>
              <w:rPr>
                <w:rFonts w:hint="eastAsia" w:ascii="Times New Roman" w:hAnsi="Times New Roman" w:cs="Times New Roman"/>
                <w:sz w:val="21"/>
                <w:szCs w:val="21"/>
                <w:lang w:val="zh-CN"/>
              </w:rPr>
              <w:t>评审中出现下列情形之一的，评审委员会应当启动异常低价投标(响应)审查程序；(1)投标(响应)报价低于全部通过符合性审查供应商投标(响应)报价平均值50%的，即投标(响应)报价&lt;全部通过符合性审查供应商投标(响应)报价平均值</w:t>
            </w:r>
            <w:r>
              <w:rPr>
                <w:rFonts w:hint="eastAsia" w:ascii="Times New Roman" w:hAnsi="Times New Roman" w:cs="Times New Roman"/>
                <w:sz w:val="21"/>
                <w:szCs w:val="21"/>
              </w:rPr>
              <w:t>×</w:t>
            </w:r>
            <w:r>
              <w:rPr>
                <w:rFonts w:hint="eastAsia" w:ascii="Times New Roman" w:hAnsi="Times New Roman" w:cs="Times New Roman"/>
                <w:sz w:val="21"/>
                <w:szCs w:val="21"/>
                <w:lang w:val="zh-CN"/>
              </w:rPr>
              <w:t>50%；(2)投标(响应)报价低于通过符合性审查的次低报价供应商投标(响应)报价50%的，即投标(响应)报价&lt;通过符合性审查的次低报价供应商投标(响应)报价</w:t>
            </w:r>
            <w:r>
              <w:rPr>
                <w:rFonts w:hint="eastAsia" w:ascii="Times New Roman" w:hAnsi="Times New Roman" w:cs="Times New Roman"/>
                <w:sz w:val="21"/>
                <w:szCs w:val="21"/>
              </w:rPr>
              <w:t>×</w:t>
            </w:r>
            <w:r>
              <w:rPr>
                <w:rFonts w:hint="eastAsia" w:ascii="Times New Roman" w:hAnsi="Times New Roman" w:cs="Times New Roman"/>
                <w:sz w:val="21"/>
                <w:szCs w:val="21"/>
                <w:lang w:val="zh-CN"/>
              </w:rPr>
              <w:t>50%；(3)投标(响应)报价低于采购项目最高限价45%的，即投标(响应)报价&lt;采购项目最高限价</w:t>
            </w:r>
            <w:r>
              <w:rPr>
                <w:rFonts w:hint="eastAsia" w:ascii="Times New Roman" w:hAnsi="Times New Roman" w:cs="Times New Roman"/>
                <w:sz w:val="21"/>
                <w:szCs w:val="21"/>
              </w:rPr>
              <w:t>×</w:t>
            </w:r>
            <w:r>
              <w:rPr>
                <w:rFonts w:hint="eastAsia" w:ascii="Times New Roman" w:hAnsi="Times New Roman" w:cs="Times New Roman"/>
                <w:sz w:val="21"/>
                <w:szCs w:val="21"/>
                <w:lang w:val="zh-CN"/>
              </w:rPr>
              <w:t>45%；(4)评审委员会基于专业判断，认为供应商报价过低，有可能影响产品质量或者不能诚信履约的其他情形。</w:t>
            </w:r>
          </w:p>
        </w:tc>
        <w:tc>
          <w:tcPr>
            <w:tcW w:w="409" w:type="pct"/>
            <w:vAlign w:val="center"/>
          </w:tcPr>
          <w:p w14:paraId="2D402781">
            <w:pPr>
              <w:pStyle w:val="51"/>
              <w:spacing w:line="360" w:lineRule="auto"/>
              <w:rPr>
                <w:rFonts w:ascii="Times New Roman" w:hAnsi="Times New Roman" w:cs="Times New Roman"/>
                <w:sz w:val="21"/>
                <w:szCs w:val="21"/>
                <w:lang w:val="zh-CN"/>
              </w:rPr>
            </w:pPr>
          </w:p>
        </w:tc>
        <w:tc>
          <w:tcPr>
            <w:tcW w:w="589" w:type="pct"/>
            <w:vAlign w:val="center"/>
          </w:tcPr>
          <w:p w14:paraId="113857E8">
            <w:pPr>
              <w:pStyle w:val="51"/>
              <w:spacing w:line="360" w:lineRule="auto"/>
              <w:rPr>
                <w:rFonts w:ascii="Times New Roman" w:hAnsi="Times New Roman" w:cs="Times New Roman"/>
                <w:sz w:val="21"/>
                <w:szCs w:val="21"/>
                <w:lang w:val="zh-CN"/>
              </w:rPr>
            </w:pPr>
          </w:p>
        </w:tc>
      </w:tr>
      <w:tr w14:paraId="4BC5DF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501" w:type="dxa"/>
            <w:vAlign w:val="center"/>
          </w:tcPr>
          <w:p w14:paraId="0FFEF1D4">
            <w:pPr>
              <w:pStyle w:val="51"/>
              <w:spacing w:line="360" w:lineRule="auto"/>
              <w:ind w:left="420" w:hanging="420"/>
              <w:jc w:val="center"/>
              <w:rPr>
                <w:rFonts w:ascii="Times New Roman" w:hAnsi="Times New Roman" w:cs="Times New Roman"/>
                <w:sz w:val="21"/>
                <w:szCs w:val="21"/>
                <w:lang w:val="zh-CN"/>
              </w:rPr>
            </w:pPr>
            <w:r>
              <w:rPr>
                <w:rFonts w:ascii="Times New Roman" w:hAnsi="Times New Roman" w:cs="Times New Roman"/>
                <w:sz w:val="21"/>
                <w:szCs w:val="21"/>
                <w:lang w:val="zh-CN"/>
              </w:rPr>
              <w:t>5</w:t>
            </w:r>
          </w:p>
        </w:tc>
        <w:tc>
          <w:tcPr>
            <w:tcW w:w="918" w:type="pct"/>
            <w:vAlign w:val="center"/>
          </w:tcPr>
          <w:p w14:paraId="42901740">
            <w:pPr>
              <w:pStyle w:val="51"/>
              <w:spacing w:line="360" w:lineRule="auto"/>
              <w:rPr>
                <w:rFonts w:ascii="Times New Roman" w:hAnsi="Times New Roman" w:cs="Times New Roman"/>
                <w:sz w:val="21"/>
                <w:szCs w:val="21"/>
              </w:rPr>
            </w:pPr>
            <w:r>
              <w:rPr>
                <w:rFonts w:ascii="Times New Roman" w:hAnsi="Times New Roman" w:cs="Times New Roman"/>
                <w:sz w:val="21"/>
                <w:szCs w:val="21"/>
              </w:rPr>
              <w:t>投标文件的澄清、说明、补正</w:t>
            </w:r>
          </w:p>
        </w:tc>
        <w:tc>
          <w:tcPr>
            <w:tcW w:w="2811" w:type="pct"/>
            <w:vAlign w:val="center"/>
          </w:tcPr>
          <w:p w14:paraId="2CD8C5CC">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lang w:val="zh-CN"/>
              </w:rPr>
              <w:t>评审期间,</w:t>
            </w:r>
            <w:r>
              <w:rPr>
                <w:rFonts w:ascii="Times New Roman" w:hAnsi="Times New Roman" w:cs="Times New Roman"/>
                <w:sz w:val="21"/>
                <w:szCs w:val="21"/>
              </w:rPr>
              <w:t>投标人</w:t>
            </w:r>
            <w:r>
              <w:rPr>
                <w:rFonts w:ascii="Times New Roman" w:hAnsi="Times New Roman" w:cs="Times New Roman"/>
                <w:sz w:val="21"/>
                <w:szCs w:val="21"/>
                <w:lang w:val="zh-CN"/>
              </w:rPr>
              <w:t>按评标委员会的要求提交经授权代表签字的澄清、说明、补正或</w:t>
            </w:r>
            <w:r>
              <w:rPr>
                <w:rFonts w:ascii="Times New Roman" w:hAnsi="Times New Roman" w:cs="Times New Roman"/>
                <w:sz w:val="21"/>
                <w:szCs w:val="21"/>
              </w:rPr>
              <w:t>未</w:t>
            </w:r>
            <w:r>
              <w:rPr>
                <w:rFonts w:ascii="Times New Roman" w:hAnsi="Times New Roman" w:cs="Times New Roman"/>
                <w:sz w:val="21"/>
                <w:szCs w:val="21"/>
                <w:lang w:val="zh-CN"/>
              </w:rPr>
              <w:t>改变</w:t>
            </w:r>
            <w:r>
              <w:rPr>
                <w:rFonts w:ascii="Times New Roman" w:hAnsi="Times New Roman" w:cs="Times New Roman"/>
                <w:sz w:val="21"/>
                <w:szCs w:val="21"/>
              </w:rPr>
              <w:t>投标</w:t>
            </w:r>
            <w:r>
              <w:rPr>
                <w:rFonts w:ascii="Times New Roman" w:hAnsi="Times New Roman" w:cs="Times New Roman"/>
                <w:sz w:val="21"/>
                <w:szCs w:val="21"/>
                <w:lang w:val="zh-CN"/>
              </w:rPr>
              <w:t>文件的实质性内容</w:t>
            </w:r>
          </w:p>
        </w:tc>
        <w:tc>
          <w:tcPr>
            <w:tcW w:w="409" w:type="pct"/>
            <w:vAlign w:val="center"/>
          </w:tcPr>
          <w:p w14:paraId="1328EAE5">
            <w:pPr>
              <w:pStyle w:val="51"/>
              <w:spacing w:line="360" w:lineRule="auto"/>
              <w:rPr>
                <w:rFonts w:ascii="Times New Roman" w:hAnsi="Times New Roman" w:cs="Times New Roman"/>
                <w:sz w:val="21"/>
                <w:szCs w:val="21"/>
                <w:lang w:val="zh-CN"/>
              </w:rPr>
            </w:pPr>
          </w:p>
        </w:tc>
        <w:tc>
          <w:tcPr>
            <w:tcW w:w="589" w:type="pct"/>
            <w:vAlign w:val="center"/>
          </w:tcPr>
          <w:p w14:paraId="23C8071E">
            <w:pPr>
              <w:pStyle w:val="51"/>
              <w:spacing w:line="360" w:lineRule="auto"/>
              <w:rPr>
                <w:rFonts w:ascii="Times New Roman" w:hAnsi="Times New Roman" w:cs="Times New Roman"/>
                <w:sz w:val="21"/>
                <w:szCs w:val="21"/>
                <w:lang w:val="zh-CN"/>
              </w:rPr>
            </w:pPr>
          </w:p>
        </w:tc>
      </w:tr>
      <w:tr w14:paraId="665AD5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501" w:type="dxa"/>
            <w:vAlign w:val="center"/>
          </w:tcPr>
          <w:p w14:paraId="0109837C">
            <w:pPr>
              <w:pStyle w:val="51"/>
              <w:spacing w:line="360" w:lineRule="auto"/>
              <w:ind w:left="420" w:hanging="420"/>
              <w:jc w:val="center"/>
              <w:rPr>
                <w:rFonts w:ascii="Times New Roman" w:hAnsi="Times New Roman" w:cs="Times New Roman"/>
                <w:sz w:val="21"/>
                <w:szCs w:val="21"/>
                <w:lang w:val="zh-CN"/>
              </w:rPr>
            </w:pPr>
            <w:r>
              <w:rPr>
                <w:rFonts w:ascii="Times New Roman" w:hAnsi="Times New Roman" w:cs="Times New Roman"/>
                <w:sz w:val="21"/>
                <w:szCs w:val="21"/>
                <w:lang w:val="zh-CN"/>
              </w:rPr>
              <w:t>6</w:t>
            </w:r>
          </w:p>
        </w:tc>
        <w:tc>
          <w:tcPr>
            <w:tcW w:w="918" w:type="pct"/>
            <w:vAlign w:val="center"/>
          </w:tcPr>
          <w:p w14:paraId="6505D628">
            <w:pPr>
              <w:pStyle w:val="51"/>
              <w:spacing w:line="360" w:lineRule="auto"/>
              <w:rPr>
                <w:rFonts w:ascii="Times New Roman" w:hAnsi="Times New Roman" w:cs="Times New Roman"/>
                <w:sz w:val="21"/>
                <w:szCs w:val="21"/>
              </w:rPr>
            </w:pPr>
            <w:r>
              <w:rPr>
                <w:rFonts w:ascii="Times New Roman" w:hAnsi="Times New Roman" w:cs="Times New Roman"/>
                <w:sz w:val="21"/>
                <w:szCs w:val="21"/>
              </w:rPr>
              <w:t>投标人影响评标</w:t>
            </w:r>
          </w:p>
        </w:tc>
        <w:tc>
          <w:tcPr>
            <w:tcW w:w="2811" w:type="pct"/>
            <w:vAlign w:val="center"/>
          </w:tcPr>
          <w:p w14:paraId="2BF59985">
            <w:pPr>
              <w:pStyle w:val="51"/>
              <w:spacing w:line="360" w:lineRule="auto"/>
              <w:rPr>
                <w:rFonts w:ascii="Times New Roman" w:hAnsi="Times New Roman" w:cs="Times New Roman"/>
                <w:sz w:val="21"/>
                <w:szCs w:val="21"/>
              </w:rPr>
            </w:pPr>
            <w:r>
              <w:rPr>
                <w:rFonts w:ascii="Times New Roman" w:hAnsi="Times New Roman" w:cs="Times New Roman"/>
                <w:sz w:val="21"/>
                <w:szCs w:val="21"/>
              </w:rPr>
              <w:t>投标人</w:t>
            </w:r>
            <w:r>
              <w:rPr>
                <w:rFonts w:ascii="Times New Roman" w:hAnsi="Times New Roman" w:cs="Times New Roman"/>
                <w:sz w:val="21"/>
                <w:szCs w:val="21"/>
                <w:lang w:val="zh-CN"/>
              </w:rPr>
              <w:t>对采购人、采购代理机构、评标委员会及其工作人员</w:t>
            </w:r>
            <w:r>
              <w:rPr>
                <w:rFonts w:ascii="Times New Roman" w:hAnsi="Times New Roman" w:cs="Times New Roman"/>
                <w:sz w:val="21"/>
                <w:szCs w:val="21"/>
              </w:rPr>
              <w:t>未</w:t>
            </w:r>
            <w:r>
              <w:rPr>
                <w:rFonts w:ascii="Times New Roman" w:hAnsi="Times New Roman" w:cs="Times New Roman"/>
                <w:sz w:val="21"/>
                <w:szCs w:val="21"/>
                <w:lang w:val="zh-CN"/>
              </w:rPr>
              <w:t>施加影响,</w:t>
            </w:r>
            <w:r>
              <w:rPr>
                <w:rFonts w:ascii="Times New Roman" w:hAnsi="Times New Roman" w:cs="Times New Roman"/>
                <w:sz w:val="21"/>
                <w:szCs w:val="21"/>
              </w:rPr>
              <w:t>无</w:t>
            </w:r>
            <w:r>
              <w:rPr>
                <w:rFonts w:ascii="Times New Roman" w:hAnsi="Times New Roman" w:cs="Times New Roman"/>
                <w:sz w:val="21"/>
                <w:szCs w:val="21"/>
                <w:lang w:val="zh-CN"/>
              </w:rPr>
              <w:t>有碍公平、公正</w:t>
            </w:r>
            <w:r>
              <w:rPr>
                <w:rFonts w:ascii="Times New Roman" w:hAnsi="Times New Roman" w:cs="Times New Roman"/>
                <w:sz w:val="21"/>
                <w:szCs w:val="21"/>
              </w:rPr>
              <w:t>的</w:t>
            </w:r>
          </w:p>
        </w:tc>
        <w:tc>
          <w:tcPr>
            <w:tcW w:w="409" w:type="pct"/>
            <w:vAlign w:val="center"/>
          </w:tcPr>
          <w:p w14:paraId="080F5238">
            <w:pPr>
              <w:pStyle w:val="51"/>
              <w:spacing w:line="360" w:lineRule="auto"/>
              <w:rPr>
                <w:rFonts w:ascii="Times New Roman" w:hAnsi="Times New Roman" w:cs="Times New Roman"/>
                <w:sz w:val="21"/>
                <w:szCs w:val="21"/>
                <w:lang w:val="zh-CN"/>
              </w:rPr>
            </w:pPr>
          </w:p>
        </w:tc>
        <w:tc>
          <w:tcPr>
            <w:tcW w:w="589" w:type="pct"/>
            <w:vAlign w:val="center"/>
          </w:tcPr>
          <w:p w14:paraId="4ED1EC16">
            <w:pPr>
              <w:pStyle w:val="51"/>
              <w:spacing w:line="360" w:lineRule="auto"/>
              <w:rPr>
                <w:rFonts w:ascii="Times New Roman" w:hAnsi="Times New Roman" w:cs="Times New Roman"/>
                <w:sz w:val="21"/>
                <w:szCs w:val="21"/>
                <w:lang w:val="zh-CN"/>
              </w:rPr>
            </w:pPr>
          </w:p>
        </w:tc>
      </w:tr>
      <w:tr w14:paraId="4C3B0C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501" w:type="dxa"/>
            <w:vAlign w:val="center"/>
          </w:tcPr>
          <w:p w14:paraId="45B38FC7">
            <w:pPr>
              <w:pStyle w:val="51"/>
              <w:spacing w:line="360" w:lineRule="auto"/>
              <w:jc w:val="center"/>
              <w:rPr>
                <w:rFonts w:ascii="Times New Roman" w:hAnsi="Times New Roman" w:cs="Times New Roman"/>
                <w:sz w:val="21"/>
                <w:szCs w:val="21"/>
                <w:lang w:val="zh-CN"/>
              </w:rPr>
            </w:pPr>
            <w:r>
              <w:rPr>
                <w:rFonts w:ascii="Times New Roman" w:hAnsi="Times New Roman" w:cs="Times New Roman"/>
                <w:sz w:val="21"/>
                <w:szCs w:val="21"/>
              </w:rPr>
              <w:t>7</w:t>
            </w:r>
          </w:p>
        </w:tc>
        <w:tc>
          <w:tcPr>
            <w:tcW w:w="918" w:type="pct"/>
            <w:vAlign w:val="center"/>
          </w:tcPr>
          <w:p w14:paraId="149FA07C">
            <w:pPr>
              <w:pStyle w:val="51"/>
              <w:spacing w:line="360" w:lineRule="auto"/>
              <w:rPr>
                <w:rFonts w:ascii="Times New Roman" w:hAnsi="Times New Roman" w:cs="Times New Roman"/>
                <w:sz w:val="21"/>
                <w:szCs w:val="21"/>
              </w:rPr>
            </w:pPr>
            <w:r>
              <w:rPr>
                <w:rFonts w:ascii="Times New Roman" w:hAnsi="Times New Roman" w:cs="Times New Roman"/>
                <w:sz w:val="21"/>
                <w:szCs w:val="21"/>
              </w:rPr>
              <w:t>围标串标情形</w:t>
            </w:r>
          </w:p>
        </w:tc>
        <w:tc>
          <w:tcPr>
            <w:tcW w:w="2811" w:type="pct"/>
            <w:vAlign w:val="center"/>
          </w:tcPr>
          <w:p w14:paraId="4ADC6AB2">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rPr>
              <w:t>没有</w:t>
            </w:r>
            <w:r>
              <w:rPr>
                <w:rFonts w:ascii="Times New Roman" w:hAnsi="Times New Roman" w:cs="Times New Roman"/>
                <w:sz w:val="21"/>
                <w:szCs w:val="21"/>
                <w:lang w:val="zh-CN"/>
              </w:rPr>
              <w:t>“第五章 评标方法及标准”</w:t>
            </w:r>
            <w:r>
              <w:rPr>
                <w:rFonts w:ascii="Times New Roman" w:hAnsi="Times New Roman" w:cs="Times New Roman"/>
                <w:sz w:val="21"/>
                <w:szCs w:val="21"/>
              </w:rPr>
              <w:t>第20条情形之一的</w:t>
            </w:r>
          </w:p>
        </w:tc>
        <w:tc>
          <w:tcPr>
            <w:tcW w:w="409" w:type="pct"/>
            <w:vAlign w:val="center"/>
          </w:tcPr>
          <w:p w14:paraId="04F60A9B">
            <w:pPr>
              <w:pStyle w:val="51"/>
              <w:spacing w:line="360" w:lineRule="auto"/>
              <w:rPr>
                <w:rFonts w:ascii="Times New Roman" w:hAnsi="Times New Roman" w:cs="Times New Roman"/>
                <w:sz w:val="21"/>
                <w:szCs w:val="21"/>
                <w:lang w:val="zh-CN"/>
              </w:rPr>
            </w:pPr>
          </w:p>
        </w:tc>
        <w:tc>
          <w:tcPr>
            <w:tcW w:w="589" w:type="pct"/>
            <w:vAlign w:val="center"/>
          </w:tcPr>
          <w:p w14:paraId="6E018AE9">
            <w:pPr>
              <w:pStyle w:val="51"/>
              <w:spacing w:line="360" w:lineRule="auto"/>
              <w:rPr>
                <w:rFonts w:ascii="Times New Roman" w:hAnsi="Times New Roman" w:cs="Times New Roman"/>
                <w:sz w:val="21"/>
                <w:szCs w:val="21"/>
                <w:lang w:val="zh-CN"/>
              </w:rPr>
            </w:pPr>
          </w:p>
        </w:tc>
      </w:tr>
      <w:tr w14:paraId="2A5B5A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501" w:type="dxa"/>
            <w:vAlign w:val="center"/>
          </w:tcPr>
          <w:p w14:paraId="104BF3E0">
            <w:pPr>
              <w:pStyle w:val="51"/>
              <w:spacing w:line="360" w:lineRule="auto"/>
              <w:ind w:left="420" w:hanging="420"/>
              <w:jc w:val="center"/>
              <w:rPr>
                <w:rFonts w:ascii="Times New Roman" w:hAnsi="Times New Roman" w:cs="Times New Roman"/>
                <w:sz w:val="21"/>
                <w:szCs w:val="21"/>
                <w:lang w:val="zh-CN"/>
              </w:rPr>
            </w:pPr>
            <w:r>
              <w:rPr>
                <w:rFonts w:ascii="Times New Roman" w:hAnsi="Times New Roman" w:cs="Times New Roman"/>
                <w:sz w:val="21"/>
                <w:szCs w:val="21"/>
              </w:rPr>
              <w:t>8</w:t>
            </w:r>
          </w:p>
        </w:tc>
        <w:tc>
          <w:tcPr>
            <w:tcW w:w="918" w:type="pct"/>
            <w:vAlign w:val="center"/>
          </w:tcPr>
          <w:p w14:paraId="4CD79537">
            <w:pPr>
              <w:pStyle w:val="51"/>
              <w:spacing w:line="360" w:lineRule="auto"/>
              <w:rPr>
                <w:rFonts w:ascii="Times New Roman" w:hAnsi="Times New Roman" w:cs="Times New Roman"/>
                <w:sz w:val="21"/>
                <w:szCs w:val="21"/>
              </w:rPr>
            </w:pPr>
            <w:r>
              <w:rPr>
                <w:rFonts w:ascii="Times New Roman" w:hAnsi="Times New Roman" w:cs="Times New Roman"/>
                <w:sz w:val="21"/>
                <w:szCs w:val="21"/>
              </w:rPr>
              <w:t>附加条件</w:t>
            </w:r>
          </w:p>
        </w:tc>
        <w:tc>
          <w:tcPr>
            <w:tcW w:w="2811" w:type="pct"/>
            <w:vAlign w:val="center"/>
          </w:tcPr>
          <w:p w14:paraId="05844BB5">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rPr>
              <w:t>投标文件没有采购人不能接受的附加条件的</w:t>
            </w:r>
          </w:p>
        </w:tc>
        <w:tc>
          <w:tcPr>
            <w:tcW w:w="409" w:type="pct"/>
            <w:vAlign w:val="center"/>
          </w:tcPr>
          <w:p w14:paraId="3F59015F">
            <w:pPr>
              <w:pStyle w:val="51"/>
              <w:spacing w:line="360" w:lineRule="auto"/>
              <w:rPr>
                <w:rFonts w:ascii="Times New Roman" w:hAnsi="Times New Roman" w:cs="Times New Roman"/>
                <w:sz w:val="21"/>
                <w:szCs w:val="21"/>
                <w:lang w:val="zh-CN"/>
              </w:rPr>
            </w:pPr>
          </w:p>
        </w:tc>
        <w:tc>
          <w:tcPr>
            <w:tcW w:w="589" w:type="pct"/>
            <w:vAlign w:val="center"/>
          </w:tcPr>
          <w:p w14:paraId="54967034">
            <w:pPr>
              <w:pStyle w:val="51"/>
              <w:spacing w:line="360" w:lineRule="auto"/>
              <w:rPr>
                <w:rFonts w:ascii="Times New Roman" w:hAnsi="Times New Roman" w:cs="Times New Roman"/>
                <w:sz w:val="21"/>
                <w:szCs w:val="21"/>
                <w:lang w:val="zh-CN"/>
              </w:rPr>
            </w:pPr>
          </w:p>
        </w:tc>
      </w:tr>
      <w:tr w14:paraId="7E4E0B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501" w:type="dxa"/>
            <w:vAlign w:val="center"/>
          </w:tcPr>
          <w:p w14:paraId="0DB73122">
            <w:pPr>
              <w:pStyle w:val="51"/>
              <w:spacing w:line="360" w:lineRule="auto"/>
              <w:ind w:left="420" w:hanging="420"/>
              <w:jc w:val="center"/>
              <w:rPr>
                <w:rFonts w:ascii="Times New Roman" w:hAnsi="Times New Roman" w:cs="Times New Roman"/>
                <w:sz w:val="21"/>
                <w:szCs w:val="21"/>
              </w:rPr>
            </w:pPr>
            <w:r>
              <w:rPr>
                <w:rFonts w:hint="eastAsia" w:ascii="Times New Roman" w:hAnsi="Times New Roman" w:cs="Times New Roman"/>
                <w:sz w:val="21"/>
                <w:szCs w:val="21"/>
              </w:rPr>
              <w:t>9</w:t>
            </w:r>
          </w:p>
        </w:tc>
        <w:tc>
          <w:tcPr>
            <w:tcW w:w="918" w:type="pct"/>
            <w:vAlign w:val="center"/>
          </w:tcPr>
          <w:p w14:paraId="47E4A3D7">
            <w:pPr>
              <w:pStyle w:val="51"/>
              <w:spacing w:line="360" w:lineRule="auto"/>
              <w:rPr>
                <w:rFonts w:ascii="Times New Roman" w:hAnsi="Times New Roman" w:cs="Times New Roman"/>
                <w:sz w:val="21"/>
                <w:szCs w:val="21"/>
              </w:rPr>
            </w:pPr>
            <w:r>
              <w:rPr>
                <w:rFonts w:ascii="Times New Roman" w:hAnsi="Times New Roman" w:cs="Times New Roman"/>
                <w:sz w:val="21"/>
                <w:szCs w:val="21"/>
                <w:lang w:val="zh-CN"/>
              </w:rPr>
              <w:t>其他无效情形</w:t>
            </w:r>
          </w:p>
        </w:tc>
        <w:tc>
          <w:tcPr>
            <w:tcW w:w="2811" w:type="pct"/>
            <w:vAlign w:val="center"/>
          </w:tcPr>
          <w:p w14:paraId="296E5BAE">
            <w:pPr>
              <w:pStyle w:val="51"/>
              <w:spacing w:line="360" w:lineRule="auto"/>
              <w:rPr>
                <w:rFonts w:ascii="Times New Roman" w:hAnsi="Times New Roman" w:cs="Times New Roman"/>
                <w:sz w:val="21"/>
                <w:szCs w:val="21"/>
              </w:rPr>
            </w:pPr>
            <w:r>
              <w:rPr>
                <w:rFonts w:ascii="Times New Roman" w:hAnsi="Times New Roman" w:cs="Times New Roman"/>
                <w:sz w:val="21"/>
                <w:szCs w:val="21"/>
              </w:rPr>
              <w:t>没有</w:t>
            </w:r>
            <w:r>
              <w:rPr>
                <w:rFonts w:ascii="Times New Roman" w:hAnsi="Times New Roman" w:cs="Times New Roman"/>
                <w:sz w:val="21"/>
                <w:szCs w:val="21"/>
                <w:lang w:val="zh-CN"/>
              </w:rPr>
              <w:t>法律、法规、规章规定属于</w:t>
            </w:r>
            <w:r>
              <w:rPr>
                <w:rFonts w:ascii="Times New Roman" w:hAnsi="Times New Roman" w:cs="Times New Roman"/>
                <w:sz w:val="21"/>
                <w:szCs w:val="21"/>
              </w:rPr>
              <w:t>投标</w:t>
            </w:r>
            <w:r>
              <w:rPr>
                <w:rFonts w:ascii="Times New Roman" w:hAnsi="Times New Roman" w:cs="Times New Roman"/>
                <w:sz w:val="21"/>
                <w:szCs w:val="21"/>
                <w:lang w:val="zh-CN"/>
              </w:rPr>
              <w:t>无效的其他情形。</w:t>
            </w:r>
          </w:p>
        </w:tc>
        <w:tc>
          <w:tcPr>
            <w:tcW w:w="409" w:type="pct"/>
            <w:vAlign w:val="center"/>
          </w:tcPr>
          <w:p w14:paraId="09BFDD42">
            <w:pPr>
              <w:pStyle w:val="51"/>
              <w:spacing w:line="360" w:lineRule="auto"/>
              <w:rPr>
                <w:rFonts w:ascii="Times New Roman" w:hAnsi="Times New Roman" w:cs="Times New Roman"/>
                <w:sz w:val="21"/>
                <w:szCs w:val="21"/>
                <w:lang w:val="zh-CN"/>
              </w:rPr>
            </w:pPr>
          </w:p>
        </w:tc>
        <w:tc>
          <w:tcPr>
            <w:tcW w:w="589" w:type="pct"/>
            <w:vAlign w:val="center"/>
          </w:tcPr>
          <w:p w14:paraId="2097E58D">
            <w:pPr>
              <w:pStyle w:val="51"/>
              <w:spacing w:line="360" w:lineRule="auto"/>
              <w:rPr>
                <w:rFonts w:ascii="Times New Roman" w:hAnsi="Times New Roman" w:cs="Times New Roman"/>
                <w:sz w:val="21"/>
                <w:szCs w:val="21"/>
                <w:lang w:val="zh-CN"/>
              </w:rPr>
            </w:pPr>
          </w:p>
        </w:tc>
      </w:tr>
      <w:tr w14:paraId="2974291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1" w:type="pct"/>
            <w:vAlign w:val="center"/>
          </w:tcPr>
          <w:p w14:paraId="13098C85">
            <w:pPr>
              <w:pStyle w:val="51"/>
              <w:spacing w:line="360" w:lineRule="auto"/>
              <w:ind w:left="420" w:hanging="420"/>
              <w:jc w:val="center"/>
              <w:rPr>
                <w:rFonts w:ascii="Times New Roman" w:hAnsi="Times New Roman" w:cs="Times New Roman"/>
                <w:sz w:val="21"/>
                <w:szCs w:val="21"/>
              </w:rPr>
            </w:pPr>
          </w:p>
        </w:tc>
        <w:tc>
          <w:tcPr>
            <w:tcW w:w="918" w:type="pct"/>
            <w:vAlign w:val="center"/>
          </w:tcPr>
          <w:p w14:paraId="70608BBA">
            <w:pPr>
              <w:pStyle w:val="51"/>
              <w:spacing w:line="360" w:lineRule="auto"/>
              <w:rPr>
                <w:rFonts w:ascii="Times New Roman" w:hAnsi="Times New Roman" w:cs="Times New Roman"/>
                <w:sz w:val="21"/>
                <w:szCs w:val="21"/>
                <w:lang w:val="zh-CN"/>
              </w:rPr>
            </w:pPr>
            <w:r>
              <w:rPr>
                <w:rFonts w:ascii="Times New Roman" w:hAnsi="Times New Roman" w:cs="Times New Roman"/>
                <w:sz w:val="21"/>
                <w:szCs w:val="21"/>
                <w:lang w:val="zh-CN"/>
              </w:rPr>
              <w:t>……</w:t>
            </w:r>
          </w:p>
        </w:tc>
        <w:tc>
          <w:tcPr>
            <w:tcW w:w="2811" w:type="pct"/>
            <w:vAlign w:val="center"/>
          </w:tcPr>
          <w:p w14:paraId="42DD4E5D">
            <w:pPr>
              <w:pStyle w:val="51"/>
              <w:spacing w:line="360" w:lineRule="auto"/>
              <w:rPr>
                <w:rFonts w:ascii="Times New Roman" w:hAnsi="Times New Roman" w:cs="Times New Roman"/>
                <w:sz w:val="21"/>
                <w:szCs w:val="21"/>
                <w:lang w:val="zh-CN"/>
              </w:rPr>
            </w:pPr>
          </w:p>
        </w:tc>
        <w:tc>
          <w:tcPr>
            <w:tcW w:w="409" w:type="pct"/>
            <w:vAlign w:val="center"/>
          </w:tcPr>
          <w:p w14:paraId="3F141FED">
            <w:pPr>
              <w:pStyle w:val="51"/>
              <w:spacing w:line="360" w:lineRule="auto"/>
              <w:rPr>
                <w:rFonts w:ascii="Times New Roman" w:hAnsi="Times New Roman" w:cs="Times New Roman"/>
                <w:sz w:val="21"/>
                <w:szCs w:val="21"/>
                <w:lang w:val="zh-CN"/>
              </w:rPr>
            </w:pPr>
          </w:p>
        </w:tc>
        <w:tc>
          <w:tcPr>
            <w:tcW w:w="589" w:type="pct"/>
            <w:vAlign w:val="center"/>
          </w:tcPr>
          <w:p w14:paraId="02198E49">
            <w:pPr>
              <w:pStyle w:val="51"/>
              <w:spacing w:line="360" w:lineRule="auto"/>
              <w:rPr>
                <w:rFonts w:ascii="Times New Roman" w:hAnsi="Times New Roman" w:cs="Times New Roman"/>
                <w:sz w:val="21"/>
                <w:szCs w:val="21"/>
                <w:lang w:val="zh-CN"/>
              </w:rPr>
            </w:pPr>
          </w:p>
        </w:tc>
      </w:tr>
    </w:tbl>
    <w:p w14:paraId="68581A89">
      <w:pPr>
        <w:rPr>
          <w:rFonts w:hint="eastAsia" w:cs="宋体"/>
          <w:b/>
        </w:rPr>
      </w:pPr>
      <w:r>
        <w:rPr>
          <w:rFonts w:hint="eastAsia" w:cs="宋体"/>
          <w:b/>
        </w:rPr>
        <w:br w:type="page"/>
      </w:r>
    </w:p>
    <w:p w14:paraId="16FEF4CE">
      <w:pPr>
        <w:shd w:val="clear" w:color="auto" w:fill="FFFFFF"/>
        <w:tabs>
          <w:tab w:val="left" w:pos="3045"/>
        </w:tabs>
        <w:autoSpaceDE w:val="0"/>
        <w:autoSpaceDN w:val="0"/>
        <w:adjustRightInd w:val="0"/>
        <w:snapToGrid w:val="0"/>
        <w:spacing w:line="360" w:lineRule="exact"/>
        <w:rPr>
          <w:rFonts w:hint="eastAsia"/>
        </w:rPr>
      </w:pPr>
      <w:r>
        <w:rPr>
          <w:rFonts w:hint="eastAsia" w:cs="宋体"/>
          <w:b/>
        </w:rPr>
        <w:t>符合性审查表-附表</w:t>
      </w:r>
    </w:p>
    <w:p w14:paraId="4E02400D">
      <w:pPr>
        <w:pStyle w:val="5"/>
        <w:spacing w:before="80" w:after="80" w:line="240" w:lineRule="auto"/>
        <w:ind w:left="420" w:hanging="420"/>
        <w:jc w:val="center"/>
        <w:rPr>
          <w:rFonts w:hint="eastAsia"/>
          <w:sz w:val="28"/>
          <w:szCs w:val="28"/>
          <w:lang w:val="zh-CN"/>
        </w:rPr>
      </w:pPr>
      <w:bookmarkStart w:id="401" w:name="_Toc8990"/>
      <w:r>
        <w:rPr>
          <w:rFonts w:hint="eastAsia"/>
          <w:sz w:val="28"/>
          <w:szCs w:val="28"/>
        </w:rPr>
        <w:t>实</w:t>
      </w:r>
      <w:r>
        <w:rPr>
          <w:rFonts w:hint="eastAsia"/>
          <w:sz w:val="28"/>
          <w:szCs w:val="28"/>
          <w:lang w:val="zh-CN"/>
        </w:rPr>
        <w:t>质性响应一览表</w:t>
      </w:r>
      <w:bookmarkEnd w:id="401"/>
    </w:p>
    <w:p w14:paraId="47601BEC">
      <w:pPr>
        <w:shd w:val="clear" w:color="auto" w:fill="FFFFFF"/>
        <w:tabs>
          <w:tab w:val="left" w:pos="3045"/>
        </w:tabs>
        <w:autoSpaceDE w:val="0"/>
        <w:autoSpaceDN w:val="0"/>
        <w:adjustRightInd w:val="0"/>
        <w:snapToGrid w:val="0"/>
        <w:spacing w:line="360" w:lineRule="exact"/>
        <w:jc w:val="center"/>
        <w:rPr>
          <w:rFonts w:hint="eastAsia" w:cs="宋体"/>
          <w:bCs/>
        </w:rPr>
      </w:pPr>
      <w:r>
        <w:rPr>
          <w:rFonts w:hint="eastAsia" w:cs="宋体"/>
          <w:bCs/>
        </w:rPr>
        <w:t>（投标人须对本附表所有内容逐条响应且无负偏离，否则其</w:t>
      </w:r>
      <w:r>
        <w:rPr>
          <w:rFonts w:hint="eastAsia" w:cs="宋体"/>
          <w:b/>
        </w:rPr>
        <w:t>投标无效</w:t>
      </w:r>
      <w:r>
        <w:rPr>
          <w:rFonts w:hint="eastAsia" w:cs="宋体"/>
          <w:bCs/>
        </w:rPr>
        <w:t>）</w:t>
      </w:r>
    </w:p>
    <w:p w14:paraId="4D1C0779">
      <w:pPr>
        <w:pStyle w:val="25"/>
        <w:rPr>
          <w:rFonts w:hint="eastAsia" w:cs="宋体"/>
        </w:rPr>
      </w:pPr>
    </w:p>
    <w:tbl>
      <w:tblPr>
        <w:tblStyle w:val="31"/>
        <w:tblW w:w="543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2"/>
        <w:gridCol w:w="4442"/>
        <w:gridCol w:w="1690"/>
        <w:gridCol w:w="730"/>
      </w:tblGrid>
      <w:tr w14:paraId="04D72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220" w:type="pct"/>
            <w:vMerge w:val="restart"/>
            <w:vAlign w:val="center"/>
          </w:tcPr>
          <w:p w14:paraId="47578586">
            <w:pPr>
              <w:spacing w:line="360" w:lineRule="exact"/>
              <w:jc w:val="center"/>
              <w:rPr>
                <w:rFonts w:hint="eastAsia" w:cs="宋体"/>
                <w:sz w:val="21"/>
                <w:szCs w:val="21"/>
              </w:rPr>
            </w:pPr>
            <w:r>
              <w:rPr>
                <w:rFonts w:hint="eastAsia" w:cs="宋体"/>
                <w:sz w:val="21"/>
                <w:szCs w:val="21"/>
              </w:rPr>
              <w:t>序号</w:t>
            </w:r>
          </w:p>
        </w:tc>
        <w:tc>
          <w:tcPr>
            <w:tcW w:w="3472" w:type="pct"/>
            <w:gridSpan w:val="2"/>
            <w:vAlign w:val="center"/>
          </w:tcPr>
          <w:p w14:paraId="03AA33FC">
            <w:pPr>
              <w:spacing w:line="360" w:lineRule="exact"/>
              <w:jc w:val="center"/>
              <w:rPr>
                <w:rFonts w:hint="eastAsia" w:cs="宋体"/>
                <w:sz w:val="21"/>
                <w:szCs w:val="21"/>
              </w:rPr>
            </w:pPr>
            <w:r>
              <w:rPr>
                <w:rFonts w:hint="eastAsia" w:cs="宋体"/>
                <w:sz w:val="21"/>
                <w:szCs w:val="21"/>
              </w:rPr>
              <w:t>招标文件要求的实质性响应内容</w:t>
            </w:r>
          </w:p>
        </w:tc>
        <w:tc>
          <w:tcPr>
            <w:tcW w:w="912" w:type="pct"/>
            <w:vMerge w:val="restart"/>
            <w:vAlign w:val="center"/>
          </w:tcPr>
          <w:p w14:paraId="3398F6E8">
            <w:pPr>
              <w:spacing w:line="360" w:lineRule="exact"/>
              <w:jc w:val="center"/>
              <w:rPr>
                <w:rFonts w:hint="eastAsia" w:cs="宋体"/>
                <w:sz w:val="21"/>
                <w:szCs w:val="21"/>
              </w:rPr>
            </w:pPr>
            <w:r>
              <w:rPr>
                <w:rFonts w:hint="eastAsia" w:cs="宋体"/>
                <w:sz w:val="21"/>
                <w:szCs w:val="21"/>
              </w:rPr>
              <w:t>投标文件响应的具体内容</w:t>
            </w:r>
          </w:p>
        </w:tc>
        <w:tc>
          <w:tcPr>
            <w:tcW w:w="394" w:type="pct"/>
            <w:vMerge w:val="restart"/>
            <w:vAlign w:val="center"/>
          </w:tcPr>
          <w:p w14:paraId="0E44EA24">
            <w:pPr>
              <w:spacing w:line="360" w:lineRule="exact"/>
              <w:jc w:val="center"/>
              <w:rPr>
                <w:rFonts w:hint="eastAsia" w:cs="宋体"/>
                <w:sz w:val="21"/>
                <w:szCs w:val="21"/>
              </w:rPr>
            </w:pPr>
            <w:r>
              <w:rPr>
                <w:rFonts w:hint="eastAsia" w:cs="宋体"/>
                <w:sz w:val="21"/>
                <w:szCs w:val="21"/>
              </w:rPr>
              <w:t>备注</w:t>
            </w:r>
          </w:p>
        </w:tc>
      </w:tr>
      <w:tr w14:paraId="77344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220" w:type="pct"/>
            <w:vMerge w:val="continue"/>
            <w:vAlign w:val="center"/>
          </w:tcPr>
          <w:p w14:paraId="4C3F1E74">
            <w:pPr>
              <w:spacing w:line="360" w:lineRule="exact"/>
              <w:jc w:val="center"/>
              <w:rPr>
                <w:rFonts w:hint="eastAsia" w:cs="宋体"/>
                <w:sz w:val="21"/>
                <w:szCs w:val="21"/>
              </w:rPr>
            </w:pPr>
          </w:p>
        </w:tc>
        <w:tc>
          <w:tcPr>
            <w:tcW w:w="1075" w:type="pct"/>
            <w:vAlign w:val="center"/>
          </w:tcPr>
          <w:p w14:paraId="2C802F8B">
            <w:pPr>
              <w:spacing w:line="360" w:lineRule="exact"/>
              <w:jc w:val="center"/>
              <w:rPr>
                <w:rFonts w:hint="eastAsia" w:cs="宋体"/>
                <w:sz w:val="21"/>
                <w:szCs w:val="21"/>
              </w:rPr>
            </w:pPr>
            <w:r>
              <w:rPr>
                <w:rFonts w:hint="eastAsia" w:cs="宋体"/>
                <w:sz w:val="21"/>
                <w:szCs w:val="21"/>
              </w:rPr>
              <w:t>实质性要求</w:t>
            </w:r>
          </w:p>
        </w:tc>
        <w:tc>
          <w:tcPr>
            <w:tcW w:w="2396" w:type="pct"/>
            <w:vAlign w:val="center"/>
          </w:tcPr>
          <w:p w14:paraId="4CACB472">
            <w:pPr>
              <w:spacing w:line="360" w:lineRule="exact"/>
              <w:jc w:val="center"/>
              <w:rPr>
                <w:rFonts w:hint="eastAsia" w:cs="宋体"/>
                <w:sz w:val="21"/>
                <w:szCs w:val="21"/>
              </w:rPr>
            </w:pPr>
            <w:r>
              <w:rPr>
                <w:rFonts w:hint="eastAsia" w:cs="宋体"/>
                <w:sz w:val="21"/>
                <w:szCs w:val="21"/>
              </w:rPr>
              <w:t>招标文件中的规定</w:t>
            </w:r>
          </w:p>
        </w:tc>
        <w:tc>
          <w:tcPr>
            <w:tcW w:w="912" w:type="pct"/>
            <w:vMerge w:val="continue"/>
            <w:vAlign w:val="center"/>
          </w:tcPr>
          <w:p w14:paraId="18936829">
            <w:pPr>
              <w:spacing w:line="360" w:lineRule="exact"/>
              <w:jc w:val="center"/>
              <w:rPr>
                <w:rFonts w:hint="eastAsia" w:cs="宋体"/>
                <w:sz w:val="21"/>
                <w:szCs w:val="21"/>
              </w:rPr>
            </w:pPr>
          </w:p>
        </w:tc>
        <w:tc>
          <w:tcPr>
            <w:tcW w:w="394" w:type="pct"/>
            <w:vMerge w:val="continue"/>
            <w:vAlign w:val="center"/>
          </w:tcPr>
          <w:p w14:paraId="6A0FB233">
            <w:pPr>
              <w:spacing w:line="360" w:lineRule="exact"/>
              <w:jc w:val="center"/>
              <w:rPr>
                <w:rFonts w:hint="eastAsia" w:cs="宋体"/>
                <w:sz w:val="21"/>
                <w:szCs w:val="21"/>
              </w:rPr>
            </w:pPr>
          </w:p>
        </w:tc>
      </w:tr>
      <w:tr w14:paraId="1569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vAlign w:val="center"/>
          </w:tcPr>
          <w:p w14:paraId="2CD70C71">
            <w:pPr>
              <w:spacing w:line="360" w:lineRule="exact"/>
              <w:jc w:val="center"/>
              <w:rPr>
                <w:rFonts w:hint="eastAsia" w:cs="宋体"/>
                <w:sz w:val="21"/>
                <w:szCs w:val="21"/>
              </w:rPr>
            </w:pPr>
            <w:r>
              <w:rPr>
                <w:rFonts w:hint="eastAsia" w:cs="宋体"/>
                <w:sz w:val="21"/>
                <w:szCs w:val="21"/>
              </w:rPr>
              <w:t>1</w:t>
            </w:r>
          </w:p>
        </w:tc>
        <w:tc>
          <w:tcPr>
            <w:tcW w:w="1075" w:type="pct"/>
            <w:vAlign w:val="center"/>
          </w:tcPr>
          <w:p w14:paraId="510525CA">
            <w:pPr>
              <w:spacing w:line="360" w:lineRule="exact"/>
              <w:jc w:val="center"/>
              <w:rPr>
                <w:rFonts w:hint="eastAsia" w:cs="宋体"/>
                <w:sz w:val="21"/>
                <w:szCs w:val="21"/>
              </w:rPr>
            </w:pPr>
            <w:r>
              <w:rPr>
                <w:rFonts w:hint="eastAsia" w:cs="宋体"/>
                <w:sz w:val="21"/>
                <w:szCs w:val="21"/>
              </w:rPr>
              <w:t>投标有效期</w:t>
            </w:r>
            <w:r>
              <w:rPr>
                <w:rFonts w:hint="eastAsia" w:cs="宋体"/>
                <w:sz w:val="21"/>
                <w:szCs w:val="21"/>
                <w:lang w:val="zh-CN"/>
              </w:rPr>
              <w:t>★</w:t>
            </w:r>
          </w:p>
        </w:tc>
        <w:tc>
          <w:tcPr>
            <w:tcW w:w="2396" w:type="pct"/>
            <w:vAlign w:val="center"/>
          </w:tcPr>
          <w:p w14:paraId="4D878EF3">
            <w:pPr>
              <w:autoSpaceDE w:val="0"/>
              <w:autoSpaceDN w:val="0"/>
              <w:spacing w:line="360" w:lineRule="exact"/>
              <w:jc w:val="center"/>
              <w:rPr>
                <w:rFonts w:hint="eastAsia" w:cs="宋体"/>
                <w:sz w:val="21"/>
                <w:szCs w:val="21"/>
              </w:rPr>
            </w:pPr>
            <w:r>
              <w:rPr>
                <w:rFonts w:hint="eastAsia" w:cs="宋体"/>
                <w:sz w:val="21"/>
                <w:szCs w:val="21"/>
              </w:rPr>
              <w:t>招标文件“第二章 投标须知”关于投标有效期的规定</w:t>
            </w:r>
          </w:p>
        </w:tc>
        <w:tc>
          <w:tcPr>
            <w:tcW w:w="912" w:type="pct"/>
            <w:vAlign w:val="center"/>
          </w:tcPr>
          <w:p w14:paraId="6483CE93">
            <w:pPr>
              <w:spacing w:line="360" w:lineRule="exact"/>
              <w:jc w:val="center"/>
              <w:rPr>
                <w:rFonts w:hint="eastAsia" w:cs="宋体"/>
                <w:sz w:val="21"/>
                <w:szCs w:val="21"/>
              </w:rPr>
            </w:pPr>
            <w:r>
              <w:rPr>
                <w:rFonts w:hint="eastAsia" w:cs="宋体"/>
                <w:sz w:val="21"/>
                <w:szCs w:val="21"/>
              </w:rPr>
              <w:t>【投标人在此处填写投标文件的相关内容】</w:t>
            </w:r>
          </w:p>
        </w:tc>
        <w:tc>
          <w:tcPr>
            <w:tcW w:w="394" w:type="pct"/>
            <w:vAlign w:val="center"/>
          </w:tcPr>
          <w:p w14:paraId="2F98D67D">
            <w:pPr>
              <w:spacing w:line="360" w:lineRule="exact"/>
              <w:rPr>
                <w:rFonts w:hint="eastAsia" w:cs="宋体"/>
                <w:sz w:val="21"/>
                <w:szCs w:val="21"/>
              </w:rPr>
            </w:pPr>
          </w:p>
        </w:tc>
      </w:tr>
      <w:tr w14:paraId="71FD0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8" w:hRule="atLeast"/>
        </w:trPr>
        <w:tc>
          <w:tcPr>
            <w:tcW w:w="220" w:type="pct"/>
            <w:vAlign w:val="center"/>
          </w:tcPr>
          <w:p w14:paraId="01F9AEF7">
            <w:pPr>
              <w:spacing w:line="360" w:lineRule="exact"/>
              <w:jc w:val="center"/>
              <w:rPr>
                <w:rFonts w:hint="eastAsia" w:cs="宋体"/>
                <w:sz w:val="21"/>
                <w:szCs w:val="21"/>
              </w:rPr>
            </w:pPr>
            <w:r>
              <w:rPr>
                <w:rFonts w:hint="eastAsia" w:cs="宋体"/>
                <w:sz w:val="21"/>
                <w:szCs w:val="21"/>
              </w:rPr>
              <w:t>2</w:t>
            </w:r>
          </w:p>
        </w:tc>
        <w:tc>
          <w:tcPr>
            <w:tcW w:w="1075" w:type="pct"/>
            <w:vAlign w:val="center"/>
          </w:tcPr>
          <w:p w14:paraId="62B9E45D">
            <w:pPr>
              <w:spacing w:line="360" w:lineRule="exact"/>
              <w:jc w:val="center"/>
              <w:rPr>
                <w:rFonts w:hint="eastAsia" w:cs="宋体"/>
                <w:sz w:val="21"/>
                <w:szCs w:val="21"/>
              </w:rPr>
            </w:pPr>
            <w:r>
              <w:rPr>
                <w:rFonts w:hint="eastAsia"/>
                <w:snapToGrid w:val="0"/>
                <w:sz w:val="21"/>
                <w:szCs w:val="21"/>
              </w:rPr>
              <w:t>服务</w:t>
            </w:r>
            <w:r>
              <w:rPr>
                <w:snapToGrid w:val="0"/>
                <w:sz w:val="21"/>
                <w:szCs w:val="21"/>
              </w:rPr>
              <w:t>期</w:t>
            </w:r>
            <w:r>
              <w:rPr>
                <w:rFonts w:hint="eastAsia" w:cs="宋体"/>
                <w:sz w:val="21"/>
                <w:szCs w:val="21"/>
                <w:lang w:val="zh-CN"/>
              </w:rPr>
              <w:t>★</w:t>
            </w:r>
          </w:p>
        </w:tc>
        <w:tc>
          <w:tcPr>
            <w:tcW w:w="2396" w:type="pct"/>
            <w:vAlign w:val="center"/>
          </w:tcPr>
          <w:p w14:paraId="107AAB31">
            <w:pPr>
              <w:autoSpaceDE w:val="0"/>
              <w:autoSpaceDN w:val="0"/>
              <w:spacing w:line="360" w:lineRule="exact"/>
              <w:rPr>
                <w:rFonts w:hint="eastAsia" w:cs="宋体"/>
                <w:sz w:val="21"/>
                <w:szCs w:val="21"/>
              </w:rPr>
            </w:pPr>
            <w:r>
              <w:rPr>
                <w:rFonts w:hint="eastAsia" w:cs="宋体"/>
                <w:sz w:val="21"/>
                <w:szCs w:val="21"/>
              </w:rPr>
              <w:t>招标文件“第三章 采购需求”-商务要求关于</w:t>
            </w:r>
            <w:r>
              <w:rPr>
                <w:rFonts w:hint="eastAsia" w:cs="宋体"/>
                <w:sz w:val="21"/>
                <w:szCs w:val="21"/>
                <w:lang w:val="en-US" w:eastAsia="zh-CN"/>
              </w:rPr>
              <w:t>服务期</w:t>
            </w:r>
            <w:r>
              <w:rPr>
                <w:rFonts w:hint="eastAsia" w:cs="宋体"/>
                <w:sz w:val="21"/>
                <w:szCs w:val="21"/>
              </w:rPr>
              <w:t>的规定</w:t>
            </w:r>
          </w:p>
        </w:tc>
        <w:tc>
          <w:tcPr>
            <w:tcW w:w="912" w:type="pct"/>
            <w:vAlign w:val="center"/>
          </w:tcPr>
          <w:p w14:paraId="4D063464">
            <w:pPr>
              <w:spacing w:line="360" w:lineRule="exact"/>
              <w:jc w:val="center"/>
              <w:rPr>
                <w:rFonts w:hint="eastAsia" w:cs="宋体"/>
                <w:sz w:val="21"/>
                <w:szCs w:val="21"/>
              </w:rPr>
            </w:pPr>
          </w:p>
        </w:tc>
        <w:tc>
          <w:tcPr>
            <w:tcW w:w="394" w:type="pct"/>
            <w:vAlign w:val="center"/>
          </w:tcPr>
          <w:p w14:paraId="0214C603">
            <w:pPr>
              <w:spacing w:line="360" w:lineRule="exact"/>
              <w:rPr>
                <w:rFonts w:hint="eastAsia" w:cs="宋体"/>
                <w:sz w:val="21"/>
                <w:szCs w:val="21"/>
              </w:rPr>
            </w:pPr>
          </w:p>
        </w:tc>
      </w:tr>
      <w:tr w14:paraId="2A25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220" w:type="pct"/>
            <w:vAlign w:val="center"/>
          </w:tcPr>
          <w:p w14:paraId="1216D25E">
            <w:pPr>
              <w:spacing w:line="360" w:lineRule="exact"/>
              <w:jc w:val="center"/>
              <w:rPr>
                <w:rFonts w:hint="eastAsia" w:cs="宋体"/>
                <w:sz w:val="21"/>
                <w:szCs w:val="21"/>
              </w:rPr>
            </w:pPr>
            <w:r>
              <w:rPr>
                <w:rFonts w:hint="eastAsia" w:cs="宋体"/>
                <w:sz w:val="21"/>
                <w:szCs w:val="21"/>
              </w:rPr>
              <w:t>3</w:t>
            </w:r>
          </w:p>
        </w:tc>
        <w:tc>
          <w:tcPr>
            <w:tcW w:w="1075" w:type="pct"/>
            <w:vAlign w:val="center"/>
          </w:tcPr>
          <w:p w14:paraId="10910D7C">
            <w:pPr>
              <w:spacing w:line="360" w:lineRule="exact"/>
              <w:jc w:val="center"/>
              <w:rPr>
                <w:rFonts w:hint="eastAsia" w:cs="宋体"/>
                <w:sz w:val="21"/>
                <w:szCs w:val="21"/>
              </w:rPr>
            </w:pPr>
            <w:r>
              <w:rPr>
                <w:rFonts w:hint="eastAsia"/>
                <w:snapToGrid w:val="0"/>
                <w:sz w:val="21"/>
                <w:szCs w:val="21"/>
              </w:rPr>
              <w:t>服务</w:t>
            </w:r>
            <w:r>
              <w:rPr>
                <w:snapToGrid w:val="0"/>
                <w:sz w:val="21"/>
                <w:szCs w:val="21"/>
              </w:rPr>
              <w:t>地点</w:t>
            </w:r>
            <w:r>
              <w:rPr>
                <w:rFonts w:hint="eastAsia" w:cs="宋体"/>
                <w:sz w:val="21"/>
                <w:szCs w:val="21"/>
                <w:lang w:val="zh-CN"/>
              </w:rPr>
              <w:t>★</w:t>
            </w:r>
          </w:p>
        </w:tc>
        <w:tc>
          <w:tcPr>
            <w:tcW w:w="2396" w:type="pct"/>
            <w:vAlign w:val="center"/>
          </w:tcPr>
          <w:p w14:paraId="27BEFD67">
            <w:pPr>
              <w:pStyle w:val="51"/>
              <w:rPr>
                <w:rFonts w:hint="eastAsia" w:cs="宋体"/>
                <w:sz w:val="21"/>
                <w:szCs w:val="21"/>
              </w:rPr>
            </w:pPr>
            <w:r>
              <w:rPr>
                <w:rFonts w:hint="eastAsia" w:cs="宋体"/>
                <w:sz w:val="21"/>
                <w:szCs w:val="21"/>
              </w:rPr>
              <w:t>招标文件“第三章 采购需求”-商务要求关于</w:t>
            </w:r>
            <w:r>
              <w:rPr>
                <w:rFonts w:hint="eastAsia" w:cs="宋体"/>
                <w:sz w:val="21"/>
                <w:szCs w:val="21"/>
                <w:lang w:val="en-US" w:eastAsia="zh-CN"/>
              </w:rPr>
              <w:t>服务</w:t>
            </w:r>
            <w:r>
              <w:rPr>
                <w:snapToGrid w:val="0"/>
                <w:sz w:val="21"/>
                <w:szCs w:val="21"/>
              </w:rPr>
              <w:t>地点</w:t>
            </w:r>
            <w:r>
              <w:rPr>
                <w:rFonts w:hint="eastAsia" w:cs="宋体"/>
                <w:sz w:val="21"/>
                <w:szCs w:val="21"/>
              </w:rPr>
              <w:t>的规定</w:t>
            </w:r>
          </w:p>
        </w:tc>
        <w:tc>
          <w:tcPr>
            <w:tcW w:w="912" w:type="pct"/>
            <w:vAlign w:val="center"/>
          </w:tcPr>
          <w:p w14:paraId="650C2A76">
            <w:pPr>
              <w:spacing w:line="360" w:lineRule="exact"/>
              <w:jc w:val="center"/>
              <w:rPr>
                <w:rFonts w:hint="eastAsia" w:cs="宋体"/>
                <w:sz w:val="21"/>
                <w:szCs w:val="21"/>
              </w:rPr>
            </w:pPr>
          </w:p>
        </w:tc>
        <w:tc>
          <w:tcPr>
            <w:tcW w:w="394" w:type="pct"/>
            <w:vAlign w:val="center"/>
          </w:tcPr>
          <w:p w14:paraId="1EC5ED1A">
            <w:pPr>
              <w:spacing w:line="360" w:lineRule="exact"/>
              <w:rPr>
                <w:rFonts w:hint="eastAsia" w:cs="宋体"/>
                <w:sz w:val="21"/>
                <w:szCs w:val="21"/>
              </w:rPr>
            </w:pPr>
          </w:p>
        </w:tc>
      </w:tr>
      <w:tr w14:paraId="32DF8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vAlign w:val="center"/>
          </w:tcPr>
          <w:p w14:paraId="041331CE">
            <w:pPr>
              <w:spacing w:line="360" w:lineRule="exact"/>
              <w:jc w:val="center"/>
              <w:rPr>
                <w:rFonts w:hint="eastAsia" w:cs="宋体"/>
                <w:sz w:val="21"/>
                <w:szCs w:val="21"/>
              </w:rPr>
            </w:pPr>
            <w:r>
              <w:rPr>
                <w:rFonts w:hint="eastAsia" w:cs="宋体"/>
                <w:sz w:val="21"/>
                <w:szCs w:val="21"/>
              </w:rPr>
              <w:t>4</w:t>
            </w:r>
          </w:p>
        </w:tc>
        <w:tc>
          <w:tcPr>
            <w:tcW w:w="1075" w:type="pct"/>
            <w:vAlign w:val="center"/>
          </w:tcPr>
          <w:p w14:paraId="6F6A6634">
            <w:pPr>
              <w:spacing w:line="360" w:lineRule="exact"/>
              <w:jc w:val="center"/>
              <w:rPr>
                <w:rFonts w:hint="eastAsia" w:cs="宋体"/>
                <w:sz w:val="21"/>
                <w:szCs w:val="21"/>
              </w:rPr>
            </w:pPr>
            <w:r>
              <w:rPr>
                <w:rFonts w:hint="eastAsia"/>
                <w:snapToGrid w:val="0"/>
                <w:sz w:val="21"/>
                <w:szCs w:val="21"/>
              </w:rPr>
              <w:t>付款方式</w:t>
            </w:r>
            <w:r>
              <w:rPr>
                <w:rFonts w:hint="eastAsia" w:cs="宋体"/>
                <w:sz w:val="21"/>
                <w:szCs w:val="21"/>
                <w:lang w:val="zh-CN"/>
              </w:rPr>
              <w:t>★</w:t>
            </w:r>
          </w:p>
        </w:tc>
        <w:tc>
          <w:tcPr>
            <w:tcW w:w="2396" w:type="pct"/>
            <w:vAlign w:val="center"/>
          </w:tcPr>
          <w:p w14:paraId="5FDFC5D6">
            <w:pPr>
              <w:pStyle w:val="51"/>
              <w:rPr>
                <w:rFonts w:hint="eastAsia" w:cs="宋体"/>
                <w:sz w:val="21"/>
                <w:szCs w:val="21"/>
              </w:rPr>
            </w:pPr>
            <w:r>
              <w:rPr>
                <w:rFonts w:hint="eastAsia" w:cs="宋体"/>
                <w:sz w:val="21"/>
                <w:szCs w:val="21"/>
              </w:rPr>
              <w:t>招标文件“第三章 采购需求”-商务要求关于</w:t>
            </w:r>
            <w:r>
              <w:rPr>
                <w:rFonts w:hint="eastAsia"/>
                <w:snapToGrid w:val="0"/>
                <w:sz w:val="21"/>
                <w:szCs w:val="21"/>
              </w:rPr>
              <w:t>付款方式</w:t>
            </w:r>
            <w:r>
              <w:rPr>
                <w:rFonts w:hint="eastAsia" w:cs="宋体"/>
                <w:sz w:val="21"/>
                <w:szCs w:val="21"/>
              </w:rPr>
              <w:t>的规定</w:t>
            </w:r>
          </w:p>
        </w:tc>
        <w:tc>
          <w:tcPr>
            <w:tcW w:w="912" w:type="pct"/>
            <w:vAlign w:val="center"/>
          </w:tcPr>
          <w:p w14:paraId="26B580C7">
            <w:pPr>
              <w:spacing w:line="360" w:lineRule="exact"/>
              <w:jc w:val="center"/>
              <w:rPr>
                <w:rFonts w:hint="eastAsia" w:cs="宋体"/>
                <w:sz w:val="21"/>
                <w:szCs w:val="21"/>
              </w:rPr>
            </w:pPr>
          </w:p>
        </w:tc>
        <w:tc>
          <w:tcPr>
            <w:tcW w:w="394" w:type="pct"/>
            <w:vAlign w:val="center"/>
          </w:tcPr>
          <w:p w14:paraId="1C1A2A90">
            <w:pPr>
              <w:spacing w:line="360" w:lineRule="exact"/>
              <w:rPr>
                <w:rFonts w:hint="eastAsia" w:cs="宋体"/>
                <w:sz w:val="21"/>
                <w:szCs w:val="21"/>
              </w:rPr>
            </w:pPr>
          </w:p>
        </w:tc>
      </w:tr>
      <w:tr w14:paraId="166B1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20" w:type="pct"/>
            <w:vAlign w:val="center"/>
          </w:tcPr>
          <w:p w14:paraId="448D9DDE">
            <w:pPr>
              <w:spacing w:line="360" w:lineRule="exact"/>
              <w:jc w:val="center"/>
              <w:rPr>
                <w:rFonts w:hint="eastAsia" w:cs="宋体"/>
                <w:sz w:val="21"/>
                <w:szCs w:val="21"/>
              </w:rPr>
            </w:pPr>
            <w:r>
              <w:rPr>
                <w:rFonts w:hint="eastAsia" w:cs="宋体"/>
                <w:sz w:val="21"/>
                <w:szCs w:val="21"/>
              </w:rPr>
              <w:t>5</w:t>
            </w:r>
          </w:p>
        </w:tc>
        <w:tc>
          <w:tcPr>
            <w:tcW w:w="1075" w:type="pct"/>
            <w:vAlign w:val="center"/>
          </w:tcPr>
          <w:p w14:paraId="07EE1403">
            <w:pPr>
              <w:pStyle w:val="51"/>
              <w:spacing w:line="360" w:lineRule="auto"/>
              <w:rPr>
                <w:rFonts w:ascii="Times New Roman" w:hAnsi="Times New Roman" w:cs="Times New Roman"/>
                <w:sz w:val="21"/>
                <w:szCs w:val="21"/>
              </w:rPr>
            </w:pPr>
            <w:r>
              <w:rPr>
                <w:rFonts w:ascii="Times New Roman" w:hAnsi="Times New Roman" w:cs="Times New Roman"/>
                <w:sz w:val="21"/>
                <w:szCs w:val="21"/>
                <w:lang w:val="zh-CN"/>
              </w:rPr>
              <w:t>……</w:t>
            </w:r>
          </w:p>
        </w:tc>
        <w:tc>
          <w:tcPr>
            <w:tcW w:w="2396" w:type="pct"/>
            <w:vAlign w:val="center"/>
          </w:tcPr>
          <w:p w14:paraId="538259B5">
            <w:pPr>
              <w:pStyle w:val="51"/>
              <w:spacing w:line="360" w:lineRule="auto"/>
              <w:rPr>
                <w:rFonts w:ascii="Times New Roman" w:hAnsi="Times New Roman" w:cs="Times New Roman"/>
                <w:sz w:val="21"/>
                <w:szCs w:val="21"/>
              </w:rPr>
            </w:pPr>
          </w:p>
        </w:tc>
        <w:tc>
          <w:tcPr>
            <w:tcW w:w="912" w:type="pct"/>
            <w:vAlign w:val="center"/>
          </w:tcPr>
          <w:p w14:paraId="4AB84B72">
            <w:pPr>
              <w:spacing w:line="360" w:lineRule="exact"/>
              <w:jc w:val="center"/>
              <w:rPr>
                <w:rFonts w:hint="eastAsia" w:cs="宋体"/>
                <w:sz w:val="21"/>
                <w:szCs w:val="21"/>
              </w:rPr>
            </w:pPr>
          </w:p>
        </w:tc>
        <w:tc>
          <w:tcPr>
            <w:tcW w:w="394" w:type="pct"/>
            <w:vAlign w:val="center"/>
          </w:tcPr>
          <w:p w14:paraId="1B333453">
            <w:pPr>
              <w:spacing w:line="360" w:lineRule="exact"/>
              <w:rPr>
                <w:rFonts w:hint="eastAsia" w:cs="宋体"/>
                <w:sz w:val="21"/>
                <w:szCs w:val="21"/>
              </w:rPr>
            </w:pPr>
          </w:p>
        </w:tc>
      </w:tr>
    </w:tbl>
    <w:p w14:paraId="25F05C0E">
      <w:pPr>
        <w:rPr>
          <w:rFonts w:hint="eastAsia"/>
          <w:b/>
          <w:bCs/>
          <w:sz w:val="21"/>
          <w:szCs w:val="21"/>
        </w:rPr>
      </w:pPr>
    </w:p>
    <w:p w14:paraId="11084B4C">
      <w:pPr>
        <w:rPr>
          <w:rFonts w:hint="eastAsia"/>
          <w:b/>
          <w:bCs/>
          <w:sz w:val="30"/>
          <w:szCs w:val="32"/>
          <w:lang w:val="zh-CN"/>
        </w:rPr>
      </w:pPr>
      <w:r>
        <w:rPr>
          <w:rFonts w:hint="eastAsia"/>
          <w:b/>
          <w:bCs/>
          <w:sz w:val="30"/>
          <w:szCs w:val="32"/>
          <w:lang w:val="zh-CN"/>
        </w:rPr>
        <w:br w:type="page"/>
      </w:r>
    </w:p>
    <w:p w14:paraId="063D5DA8">
      <w:pPr>
        <w:pStyle w:val="5"/>
        <w:spacing w:before="60" w:after="60" w:line="360" w:lineRule="auto"/>
        <w:ind w:left="420" w:hanging="420"/>
        <w:rPr>
          <w:rFonts w:hint="eastAsia" w:cs="宋体"/>
          <w:sz w:val="24"/>
          <w:szCs w:val="24"/>
          <w:lang w:val="zh-CN"/>
        </w:rPr>
      </w:pPr>
      <w:bookmarkStart w:id="402" w:name="_Toc17074"/>
      <w:r>
        <w:rPr>
          <w:rFonts w:hint="eastAsia" w:cs="宋体"/>
          <w:sz w:val="24"/>
          <w:szCs w:val="24"/>
          <w:lang w:val="zh-CN"/>
        </w:rPr>
        <w:t>（二）评分标准</w:t>
      </w:r>
      <w:bookmarkEnd w:id="399"/>
      <w:bookmarkEnd w:id="400"/>
      <w:bookmarkEnd w:id="402"/>
    </w:p>
    <w:tbl>
      <w:tblPr>
        <w:tblStyle w:val="31"/>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45" w:type="dxa"/>
          <w:left w:w="45" w:type="dxa"/>
          <w:bottom w:w="45" w:type="dxa"/>
          <w:right w:w="45" w:type="dxa"/>
        </w:tblCellMar>
      </w:tblPr>
      <w:tblGrid>
        <w:gridCol w:w="979"/>
        <w:gridCol w:w="902"/>
        <w:gridCol w:w="1523"/>
        <w:gridCol w:w="4992"/>
      </w:tblGrid>
      <w:tr w14:paraId="614528AB">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1120" w:type="pct"/>
            <w:gridSpan w:val="2"/>
            <w:tcBorders>
              <w:top w:val="outset" w:color="auto" w:sz="6" w:space="0"/>
              <w:left w:val="outset" w:color="auto" w:sz="6" w:space="0"/>
              <w:bottom w:val="outset" w:color="auto" w:sz="6" w:space="0"/>
              <w:right w:val="outset" w:color="auto" w:sz="6" w:space="0"/>
            </w:tcBorders>
            <w:vAlign w:val="center"/>
          </w:tcPr>
          <w:p w14:paraId="7B3EAE99">
            <w:pPr>
              <w:jc w:val="center"/>
              <w:rPr>
                <w:rFonts w:hint="eastAsia" w:cs="宋体"/>
                <w:szCs w:val="21"/>
              </w:rPr>
            </w:pPr>
            <w:r>
              <w:rPr>
                <w:rFonts w:hint="eastAsia" w:cs="宋体"/>
                <w:szCs w:val="21"/>
                <w:highlight w:val="white"/>
              </w:rPr>
              <w:t>条款号</w:t>
            </w:r>
          </w:p>
        </w:tc>
        <w:tc>
          <w:tcPr>
            <w:tcW w:w="907" w:type="pct"/>
            <w:tcBorders>
              <w:top w:val="outset" w:color="auto" w:sz="6" w:space="0"/>
              <w:left w:val="outset" w:color="auto" w:sz="6" w:space="0"/>
              <w:bottom w:val="outset" w:color="auto" w:sz="6" w:space="0"/>
              <w:right w:val="outset" w:color="auto" w:sz="6" w:space="0"/>
            </w:tcBorders>
            <w:vAlign w:val="center"/>
          </w:tcPr>
          <w:p w14:paraId="2EBD291B">
            <w:pPr>
              <w:jc w:val="center"/>
              <w:rPr>
                <w:rFonts w:hint="eastAsia" w:cs="宋体"/>
                <w:szCs w:val="21"/>
              </w:rPr>
            </w:pPr>
            <w:r>
              <w:rPr>
                <w:rFonts w:hint="eastAsia" w:cs="宋体"/>
                <w:szCs w:val="21"/>
                <w:highlight w:val="white"/>
              </w:rPr>
              <w:t>条款内容</w:t>
            </w:r>
          </w:p>
        </w:tc>
        <w:tc>
          <w:tcPr>
            <w:tcW w:w="2972" w:type="pct"/>
            <w:tcBorders>
              <w:top w:val="outset" w:color="auto" w:sz="6" w:space="0"/>
              <w:left w:val="outset" w:color="auto" w:sz="6" w:space="0"/>
              <w:bottom w:val="outset" w:color="auto" w:sz="6" w:space="0"/>
              <w:right w:val="outset" w:color="auto" w:sz="6" w:space="0"/>
            </w:tcBorders>
            <w:vAlign w:val="center"/>
          </w:tcPr>
          <w:p w14:paraId="29DEBEA9">
            <w:pPr>
              <w:jc w:val="center"/>
              <w:rPr>
                <w:rFonts w:hint="eastAsia" w:cs="宋体"/>
                <w:szCs w:val="21"/>
              </w:rPr>
            </w:pPr>
            <w:r>
              <w:rPr>
                <w:rFonts w:hint="eastAsia" w:cs="宋体"/>
                <w:szCs w:val="21"/>
                <w:highlight w:val="white"/>
              </w:rPr>
              <w:t>编列内容</w:t>
            </w:r>
          </w:p>
        </w:tc>
      </w:tr>
      <w:tr w14:paraId="6059A7BA">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1120" w:type="pct"/>
            <w:gridSpan w:val="2"/>
            <w:tcBorders>
              <w:top w:val="outset" w:color="auto" w:sz="6" w:space="0"/>
              <w:left w:val="outset" w:color="auto" w:sz="6" w:space="0"/>
              <w:bottom w:val="outset" w:color="auto" w:sz="6" w:space="0"/>
              <w:right w:val="outset" w:color="auto" w:sz="6" w:space="0"/>
            </w:tcBorders>
            <w:vAlign w:val="center"/>
          </w:tcPr>
          <w:p w14:paraId="353608B4">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1</w:t>
            </w:r>
          </w:p>
        </w:tc>
        <w:tc>
          <w:tcPr>
            <w:tcW w:w="907" w:type="pct"/>
            <w:tcBorders>
              <w:top w:val="outset" w:color="auto" w:sz="6" w:space="0"/>
              <w:left w:val="outset" w:color="auto" w:sz="6" w:space="0"/>
              <w:bottom w:val="outset" w:color="auto" w:sz="6" w:space="0"/>
              <w:right w:val="outset" w:color="auto" w:sz="6" w:space="0"/>
            </w:tcBorders>
            <w:vAlign w:val="center"/>
          </w:tcPr>
          <w:p w14:paraId="74F8C066">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分值构成</w:t>
            </w:r>
            <w:r>
              <w:rPr>
                <w:rFonts w:hint="eastAsia" w:ascii="宋体" w:hAnsi="宋体" w:eastAsia="宋体" w:cs="宋体"/>
                <w:b w:val="0"/>
                <w:sz w:val="21"/>
                <w:szCs w:val="21"/>
              </w:rPr>
              <w:br w:type="textWrapping"/>
            </w:r>
            <w:r>
              <w:rPr>
                <w:rFonts w:hint="eastAsia" w:ascii="宋体" w:hAnsi="宋体" w:eastAsia="宋体" w:cs="宋体"/>
                <w:b w:val="0"/>
                <w:sz w:val="21"/>
                <w:szCs w:val="21"/>
              </w:rPr>
              <w:t>（总分100分）</w:t>
            </w:r>
          </w:p>
        </w:tc>
        <w:tc>
          <w:tcPr>
            <w:tcW w:w="2972" w:type="pct"/>
            <w:tcBorders>
              <w:top w:val="outset" w:color="auto" w:sz="6" w:space="0"/>
              <w:left w:val="outset" w:color="auto" w:sz="6" w:space="0"/>
              <w:bottom w:val="outset" w:color="auto" w:sz="6" w:space="0"/>
              <w:right w:val="outset" w:color="auto" w:sz="6" w:space="0"/>
            </w:tcBorders>
            <w:vAlign w:val="center"/>
          </w:tcPr>
          <w:p w14:paraId="05F9EF30">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投标报价：10分</w:t>
            </w:r>
            <w:r>
              <w:rPr>
                <w:rFonts w:hint="eastAsia" w:ascii="宋体" w:hAnsi="宋体" w:eastAsia="宋体" w:cs="宋体"/>
                <w:b w:val="0"/>
                <w:sz w:val="21"/>
                <w:szCs w:val="21"/>
              </w:rPr>
              <w:br w:type="textWrapping"/>
            </w:r>
            <w:r>
              <w:rPr>
                <w:rFonts w:hint="eastAsia" w:ascii="宋体" w:hAnsi="宋体" w:eastAsia="宋体" w:cs="宋体"/>
                <w:b w:val="0"/>
                <w:sz w:val="21"/>
                <w:szCs w:val="21"/>
              </w:rPr>
              <w:t>商务部分：30分</w:t>
            </w:r>
            <w:r>
              <w:rPr>
                <w:rFonts w:hint="eastAsia" w:ascii="宋体" w:hAnsi="宋体" w:eastAsia="宋体" w:cs="宋体"/>
                <w:b w:val="0"/>
                <w:sz w:val="21"/>
                <w:szCs w:val="21"/>
              </w:rPr>
              <w:br w:type="textWrapping"/>
            </w:r>
            <w:r>
              <w:rPr>
                <w:rFonts w:hint="eastAsia" w:ascii="宋体" w:hAnsi="宋体" w:eastAsia="宋体" w:cs="宋体"/>
                <w:b w:val="0"/>
                <w:sz w:val="21"/>
                <w:szCs w:val="21"/>
              </w:rPr>
              <w:t>技术部分：60分</w:t>
            </w:r>
          </w:p>
        </w:tc>
      </w:tr>
      <w:tr w14:paraId="2D1CE30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1120" w:type="pct"/>
            <w:gridSpan w:val="2"/>
            <w:tcBorders>
              <w:top w:val="outset" w:color="auto" w:sz="6" w:space="0"/>
              <w:left w:val="outset" w:color="auto" w:sz="6" w:space="0"/>
              <w:bottom w:val="outset" w:color="auto" w:sz="6" w:space="0"/>
              <w:right w:val="outset" w:color="auto" w:sz="6" w:space="0"/>
            </w:tcBorders>
            <w:vAlign w:val="center"/>
          </w:tcPr>
          <w:p w14:paraId="6A84799D">
            <w:pPr>
              <w:spacing w:after="100" w:afterAutospacing="1"/>
              <w:rPr>
                <w:rFonts w:hint="eastAsia" w:cs="宋体"/>
                <w:szCs w:val="21"/>
              </w:rPr>
            </w:pPr>
            <w:r>
              <w:rPr>
                <w:rFonts w:hint="eastAsia" w:cs="宋体"/>
                <w:szCs w:val="21"/>
                <w:highlight w:val="white"/>
              </w:rPr>
              <w:t xml:space="preserve"> 评分因素</w:t>
            </w:r>
          </w:p>
        </w:tc>
        <w:tc>
          <w:tcPr>
            <w:tcW w:w="907" w:type="pct"/>
            <w:tcBorders>
              <w:top w:val="outset" w:color="auto" w:sz="6" w:space="0"/>
              <w:left w:val="outset" w:color="auto" w:sz="6" w:space="0"/>
              <w:bottom w:val="outset" w:color="auto" w:sz="6" w:space="0"/>
              <w:right w:val="outset" w:color="auto" w:sz="6" w:space="0"/>
            </w:tcBorders>
            <w:vAlign w:val="center"/>
          </w:tcPr>
          <w:p w14:paraId="773A5D37">
            <w:pPr>
              <w:jc w:val="center"/>
              <w:rPr>
                <w:rFonts w:hint="eastAsia" w:cs="宋体"/>
                <w:szCs w:val="21"/>
              </w:rPr>
            </w:pPr>
            <w:r>
              <w:rPr>
                <w:rFonts w:hint="eastAsia" w:cs="宋体"/>
                <w:szCs w:val="21"/>
                <w:highlight w:val="white"/>
              </w:rPr>
              <w:t>评分点</w:t>
            </w:r>
          </w:p>
        </w:tc>
        <w:tc>
          <w:tcPr>
            <w:tcW w:w="2972" w:type="pct"/>
            <w:tcBorders>
              <w:top w:val="outset" w:color="auto" w:sz="6" w:space="0"/>
              <w:left w:val="outset" w:color="auto" w:sz="6" w:space="0"/>
              <w:bottom w:val="outset" w:color="auto" w:sz="6" w:space="0"/>
              <w:right w:val="outset" w:color="auto" w:sz="6" w:space="0"/>
            </w:tcBorders>
            <w:vAlign w:val="center"/>
          </w:tcPr>
          <w:p w14:paraId="1516F760">
            <w:pPr>
              <w:jc w:val="center"/>
              <w:rPr>
                <w:rFonts w:hint="eastAsia" w:cs="宋体"/>
                <w:szCs w:val="21"/>
              </w:rPr>
            </w:pPr>
            <w:r>
              <w:rPr>
                <w:rFonts w:hint="eastAsia" w:cs="宋体"/>
                <w:szCs w:val="21"/>
                <w:highlight w:val="white"/>
              </w:rPr>
              <w:t>评分标准</w:t>
            </w:r>
          </w:p>
        </w:tc>
      </w:tr>
      <w:tr w14:paraId="709FBEA2">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583" w:type="pct"/>
            <w:vMerge w:val="restart"/>
            <w:tcBorders>
              <w:top w:val="outset" w:color="auto" w:sz="6" w:space="0"/>
              <w:left w:val="outset" w:color="auto" w:sz="6" w:space="0"/>
              <w:bottom w:val="outset" w:color="auto" w:sz="6" w:space="0"/>
              <w:right w:val="outset" w:color="auto" w:sz="6" w:space="0"/>
            </w:tcBorders>
            <w:vAlign w:val="center"/>
          </w:tcPr>
          <w:p w14:paraId="483E9CD9">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详细评审</w:t>
            </w:r>
          </w:p>
        </w:tc>
        <w:tc>
          <w:tcPr>
            <w:tcW w:w="536" w:type="pct"/>
            <w:tcBorders>
              <w:top w:val="outset" w:color="auto" w:sz="6" w:space="0"/>
              <w:left w:val="outset" w:color="auto" w:sz="6" w:space="0"/>
              <w:bottom w:val="outset" w:color="auto" w:sz="6" w:space="0"/>
              <w:right w:val="outset" w:color="auto" w:sz="6" w:space="0"/>
            </w:tcBorders>
            <w:vAlign w:val="center"/>
          </w:tcPr>
          <w:p w14:paraId="2513FCBD">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投标报价（10分）</w:t>
            </w:r>
          </w:p>
        </w:tc>
        <w:tc>
          <w:tcPr>
            <w:tcW w:w="907" w:type="pct"/>
            <w:tcBorders>
              <w:top w:val="outset" w:color="auto" w:sz="6" w:space="0"/>
              <w:left w:val="outset" w:color="auto" w:sz="6" w:space="0"/>
              <w:bottom w:val="outset" w:color="auto" w:sz="6" w:space="0"/>
              <w:right w:val="outset" w:color="auto" w:sz="6" w:space="0"/>
            </w:tcBorders>
            <w:vAlign w:val="center"/>
          </w:tcPr>
          <w:p w14:paraId="0AD39237">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投标报价</w:t>
            </w:r>
          </w:p>
          <w:p w14:paraId="719CFA41">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（10分）</w:t>
            </w:r>
          </w:p>
        </w:tc>
        <w:tc>
          <w:tcPr>
            <w:tcW w:w="2972" w:type="pct"/>
            <w:tcBorders>
              <w:top w:val="outset" w:color="auto" w:sz="6" w:space="0"/>
              <w:left w:val="outset" w:color="auto" w:sz="6" w:space="0"/>
              <w:bottom w:val="outset" w:color="auto" w:sz="6" w:space="0"/>
              <w:right w:val="outset" w:color="auto" w:sz="6" w:space="0"/>
            </w:tcBorders>
            <w:vAlign w:val="center"/>
          </w:tcPr>
          <w:p w14:paraId="2E398B3F">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通过初步评审的投标人报价；评标基准价=有效投标报价的最低价，有效投标报价等于基准值的得满分，投标报价得分= （评标基准价/投标报价）×10%×100。有效投标报价为通过初步审查的投标人报价；评标价（有效投标报价）。</w:t>
            </w:r>
          </w:p>
        </w:tc>
      </w:tr>
      <w:tr w14:paraId="274F16C0">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rPr>
          <w:trHeight w:val="1464" w:hRule="atLeast"/>
        </w:trPr>
        <w:tc>
          <w:tcPr>
            <w:tcW w:w="583" w:type="pct"/>
            <w:vMerge w:val="continue"/>
            <w:tcBorders>
              <w:top w:val="outset" w:color="auto" w:sz="6" w:space="0"/>
              <w:left w:val="outset" w:color="auto" w:sz="6" w:space="0"/>
              <w:bottom w:val="outset" w:color="auto" w:sz="6" w:space="0"/>
              <w:right w:val="outset" w:color="auto" w:sz="6" w:space="0"/>
            </w:tcBorders>
            <w:vAlign w:val="center"/>
          </w:tcPr>
          <w:p w14:paraId="3B614962">
            <w:pPr>
              <w:pStyle w:val="76"/>
              <w:spacing w:line="280" w:lineRule="exact"/>
              <w:rPr>
                <w:rFonts w:hint="eastAsia" w:ascii="宋体" w:hAnsi="宋体" w:eastAsia="宋体" w:cs="宋体"/>
                <w:b w:val="0"/>
                <w:sz w:val="21"/>
                <w:szCs w:val="21"/>
              </w:rPr>
            </w:pPr>
          </w:p>
        </w:tc>
        <w:tc>
          <w:tcPr>
            <w:tcW w:w="536" w:type="pct"/>
            <w:vMerge w:val="restart"/>
            <w:tcBorders>
              <w:top w:val="outset" w:color="auto" w:sz="6" w:space="0"/>
              <w:left w:val="outset" w:color="auto" w:sz="6" w:space="0"/>
              <w:bottom w:val="outset" w:color="auto" w:sz="6" w:space="0"/>
              <w:right w:val="outset" w:color="auto" w:sz="6" w:space="0"/>
            </w:tcBorders>
            <w:vAlign w:val="center"/>
          </w:tcPr>
          <w:p w14:paraId="1E490A3F">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商务评审（30分）</w:t>
            </w:r>
          </w:p>
        </w:tc>
        <w:tc>
          <w:tcPr>
            <w:tcW w:w="907" w:type="pct"/>
            <w:tcBorders>
              <w:top w:val="outset" w:color="auto" w:sz="6" w:space="0"/>
              <w:left w:val="outset" w:color="auto" w:sz="6" w:space="0"/>
              <w:right w:val="outset" w:color="auto" w:sz="6" w:space="0"/>
            </w:tcBorders>
            <w:vAlign w:val="center"/>
          </w:tcPr>
          <w:p w14:paraId="731ADDF6">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投标人业绩</w:t>
            </w:r>
          </w:p>
          <w:p w14:paraId="68C226B8">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（6分）</w:t>
            </w:r>
          </w:p>
        </w:tc>
        <w:tc>
          <w:tcPr>
            <w:tcW w:w="2972" w:type="pct"/>
            <w:tcBorders>
              <w:top w:val="outset" w:color="auto" w:sz="6" w:space="0"/>
              <w:left w:val="outset" w:color="auto" w:sz="6" w:space="0"/>
              <w:bottom w:val="outset" w:color="auto" w:sz="6" w:space="0"/>
              <w:right w:val="outset" w:color="auto" w:sz="6" w:space="0"/>
            </w:tcBorders>
            <w:vAlign w:val="center"/>
          </w:tcPr>
          <w:p w14:paraId="7B544086">
            <w:pPr>
              <w:pStyle w:val="76"/>
              <w:spacing w:line="280" w:lineRule="exact"/>
              <w:rPr>
                <w:rFonts w:hint="eastAsia" w:ascii="宋体" w:hAnsi="宋体" w:eastAsia="宋体" w:cs="宋体"/>
                <w:b w:val="0"/>
                <w:sz w:val="21"/>
                <w:szCs w:val="21"/>
                <w:lang w:eastAsia="zh-CN"/>
              </w:rPr>
            </w:pPr>
            <w:r>
              <w:rPr>
                <w:rFonts w:hint="eastAsia" w:ascii="宋体" w:hAnsi="宋体" w:eastAsia="宋体" w:cs="宋体"/>
                <w:b w:val="0"/>
                <w:sz w:val="21"/>
                <w:szCs w:val="21"/>
              </w:rPr>
              <w:t>2021年1月1日以来承担过生态修复工程全过程咨询业务、勘查设计、监理、监测评估等相关类似项目业绩，每提供一项有 效业绩得2分，最多得6分。</w:t>
            </w:r>
          </w:p>
          <w:p w14:paraId="6A3C5328">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提供中标（成交）通知书或服务合同扫描件，以中标（成交）通知书发出时间或合同签订时间为准。</w:t>
            </w:r>
          </w:p>
        </w:tc>
      </w:tr>
      <w:tr w14:paraId="4870981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583" w:type="pct"/>
            <w:vMerge w:val="continue"/>
            <w:tcBorders>
              <w:top w:val="outset" w:color="auto" w:sz="6" w:space="0"/>
              <w:left w:val="outset" w:color="auto" w:sz="6" w:space="0"/>
              <w:bottom w:val="outset" w:color="auto" w:sz="6" w:space="0"/>
              <w:right w:val="outset" w:color="auto" w:sz="6" w:space="0"/>
            </w:tcBorders>
            <w:vAlign w:val="center"/>
          </w:tcPr>
          <w:p w14:paraId="202888D6">
            <w:pPr>
              <w:pStyle w:val="76"/>
              <w:spacing w:line="280" w:lineRule="exact"/>
              <w:rPr>
                <w:rFonts w:hint="eastAsia" w:ascii="宋体" w:hAnsi="宋体" w:eastAsia="宋体" w:cs="宋体"/>
                <w:b w:val="0"/>
                <w:sz w:val="21"/>
                <w:szCs w:val="21"/>
              </w:rPr>
            </w:pPr>
          </w:p>
        </w:tc>
        <w:tc>
          <w:tcPr>
            <w:tcW w:w="536" w:type="pct"/>
            <w:vMerge w:val="continue"/>
            <w:tcBorders>
              <w:top w:val="outset" w:color="auto" w:sz="6" w:space="0"/>
              <w:left w:val="outset" w:color="auto" w:sz="6" w:space="0"/>
              <w:bottom w:val="outset" w:color="auto" w:sz="6" w:space="0"/>
              <w:right w:val="outset" w:color="auto" w:sz="6" w:space="0"/>
            </w:tcBorders>
            <w:vAlign w:val="center"/>
          </w:tcPr>
          <w:p w14:paraId="4E163F5A">
            <w:pPr>
              <w:pStyle w:val="76"/>
              <w:spacing w:line="280" w:lineRule="exact"/>
              <w:rPr>
                <w:rFonts w:hint="eastAsia" w:ascii="宋体" w:hAnsi="宋体" w:eastAsia="宋体" w:cs="宋体"/>
                <w:b w:val="0"/>
                <w:sz w:val="21"/>
                <w:szCs w:val="21"/>
              </w:rPr>
            </w:pPr>
          </w:p>
        </w:tc>
        <w:tc>
          <w:tcPr>
            <w:tcW w:w="907" w:type="pct"/>
            <w:tcBorders>
              <w:top w:val="outset" w:color="auto" w:sz="6" w:space="0"/>
              <w:left w:val="outset" w:color="auto" w:sz="6" w:space="0"/>
              <w:bottom w:val="outset" w:color="auto" w:sz="6" w:space="0"/>
              <w:right w:val="outset" w:color="auto" w:sz="6" w:space="0"/>
            </w:tcBorders>
            <w:vAlign w:val="center"/>
          </w:tcPr>
          <w:p w14:paraId="46892FB8">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项目负责人及技术负责人</w:t>
            </w:r>
          </w:p>
          <w:p w14:paraId="17F87F63">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（8分）</w:t>
            </w:r>
          </w:p>
        </w:tc>
        <w:tc>
          <w:tcPr>
            <w:tcW w:w="2972" w:type="pct"/>
            <w:tcBorders>
              <w:top w:val="outset" w:color="auto" w:sz="6" w:space="0"/>
              <w:left w:val="outset" w:color="auto" w:sz="6" w:space="0"/>
              <w:bottom w:val="outset" w:color="auto" w:sz="6" w:space="0"/>
              <w:right w:val="outset" w:color="auto" w:sz="6" w:space="0"/>
            </w:tcBorders>
            <w:vAlign w:val="center"/>
          </w:tcPr>
          <w:p w14:paraId="333BAEC4">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1.拟派项目负责人具有水工环、地质勘探工程、环境工程、地质工程专业正高级职称的得4分，副高级职称得2分</w:t>
            </w:r>
            <w:bookmarkStart w:id="722" w:name="_GoBack"/>
            <w:bookmarkEnd w:id="722"/>
            <w:r>
              <w:rPr>
                <w:rFonts w:hint="eastAsia" w:ascii="宋体" w:hAnsi="宋体" w:eastAsia="宋体" w:cs="宋体"/>
                <w:b w:val="0"/>
                <w:sz w:val="21"/>
                <w:szCs w:val="21"/>
              </w:rPr>
              <w:t>。</w:t>
            </w:r>
          </w:p>
          <w:p w14:paraId="13AC58B7">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2.拟派技术负责人具有具有水工环、地质勘探工程、环境工程、地质工程专业正高级职称的得4分，副高级职称得2分</w:t>
            </w:r>
            <w:r>
              <w:rPr>
                <w:rFonts w:hint="eastAsia" w:ascii="宋体" w:hAnsi="宋体" w:eastAsia="宋体" w:cs="宋体"/>
                <w:b w:val="0"/>
                <w:sz w:val="21"/>
                <w:szCs w:val="21"/>
                <w:lang w:eastAsia="zh-CN"/>
              </w:rPr>
              <w:t>，</w:t>
            </w:r>
            <w:r>
              <w:rPr>
                <w:rFonts w:hint="eastAsia" w:ascii="宋体" w:hAnsi="宋体" w:eastAsia="宋体" w:cs="宋体"/>
                <w:b w:val="0"/>
                <w:sz w:val="21"/>
                <w:szCs w:val="21"/>
              </w:rPr>
              <w:t>中级职称得1分。</w:t>
            </w:r>
          </w:p>
          <w:p w14:paraId="55D43135">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注：项目负责人及技术负责人需提供人员简历、相关证书和社保缴纳证明材料（</w:t>
            </w:r>
            <w:r>
              <w:rPr>
                <w:rFonts w:hint="eastAsia" w:ascii="宋体" w:hAnsi="宋体" w:eastAsia="宋体" w:cs="宋体"/>
                <w:b w:val="0"/>
                <w:sz w:val="21"/>
                <w:szCs w:val="21"/>
                <w:lang w:eastAsia="zh-CN"/>
              </w:rPr>
              <w:t>近半年任意三个月</w:t>
            </w:r>
            <w:r>
              <w:rPr>
                <w:rFonts w:hint="eastAsia" w:ascii="宋体" w:hAnsi="宋体" w:eastAsia="宋体" w:cs="宋体"/>
                <w:b w:val="0"/>
                <w:sz w:val="21"/>
                <w:szCs w:val="21"/>
              </w:rPr>
              <w:t>的社保证明，如无须缴纳社保证明的须提供证明材料）。</w:t>
            </w:r>
          </w:p>
        </w:tc>
      </w:tr>
      <w:tr w14:paraId="6E1C0F5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583" w:type="pct"/>
            <w:vMerge w:val="continue"/>
            <w:tcBorders>
              <w:top w:val="outset" w:color="auto" w:sz="6" w:space="0"/>
              <w:left w:val="outset" w:color="auto" w:sz="6" w:space="0"/>
              <w:bottom w:val="outset" w:color="auto" w:sz="6" w:space="0"/>
              <w:right w:val="outset" w:color="auto" w:sz="6" w:space="0"/>
            </w:tcBorders>
            <w:vAlign w:val="center"/>
          </w:tcPr>
          <w:p w14:paraId="2287A265">
            <w:pPr>
              <w:pStyle w:val="76"/>
              <w:spacing w:line="280" w:lineRule="exact"/>
              <w:rPr>
                <w:rFonts w:hint="eastAsia" w:ascii="宋体" w:hAnsi="宋体" w:eastAsia="宋体" w:cs="宋体"/>
                <w:b w:val="0"/>
                <w:sz w:val="21"/>
                <w:szCs w:val="21"/>
              </w:rPr>
            </w:pPr>
          </w:p>
        </w:tc>
        <w:tc>
          <w:tcPr>
            <w:tcW w:w="536" w:type="pct"/>
            <w:vMerge w:val="continue"/>
            <w:tcBorders>
              <w:top w:val="outset" w:color="auto" w:sz="6" w:space="0"/>
              <w:left w:val="outset" w:color="auto" w:sz="6" w:space="0"/>
              <w:bottom w:val="outset" w:color="auto" w:sz="6" w:space="0"/>
              <w:right w:val="outset" w:color="auto" w:sz="6" w:space="0"/>
            </w:tcBorders>
            <w:vAlign w:val="center"/>
          </w:tcPr>
          <w:p w14:paraId="486DAFB8">
            <w:pPr>
              <w:pStyle w:val="76"/>
              <w:spacing w:line="280" w:lineRule="exact"/>
              <w:rPr>
                <w:rFonts w:hint="eastAsia" w:ascii="宋体" w:hAnsi="宋体" w:eastAsia="宋体" w:cs="宋体"/>
                <w:b w:val="0"/>
                <w:sz w:val="21"/>
                <w:szCs w:val="21"/>
              </w:rPr>
            </w:pPr>
          </w:p>
        </w:tc>
        <w:tc>
          <w:tcPr>
            <w:tcW w:w="907" w:type="pct"/>
            <w:tcBorders>
              <w:top w:val="outset" w:color="auto" w:sz="6" w:space="0"/>
              <w:left w:val="outset" w:color="auto" w:sz="6" w:space="0"/>
              <w:bottom w:val="outset" w:color="auto" w:sz="6" w:space="0"/>
              <w:right w:val="outset" w:color="auto" w:sz="6" w:space="0"/>
            </w:tcBorders>
            <w:vAlign w:val="center"/>
          </w:tcPr>
          <w:p w14:paraId="32FAF412">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人员配备</w:t>
            </w:r>
          </w:p>
          <w:p w14:paraId="6072224A">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（12分）</w:t>
            </w:r>
          </w:p>
        </w:tc>
        <w:tc>
          <w:tcPr>
            <w:tcW w:w="2972" w:type="pct"/>
            <w:tcBorders>
              <w:top w:val="outset" w:color="auto" w:sz="6" w:space="0"/>
              <w:left w:val="outset" w:color="auto" w:sz="6" w:space="0"/>
              <w:bottom w:val="outset" w:color="auto" w:sz="6" w:space="0"/>
              <w:right w:val="outset" w:color="auto" w:sz="6" w:space="0"/>
            </w:tcBorders>
            <w:vAlign w:val="center"/>
          </w:tcPr>
          <w:p w14:paraId="159A633A">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团队人员（除负责人）：每具有水文地质、工程地质与环境地质专业、测绘类专业、环境工程类专业、地质类专业1个副高级职称得2分，中级职称得1分。本项满分12分。</w:t>
            </w:r>
          </w:p>
          <w:p w14:paraId="5EDD6296">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注：须提供人员清单、相关证书和单位缴纳社保证明材料（</w:t>
            </w:r>
            <w:r>
              <w:rPr>
                <w:rFonts w:hint="eastAsia" w:ascii="宋体" w:hAnsi="宋体" w:eastAsia="宋体" w:cs="宋体"/>
                <w:b w:val="0"/>
                <w:sz w:val="21"/>
                <w:szCs w:val="21"/>
                <w:lang w:eastAsia="zh-CN"/>
              </w:rPr>
              <w:t>近半年任意三个月</w:t>
            </w:r>
            <w:r>
              <w:rPr>
                <w:rFonts w:hint="eastAsia" w:ascii="宋体" w:hAnsi="宋体" w:eastAsia="宋体" w:cs="宋体"/>
                <w:b w:val="0"/>
                <w:sz w:val="21"/>
                <w:szCs w:val="21"/>
              </w:rPr>
              <w:t>的社保证明，如无须缴纳社保证明的须提供证明材料）。未提供或提供材料不全的本项不得分。</w:t>
            </w:r>
          </w:p>
        </w:tc>
      </w:tr>
      <w:tr w14:paraId="39BB3A08">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rPr>
          <w:trHeight w:val="90" w:hRule="atLeast"/>
        </w:trPr>
        <w:tc>
          <w:tcPr>
            <w:tcW w:w="583" w:type="pct"/>
            <w:vMerge w:val="continue"/>
            <w:tcBorders>
              <w:top w:val="outset" w:color="auto" w:sz="6" w:space="0"/>
              <w:left w:val="outset" w:color="auto" w:sz="6" w:space="0"/>
              <w:bottom w:val="outset" w:color="auto" w:sz="6" w:space="0"/>
              <w:right w:val="outset" w:color="auto" w:sz="6" w:space="0"/>
            </w:tcBorders>
            <w:vAlign w:val="center"/>
          </w:tcPr>
          <w:p w14:paraId="4586AB85">
            <w:pPr>
              <w:pStyle w:val="76"/>
              <w:spacing w:line="280" w:lineRule="exact"/>
              <w:rPr>
                <w:rFonts w:hint="eastAsia" w:ascii="宋体" w:hAnsi="宋体" w:eastAsia="宋体" w:cs="宋体"/>
                <w:b w:val="0"/>
                <w:sz w:val="21"/>
                <w:szCs w:val="21"/>
              </w:rPr>
            </w:pPr>
          </w:p>
        </w:tc>
        <w:tc>
          <w:tcPr>
            <w:tcW w:w="536" w:type="pct"/>
            <w:vMerge w:val="continue"/>
            <w:tcBorders>
              <w:top w:val="outset" w:color="auto" w:sz="6" w:space="0"/>
              <w:left w:val="outset" w:color="auto" w:sz="6" w:space="0"/>
              <w:bottom w:val="outset" w:color="auto" w:sz="6" w:space="0"/>
              <w:right w:val="outset" w:color="auto" w:sz="6" w:space="0"/>
            </w:tcBorders>
            <w:vAlign w:val="center"/>
          </w:tcPr>
          <w:p w14:paraId="5A6ED878">
            <w:pPr>
              <w:pStyle w:val="76"/>
              <w:spacing w:line="280" w:lineRule="exact"/>
              <w:rPr>
                <w:rFonts w:hint="eastAsia" w:ascii="宋体" w:hAnsi="宋体" w:eastAsia="宋体" w:cs="宋体"/>
                <w:b w:val="0"/>
                <w:sz w:val="21"/>
                <w:szCs w:val="21"/>
              </w:rPr>
            </w:pPr>
          </w:p>
        </w:tc>
        <w:tc>
          <w:tcPr>
            <w:tcW w:w="907" w:type="pct"/>
            <w:tcBorders>
              <w:top w:val="outset" w:color="auto" w:sz="6" w:space="0"/>
              <w:left w:val="outset" w:color="auto" w:sz="6" w:space="0"/>
              <w:bottom w:val="outset" w:color="auto" w:sz="6" w:space="0"/>
              <w:right w:val="outset" w:color="auto" w:sz="6" w:space="0"/>
            </w:tcBorders>
            <w:vAlign w:val="center"/>
          </w:tcPr>
          <w:p w14:paraId="6973548C">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组织管理</w:t>
            </w:r>
          </w:p>
          <w:p w14:paraId="087F80B7">
            <w:pPr>
              <w:pStyle w:val="76"/>
              <w:spacing w:line="280" w:lineRule="exact"/>
              <w:jc w:val="center"/>
              <w:rPr>
                <w:rFonts w:hint="eastAsia" w:ascii="宋体" w:hAnsi="宋体" w:eastAsia="宋体" w:cs="宋体"/>
                <w:b w:val="0"/>
                <w:sz w:val="21"/>
                <w:szCs w:val="21"/>
              </w:rPr>
            </w:pPr>
            <w:r>
              <w:rPr>
                <w:rFonts w:hint="eastAsia" w:ascii="宋体" w:hAnsi="宋体" w:eastAsia="宋体" w:cs="宋体"/>
                <w:b w:val="0"/>
                <w:sz w:val="21"/>
                <w:szCs w:val="21"/>
              </w:rPr>
              <w:t>（4分）</w:t>
            </w:r>
          </w:p>
        </w:tc>
        <w:tc>
          <w:tcPr>
            <w:tcW w:w="2972" w:type="pct"/>
            <w:tcBorders>
              <w:top w:val="outset" w:color="auto" w:sz="6" w:space="0"/>
              <w:left w:val="outset" w:color="auto" w:sz="6" w:space="0"/>
              <w:bottom w:val="outset" w:color="auto" w:sz="6" w:space="0"/>
              <w:right w:val="outset" w:color="auto" w:sz="6" w:space="0"/>
            </w:tcBorders>
            <w:vAlign w:val="center"/>
          </w:tcPr>
          <w:p w14:paraId="1E7997A4">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供应商组织机构健全，有完善的管理体系，管理制度健全，管理流程规范得4分；有完善的但不详细的管理体系计得2分；管理体系和制度方案描述一般得1分，不提供的不得分。</w:t>
            </w:r>
          </w:p>
        </w:tc>
      </w:tr>
      <w:tr w14:paraId="0DFB041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583" w:type="pct"/>
            <w:vMerge w:val="continue"/>
            <w:tcBorders>
              <w:top w:val="outset" w:color="auto" w:sz="6" w:space="0"/>
              <w:left w:val="outset" w:color="auto" w:sz="6" w:space="0"/>
              <w:bottom w:val="outset" w:color="auto" w:sz="6" w:space="0"/>
              <w:right w:val="outset" w:color="auto" w:sz="6" w:space="0"/>
            </w:tcBorders>
            <w:vAlign w:val="center"/>
          </w:tcPr>
          <w:p w14:paraId="5EAE1B5F">
            <w:pPr>
              <w:pStyle w:val="76"/>
              <w:spacing w:line="280" w:lineRule="exact"/>
              <w:rPr>
                <w:rFonts w:hint="eastAsia" w:ascii="宋体" w:hAnsi="宋体" w:eastAsia="宋体" w:cs="宋体"/>
                <w:b w:val="0"/>
                <w:sz w:val="21"/>
                <w:szCs w:val="21"/>
              </w:rPr>
            </w:pPr>
          </w:p>
        </w:tc>
        <w:tc>
          <w:tcPr>
            <w:tcW w:w="536" w:type="pct"/>
            <w:vMerge w:val="restart"/>
            <w:tcBorders>
              <w:top w:val="outset" w:color="auto" w:sz="6" w:space="0"/>
              <w:left w:val="outset" w:color="auto" w:sz="6" w:space="0"/>
              <w:bottom w:val="outset" w:color="auto" w:sz="6" w:space="0"/>
              <w:right w:val="outset" w:color="auto" w:sz="6" w:space="0"/>
            </w:tcBorders>
            <w:vAlign w:val="center"/>
          </w:tcPr>
          <w:p w14:paraId="585CFCE1">
            <w:pPr>
              <w:pStyle w:val="76"/>
              <w:spacing w:line="280" w:lineRule="exact"/>
              <w:rPr>
                <w:rFonts w:hint="eastAsia" w:ascii="宋体" w:hAnsi="宋体" w:eastAsia="宋体" w:cs="宋体"/>
                <w:b w:val="0"/>
                <w:sz w:val="21"/>
                <w:szCs w:val="21"/>
              </w:rPr>
            </w:pPr>
            <w:r>
              <w:rPr>
                <w:rFonts w:hint="eastAsia" w:ascii="宋体" w:hAnsi="宋体" w:eastAsia="宋体" w:cs="宋体"/>
                <w:b w:val="0"/>
                <w:sz w:val="21"/>
                <w:szCs w:val="21"/>
              </w:rPr>
              <w:t>技术评审（60分）</w:t>
            </w:r>
          </w:p>
        </w:tc>
        <w:tc>
          <w:tcPr>
            <w:tcW w:w="907" w:type="pct"/>
            <w:tcBorders>
              <w:top w:val="outset" w:color="auto" w:sz="6" w:space="0"/>
              <w:left w:val="outset" w:color="auto" w:sz="6" w:space="0"/>
              <w:bottom w:val="outset" w:color="auto" w:sz="6" w:space="0"/>
              <w:right w:val="outset" w:color="auto" w:sz="6" w:space="0"/>
            </w:tcBorders>
            <w:vAlign w:val="center"/>
          </w:tcPr>
          <w:p w14:paraId="025E16C3">
            <w:pPr>
              <w:pStyle w:val="77"/>
              <w:jc w:val="center"/>
              <w:rPr>
                <w:rFonts w:hint="eastAsia" w:ascii="宋体" w:hAnsi="宋体" w:eastAsia="宋体" w:cs="宋体"/>
                <w:sz w:val="21"/>
                <w:szCs w:val="21"/>
              </w:rPr>
            </w:pPr>
            <w:r>
              <w:rPr>
                <w:rFonts w:hint="eastAsia" w:ascii="宋体" w:hAnsi="宋体" w:eastAsia="宋体" w:cs="宋体"/>
                <w:sz w:val="21"/>
                <w:szCs w:val="21"/>
              </w:rPr>
              <w:t>对项目的理解</w:t>
            </w:r>
          </w:p>
          <w:p w14:paraId="6E9BF434">
            <w:pPr>
              <w:pStyle w:val="77"/>
              <w:jc w:val="center"/>
              <w:rPr>
                <w:rFonts w:hint="eastAsia" w:ascii="宋体" w:hAnsi="宋体" w:eastAsia="宋体" w:cs="宋体"/>
                <w:sz w:val="21"/>
                <w:szCs w:val="21"/>
              </w:rPr>
            </w:pPr>
            <w:r>
              <w:rPr>
                <w:rFonts w:hint="eastAsia" w:ascii="宋体" w:hAnsi="宋体" w:eastAsia="宋体" w:cs="宋体"/>
                <w:sz w:val="21"/>
                <w:szCs w:val="21"/>
              </w:rPr>
              <w:t>（10分）</w:t>
            </w:r>
          </w:p>
        </w:tc>
        <w:tc>
          <w:tcPr>
            <w:tcW w:w="2972" w:type="pct"/>
            <w:tcBorders>
              <w:top w:val="outset" w:color="auto" w:sz="6" w:space="0"/>
              <w:left w:val="outset" w:color="auto" w:sz="6" w:space="0"/>
              <w:bottom w:val="outset" w:color="auto" w:sz="6" w:space="0"/>
              <w:right w:val="outset" w:color="auto" w:sz="6" w:space="0"/>
            </w:tcBorders>
            <w:vAlign w:val="center"/>
          </w:tcPr>
          <w:p w14:paraId="6FF46607">
            <w:pPr>
              <w:pStyle w:val="77"/>
              <w:rPr>
                <w:rFonts w:hint="eastAsia" w:ascii="宋体" w:hAnsi="宋体" w:eastAsia="宋体" w:cs="宋体"/>
                <w:sz w:val="21"/>
                <w:szCs w:val="21"/>
              </w:rPr>
            </w:pPr>
            <w:r>
              <w:rPr>
                <w:rFonts w:hint="eastAsia" w:ascii="宋体" w:hAnsi="宋体" w:eastAsia="宋体" w:cs="宋体"/>
                <w:sz w:val="21"/>
                <w:szCs w:val="21"/>
              </w:rPr>
              <w:t>包括但不限于以下内容：1项目背景；2需求分析及实施目标；3与备案方案的一致性；4合规性、科学性、可行性分析；5资金概算的合理有效性分析。每缺少一项内容扣2分，每存在一处缺陷的扣1分，扣完为止。</w:t>
            </w:r>
          </w:p>
        </w:tc>
      </w:tr>
      <w:tr w14:paraId="3E3A692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583" w:type="pct"/>
            <w:vMerge w:val="continue"/>
            <w:tcBorders>
              <w:top w:val="outset" w:color="auto" w:sz="6" w:space="0"/>
              <w:left w:val="outset" w:color="auto" w:sz="6" w:space="0"/>
              <w:bottom w:val="outset" w:color="auto" w:sz="6" w:space="0"/>
              <w:right w:val="outset" w:color="auto" w:sz="6" w:space="0"/>
            </w:tcBorders>
            <w:vAlign w:val="center"/>
          </w:tcPr>
          <w:p w14:paraId="71D9CA30">
            <w:pPr>
              <w:pStyle w:val="76"/>
              <w:spacing w:line="280" w:lineRule="exact"/>
              <w:rPr>
                <w:rFonts w:hint="eastAsia" w:ascii="宋体" w:hAnsi="宋体" w:eastAsia="宋体" w:cs="宋体"/>
                <w:b w:val="0"/>
                <w:sz w:val="21"/>
                <w:szCs w:val="21"/>
              </w:rPr>
            </w:pPr>
          </w:p>
        </w:tc>
        <w:tc>
          <w:tcPr>
            <w:tcW w:w="536" w:type="pct"/>
            <w:vMerge w:val="continue"/>
            <w:tcBorders>
              <w:top w:val="outset" w:color="auto" w:sz="6" w:space="0"/>
              <w:left w:val="outset" w:color="auto" w:sz="6" w:space="0"/>
              <w:bottom w:val="outset" w:color="auto" w:sz="6" w:space="0"/>
              <w:right w:val="outset" w:color="auto" w:sz="6" w:space="0"/>
            </w:tcBorders>
            <w:vAlign w:val="center"/>
          </w:tcPr>
          <w:p w14:paraId="4B2E84BB">
            <w:pPr>
              <w:pStyle w:val="76"/>
              <w:spacing w:line="280" w:lineRule="exact"/>
              <w:rPr>
                <w:rFonts w:hint="eastAsia" w:ascii="宋体" w:hAnsi="宋体" w:eastAsia="宋体" w:cs="宋体"/>
                <w:b w:val="0"/>
                <w:sz w:val="21"/>
                <w:szCs w:val="21"/>
              </w:rPr>
            </w:pPr>
          </w:p>
        </w:tc>
        <w:tc>
          <w:tcPr>
            <w:tcW w:w="907" w:type="pct"/>
            <w:tcBorders>
              <w:top w:val="outset" w:color="auto" w:sz="6" w:space="0"/>
              <w:left w:val="outset" w:color="auto" w:sz="6" w:space="0"/>
              <w:bottom w:val="outset" w:color="auto" w:sz="6" w:space="0"/>
              <w:right w:val="outset" w:color="auto" w:sz="6" w:space="0"/>
            </w:tcBorders>
            <w:vAlign w:val="center"/>
          </w:tcPr>
          <w:p w14:paraId="52A6C5FC">
            <w:pPr>
              <w:pStyle w:val="77"/>
              <w:jc w:val="center"/>
              <w:rPr>
                <w:rFonts w:hint="eastAsia" w:ascii="宋体" w:hAnsi="宋体" w:eastAsia="宋体" w:cs="宋体"/>
                <w:sz w:val="21"/>
                <w:szCs w:val="21"/>
              </w:rPr>
            </w:pPr>
            <w:r>
              <w:rPr>
                <w:rFonts w:hint="eastAsia" w:ascii="宋体" w:hAnsi="宋体" w:eastAsia="宋体" w:cs="宋体"/>
                <w:sz w:val="21"/>
                <w:szCs w:val="21"/>
              </w:rPr>
              <w:t>服务方案</w:t>
            </w:r>
          </w:p>
          <w:p w14:paraId="63063C65">
            <w:pPr>
              <w:pStyle w:val="77"/>
              <w:jc w:val="center"/>
              <w:rPr>
                <w:rFonts w:hint="eastAsia" w:ascii="宋体" w:hAnsi="宋体" w:eastAsia="宋体" w:cs="宋体"/>
                <w:sz w:val="21"/>
                <w:szCs w:val="21"/>
              </w:rPr>
            </w:pPr>
            <w:r>
              <w:rPr>
                <w:rFonts w:hint="eastAsia" w:ascii="宋体" w:hAnsi="宋体" w:eastAsia="宋体" w:cs="宋体"/>
                <w:sz w:val="21"/>
                <w:szCs w:val="21"/>
              </w:rPr>
              <w:t>(20分)</w:t>
            </w:r>
          </w:p>
        </w:tc>
        <w:tc>
          <w:tcPr>
            <w:tcW w:w="2972" w:type="pct"/>
            <w:tcBorders>
              <w:top w:val="outset" w:color="auto" w:sz="6" w:space="0"/>
              <w:left w:val="outset" w:color="auto" w:sz="6" w:space="0"/>
              <w:bottom w:val="outset" w:color="auto" w:sz="6" w:space="0"/>
              <w:right w:val="outset" w:color="auto" w:sz="6" w:space="0"/>
            </w:tcBorders>
            <w:vAlign w:val="center"/>
          </w:tcPr>
          <w:p w14:paraId="0147E575">
            <w:pPr>
              <w:pStyle w:val="77"/>
              <w:rPr>
                <w:rFonts w:hint="eastAsia" w:ascii="宋体" w:hAnsi="宋体" w:eastAsia="宋体" w:cs="宋体"/>
                <w:sz w:val="21"/>
                <w:szCs w:val="21"/>
              </w:rPr>
            </w:pPr>
            <w:r>
              <w:rPr>
                <w:rFonts w:hint="eastAsia" w:ascii="宋体" w:hAnsi="宋体" w:eastAsia="宋体" w:cs="宋体"/>
                <w:sz w:val="21"/>
                <w:szCs w:val="21"/>
              </w:rPr>
              <w:t>针对采购需求提供适合本项目的服务方案，包括但不限于1服务内容</w:t>
            </w:r>
            <w:r>
              <w:rPr>
                <w:rFonts w:hint="eastAsia" w:ascii="宋体" w:hAnsi="宋体" w:eastAsia="宋体" w:cs="宋体"/>
                <w:sz w:val="21"/>
                <w:szCs w:val="21"/>
                <w:lang w:eastAsia="zh-CN"/>
              </w:rPr>
              <w:t>；</w:t>
            </w:r>
            <w:r>
              <w:rPr>
                <w:rFonts w:hint="eastAsia" w:ascii="宋体" w:hAnsi="宋体" w:eastAsia="宋体" w:cs="宋体"/>
                <w:sz w:val="21"/>
                <w:szCs w:val="21"/>
              </w:rPr>
              <w:t>2工作方法</w:t>
            </w:r>
            <w:r>
              <w:rPr>
                <w:rFonts w:hint="eastAsia" w:ascii="宋体" w:hAnsi="宋体" w:eastAsia="宋体" w:cs="宋体"/>
                <w:sz w:val="21"/>
                <w:szCs w:val="21"/>
                <w:lang w:eastAsia="zh-CN"/>
              </w:rPr>
              <w:t>；</w:t>
            </w:r>
            <w:r>
              <w:rPr>
                <w:rFonts w:hint="eastAsia" w:ascii="宋体" w:hAnsi="宋体" w:eastAsia="宋体" w:cs="宋体"/>
                <w:sz w:val="21"/>
                <w:szCs w:val="21"/>
              </w:rPr>
              <w:t>3工作依据</w:t>
            </w:r>
            <w:r>
              <w:rPr>
                <w:rFonts w:hint="eastAsia" w:ascii="宋体" w:hAnsi="宋体" w:eastAsia="宋体" w:cs="宋体"/>
                <w:sz w:val="21"/>
                <w:szCs w:val="21"/>
                <w:lang w:eastAsia="zh-CN"/>
              </w:rPr>
              <w:t>；</w:t>
            </w:r>
            <w:r>
              <w:rPr>
                <w:rFonts w:hint="eastAsia" w:ascii="宋体" w:hAnsi="宋体" w:eastAsia="宋体" w:cs="宋体"/>
                <w:sz w:val="21"/>
                <w:szCs w:val="21"/>
              </w:rPr>
              <w:t>4工作程序和计划安排</w:t>
            </w:r>
            <w:r>
              <w:rPr>
                <w:rFonts w:hint="eastAsia" w:ascii="宋体" w:hAnsi="宋体" w:eastAsia="宋体" w:cs="宋体"/>
                <w:sz w:val="21"/>
                <w:szCs w:val="21"/>
                <w:lang w:eastAsia="zh-CN"/>
              </w:rPr>
              <w:t>；</w:t>
            </w:r>
            <w:r>
              <w:rPr>
                <w:rFonts w:hint="eastAsia" w:ascii="宋体" w:hAnsi="宋体" w:eastAsia="宋体" w:cs="宋体"/>
                <w:sz w:val="21"/>
                <w:szCs w:val="21"/>
              </w:rPr>
              <w:t>5项目重难点分析及应对措施。每小项4分。上述内容全面完整，合理、有针对性的，得20分。上述内容每缺少一项扣4分，每小项中每存在一处内容缺陷扣2分，扣完为止。</w:t>
            </w:r>
          </w:p>
        </w:tc>
      </w:tr>
      <w:tr w14:paraId="59E5263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583" w:type="pct"/>
            <w:vMerge w:val="continue"/>
            <w:tcBorders>
              <w:top w:val="outset" w:color="auto" w:sz="6" w:space="0"/>
              <w:left w:val="outset" w:color="auto" w:sz="6" w:space="0"/>
              <w:bottom w:val="outset" w:color="auto" w:sz="6" w:space="0"/>
              <w:right w:val="outset" w:color="auto" w:sz="6" w:space="0"/>
            </w:tcBorders>
            <w:vAlign w:val="center"/>
          </w:tcPr>
          <w:p w14:paraId="61E11173">
            <w:pPr>
              <w:pStyle w:val="76"/>
              <w:spacing w:line="280" w:lineRule="exact"/>
              <w:rPr>
                <w:rFonts w:hint="eastAsia" w:ascii="宋体" w:hAnsi="宋体" w:eastAsia="宋体" w:cs="宋体"/>
                <w:b w:val="0"/>
                <w:sz w:val="21"/>
                <w:szCs w:val="21"/>
              </w:rPr>
            </w:pPr>
          </w:p>
        </w:tc>
        <w:tc>
          <w:tcPr>
            <w:tcW w:w="536" w:type="pct"/>
            <w:vMerge w:val="continue"/>
            <w:tcBorders>
              <w:top w:val="outset" w:color="auto" w:sz="6" w:space="0"/>
              <w:left w:val="outset" w:color="auto" w:sz="6" w:space="0"/>
              <w:bottom w:val="outset" w:color="auto" w:sz="6" w:space="0"/>
              <w:right w:val="outset" w:color="auto" w:sz="6" w:space="0"/>
            </w:tcBorders>
            <w:vAlign w:val="center"/>
          </w:tcPr>
          <w:p w14:paraId="12675FFE">
            <w:pPr>
              <w:pStyle w:val="76"/>
              <w:spacing w:line="280" w:lineRule="exact"/>
              <w:rPr>
                <w:rFonts w:hint="eastAsia" w:ascii="宋体" w:hAnsi="宋体" w:eastAsia="宋体" w:cs="宋体"/>
                <w:b w:val="0"/>
                <w:sz w:val="21"/>
                <w:szCs w:val="21"/>
              </w:rPr>
            </w:pPr>
          </w:p>
        </w:tc>
        <w:tc>
          <w:tcPr>
            <w:tcW w:w="907" w:type="pct"/>
            <w:tcBorders>
              <w:top w:val="outset" w:color="auto" w:sz="6" w:space="0"/>
              <w:left w:val="outset" w:color="auto" w:sz="6" w:space="0"/>
              <w:bottom w:val="outset" w:color="auto" w:sz="6" w:space="0"/>
              <w:right w:val="outset" w:color="auto" w:sz="6" w:space="0"/>
            </w:tcBorders>
            <w:vAlign w:val="center"/>
          </w:tcPr>
          <w:p w14:paraId="22DA4660">
            <w:pPr>
              <w:widowControl/>
              <w:jc w:val="both"/>
              <w:rPr>
                <w:rFonts w:hint="eastAsia" w:cs="宋体"/>
                <w:kern w:val="0"/>
                <w:sz w:val="21"/>
                <w:szCs w:val="21"/>
              </w:rPr>
            </w:pPr>
            <w:r>
              <w:rPr>
                <w:rFonts w:hint="eastAsia" w:cs="宋体"/>
                <w:kern w:val="0"/>
                <w:sz w:val="21"/>
                <w:szCs w:val="21"/>
              </w:rPr>
              <w:t>进度计划及保</w:t>
            </w:r>
          </w:p>
          <w:p w14:paraId="2ACAA612">
            <w:pPr>
              <w:widowControl/>
              <w:jc w:val="center"/>
              <w:rPr>
                <w:rFonts w:hint="eastAsia" w:cs="宋体"/>
                <w:kern w:val="0"/>
                <w:sz w:val="21"/>
                <w:szCs w:val="21"/>
              </w:rPr>
            </w:pPr>
            <w:r>
              <w:rPr>
                <w:rFonts w:hint="eastAsia" w:cs="宋体"/>
                <w:kern w:val="0"/>
                <w:sz w:val="21"/>
                <w:szCs w:val="21"/>
              </w:rPr>
              <w:t>障措施（10分）</w:t>
            </w:r>
          </w:p>
          <w:p w14:paraId="3B51C82C">
            <w:pPr>
              <w:pStyle w:val="77"/>
              <w:jc w:val="center"/>
              <w:rPr>
                <w:rFonts w:hint="eastAsia" w:ascii="宋体" w:hAnsi="宋体" w:eastAsia="宋体" w:cs="宋体"/>
                <w:sz w:val="21"/>
                <w:szCs w:val="21"/>
              </w:rPr>
            </w:pPr>
          </w:p>
        </w:tc>
        <w:tc>
          <w:tcPr>
            <w:tcW w:w="2972" w:type="pct"/>
            <w:tcBorders>
              <w:top w:val="outset" w:color="auto" w:sz="6" w:space="0"/>
              <w:left w:val="outset" w:color="auto" w:sz="6" w:space="0"/>
              <w:bottom w:val="outset" w:color="auto" w:sz="6" w:space="0"/>
              <w:right w:val="outset" w:color="auto" w:sz="6" w:space="0"/>
            </w:tcBorders>
            <w:vAlign w:val="center"/>
          </w:tcPr>
          <w:p w14:paraId="4B790C56">
            <w:pPr>
              <w:spacing w:line="300" w:lineRule="exact"/>
              <w:jc w:val="both"/>
              <w:rPr>
                <w:rFonts w:hint="eastAsia" w:eastAsia="宋体" w:cs="宋体"/>
                <w:kern w:val="0"/>
                <w:sz w:val="21"/>
                <w:szCs w:val="21"/>
                <w:lang w:eastAsia="zh-CN"/>
              </w:rPr>
            </w:pPr>
            <w:r>
              <w:rPr>
                <w:rFonts w:hint="eastAsia" w:cs="宋体"/>
                <w:kern w:val="0"/>
                <w:sz w:val="21"/>
                <w:szCs w:val="21"/>
              </w:rPr>
              <w:t>对项目进度把控的有效控制措施，整体进度保障措施方案完善，根据工作时间进度计划安排的工作步骤，包括但不限于：1准备阶段；2实施阶段；3撰写报告阶段；4验收阶段；5资料归档进行综合评价</w:t>
            </w:r>
            <w:r>
              <w:rPr>
                <w:rFonts w:hint="eastAsia" w:cs="宋体"/>
                <w:kern w:val="0"/>
                <w:sz w:val="21"/>
                <w:szCs w:val="21"/>
                <w:lang w:eastAsia="zh-CN"/>
              </w:rPr>
              <w:t>。</w:t>
            </w:r>
          </w:p>
          <w:p w14:paraId="7DDB1C99">
            <w:pPr>
              <w:pStyle w:val="77"/>
              <w:rPr>
                <w:rFonts w:hint="eastAsia" w:ascii="宋体" w:hAnsi="宋体" w:eastAsia="宋体" w:cs="宋体"/>
                <w:sz w:val="21"/>
                <w:szCs w:val="21"/>
              </w:rPr>
            </w:pPr>
            <w:r>
              <w:rPr>
                <w:rFonts w:hint="eastAsia" w:ascii="宋体" w:hAnsi="宋体" w:eastAsia="宋体" w:cs="宋体"/>
                <w:sz w:val="21"/>
                <w:szCs w:val="21"/>
              </w:rPr>
              <w:t>上述内容全面完整，合理、有针对性的，得10分。上述内容每缺少一项扣2分，每小项中每存在一处内容缺陷扣1分，扣完为止。</w:t>
            </w:r>
          </w:p>
        </w:tc>
      </w:tr>
      <w:tr w14:paraId="416DB97F">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c>
          <w:tcPr>
            <w:tcW w:w="583" w:type="pct"/>
            <w:vMerge w:val="continue"/>
            <w:tcBorders>
              <w:top w:val="outset" w:color="auto" w:sz="6" w:space="0"/>
              <w:left w:val="outset" w:color="auto" w:sz="6" w:space="0"/>
              <w:bottom w:val="outset" w:color="auto" w:sz="6" w:space="0"/>
              <w:right w:val="outset" w:color="auto" w:sz="6" w:space="0"/>
            </w:tcBorders>
            <w:vAlign w:val="center"/>
          </w:tcPr>
          <w:p w14:paraId="46F8304C">
            <w:pPr>
              <w:pStyle w:val="76"/>
              <w:spacing w:line="280" w:lineRule="exact"/>
              <w:rPr>
                <w:rFonts w:hint="eastAsia" w:ascii="宋体" w:hAnsi="宋体" w:eastAsia="宋体" w:cs="宋体"/>
                <w:b w:val="0"/>
                <w:sz w:val="21"/>
                <w:szCs w:val="21"/>
              </w:rPr>
            </w:pPr>
          </w:p>
        </w:tc>
        <w:tc>
          <w:tcPr>
            <w:tcW w:w="536" w:type="pct"/>
            <w:vMerge w:val="continue"/>
            <w:tcBorders>
              <w:top w:val="outset" w:color="auto" w:sz="6" w:space="0"/>
              <w:left w:val="outset" w:color="auto" w:sz="6" w:space="0"/>
              <w:bottom w:val="outset" w:color="auto" w:sz="6" w:space="0"/>
              <w:right w:val="outset" w:color="auto" w:sz="6" w:space="0"/>
            </w:tcBorders>
            <w:vAlign w:val="center"/>
          </w:tcPr>
          <w:p w14:paraId="3A61BA69">
            <w:pPr>
              <w:pStyle w:val="76"/>
              <w:spacing w:line="280" w:lineRule="exact"/>
              <w:rPr>
                <w:rFonts w:hint="eastAsia" w:ascii="宋体" w:hAnsi="宋体" w:eastAsia="宋体" w:cs="宋体"/>
                <w:b w:val="0"/>
                <w:sz w:val="21"/>
                <w:szCs w:val="21"/>
              </w:rPr>
            </w:pPr>
          </w:p>
        </w:tc>
        <w:tc>
          <w:tcPr>
            <w:tcW w:w="907" w:type="pct"/>
            <w:tcBorders>
              <w:top w:val="outset" w:color="auto" w:sz="6" w:space="0"/>
              <w:left w:val="outset" w:color="auto" w:sz="6" w:space="0"/>
              <w:bottom w:val="outset" w:color="auto" w:sz="6" w:space="0"/>
              <w:right w:val="outset" w:color="auto" w:sz="6" w:space="0"/>
            </w:tcBorders>
            <w:vAlign w:val="center"/>
          </w:tcPr>
          <w:p w14:paraId="52393013">
            <w:pPr>
              <w:widowControl/>
              <w:jc w:val="center"/>
              <w:rPr>
                <w:rFonts w:hint="eastAsia" w:cs="宋体"/>
                <w:kern w:val="0"/>
                <w:sz w:val="21"/>
                <w:szCs w:val="21"/>
              </w:rPr>
            </w:pPr>
            <w:r>
              <w:rPr>
                <w:rFonts w:hint="eastAsia" w:cs="宋体"/>
                <w:kern w:val="0"/>
                <w:sz w:val="21"/>
                <w:szCs w:val="21"/>
              </w:rPr>
              <w:t>质量保证措施</w:t>
            </w:r>
          </w:p>
          <w:p w14:paraId="76F63240">
            <w:pPr>
              <w:pStyle w:val="77"/>
              <w:jc w:val="center"/>
              <w:rPr>
                <w:rFonts w:hint="eastAsia" w:ascii="宋体" w:hAnsi="宋体" w:eastAsia="宋体" w:cs="宋体"/>
                <w:sz w:val="21"/>
                <w:szCs w:val="21"/>
              </w:rPr>
            </w:pPr>
            <w:r>
              <w:rPr>
                <w:rFonts w:hint="eastAsia" w:ascii="宋体" w:hAnsi="宋体" w:eastAsia="宋体" w:cs="宋体"/>
                <w:sz w:val="21"/>
                <w:szCs w:val="21"/>
              </w:rPr>
              <w:t>（18分）</w:t>
            </w:r>
          </w:p>
        </w:tc>
        <w:tc>
          <w:tcPr>
            <w:tcW w:w="2972" w:type="pct"/>
            <w:tcBorders>
              <w:top w:val="outset" w:color="auto" w:sz="6" w:space="0"/>
              <w:left w:val="outset" w:color="auto" w:sz="6" w:space="0"/>
              <w:bottom w:val="outset" w:color="auto" w:sz="6" w:space="0"/>
              <w:right w:val="outset" w:color="auto" w:sz="6" w:space="0"/>
            </w:tcBorders>
            <w:vAlign w:val="center"/>
          </w:tcPr>
          <w:p w14:paraId="5DF2A9EC">
            <w:pPr>
              <w:pStyle w:val="77"/>
              <w:rPr>
                <w:rFonts w:hint="eastAsia" w:ascii="宋体" w:hAnsi="宋体" w:eastAsia="宋体" w:cs="宋体"/>
                <w:sz w:val="21"/>
                <w:szCs w:val="21"/>
              </w:rPr>
            </w:pPr>
            <w:r>
              <w:rPr>
                <w:rFonts w:hint="eastAsia" w:ascii="宋体" w:hAnsi="宋体" w:eastAsia="宋体" w:cs="宋体"/>
                <w:sz w:val="21"/>
                <w:szCs w:val="21"/>
              </w:rPr>
              <w:t>针对本项目提供详细合理的质量保证措施</w:t>
            </w:r>
            <w:r>
              <w:rPr>
                <w:rFonts w:hint="eastAsia" w:ascii="宋体" w:hAnsi="宋体" w:eastAsia="宋体" w:cs="宋体"/>
                <w:sz w:val="21"/>
                <w:szCs w:val="21"/>
                <w:lang w:eastAsia="zh-CN"/>
              </w:rPr>
              <w:t>；</w:t>
            </w:r>
            <w:r>
              <w:rPr>
                <w:rFonts w:hint="eastAsia" w:ascii="宋体" w:hAnsi="宋体" w:eastAsia="宋体" w:cs="宋体"/>
                <w:sz w:val="21"/>
                <w:szCs w:val="21"/>
              </w:rPr>
              <w:t>1政策对标与调研；2数据质量管控；3内容完整性保障；4合规性审查；5安全保密措施；6反馈响应及成果报告有效性；以上6项内容完整且完全满足项目要求得18分，每缺失一项内容扣3分，每项内容中有一处内容缺陷扣1分，扣完为止。</w:t>
            </w:r>
          </w:p>
        </w:tc>
      </w:tr>
      <w:tr w14:paraId="0D621EC9">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45" w:type="dxa"/>
            <w:left w:w="45" w:type="dxa"/>
            <w:bottom w:w="45" w:type="dxa"/>
            <w:right w:w="45" w:type="dxa"/>
          </w:tblCellMar>
        </w:tblPrEx>
        <w:trPr>
          <w:trHeight w:val="924" w:hRule="atLeast"/>
        </w:trPr>
        <w:tc>
          <w:tcPr>
            <w:tcW w:w="583" w:type="pct"/>
            <w:vMerge w:val="continue"/>
            <w:tcBorders>
              <w:top w:val="outset" w:color="auto" w:sz="6" w:space="0"/>
              <w:left w:val="outset" w:color="auto" w:sz="6" w:space="0"/>
              <w:bottom w:val="outset" w:color="auto" w:sz="6" w:space="0"/>
              <w:right w:val="outset" w:color="auto" w:sz="6" w:space="0"/>
            </w:tcBorders>
            <w:vAlign w:val="center"/>
          </w:tcPr>
          <w:p w14:paraId="29721328">
            <w:pPr>
              <w:pStyle w:val="76"/>
              <w:spacing w:line="280" w:lineRule="exact"/>
              <w:rPr>
                <w:rFonts w:hint="eastAsia" w:ascii="宋体" w:hAnsi="宋体" w:eastAsia="宋体" w:cs="宋体"/>
                <w:b w:val="0"/>
                <w:sz w:val="21"/>
                <w:szCs w:val="21"/>
              </w:rPr>
            </w:pPr>
          </w:p>
        </w:tc>
        <w:tc>
          <w:tcPr>
            <w:tcW w:w="536" w:type="pct"/>
            <w:vMerge w:val="continue"/>
            <w:tcBorders>
              <w:top w:val="outset" w:color="auto" w:sz="6" w:space="0"/>
              <w:left w:val="outset" w:color="auto" w:sz="6" w:space="0"/>
              <w:bottom w:val="outset" w:color="auto" w:sz="6" w:space="0"/>
              <w:right w:val="outset" w:color="auto" w:sz="6" w:space="0"/>
            </w:tcBorders>
            <w:vAlign w:val="center"/>
          </w:tcPr>
          <w:p w14:paraId="1855AD17">
            <w:pPr>
              <w:pStyle w:val="76"/>
              <w:spacing w:line="280" w:lineRule="exact"/>
              <w:rPr>
                <w:rFonts w:hint="eastAsia" w:ascii="宋体" w:hAnsi="宋体" w:eastAsia="宋体" w:cs="宋体"/>
                <w:b w:val="0"/>
                <w:sz w:val="21"/>
                <w:szCs w:val="21"/>
              </w:rPr>
            </w:pPr>
          </w:p>
        </w:tc>
        <w:tc>
          <w:tcPr>
            <w:tcW w:w="907" w:type="pct"/>
            <w:tcBorders>
              <w:top w:val="outset" w:color="auto" w:sz="6" w:space="0"/>
              <w:left w:val="outset" w:color="auto" w:sz="6" w:space="0"/>
              <w:bottom w:val="outset" w:color="auto" w:sz="6" w:space="0"/>
              <w:right w:val="outset" w:color="auto" w:sz="6" w:space="0"/>
            </w:tcBorders>
            <w:vAlign w:val="center"/>
          </w:tcPr>
          <w:p w14:paraId="29DE10BE">
            <w:pPr>
              <w:widowControl/>
              <w:jc w:val="both"/>
              <w:rPr>
                <w:rFonts w:hint="eastAsia" w:cs="宋体"/>
                <w:kern w:val="0"/>
                <w:sz w:val="21"/>
                <w:szCs w:val="21"/>
              </w:rPr>
            </w:pPr>
            <w:r>
              <w:rPr>
                <w:rFonts w:hint="eastAsia" w:cs="宋体"/>
                <w:kern w:val="0"/>
                <w:sz w:val="21"/>
                <w:szCs w:val="21"/>
              </w:rPr>
              <w:t>服务承诺及合</w:t>
            </w:r>
          </w:p>
          <w:p w14:paraId="47350424">
            <w:pPr>
              <w:widowControl/>
              <w:jc w:val="center"/>
              <w:rPr>
                <w:rFonts w:hint="eastAsia" w:cs="宋体"/>
                <w:kern w:val="0"/>
                <w:sz w:val="21"/>
                <w:szCs w:val="21"/>
              </w:rPr>
            </w:pPr>
            <w:r>
              <w:rPr>
                <w:rFonts w:hint="eastAsia" w:cs="宋体"/>
                <w:kern w:val="0"/>
                <w:sz w:val="21"/>
                <w:szCs w:val="21"/>
              </w:rPr>
              <w:t>理化建议（2分）</w:t>
            </w:r>
          </w:p>
          <w:p w14:paraId="57ECBEFB">
            <w:pPr>
              <w:widowControl/>
              <w:jc w:val="center"/>
              <w:rPr>
                <w:rFonts w:hint="eastAsia" w:cs="宋体"/>
                <w:kern w:val="0"/>
                <w:sz w:val="21"/>
                <w:szCs w:val="21"/>
              </w:rPr>
            </w:pPr>
          </w:p>
        </w:tc>
        <w:tc>
          <w:tcPr>
            <w:tcW w:w="2972" w:type="pct"/>
            <w:tcBorders>
              <w:top w:val="outset" w:color="auto" w:sz="6" w:space="0"/>
              <w:left w:val="outset" w:color="auto" w:sz="6" w:space="0"/>
              <w:bottom w:val="outset" w:color="auto" w:sz="6" w:space="0"/>
              <w:right w:val="outset" w:color="auto" w:sz="6" w:space="0"/>
            </w:tcBorders>
            <w:vAlign w:val="center"/>
          </w:tcPr>
          <w:p w14:paraId="30677E39">
            <w:pPr>
              <w:widowControl/>
              <w:jc w:val="both"/>
              <w:rPr>
                <w:rFonts w:hint="eastAsia" w:cs="宋体"/>
                <w:kern w:val="0"/>
                <w:sz w:val="21"/>
                <w:szCs w:val="21"/>
              </w:rPr>
            </w:pPr>
            <w:r>
              <w:rPr>
                <w:rFonts w:hint="eastAsia" w:cs="宋体"/>
                <w:kern w:val="0"/>
                <w:sz w:val="21"/>
                <w:szCs w:val="21"/>
              </w:rPr>
              <w:t>针对本次项目（如重难点）是否能提供有针对性的合理化建议，有得2分，没有不得分。</w:t>
            </w:r>
          </w:p>
        </w:tc>
      </w:tr>
    </w:tbl>
    <w:p w14:paraId="0843C2D7">
      <w:pPr>
        <w:rPr>
          <w:rFonts w:hint="eastAsia"/>
        </w:rPr>
      </w:pPr>
      <w:r>
        <w:rPr>
          <w:rFonts w:hint="eastAsia"/>
        </w:rPr>
        <w:br w:type="page"/>
      </w:r>
    </w:p>
    <w:p w14:paraId="2A965FF7">
      <w:pPr>
        <w:pStyle w:val="3"/>
        <w:spacing w:before="220" w:after="220" w:line="480" w:lineRule="auto"/>
        <w:ind w:left="420" w:hanging="420"/>
        <w:rPr>
          <w:rFonts w:hint="eastAsia" w:eastAsia="宋体" w:cs="宋体"/>
          <w:sz w:val="36"/>
          <w:szCs w:val="36"/>
          <w:lang w:val="zh-CN"/>
        </w:rPr>
      </w:pPr>
      <w:bookmarkStart w:id="403" w:name="_Toc155185918"/>
      <w:bookmarkStart w:id="404" w:name="_Toc22127"/>
      <w:bookmarkStart w:id="405" w:name="_Toc1640"/>
      <w:r>
        <w:rPr>
          <w:rFonts w:hint="eastAsia" w:eastAsia="宋体" w:cs="宋体"/>
          <w:sz w:val="36"/>
          <w:szCs w:val="36"/>
          <w:lang w:val="zh-CN"/>
        </w:rPr>
        <w:t>第六章 合同</w:t>
      </w:r>
      <w:bookmarkEnd w:id="403"/>
      <w:r>
        <w:rPr>
          <w:rFonts w:hint="eastAsia" w:eastAsia="宋体" w:cs="宋体"/>
          <w:sz w:val="36"/>
          <w:szCs w:val="36"/>
          <w:lang w:val="zh-CN"/>
        </w:rPr>
        <w:t>草案</w:t>
      </w:r>
      <w:bookmarkEnd w:id="404"/>
      <w:bookmarkEnd w:id="405"/>
    </w:p>
    <w:p w14:paraId="65EC4080">
      <w:pPr>
        <w:wordWrap w:val="0"/>
        <w:jc w:val="center"/>
        <w:rPr>
          <w:rFonts w:hint="eastAsia"/>
          <w:bCs/>
          <w:szCs w:val="24"/>
        </w:rPr>
      </w:pPr>
      <w:r>
        <w:rPr>
          <w:rFonts w:hint="eastAsia"/>
          <w:szCs w:val="24"/>
        </w:rPr>
        <w:t>【此合同书仅作为签订正式合同时的参考，正式合同书应包括本参考格式的内容】</w:t>
      </w:r>
    </w:p>
    <w:p w14:paraId="29F3FC30">
      <w:pPr>
        <w:widowControl/>
        <w:rPr>
          <w:rFonts w:ascii="Times New Roman" w:hAnsi="Times New Roman" w:eastAsia="方正黑体简体" w:cs="Times New Roman"/>
          <w:sz w:val="30"/>
          <w:szCs w:val="30"/>
        </w:rPr>
      </w:pPr>
      <w:bookmarkStart w:id="406" w:name="_Toc3995"/>
      <w:r>
        <w:rPr>
          <w:rFonts w:ascii="Times New Roman" w:hAnsi="Times New Roman" w:eastAsia="方正黑体简体" w:cs="Times New Roman"/>
          <w:sz w:val="30"/>
          <w:szCs w:val="30"/>
        </w:rPr>
        <w:t>项目编号/包号：</w:t>
      </w:r>
      <w:r>
        <w:rPr>
          <w:rFonts w:hint="eastAsia" w:ascii="Times New Roman" w:hAnsi="Times New Roman" w:eastAsia="方正黑体简体" w:cs="Times New Roman"/>
          <w:sz w:val="30"/>
          <w:szCs w:val="30"/>
          <w:u w:val="single"/>
        </w:rPr>
        <w:t>XXX</w:t>
      </w:r>
    </w:p>
    <w:p w14:paraId="1187A9DE">
      <w:pPr>
        <w:spacing w:line="480" w:lineRule="auto"/>
        <w:jc w:val="center"/>
        <w:rPr>
          <w:rFonts w:hint="eastAsia" w:cs="Times New Roman" w:asciiTheme="minorEastAsia" w:hAnsiTheme="minorEastAsia" w:eastAsiaTheme="minorEastAsia"/>
          <w:b/>
          <w:szCs w:val="24"/>
        </w:rPr>
      </w:pPr>
    </w:p>
    <w:p w14:paraId="1C8C5A6E">
      <w:pPr>
        <w:spacing w:line="480" w:lineRule="auto"/>
        <w:jc w:val="center"/>
        <w:rPr>
          <w:rFonts w:hint="eastAsia" w:cs="Times New Roman" w:asciiTheme="minorEastAsia" w:hAnsiTheme="minorEastAsia" w:eastAsiaTheme="minorEastAsia"/>
          <w:b/>
          <w:szCs w:val="24"/>
        </w:rPr>
      </w:pPr>
    </w:p>
    <w:p w14:paraId="4F75EAF4">
      <w:pPr>
        <w:spacing w:line="480" w:lineRule="auto"/>
        <w:jc w:val="center"/>
        <w:rPr>
          <w:rFonts w:hint="eastAsia" w:cs="宋体"/>
          <w:b/>
          <w:sz w:val="36"/>
          <w:szCs w:val="36"/>
        </w:rPr>
      </w:pPr>
    </w:p>
    <w:p w14:paraId="79C366EF">
      <w:pPr>
        <w:spacing w:line="480" w:lineRule="auto"/>
        <w:jc w:val="center"/>
        <w:rPr>
          <w:rFonts w:hint="eastAsia" w:ascii="方正小标宋简体" w:eastAsia="方正小标宋简体" w:cs="Times New Roman" w:hAnsiTheme="minorEastAsia"/>
          <w:bCs/>
          <w:sz w:val="52"/>
          <w:szCs w:val="52"/>
        </w:rPr>
      </w:pPr>
      <w:r>
        <w:rPr>
          <w:rFonts w:hint="eastAsia" w:ascii="方正小标宋简体" w:eastAsia="方正小标宋简体" w:cs="宋体"/>
          <w:bCs/>
          <w:sz w:val="52"/>
          <w:szCs w:val="52"/>
        </w:rPr>
        <w:t>技术服务合同</w:t>
      </w:r>
    </w:p>
    <w:p w14:paraId="13E71AD0">
      <w:pPr>
        <w:rPr>
          <w:rFonts w:hint="eastAsia" w:cs="Times New Roman" w:asciiTheme="minorEastAsia" w:hAnsiTheme="minorEastAsia" w:eastAsiaTheme="minorEastAsia"/>
          <w:b/>
          <w:szCs w:val="24"/>
        </w:rPr>
      </w:pPr>
    </w:p>
    <w:p w14:paraId="4EF3CFD5">
      <w:pPr>
        <w:pStyle w:val="2"/>
        <w:rPr>
          <w:rFonts w:hint="eastAsia"/>
        </w:rPr>
      </w:pPr>
    </w:p>
    <w:p w14:paraId="7A78F0A6">
      <w:pPr>
        <w:pStyle w:val="2"/>
        <w:rPr>
          <w:rFonts w:hint="eastAsia"/>
        </w:rPr>
      </w:pPr>
    </w:p>
    <w:p w14:paraId="161101F7">
      <w:pPr>
        <w:spacing w:line="600" w:lineRule="auto"/>
        <w:ind w:left="1722" w:leftChars="51" w:hanging="1600" w:hangingChars="500"/>
        <w:rPr>
          <w:rFonts w:hint="eastAsia" w:ascii="方正楷体简体" w:eastAsia="方正黑体简体" w:cs="宋体"/>
          <w:sz w:val="32"/>
          <w:szCs w:val="32"/>
          <w:u w:val="single"/>
          <w:lang w:eastAsia="zh-CN"/>
        </w:rPr>
      </w:pPr>
      <w:r>
        <w:rPr>
          <w:rFonts w:hint="eastAsia" w:ascii="方正黑体简体" w:eastAsia="方正黑体简体" w:cs="宋体"/>
          <w:sz w:val="32"/>
          <w:szCs w:val="32"/>
        </w:rPr>
        <w:t>项目名称：</w:t>
      </w:r>
      <w:bookmarkStart w:id="407" w:name="_Hlk220082198"/>
      <w:r>
        <w:rPr>
          <w:rFonts w:hint="eastAsia" w:ascii="方正楷体简体" w:eastAsia="方正楷体简体" w:cs="宋体"/>
          <w:sz w:val="32"/>
          <w:szCs w:val="32"/>
          <w:u w:val="single"/>
          <w:lang w:eastAsia="zh-CN"/>
        </w:rPr>
        <w:t>新疆生产建设兵团东天山“三北”工程核心攻坚区（第十三师）历史遗留废弃矿山生态修复示范工程（全过程技术管理咨询）-</w:t>
      </w:r>
    </w:p>
    <w:bookmarkEnd w:id="407"/>
    <w:p w14:paraId="7CC6EE09">
      <w:pPr>
        <w:spacing w:line="600" w:lineRule="auto"/>
        <w:ind w:left="2448" w:hanging="2448" w:hangingChars="765"/>
        <w:rPr>
          <w:rFonts w:hint="eastAsia" w:ascii="方正楷体简体" w:eastAsia="方正楷体简体" w:cs="宋体"/>
          <w:sz w:val="32"/>
          <w:szCs w:val="32"/>
          <w:u w:val="single"/>
        </w:rPr>
      </w:pPr>
      <w:r>
        <w:rPr>
          <w:rFonts w:hint="eastAsia" w:ascii="方正黑体简体" w:eastAsia="方正黑体简体" w:cs="宋体"/>
          <w:sz w:val="32"/>
          <w:szCs w:val="32"/>
        </w:rPr>
        <w:t>甲方（采购人）</w:t>
      </w:r>
      <w:r>
        <w:rPr>
          <w:rFonts w:hint="eastAsia" w:ascii="方正楷体简体" w:eastAsia="方正楷体简体" w:cs="宋体"/>
          <w:sz w:val="32"/>
          <w:szCs w:val="32"/>
        </w:rPr>
        <w:t>：</w:t>
      </w:r>
      <w:bookmarkStart w:id="408" w:name="_Hlk220082234"/>
      <w:r>
        <w:rPr>
          <w:rFonts w:hint="eastAsia" w:ascii="方正楷体简体" w:eastAsia="方正楷体简体" w:cs="宋体"/>
          <w:sz w:val="32"/>
          <w:szCs w:val="32"/>
          <w:u w:val="single"/>
        </w:rPr>
        <w:t>新疆生产建设兵团第十三师自然资源和规划服务中心</w:t>
      </w:r>
      <w:bookmarkEnd w:id="408"/>
    </w:p>
    <w:p w14:paraId="77D9CDA1">
      <w:pPr>
        <w:spacing w:line="600" w:lineRule="auto"/>
        <w:ind w:left="2464" w:hanging="2464" w:hangingChars="770"/>
        <w:rPr>
          <w:rFonts w:hint="eastAsia" w:ascii="方正楷体简体" w:eastAsia="方正楷体简体" w:cs="宋体"/>
          <w:sz w:val="32"/>
          <w:szCs w:val="32"/>
          <w:u w:val="single"/>
        </w:rPr>
      </w:pPr>
      <w:r>
        <w:rPr>
          <w:rFonts w:hint="eastAsia" w:ascii="方正黑体简体" w:eastAsia="方正黑体简体" w:cs="宋体"/>
          <w:sz w:val="32"/>
          <w:szCs w:val="32"/>
        </w:rPr>
        <w:t>乙方（中标人）：</w:t>
      </w:r>
      <w:bookmarkStart w:id="409" w:name="_Hlk220082244"/>
      <w:r>
        <w:rPr>
          <w:rFonts w:hint="eastAsia" w:ascii="方正楷体简体" w:eastAsia="方正楷体简体" w:cs="宋体"/>
          <w:sz w:val="32"/>
          <w:szCs w:val="32"/>
          <w:u w:val="single"/>
        </w:rPr>
        <w:t xml:space="preserve">                                     </w:t>
      </w:r>
    </w:p>
    <w:bookmarkEnd w:id="409"/>
    <w:p w14:paraId="79B29B7C">
      <w:pPr>
        <w:spacing w:line="600" w:lineRule="auto"/>
        <w:rPr>
          <w:rFonts w:hint="eastAsia" w:ascii="方正楷体简体" w:eastAsia="方正楷体简体" w:cs="宋体"/>
          <w:sz w:val="32"/>
          <w:szCs w:val="32"/>
          <w:u w:val="single"/>
        </w:rPr>
      </w:pPr>
      <w:r>
        <w:rPr>
          <w:rFonts w:hint="eastAsia" w:ascii="方正黑体简体" w:eastAsia="方正黑体简体" w:cs="宋体"/>
          <w:sz w:val="32"/>
          <w:szCs w:val="32"/>
        </w:rPr>
        <w:t>签订地点：</w:t>
      </w:r>
      <w:bookmarkStart w:id="410" w:name="_Hlk220082263"/>
      <w:r>
        <w:rPr>
          <w:rFonts w:hint="eastAsia" w:ascii="方正黑体简体" w:eastAsia="方正黑体简体" w:cs="宋体"/>
          <w:sz w:val="32"/>
          <w:szCs w:val="32"/>
          <w:u w:val="single"/>
        </w:rPr>
        <w:t xml:space="preserve">     </w:t>
      </w:r>
      <w:r>
        <w:rPr>
          <w:rFonts w:ascii="方正楷体简体" w:eastAsia="方正楷体简体" w:cs="宋体"/>
          <w:sz w:val="32"/>
          <w:szCs w:val="32"/>
          <w:u w:val="single"/>
        </w:rPr>
        <w:t>新疆生产建设兵团第十三师</w:t>
      </w:r>
      <w:r>
        <w:rPr>
          <w:rFonts w:hint="eastAsia" w:ascii="方正楷体简体" w:eastAsia="方正楷体简体" w:cs="宋体"/>
          <w:sz w:val="32"/>
          <w:szCs w:val="32"/>
          <w:u w:val="single"/>
        </w:rPr>
        <w:t xml:space="preserve">新星市        </w:t>
      </w:r>
    </w:p>
    <w:bookmarkEnd w:id="410"/>
    <w:p w14:paraId="5403E9F1">
      <w:pPr>
        <w:spacing w:line="600" w:lineRule="auto"/>
        <w:rPr>
          <w:rFonts w:hint="eastAsia" w:ascii="方正楷体简体" w:eastAsia="方正楷体简体" w:cs="宋体"/>
          <w:sz w:val="32"/>
          <w:szCs w:val="32"/>
        </w:rPr>
      </w:pPr>
      <w:r>
        <w:rPr>
          <w:rFonts w:hint="eastAsia" w:ascii="方正黑体简体" w:eastAsia="方正黑体简体" w:cs="宋体"/>
          <w:sz w:val="32"/>
          <w:szCs w:val="32"/>
        </w:rPr>
        <w:t>签订日期：</w:t>
      </w:r>
      <w:r>
        <w:rPr>
          <w:rFonts w:hint="eastAsia" w:ascii="方正楷体简体" w:eastAsia="方正楷体简体" w:cs="宋体"/>
          <w:sz w:val="32"/>
          <w:szCs w:val="32"/>
          <w:u w:val="single"/>
        </w:rPr>
        <w:t xml:space="preserve">            </w:t>
      </w:r>
      <w:r>
        <w:rPr>
          <w:rFonts w:hint="eastAsia" w:ascii="方正楷体简体" w:eastAsia="方正楷体简体" w:cs="宋体"/>
          <w:sz w:val="32"/>
          <w:szCs w:val="32"/>
        </w:rPr>
        <w:t>年</w:t>
      </w:r>
      <w:r>
        <w:rPr>
          <w:rFonts w:hint="eastAsia" w:ascii="方正楷体简体" w:eastAsia="方正楷体简体" w:cs="宋体"/>
          <w:sz w:val="32"/>
          <w:szCs w:val="32"/>
          <w:u w:val="single"/>
        </w:rPr>
        <w:t xml:space="preserve">            </w:t>
      </w:r>
      <w:r>
        <w:rPr>
          <w:rFonts w:hint="eastAsia" w:ascii="方正楷体简体" w:eastAsia="方正楷体简体" w:cs="宋体"/>
          <w:sz w:val="32"/>
          <w:szCs w:val="32"/>
        </w:rPr>
        <w:t>月</w:t>
      </w:r>
      <w:r>
        <w:rPr>
          <w:rFonts w:hint="eastAsia" w:ascii="方正楷体简体" w:eastAsia="方正楷体简体" w:cs="宋体"/>
          <w:sz w:val="32"/>
          <w:szCs w:val="32"/>
          <w:u w:val="single"/>
        </w:rPr>
        <w:t xml:space="preserve">            </w:t>
      </w:r>
      <w:r>
        <w:rPr>
          <w:rFonts w:hint="eastAsia" w:ascii="方正楷体简体" w:eastAsia="方正楷体简体" w:cs="宋体"/>
          <w:sz w:val="32"/>
          <w:szCs w:val="32"/>
        </w:rPr>
        <w:t>日</w:t>
      </w:r>
    </w:p>
    <w:p w14:paraId="0A8E507A">
      <w:pPr>
        <w:spacing w:after="156" w:afterLines="50"/>
        <w:jc w:val="center"/>
        <w:outlineLvl w:val="1"/>
        <w:rPr>
          <w:rFonts w:hint="eastAsia" w:cs="宋体"/>
          <w:b/>
          <w:sz w:val="36"/>
          <w:szCs w:val="36"/>
        </w:rPr>
      </w:pPr>
    </w:p>
    <w:p w14:paraId="1CBCFD47">
      <w:pPr>
        <w:spacing w:after="156" w:afterLines="50"/>
        <w:jc w:val="center"/>
        <w:outlineLvl w:val="1"/>
        <w:rPr>
          <w:rFonts w:hint="eastAsia" w:cs="宋体"/>
          <w:b/>
          <w:sz w:val="36"/>
          <w:szCs w:val="36"/>
        </w:rPr>
      </w:pPr>
    </w:p>
    <w:p w14:paraId="4875B163">
      <w:pPr>
        <w:spacing w:after="156" w:afterLines="50"/>
        <w:jc w:val="center"/>
        <w:outlineLvl w:val="1"/>
        <w:rPr>
          <w:rFonts w:hint="eastAsia" w:cs="宋体"/>
          <w:b/>
          <w:sz w:val="36"/>
          <w:szCs w:val="36"/>
        </w:rPr>
      </w:pPr>
    </w:p>
    <w:p w14:paraId="675A7BBB">
      <w:pPr>
        <w:spacing w:after="156" w:afterLines="50"/>
        <w:jc w:val="center"/>
        <w:outlineLvl w:val="1"/>
        <w:rPr>
          <w:rFonts w:hint="eastAsia" w:cs="宋体"/>
          <w:b/>
          <w:sz w:val="36"/>
          <w:szCs w:val="36"/>
        </w:rPr>
      </w:pPr>
    </w:p>
    <w:p w14:paraId="3532B32B">
      <w:pPr>
        <w:spacing w:after="156" w:afterLines="50"/>
        <w:jc w:val="center"/>
        <w:outlineLvl w:val="1"/>
        <w:rPr>
          <w:rFonts w:hint="eastAsia" w:cs="宋体"/>
          <w:b/>
          <w:sz w:val="36"/>
          <w:szCs w:val="36"/>
        </w:rPr>
        <w:sectPr>
          <w:pgSz w:w="11906" w:h="16838"/>
          <w:pgMar w:top="1440" w:right="1800" w:bottom="1440" w:left="1800" w:header="851" w:footer="992" w:gutter="0"/>
          <w:cols w:space="425" w:num="1"/>
          <w:docGrid w:type="lines" w:linePitch="312" w:charSpace="0"/>
        </w:sectPr>
      </w:pPr>
    </w:p>
    <w:p w14:paraId="751052AF">
      <w:pPr>
        <w:spacing w:after="156" w:afterLines="50"/>
        <w:jc w:val="center"/>
        <w:outlineLvl w:val="1"/>
        <w:rPr>
          <w:rFonts w:hint="eastAsia" w:cs="宋体"/>
          <w:b/>
          <w:sz w:val="36"/>
          <w:szCs w:val="36"/>
        </w:rPr>
      </w:pPr>
      <w:r>
        <w:rPr>
          <w:rFonts w:hint="eastAsia" w:cs="宋体"/>
          <w:b/>
          <w:sz w:val="36"/>
          <w:szCs w:val="36"/>
        </w:rPr>
        <w:t>第一部分 合同书</w:t>
      </w:r>
    </w:p>
    <w:p w14:paraId="0E40EA28">
      <w:pPr>
        <w:ind w:firstLine="435"/>
        <w:rPr>
          <w:rFonts w:hint="eastAsia" w:ascii="方正仿宋简体" w:eastAsia="方正仿宋简体" w:cs="宋体"/>
          <w:sz w:val="32"/>
          <w:szCs w:val="32"/>
        </w:rPr>
      </w:pPr>
      <w:bookmarkStart w:id="411" w:name="_Hlk220082489"/>
      <w:r>
        <w:rPr>
          <w:rFonts w:hint="eastAsia" w:ascii="方正仿宋简体" w:eastAsia="方正仿宋简体" w:cs="宋体"/>
          <w:sz w:val="32"/>
          <w:szCs w:val="32"/>
          <w:u w:val="single"/>
        </w:rPr>
        <w:t>新疆生产建设兵团第十三师自然资源和规划服务中心</w:t>
      </w:r>
      <w:bookmarkEnd w:id="411"/>
      <w:r>
        <w:rPr>
          <w:rFonts w:hint="eastAsia" w:ascii="方正仿宋简体" w:eastAsia="方正仿宋简体" w:cs="宋体"/>
          <w:sz w:val="32"/>
          <w:szCs w:val="32"/>
        </w:rPr>
        <w:t>（</w:t>
      </w:r>
      <w:r>
        <w:rPr>
          <w:rFonts w:hint="eastAsia" w:ascii="方正仿宋简体" w:eastAsia="方正仿宋简体" w:cs="宋体"/>
          <w:sz w:val="32"/>
          <w:szCs w:val="32"/>
          <w:lang w:val="zh-CN"/>
        </w:rPr>
        <w:t>以下简称：甲方</w:t>
      </w:r>
      <w:r>
        <w:rPr>
          <w:rFonts w:hint="eastAsia" w:ascii="方正仿宋简体" w:eastAsia="方正仿宋简体" w:cs="宋体"/>
          <w:sz w:val="32"/>
          <w:szCs w:val="32"/>
        </w:rPr>
        <w:t>）通过</w:t>
      </w:r>
      <w:bookmarkStart w:id="412" w:name="_Hlk220082501"/>
      <w:r>
        <w:rPr>
          <w:rFonts w:hint="eastAsia" w:ascii="方正仿宋简体" w:eastAsia="方正仿宋简体" w:cs="宋体"/>
          <w:sz w:val="32"/>
          <w:szCs w:val="32"/>
          <w:u w:val="single"/>
        </w:rPr>
        <w:t>中招国际招标有限公司</w:t>
      </w:r>
      <w:bookmarkEnd w:id="412"/>
      <w:r>
        <w:rPr>
          <w:rFonts w:hint="eastAsia" w:ascii="方正仿宋简体" w:eastAsia="方正仿宋简体" w:cs="宋体"/>
          <w:sz w:val="32"/>
          <w:szCs w:val="32"/>
        </w:rPr>
        <w:t>组织的</w:t>
      </w:r>
      <w:r>
        <w:rPr>
          <w:rFonts w:hint="eastAsia" w:ascii="方正仿宋简体" w:eastAsia="方正仿宋简体" w:cs="宋体"/>
          <w:sz w:val="32"/>
          <w:szCs w:val="32"/>
          <w:u w:val="single"/>
        </w:rPr>
        <w:t>公开招标</w:t>
      </w:r>
      <w:r>
        <w:rPr>
          <w:rFonts w:hint="eastAsia" w:ascii="方正仿宋简体" w:eastAsia="方正仿宋简体" w:cs="宋体"/>
          <w:sz w:val="32"/>
          <w:szCs w:val="32"/>
        </w:rPr>
        <w:t>方式采购活动，经评标委员会评定，确定</w:t>
      </w:r>
      <w:bookmarkStart w:id="413" w:name="_Hlk220082519"/>
      <w:r>
        <w:rPr>
          <w:rFonts w:hint="eastAsia" w:ascii="方正仿宋简体" w:eastAsia="方正仿宋简体" w:cs="宋体"/>
          <w:sz w:val="32"/>
          <w:szCs w:val="32"/>
          <w:u w:val="single"/>
        </w:rPr>
        <w:t>xx</w:t>
      </w:r>
      <w:r>
        <w:rPr>
          <w:rFonts w:hint="eastAsia" w:ascii="方正仿宋简体" w:hAnsi="方正仿宋简体" w:eastAsia="方正仿宋简体" w:cs="方正仿宋简体"/>
          <w:sz w:val="32"/>
          <w:szCs w:val="32"/>
          <w:u w:val="single"/>
        </w:rPr>
        <w:t>）</w:t>
      </w:r>
      <w:bookmarkEnd w:id="413"/>
      <w:r>
        <w:rPr>
          <w:rFonts w:hint="eastAsia" w:ascii="方正仿宋简体" w:eastAsia="方正仿宋简体" w:cs="宋体"/>
          <w:sz w:val="32"/>
          <w:szCs w:val="32"/>
        </w:rPr>
        <w:t>（</w:t>
      </w:r>
      <w:r>
        <w:rPr>
          <w:rFonts w:hint="eastAsia" w:ascii="方正仿宋简体" w:eastAsia="方正仿宋简体" w:cs="宋体"/>
          <w:sz w:val="32"/>
          <w:szCs w:val="32"/>
          <w:lang w:val="zh-CN"/>
        </w:rPr>
        <w:t>以下简称：乙方</w:t>
      </w:r>
      <w:r>
        <w:rPr>
          <w:rFonts w:hint="eastAsia" w:ascii="方正仿宋简体" w:eastAsia="方正仿宋简体" w:cs="宋体"/>
          <w:sz w:val="32"/>
          <w:szCs w:val="32"/>
        </w:rPr>
        <w:t>）为本项目中标人，现按照采购文件确定的事项签订本合同。</w:t>
      </w:r>
    </w:p>
    <w:p w14:paraId="6B63A744">
      <w:pPr>
        <w:ind w:firstLine="435"/>
        <w:rPr>
          <w:rFonts w:hint="eastAsia" w:ascii="方正仿宋简体" w:eastAsia="方正仿宋简体" w:cs="宋体"/>
          <w:sz w:val="32"/>
          <w:szCs w:val="32"/>
          <w:lang w:val="zh-CN"/>
        </w:rPr>
      </w:pPr>
      <w:r>
        <w:rPr>
          <w:rFonts w:hint="eastAsia" w:ascii="方正仿宋简体" w:eastAsia="方正仿宋简体" w:cs="宋体"/>
          <w:sz w:val="32"/>
          <w:szCs w:val="32"/>
        </w:rPr>
        <w:t>根据《中华人民共和国民法典》、《中华人民共和国政府采购法》等相关法律法规之规定，按照平等、自愿、公平和诚实信用的原则，经甲方和乙方协商一致，约定以下合同条款，以兹共同遵守、全面履行。</w:t>
      </w:r>
    </w:p>
    <w:p w14:paraId="6914D862">
      <w:pPr>
        <w:ind w:firstLine="437"/>
        <w:outlineLvl w:val="2"/>
        <w:rPr>
          <w:rFonts w:hint="eastAsia" w:cs="宋体"/>
          <w:b/>
          <w:bCs/>
          <w:sz w:val="32"/>
          <w:szCs w:val="32"/>
          <w:lang w:val="zh-CN"/>
        </w:rPr>
      </w:pPr>
      <w:bookmarkStart w:id="414" w:name="_Toc3029"/>
      <w:bookmarkStart w:id="415" w:name="_Toc32343"/>
      <w:bookmarkStart w:id="416" w:name="_Toc2232"/>
      <w:bookmarkStart w:id="417" w:name="_Toc1600"/>
      <w:bookmarkStart w:id="418" w:name="_Toc24059"/>
      <w:r>
        <w:rPr>
          <w:rFonts w:hint="eastAsia" w:cs="宋体"/>
          <w:b/>
          <w:bCs/>
          <w:sz w:val="32"/>
          <w:szCs w:val="32"/>
          <w:lang w:val="zh-CN"/>
        </w:rPr>
        <w:t>1.1 合同组成部分</w:t>
      </w:r>
      <w:bookmarkEnd w:id="414"/>
      <w:bookmarkEnd w:id="415"/>
      <w:bookmarkEnd w:id="416"/>
      <w:bookmarkEnd w:id="417"/>
      <w:bookmarkEnd w:id="418"/>
    </w:p>
    <w:p w14:paraId="5FBE0B08">
      <w:pPr>
        <w:ind w:firstLine="435"/>
        <w:rPr>
          <w:rFonts w:ascii="Times New Roman" w:hAnsi="Times New Roman" w:eastAsia="方正仿宋简体" w:cs="Times New Roman"/>
          <w:sz w:val="32"/>
          <w:szCs w:val="32"/>
          <w:lang w:val="zh-CN"/>
        </w:rPr>
      </w:pPr>
      <w:r>
        <w:rPr>
          <w:rFonts w:ascii="Times New Roman" w:hAnsi="Times New Roman" w:eastAsia="方正仿宋简体" w:cs="Times New Roman"/>
          <w:sz w:val="32"/>
          <w:szCs w:val="32"/>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18BA0D2C">
      <w:pPr>
        <w:ind w:firstLine="435"/>
        <w:rPr>
          <w:rFonts w:ascii="Times New Roman" w:hAnsi="Times New Roman" w:eastAsia="方正仿宋简体" w:cs="Times New Roman"/>
          <w:sz w:val="32"/>
          <w:szCs w:val="32"/>
          <w:lang w:val="zh-CN"/>
        </w:rPr>
      </w:pPr>
      <w:r>
        <w:rPr>
          <w:rFonts w:ascii="Times New Roman" w:hAnsi="Times New Roman" w:eastAsia="方正仿宋简体" w:cs="Times New Roman"/>
          <w:sz w:val="32"/>
          <w:szCs w:val="32"/>
          <w:lang w:val="zh-CN"/>
        </w:rPr>
        <w:t>1.1.1本合同及其补充合同、变更协议；</w:t>
      </w:r>
    </w:p>
    <w:p w14:paraId="34980D9A">
      <w:pPr>
        <w:ind w:firstLine="435"/>
        <w:rPr>
          <w:rFonts w:ascii="Times New Roman" w:hAnsi="Times New Roman" w:eastAsia="方正仿宋简体" w:cs="Times New Roman"/>
          <w:sz w:val="32"/>
          <w:szCs w:val="32"/>
          <w:lang w:val="zh-CN"/>
        </w:rPr>
      </w:pPr>
      <w:r>
        <w:rPr>
          <w:rFonts w:ascii="Times New Roman" w:hAnsi="Times New Roman" w:eastAsia="方正仿宋简体" w:cs="Times New Roman"/>
          <w:sz w:val="32"/>
          <w:szCs w:val="32"/>
          <w:lang w:val="zh-CN"/>
        </w:rPr>
        <w:t>1.1.2中标通知书；</w:t>
      </w:r>
    </w:p>
    <w:p w14:paraId="484EA4C3">
      <w:pPr>
        <w:ind w:firstLine="435"/>
        <w:rPr>
          <w:rFonts w:ascii="Times New Roman" w:hAnsi="Times New Roman" w:eastAsia="方正仿宋简体" w:cs="Times New Roman"/>
          <w:sz w:val="32"/>
          <w:szCs w:val="32"/>
          <w:lang w:val="zh-CN"/>
        </w:rPr>
      </w:pPr>
      <w:r>
        <w:rPr>
          <w:rFonts w:ascii="Times New Roman" w:hAnsi="Times New Roman" w:eastAsia="方正仿宋简体" w:cs="Times New Roman"/>
          <w:sz w:val="32"/>
          <w:szCs w:val="32"/>
          <w:lang w:val="zh-CN"/>
        </w:rPr>
        <w:t>1.1.3投标文件（含澄清或者说明文件）；</w:t>
      </w:r>
    </w:p>
    <w:p w14:paraId="0C13A230">
      <w:pPr>
        <w:ind w:firstLine="435"/>
        <w:rPr>
          <w:rFonts w:ascii="Times New Roman" w:hAnsi="Times New Roman" w:eastAsia="方正仿宋简体" w:cs="Times New Roman"/>
          <w:sz w:val="32"/>
          <w:szCs w:val="32"/>
          <w:lang w:val="zh-CN"/>
        </w:rPr>
      </w:pPr>
      <w:r>
        <w:rPr>
          <w:rFonts w:ascii="Times New Roman" w:hAnsi="Times New Roman" w:eastAsia="方正仿宋简体" w:cs="Times New Roman"/>
          <w:sz w:val="32"/>
          <w:szCs w:val="32"/>
          <w:lang w:val="zh-CN"/>
        </w:rPr>
        <w:t>1.1.4招标文件（含澄清或者修改文件）；</w:t>
      </w:r>
    </w:p>
    <w:p w14:paraId="6841BAA4">
      <w:pPr>
        <w:ind w:firstLine="435"/>
        <w:rPr>
          <w:rFonts w:ascii="Times New Roman" w:hAnsi="Times New Roman" w:eastAsia="方正仿宋简体" w:cs="Times New Roman"/>
          <w:sz w:val="32"/>
          <w:szCs w:val="32"/>
          <w:lang w:val="zh-CN"/>
        </w:rPr>
      </w:pPr>
      <w:r>
        <w:rPr>
          <w:rFonts w:ascii="Times New Roman" w:hAnsi="Times New Roman" w:eastAsia="方正仿宋简体" w:cs="Times New Roman"/>
          <w:sz w:val="32"/>
          <w:szCs w:val="32"/>
          <w:lang w:val="zh-CN"/>
        </w:rPr>
        <w:t>1.1.5其他相关采购文件。</w:t>
      </w:r>
    </w:p>
    <w:p w14:paraId="3CA2100D">
      <w:pPr>
        <w:ind w:firstLine="437"/>
        <w:outlineLvl w:val="2"/>
        <w:rPr>
          <w:rFonts w:hint="eastAsia" w:cs="宋体"/>
          <w:b/>
          <w:bCs/>
          <w:sz w:val="32"/>
          <w:szCs w:val="32"/>
          <w:lang w:val="zh-CN"/>
        </w:rPr>
      </w:pPr>
      <w:bookmarkStart w:id="419" w:name="_Toc6773"/>
      <w:bookmarkStart w:id="420" w:name="_Toc22185"/>
      <w:bookmarkStart w:id="421" w:name="_Toc6311"/>
      <w:bookmarkStart w:id="422" w:name="_Toc2918"/>
      <w:bookmarkStart w:id="423" w:name="_Toc18585"/>
      <w:bookmarkStart w:id="424" w:name="_Toc8950"/>
      <w:bookmarkStart w:id="425" w:name="_Toc4436"/>
      <w:r>
        <w:rPr>
          <w:rFonts w:hint="eastAsia" w:cs="宋体"/>
          <w:b/>
          <w:bCs/>
          <w:sz w:val="32"/>
          <w:szCs w:val="32"/>
          <w:lang w:val="zh-CN"/>
        </w:rPr>
        <w:t xml:space="preserve">1.2 </w:t>
      </w:r>
      <w:bookmarkEnd w:id="419"/>
      <w:bookmarkEnd w:id="420"/>
      <w:bookmarkEnd w:id="421"/>
      <w:bookmarkEnd w:id="422"/>
      <w:bookmarkEnd w:id="423"/>
      <w:r>
        <w:rPr>
          <w:rFonts w:hint="eastAsia" w:cs="宋体"/>
          <w:b/>
          <w:bCs/>
          <w:sz w:val="32"/>
          <w:szCs w:val="32"/>
          <w:lang w:val="zh-CN"/>
        </w:rPr>
        <w:t>服务</w:t>
      </w:r>
      <w:bookmarkEnd w:id="424"/>
      <w:bookmarkEnd w:id="425"/>
    </w:p>
    <w:p w14:paraId="304EA0D5">
      <w:pPr>
        <w:ind w:firstLine="43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1.2.1服务名称：</w:t>
      </w:r>
      <w:r>
        <w:rPr>
          <w:rFonts w:hint="eastAsia" w:ascii="Times New Roman" w:hAnsi="Times New Roman" w:eastAsia="方正仿宋简体" w:cs="Times New Roman"/>
          <w:sz w:val="32"/>
          <w:szCs w:val="32"/>
          <w:u w:val="single"/>
          <w:lang w:eastAsia="zh-CN"/>
        </w:rPr>
        <w:t>新疆生产建设兵团东天山“三北”工程核心攻坚区（第十三师）历史遗留废弃矿山生态修复示范工程（全过程技术管理咨询）-</w:t>
      </w:r>
      <w:r>
        <w:rPr>
          <w:rFonts w:ascii="Times New Roman" w:hAnsi="Times New Roman" w:eastAsia="方正仿宋简体" w:cs="Times New Roman"/>
          <w:sz w:val="32"/>
          <w:szCs w:val="32"/>
        </w:rPr>
        <w:t>；</w:t>
      </w:r>
    </w:p>
    <w:p w14:paraId="537CEA9D">
      <w:pPr>
        <w:ind w:firstLine="43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1.2.2服务内容：</w:t>
      </w:r>
      <w:r>
        <w:rPr>
          <w:rFonts w:hint="eastAsia" w:ascii="Times New Roman" w:hAnsi="Times New Roman" w:eastAsia="方正仿宋简体" w:cs="Times New Roman"/>
          <w:sz w:val="32"/>
          <w:szCs w:val="32"/>
          <w:u w:val="single"/>
        </w:rPr>
        <w:t>包括但不限于代业主履行相关职责，对工程实施进度、效果、内外业工作、设计变更及其落实情况等进行监督检查；完成自然资源部国土空间生态保护修复信息管理系统填报工作，搭建十三师示范工程项目全要素数字化平台；对实施各阶段的资料予以整理、汇总与分析，构建档案资料库；开展季度、年度及总体绩效评价，并形成绩效评价报告；组织开展项目竣工验收等</w:t>
      </w:r>
      <w:r>
        <w:rPr>
          <w:rFonts w:ascii="Times New Roman" w:hAnsi="Times New Roman" w:eastAsia="方正仿宋简体" w:cs="Times New Roman"/>
          <w:sz w:val="32"/>
          <w:szCs w:val="32"/>
        </w:rPr>
        <w:t>；</w:t>
      </w:r>
    </w:p>
    <w:p w14:paraId="7A415DB3">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1.2.3服务质量：</w:t>
      </w:r>
      <w:r>
        <w:rPr>
          <w:rFonts w:ascii="Times New Roman" w:hAnsi="Times New Roman" w:eastAsia="方正仿宋简体" w:cs="Times New Roman"/>
          <w:sz w:val="32"/>
          <w:szCs w:val="32"/>
          <w:u w:val="single"/>
        </w:rPr>
        <w:t>合同专用条款</w:t>
      </w:r>
      <w:r>
        <w:rPr>
          <w:rFonts w:hint="eastAsia" w:ascii="Times New Roman" w:hAnsi="Times New Roman" w:eastAsia="方正仿宋简体" w:cs="Times New Roman"/>
          <w:sz w:val="32"/>
          <w:szCs w:val="32"/>
        </w:rPr>
        <w:t>；</w:t>
      </w:r>
    </w:p>
    <w:p w14:paraId="709D2B94">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1.2.4服务期限：</w:t>
      </w:r>
      <w:r>
        <w:rPr>
          <w:rFonts w:ascii="Times New Roman" w:hAnsi="Times New Roman" w:eastAsia="方正仿宋简体" w:cs="Times New Roman"/>
          <w:sz w:val="32"/>
          <w:szCs w:val="32"/>
          <w:u w:val="single"/>
        </w:rPr>
        <w:t>合同专用条款</w:t>
      </w:r>
      <w:r>
        <w:rPr>
          <w:rFonts w:ascii="Times New Roman" w:hAnsi="Times New Roman" w:eastAsia="方正仿宋简体" w:cs="Times New Roman"/>
          <w:sz w:val="32"/>
          <w:szCs w:val="32"/>
        </w:rPr>
        <w:t>；</w:t>
      </w:r>
    </w:p>
    <w:p w14:paraId="18C28425">
      <w:pPr>
        <w:ind w:firstLine="43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rPr>
        <w:t>1.2.5服务交付方式：</w:t>
      </w:r>
      <w:r>
        <w:rPr>
          <w:rFonts w:ascii="Times New Roman" w:hAnsi="Times New Roman" w:eastAsia="方正仿宋简体" w:cs="Times New Roman"/>
          <w:sz w:val="32"/>
          <w:szCs w:val="32"/>
          <w:u w:val="single"/>
        </w:rPr>
        <w:t>合同专用条款；</w:t>
      </w:r>
    </w:p>
    <w:p w14:paraId="4A36EB92">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1.2.6服务人员组成：</w:t>
      </w:r>
      <w:r>
        <w:rPr>
          <w:rFonts w:ascii="Times New Roman" w:hAnsi="Times New Roman" w:eastAsia="方正仿宋简体" w:cs="Times New Roman"/>
          <w:sz w:val="32"/>
          <w:szCs w:val="32"/>
          <w:u w:val="single"/>
        </w:rPr>
        <w:t>合同专用条款；</w:t>
      </w:r>
    </w:p>
    <w:p w14:paraId="5B7C26D3">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1.2.7服务地点：</w:t>
      </w:r>
      <w:r>
        <w:rPr>
          <w:rFonts w:ascii="Times New Roman" w:hAnsi="Times New Roman" w:eastAsia="方正仿宋简体" w:cs="Times New Roman"/>
          <w:sz w:val="32"/>
          <w:szCs w:val="32"/>
          <w:u w:val="single"/>
        </w:rPr>
        <w:t>合同专用条款</w:t>
      </w:r>
      <w:r>
        <w:rPr>
          <w:rFonts w:ascii="Times New Roman" w:hAnsi="Times New Roman" w:eastAsia="方正仿宋简体" w:cs="Times New Roman"/>
          <w:sz w:val="32"/>
          <w:szCs w:val="32"/>
        </w:rPr>
        <w:t>。</w:t>
      </w:r>
    </w:p>
    <w:p w14:paraId="38B4A5F9">
      <w:pPr>
        <w:ind w:firstLine="437"/>
        <w:outlineLvl w:val="2"/>
        <w:rPr>
          <w:rFonts w:ascii="Times New Roman" w:hAnsi="Times New Roman" w:eastAsia="方正仿宋简体" w:cs="Times New Roman"/>
          <w:b/>
          <w:bCs/>
          <w:sz w:val="32"/>
          <w:szCs w:val="32"/>
          <w:lang w:val="zh-CN"/>
        </w:rPr>
      </w:pPr>
      <w:bookmarkStart w:id="426" w:name="_Toc21631"/>
      <w:bookmarkStart w:id="427" w:name="_Toc8047"/>
      <w:bookmarkStart w:id="428" w:name="_Toc11350"/>
      <w:bookmarkStart w:id="429" w:name="_Toc21551"/>
      <w:bookmarkStart w:id="430" w:name="_Toc23292"/>
      <w:r>
        <w:rPr>
          <w:rFonts w:ascii="Times New Roman" w:hAnsi="Times New Roman" w:eastAsia="方正仿宋简体" w:cs="Times New Roman"/>
          <w:b/>
          <w:bCs/>
          <w:sz w:val="32"/>
          <w:szCs w:val="32"/>
          <w:lang w:val="zh-CN"/>
        </w:rPr>
        <w:t>1.3 价款</w:t>
      </w:r>
      <w:bookmarkEnd w:id="426"/>
      <w:bookmarkEnd w:id="427"/>
      <w:bookmarkEnd w:id="428"/>
      <w:bookmarkEnd w:id="429"/>
      <w:bookmarkEnd w:id="430"/>
    </w:p>
    <w:p w14:paraId="0500430E">
      <w:pPr>
        <w:ind w:firstLine="435"/>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本合同总价为￥XX元（大写：人民币XX）。</w:t>
      </w:r>
    </w:p>
    <w:p w14:paraId="265EA5CA">
      <w:pPr>
        <w:spacing w:before="156" w:beforeLines="50"/>
        <w:ind w:firstLine="437"/>
        <w:outlineLvl w:val="2"/>
        <w:rPr>
          <w:rFonts w:hint="eastAsia" w:cs="宋体"/>
          <w:b/>
          <w:bCs/>
          <w:sz w:val="32"/>
          <w:szCs w:val="32"/>
          <w:lang w:val="zh-CN"/>
        </w:rPr>
      </w:pPr>
      <w:bookmarkStart w:id="431" w:name="_Toc10340"/>
      <w:bookmarkStart w:id="432" w:name="_Toc22618"/>
      <w:bookmarkStart w:id="433" w:name="_Toc1814"/>
      <w:bookmarkStart w:id="434" w:name="_Toc21546"/>
      <w:bookmarkStart w:id="435" w:name="_Toc20171"/>
      <w:r>
        <w:rPr>
          <w:rFonts w:hint="eastAsia" w:cs="宋体"/>
          <w:b/>
          <w:bCs/>
          <w:sz w:val="32"/>
          <w:szCs w:val="32"/>
          <w:lang w:val="zh-CN"/>
        </w:rPr>
        <w:t>1.4 付款方式和发票开具方式</w:t>
      </w:r>
      <w:bookmarkEnd w:id="431"/>
      <w:bookmarkEnd w:id="432"/>
      <w:bookmarkEnd w:id="433"/>
      <w:bookmarkEnd w:id="434"/>
      <w:bookmarkEnd w:id="435"/>
    </w:p>
    <w:p w14:paraId="180AF9D2">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1.4.1付款方式：</w:t>
      </w:r>
      <w:r>
        <w:rPr>
          <w:rFonts w:ascii="Times New Roman" w:hAnsi="Times New Roman" w:eastAsia="方正仿宋简体" w:cs="Times New Roman"/>
          <w:sz w:val="32"/>
          <w:szCs w:val="32"/>
          <w:u w:val="single"/>
        </w:rPr>
        <w:t>合同专用条款</w:t>
      </w:r>
      <w:r>
        <w:rPr>
          <w:rFonts w:ascii="Times New Roman" w:hAnsi="Times New Roman" w:eastAsia="方正仿宋简体" w:cs="Times New Roman"/>
          <w:sz w:val="32"/>
          <w:szCs w:val="32"/>
        </w:rPr>
        <w:t>。</w:t>
      </w:r>
    </w:p>
    <w:p w14:paraId="781EB30B">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1.4.2发票开具方式：</w:t>
      </w:r>
      <w:r>
        <w:rPr>
          <w:rFonts w:ascii="Times New Roman" w:hAnsi="Times New Roman" w:eastAsia="方正仿宋简体" w:cs="Times New Roman"/>
          <w:sz w:val="32"/>
          <w:szCs w:val="32"/>
          <w:u w:val="single"/>
        </w:rPr>
        <w:t>普通发票</w:t>
      </w:r>
      <w:r>
        <w:rPr>
          <w:rFonts w:ascii="Times New Roman" w:hAnsi="Times New Roman" w:eastAsia="方正仿宋简体" w:cs="Times New Roman"/>
          <w:sz w:val="32"/>
          <w:szCs w:val="32"/>
        </w:rPr>
        <w:t>。</w:t>
      </w:r>
    </w:p>
    <w:p w14:paraId="210F201D">
      <w:pPr>
        <w:ind w:firstLine="437"/>
        <w:outlineLvl w:val="2"/>
        <w:rPr>
          <w:rFonts w:hint="eastAsia" w:cs="宋体"/>
          <w:b/>
          <w:bCs/>
          <w:sz w:val="32"/>
          <w:szCs w:val="32"/>
          <w:lang w:val="zh-CN"/>
        </w:rPr>
      </w:pPr>
      <w:bookmarkStart w:id="436" w:name="_Toc27250"/>
      <w:bookmarkStart w:id="437" w:name="_Toc26348"/>
      <w:bookmarkStart w:id="438" w:name="_Toc19554"/>
      <w:bookmarkStart w:id="439" w:name="_Toc21423"/>
      <w:bookmarkStart w:id="440" w:name="_Toc9372"/>
      <w:r>
        <w:rPr>
          <w:rFonts w:hint="eastAsia" w:cs="宋体"/>
          <w:b/>
          <w:bCs/>
          <w:sz w:val="32"/>
          <w:szCs w:val="32"/>
          <w:lang w:val="zh-CN"/>
        </w:rPr>
        <w:t>1.5 违约责任</w:t>
      </w:r>
      <w:bookmarkEnd w:id="436"/>
      <w:bookmarkEnd w:id="437"/>
      <w:bookmarkEnd w:id="438"/>
      <w:bookmarkEnd w:id="439"/>
      <w:bookmarkEnd w:id="440"/>
    </w:p>
    <w:p w14:paraId="5C4FAFAE">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1.5.1乙方提交的成果必须符合招标文件及本合同的相关规定</w:t>
      </w:r>
      <w:r>
        <w:rPr>
          <w:rFonts w:hint="eastAsia" w:ascii="Times New Roman" w:hAnsi="Times New Roman" w:eastAsia="方正仿宋简体" w:cs="Times New Roman"/>
          <w:sz w:val="32"/>
          <w:szCs w:val="32"/>
        </w:rPr>
        <w:t>，未达到要求的，</w:t>
      </w:r>
      <w:r>
        <w:rPr>
          <w:rFonts w:ascii="Times New Roman" w:hAnsi="Times New Roman" w:eastAsia="方正仿宋简体" w:cs="Times New Roman"/>
          <w:sz w:val="32"/>
          <w:szCs w:val="32"/>
        </w:rPr>
        <w:t>甲方可以要求乙方支付违约金，违约金按每迟延履行一日的应提供而未提供服务价格的</w:t>
      </w:r>
      <w:r>
        <w:rPr>
          <w:rFonts w:hint="eastAsia" w:ascii="Times New Roman" w:hAnsi="Times New Roman" w:eastAsia="方正仿宋简体" w:cs="Times New Roman"/>
          <w:sz w:val="32"/>
          <w:szCs w:val="32"/>
          <w:u w:val="single"/>
        </w:rPr>
        <w:t>万分之一</w:t>
      </w:r>
      <w:r>
        <w:rPr>
          <w:rFonts w:ascii="Times New Roman" w:hAnsi="Times New Roman" w:eastAsia="方正仿宋简体" w:cs="Times New Roman"/>
          <w:sz w:val="32"/>
          <w:szCs w:val="32"/>
        </w:rPr>
        <w:t>计算，最高限额为本合同总价的</w:t>
      </w:r>
      <w:r>
        <w:rPr>
          <w:rFonts w:hint="eastAsia" w:ascii="Times New Roman" w:hAnsi="Times New Roman" w:eastAsia="方正仿宋简体" w:cs="Times New Roman"/>
          <w:sz w:val="32"/>
          <w:szCs w:val="32"/>
          <w:u w:val="single"/>
        </w:rPr>
        <w:t>千分之一</w:t>
      </w:r>
      <w:r>
        <w:rPr>
          <w:rFonts w:ascii="Times New Roman" w:hAnsi="Times New Roman" w:eastAsia="方正仿宋简体" w:cs="Times New Roman"/>
          <w:sz w:val="32"/>
          <w:szCs w:val="32"/>
        </w:rPr>
        <w:t>；迟延履行的违约金计算数额达到前述最高限额之日起，甲方有权在要求乙方支付违约金的同时，书面通知乙方解除本合同；</w:t>
      </w:r>
    </w:p>
    <w:p w14:paraId="60DB4985">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1.5.2如果乙方没有按照本合同约定的期限、地点和方式履行，那么甲方可以要求乙方支付违约金，违约金按每迟延履行一日的应提供而未提供服务价格的</w:t>
      </w:r>
      <w:r>
        <w:rPr>
          <w:rFonts w:hint="eastAsia" w:ascii="Times New Roman" w:hAnsi="Times New Roman" w:eastAsia="方正仿宋简体" w:cs="Times New Roman"/>
          <w:sz w:val="32"/>
          <w:szCs w:val="32"/>
          <w:u w:val="single"/>
        </w:rPr>
        <w:t>万分之一</w:t>
      </w:r>
      <w:r>
        <w:rPr>
          <w:rFonts w:ascii="Times New Roman" w:hAnsi="Times New Roman" w:eastAsia="方正仿宋简体" w:cs="Times New Roman"/>
          <w:sz w:val="32"/>
          <w:szCs w:val="32"/>
        </w:rPr>
        <w:t>计算，最高限额为本合同总价的</w:t>
      </w:r>
      <w:r>
        <w:rPr>
          <w:rFonts w:hint="eastAsia" w:ascii="Times New Roman" w:hAnsi="Times New Roman" w:eastAsia="方正仿宋简体" w:cs="Times New Roman"/>
          <w:sz w:val="32"/>
          <w:szCs w:val="32"/>
          <w:u w:val="single"/>
        </w:rPr>
        <w:t>千分之一</w:t>
      </w:r>
      <w:r>
        <w:rPr>
          <w:rFonts w:ascii="Times New Roman" w:hAnsi="Times New Roman" w:eastAsia="方正仿宋简体" w:cs="Times New Roman"/>
          <w:sz w:val="32"/>
          <w:szCs w:val="32"/>
        </w:rPr>
        <w:t>；迟延履行的违约金计算数额达到前述最高限额之日起，甲方有权在要求乙方支付违约金的同时，书面通知乙方解除本合同</w:t>
      </w:r>
      <w:r>
        <w:rPr>
          <w:rFonts w:hint="eastAsia" w:ascii="Times New Roman" w:hAnsi="Times New Roman" w:eastAsia="方正仿宋简体" w:cs="Times New Roman"/>
          <w:sz w:val="32"/>
          <w:szCs w:val="32"/>
        </w:rPr>
        <w:t>；</w:t>
      </w:r>
    </w:p>
    <w:p w14:paraId="78139A6C">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1.5.</w:t>
      </w:r>
      <w:r>
        <w:rPr>
          <w:rFonts w:hint="eastAsia" w:ascii="Times New Roman" w:hAnsi="Times New Roman" w:eastAsia="方正仿宋简体" w:cs="Times New Roman"/>
          <w:sz w:val="32"/>
          <w:szCs w:val="32"/>
        </w:rPr>
        <w:t>3</w:t>
      </w:r>
      <w:r>
        <w:rPr>
          <w:rFonts w:ascii="Times New Roman" w:hAnsi="Times New Roman" w:eastAsia="方正仿宋简体" w:cs="Times New Roman"/>
          <w:sz w:val="32"/>
          <w:szCs w:val="32"/>
        </w:rPr>
        <w:t>如果甲方没有按照本合同约定的付款方式付款</w:t>
      </w:r>
      <w:r>
        <w:rPr>
          <w:rFonts w:hint="eastAsia" w:ascii="Times New Roman" w:hAnsi="Times New Roman" w:eastAsia="方正仿宋简体" w:cs="Times New Roman"/>
          <w:sz w:val="32"/>
          <w:szCs w:val="32"/>
        </w:rPr>
        <w:t>（财政资金不到位的情况除外）</w:t>
      </w:r>
      <w:r>
        <w:rPr>
          <w:rFonts w:ascii="Times New Roman" w:hAnsi="Times New Roman" w:eastAsia="方正仿宋简体" w:cs="Times New Roman"/>
          <w:sz w:val="32"/>
          <w:szCs w:val="32"/>
        </w:rPr>
        <w:t>，那么乙方可要求甲方支付违约金，违约金按每迟延付款一日的应付而未付款的</w:t>
      </w:r>
      <w:r>
        <w:rPr>
          <w:rFonts w:hint="eastAsia" w:ascii="Times New Roman" w:hAnsi="Times New Roman" w:eastAsia="方正仿宋简体" w:cs="Times New Roman"/>
          <w:sz w:val="32"/>
          <w:szCs w:val="32"/>
          <w:u w:val="single"/>
        </w:rPr>
        <w:t>万分之一</w:t>
      </w:r>
      <w:r>
        <w:rPr>
          <w:rFonts w:ascii="Times New Roman" w:hAnsi="Times New Roman" w:eastAsia="方正仿宋简体" w:cs="Times New Roman"/>
          <w:sz w:val="32"/>
          <w:szCs w:val="32"/>
        </w:rPr>
        <w:t>计算，最高限额为本合同总价的</w:t>
      </w:r>
      <w:r>
        <w:rPr>
          <w:rFonts w:hint="eastAsia" w:ascii="Times New Roman" w:hAnsi="Times New Roman" w:eastAsia="方正仿宋简体" w:cs="Times New Roman"/>
          <w:sz w:val="32"/>
          <w:szCs w:val="32"/>
          <w:u w:val="single"/>
        </w:rPr>
        <w:t>千分之一</w:t>
      </w:r>
      <w:r>
        <w:rPr>
          <w:rFonts w:ascii="Times New Roman" w:hAnsi="Times New Roman" w:eastAsia="方正仿宋简体" w:cs="Times New Roman"/>
          <w:sz w:val="32"/>
          <w:szCs w:val="32"/>
        </w:rPr>
        <w:t>；迟延付款的违约金计算数额达到前述最高限额之日起，乙方有权在要求甲方支付违约金的同时，书面通知甲方解除本合同；</w:t>
      </w:r>
    </w:p>
    <w:p w14:paraId="231816E0">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1.5.</w:t>
      </w:r>
      <w:r>
        <w:rPr>
          <w:rFonts w:hint="eastAsia" w:ascii="Times New Roman" w:hAnsi="Times New Roman" w:eastAsia="方正仿宋简体" w:cs="Times New Roman"/>
          <w:sz w:val="32"/>
          <w:szCs w:val="32"/>
        </w:rPr>
        <w:t>4</w:t>
      </w:r>
      <w:r>
        <w:rPr>
          <w:rFonts w:ascii="Times New Roman" w:hAnsi="Times New Roman" w:eastAsia="方正仿宋简体" w:cs="Times New Roman"/>
          <w:sz w:val="32"/>
          <w:szCs w:val="32"/>
        </w:rPr>
        <w:t>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6E3249BE">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1.5.</w:t>
      </w:r>
      <w:r>
        <w:rPr>
          <w:rFonts w:hint="eastAsia" w:ascii="Times New Roman" w:hAnsi="Times New Roman" w:eastAsia="方正仿宋简体" w:cs="Times New Roman"/>
          <w:sz w:val="32"/>
          <w:szCs w:val="32"/>
        </w:rPr>
        <w:t>5</w:t>
      </w:r>
      <w:r>
        <w:rPr>
          <w:rFonts w:ascii="Times New Roman" w:hAnsi="Times New Roman" w:eastAsia="方正仿宋简体" w:cs="Times New Roman"/>
          <w:sz w:val="32"/>
          <w:szCs w:val="32"/>
        </w:rPr>
        <w:t>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1A43EAF9">
      <w:pPr>
        <w:ind w:firstLine="437"/>
        <w:rPr>
          <w:rFonts w:ascii="Times New Roman" w:hAnsi="Times New Roman" w:eastAsia="方正仿宋简体" w:cs="Times New Roman"/>
          <w:sz w:val="32"/>
          <w:szCs w:val="32"/>
        </w:rPr>
      </w:pPr>
      <w:r>
        <w:rPr>
          <w:rFonts w:ascii="Times New Roman" w:hAnsi="Times New Roman" w:eastAsia="方正仿宋简体" w:cs="Times New Roman"/>
          <w:sz w:val="32"/>
          <w:szCs w:val="32"/>
        </w:rPr>
        <w:t>1.5.</w:t>
      </w:r>
      <w:r>
        <w:rPr>
          <w:rFonts w:hint="eastAsia" w:ascii="Times New Roman" w:hAnsi="Times New Roman" w:eastAsia="方正仿宋简体" w:cs="Times New Roman"/>
          <w:sz w:val="32"/>
          <w:szCs w:val="32"/>
        </w:rPr>
        <w:t>6</w:t>
      </w:r>
      <w:r>
        <w:rPr>
          <w:rFonts w:ascii="Times New Roman" w:hAnsi="Times New Roman" w:eastAsia="方正仿宋简体" w:cs="Times New Roman"/>
          <w:sz w:val="32"/>
          <w:szCs w:val="32"/>
        </w:rPr>
        <w:t>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3A9A0A21">
      <w:pPr>
        <w:ind w:firstLine="437"/>
        <w:rPr>
          <w:rFonts w:ascii="Times New Roman" w:hAnsi="Times New Roman" w:eastAsia="方正仿宋简体" w:cs="Times New Roman"/>
          <w:sz w:val="32"/>
          <w:szCs w:val="32"/>
        </w:rPr>
      </w:pPr>
      <w:r>
        <w:rPr>
          <w:rFonts w:ascii="Times New Roman" w:hAnsi="Times New Roman" w:eastAsia="方正仿宋简体" w:cs="Times New Roman"/>
          <w:sz w:val="32"/>
          <w:szCs w:val="32"/>
        </w:rPr>
        <w:t>1.5.</w:t>
      </w:r>
      <w:r>
        <w:rPr>
          <w:rFonts w:hint="eastAsia" w:ascii="Times New Roman" w:hAnsi="Times New Roman" w:eastAsia="方正仿宋简体" w:cs="Times New Roman"/>
          <w:sz w:val="32"/>
          <w:szCs w:val="32"/>
        </w:rPr>
        <w:t>7</w:t>
      </w:r>
      <w:r>
        <w:rPr>
          <w:rFonts w:ascii="Times New Roman" w:hAnsi="Times New Roman" w:eastAsia="方正仿宋简体" w:cs="Times New Roman"/>
          <w:sz w:val="32"/>
          <w:szCs w:val="32"/>
        </w:rPr>
        <w:t>如果出现政府采购监督管理部门在处理投诉事项期间，书面通知甲方暂停采购活动的情形，或者询问或质疑事项可能影响中标结果的，导致甲方中止履行合同的情形，均不视为甲方违约。</w:t>
      </w:r>
    </w:p>
    <w:p w14:paraId="42836C41">
      <w:pPr>
        <w:ind w:firstLine="437"/>
        <w:rPr>
          <w:rFonts w:hint="eastAsia" w:cs="宋体"/>
          <w:sz w:val="32"/>
          <w:szCs w:val="32"/>
        </w:rPr>
      </w:pPr>
      <w:r>
        <w:rPr>
          <w:rFonts w:ascii="Times New Roman" w:hAnsi="Times New Roman" w:eastAsia="方正仿宋简体" w:cs="Times New Roman"/>
          <w:sz w:val="32"/>
          <w:szCs w:val="32"/>
        </w:rPr>
        <w:t>1.5.</w:t>
      </w:r>
      <w:r>
        <w:rPr>
          <w:rFonts w:hint="eastAsia" w:ascii="Times New Roman" w:hAnsi="Times New Roman" w:eastAsia="方正仿宋简体" w:cs="Times New Roman"/>
          <w:sz w:val="32"/>
          <w:szCs w:val="32"/>
        </w:rPr>
        <w:t>8</w:t>
      </w:r>
      <w:r>
        <w:rPr>
          <w:rFonts w:ascii="Times New Roman" w:hAnsi="Times New Roman" w:eastAsia="方正仿宋简体" w:cs="Times New Roman"/>
          <w:sz w:val="32"/>
          <w:szCs w:val="32"/>
        </w:rPr>
        <w:t>因甲方未按合同约定支付价款、未按合同约定受领标的物、擅自解除合同、逾期退还履约保证金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14:paraId="46DCD267">
      <w:pPr>
        <w:ind w:firstLine="437"/>
        <w:outlineLvl w:val="2"/>
        <w:rPr>
          <w:rFonts w:hint="eastAsia" w:cs="宋体"/>
          <w:b/>
          <w:bCs/>
          <w:sz w:val="32"/>
          <w:szCs w:val="32"/>
          <w:lang w:val="zh-CN"/>
        </w:rPr>
      </w:pPr>
      <w:bookmarkStart w:id="441" w:name="_Toc20996"/>
      <w:bookmarkStart w:id="442" w:name="_Toc10408"/>
      <w:bookmarkStart w:id="443" w:name="_Toc15583"/>
      <w:bookmarkStart w:id="444" w:name="_Toc16021"/>
      <w:bookmarkStart w:id="445" w:name="_Toc28375"/>
      <w:r>
        <w:rPr>
          <w:rFonts w:hint="eastAsia" w:cs="宋体"/>
          <w:b/>
          <w:bCs/>
          <w:sz w:val="32"/>
          <w:szCs w:val="32"/>
          <w:lang w:val="zh-CN"/>
        </w:rPr>
        <w:t>1.6 合同争议的解决</w:t>
      </w:r>
      <w:bookmarkEnd w:id="441"/>
      <w:bookmarkEnd w:id="442"/>
      <w:bookmarkEnd w:id="443"/>
      <w:bookmarkEnd w:id="444"/>
      <w:bookmarkEnd w:id="445"/>
    </w:p>
    <w:p w14:paraId="20809CA0">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本合同履行过程中发生的任何争议，双方当事人均可通过和解或者调解解决；不愿和解、调解或者和解、调解不成的，可以选择下列第</w:t>
      </w:r>
      <w:r>
        <w:rPr>
          <w:rFonts w:ascii="Times New Roman" w:hAnsi="Times New Roman" w:eastAsia="方正仿宋简体" w:cs="Times New Roman"/>
          <w:sz w:val="32"/>
          <w:szCs w:val="32"/>
          <w:u w:val="single"/>
        </w:rPr>
        <w:t>1.</w:t>
      </w:r>
      <w:r>
        <w:rPr>
          <w:rFonts w:hint="eastAsia" w:ascii="Times New Roman" w:hAnsi="Times New Roman" w:eastAsia="方正仿宋简体" w:cs="Times New Roman"/>
          <w:sz w:val="32"/>
          <w:szCs w:val="32"/>
          <w:u w:val="single"/>
        </w:rPr>
        <w:t>6</w:t>
      </w:r>
      <w:r>
        <w:rPr>
          <w:rFonts w:ascii="Times New Roman" w:hAnsi="Times New Roman" w:eastAsia="方正仿宋简体" w:cs="Times New Roman"/>
          <w:sz w:val="32"/>
          <w:szCs w:val="32"/>
          <w:u w:val="single"/>
        </w:rPr>
        <w:t>.1</w:t>
      </w:r>
      <w:r>
        <w:rPr>
          <w:rFonts w:ascii="Times New Roman" w:hAnsi="Times New Roman" w:eastAsia="方正仿宋简体" w:cs="Times New Roman"/>
          <w:sz w:val="32"/>
          <w:szCs w:val="32"/>
        </w:rPr>
        <w:t>种方式解决：</w:t>
      </w:r>
    </w:p>
    <w:p w14:paraId="01056C7D">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1.6.1将争议提交</w:t>
      </w:r>
      <w:r>
        <w:rPr>
          <w:rFonts w:ascii="Times New Roman" w:hAnsi="Times New Roman" w:eastAsia="方正仿宋简体" w:cs="Times New Roman"/>
          <w:sz w:val="32"/>
          <w:szCs w:val="32"/>
          <w:u w:val="single"/>
        </w:rPr>
        <w:t>新星市</w:t>
      </w:r>
      <w:r>
        <w:rPr>
          <w:rFonts w:ascii="Times New Roman" w:hAnsi="Times New Roman" w:eastAsia="方正仿宋简体" w:cs="Times New Roman"/>
          <w:sz w:val="32"/>
          <w:szCs w:val="32"/>
        </w:rPr>
        <w:t>仲裁委员会依申请仲裁时其现行有效的仲裁规则裁决；</w:t>
      </w:r>
    </w:p>
    <w:p w14:paraId="481F9A07">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1.6.2向</w:t>
      </w:r>
      <w:r>
        <w:rPr>
          <w:rFonts w:ascii="Times New Roman" w:hAnsi="Times New Roman" w:eastAsia="方正仿宋简体" w:cs="Times New Roman"/>
          <w:sz w:val="32"/>
          <w:szCs w:val="32"/>
          <w:u w:val="single"/>
        </w:rPr>
        <w:t>甲方（采购人）</w:t>
      </w:r>
      <w:r>
        <w:rPr>
          <w:rFonts w:ascii="Times New Roman" w:hAnsi="Times New Roman" w:eastAsia="方正仿宋简体" w:cs="Times New Roman"/>
          <w:sz w:val="32"/>
          <w:szCs w:val="32"/>
        </w:rPr>
        <w:t>所在地人民法院起诉。</w:t>
      </w:r>
    </w:p>
    <w:p w14:paraId="7F64D53C">
      <w:pPr>
        <w:ind w:firstLine="437"/>
        <w:outlineLvl w:val="2"/>
        <w:rPr>
          <w:rFonts w:hint="eastAsia" w:cs="宋体"/>
          <w:b/>
          <w:bCs/>
          <w:sz w:val="32"/>
          <w:szCs w:val="32"/>
          <w:lang w:val="zh-CN"/>
        </w:rPr>
      </w:pPr>
      <w:bookmarkStart w:id="446" w:name="_Toc14122"/>
      <w:bookmarkStart w:id="447" w:name="_Toc21422"/>
      <w:bookmarkStart w:id="448" w:name="_Toc7245"/>
      <w:bookmarkStart w:id="449" w:name="_Toc11173"/>
      <w:bookmarkStart w:id="450" w:name="_Toc15322"/>
      <w:r>
        <w:rPr>
          <w:rFonts w:hint="eastAsia" w:cs="宋体"/>
          <w:b/>
          <w:bCs/>
          <w:sz w:val="32"/>
          <w:szCs w:val="32"/>
          <w:lang w:val="zh-CN"/>
        </w:rPr>
        <w:t>1.7 合同生效</w:t>
      </w:r>
      <w:bookmarkEnd w:id="446"/>
      <w:bookmarkEnd w:id="447"/>
      <w:bookmarkEnd w:id="448"/>
      <w:bookmarkEnd w:id="449"/>
      <w:bookmarkEnd w:id="450"/>
    </w:p>
    <w:p w14:paraId="5A554A2B">
      <w:pPr>
        <w:ind w:firstLine="435"/>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本合同自双方当事人盖章时生效。</w:t>
      </w:r>
    </w:p>
    <w:p w14:paraId="150B38B4">
      <w:pPr>
        <w:ind w:firstLine="437"/>
        <w:outlineLvl w:val="2"/>
        <w:rPr>
          <w:rFonts w:hint="eastAsia" w:cs="宋体"/>
          <w:b/>
          <w:bCs/>
          <w:sz w:val="32"/>
          <w:szCs w:val="32"/>
        </w:rPr>
      </w:pPr>
      <w:r>
        <w:rPr>
          <w:rFonts w:hint="eastAsia" w:cs="宋体"/>
          <w:b/>
          <w:bCs/>
          <w:sz w:val="32"/>
          <w:szCs w:val="32"/>
        </w:rPr>
        <w:t>1.8其他</w:t>
      </w:r>
    </w:p>
    <w:p w14:paraId="6A8B0623">
      <w:pPr>
        <w:ind w:firstLine="435"/>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合同未尽事宜，经双方协商可签订补充协议，所签订的补充协议与本合同具有同等的法律效力。</w:t>
      </w:r>
    </w:p>
    <w:p w14:paraId="7277681E">
      <w:pPr>
        <w:ind w:firstLine="435"/>
        <w:rPr>
          <w:rFonts w:ascii="Times New Roman" w:hAnsi="Times New Roman" w:eastAsia="方正仿宋简体" w:cs="Times New Roman"/>
          <w:sz w:val="32"/>
          <w:szCs w:val="32"/>
        </w:rPr>
      </w:pPr>
      <w:r>
        <w:rPr>
          <w:rFonts w:hint="eastAsia" w:ascii="Times New Roman" w:hAnsi="Times New Roman" w:eastAsia="方正仿宋简体" w:cs="Times New Roman"/>
          <w:sz w:val="32"/>
          <w:szCs w:val="32"/>
        </w:rPr>
        <w:t>本合同一式捌份，甲方肆份，乙方肆份，具有同等法律效力。</w:t>
      </w:r>
    </w:p>
    <w:p w14:paraId="6B7EFA2F">
      <w:pPr>
        <w:widowControl/>
        <w:spacing w:line="240" w:lineRule="auto"/>
        <w:rPr>
          <w:rFonts w:hint="eastAsia" w:cs="宋体"/>
          <w:sz w:val="32"/>
          <w:szCs w:val="32"/>
        </w:rPr>
      </w:pPr>
      <w:r>
        <w:rPr>
          <w:rFonts w:hint="eastAsia" w:cs="宋体"/>
          <w:sz w:val="32"/>
          <w:szCs w:val="32"/>
        </w:rPr>
        <w:br w:type="page"/>
      </w:r>
    </w:p>
    <w:p w14:paraId="3E05182A">
      <w:pPr>
        <w:ind w:firstLine="435"/>
        <w:jc w:val="center"/>
        <w:rPr>
          <w:rFonts w:hint="eastAsia" w:cs="宋体"/>
          <w:sz w:val="32"/>
          <w:szCs w:val="32"/>
        </w:rPr>
      </w:pPr>
      <w:r>
        <w:rPr>
          <w:rFonts w:hint="eastAsia" w:cs="宋体"/>
          <w:sz w:val="32"/>
          <w:szCs w:val="32"/>
        </w:rPr>
        <w:t>签署页无正文</w:t>
      </w:r>
    </w:p>
    <w:p w14:paraId="7770466A">
      <w:pPr>
        <w:ind w:firstLine="435"/>
        <w:jc w:val="center"/>
        <w:rPr>
          <w:rFonts w:hint="eastAsia" w:cs="宋体"/>
          <w:sz w:val="32"/>
          <w:szCs w:val="32"/>
        </w:rPr>
      </w:pPr>
    </w:p>
    <w:p w14:paraId="29BD1789">
      <w:pPr>
        <w:autoSpaceDE w:val="0"/>
        <w:autoSpaceDN w:val="0"/>
        <w:adjustRightInd w:val="0"/>
        <w:spacing w:line="480" w:lineRule="auto"/>
        <w:rPr>
          <w:rFonts w:hint="eastAsia" w:cs="宋体"/>
          <w:bCs/>
          <w:szCs w:val="24"/>
          <w:u w:val="single"/>
        </w:rPr>
      </w:pPr>
      <w:r>
        <w:rPr>
          <w:rFonts w:hint="eastAsia" w:cs="宋体"/>
          <w:bCs/>
          <w:szCs w:val="24"/>
          <w:lang w:val="zh-CN"/>
        </w:rPr>
        <w:t>甲方：</w:t>
      </w:r>
      <w:r>
        <w:rPr>
          <w:rFonts w:hint="eastAsia" w:cs="宋体"/>
          <w:bCs/>
          <w:szCs w:val="24"/>
          <w:u w:val="single"/>
          <w:lang w:val="zh-CN"/>
        </w:rPr>
        <w:t>新疆生产建设兵团第十三师</w:t>
      </w:r>
      <w:r>
        <w:rPr>
          <w:rFonts w:hint="eastAsia" w:cs="宋体"/>
          <w:bCs/>
          <w:szCs w:val="24"/>
        </w:rPr>
        <w:t xml:space="preserve">    </w:t>
      </w:r>
      <w:r>
        <w:rPr>
          <w:rFonts w:hint="eastAsia" w:cs="宋体"/>
          <w:bCs/>
          <w:szCs w:val="24"/>
          <w:lang w:val="zh-CN"/>
        </w:rPr>
        <w:t>乙方：</w:t>
      </w:r>
      <w:r>
        <w:rPr>
          <w:rFonts w:hint="eastAsia" w:cs="宋体"/>
          <w:bCs/>
          <w:szCs w:val="24"/>
          <w:u w:val="single"/>
          <w:lang w:val="zh-CN"/>
        </w:rPr>
        <w:t>XX</w:t>
      </w:r>
    </w:p>
    <w:p w14:paraId="563CA6F4">
      <w:pPr>
        <w:autoSpaceDE w:val="0"/>
        <w:autoSpaceDN w:val="0"/>
        <w:adjustRightInd w:val="0"/>
        <w:spacing w:line="480" w:lineRule="auto"/>
        <w:ind w:left="5040" w:leftChars="300" w:hanging="4320" w:hangingChars="1800"/>
        <w:rPr>
          <w:rFonts w:hint="eastAsia" w:cs="宋体"/>
          <w:bCs/>
          <w:szCs w:val="24"/>
          <w:u w:val="single"/>
        </w:rPr>
      </w:pPr>
      <w:r>
        <w:rPr>
          <w:rFonts w:hint="eastAsia" w:cs="宋体"/>
          <w:bCs/>
          <w:szCs w:val="24"/>
          <w:u w:val="single"/>
          <w:lang w:val="zh-CN"/>
        </w:rPr>
        <w:t>自然资源和规划服务中心</w:t>
      </w:r>
      <w:r>
        <w:rPr>
          <w:rFonts w:hint="eastAsia" w:cs="宋体"/>
          <w:bCs/>
          <w:szCs w:val="24"/>
        </w:rPr>
        <w:t xml:space="preserve">           </w:t>
      </w:r>
      <w:r>
        <w:rPr>
          <w:rFonts w:hint="eastAsia" w:cs="宋体"/>
          <w:bCs/>
          <w:szCs w:val="24"/>
          <w:u w:val="single"/>
        </w:rPr>
        <w:t>XX</w:t>
      </w:r>
    </w:p>
    <w:p w14:paraId="6FDDC3B7">
      <w:pPr>
        <w:autoSpaceDE w:val="0"/>
        <w:autoSpaceDN w:val="0"/>
        <w:adjustRightInd w:val="0"/>
        <w:spacing w:line="480" w:lineRule="auto"/>
        <w:ind w:left="5040" w:leftChars="300" w:hanging="4320" w:hangingChars="1800"/>
        <w:rPr>
          <w:rFonts w:hint="eastAsia" w:cs="宋体"/>
          <w:bCs/>
          <w:szCs w:val="24"/>
        </w:rPr>
      </w:pPr>
      <w:r>
        <w:rPr>
          <w:rFonts w:hint="eastAsia" w:cs="宋体"/>
          <w:bCs/>
          <w:szCs w:val="24"/>
          <w:u w:val="single"/>
          <w:lang w:val="zh-CN"/>
        </w:rPr>
        <w:t>（单位盖章）</w:t>
      </w:r>
      <w:r>
        <w:rPr>
          <w:rFonts w:hint="eastAsia" w:cs="宋体"/>
          <w:bCs/>
          <w:szCs w:val="24"/>
        </w:rPr>
        <w:t xml:space="preserve">                     </w:t>
      </w:r>
      <w:r>
        <w:rPr>
          <w:rFonts w:hint="eastAsia" w:cs="宋体"/>
          <w:bCs/>
          <w:szCs w:val="24"/>
          <w:u w:val="single"/>
        </w:rPr>
        <w:t>XX</w:t>
      </w:r>
      <w:r>
        <w:rPr>
          <w:rFonts w:hint="eastAsia" w:cs="宋体"/>
          <w:bCs/>
          <w:szCs w:val="24"/>
          <w:u w:val="single"/>
          <w:lang w:val="zh-CN"/>
        </w:rPr>
        <w:t>（单位盖章）</w:t>
      </w:r>
    </w:p>
    <w:p w14:paraId="29AA44F5">
      <w:pPr>
        <w:autoSpaceDE w:val="0"/>
        <w:autoSpaceDN w:val="0"/>
        <w:adjustRightInd w:val="0"/>
        <w:spacing w:line="480" w:lineRule="auto"/>
        <w:rPr>
          <w:rFonts w:hint="eastAsia" w:cs="宋体"/>
          <w:szCs w:val="24"/>
          <w:lang w:val="zh-CN"/>
        </w:rPr>
      </w:pPr>
      <w:r>
        <w:rPr>
          <w:rFonts w:hint="eastAsia" w:cs="宋体"/>
          <w:szCs w:val="24"/>
          <w:lang w:val="zh-CN"/>
        </w:rPr>
        <w:t>法定代表人                             法定代表人</w:t>
      </w:r>
    </w:p>
    <w:p w14:paraId="0424400D">
      <w:pPr>
        <w:autoSpaceDE w:val="0"/>
        <w:autoSpaceDN w:val="0"/>
        <w:adjustRightInd w:val="0"/>
        <w:spacing w:line="480" w:lineRule="auto"/>
        <w:rPr>
          <w:rFonts w:hint="eastAsia" w:cs="宋体"/>
          <w:szCs w:val="24"/>
          <w:u w:val="single"/>
        </w:rPr>
      </w:pPr>
      <w:r>
        <w:rPr>
          <w:rFonts w:hint="eastAsia" w:cs="宋体"/>
          <w:szCs w:val="24"/>
          <w:lang w:val="zh-CN"/>
        </w:rPr>
        <w:t>或授权代表（签字）：</w:t>
      </w:r>
      <w:r>
        <w:rPr>
          <w:rFonts w:hint="eastAsia" w:cs="宋体"/>
          <w:szCs w:val="24"/>
        </w:rPr>
        <w:t xml:space="preserve"> </w:t>
      </w:r>
      <w:r>
        <w:rPr>
          <w:rFonts w:hint="eastAsia" w:cs="宋体"/>
          <w:szCs w:val="24"/>
          <w:u w:val="single"/>
        </w:rPr>
        <w:t xml:space="preserve">          </w:t>
      </w:r>
      <w:r>
        <w:rPr>
          <w:rFonts w:hint="eastAsia" w:cs="宋体"/>
          <w:szCs w:val="24"/>
          <w:lang w:val="zh-CN"/>
        </w:rPr>
        <w:t xml:space="preserve">    </w:t>
      </w:r>
      <w:r>
        <w:rPr>
          <w:rFonts w:hint="eastAsia" w:cs="宋体"/>
          <w:szCs w:val="24"/>
        </w:rPr>
        <w:t xml:space="preserve">  </w:t>
      </w:r>
      <w:r>
        <w:rPr>
          <w:rFonts w:hint="eastAsia" w:cs="宋体"/>
          <w:szCs w:val="24"/>
          <w:lang w:val="zh-CN"/>
        </w:rPr>
        <w:t xml:space="preserve">   或授权代表（签字）：</w:t>
      </w:r>
      <w:r>
        <w:rPr>
          <w:rFonts w:hint="eastAsia" w:cs="宋体"/>
          <w:szCs w:val="24"/>
          <w:u w:val="single"/>
        </w:rPr>
        <w:t xml:space="preserve">          </w:t>
      </w:r>
    </w:p>
    <w:p w14:paraId="7DB9EC6A">
      <w:pPr>
        <w:spacing w:before="156" w:beforeLines="50" w:line="480" w:lineRule="auto"/>
        <w:rPr>
          <w:rFonts w:hint="eastAsia" w:cs="宋体"/>
          <w:szCs w:val="24"/>
        </w:rPr>
      </w:pPr>
      <w:bookmarkStart w:id="451" w:name="_Toc331685783"/>
      <w:r>
        <w:rPr>
          <w:rFonts w:hint="eastAsia" w:cs="宋体"/>
          <w:szCs w:val="24"/>
        </w:rPr>
        <w:t xml:space="preserve">甲方账户信息                           </w:t>
      </w:r>
      <w:bookmarkStart w:id="452" w:name="_Hlk110099149"/>
      <w:r>
        <w:rPr>
          <w:rFonts w:hint="eastAsia" w:cs="宋体"/>
          <w:szCs w:val="24"/>
        </w:rPr>
        <w:t>乙方账户信息</w:t>
      </w:r>
    </w:p>
    <w:p w14:paraId="60AF9977">
      <w:pPr>
        <w:spacing w:line="480" w:lineRule="auto"/>
        <w:ind w:left="6000" w:hanging="6000" w:hangingChars="2500"/>
        <w:rPr>
          <w:rFonts w:hint="eastAsia" w:cs="宋体"/>
          <w:szCs w:val="24"/>
        </w:rPr>
      </w:pPr>
      <w:r>
        <w:rPr>
          <w:rFonts w:hint="eastAsia" w:cs="宋体"/>
          <w:szCs w:val="24"/>
        </w:rPr>
        <w:t xml:space="preserve">开户银行：                             开户银行： </w:t>
      </w:r>
    </w:p>
    <w:p w14:paraId="3870734C">
      <w:pPr>
        <w:spacing w:line="480" w:lineRule="auto"/>
        <w:rPr>
          <w:rFonts w:hint="eastAsia" w:cs="宋体"/>
          <w:szCs w:val="24"/>
        </w:rPr>
      </w:pPr>
      <w:r>
        <w:rPr>
          <w:rFonts w:hint="eastAsia" w:cs="宋体"/>
          <w:szCs w:val="24"/>
        </w:rPr>
        <w:t>账号：                                  账号：</w:t>
      </w:r>
    </w:p>
    <w:p w14:paraId="4D0400DA">
      <w:pPr>
        <w:spacing w:line="480" w:lineRule="auto"/>
        <w:rPr>
          <w:rFonts w:hint="eastAsia" w:cs="宋体"/>
          <w:szCs w:val="24"/>
        </w:rPr>
      </w:pPr>
      <w:r>
        <w:rPr>
          <w:rFonts w:hint="eastAsia" w:cs="宋体"/>
          <w:szCs w:val="24"/>
        </w:rPr>
        <w:t>行号：                                  行号：</w:t>
      </w:r>
    </w:p>
    <w:p w14:paraId="2DA187A9">
      <w:pPr>
        <w:widowControl/>
        <w:spacing w:before="156" w:beforeLines="50" w:line="480" w:lineRule="auto"/>
        <w:rPr>
          <w:rFonts w:hint="eastAsia" w:cs="宋体"/>
          <w:szCs w:val="24"/>
        </w:rPr>
      </w:pPr>
      <w:r>
        <w:rPr>
          <w:rFonts w:hint="eastAsia" w:cs="宋体"/>
          <w:bCs/>
          <w:szCs w:val="24"/>
        </w:rPr>
        <w:t>时间：</w:t>
      </w:r>
      <w:r>
        <w:rPr>
          <w:rFonts w:hint="eastAsia" w:cs="宋体"/>
          <w:bCs/>
          <w:szCs w:val="24"/>
          <w:u w:val="single"/>
        </w:rPr>
        <w:t xml:space="preserve">      </w:t>
      </w:r>
      <w:r>
        <w:rPr>
          <w:rFonts w:hint="eastAsia" w:cs="宋体"/>
          <w:bCs/>
          <w:szCs w:val="24"/>
        </w:rPr>
        <w:t>年</w:t>
      </w:r>
      <w:r>
        <w:rPr>
          <w:rFonts w:hint="eastAsia" w:cs="宋体"/>
          <w:bCs/>
          <w:szCs w:val="24"/>
          <w:u w:val="single"/>
        </w:rPr>
        <w:t xml:space="preserve">    </w:t>
      </w:r>
      <w:r>
        <w:rPr>
          <w:rFonts w:hint="eastAsia" w:cs="宋体"/>
          <w:bCs/>
          <w:szCs w:val="24"/>
        </w:rPr>
        <w:t>月</w:t>
      </w:r>
      <w:r>
        <w:rPr>
          <w:rFonts w:hint="eastAsia" w:cs="宋体"/>
          <w:bCs/>
          <w:szCs w:val="24"/>
          <w:u w:val="single"/>
        </w:rPr>
        <w:t xml:space="preserve">    </w:t>
      </w:r>
      <w:r>
        <w:rPr>
          <w:rFonts w:hint="eastAsia" w:cs="宋体"/>
          <w:bCs/>
          <w:szCs w:val="24"/>
        </w:rPr>
        <w:t>日             时间：</w:t>
      </w:r>
      <w:r>
        <w:rPr>
          <w:rFonts w:hint="eastAsia" w:cs="宋体"/>
          <w:bCs/>
          <w:szCs w:val="24"/>
          <w:u w:val="single"/>
        </w:rPr>
        <w:t xml:space="preserve">      </w:t>
      </w:r>
      <w:r>
        <w:rPr>
          <w:rFonts w:hint="eastAsia" w:cs="宋体"/>
          <w:bCs/>
          <w:szCs w:val="24"/>
        </w:rPr>
        <w:t>年</w:t>
      </w:r>
      <w:r>
        <w:rPr>
          <w:rFonts w:hint="eastAsia" w:cs="宋体"/>
          <w:bCs/>
          <w:szCs w:val="24"/>
          <w:u w:val="single"/>
        </w:rPr>
        <w:t xml:space="preserve">    </w:t>
      </w:r>
      <w:r>
        <w:rPr>
          <w:rFonts w:hint="eastAsia" w:cs="宋体"/>
          <w:bCs/>
          <w:szCs w:val="24"/>
        </w:rPr>
        <w:t>月</w:t>
      </w:r>
      <w:r>
        <w:rPr>
          <w:rFonts w:hint="eastAsia" w:cs="宋体"/>
          <w:bCs/>
          <w:szCs w:val="24"/>
          <w:u w:val="single"/>
        </w:rPr>
        <w:t xml:space="preserve">    </w:t>
      </w:r>
      <w:r>
        <w:rPr>
          <w:rFonts w:hint="eastAsia" w:cs="宋体"/>
          <w:bCs/>
          <w:szCs w:val="24"/>
        </w:rPr>
        <w:t>日</w:t>
      </w:r>
    </w:p>
    <w:bookmarkEnd w:id="452"/>
    <w:p w14:paraId="28DE176B">
      <w:pPr>
        <w:pageBreakBefore/>
        <w:spacing w:after="156" w:afterLines="50"/>
        <w:jc w:val="center"/>
        <w:outlineLvl w:val="1"/>
        <w:rPr>
          <w:rFonts w:hint="eastAsia" w:cs="宋体"/>
          <w:b/>
          <w:sz w:val="36"/>
          <w:szCs w:val="36"/>
        </w:rPr>
      </w:pPr>
      <w:bookmarkStart w:id="453" w:name="_Toc415"/>
      <w:bookmarkStart w:id="454" w:name="_Toc4008"/>
      <w:bookmarkStart w:id="455" w:name="_Toc13256"/>
      <w:r>
        <w:rPr>
          <w:rFonts w:hint="eastAsia" w:cs="宋体"/>
          <w:b/>
          <w:sz w:val="36"/>
          <w:szCs w:val="36"/>
        </w:rPr>
        <w:t>第二部分 合同一般条款</w:t>
      </w:r>
      <w:bookmarkEnd w:id="451"/>
      <w:bookmarkEnd w:id="453"/>
      <w:bookmarkEnd w:id="454"/>
      <w:bookmarkEnd w:id="455"/>
    </w:p>
    <w:p w14:paraId="6B35201C">
      <w:pPr>
        <w:ind w:firstLine="437"/>
        <w:outlineLvl w:val="2"/>
        <w:rPr>
          <w:rFonts w:ascii="方正楷体简体" w:hAnsi="Times New Roman" w:eastAsia="方正楷体简体" w:cs="Times New Roman"/>
          <w:sz w:val="32"/>
          <w:szCs w:val="32"/>
          <w:lang w:val="zh-CN"/>
        </w:rPr>
      </w:pPr>
      <w:bookmarkStart w:id="456" w:name="_Ref467379109"/>
      <w:bookmarkStart w:id="457" w:name="_Ref467379101"/>
      <w:bookmarkStart w:id="458" w:name="_Toc6755"/>
      <w:bookmarkStart w:id="459" w:name="_Ref467379225"/>
      <w:bookmarkStart w:id="460" w:name="_Toc259093669"/>
      <w:bookmarkStart w:id="461" w:name="_Ref467379205"/>
      <w:bookmarkStart w:id="462" w:name="_Ref467379214"/>
      <w:bookmarkStart w:id="463" w:name="_Toc15955"/>
      <w:bookmarkStart w:id="464" w:name="_Toc28763"/>
      <w:bookmarkStart w:id="465" w:name="_Ref467378404"/>
      <w:bookmarkStart w:id="466" w:name="_Ref467379195"/>
      <w:bookmarkStart w:id="467" w:name="_Ref467379094"/>
      <w:bookmarkStart w:id="468" w:name="_Toc487900349"/>
      <w:bookmarkStart w:id="469" w:name="_Ref467378463"/>
      <w:bookmarkStart w:id="470" w:name="_Toc279701240"/>
      <w:bookmarkStart w:id="471" w:name="_Ref467378499"/>
      <w:bookmarkStart w:id="472" w:name="_Toc19614"/>
      <w:bookmarkStart w:id="473" w:name="_Toc16917"/>
      <w:r>
        <w:rPr>
          <w:rFonts w:hint="eastAsia" w:ascii="方正楷体简体" w:hAnsi="Times New Roman" w:eastAsia="方正楷体简体" w:cs="Times New Roman"/>
          <w:sz w:val="32"/>
          <w:szCs w:val="32"/>
          <w:lang w:val="zh-CN"/>
        </w:rPr>
        <w:t>2.1 定义</w:t>
      </w:r>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14:paraId="701DD3DF">
      <w:pPr>
        <w:ind w:firstLine="43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本合同中的下列词语应按以下内容进行解释：</w:t>
      </w:r>
    </w:p>
    <w:p w14:paraId="4355FC09">
      <w:pPr>
        <w:ind w:firstLine="43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2.1.1“合同”系指采购人和中标人签订的载明双方当事人所达成的协议，并包括所有的附件、附录和构成合同的其他文件。</w:t>
      </w:r>
    </w:p>
    <w:p w14:paraId="54B2C002">
      <w:pPr>
        <w:ind w:firstLine="43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2.1.2“合同价”系指根据合同约定，中标人在完全履行合同义务后，采购人应支付给中标人的价格。</w:t>
      </w:r>
    </w:p>
    <w:p w14:paraId="687CE54A">
      <w:pPr>
        <w:ind w:firstLine="435"/>
        <w:rPr>
          <w:rFonts w:ascii="Times New Roman" w:hAnsi="Times New Roman" w:eastAsia="方正仿宋简体" w:cs="Times New Roman"/>
          <w:sz w:val="32"/>
          <w:szCs w:val="32"/>
          <w:u w:val="single"/>
        </w:rPr>
      </w:pPr>
      <w:r>
        <w:rPr>
          <w:rFonts w:ascii="Times New Roman" w:hAnsi="Times New Roman" w:eastAsia="方正仿宋简体" w:cs="Times New Roman"/>
          <w:sz w:val="32"/>
          <w:szCs w:val="32"/>
          <w:u w:val="single"/>
        </w:rPr>
        <w:t>2.1.3“服务”系指中标人根据合同约定应向采购人履行的除货物和工程以外的其他政府采购对象，包括采购人自身需要的服务和向社会公众提供的公共服务。</w:t>
      </w:r>
    </w:p>
    <w:p w14:paraId="1A753C8C">
      <w:pPr>
        <w:ind w:firstLine="435"/>
        <w:rPr>
          <w:rFonts w:ascii="Times New Roman" w:hAnsi="Times New Roman" w:eastAsia="方正仿宋简体" w:cs="Times New Roman"/>
          <w:sz w:val="32"/>
          <w:szCs w:val="32"/>
          <w:u w:val="single"/>
        </w:rPr>
      </w:pPr>
      <w:bookmarkStart w:id="474" w:name="_Ref467378840"/>
      <w:r>
        <w:rPr>
          <w:rFonts w:ascii="Times New Roman" w:hAnsi="Times New Roman" w:eastAsia="方正仿宋简体" w:cs="Times New Roman"/>
          <w:sz w:val="32"/>
          <w:szCs w:val="32"/>
          <w:u w:val="single"/>
        </w:rPr>
        <w:t>2.1.4“甲方”系指与中标人签署合同的采购人</w:t>
      </w:r>
      <w:bookmarkEnd w:id="474"/>
      <w:r>
        <w:rPr>
          <w:rFonts w:ascii="Times New Roman" w:hAnsi="Times New Roman" w:eastAsia="方正仿宋简体" w:cs="Times New Roman"/>
          <w:sz w:val="32"/>
          <w:szCs w:val="32"/>
          <w:u w:val="single"/>
        </w:rPr>
        <w:t>；采购人委托采购代理机构代表其与乙方签订合同的，采购人的授权委托书作为合同附件。</w:t>
      </w:r>
    </w:p>
    <w:p w14:paraId="1EA09995">
      <w:pPr>
        <w:ind w:firstLine="435"/>
        <w:rPr>
          <w:rFonts w:ascii="Times New Roman" w:hAnsi="Times New Roman" w:eastAsia="方正仿宋简体" w:cs="Times New Roman"/>
          <w:sz w:val="32"/>
          <w:szCs w:val="32"/>
          <w:u w:val="single"/>
        </w:rPr>
      </w:pPr>
      <w:bookmarkStart w:id="475" w:name="_Ref467379400"/>
      <w:r>
        <w:rPr>
          <w:rFonts w:ascii="Times New Roman" w:hAnsi="Times New Roman" w:eastAsia="方正仿宋简体" w:cs="Times New Roman"/>
          <w:sz w:val="32"/>
          <w:szCs w:val="32"/>
          <w:u w:val="single"/>
        </w:rPr>
        <w:t>2.1.5“乙方”系指根据合同约定提供服务的中标人</w:t>
      </w:r>
      <w:bookmarkEnd w:id="475"/>
      <w:r>
        <w:rPr>
          <w:rFonts w:ascii="Times New Roman" w:hAnsi="Times New Roman" w:eastAsia="方正仿宋简体" w:cs="Times New Roman"/>
          <w:sz w:val="32"/>
          <w:szCs w:val="32"/>
          <w:u w:val="singl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1230B0FD">
      <w:pPr>
        <w:ind w:firstLine="437"/>
        <w:outlineLvl w:val="2"/>
        <w:rPr>
          <w:rFonts w:ascii="Times New Roman" w:hAnsi="Times New Roman" w:eastAsia="方正仿宋简体" w:cs="Times New Roman"/>
          <w:sz w:val="32"/>
          <w:szCs w:val="32"/>
          <w:u w:val="single"/>
        </w:rPr>
      </w:pPr>
      <w:bookmarkStart w:id="476" w:name="_Ref467379436"/>
      <w:r>
        <w:rPr>
          <w:rFonts w:ascii="Times New Roman" w:hAnsi="Times New Roman" w:eastAsia="方正仿宋简体" w:cs="Times New Roman"/>
          <w:sz w:val="32"/>
          <w:szCs w:val="32"/>
          <w:u w:val="single"/>
        </w:rPr>
        <w:t>2.1.6“现场”系指合同约定提供服务的地点。</w:t>
      </w:r>
      <w:bookmarkEnd w:id="476"/>
    </w:p>
    <w:p w14:paraId="710294CD">
      <w:pPr>
        <w:ind w:firstLine="437"/>
        <w:outlineLvl w:val="2"/>
        <w:rPr>
          <w:rFonts w:ascii="方正楷体简体" w:hAnsi="Times New Roman" w:eastAsia="方正楷体简体" w:cs="Times New Roman"/>
          <w:sz w:val="32"/>
          <w:szCs w:val="32"/>
          <w:lang w:val="zh-CN"/>
        </w:rPr>
      </w:pPr>
      <w:bookmarkStart w:id="477" w:name="_Toc279701241"/>
      <w:bookmarkStart w:id="478" w:name="_Toc13336"/>
      <w:bookmarkStart w:id="479" w:name="_Toc259093670"/>
      <w:bookmarkStart w:id="480" w:name="_Toc28490"/>
      <w:bookmarkStart w:id="481" w:name="_Toc32504"/>
      <w:bookmarkStart w:id="482" w:name="_Toc27635"/>
      <w:bookmarkStart w:id="483" w:name="_Toc32079"/>
      <w:bookmarkStart w:id="484" w:name="_Toc487900350"/>
      <w:r>
        <w:rPr>
          <w:rFonts w:ascii="方正楷体简体" w:hAnsi="Times New Roman" w:eastAsia="方正楷体简体" w:cs="Times New Roman"/>
          <w:sz w:val="32"/>
          <w:szCs w:val="32"/>
          <w:lang w:val="zh-CN"/>
        </w:rPr>
        <w:t>2.2 技术规范</w:t>
      </w:r>
      <w:bookmarkEnd w:id="477"/>
      <w:bookmarkEnd w:id="478"/>
      <w:bookmarkEnd w:id="479"/>
      <w:bookmarkEnd w:id="480"/>
      <w:bookmarkEnd w:id="481"/>
      <w:bookmarkEnd w:id="482"/>
      <w:bookmarkEnd w:id="483"/>
      <w:bookmarkEnd w:id="484"/>
    </w:p>
    <w:p w14:paraId="0B1373D6">
      <w:pPr>
        <w:ind w:firstLine="437"/>
        <w:outlineLvl w:val="2"/>
        <w:rPr>
          <w:rFonts w:ascii="Times New Roman" w:hAnsi="Times New Roman" w:eastAsia="方正仿宋简体" w:cs="Times New Roman"/>
          <w:sz w:val="32"/>
          <w:szCs w:val="32"/>
        </w:rPr>
      </w:pPr>
      <w:r>
        <w:rPr>
          <w:rFonts w:ascii="Times New Roman" w:hAnsi="Times New Roman" w:eastAsia="方正仿宋简体" w:cs="Times New Roman"/>
          <w:sz w:val="32"/>
          <w:szCs w:val="32"/>
        </w:rPr>
        <w:t>货物所应遵守的技术规范应与采购文件规定的技术规范和技术规范附件</w:t>
      </w:r>
      <w:r>
        <w:rPr>
          <w:rFonts w:hint="eastAsia" w:ascii="Times New Roman" w:hAnsi="Times New Roman" w:eastAsia="方正仿宋简体" w:cs="Times New Roman"/>
          <w:sz w:val="32"/>
          <w:szCs w:val="32"/>
        </w:rPr>
        <w:t>（</w:t>
      </w:r>
      <w:r>
        <w:rPr>
          <w:rFonts w:ascii="Times New Roman" w:hAnsi="Times New Roman" w:eastAsia="方正仿宋简体" w:cs="Times New Roman"/>
          <w:sz w:val="32"/>
          <w:szCs w:val="32"/>
        </w:rPr>
        <w:t>如果有的话</w:t>
      </w:r>
      <w:r>
        <w:rPr>
          <w:rFonts w:hint="eastAsia" w:ascii="Times New Roman" w:hAnsi="Times New Roman" w:eastAsia="方正仿宋简体" w:cs="Times New Roman"/>
          <w:sz w:val="32"/>
          <w:szCs w:val="32"/>
        </w:rPr>
        <w:t>）</w:t>
      </w:r>
      <w:r>
        <w:rPr>
          <w:rFonts w:ascii="Times New Roman" w:hAnsi="Times New Roman" w:eastAsia="方正仿宋简体" w:cs="Times New Roman"/>
          <w:sz w:val="32"/>
          <w:szCs w:val="32"/>
        </w:rPr>
        <w:t>及其技术规范偏差表</w:t>
      </w:r>
      <w:r>
        <w:rPr>
          <w:rFonts w:hint="eastAsia" w:ascii="Times New Roman" w:hAnsi="Times New Roman" w:eastAsia="方正仿宋简体" w:cs="Times New Roman"/>
          <w:sz w:val="32"/>
          <w:szCs w:val="32"/>
        </w:rPr>
        <w:t>（</w:t>
      </w:r>
      <w:r>
        <w:rPr>
          <w:rFonts w:ascii="Times New Roman" w:hAnsi="Times New Roman" w:eastAsia="方正仿宋简体" w:cs="Times New Roman"/>
          <w:sz w:val="32"/>
          <w:szCs w:val="32"/>
        </w:rPr>
        <w:t>如果被甲方接受的话</w:t>
      </w:r>
      <w:r>
        <w:rPr>
          <w:rFonts w:hint="eastAsia" w:ascii="Times New Roman" w:hAnsi="Times New Roman" w:eastAsia="方正仿宋简体" w:cs="Times New Roman"/>
          <w:sz w:val="32"/>
          <w:szCs w:val="32"/>
        </w:rPr>
        <w:t>）</w:t>
      </w:r>
      <w:r>
        <w:rPr>
          <w:rFonts w:ascii="Times New Roman" w:hAnsi="Times New Roman" w:eastAsia="方正仿宋简体" w:cs="Times New Roman"/>
          <w:sz w:val="32"/>
          <w:szCs w:val="32"/>
        </w:rPr>
        <w:t>相一致；如果采购文件中没有技术规范的相应说明，那么应以国家有关部门最新颁布的相应标准和规范为准。</w:t>
      </w:r>
    </w:p>
    <w:p w14:paraId="044F99DC">
      <w:pPr>
        <w:ind w:firstLine="437"/>
        <w:outlineLvl w:val="2"/>
        <w:rPr>
          <w:rFonts w:ascii="方正楷体简体" w:hAnsi="Times New Roman" w:eastAsia="方正楷体简体" w:cs="Times New Roman"/>
          <w:sz w:val="32"/>
          <w:szCs w:val="32"/>
          <w:lang w:val="zh-CN"/>
        </w:rPr>
      </w:pPr>
      <w:bookmarkStart w:id="485" w:name="_Toc27853"/>
      <w:bookmarkStart w:id="486" w:name="_Toc279701242"/>
      <w:bookmarkStart w:id="487" w:name="_Toc259093671"/>
      <w:bookmarkStart w:id="488" w:name="_Toc487900351"/>
      <w:bookmarkStart w:id="489" w:name="_Toc17683"/>
      <w:bookmarkStart w:id="490" w:name="_Toc31634"/>
      <w:bookmarkStart w:id="491" w:name="_Toc15907"/>
      <w:bookmarkStart w:id="492" w:name="_Toc9829"/>
      <w:r>
        <w:rPr>
          <w:rFonts w:ascii="方正楷体简体" w:hAnsi="Times New Roman" w:eastAsia="方正楷体简体" w:cs="Times New Roman"/>
          <w:sz w:val="32"/>
          <w:szCs w:val="32"/>
          <w:lang w:val="zh-CN"/>
        </w:rPr>
        <w:t>2.3 知识产权</w:t>
      </w:r>
      <w:bookmarkEnd w:id="485"/>
      <w:bookmarkEnd w:id="486"/>
      <w:bookmarkEnd w:id="487"/>
      <w:bookmarkEnd w:id="488"/>
      <w:bookmarkEnd w:id="489"/>
      <w:bookmarkEnd w:id="490"/>
      <w:bookmarkEnd w:id="491"/>
      <w:bookmarkEnd w:id="492"/>
    </w:p>
    <w:p w14:paraId="7CCE3A7A">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2.3.1乙方应保证其提供的服务不受任何第三方提出的侵犯其著作权、商标权、专利权等知识产权方面的起诉；如果任何第三方提出侵权指控，那么乙方须与该第三方交涉并承担由此发生的一切责任、费用和赔偿；</w:t>
      </w:r>
    </w:p>
    <w:p w14:paraId="0EA644F2">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2.3.2具有知识产权的计算机软件等货物的知识产权归属，详见</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w:t>
      </w:r>
    </w:p>
    <w:p w14:paraId="1BAFBDAD">
      <w:pPr>
        <w:ind w:firstLine="437"/>
        <w:outlineLvl w:val="2"/>
        <w:rPr>
          <w:rFonts w:ascii="方正楷体简体" w:hAnsi="Times New Roman" w:eastAsia="方正楷体简体" w:cs="Times New Roman"/>
          <w:sz w:val="32"/>
          <w:szCs w:val="32"/>
          <w:lang w:val="zh-CN"/>
        </w:rPr>
      </w:pPr>
      <w:bookmarkStart w:id="493" w:name="_Ref467378541"/>
      <w:bookmarkStart w:id="494" w:name="_Toc487900354"/>
      <w:bookmarkStart w:id="495" w:name="_Ref467379542"/>
      <w:bookmarkStart w:id="496" w:name="_Toc259093674"/>
      <w:bookmarkStart w:id="497" w:name="_Ref467379527"/>
      <w:bookmarkStart w:id="498" w:name="_Ref467378591"/>
      <w:bookmarkStart w:id="499" w:name="_Toc279701245"/>
      <w:bookmarkStart w:id="500" w:name="_Ref467379536"/>
      <w:bookmarkStart w:id="501" w:name="_Toc26182"/>
      <w:bookmarkStart w:id="502" w:name="_Toc30272"/>
      <w:bookmarkStart w:id="503" w:name="_Toc19074"/>
      <w:bookmarkStart w:id="504" w:name="_Toc28304"/>
      <w:bookmarkStart w:id="505" w:name="_Toc29150"/>
      <w:r>
        <w:rPr>
          <w:rFonts w:ascii="方正楷体简体" w:hAnsi="Times New Roman" w:eastAsia="方正楷体简体" w:cs="Times New Roman"/>
          <w:sz w:val="32"/>
          <w:szCs w:val="32"/>
          <w:lang w:val="zh-CN"/>
        </w:rPr>
        <w:t>2.</w:t>
      </w:r>
      <w:bookmarkEnd w:id="493"/>
      <w:bookmarkEnd w:id="494"/>
      <w:bookmarkEnd w:id="495"/>
      <w:bookmarkEnd w:id="496"/>
      <w:bookmarkEnd w:id="497"/>
      <w:bookmarkEnd w:id="498"/>
      <w:bookmarkEnd w:id="499"/>
      <w:bookmarkEnd w:id="500"/>
      <w:r>
        <w:rPr>
          <w:rFonts w:ascii="方正楷体简体" w:hAnsi="Times New Roman" w:eastAsia="方正楷体简体" w:cs="Times New Roman"/>
          <w:sz w:val="32"/>
          <w:szCs w:val="32"/>
          <w:lang w:val="zh-CN"/>
        </w:rPr>
        <w:t>4 履约检查和问题反馈</w:t>
      </w:r>
      <w:bookmarkEnd w:id="501"/>
      <w:bookmarkEnd w:id="502"/>
      <w:bookmarkEnd w:id="503"/>
      <w:bookmarkEnd w:id="504"/>
      <w:bookmarkEnd w:id="505"/>
    </w:p>
    <w:p w14:paraId="400C4D72">
      <w:pPr>
        <w:ind w:firstLine="435"/>
        <w:rPr>
          <w:rFonts w:ascii="Times New Roman" w:hAnsi="Times New Roman" w:eastAsia="方正仿宋简体" w:cs="Times New Roman"/>
          <w:sz w:val="32"/>
          <w:szCs w:val="32"/>
        </w:rPr>
      </w:pPr>
      <w:bookmarkStart w:id="506" w:name="_Toc186431854"/>
      <w:bookmarkStart w:id="507" w:name="_Toc279701247"/>
      <w:bookmarkStart w:id="508" w:name="_Toc487900357"/>
      <w:bookmarkStart w:id="509" w:name="_Ref467379807"/>
      <w:bookmarkStart w:id="510" w:name="_Toc259093676"/>
      <w:bookmarkStart w:id="511" w:name="_Ref467379793"/>
      <w:r>
        <w:rPr>
          <w:rFonts w:ascii="Times New Roman" w:hAnsi="Times New Roman" w:eastAsia="方正仿宋简体" w:cs="Times New Roman"/>
          <w:sz w:val="32"/>
          <w:szCs w:val="32"/>
        </w:rPr>
        <w:t>2.4.1甲方有权在其认为必要时，对乙方是否能够按照合同约定提供服务进行履约检查，以确保乙方所提供的服务能够依约满足甲方项目需求，但不得因履约检查妨碍乙方的正常工作，乙方应予积极配合；</w:t>
      </w:r>
    </w:p>
    <w:p w14:paraId="3303DFB6">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2.4.2合同履行期间，甲方有权将履行过程中出现的问题反馈给乙方，双方当事人应以书面形式约定需要完善和改进的内容</w:t>
      </w:r>
      <w:bookmarkEnd w:id="506"/>
      <w:bookmarkStart w:id="512" w:name="_Toc186431855"/>
      <w:r>
        <w:rPr>
          <w:rFonts w:ascii="Times New Roman" w:hAnsi="Times New Roman" w:eastAsia="方正仿宋简体" w:cs="Times New Roman"/>
          <w:sz w:val="32"/>
          <w:szCs w:val="32"/>
        </w:rPr>
        <w:t>。</w:t>
      </w:r>
    </w:p>
    <w:bookmarkEnd w:id="512"/>
    <w:p w14:paraId="36AA2607">
      <w:pPr>
        <w:ind w:firstLine="437"/>
        <w:outlineLvl w:val="2"/>
        <w:rPr>
          <w:rFonts w:ascii="方正楷体简体" w:hAnsi="Times New Roman" w:eastAsia="方正楷体简体" w:cs="Times New Roman"/>
          <w:sz w:val="32"/>
          <w:szCs w:val="32"/>
          <w:lang w:val="zh-CN"/>
        </w:rPr>
      </w:pPr>
      <w:bookmarkStart w:id="513" w:name="_Toc19219"/>
      <w:bookmarkStart w:id="514" w:name="_Toc6918"/>
      <w:bookmarkStart w:id="515" w:name="_Toc745"/>
      <w:bookmarkStart w:id="516" w:name="_Toc7836"/>
      <w:bookmarkStart w:id="517" w:name="_Toc28451"/>
      <w:r>
        <w:rPr>
          <w:rFonts w:ascii="方正楷体简体" w:hAnsi="Times New Roman" w:eastAsia="方正楷体简体" w:cs="Times New Roman"/>
          <w:sz w:val="32"/>
          <w:szCs w:val="32"/>
          <w:lang w:val="zh-CN"/>
        </w:rPr>
        <w:t>2.5 结算方式和付款条件</w:t>
      </w:r>
      <w:bookmarkEnd w:id="507"/>
      <w:bookmarkEnd w:id="508"/>
      <w:bookmarkEnd w:id="509"/>
      <w:bookmarkEnd w:id="510"/>
      <w:bookmarkEnd w:id="511"/>
      <w:bookmarkEnd w:id="513"/>
      <w:bookmarkEnd w:id="514"/>
      <w:bookmarkEnd w:id="515"/>
      <w:bookmarkEnd w:id="516"/>
      <w:bookmarkEnd w:id="517"/>
    </w:p>
    <w:p w14:paraId="3881BD60">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详见</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w:t>
      </w:r>
    </w:p>
    <w:p w14:paraId="644AD5C1">
      <w:pPr>
        <w:ind w:firstLine="437"/>
        <w:outlineLvl w:val="2"/>
        <w:rPr>
          <w:rFonts w:ascii="方正楷体简体" w:hAnsi="Times New Roman" w:eastAsia="方正楷体简体" w:cs="Times New Roman"/>
          <w:sz w:val="32"/>
          <w:szCs w:val="32"/>
          <w:lang w:val="zh-CN"/>
        </w:rPr>
      </w:pPr>
      <w:bookmarkStart w:id="518" w:name="_Ref467379923"/>
      <w:bookmarkStart w:id="519" w:name="_Ref467379863"/>
      <w:bookmarkStart w:id="520" w:name="_Toc259093677"/>
      <w:bookmarkStart w:id="521" w:name="_Ref467379852"/>
      <w:bookmarkStart w:id="522" w:name="_Toc279701248"/>
      <w:bookmarkStart w:id="523" w:name="_Toc487900358"/>
      <w:bookmarkStart w:id="524" w:name="_Toc16110"/>
      <w:bookmarkStart w:id="525" w:name="_Toc6627"/>
      <w:bookmarkStart w:id="526" w:name="_Toc3225"/>
      <w:bookmarkStart w:id="527" w:name="_Toc8947"/>
      <w:bookmarkStart w:id="528" w:name="_Toc774"/>
      <w:r>
        <w:rPr>
          <w:rFonts w:ascii="方正楷体简体" w:hAnsi="Times New Roman" w:eastAsia="方正楷体简体" w:cs="Times New Roman"/>
          <w:sz w:val="32"/>
          <w:szCs w:val="32"/>
          <w:lang w:val="zh-CN"/>
        </w:rPr>
        <w:t>2.6 技术资料</w:t>
      </w:r>
      <w:bookmarkEnd w:id="518"/>
      <w:bookmarkEnd w:id="519"/>
      <w:bookmarkEnd w:id="520"/>
      <w:bookmarkEnd w:id="521"/>
      <w:bookmarkEnd w:id="522"/>
      <w:bookmarkEnd w:id="523"/>
      <w:r>
        <w:rPr>
          <w:rFonts w:ascii="方正楷体简体" w:hAnsi="Times New Roman" w:eastAsia="方正楷体简体" w:cs="Times New Roman"/>
          <w:sz w:val="32"/>
          <w:szCs w:val="32"/>
          <w:lang w:val="zh-CN"/>
        </w:rPr>
        <w:t>和保密义务</w:t>
      </w:r>
      <w:bookmarkEnd w:id="524"/>
      <w:bookmarkEnd w:id="525"/>
      <w:bookmarkEnd w:id="526"/>
      <w:bookmarkEnd w:id="527"/>
      <w:bookmarkEnd w:id="528"/>
    </w:p>
    <w:p w14:paraId="25F72AB3">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2.6.1乙方有权依据合同约定和项目需要，向甲方了解有关情况，调阅有关资料等，甲方应予积极配合；</w:t>
      </w:r>
    </w:p>
    <w:p w14:paraId="162DE9D9">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2.6.2乙方有义务妥善保管和保护由甲方提供的前款信息和资料等；</w:t>
      </w:r>
    </w:p>
    <w:p w14:paraId="7A70F4FB">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A734881">
      <w:pPr>
        <w:ind w:firstLine="437"/>
        <w:outlineLvl w:val="2"/>
        <w:rPr>
          <w:rFonts w:ascii="方正楷体简体" w:hAnsi="Times New Roman" w:eastAsia="方正楷体简体" w:cs="Times New Roman"/>
          <w:sz w:val="32"/>
          <w:szCs w:val="32"/>
          <w:lang w:val="zh-CN"/>
        </w:rPr>
      </w:pPr>
      <w:bookmarkStart w:id="529" w:name="_Toc20401"/>
      <w:bookmarkStart w:id="530" w:name="_Toc1434"/>
      <w:bookmarkStart w:id="531" w:name="_Toc7860"/>
      <w:r>
        <w:rPr>
          <w:rFonts w:ascii="方正楷体简体" w:hAnsi="Times New Roman" w:eastAsia="方正楷体简体" w:cs="Times New Roman"/>
          <w:sz w:val="32"/>
          <w:szCs w:val="32"/>
          <w:lang w:val="zh-CN"/>
        </w:rPr>
        <w:t>2.7 质量保证</w:t>
      </w:r>
      <w:bookmarkEnd w:id="529"/>
      <w:bookmarkEnd w:id="530"/>
      <w:bookmarkEnd w:id="531"/>
    </w:p>
    <w:p w14:paraId="13B15881">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2.7.1乙方应建立和完善履行合同的内部质量保证体系，并提供相关内部规章制度给甲方，以便甲方进行监督检查；</w:t>
      </w:r>
    </w:p>
    <w:p w14:paraId="159D05F6">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2.7.2乙方应保证履行合同的人员数量和素质、软件和硬件设备的配置、场地、环境和设施等满足全面履行合同的要求，并应接受甲方的监督检查。</w:t>
      </w:r>
    </w:p>
    <w:p w14:paraId="43FA7194">
      <w:pPr>
        <w:ind w:firstLine="437"/>
        <w:outlineLvl w:val="2"/>
        <w:rPr>
          <w:rFonts w:ascii="方正楷体简体" w:hAnsi="Times New Roman" w:eastAsia="方正楷体简体" w:cs="Times New Roman"/>
          <w:sz w:val="32"/>
          <w:szCs w:val="32"/>
          <w:lang w:val="zh-CN"/>
        </w:rPr>
      </w:pPr>
      <w:bookmarkStart w:id="532" w:name="_Toc20440"/>
      <w:bookmarkStart w:id="533" w:name="_Toc22267"/>
      <w:bookmarkStart w:id="534" w:name="_Toc27251"/>
      <w:r>
        <w:rPr>
          <w:rFonts w:ascii="方正楷体简体" w:hAnsi="Times New Roman" w:eastAsia="方正楷体简体" w:cs="Times New Roman"/>
          <w:sz w:val="32"/>
          <w:szCs w:val="32"/>
          <w:lang w:val="zh-CN"/>
        </w:rPr>
        <w:t>2.8 延迟履行</w:t>
      </w:r>
      <w:bookmarkEnd w:id="532"/>
      <w:bookmarkEnd w:id="533"/>
      <w:bookmarkEnd w:id="534"/>
    </w:p>
    <w:p w14:paraId="79E411FB">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3D92B482">
      <w:pPr>
        <w:ind w:firstLine="437"/>
        <w:outlineLvl w:val="2"/>
        <w:rPr>
          <w:rFonts w:ascii="方正楷体简体" w:hAnsi="Times New Roman" w:eastAsia="方正楷体简体" w:cs="Times New Roman"/>
          <w:sz w:val="32"/>
          <w:szCs w:val="32"/>
          <w:lang w:val="zh-CN"/>
        </w:rPr>
      </w:pPr>
      <w:bookmarkStart w:id="535" w:name="_Toc22045"/>
      <w:bookmarkStart w:id="536" w:name="_Toc106"/>
      <w:bookmarkStart w:id="537" w:name="_Toc7502"/>
      <w:bookmarkStart w:id="538" w:name="_Toc259093683"/>
      <w:bookmarkStart w:id="539" w:name="_Ref467378121"/>
      <w:bookmarkStart w:id="540" w:name="_Toc279701254"/>
      <w:bookmarkStart w:id="541" w:name="_Toc487900364"/>
      <w:r>
        <w:rPr>
          <w:rFonts w:ascii="方正楷体简体" w:hAnsi="Times New Roman" w:eastAsia="方正楷体简体" w:cs="Times New Roman"/>
          <w:sz w:val="32"/>
          <w:szCs w:val="32"/>
          <w:lang w:val="zh-CN"/>
        </w:rPr>
        <w:t>2.9 合同变更</w:t>
      </w:r>
      <w:bookmarkEnd w:id="535"/>
      <w:bookmarkEnd w:id="536"/>
      <w:bookmarkEnd w:id="537"/>
    </w:p>
    <w:p w14:paraId="4023AF7A">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2.9.1双方当事人协商一致，可以签订书面补充合同的形式变更合同，但不得违背采购文件确定的事项；</w:t>
      </w:r>
    </w:p>
    <w:p w14:paraId="340FA367">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2.9.2合同继续履行将损害国家利益和社会公共利益的，双方当事人应当以书面形式变更合同。有过错的一方应当承担赔偿责任，双方当事人都有过错的，各自承担相应的责任。</w:t>
      </w:r>
      <w:bookmarkStart w:id="542" w:name="_Toc259093688"/>
      <w:bookmarkStart w:id="543" w:name="_Toc279701259"/>
      <w:bookmarkStart w:id="544" w:name="_Toc487900369"/>
    </w:p>
    <w:p w14:paraId="56FC7637">
      <w:pPr>
        <w:ind w:firstLine="437"/>
        <w:outlineLvl w:val="2"/>
        <w:rPr>
          <w:rFonts w:ascii="方正楷体简体" w:hAnsi="Times New Roman" w:eastAsia="方正楷体简体" w:cs="Times New Roman"/>
          <w:sz w:val="32"/>
          <w:szCs w:val="32"/>
          <w:lang w:val="zh-CN"/>
        </w:rPr>
      </w:pPr>
      <w:bookmarkStart w:id="545" w:name="_Toc10366"/>
      <w:bookmarkStart w:id="546" w:name="_Toc15237"/>
      <w:bookmarkStart w:id="547" w:name="_Toc20243"/>
      <w:bookmarkStart w:id="548" w:name="_Toc22955"/>
      <w:bookmarkStart w:id="549" w:name="_Toc19955"/>
      <w:r>
        <w:rPr>
          <w:rFonts w:ascii="方正楷体简体" w:hAnsi="Times New Roman" w:eastAsia="方正楷体简体" w:cs="Times New Roman"/>
          <w:sz w:val="32"/>
          <w:szCs w:val="32"/>
          <w:lang w:val="zh-CN"/>
        </w:rPr>
        <w:t>2.10 合同转让</w:t>
      </w:r>
      <w:bookmarkEnd w:id="542"/>
      <w:bookmarkEnd w:id="543"/>
      <w:bookmarkEnd w:id="544"/>
      <w:r>
        <w:rPr>
          <w:rFonts w:ascii="方正楷体简体" w:hAnsi="Times New Roman" w:eastAsia="方正楷体简体" w:cs="Times New Roman"/>
          <w:sz w:val="32"/>
          <w:szCs w:val="32"/>
          <w:lang w:val="zh-CN"/>
        </w:rPr>
        <w:t>和分包</w:t>
      </w:r>
      <w:bookmarkEnd w:id="545"/>
      <w:bookmarkEnd w:id="546"/>
      <w:bookmarkEnd w:id="547"/>
      <w:bookmarkEnd w:id="548"/>
      <w:bookmarkEnd w:id="549"/>
    </w:p>
    <w:p w14:paraId="2E5006FB">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F288D58">
      <w:pPr>
        <w:ind w:firstLine="437"/>
        <w:outlineLvl w:val="2"/>
        <w:rPr>
          <w:rFonts w:ascii="方正楷体简体" w:hAnsi="Times New Roman" w:eastAsia="方正楷体简体" w:cs="Times New Roman"/>
          <w:sz w:val="32"/>
          <w:szCs w:val="32"/>
          <w:lang w:val="zh-CN"/>
        </w:rPr>
      </w:pPr>
      <w:bookmarkStart w:id="550" w:name="_Toc13566"/>
      <w:bookmarkStart w:id="551" w:name="_Toc22946"/>
      <w:bookmarkStart w:id="552" w:name="_Toc16508"/>
      <w:bookmarkStart w:id="553" w:name="_Toc14066"/>
      <w:bookmarkStart w:id="554" w:name="_Toc10157"/>
      <w:r>
        <w:rPr>
          <w:rFonts w:ascii="方正楷体简体" w:hAnsi="Times New Roman" w:eastAsia="方正楷体简体" w:cs="Times New Roman"/>
          <w:sz w:val="32"/>
          <w:szCs w:val="32"/>
          <w:lang w:val="zh-CN"/>
        </w:rPr>
        <w:t>2.11 不可抗力</w:t>
      </w:r>
      <w:bookmarkEnd w:id="550"/>
      <w:bookmarkEnd w:id="551"/>
      <w:bookmarkEnd w:id="552"/>
      <w:bookmarkEnd w:id="553"/>
      <w:bookmarkEnd w:id="554"/>
    </w:p>
    <w:p w14:paraId="61C351B7">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2.11.1如果任何一方遭遇法律规定的不可抗力，致使合同履行受阻时，履行合同的期限应予延长，延长的期限应相当于不可抗力所影响的时间；</w:t>
      </w:r>
    </w:p>
    <w:p w14:paraId="1D22D723">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2.11.2因不可抗力致使不能实现合同目的的，当事人可以解除合同；</w:t>
      </w:r>
    </w:p>
    <w:p w14:paraId="5CA424A4">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2.11.3因不可抗力致使合同有变更必要的，双方当事人应在</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约定时间内以书面形式变更合同；</w:t>
      </w:r>
    </w:p>
    <w:p w14:paraId="201E99FF">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2.11.4受不可抗力影响的一方在不可抗力发生后，应在</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约定时间内以书面形式通知对方当事人，并在</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约定时间内，将有关部门出具的证明文件送达对方当事人。</w:t>
      </w:r>
    </w:p>
    <w:p w14:paraId="51068D20">
      <w:pPr>
        <w:ind w:firstLine="437"/>
        <w:outlineLvl w:val="2"/>
        <w:rPr>
          <w:rFonts w:ascii="方正楷体简体" w:hAnsi="Times New Roman" w:eastAsia="方正楷体简体" w:cs="Times New Roman"/>
          <w:sz w:val="32"/>
          <w:szCs w:val="32"/>
          <w:lang w:val="zh-CN"/>
        </w:rPr>
      </w:pPr>
      <w:bookmarkStart w:id="555" w:name="_Toc24332"/>
      <w:bookmarkStart w:id="556" w:name="_Toc259093684"/>
      <w:bookmarkStart w:id="557" w:name="_Toc12787"/>
      <w:bookmarkStart w:id="558" w:name="_Toc30676"/>
      <w:bookmarkStart w:id="559" w:name="_Toc689"/>
      <w:bookmarkStart w:id="560" w:name="_Toc487900365"/>
      <w:bookmarkStart w:id="561" w:name="_Toc279701255"/>
      <w:bookmarkStart w:id="562" w:name="_Toc6969"/>
      <w:r>
        <w:rPr>
          <w:rFonts w:ascii="方正楷体简体" w:hAnsi="Times New Roman" w:eastAsia="方正楷体简体" w:cs="Times New Roman"/>
          <w:sz w:val="32"/>
          <w:szCs w:val="32"/>
          <w:lang w:val="zh-CN"/>
        </w:rPr>
        <w:t>2.12 税费</w:t>
      </w:r>
      <w:bookmarkEnd w:id="555"/>
      <w:bookmarkEnd w:id="556"/>
      <w:bookmarkEnd w:id="557"/>
      <w:bookmarkEnd w:id="558"/>
      <w:bookmarkEnd w:id="559"/>
      <w:bookmarkEnd w:id="560"/>
      <w:bookmarkEnd w:id="561"/>
      <w:bookmarkEnd w:id="562"/>
    </w:p>
    <w:p w14:paraId="0360D507">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与合同有关的一切税费，均按照中华人民共和国法律的相关规定缴纳。</w:t>
      </w:r>
    </w:p>
    <w:p w14:paraId="34D91D33">
      <w:pPr>
        <w:ind w:firstLine="437"/>
        <w:outlineLvl w:val="2"/>
        <w:rPr>
          <w:rFonts w:ascii="方正楷体简体" w:hAnsi="Times New Roman" w:eastAsia="方正楷体简体" w:cs="Times New Roman"/>
          <w:sz w:val="32"/>
          <w:szCs w:val="32"/>
          <w:lang w:val="zh-CN"/>
        </w:rPr>
      </w:pPr>
      <w:bookmarkStart w:id="563" w:name="_Toc487900368"/>
      <w:bookmarkStart w:id="564" w:name="_Toc8298"/>
      <w:bookmarkStart w:id="565" w:name="_Toc279701258"/>
      <w:bookmarkStart w:id="566" w:name="_Toc2206"/>
      <w:bookmarkStart w:id="567" w:name="_Toc30741"/>
      <w:bookmarkStart w:id="568" w:name="_Toc7102"/>
      <w:bookmarkStart w:id="569" w:name="_Toc259093687"/>
      <w:bookmarkStart w:id="570" w:name="_Toc16959"/>
      <w:r>
        <w:rPr>
          <w:rFonts w:ascii="方正楷体简体" w:hAnsi="Times New Roman" w:eastAsia="方正楷体简体" w:cs="Times New Roman"/>
          <w:sz w:val="32"/>
          <w:szCs w:val="32"/>
          <w:lang w:val="zh-CN"/>
        </w:rPr>
        <w:t>2.13 乙方破产</w:t>
      </w:r>
      <w:bookmarkEnd w:id="563"/>
      <w:bookmarkEnd w:id="564"/>
      <w:bookmarkEnd w:id="565"/>
      <w:bookmarkEnd w:id="566"/>
      <w:bookmarkEnd w:id="567"/>
      <w:bookmarkEnd w:id="568"/>
      <w:bookmarkEnd w:id="569"/>
      <w:bookmarkEnd w:id="570"/>
    </w:p>
    <w:p w14:paraId="0841F516">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65641260">
      <w:pPr>
        <w:ind w:firstLine="437"/>
        <w:outlineLvl w:val="2"/>
        <w:rPr>
          <w:rFonts w:ascii="方正楷体简体" w:hAnsi="Times New Roman" w:eastAsia="方正楷体简体" w:cs="Times New Roman"/>
          <w:sz w:val="32"/>
          <w:szCs w:val="32"/>
          <w:lang w:val="zh-CN"/>
        </w:rPr>
      </w:pPr>
      <w:bookmarkStart w:id="571" w:name="_Toc13537"/>
      <w:bookmarkStart w:id="572" w:name="_Toc29333"/>
      <w:bookmarkStart w:id="573" w:name="_Toc6134"/>
      <w:bookmarkStart w:id="574" w:name="_Toc15387"/>
      <w:bookmarkStart w:id="575" w:name="_Toc9036"/>
      <w:r>
        <w:rPr>
          <w:rFonts w:ascii="方正楷体简体" w:hAnsi="Times New Roman" w:eastAsia="方正楷体简体" w:cs="Times New Roman"/>
          <w:sz w:val="32"/>
          <w:szCs w:val="32"/>
          <w:lang w:val="zh-CN"/>
        </w:rPr>
        <w:t>2.14 合同中止、终止</w:t>
      </w:r>
      <w:bookmarkEnd w:id="571"/>
      <w:bookmarkEnd w:id="572"/>
      <w:bookmarkEnd w:id="573"/>
      <w:bookmarkEnd w:id="574"/>
      <w:bookmarkEnd w:id="575"/>
    </w:p>
    <w:p w14:paraId="4B21CE5B">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2.14.1双方当事人不得擅自中止或者终止合同；</w:t>
      </w:r>
    </w:p>
    <w:p w14:paraId="6AF65EF5">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2.14.2合同继续履行将损害国家利益和社会公共利益的，双方当事人应当中止或者终止合同。有过错的一方应当承担赔偿责任，双方当事人都有过错的，各自承担相应的责任。</w:t>
      </w:r>
    </w:p>
    <w:p w14:paraId="08A5DE69">
      <w:pPr>
        <w:ind w:firstLine="437"/>
        <w:outlineLvl w:val="2"/>
        <w:rPr>
          <w:rFonts w:ascii="方正楷体简体" w:hAnsi="Times New Roman" w:eastAsia="方正楷体简体" w:cs="Times New Roman"/>
          <w:sz w:val="32"/>
          <w:szCs w:val="32"/>
          <w:lang w:val="zh-CN"/>
        </w:rPr>
      </w:pPr>
      <w:bookmarkStart w:id="576" w:name="_Toc6596"/>
      <w:bookmarkStart w:id="577" w:name="_Toc14791"/>
      <w:bookmarkStart w:id="578" w:name="_Toc7061"/>
      <w:bookmarkStart w:id="579" w:name="_Toc1125"/>
      <w:bookmarkStart w:id="580" w:name="_Toc14563"/>
      <w:r>
        <w:rPr>
          <w:rFonts w:ascii="方正楷体简体" w:hAnsi="Times New Roman" w:eastAsia="方正楷体简体" w:cs="Times New Roman"/>
          <w:sz w:val="32"/>
          <w:szCs w:val="32"/>
          <w:lang w:val="zh-CN"/>
        </w:rPr>
        <w:t>2.15 检验和验收</w:t>
      </w:r>
      <w:bookmarkEnd w:id="576"/>
      <w:bookmarkEnd w:id="577"/>
      <w:bookmarkEnd w:id="578"/>
      <w:bookmarkEnd w:id="579"/>
      <w:bookmarkEnd w:id="580"/>
    </w:p>
    <w:p w14:paraId="5E5209EE">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2.15.1乙方按照</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的约定，定期提交服务报告，甲方按照</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的约定进行定期验收；</w:t>
      </w:r>
    </w:p>
    <w:p w14:paraId="0C53DA9D">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07F662C6">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2.15.3检验和验收标准、程序等具体内容以及前述验收书的效力详见</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w:t>
      </w:r>
    </w:p>
    <w:bookmarkEnd w:id="538"/>
    <w:bookmarkEnd w:id="539"/>
    <w:bookmarkEnd w:id="540"/>
    <w:bookmarkEnd w:id="541"/>
    <w:p w14:paraId="12380014">
      <w:pPr>
        <w:ind w:firstLine="437"/>
        <w:outlineLvl w:val="2"/>
        <w:rPr>
          <w:rFonts w:ascii="方正楷体简体" w:hAnsi="Times New Roman" w:eastAsia="方正楷体简体" w:cs="Times New Roman"/>
          <w:sz w:val="32"/>
          <w:szCs w:val="32"/>
        </w:rPr>
      </w:pPr>
      <w:bookmarkStart w:id="581" w:name="_Toc10330"/>
      <w:bookmarkStart w:id="582" w:name="_Toc279701263"/>
      <w:bookmarkStart w:id="583" w:name="_Toc31923"/>
      <w:bookmarkStart w:id="584" w:name="_Toc12773"/>
      <w:bookmarkStart w:id="585" w:name="_Toc18567"/>
      <w:bookmarkStart w:id="586" w:name="_Toc259093692"/>
      <w:bookmarkStart w:id="587" w:name="_Toc487900373"/>
      <w:bookmarkStart w:id="588" w:name="_Toc28706"/>
      <w:r>
        <w:rPr>
          <w:rFonts w:ascii="方正楷体简体" w:hAnsi="Times New Roman" w:eastAsia="方正楷体简体" w:cs="Times New Roman"/>
          <w:sz w:val="32"/>
          <w:szCs w:val="32"/>
        </w:rPr>
        <w:t xml:space="preserve">2.16 </w:t>
      </w:r>
      <w:r>
        <w:rPr>
          <w:rFonts w:ascii="方正楷体简体" w:hAnsi="Times New Roman" w:eastAsia="方正楷体简体" w:cs="Times New Roman"/>
          <w:sz w:val="32"/>
          <w:szCs w:val="32"/>
          <w:lang w:val="zh-CN"/>
        </w:rPr>
        <w:t>合同使用的文字和适用的法律</w:t>
      </w:r>
      <w:bookmarkEnd w:id="581"/>
      <w:bookmarkEnd w:id="582"/>
      <w:bookmarkEnd w:id="583"/>
      <w:bookmarkEnd w:id="584"/>
      <w:bookmarkEnd w:id="585"/>
      <w:bookmarkEnd w:id="586"/>
      <w:bookmarkEnd w:id="587"/>
      <w:bookmarkEnd w:id="588"/>
    </w:p>
    <w:p w14:paraId="0967B0F2">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2.16.1合同使用汉语书就、变更和解释；</w:t>
      </w:r>
    </w:p>
    <w:p w14:paraId="69FBF7CC">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2.16.2合同适用中华人民共和国法律。</w:t>
      </w:r>
    </w:p>
    <w:p w14:paraId="025E3CAF">
      <w:pPr>
        <w:ind w:firstLine="437"/>
        <w:outlineLvl w:val="2"/>
        <w:rPr>
          <w:rFonts w:ascii="方正楷体简体" w:hAnsi="Times New Roman" w:eastAsia="方正楷体简体" w:cs="Times New Roman"/>
          <w:sz w:val="32"/>
          <w:szCs w:val="32"/>
          <w:lang w:val="zh-CN"/>
        </w:rPr>
      </w:pPr>
      <w:bookmarkStart w:id="589" w:name="_Toc259093693"/>
      <w:bookmarkStart w:id="590" w:name="_Toc13059"/>
      <w:bookmarkStart w:id="591" w:name="_Toc12004"/>
      <w:bookmarkStart w:id="592" w:name="_Toc3148"/>
      <w:bookmarkStart w:id="593" w:name="_Toc30894"/>
      <w:bookmarkStart w:id="594" w:name="_Toc279701264"/>
      <w:bookmarkStart w:id="595" w:name="_Toc16673"/>
      <w:bookmarkStart w:id="596" w:name="_Toc487900374"/>
      <w:r>
        <w:rPr>
          <w:rFonts w:ascii="方正楷体简体" w:hAnsi="Times New Roman" w:eastAsia="方正楷体简体" w:cs="Times New Roman"/>
          <w:sz w:val="32"/>
          <w:szCs w:val="32"/>
          <w:lang w:val="zh-CN"/>
        </w:rPr>
        <w:t>2.17 履约保证金</w:t>
      </w:r>
      <w:bookmarkEnd w:id="589"/>
      <w:bookmarkEnd w:id="590"/>
      <w:bookmarkEnd w:id="591"/>
      <w:bookmarkEnd w:id="592"/>
      <w:bookmarkEnd w:id="593"/>
      <w:bookmarkEnd w:id="594"/>
      <w:bookmarkEnd w:id="595"/>
    </w:p>
    <w:p w14:paraId="744AA471">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2.17.1采购文件要求乙方提交履约保证金的，乙方应按</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约定的方式，以支票、汇票、本票或者金融机构、担保机构出具的保函等非现金形式提交；</w:t>
      </w:r>
    </w:p>
    <w:p w14:paraId="6E937CF5">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2.17.2履约保证金在</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约定期间内不予退还或者应完全有效，前述约定期间届满之日起</w:t>
      </w:r>
      <w:r>
        <w:rPr>
          <w:rFonts w:ascii="Times New Roman" w:hAnsi="Times New Roman" w:eastAsia="方正仿宋简体" w:cs="Times New Roman"/>
          <w:sz w:val="32"/>
          <w:szCs w:val="32"/>
          <w:u w:val="single"/>
        </w:rPr>
        <w:t>/</w:t>
      </w:r>
      <w:r>
        <w:rPr>
          <w:rFonts w:ascii="Times New Roman" w:hAnsi="Times New Roman" w:eastAsia="方正仿宋简体" w:cs="Times New Roman"/>
          <w:sz w:val="32"/>
          <w:szCs w:val="32"/>
        </w:rPr>
        <w:t>个工作日内，甲方应将履约保证金退还乙方，甲方逾期退还履约保证金应承担违约责任。</w:t>
      </w:r>
    </w:p>
    <w:p w14:paraId="2B2DC827">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2.17.3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596"/>
    <w:p w14:paraId="16645178">
      <w:pPr>
        <w:ind w:firstLine="437"/>
        <w:outlineLvl w:val="2"/>
        <w:rPr>
          <w:rFonts w:ascii="方正楷体简体" w:hAnsi="Times New Roman" w:eastAsia="方正楷体简体" w:cs="Times New Roman"/>
          <w:sz w:val="32"/>
          <w:szCs w:val="32"/>
          <w:lang w:val="zh-CN"/>
        </w:rPr>
      </w:pPr>
      <w:bookmarkStart w:id="597" w:name="_Toc19890"/>
      <w:bookmarkStart w:id="598" w:name="_Toc11238"/>
      <w:bookmarkStart w:id="599" w:name="_Toc14001"/>
      <w:bookmarkStart w:id="600" w:name="_Toc6885"/>
      <w:bookmarkStart w:id="601" w:name="_Toc7242"/>
      <w:r>
        <w:rPr>
          <w:rFonts w:ascii="方正楷体简体" w:hAnsi="Times New Roman" w:eastAsia="方正楷体简体" w:cs="Times New Roman"/>
          <w:sz w:val="32"/>
          <w:szCs w:val="32"/>
          <w:lang w:val="zh-CN"/>
        </w:rPr>
        <w:t>2.18 合同份数</w:t>
      </w:r>
      <w:bookmarkEnd w:id="597"/>
      <w:bookmarkEnd w:id="598"/>
      <w:bookmarkEnd w:id="599"/>
      <w:bookmarkEnd w:id="600"/>
      <w:bookmarkEnd w:id="601"/>
    </w:p>
    <w:p w14:paraId="21961F25">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合同份数按</w:t>
      </w:r>
      <w:r>
        <w:rPr>
          <w:rFonts w:ascii="Times New Roman" w:hAnsi="Times New Roman" w:eastAsia="方正仿宋简体" w:cs="Times New Roman"/>
          <w:b/>
          <w:sz w:val="32"/>
          <w:szCs w:val="32"/>
          <w:u w:val="single"/>
        </w:rPr>
        <w:t>合同专用条款</w:t>
      </w:r>
      <w:r>
        <w:rPr>
          <w:rFonts w:ascii="Times New Roman" w:hAnsi="Times New Roman" w:eastAsia="方正仿宋简体" w:cs="Times New Roman"/>
          <w:sz w:val="32"/>
          <w:szCs w:val="32"/>
        </w:rPr>
        <w:t>规定，每份均具有同等法律效力。</w:t>
      </w:r>
    </w:p>
    <w:p w14:paraId="17358AE9">
      <w:pPr>
        <w:pageBreakBefore/>
        <w:spacing w:after="156" w:afterLines="50"/>
        <w:jc w:val="center"/>
        <w:outlineLvl w:val="1"/>
        <w:rPr>
          <w:rFonts w:hint="eastAsia" w:cs="宋体"/>
          <w:b/>
          <w:sz w:val="36"/>
          <w:szCs w:val="36"/>
        </w:rPr>
      </w:pPr>
      <w:bookmarkStart w:id="602" w:name="_Toc3736"/>
      <w:bookmarkStart w:id="603" w:name="_Toc24453"/>
      <w:bookmarkStart w:id="604" w:name="_Toc19801"/>
      <w:r>
        <w:rPr>
          <w:rFonts w:hint="eastAsia" w:cs="宋体"/>
          <w:b/>
          <w:sz w:val="36"/>
          <w:szCs w:val="36"/>
        </w:rPr>
        <w:t>第三部分 合同专用条款</w:t>
      </w:r>
      <w:bookmarkEnd w:id="602"/>
      <w:bookmarkEnd w:id="603"/>
      <w:bookmarkEnd w:id="604"/>
    </w:p>
    <w:p w14:paraId="7C1ED685">
      <w:pPr>
        <w:ind w:firstLine="435"/>
        <w:rPr>
          <w:rFonts w:ascii="Times New Roman" w:hAnsi="Times New Roman" w:eastAsia="方正仿宋简体" w:cs="Times New Roman"/>
          <w:sz w:val="32"/>
          <w:szCs w:val="32"/>
        </w:rPr>
      </w:pPr>
      <w:r>
        <w:rPr>
          <w:rFonts w:ascii="Times New Roman" w:hAnsi="Times New Roman" w:eastAsia="方正仿宋简体" w:cs="Times New Roman"/>
          <w:sz w:val="32"/>
          <w:szCs w:val="32"/>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1"/>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286"/>
        <w:gridCol w:w="7076"/>
      </w:tblGrid>
      <w:tr w14:paraId="7090C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1286" w:type="dxa"/>
            <w:tcBorders>
              <w:left w:val="single" w:color="auto" w:sz="4" w:space="0"/>
            </w:tcBorders>
            <w:vAlign w:val="center"/>
          </w:tcPr>
          <w:p w14:paraId="4618B044">
            <w:pPr>
              <w:jc w:val="center"/>
              <w:rPr>
                <w:rFonts w:ascii="Times New Roman" w:hAnsi="Times New Roman" w:eastAsia="方正仿宋简体" w:cs="Times New Roman"/>
                <w:b/>
                <w:sz w:val="21"/>
                <w:szCs w:val="21"/>
              </w:rPr>
            </w:pPr>
            <w:r>
              <w:rPr>
                <w:rFonts w:ascii="Times New Roman" w:hAnsi="Times New Roman" w:eastAsia="方正仿宋简体" w:cs="Times New Roman"/>
                <w:b/>
                <w:sz w:val="21"/>
                <w:szCs w:val="21"/>
              </w:rPr>
              <w:t>条款号</w:t>
            </w:r>
          </w:p>
        </w:tc>
        <w:tc>
          <w:tcPr>
            <w:tcW w:w="7076" w:type="dxa"/>
            <w:vAlign w:val="center"/>
          </w:tcPr>
          <w:p w14:paraId="3C2EF599">
            <w:pPr>
              <w:jc w:val="center"/>
              <w:rPr>
                <w:rFonts w:ascii="Times New Roman" w:hAnsi="Times New Roman" w:eastAsia="方正仿宋简体" w:cs="Times New Roman"/>
                <w:b/>
                <w:sz w:val="21"/>
                <w:szCs w:val="21"/>
              </w:rPr>
            </w:pPr>
            <w:r>
              <w:rPr>
                <w:rFonts w:ascii="Times New Roman" w:hAnsi="Times New Roman" w:eastAsia="方正仿宋简体" w:cs="Times New Roman"/>
                <w:b/>
                <w:sz w:val="21"/>
                <w:szCs w:val="21"/>
              </w:rPr>
              <w:t>约定内容</w:t>
            </w:r>
          </w:p>
        </w:tc>
      </w:tr>
      <w:tr w14:paraId="4E84CF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1286" w:type="dxa"/>
            <w:tcBorders>
              <w:left w:val="single" w:color="auto" w:sz="4" w:space="0"/>
            </w:tcBorders>
            <w:vAlign w:val="center"/>
          </w:tcPr>
          <w:p w14:paraId="2F24426D">
            <w:pPr>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1.2.3</w:t>
            </w:r>
          </w:p>
        </w:tc>
        <w:tc>
          <w:tcPr>
            <w:tcW w:w="7076" w:type="dxa"/>
            <w:vAlign w:val="center"/>
          </w:tcPr>
          <w:p w14:paraId="1D15204C">
            <w:pPr>
              <w:rPr>
                <w:rFonts w:ascii="Times New Roman" w:hAnsi="Times New Roman" w:eastAsia="方正仿宋简体" w:cs="Times New Roman"/>
                <w:bCs/>
                <w:sz w:val="21"/>
                <w:szCs w:val="21"/>
              </w:rPr>
            </w:pPr>
            <w:r>
              <w:rPr>
                <w:rFonts w:hint="eastAsia" w:ascii="Times New Roman" w:hAnsi="Times New Roman" w:eastAsia="方正仿宋简体" w:cs="Times New Roman"/>
                <w:bCs/>
                <w:sz w:val="21"/>
                <w:szCs w:val="21"/>
                <w:lang w:val="en-US" w:eastAsia="zh-CN"/>
              </w:rPr>
              <w:t>验收标准：</w:t>
            </w:r>
            <w:r>
              <w:rPr>
                <w:rFonts w:ascii="Times New Roman" w:hAnsi="Times New Roman" w:eastAsia="方正仿宋简体" w:cs="Times New Roman"/>
                <w:bCs/>
                <w:sz w:val="21"/>
                <w:szCs w:val="21"/>
              </w:rPr>
              <w:t>合格（通过采购人及有关部门组织的项目验收）</w:t>
            </w:r>
          </w:p>
        </w:tc>
      </w:tr>
      <w:tr w14:paraId="66017D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1286" w:type="dxa"/>
            <w:tcBorders>
              <w:left w:val="single" w:color="auto" w:sz="4" w:space="0"/>
            </w:tcBorders>
            <w:vAlign w:val="center"/>
          </w:tcPr>
          <w:p w14:paraId="754B744B">
            <w:pPr>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1.2.4</w:t>
            </w:r>
          </w:p>
        </w:tc>
        <w:tc>
          <w:tcPr>
            <w:tcW w:w="7076" w:type="dxa"/>
            <w:vAlign w:val="center"/>
          </w:tcPr>
          <w:p w14:paraId="6AB96917">
            <w:pPr>
              <w:rPr>
                <w:rFonts w:ascii="Times New Roman" w:hAnsi="Times New Roman" w:eastAsia="方正仿宋简体" w:cs="Times New Roman"/>
                <w:bCs/>
                <w:sz w:val="21"/>
                <w:szCs w:val="21"/>
              </w:rPr>
            </w:pPr>
            <w:r>
              <w:rPr>
                <w:rFonts w:hint="eastAsia" w:ascii="Times New Roman" w:hAnsi="Times New Roman" w:eastAsia="方正仿宋简体" w:cs="Times New Roman"/>
                <w:bCs/>
                <w:sz w:val="21"/>
                <w:szCs w:val="21"/>
                <w:lang w:val="en-US" w:eastAsia="zh-CN"/>
              </w:rPr>
              <w:t>服务期限：</w:t>
            </w:r>
            <w:r>
              <w:rPr>
                <w:rFonts w:ascii="Times New Roman" w:hAnsi="Times New Roman" w:eastAsia="方正仿宋简体" w:cs="Times New Roman"/>
                <w:bCs/>
                <w:sz w:val="21"/>
                <w:szCs w:val="21"/>
              </w:rPr>
              <w:t>自合同签订</w:t>
            </w:r>
            <w:r>
              <w:rPr>
                <w:rFonts w:hint="eastAsia" w:ascii="Times New Roman" w:hAnsi="Times New Roman" w:eastAsia="方正仿宋简体" w:cs="Times New Roman"/>
                <w:bCs/>
                <w:sz w:val="21"/>
                <w:szCs w:val="21"/>
              </w:rPr>
              <w:t>之日起</w:t>
            </w:r>
            <w:r>
              <w:rPr>
                <w:rFonts w:ascii="Times New Roman" w:hAnsi="Times New Roman" w:eastAsia="方正仿宋简体" w:cs="Times New Roman"/>
                <w:bCs/>
                <w:sz w:val="21"/>
                <w:szCs w:val="21"/>
              </w:rPr>
              <w:t>至示范工程验收结束</w:t>
            </w:r>
          </w:p>
        </w:tc>
      </w:tr>
      <w:tr w14:paraId="15A0CE2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1286" w:type="dxa"/>
            <w:tcBorders>
              <w:left w:val="single" w:color="auto" w:sz="4" w:space="0"/>
            </w:tcBorders>
            <w:vAlign w:val="center"/>
          </w:tcPr>
          <w:p w14:paraId="0423ECAE">
            <w:pPr>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1.2.5</w:t>
            </w:r>
          </w:p>
        </w:tc>
        <w:tc>
          <w:tcPr>
            <w:tcW w:w="7076" w:type="dxa"/>
            <w:vAlign w:val="center"/>
          </w:tcPr>
          <w:p w14:paraId="4FF16451">
            <w:pPr>
              <w:rPr>
                <w:rFonts w:hint="eastAsia" w:ascii="Times New Roman" w:hAnsi="Times New Roman" w:eastAsia="方正仿宋简体" w:cs="Times New Roman"/>
                <w:bCs/>
                <w:sz w:val="21"/>
                <w:szCs w:val="21"/>
                <w:lang w:eastAsia="zh-CN"/>
              </w:rPr>
            </w:pPr>
            <w:r>
              <w:rPr>
                <w:rFonts w:ascii="Times New Roman" w:hAnsi="Times New Roman" w:eastAsia="方正仿宋简体" w:cs="Times New Roman"/>
                <w:bCs/>
                <w:sz w:val="21"/>
                <w:szCs w:val="21"/>
              </w:rPr>
              <w:t>服务交付的成果及方式</w:t>
            </w:r>
            <w:r>
              <w:rPr>
                <w:rFonts w:hint="eastAsia" w:ascii="Times New Roman" w:hAnsi="Times New Roman" w:eastAsia="方正仿宋简体" w:cs="Times New Roman"/>
                <w:bCs/>
                <w:sz w:val="21"/>
                <w:szCs w:val="21"/>
                <w:lang w:eastAsia="zh-CN"/>
              </w:rPr>
              <w:t>；</w:t>
            </w:r>
          </w:p>
          <w:p w14:paraId="7292C036">
            <w:pPr>
              <w:rPr>
                <w:rFonts w:ascii="Times New Roman" w:hAnsi="Times New Roman" w:eastAsia="方正仿宋简体" w:cs="Times New Roman"/>
                <w:bCs/>
                <w:sz w:val="21"/>
                <w:szCs w:val="21"/>
              </w:rPr>
            </w:pPr>
            <w:r>
              <w:rPr>
                <w:rFonts w:hint="eastAsia" w:ascii="Times New Roman" w:hAnsi="Times New Roman" w:eastAsia="方正仿宋简体" w:cs="Times New Roman"/>
                <w:bCs/>
                <w:sz w:val="21"/>
                <w:szCs w:val="21"/>
              </w:rPr>
              <w:t>①项目档案资料、巡查检查记录、效果图册、成果展示材料、专家指导培训会材料、绩效评价报告（季度、年度及总体）、子项目及整体竣工验收报告；②典型项目技术成果亮点综合研究报告；</w:t>
            </w:r>
          </w:p>
          <w:p w14:paraId="4C7E174A">
            <w:pPr>
              <w:rPr>
                <w:rFonts w:ascii="Times New Roman" w:hAnsi="Times New Roman" w:eastAsia="方正仿宋简体" w:cs="Times New Roman"/>
                <w:bCs/>
                <w:sz w:val="21"/>
                <w:szCs w:val="21"/>
              </w:rPr>
            </w:pPr>
            <w:r>
              <w:rPr>
                <w:rFonts w:hint="eastAsia" w:ascii="Times New Roman" w:hAnsi="Times New Roman" w:eastAsia="方正仿宋简体" w:cs="Times New Roman"/>
                <w:bCs/>
                <w:sz w:val="21"/>
                <w:szCs w:val="21"/>
              </w:rPr>
              <w:t>③信息化平台建设等；</w:t>
            </w:r>
          </w:p>
          <w:p w14:paraId="4F20F611">
            <w:pPr>
              <w:rPr>
                <w:rFonts w:ascii="Times New Roman" w:hAnsi="Times New Roman" w:eastAsia="方正仿宋简体" w:cs="Times New Roman"/>
                <w:bCs/>
                <w:sz w:val="21"/>
                <w:szCs w:val="21"/>
              </w:rPr>
            </w:pPr>
            <w:r>
              <w:rPr>
                <w:rFonts w:ascii="Cambria Math" w:hAnsi="Cambria Math" w:eastAsia="方正仿宋简体" w:cs="Cambria Math"/>
                <w:bCs/>
                <w:sz w:val="21"/>
                <w:szCs w:val="21"/>
              </w:rPr>
              <w:t>④</w:t>
            </w:r>
            <w:r>
              <w:rPr>
                <w:rFonts w:hint="eastAsia" w:ascii="Times New Roman" w:hAnsi="Times New Roman" w:eastAsia="方正仿宋简体" w:cs="Times New Roman"/>
                <w:bCs/>
                <w:sz w:val="21"/>
                <w:szCs w:val="21"/>
              </w:rPr>
              <w:t>制作宣传视频</w:t>
            </w:r>
            <w:r>
              <w:rPr>
                <w:rFonts w:hint="eastAsia" w:ascii="Times New Roman" w:hAnsi="Times New Roman" w:eastAsia="方正仿宋简体" w:cs="Times New Roman"/>
                <w:bCs/>
                <w:sz w:val="21"/>
                <w:szCs w:val="21"/>
                <w:lang w:val="en-US" w:eastAsia="zh-CN"/>
              </w:rPr>
              <w:t>约</w:t>
            </w:r>
            <w:r>
              <w:rPr>
                <w:rFonts w:hint="eastAsia" w:ascii="Times New Roman" w:hAnsi="Times New Roman" w:eastAsia="方正仿宋简体" w:cs="Times New Roman"/>
                <w:bCs/>
                <w:sz w:val="21"/>
                <w:szCs w:val="21"/>
              </w:rPr>
              <w:t>8分钟</w:t>
            </w:r>
            <w:r>
              <w:rPr>
                <w:rFonts w:hint="eastAsia" w:ascii="Times New Roman" w:hAnsi="Times New Roman" w:eastAsia="方正仿宋简体" w:cs="Times New Roman"/>
                <w:bCs/>
                <w:sz w:val="21"/>
                <w:szCs w:val="21"/>
                <w:lang w:val="en-US" w:eastAsia="zh-CN"/>
              </w:rPr>
              <w:t>左右</w:t>
            </w:r>
            <w:r>
              <w:rPr>
                <w:rFonts w:hint="eastAsia" w:ascii="Times New Roman" w:hAnsi="Times New Roman" w:eastAsia="方正仿宋简体" w:cs="Times New Roman"/>
                <w:bCs/>
                <w:sz w:val="21"/>
                <w:szCs w:val="21"/>
              </w:rPr>
              <w:t>。</w:t>
            </w:r>
          </w:p>
          <w:p w14:paraId="713B93C5">
            <w:pPr>
              <w:rPr>
                <w:rFonts w:ascii="Times New Roman" w:hAnsi="Times New Roman" w:eastAsia="方正仿宋简体" w:cs="Times New Roman"/>
                <w:bCs/>
                <w:sz w:val="21"/>
                <w:szCs w:val="21"/>
              </w:rPr>
            </w:pPr>
            <w:r>
              <w:rPr>
                <w:rFonts w:hint="eastAsia" w:ascii="Times New Roman" w:hAnsi="Times New Roman" w:eastAsia="方正仿宋简体" w:cs="Times New Roman"/>
                <w:bCs/>
                <w:sz w:val="21"/>
                <w:szCs w:val="21"/>
              </w:rPr>
              <w:t>以上相关文字、图件、视频、数据及图件成果纸质版各12份、电子版各4份。</w:t>
            </w:r>
          </w:p>
        </w:tc>
      </w:tr>
      <w:tr w14:paraId="77BCD72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1286" w:type="dxa"/>
            <w:tcBorders>
              <w:left w:val="single" w:color="auto" w:sz="4" w:space="0"/>
            </w:tcBorders>
            <w:vAlign w:val="center"/>
          </w:tcPr>
          <w:p w14:paraId="7BD32CCF">
            <w:pPr>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1.2.6</w:t>
            </w:r>
          </w:p>
        </w:tc>
        <w:tc>
          <w:tcPr>
            <w:tcW w:w="7076" w:type="dxa"/>
            <w:vAlign w:val="center"/>
          </w:tcPr>
          <w:p w14:paraId="6F6B0572">
            <w:pPr>
              <w:rPr>
                <w:rFonts w:ascii="Times New Roman" w:hAnsi="Times New Roman" w:eastAsia="方正仿宋简体" w:cs="Times New Roman"/>
                <w:bCs/>
                <w:sz w:val="21"/>
                <w:szCs w:val="21"/>
              </w:rPr>
            </w:pPr>
            <w:r>
              <w:rPr>
                <w:rFonts w:hint="eastAsia" w:ascii="Times New Roman" w:hAnsi="Times New Roman" w:eastAsia="方正仿宋简体" w:cs="Times New Roman"/>
                <w:bCs/>
                <w:sz w:val="21"/>
                <w:szCs w:val="21"/>
              </w:rPr>
              <w:t>项目组由</w:t>
            </w:r>
            <w:r>
              <w:rPr>
                <w:rFonts w:hint="eastAsia" w:ascii="Times New Roman" w:hAnsi="Times New Roman" w:eastAsia="方正仿宋简体" w:cs="Times New Roman"/>
                <w:bCs/>
                <w:sz w:val="21"/>
                <w:szCs w:val="21"/>
                <w:lang w:val="en-US" w:eastAsia="zh-CN"/>
              </w:rPr>
              <w:t>XX</w:t>
            </w:r>
            <w:r>
              <w:rPr>
                <w:rFonts w:hint="eastAsia" w:ascii="Times New Roman" w:hAnsi="Times New Roman" w:eastAsia="方正仿宋简体" w:cs="Times New Roman"/>
                <w:bCs/>
                <w:sz w:val="21"/>
                <w:szCs w:val="21"/>
              </w:rPr>
              <w:t>担任项目负责人</w:t>
            </w:r>
          </w:p>
        </w:tc>
      </w:tr>
      <w:tr w14:paraId="1B6FBD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1286" w:type="dxa"/>
            <w:tcBorders>
              <w:left w:val="single" w:color="auto" w:sz="4" w:space="0"/>
            </w:tcBorders>
            <w:vAlign w:val="center"/>
          </w:tcPr>
          <w:p w14:paraId="2DCD1600">
            <w:pPr>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1.2.7</w:t>
            </w:r>
          </w:p>
        </w:tc>
        <w:tc>
          <w:tcPr>
            <w:tcW w:w="7076" w:type="dxa"/>
            <w:vAlign w:val="center"/>
          </w:tcPr>
          <w:p w14:paraId="2FD1B73F">
            <w:pPr>
              <w:rPr>
                <w:rFonts w:ascii="Times New Roman" w:hAnsi="Times New Roman" w:eastAsia="方正仿宋简体" w:cs="Times New Roman"/>
                <w:bCs/>
                <w:sz w:val="21"/>
                <w:szCs w:val="21"/>
              </w:rPr>
            </w:pPr>
            <w:r>
              <w:rPr>
                <w:rFonts w:hint="eastAsia" w:ascii="Times New Roman" w:hAnsi="Times New Roman" w:eastAsia="方正仿宋简体" w:cs="Times New Roman"/>
                <w:bCs/>
                <w:sz w:val="21"/>
                <w:szCs w:val="21"/>
                <w:lang w:val="en-US" w:eastAsia="zh-CN"/>
              </w:rPr>
              <w:t>服务地点：</w:t>
            </w:r>
            <w:r>
              <w:rPr>
                <w:rFonts w:ascii="Times New Roman" w:hAnsi="Times New Roman" w:eastAsia="方正仿宋简体" w:cs="Times New Roman"/>
                <w:bCs/>
                <w:sz w:val="21"/>
                <w:szCs w:val="21"/>
              </w:rPr>
              <w:t>新疆生产建设兵团第十三师</w:t>
            </w:r>
            <w:r>
              <w:rPr>
                <w:rFonts w:hint="eastAsia" w:ascii="Times New Roman" w:hAnsi="Times New Roman" w:eastAsia="方正仿宋简体" w:cs="Times New Roman"/>
                <w:bCs/>
                <w:sz w:val="21"/>
                <w:szCs w:val="21"/>
              </w:rPr>
              <w:t>新星市</w:t>
            </w:r>
          </w:p>
        </w:tc>
      </w:tr>
      <w:tr w14:paraId="04F2C6A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1286" w:type="dxa"/>
            <w:tcBorders>
              <w:left w:val="single" w:color="auto" w:sz="4" w:space="0"/>
            </w:tcBorders>
            <w:vAlign w:val="center"/>
          </w:tcPr>
          <w:p w14:paraId="37F1F6CC">
            <w:pPr>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1.4.1</w:t>
            </w:r>
          </w:p>
        </w:tc>
        <w:tc>
          <w:tcPr>
            <w:tcW w:w="7076" w:type="dxa"/>
            <w:vAlign w:val="center"/>
          </w:tcPr>
          <w:p w14:paraId="51E7AFDF">
            <w:pPr>
              <w:rPr>
                <w:rFonts w:hint="eastAsia" w:ascii="Times New Roman" w:hAnsi="Times New Roman" w:eastAsia="方正仿宋简体" w:cs="Times New Roman"/>
                <w:bCs/>
                <w:sz w:val="21"/>
                <w:szCs w:val="21"/>
                <w:lang w:eastAsia="zh-CN"/>
              </w:rPr>
            </w:pPr>
            <w:r>
              <w:rPr>
                <w:rFonts w:hint="eastAsia" w:ascii="Times New Roman" w:hAnsi="Times New Roman" w:eastAsia="方正仿宋简体" w:cs="Times New Roman"/>
                <w:bCs/>
                <w:sz w:val="21"/>
                <w:szCs w:val="21"/>
                <w:lang w:val="en-US" w:eastAsia="zh-CN"/>
              </w:rPr>
              <w:t>付款方式：自双方签订合同之日起60天内，甲方支付乙方合同价款的30%，2026年12月底前支付合同价款的30%，2027年12月底前支付合同价款20%，通过竣工验收后30天内支付合同价款的20%（按合同实际签订）。</w:t>
            </w:r>
          </w:p>
        </w:tc>
      </w:tr>
      <w:tr w14:paraId="106A9DA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1286" w:type="dxa"/>
            <w:tcBorders>
              <w:left w:val="single" w:color="auto" w:sz="4" w:space="0"/>
            </w:tcBorders>
            <w:vAlign w:val="center"/>
          </w:tcPr>
          <w:p w14:paraId="0142BCA6">
            <w:pPr>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1.5.1</w:t>
            </w:r>
          </w:p>
        </w:tc>
        <w:tc>
          <w:tcPr>
            <w:tcW w:w="7076" w:type="dxa"/>
            <w:vAlign w:val="center"/>
          </w:tcPr>
          <w:p w14:paraId="784BD656">
            <w:pP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合同签订</w:t>
            </w:r>
            <w:r>
              <w:rPr>
                <w:rFonts w:hint="eastAsia" w:ascii="Times New Roman" w:hAnsi="Times New Roman" w:eastAsia="方正仿宋简体" w:cs="Times New Roman"/>
                <w:bCs/>
                <w:sz w:val="21"/>
                <w:szCs w:val="21"/>
              </w:rPr>
              <w:t>之日起</w:t>
            </w:r>
            <w:r>
              <w:rPr>
                <w:rFonts w:ascii="Times New Roman" w:hAnsi="Times New Roman" w:eastAsia="方正仿宋简体" w:cs="Times New Roman"/>
                <w:bCs/>
                <w:sz w:val="21"/>
                <w:szCs w:val="21"/>
              </w:rPr>
              <w:t>至示范工程验收结束</w:t>
            </w:r>
          </w:p>
        </w:tc>
      </w:tr>
      <w:tr w14:paraId="4A1D3A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63" w:hRule="atLeast"/>
          <w:jc w:val="center"/>
        </w:trPr>
        <w:tc>
          <w:tcPr>
            <w:tcW w:w="1286" w:type="dxa"/>
            <w:tcBorders>
              <w:left w:val="single" w:color="auto" w:sz="4" w:space="0"/>
            </w:tcBorders>
            <w:vAlign w:val="center"/>
          </w:tcPr>
          <w:p w14:paraId="1F55492A">
            <w:pPr>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2.3.1</w:t>
            </w:r>
          </w:p>
        </w:tc>
        <w:tc>
          <w:tcPr>
            <w:tcW w:w="7076" w:type="dxa"/>
            <w:vAlign w:val="center"/>
          </w:tcPr>
          <w:p w14:paraId="25E4805D">
            <w:pP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tc>
      </w:tr>
      <w:tr w14:paraId="12E820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541" w:hRule="atLeast"/>
          <w:jc w:val="center"/>
        </w:trPr>
        <w:tc>
          <w:tcPr>
            <w:tcW w:w="1286" w:type="dxa"/>
            <w:tcBorders>
              <w:left w:val="single" w:color="auto" w:sz="4" w:space="0"/>
            </w:tcBorders>
            <w:vAlign w:val="center"/>
          </w:tcPr>
          <w:p w14:paraId="7C3D9639">
            <w:pPr>
              <w:ind w:firstLine="210" w:firstLineChars="100"/>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lang w:val="zh-CN"/>
              </w:rPr>
              <w:t>2.5</w:t>
            </w:r>
          </w:p>
        </w:tc>
        <w:tc>
          <w:tcPr>
            <w:tcW w:w="7076" w:type="dxa"/>
            <w:vAlign w:val="center"/>
          </w:tcPr>
          <w:p w14:paraId="61B90B01">
            <w:pPr>
              <w:spacing w:line="240" w:lineRule="auto"/>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lang w:val="zh-CN"/>
              </w:rPr>
              <w:t>结算方式和付款条件：同合同专用条款1.4.1</w:t>
            </w:r>
          </w:p>
        </w:tc>
      </w:tr>
      <w:tr w14:paraId="017E328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1286" w:type="dxa"/>
            <w:tcBorders>
              <w:left w:val="single" w:color="auto" w:sz="4" w:space="0"/>
            </w:tcBorders>
            <w:vAlign w:val="center"/>
          </w:tcPr>
          <w:p w14:paraId="6E3E059F">
            <w:pPr>
              <w:ind w:firstLine="210" w:firstLineChars="100"/>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2.11.3</w:t>
            </w:r>
          </w:p>
        </w:tc>
        <w:tc>
          <w:tcPr>
            <w:tcW w:w="7076" w:type="dxa"/>
            <w:vAlign w:val="center"/>
          </w:tcPr>
          <w:p w14:paraId="5C6A9FB8">
            <w:pPr>
              <w:spacing w:line="240" w:lineRule="auto"/>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因不可抗力致使合同有变更必要的，双方当事人应在</w:t>
            </w:r>
            <w:r>
              <w:rPr>
                <w:rFonts w:ascii="Times New Roman" w:hAnsi="Times New Roman" w:eastAsia="方正仿宋简体" w:cs="Times New Roman"/>
                <w:bCs/>
                <w:kern w:val="0"/>
                <w:sz w:val="21"/>
                <w:szCs w:val="21"/>
              </w:rPr>
              <w:t>不可抗力发生后及时</w:t>
            </w:r>
            <w:r>
              <w:rPr>
                <w:rFonts w:ascii="Times New Roman" w:hAnsi="Times New Roman" w:eastAsia="方正仿宋简体" w:cs="Times New Roman"/>
                <w:bCs/>
                <w:sz w:val="21"/>
                <w:szCs w:val="21"/>
              </w:rPr>
              <w:t>以书面形式变更合同</w:t>
            </w:r>
          </w:p>
        </w:tc>
      </w:tr>
      <w:tr w14:paraId="7175D5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1286" w:type="dxa"/>
            <w:tcBorders>
              <w:left w:val="single" w:color="auto" w:sz="4" w:space="0"/>
            </w:tcBorders>
            <w:vAlign w:val="center"/>
          </w:tcPr>
          <w:p w14:paraId="61655954">
            <w:pPr>
              <w:ind w:firstLine="210" w:firstLineChars="100"/>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2.11.4</w:t>
            </w:r>
          </w:p>
        </w:tc>
        <w:tc>
          <w:tcPr>
            <w:tcW w:w="7076" w:type="dxa"/>
            <w:vAlign w:val="center"/>
          </w:tcPr>
          <w:p w14:paraId="0820E820">
            <w:pPr>
              <w:spacing w:line="240" w:lineRule="auto"/>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受不可抗力影响的一方在不可抗力发生后，应</w:t>
            </w:r>
            <w:r>
              <w:rPr>
                <w:rFonts w:ascii="Times New Roman" w:hAnsi="Times New Roman" w:eastAsia="方正仿宋简体" w:cs="Times New Roman"/>
                <w:bCs/>
                <w:kern w:val="0"/>
                <w:sz w:val="21"/>
                <w:szCs w:val="21"/>
              </w:rPr>
              <w:t>及时</w:t>
            </w:r>
            <w:r>
              <w:rPr>
                <w:rFonts w:ascii="Times New Roman" w:hAnsi="Times New Roman" w:eastAsia="方正仿宋简体" w:cs="Times New Roman"/>
                <w:bCs/>
                <w:sz w:val="21"/>
                <w:szCs w:val="21"/>
              </w:rPr>
              <w:t>以书面形式通知对方当事人，并将有关部门出具的证明文件送达对方当事人</w:t>
            </w:r>
          </w:p>
        </w:tc>
      </w:tr>
      <w:tr w14:paraId="4F8514F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1286" w:type="dxa"/>
            <w:tcBorders>
              <w:left w:val="single" w:color="auto" w:sz="4" w:space="0"/>
            </w:tcBorders>
            <w:vAlign w:val="center"/>
          </w:tcPr>
          <w:p w14:paraId="508069CE">
            <w:pPr>
              <w:ind w:firstLine="210" w:firstLineChars="100"/>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2.15.1</w:t>
            </w:r>
          </w:p>
        </w:tc>
        <w:tc>
          <w:tcPr>
            <w:tcW w:w="7076" w:type="dxa"/>
            <w:vAlign w:val="center"/>
          </w:tcPr>
          <w:p w14:paraId="6967D5E1">
            <w:pP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甲方按照采购需求中要求的验收方式，对乙方进行验收</w:t>
            </w:r>
          </w:p>
        </w:tc>
      </w:tr>
      <w:tr w14:paraId="40E168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1286" w:type="dxa"/>
            <w:tcBorders>
              <w:left w:val="single" w:color="auto" w:sz="4" w:space="0"/>
            </w:tcBorders>
            <w:vAlign w:val="center"/>
          </w:tcPr>
          <w:p w14:paraId="0E7752D6">
            <w:pPr>
              <w:ind w:firstLine="210" w:firstLineChars="100"/>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2.15.3</w:t>
            </w:r>
          </w:p>
        </w:tc>
        <w:tc>
          <w:tcPr>
            <w:tcW w:w="7076" w:type="dxa"/>
            <w:vAlign w:val="center"/>
          </w:tcPr>
          <w:p w14:paraId="12B18FAC">
            <w:pP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执行国家或行业标准、规范，项目成果质量符合有关文件或技术标准规定，通过专家评审</w:t>
            </w:r>
          </w:p>
        </w:tc>
      </w:tr>
      <w:tr w14:paraId="0B1965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1286" w:type="dxa"/>
            <w:tcBorders>
              <w:left w:val="single" w:color="auto" w:sz="4" w:space="0"/>
            </w:tcBorders>
            <w:vAlign w:val="center"/>
          </w:tcPr>
          <w:p w14:paraId="3F824E14">
            <w:pPr>
              <w:ind w:firstLine="210" w:firstLineChars="100"/>
              <w:jc w:val="cente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lang w:val="zh-CN"/>
              </w:rPr>
              <w:t>2.17.1</w:t>
            </w:r>
          </w:p>
        </w:tc>
        <w:tc>
          <w:tcPr>
            <w:tcW w:w="7076" w:type="dxa"/>
            <w:vAlign w:val="center"/>
          </w:tcPr>
          <w:p w14:paraId="04FA22E5">
            <w:pPr>
              <w:rPr>
                <w:rFonts w:hint="default" w:ascii="Times New Roman" w:hAnsi="Times New Roman" w:eastAsia="方正仿宋简体" w:cs="Times New Roman"/>
                <w:bCs/>
                <w:sz w:val="21"/>
                <w:szCs w:val="21"/>
                <w:lang w:val="en-US" w:eastAsia="zh-CN"/>
              </w:rPr>
            </w:pPr>
            <w:r>
              <w:rPr>
                <w:rFonts w:hint="eastAsia" w:ascii="Times New Roman" w:hAnsi="Times New Roman" w:eastAsia="方正仿宋简体" w:cs="Times New Roman"/>
                <w:bCs/>
                <w:sz w:val="21"/>
                <w:szCs w:val="21"/>
                <w:lang w:val="en-US" w:eastAsia="zh-CN"/>
              </w:rPr>
              <w:t>本项目履约保证金金</w:t>
            </w:r>
            <w:r>
              <w:rPr>
                <w:rFonts w:hint="eastAsia" w:ascii="Times New Roman" w:hAnsi="Times New Roman" w:eastAsia="方正仿宋简体" w:cs="Times New Roman"/>
                <w:bCs/>
                <w:sz w:val="21"/>
                <w:szCs w:val="21"/>
                <w:highlight w:val="none"/>
                <w:lang w:val="en-US" w:eastAsia="zh-CN"/>
              </w:rPr>
              <w:t>额：合同签订价款的5 %</w:t>
            </w:r>
          </w:p>
        </w:tc>
      </w:tr>
      <w:tr w14:paraId="1E35FF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50" w:hRule="atLeast"/>
          <w:jc w:val="center"/>
        </w:trPr>
        <w:tc>
          <w:tcPr>
            <w:tcW w:w="1286" w:type="dxa"/>
            <w:tcBorders>
              <w:left w:val="single" w:color="auto" w:sz="4" w:space="0"/>
            </w:tcBorders>
            <w:vAlign w:val="center"/>
          </w:tcPr>
          <w:p w14:paraId="3ED5256E">
            <w:pPr>
              <w:ind w:firstLine="210" w:firstLineChars="100"/>
              <w:jc w:val="center"/>
              <w:rPr>
                <w:rFonts w:ascii="Times New Roman" w:hAnsi="Times New Roman" w:eastAsia="方正仿宋简体" w:cs="Times New Roman"/>
                <w:bCs/>
                <w:sz w:val="21"/>
                <w:szCs w:val="21"/>
                <w:lang w:val="zh-CN"/>
              </w:rPr>
            </w:pPr>
            <w:r>
              <w:rPr>
                <w:rFonts w:ascii="Times New Roman" w:hAnsi="Times New Roman" w:eastAsia="方正仿宋简体" w:cs="Times New Roman"/>
                <w:bCs/>
                <w:sz w:val="21"/>
                <w:szCs w:val="21"/>
                <w:lang w:val="zh-CN"/>
              </w:rPr>
              <w:t>2.18</w:t>
            </w:r>
          </w:p>
        </w:tc>
        <w:tc>
          <w:tcPr>
            <w:tcW w:w="7076" w:type="dxa"/>
            <w:vAlign w:val="center"/>
          </w:tcPr>
          <w:p w14:paraId="1209D4D1">
            <w:pPr>
              <w:rPr>
                <w:rFonts w:ascii="Times New Roman" w:hAnsi="Times New Roman" w:eastAsia="方正仿宋简体" w:cs="Times New Roman"/>
                <w:bCs/>
                <w:sz w:val="21"/>
                <w:szCs w:val="21"/>
              </w:rPr>
            </w:pPr>
            <w:r>
              <w:rPr>
                <w:rFonts w:ascii="Times New Roman" w:hAnsi="Times New Roman" w:eastAsia="方正仿宋简体" w:cs="Times New Roman"/>
                <w:bCs/>
                <w:sz w:val="21"/>
                <w:szCs w:val="21"/>
              </w:rPr>
              <w:t>本合同一式</w:t>
            </w:r>
            <w:r>
              <w:rPr>
                <w:rFonts w:hint="eastAsia" w:ascii="Times New Roman" w:hAnsi="Times New Roman" w:eastAsia="方正仿宋简体" w:cs="Times New Roman"/>
                <w:bCs/>
                <w:sz w:val="21"/>
                <w:szCs w:val="21"/>
              </w:rPr>
              <w:t>捌</w:t>
            </w:r>
            <w:r>
              <w:rPr>
                <w:rFonts w:ascii="Times New Roman" w:hAnsi="Times New Roman" w:eastAsia="方正仿宋简体" w:cs="Times New Roman"/>
                <w:bCs/>
                <w:sz w:val="21"/>
                <w:szCs w:val="21"/>
              </w:rPr>
              <w:t>份，甲方</w:t>
            </w:r>
            <w:r>
              <w:rPr>
                <w:rFonts w:hint="eastAsia" w:ascii="Times New Roman" w:hAnsi="Times New Roman" w:eastAsia="方正仿宋简体" w:cs="Times New Roman"/>
                <w:bCs/>
                <w:sz w:val="21"/>
                <w:szCs w:val="21"/>
              </w:rPr>
              <w:t>肆</w:t>
            </w:r>
            <w:r>
              <w:rPr>
                <w:rFonts w:ascii="Times New Roman" w:hAnsi="Times New Roman" w:eastAsia="方正仿宋简体" w:cs="Times New Roman"/>
                <w:bCs/>
                <w:sz w:val="21"/>
                <w:szCs w:val="21"/>
              </w:rPr>
              <w:t>份，乙方</w:t>
            </w:r>
            <w:r>
              <w:rPr>
                <w:rFonts w:hint="eastAsia" w:ascii="Times New Roman" w:hAnsi="Times New Roman" w:eastAsia="方正仿宋简体" w:cs="Times New Roman"/>
                <w:bCs/>
                <w:sz w:val="21"/>
                <w:szCs w:val="21"/>
              </w:rPr>
              <w:t>肆</w:t>
            </w:r>
            <w:r>
              <w:rPr>
                <w:rFonts w:ascii="Times New Roman" w:hAnsi="Times New Roman" w:eastAsia="方正仿宋简体" w:cs="Times New Roman"/>
                <w:bCs/>
                <w:sz w:val="21"/>
                <w:szCs w:val="21"/>
              </w:rPr>
              <w:t>份，具有同等法律效力</w:t>
            </w:r>
          </w:p>
        </w:tc>
      </w:tr>
    </w:tbl>
    <w:p w14:paraId="685A0BE5">
      <w:pPr>
        <w:rPr>
          <w:rFonts w:hint="eastAsia" w:cs="宋体"/>
        </w:rPr>
      </w:pPr>
    </w:p>
    <w:p w14:paraId="15F38B90">
      <w:pPr>
        <w:widowControl/>
        <w:rPr>
          <w:rFonts w:hint="eastAsia" w:asciiTheme="minorEastAsia" w:hAnsiTheme="minorEastAsia" w:eastAsiaTheme="minorEastAsia"/>
        </w:rPr>
      </w:pPr>
      <w:r>
        <w:rPr>
          <w:rFonts w:asciiTheme="minorEastAsia" w:hAnsiTheme="minorEastAsia" w:eastAsiaTheme="minorEastAsia"/>
        </w:rPr>
        <w:br w:type="page"/>
      </w:r>
    </w:p>
    <w:bookmarkEnd w:id="406"/>
    <w:p w14:paraId="3B3DCCDC">
      <w:pPr>
        <w:pStyle w:val="3"/>
        <w:spacing w:before="100" w:after="90" w:line="360" w:lineRule="auto"/>
        <w:ind w:left="420" w:hanging="420"/>
        <w:rPr>
          <w:rFonts w:hint="eastAsia"/>
        </w:rPr>
      </w:pPr>
      <w:bookmarkStart w:id="605" w:name="_Toc155185919"/>
    </w:p>
    <w:p w14:paraId="4CE8DA94">
      <w:pPr>
        <w:pStyle w:val="3"/>
        <w:spacing w:before="100" w:after="90" w:line="360" w:lineRule="auto"/>
        <w:ind w:left="420" w:hanging="420"/>
        <w:rPr>
          <w:rFonts w:hint="eastAsia"/>
        </w:rPr>
      </w:pPr>
    </w:p>
    <w:p w14:paraId="1C16449F">
      <w:pPr>
        <w:pStyle w:val="3"/>
        <w:spacing w:before="220" w:after="220" w:line="480" w:lineRule="auto"/>
        <w:ind w:left="420" w:hanging="420"/>
        <w:rPr>
          <w:rFonts w:hint="eastAsia" w:eastAsia="宋体" w:cs="宋体"/>
          <w:sz w:val="36"/>
          <w:szCs w:val="36"/>
        </w:rPr>
      </w:pPr>
      <w:bookmarkStart w:id="606" w:name="_Toc15871"/>
      <w:bookmarkStart w:id="607" w:name="_Toc20007"/>
      <w:r>
        <w:rPr>
          <w:rFonts w:hint="eastAsia" w:eastAsia="宋体" w:cs="宋体"/>
          <w:sz w:val="36"/>
          <w:szCs w:val="36"/>
        </w:rPr>
        <w:t>第七章 投标文件格式</w:t>
      </w:r>
      <w:bookmarkEnd w:id="605"/>
      <w:bookmarkEnd w:id="606"/>
      <w:bookmarkEnd w:id="607"/>
    </w:p>
    <w:p w14:paraId="1D534DF9">
      <w:pPr>
        <w:ind w:left="240" w:leftChars="100" w:firstLine="480" w:firstLineChars="200"/>
        <w:rPr>
          <w:rFonts w:hint="eastAsia" w:cs="仿宋_GB2312"/>
          <w:szCs w:val="24"/>
        </w:rPr>
      </w:pPr>
    </w:p>
    <w:p w14:paraId="1FE30481">
      <w:pPr>
        <w:pStyle w:val="62"/>
        <w:spacing w:line="360" w:lineRule="exact"/>
        <w:rPr>
          <w:rFonts w:hint="eastAsia" w:ascii="宋体" w:hAnsi="宋体" w:eastAsia="宋体" w:cs="宋体"/>
          <w:b/>
          <w:bCs/>
        </w:rPr>
      </w:pPr>
    </w:p>
    <w:p w14:paraId="6330816F">
      <w:pPr>
        <w:pStyle w:val="62"/>
        <w:spacing w:line="360" w:lineRule="exact"/>
        <w:rPr>
          <w:rFonts w:hint="eastAsia" w:ascii="宋体" w:hAnsi="宋体" w:eastAsia="宋体" w:cs="宋体"/>
          <w:b/>
          <w:bCs/>
        </w:rPr>
      </w:pPr>
    </w:p>
    <w:p w14:paraId="56E25E7B">
      <w:pPr>
        <w:pStyle w:val="62"/>
        <w:spacing w:line="360" w:lineRule="exact"/>
        <w:rPr>
          <w:rFonts w:hint="eastAsia" w:ascii="宋体" w:hAnsi="宋体" w:eastAsia="宋体" w:cs="宋体"/>
          <w:b/>
          <w:bCs/>
        </w:rPr>
      </w:pPr>
    </w:p>
    <w:p w14:paraId="454F88BF">
      <w:pPr>
        <w:pStyle w:val="62"/>
        <w:spacing w:line="360" w:lineRule="exact"/>
        <w:rPr>
          <w:rFonts w:hint="eastAsia" w:ascii="宋体" w:hAnsi="宋体" w:eastAsia="宋体" w:cs="宋体"/>
          <w:b/>
          <w:bCs/>
        </w:rPr>
      </w:pPr>
    </w:p>
    <w:p w14:paraId="173DEF17">
      <w:pPr>
        <w:pStyle w:val="62"/>
        <w:spacing w:line="360" w:lineRule="exact"/>
        <w:rPr>
          <w:rFonts w:hint="eastAsia" w:ascii="宋体" w:hAnsi="宋体" w:eastAsia="宋体" w:cs="宋体"/>
          <w:b/>
          <w:bCs/>
        </w:rPr>
      </w:pPr>
    </w:p>
    <w:p w14:paraId="3E0A07D1">
      <w:pPr>
        <w:pStyle w:val="62"/>
        <w:spacing w:line="360" w:lineRule="exact"/>
        <w:rPr>
          <w:rFonts w:hint="eastAsia" w:ascii="宋体" w:hAnsi="宋体" w:eastAsia="宋体" w:cs="宋体"/>
          <w:b/>
          <w:bCs/>
        </w:rPr>
      </w:pPr>
    </w:p>
    <w:p w14:paraId="21DABB30">
      <w:pPr>
        <w:pStyle w:val="62"/>
        <w:spacing w:line="360" w:lineRule="exact"/>
        <w:rPr>
          <w:rFonts w:hint="eastAsia" w:ascii="宋体" w:hAnsi="宋体" w:eastAsia="宋体" w:cs="宋体"/>
          <w:b/>
          <w:bCs/>
        </w:rPr>
      </w:pPr>
    </w:p>
    <w:p w14:paraId="5F4BE73E">
      <w:pPr>
        <w:pStyle w:val="62"/>
        <w:spacing w:line="360" w:lineRule="exact"/>
        <w:rPr>
          <w:rFonts w:hint="eastAsia" w:ascii="宋体" w:hAnsi="宋体" w:eastAsia="宋体" w:cs="宋体"/>
          <w:b/>
          <w:bCs/>
        </w:rPr>
      </w:pPr>
    </w:p>
    <w:p w14:paraId="7DF3284F">
      <w:pPr>
        <w:pStyle w:val="62"/>
        <w:spacing w:line="360" w:lineRule="exact"/>
        <w:rPr>
          <w:rFonts w:hint="eastAsia" w:ascii="宋体" w:hAnsi="宋体" w:eastAsia="宋体" w:cs="宋体"/>
          <w:b/>
          <w:bCs/>
        </w:rPr>
      </w:pPr>
    </w:p>
    <w:p w14:paraId="745E6963">
      <w:pPr>
        <w:pStyle w:val="62"/>
        <w:spacing w:line="360" w:lineRule="exact"/>
        <w:rPr>
          <w:rFonts w:hint="eastAsia" w:ascii="宋体" w:hAnsi="宋体" w:eastAsia="宋体" w:cs="宋体"/>
          <w:b/>
          <w:bCs/>
        </w:rPr>
      </w:pPr>
    </w:p>
    <w:p w14:paraId="64FE038F">
      <w:pPr>
        <w:pStyle w:val="62"/>
        <w:spacing w:line="360" w:lineRule="exact"/>
        <w:rPr>
          <w:rFonts w:hint="eastAsia" w:ascii="宋体" w:hAnsi="宋体" w:eastAsia="宋体" w:cs="宋体"/>
          <w:b/>
          <w:bCs/>
        </w:rPr>
      </w:pPr>
    </w:p>
    <w:p w14:paraId="7FDB63E1">
      <w:pPr>
        <w:pStyle w:val="62"/>
        <w:spacing w:line="360" w:lineRule="exact"/>
        <w:rPr>
          <w:rFonts w:hint="eastAsia" w:ascii="宋体" w:hAnsi="宋体" w:eastAsia="宋体" w:cs="宋体"/>
          <w:b/>
          <w:bCs/>
        </w:rPr>
      </w:pPr>
    </w:p>
    <w:p w14:paraId="1E93B443">
      <w:pPr>
        <w:pStyle w:val="62"/>
        <w:spacing w:line="360" w:lineRule="exact"/>
        <w:rPr>
          <w:rFonts w:hint="eastAsia" w:ascii="宋体" w:hAnsi="宋体" w:eastAsia="宋体" w:cs="宋体"/>
          <w:b/>
          <w:bCs/>
        </w:rPr>
      </w:pPr>
    </w:p>
    <w:p w14:paraId="23773C31">
      <w:pPr>
        <w:pStyle w:val="62"/>
        <w:spacing w:line="360" w:lineRule="exact"/>
        <w:rPr>
          <w:rFonts w:hint="eastAsia" w:ascii="宋体" w:hAnsi="宋体" w:eastAsia="宋体" w:cs="宋体"/>
          <w:b/>
          <w:bCs/>
        </w:rPr>
      </w:pPr>
    </w:p>
    <w:p w14:paraId="304CF314">
      <w:pPr>
        <w:pStyle w:val="62"/>
        <w:spacing w:line="360" w:lineRule="exact"/>
        <w:rPr>
          <w:rFonts w:hint="eastAsia" w:ascii="宋体" w:hAnsi="宋体" w:eastAsia="宋体" w:cs="宋体"/>
          <w:b/>
          <w:bCs/>
        </w:rPr>
      </w:pPr>
    </w:p>
    <w:p w14:paraId="1316007D">
      <w:pPr>
        <w:pStyle w:val="62"/>
        <w:spacing w:line="360" w:lineRule="exact"/>
        <w:rPr>
          <w:rFonts w:hint="eastAsia" w:ascii="宋体" w:hAnsi="宋体" w:eastAsia="宋体" w:cs="宋体"/>
          <w:b/>
          <w:bCs/>
        </w:rPr>
      </w:pPr>
    </w:p>
    <w:p w14:paraId="4E1D740E">
      <w:pPr>
        <w:pStyle w:val="62"/>
        <w:spacing w:line="360" w:lineRule="exact"/>
        <w:rPr>
          <w:rFonts w:hint="eastAsia" w:ascii="宋体" w:hAnsi="宋体" w:eastAsia="宋体" w:cs="宋体"/>
          <w:b/>
          <w:bCs/>
        </w:rPr>
      </w:pPr>
    </w:p>
    <w:p w14:paraId="5AFA2336">
      <w:pPr>
        <w:pStyle w:val="62"/>
        <w:spacing w:line="360" w:lineRule="exact"/>
        <w:rPr>
          <w:rFonts w:hint="eastAsia" w:ascii="宋体" w:hAnsi="宋体" w:eastAsia="宋体" w:cs="宋体"/>
          <w:b/>
          <w:bCs/>
        </w:rPr>
      </w:pPr>
    </w:p>
    <w:p w14:paraId="4925BE8F">
      <w:pPr>
        <w:pStyle w:val="62"/>
        <w:spacing w:line="360" w:lineRule="exact"/>
        <w:rPr>
          <w:rFonts w:hint="eastAsia" w:ascii="宋体" w:hAnsi="宋体" w:eastAsia="宋体" w:cs="宋体"/>
          <w:b/>
          <w:bCs/>
        </w:rPr>
      </w:pPr>
    </w:p>
    <w:p w14:paraId="480C5C06">
      <w:pPr>
        <w:pStyle w:val="62"/>
        <w:spacing w:line="360" w:lineRule="exact"/>
        <w:rPr>
          <w:rFonts w:hint="eastAsia" w:ascii="宋体" w:hAnsi="宋体" w:eastAsia="宋体" w:cs="宋体"/>
          <w:b/>
          <w:bCs/>
        </w:rPr>
      </w:pPr>
    </w:p>
    <w:p w14:paraId="1D33377C">
      <w:pPr>
        <w:pStyle w:val="62"/>
        <w:spacing w:line="360" w:lineRule="exact"/>
        <w:rPr>
          <w:rFonts w:hint="eastAsia" w:ascii="宋体" w:hAnsi="宋体" w:eastAsia="宋体" w:cs="宋体"/>
          <w:b/>
          <w:bCs/>
        </w:rPr>
      </w:pPr>
    </w:p>
    <w:p w14:paraId="50E459B3">
      <w:pPr>
        <w:pStyle w:val="62"/>
        <w:spacing w:line="360" w:lineRule="exact"/>
        <w:rPr>
          <w:rFonts w:hint="eastAsia" w:ascii="宋体" w:hAnsi="宋体" w:eastAsia="宋体" w:cs="宋体"/>
          <w:b/>
          <w:bCs/>
        </w:rPr>
      </w:pPr>
    </w:p>
    <w:p w14:paraId="63521712">
      <w:pPr>
        <w:pStyle w:val="62"/>
        <w:spacing w:line="360" w:lineRule="exact"/>
        <w:rPr>
          <w:rFonts w:hint="eastAsia" w:ascii="宋体" w:hAnsi="宋体" w:eastAsia="宋体" w:cs="宋体"/>
          <w:b/>
          <w:bCs/>
        </w:rPr>
      </w:pPr>
    </w:p>
    <w:p w14:paraId="5F4BEEB8">
      <w:pPr>
        <w:pStyle w:val="62"/>
        <w:spacing w:line="360" w:lineRule="exact"/>
        <w:rPr>
          <w:rFonts w:hint="eastAsia" w:ascii="宋体" w:hAnsi="宋体" w:eastAsia="宋体" w:cs="宋体"/>
          <w:b/>
          <w:bCs/>
        </w:rPr>
      </w:pPr>
    </w:p>
    <w:p w14:paraId="7F11F93C">
      <w:pPr>
        <w:pStyle w:val="62"/>
        <w:spacing w:line="360" w:lineRule="exact"/>
        <w:rPr>
          <w:rFonts w:hint="eastAsia" w:ascii="宋体" w:hAnsi="宋体" w:eastAsia="宋体" w:cs="宋体"/>
          <w:b/>
          <w:bCs/>
        </w:rPr>
      </w:pPr>
    </w:p>
    <w:p w14:paraId="6F935E51">
      <w:pPr>
        <w:pStyle w:val="62"/>
        <w:spacing w:line="360" w:lineRule="exact"/>
        <w:rPr>
          <w:rFonts w:hint="eastAsia" w:ascii="宋体" w:hAnsi="宋体" w:eastAsia="宋体" w:cs="宋体"/>
          <w:b/>
          <w:bCs/>
        </w:rPr>
      </w:pPr>
    </w:p>
    <w:p w14:paraId="03963C72">
      <w:pPr>
        <w:pStyle w:val="62"/>
        <w:spacing w:line="360" w:lineRule="exact"/>
        <w:rPr>
          <w:rFonts w:hint="eastAsia" w:ascii="宋体" w:hAnsi="宋体" w:eastAsia="宋体" w:cs="宋体"/>
          <w:b/>
          <w:bCs/>
        </w:rPr>
      </w:pPr>
    </w:p>
    <w:p w14:paraId="35998DFF">
      <w:pPr>
        <w:ind w:firstLine="480" w:firstLineChars="200"/>
        <w:rPr>
          <w:rFonts w:hint="eastAsia" w:cs="仿宋_GB2312"/>
          <w:szCs w:val="24"/>
          <w:lang w:val="zh-CN"/>
        </w:rPr>
      </w:pPr>
    </w:p>
    <w:p w14:paraId="5EE94C65">
      <w:pPr>
        <w:ind w:firstLine="480" w:firstLineChars="200"/>
        <w:rPr>
          <w:rFonts w:hint="eastAsia" w:cs="仿宋_GB2312"/>
          <w:szCs w:val="24"/>
          <w:lang w:val="zh-CN"/>
        </w:rPr>
      </w:pPr>
    </w:p>
    <w:p w14:paraId="3724B9F3">
      <w:pPr>
        <w:ind w:firstLine="480" w:firstLineChars="200"/>
        <w:rPr>
          <w:rFonts w:hint="eastAsia" w:cs="仿宋_GB2312"/>
          <w:szCs w:val="24"/>
          <w:lang w:val="zh-CN"/>
        </w:rPr>
      </w:pPr>
      <w:r>
        <w:rPr>
          <w:rFonts w:hint="eastAsia" w:cs="仿宋_GB2312"/>
          <w:szCs w:val="24"/>
          <w:lang w:val="zh-CN"/>
        </w:rPr>
        <w:t>封面：</w:t>
      </w:r>
    </w:p>
    <w:p w14:paraId="16FE7167">
      <w:pPr>
        <w:autoSpaceDE w:val="0"/>
        <w:autoSpaceDN w:val="0"/>
        <w:adjustRightInd w:val="0"/>
        <w:rPr>
          <w:rFonts w:hint="eastAsia"/>
          <w:sz w:val="21"/>
          <w:szCs w:val="24"/>
        </w:rPr>
      </w:pPr>
    </w:p>
    <w:p w14:paraId="3A5132E4">
      <w:pPr>
        <w:autoSpaceDE w:val="0"/>
        <w:autoSpaceDN w:val="0"/>
        <w:adjustRightInd w:val="0"/>
        <w:rPr>
          <w:rFonts w:hint="eastAsia"/>
          <w:sz w:val="21"/>
          <w:szCs w:val="24"/>
        </w:rPr>
      </w:pPr>
    </w:p>
    <w:p w14:paraId="581A30B0">
      <w:pPr>
        <w:autoSpaceDE w:val="0"/>
        <w:autoSpaceDN w:val="0"/>
        <w:adjustRightInd w:val="0"/>
        <w:jc w:val="center"/>
        <w:rPr>
          <w:rFonts w:hint="eastAsia"/>
          <w:sz w:val="21"/>
          <w:szCs w:val="24"/>
        </w:rPr>
      </w:pPr>
    </w:p>
    <w:p w14:paraId="7FCAC44C">
      <w:pPr>
        <w:pStyle w:val="3"/>
        <w:spacing w:line="360" w:lineRule="auto"/>
        <w:rPr>
          <w:rFonts w:hint="eastAsia"/>
          <w:sz w:val="56"/>
          <w:szCs w:val="56"/>
        </w:rPr>
      </w:pPr>
      <w:bookmarkStart w:id="608" w:name="_Toc20344"/>
      <w:r>
        <w:rPr>
          <w:rFonts w:hint="eastAsia"/>
          <w:sz w:val="56"/>
          <w:szCs w:val="56"/>
        </w:rPr>
        <w:t>投 标 文 件</w:t>
      </w:r>
      <w:bookmarkEnd w:id="608"/>
    </w:p>
    <w:p w14:paraId="20D99B30">
      <w:pPr>
        <w:pStyle w:val="3"/>
        <w:spacing w:line="360" w:lineRule="auto"/>
        <w:rPr>
          <w:rFonts w:hint="eastAsia"/>
          <w:sz w:val="56"/>
          <w:szCs w:val="56"/>
        </w:rPr>
      </w:pPr>
      <w:bookmarkStart w:id="609" w:name="_Toc17637"/>
      <w:r>
        <w:rPr>
          <w:rFonts w:hint="eastAsia"/>
          <w:sz w:val="56"/>
          <w:szCs w:val="56"/>
        </w:rPr>
        <w:t>资格证明文件</w:t>
      </w:r>
      <w:bookmarkEnd w:id="609"/>
    </w:p>
    <w:p w14:paraId="5723326A">
      <w:pPr>
        <w:autoSpaceDE w:val="0"/>
        <w:autoSpaceDN w:val="0"/>
        <w:adjustRightInd w:val="0"/>
        <w:rPr>
          <w:rFonts w:hint="eastAsia"/>
          <w:b/>
          <w:bCs/>
          <w:sz w:val="22"/>
        </w:rPr>
      </w:pPr>
    </w:p>
    <w:p w14:paraId="7C51EC43">
      <w:pPr>
        <w:autoSpaceDE w:val="0"/>
        <w:autoSpaceDN w:val="0"/>
        <w:adjustRightInd w:val="0"/>
        <w:jc w:val="center"/>
        <w:rPr>
          <w:rFonts w:hint="eastAsia"/>
          <w:sz w:val="36"/>
          <w:szCs w:val="36"/>
        </w:rPr>
      </w:pPr>
      <w:r>
        <w:rPr>
          <w:rFonts w:hint="eastAsia"/>
          <w:sz w:val="36"/>
          <w:szCs w:val="36"/>
        </w:rPr>
        <w:t>（第XX包）【如不分包，请删去本行】</w:t>
      </w:r>
    </w:p>
    <w:p w14:paraId="6DE1CBC9">
      <w:pPr>
        <w:autoSpaceDE w:val="0"/>
        <w:autoSpaceDN w:val="0"/>
        <w:adjustRightInd w:val="0"/>
        <w:rPr>
          <w:rFonts w:hint="eastAsia"/>
          <w:sz w:val="21"/>
          <w:szCs w:val="21"/>
        </w:rPr>
      </w:pPr>
    </w:p>
    <w:p w14:paraId="0A53CB32">
      <w:pPr>
        <w:pStyle w:val="4"/>
        <w:rPr>
          <w:rFonts w:hint="eastAsia"/>
        </w:rPr>
      </w:pPr>
    </w:p>
    <w:p w14:paraId="4BA6E34D">
      <w:pPr>
        <w:autoSpaceDE w:val="0"/>
        <w:autoSpaceDN w:val="0"/>
        <w:adjustRightInd w:val="0"/>
        <w:rPr>
          <w:rFonts w:hint="eastAsia"/>
          <w:sz w:val="21"/>
          <w:szCs w:val="21"/>
        </w:rPr>
      </w:pPr>
    </w:p>
    <w:p w14:paraId="5C6AEC45">
      <w:pPr>
        <w:autoSpaceDE w:val="0"/>
        <w:autoSpaceDN w:val="0"/>
        <w:adjustRightInd w:val="0"/>
        <w:rPr>
          <w:rFonts w:hint="eastAsia"/>
          <w:sz w:val="21"/>
          <w:szCs w:val="21"/>
        </w:rPr>
      </w:pPr>
    </w:p>
    <w:p w14:paraId="0CF6F11B">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788C4AB5">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391B00E8">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5BFEA78F">
      <w:pPr>
        <w:ind w:left="840" w:firstLine="420"/>
        <w:rPr>
          <w:rFonts w:hint="eastAsia"/>
          <w:b/>
          <w:bCs/>
          <w:sz w:val="28"/>
          <w:szCs w:val="28"/>
        </w:rPr>
      </w:pPr>
    </w:p>
    <w:p w14:paraId="536F0CA3">
      <w:pPr>
        <w:ind w:left="840" w:firstLine="420"/>
        <w:rPr>
          <w:rFonts w:hint="eastAsia"/>
          <w:b/>
          <w:bCs/>
          <w:sz w:val="28"/>
          <w:szCs w:val="28"/>
        </w:rPr>
      </w:pPr>
    </w:p>
    <w:p w14:paraId="6644B46F">
      <w:pPr>
        <w:ind w:left="840" w:firstLine="420"/>
        <w:rPr>
          <w:rFonts w:hint="eastAsia"/>
          <w:b/>
          <w:bCs/>
          <w:sz w:val="28"/>
          <w:szCs w:val="28"/>
        </w:rPr>
      </w:pPr>
    </w:p>
    <w:p w14:paraId="74CB03C0">
      <w:pPr>
        <w:jc w:val="center"/>
        <w:rPr>
          <w:rFonts w:hint="eastAsia" w:ascii="黑体" w:hAnsi="黑体" w:eastAsia="黑体"/>
          <w:sz w:val="32"/>
          <w:szCs w:val="32"/>
        </w:rPr>
      </w:pPr>
      <w:r>
        <w:rPr>
          <w:rFonts w:hint="eastAsia" w:cs="宋体"/>
          <w:sz w:val="32"/>
          <w:szCs w:val="32"/>
        </w:rPr>
        <w:t>年   月    日</w:t>
      </w:r>
    </w:p>
    <w:p w14:paraId="2B5BDF80">
      <w:pPr>
        <w:rPr>
          <w:rFonts w:hint="eastAsia"/>
          <w:lang w:val="zh-CN"/>
        </w:rPr>
      </w:pPr>
      <w:r>
        <w:rPr>
          <w:lang w:val="zh-CN"/>
        </w:rPr>
        <w:br w:type="page"/>
      </w:r>
    </w:p>
    <w:p w14:paraId="7E9A09FD">
      <w:pPr>
        <w:rPr>
          <w:rFonts w:hint="eastAsia"/>
          <w:lang w:val="zh-CN"/>
        </w:rPr>
      </w:pPr>
    </w:p>
    <w:p w14:paraId="767E1C9A">
      <w:pPr>
        <w:pStyle w:val="4"/>
        <w:spacing w:before="100" w:after="100" w:line="360" w:lineRule="auto"/>
        <w:ind w:left="420" w:hanging="420"/>
        <w:rPr>
          <w:rFonts w:hint="eastAsia"/>
          <w:sz w:val="28"/>
          <w:szCs w:val="28"/>
        </w:rPr>
      </w:pPr>
      <w:bookmarkStart w:id="610" w:name="_Toc6767"/>
      <w:bookmarkStart w:id="611" w:name="_Toc325"/>
      <w:bookmarkStart w:id="612" w:name="_Toc155185927"/>
      <w:r>
        <w:rPr>
          <w:rFonts w:hint="eastAsia"/>
          <w:sz w:val="28"/>
          <w:szCs w:val="28"/>
        </w:rPr>
        <w:t>一、满足《中华人民共和国政府采购法》第二十二条规定</w:t>
      </w:r>
      <w:bookmarkEnd w:id="610"/>
      <w:bookmarkEnd w:id="611"/>
    </w:p>
    <w:bookmarkEnd w:id="612"/>
    <w:p w14:paraId="5F1C3D26">
      <w:pPr>
        <w:rPr>
          <w:rFonts w:hint="eastAsia" w:cs="宋体"/>
          <w:b/>
          <w:bCs/>
          <w:sz w:val="28"/>
          <w:szCs w:val="28"/>
        </w:rPr>
      </w:pPr>
      <w:r>
        <w:rPr>
          <w:rFonts w:hint="eastAsia" w:cs="宋体"/>
          <w:b/>
          <w:bCs/>
          <w:sz w:val="28"/>
          <w:szCs w:val="28"/>
        </w:rPr>
        <w:t>（</w:t>
      </w:r>
      <w:r>
        <w:rPr>
          <w:rStyle w:val="47"/>
          <w:rFonts w:hint="eastAsia"/>
          <w:sz w:val="28"/>
          <w:szCs w:val="28"/>
        </w:rPr>
        <w:t>一）法人、其他组织或者自然人的证明文件</w:t>
      </w:r>
    </w:p>
    <w:p w14:paraId="5962C8B9">
      <w:pPr>
        <w:ind w:firstLine="480" w:firstLineChars="200"/>
        <w:rPr>
          <w:rFonts w:hint="eastAsia" w:cs="宋体"/>
          <w:kern w:val="0"/>
          <w:szCs w:val="24"/>
        </w:rPr>
      </w:pPr>
      <w:r>
        <w:rPr>
          <w:rFonts w:hint="eastAsia" w:cs="宋体"/>
          <w:kern w:val="0"/>
          <w:szCs w:val="24"/>
        </w:rPr>
        <w:t>1、投标人为企业（包括合伙企业）的，应提供有效的“营业执照”；</w:t>
      </w:r>
    </w:p>
    <w:p w14:paraId="3DBB4CF4">
      <w:pPr>
        <w:ind w:firstLine="480" w:firstLineChars="200"/>
        <w:rPr>
          <w:rFonts w:hint="eastAsia" w:cs="宋体"/>
          <w:kern w:val="0"/>
          <w:szCs w:val="24"/>
        </w:rPr>
      </w:pPr>
      <w:r>
        <w:rPr>
          <w:rFonts w:hint="eastAsia" w:cs="宋体"/>
          <w:kern w:val="0"/>
          <w:szCs w:val="24"/>
        </w:rPr>
        <w:t>2、投标人为事业单位的，应提供有效的“事业单位法人证书”；</w:t>
      </w:r>
    </w:p>
    <w:p w14:paraId="55840E1F">
      <w:pPr>
        <w:ind w:firstLine="480" w:firstLineChars="200"/>
        <w:rPr>
          <w:rFonts w:hint="eastAsia" w:cs="宋体"/>
          <w:kern w:val="0"/>
          <w:szCs w:val="24"/>
        </w:rPr>
      </w:pPr>
      <w:r>
        <w:rPr>
          <w:rFonts w:hint="eastAsia" w:cs="宋体"/>
          <w:kern w:val="0"/>
          <w:szCs w:val="24"/>
        </w:rPr>
        <w:t>3、投标人为非企业机构的，应提供有效的“执业许可证”、“登记证书”等证明文件；</w:t>
      </w:r>
    </w:p>
    <w:p w14:paraId="461EA12A">
      <w:pPr>
        <w:ind w:firstLine="480" w:firstLineChars="200"/>
        <w:rPr>
          <w:rFonts w:hint="eastAsia" w:cs="宋体"/>
          <w:kern w:val="0"/>
          <w:szCs w:val="24"/>
        </w:rPr>
      </w:pPr>
      <w:r>
        <w:rPr>
          <w:rFonts w:hint="eastAsia" w:cs="宋体"/>
          <w:kern w:val="0"/>
          <w:szCs w:val="24"/>
        </w:rPr>
        <w:t>4、投标人是个体工商户的，应提供有效的“个体工商户营业执照”；</w:t>
      </w:r>
    </w:p>
    <w:p w14:paraId="2019A34C">
      <w:pPr>
        <w:ind w:firstLine="480" w:firstLineChars="200"/>
        <w:rPr>
          <w:rFonts w:hint="eastAsia" w:cs="宋体"/>
          <w:kern w:val="0"/>
          <w:szCs w:val="24"/>
        </w:rPr>
      </w:pPr>
      <w:r>
        <w:rPr>
          <w:rFonts w:hint="eastAsia" w:cs="宋体"/>
          <w:kern w:val="0"/>
          <w:szCs w:val="24"/>
        </w:rPr>
        <w:t>5、投标人是自然人的，应提供有效的自然人身份证明。</w:t>
      </w:r>
    </w:p>
    <w:p w14:paraId="129A68B0">
      <w:pPr>
        <w:ind w:firstLine="480" w:firstLineChars="200"/>
        <w:rPr>
          <w:rFonts w:hint="eastAsia" w:cs="宋体"/>
          <w:kern w:val="0"/>
          <w:szCs w:val="24"/>
        </w:rPr>
      </w:pPr>
    </w:p>
    <w:p w14:paraId="48AEE5C1">
      <w:pPr>
        <w:rPr>
          <w:rFonts w:hint="eastAsia" w:cs="宋体"/>
          <w:kern w:val="0"/>
          <w:szCs w:val="24"/>
        </w:rPr>
      </w:pPr>
      <w:r>
        <w:rPr>
          <w:rFonts w:hint="eastAsia" w:cs="宋体"/>
          <w:kern w:val="0"/>
          <w:szCs w:val="24"/>
        </w:rPr>
        <w:br w:type="page"/>
      </w:r>
    </w:p>
    <w:p w14:paraId="78B0F154">
      <w:pPr>
        <w:rPr>
          <w:rStyle w:val="47"/>
          <w:rFonts w:ascii="Times New Roman" w:hAnsi="Times New Roman" w:cs="Times New Roman"/>
          <w:sz w:val="28"/>
          <w:szCs w:val="28"/>
        </w:rPr>
      </w:pPr>
      <w:bookmarkStart w:id="613" w:name="_Toc24929"/>
      <w:bookmarkStart w:id="614" w:name="_Toc30693"/>
      <w:r>
        <w:rPr>
          <w:rStyle w:val="47"/>
          <w:rFonts w:hint="eastAsia" w:ascii="Times New Roman" w:hAnsi="Times New Roman" w:cs="Times New Roman"/>
          <w:sz w:val="28"/>
          <w:szCs w:val="28"/>
        </w:rPr>
        <w:t>（二）兵团政府采购供应商信用承诺函</w:t>
      </w:r>
      <w:bookmarkEnd w:id="613"/>
      <w:bookmarkEnd w:id="614"/>
    </w:p>
    <w:p w14:paraId="37272A03">
      <w:pPr>
        <w:spacing w:line="560" w:lineRule="exact"/>
        <w:rPr>
          <w:rFonts w:hint="eastAsia" w:cs="宋体"/>
          <w:kern w:val="0"/>
          <w:szCs w:val="24"/>
        </w:rPr>
      </w:pPr>
      <w:r>
        <w:rPr>
          <w:rFonts w:hint="eastAsia" w:cs="宋体"/>
          <w:kern w:val="0"/>
          <w:szCs w:val="24"/>
        </w:rPr>
        <w:t>单位名称（自然人姓名）：</w:t>
      </w:r>
    </w:p>
    <w:p w14:paraId="748390B9">
      <w:pPr>
        <w:spacing w:line="560" w:lineRule="exact"/>
        <w:rPr>
          <w:rFonts w:hint="eastAsia" w:cs="宋体"/>
          <w:kern w:val="0"/>
          <w:szCs w:val="24"/>
        </w:rPr>
      </w:pPr>
      <w:r>
        <w:rPr>
          <w:rFonts w:hint="eastAsia" w:cs="宋体"/>
          <w:kern w:val="0"/>
          <w:szCs w:val="24"/>
        </w:rPr>
        <w:t>统一社会信用代码（身份证号码）：</w:t>
      </w:r>
    </w:p>
    <w:p w14:paraId="76540F07">
      <w:pPr>
        <w:spacing w:line="560" w:lineRule="exact"/>
        <w:rPr>
          <w:rFonts w:hint="eastAsia" w:cs="宋体"/>
          <w:kern w:val="0"/>
          <w:szCs w:val="24"/>
        </w:rPr>
      </w:pPr>
      <w:r>
        <w:rPr>
          <w:rFonts w:hint="eastAsia" w:cs="宋体"/>
          <w:kern w:val="0"/>
          <w:szCs w:val="24"/>
        </w:rPr>
        <w:t>法定代表人（负责人）：</w:t>
      </w:r>
    </w:p>
    <w:p w14:paraId="11D16945">
      <w:pPr>
        <w:spacing w:line="560" w:lineRule="exact"/>
        <w:ind w:firstLine="480" w:firstLineChars="200"/>
        <w:rPr>
          <w:rFonts w:hint="eastAsia" w:cs="宋体"/>
          <w:kern w:val="0"/>
          <w:szCs w:val="24"/>
        </w:rPr>
      </w:pPr>
    </w:p>
    <w:p w14:paraId="29C03AEF">
      <w:pPr>
        <w:spacing w:line="560" w:lineRule="exact"/>
        <w:ind w:firstLine="480" w:firstLineChars="200"/>
        <w:rPr>
          <w:rFonts w:hint="eastAsia" w:cs="宋体"/>
          <w:kern w:val="0"/>
          <w:szCs w:val="24"/>
        </w:rPr>
      </w:pPr>
      <w:r>
        <w:rPr>
          <w:rFonts w:hint="eastAsia" w:cs="宋体"/>
          <w:kern w:val="0"/>
          <w:szCs w:val="24"/>
        </w:rPr>
        <w:t xml:space="preserve">我单位（本人）自愿参加本次政府采购活动，严格遵守《中华人民共和国政府采购法》及相关法律法规，坚守公开、公平、公正和诚实信用等原则，依法诚信经营，并郑重承诺：    </w:t>
      </w:r>
    </w:p>
    <w:p w14:paraId="4EA1A583">
      <w:pPr>
        <w:spacing w:line="560" w:lineRule="exact"/>
        <w:ind w:firstLine="480" w:firstLineChars="200"/>
        <w:rPr>
          <w:rFonts w:hint="eastAsia" w:cs="宋体"/>
          <w:kern w:val="0"/>
          <w:szCs w:val="24"/>
        </w:rPr>
      </w:pPr>
      <w:r>
        <w:rPr>
          <w:rFonts w:hint="eastAsia" w:cs="宋体"/>
          <w:kern w:val="0"/>
          <w:szCs w:val="24"/>
        </w:rPr>
        <w:t>一、我单位（本人）符合《中华人民共和国政府采购法》第二十二条规定：</w:t>
      </w:r>
    </w:p>
    <w:p w14:paraId="2A575F65">
      <w:pPr>
        <w:spacing w:line="560" w:lineRule="exact"/>
        <w:ind w:firstLine="480" w:firstLineChars="200"/>
        <w:rPr>
          <w:rFonts w:hint="eastAsia" w:cs="宋体"/>
          <w:kern w:val="0"/>
          <w:szCs w:val="24"/>
        </w:rPr>
      </w:pPr>
      <w:r>
        <w:rPr>
          <w:rFonts w:hint="eastAsia" w:cs="宋体"/>
          <w:kern w:val="0"/>
          <w:szCs w:val="24"/>
        </w:rPr>
        <w:t>（一）具有独立承担民事责任的能力；</w:t>
      </w:r>
    </w:p>
    <w:p w14:paraId="74F36022">
      <w:pPr>
        <w:spacing w:line="560" w:lineRule="exact"/>
        <w:ind w:firstLine="480" w:firstLineChars="200"/>
        <w:rPr>
          <w:rFonts w:hint="eastAsia" w:cs="宋体"/>
          <w:kern w:val="0"/>
          <w:szCs w:val="24"/>
        </w:rPr>
      </w:pPr>
      <w:r>
        <w:rPr>
          <w:rFonts w:hint="eastAsia" w:cs="宋体"/>
          <w:kern w:val="0"/>
          <w:szCs w:val="24"/>
        </w:rPr>
        <w:t>（二）具有良好的商业信誉和健全的财务会计制度；</w:t>
      </w:r>
    </w:p>
    <w:p w14:paraId="37BBEC44">
      <w:pPr>
        <w:spacing w:line="560" w:lineRule="exact"/>
        <w:ind w:firstLine="480" w:firstLineChars="200"/>
        <w:rPr>
          <w:rFonts w:hint="eastAsia" w:cs="宋体"/>
          <w:kern w:val="0"/>
          <w:szCs w:val="24"/>
        </w:rPr>
      </w:pPr>
      <w:r>
        <w:rPr>
          <w:rFonts w:hint="eastAsia" w:cs="宋体"/>
          <w:kern w:val="0"/>
          <w:szCs w:val="24"/>
        </w:rPr>
        <w:t>（三）具有履行合同所必需的设备和专业技术能力；</w:t>
      </w:r>
    </w:p>
    <w:p w14:paraId="3F63C68B">
      <w:pPr>
        <w:spacing w:line="560" w:lineRule="exact"/>
        <w:ind w:firstLine="480" w:firstLineChars="200"/>
        <w:rPr>
          <w:rFonts w:hint="eastAsia" w:cs="宋体"/>
          <w:kern w:val="0"/>
          <w:szCs w:val="24"/>
        </w:rPr>
      </w:pPr>
      <w:r>
        <w:rPr>
          <w:rFonts w:hint="eastAsia" w:cs="宋体"/>
          <w:kern w:val="0"/>
          <w:szCs w:val="24"/>
        </w:rPr>
        <w:t>（四）有依法缴纳税收和社会保障资金的良好记录；</w:t>
      </w:r>
    </w:p>
    <w:p w14:paraId="71C4942A">
      <w:pPr>
        <w:spacing w:line="560" w:lineRule="exact"/>
        <w:ind w:firstLine="480" w:firstLineChars="200"/>
        <w:rPr>
          <w:rFonts w:hint="eastAsia" w:cs="宋体"/>
          <w:kern w:val="0"/>
          <w:szCs w:val="24"/>
        </w:rPr>
      </w:pPr>
      <w:r>
        <w:rPr>
          <w:rFonts w:hint="eastAsia" w:cs="宋体"/>
          <w:kern w:val="0"/>
          <w:szCs w:val="24"/>
        </w:rPr>
        <w:t>（五）参加政府采购活动前三年内，在经营活动中没有重大违法记录；</w:t>
      </w:r>
    </w:p>
    <w:p w14:paraId="1D750F03">
      <w:pPr>
        <w:spacing w:line="560" w:lineRule="exact"/>
        <w:ind w:firstLine="480" w:firstLineChars="200"/>
        <w:rPr>
          <w:rFonts w:hint="eastAsia" w:cs="宋体"/>
          <w:kern w:val="0"/>
          <w:szCs w:val="24"/>
        </w:rPr>
      </w:pPr>
      <w:r>
        <w:rPr>
          <w:rFonts w:hint="eastAsia" w:cs="宋体"/>
          <w:kern w:val="0"/>
          <w:szCs w:val="24"/>
        </w:rPr>
        <w:t>（六）符合法律、行政法规规定的其他条件。</w:t>
      </w:r>
    </w:p>
    <w:p w14:paraId="2ECDB464">
      <w:pPr>
        <w:spacing w:line="560" w:lineRule="exact"/>
        <w:ind w:firstLine="480" w:firstLineChars="200"/>
        <w:rPr>
          <w:rFonts w:hint="eastAsia" w:cs="宋体"/>
          <w:kern w:val="0"/>
          <w:szCs w:val="24"/>
        </w:rPr>
      </w:pPr>
      <w:r>
        <w:rPr>
          <w:rFonts w:hint="eastAsia" w:cs="宋体"/>
          <w:kern w:val="0"/>
          <w:szCs w:val="24"/>
        </w:rPr>
        <w:t>二、我单位（本人）未被列入严重违法失信名单、失信被执行人名单、重大税收违法失信主体、政府采购严重违法失信行为记录名单。</w:t>
      </w:r>
    </w:p>
    <w:p w14:paraId="248E330D">
      <w:pPr>
        <w:spacing w:line="560" w:lineRule="exact"/>
        <w:ind w:firstLine="480" w:firstLineChars="200"/>
        <w:rPr>
          <w:rFonts w:hint="eastAsia" w:cs="宋体"/>
          <w:kern w:val="0"/>
          <w:szCs w:val="24"/>
        </w:rPr>
      </w:pPr>
      <w:r>
        <w:rPr>
          <w:rFonts w:hint="eastAsia" w:cs="宋体"/>
          <w:kern w:val="0"/>
          <w:szCs w:val="24"/>
        </w:rPr>
        <w:t>三、如果本公司（本人）有幸中标（成交），在合同签订之前，采购单位有权要求本公司（本人）提供资格证明材料原件进行核验。</w:t>
      </w:r>
    </w:p>
    <w:p w14:paraId="7E494193">
      <w:pPr>
        <w:spacing w:line="560" w:lineRule="exact"/>
        <w:ind w:firstLine="480" w:firstLineChars="200"/>
        <w:rPr>
          <w:rFonts w:hint="eastAsia" w:cs="宋体"/>
          <w:kern w:val="0"/>
          <w:szCs w:val="24"/>
        </w:rPr>
      </w:pPr>
      <w:r>
        <w:rPr>
          <w:rFonts w:hint="eastAsia" w:cs="宋体"/>
          <w:kern w:val="0"/>
          <w:szCs w:val="24"/>
        </w:rPr>
        <w:t>四、我单位（本人）保证上述承诺事项的真实性。如有弄虚作假或其他违法违规行为，自愿按照规定将违背承诺行为作为失信行为记录到社会信用信息平台，并视同为“提供虚假材料谋取中标、成交”按照</w:t>
      </w:r>
      <w:r>
        <w:rPr>
          <w:rFonts w:hint="eastAsia"/>
        </w:rPr>
        <w:t>《中华人民共和国政府采购法》</w:t>
      </w:r>
      <w:r>
        <w:rPr>
          <w:rFonts w:hint="eastAsia" w:cs="宋体"/>
          <w:kern w:val="0"/>
          <w:szCs w:val="24"/>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5B65AC05">
      <w:pPr>
        <w:spacing w:line="560" w:lineRule="exact"/>
        <w:rPr>
          <w:rFonts w:hint="eastAsia" w:cs="宋体"/>
          <w:kern w:val="0"/>
          <w:szCs w:val="24"/>
        </w:rPr>
      </w:pPr>
    </w:p>
    <w:p w14:paraId="66853353">
      <w:pPr>
        <w:spacing w:line="560" w:lineRule="exact"/>
        <w:rPr>
          <w:rFonts w:hint="eastAsia" w:cs="宋体"/>
          <w:kern w:val="0"/>
          <w:szCs w:val="24"/>
        </w:rPr>
      </w:pPr>
    </w:p>
    <w:p w14:paraId="1F0EEC7E">
      <w:pPr>
        <w:spacing w:line="560" w:lineRule="exact"/>
        <w:rPr>
          <w:rFonts w:hint="eastAsia" w:cs="宋体"/>
          <w:kern w:val="0"/>
          <w:szCs w:val="24"/>
        </w:rPr>
      </w:pPr>
      <w:r>
        <w:rPr>
          <w:rFonts w:hint="eastAsia" w:cs="宋体"/>
          <w:kern w:val="0"/>
          <w:szCs w:val="24"/>
        </w:rPr>
        <w:t>供应商名称（公章）：</w:t>
      </w:r>
    </w:p>
    <w:p w14:paraId="1A93627C">
      <w:pPr>
        <w:spacing w:line="560" w:lineRule="exact"/>
        <w:rPr>
          <w:rFonts w:hint="eastAsia" w:cs="宋体"/>
          <w:kern w:val="0"/>
          <w:szCs w:val="24"/>
        </w:rPr>
      </w:pPr>
      <w:r>
        <w:rPr>
          <w:rFonts w:hint="eastAsia" w:cs="宋体"/>
          <w:kern w:val="0"/>
          <w:szCs w:val="24"/>
        </w:rPr>
        <w:t>法定代表人（负责人或本人）或授权代表（签字或盖章）：</w:t>
      </w:r>
    </w:p>
    <w:p w14:paraId="2335F82E">
      <w:pPr>
        <w:spacing w:line="560" w:lineRule="exact"/>
        <w:rPr>
          <w:rFonts w:hint="eastAsia" w:cs="宋体"/>
          <w:kern w:val="0"/>
          <w:szCs w:val="24"/>
        </w:rPr>
      </w:pPr>
      <w:r>
        <w:rPr>
          <w:rFonts w:hint="eastAsia" w:cs="宋体"/>
          <w:kern w:val="0"/>
          <w:szCs w:val="24"/>
        </w:rPr>
        <w:t>日期： 年 月 日</w:t>
      </w:r>
    </w:p>
    <w:p w14:paraId="687EBAF9">
      <w:pPr>
        <w:widowControl/>
        <w:spacing w:line="560" w:lineRule="exact"/>
        <w:ind w:firstLine="630"/>
        <w:rPr>
          <w:rFonts w:hint="eastAsia" w:cs="宋体"/>
          <w:kern w:val="0"/>
          <w:szCs w:val="24"/>
        </w:rPr>
      </w:pPr>
    </w:p>
    <w:p w14:paraId="60D7E07C">
      <w:pPr>
        <w:rPr>
          <w:rFonts w:ascii="Arial" w:hAnsi="Arial" w:cs="Arial"/>
          <w:szCs w:val="21"/>
        </w:rPr>
      </w:pPr>
      <w:r>
        <w:rPr>
          <w:rFonts w:ascii="Arial" w:hAnsi="Arial" w:cs="Arial"/>
          <w:szCs w:val="21"/>
        </w:rPr>
        <w:br w:type="page"/>
      </w:r>
    </w:p>
    <w:p w14:paraId="54CBE2D1">
      <w:pPr>
        <w:pStyle w:val="4"/>
        <w:rPr>
          <w:rFonts w:hint="eastAsia"/>
          <w:sz w:val="28"/>
          <w:szCs w:val="28"/>
          <w:lang w:val="zh-CN"/>
        </w:rPr>
      </w:pPr>
      <w:bookmarkStart w:id="615" w:name="_Toc163492923"/>
      <w:bookmarkStart w:id="616" w:name="_Toc155185930"/>
      <w:bookmarkStart w:id="617" w:name="_Toc140132840"/>
      <w:bookmarkStart w:id="618" w:name="_Toc109900336"/>
      <w:bookmarkStart w:id="619" w:name="_Toc109899498"/>
      <w:bookmarkStart w:id="620" w:name="_Toc109899917"/>
      <w:bookmarkStart w:id="621" w:name="_Toc21134"/>
      <w:bookmarkStart w:id="622" w:name="_Toc3502"/>
      <w:r>
        <w:rPr>
          <w:rFonts w:hint="eastAsia"/>
          <w:sz w:val="28"/>
          <w:szCs w:val="28"/>
        </w:rPr>
        <w:t>二、</w:t>
      </w:r>
      <w:bookmarkEnd w:id="615"/>
      <w:bookmarkEnd w:id="616"/>
      <w:bookmarkEnd w:id="617"/>
      <w:bookmarkEnd w:id="618"/>
      <w:bookmarkEnd w:id="619"/>
      <w:bookmarkEnd w:id="620"/>
      <w:bookmarkStart w:id="623" w:name="_Toc155185931"/>
      <w:r>
        <w:rPr>
          <w:rFonts w:hint="eastAsia"/>
          <w:sz w:val="28"/>
          <w:szCs w:val="28"/>
          <w:lang w:val="zh-CN"/>
        </w:rPr>
        <w:t>联合体协议书</w:t>
      </w:r>
      <w:bookmarkEnd w:id="623"/>
      <w:r>
        <w:rPr>
          <w:rFonts w:hint="eastAsia"/>
          <w:sz w:val="28"/>
          <w:szCs w:val="28"/>
          <w:lang w:val="zh-CN"/>
        </w:rPr>
        <w:t>【如适用】</w:t>
      </w:r>
      <w:bookmarkEnd w:id="621"/>
      <w:bookmarkEnd w:id="622"/>
    </w:p>
    <w:p w14:paraId="2CC949BD">
      <w:pPr>
        <w:snapToGrid w:val="0"/>
        <w:jc w:val="center"/>
        <w:outlineLvl w:val="0"/>
        <w:rPr>
          <w:rFonts w:hint="eastAsia" w:cs="宋体"/>
          <w:b/>
          <w:kern w:val="0"/>
          <w:sz w:val="32"/>
          <w:szCs w:val="32"/>
        </w:rPr>
      </w:pPr>
      <w:bookmarkStart w:id="624" w:name="_Toc12650"/>
      <w:bookmarkStart w:id="625" w:name="_Toc919"/>
      <w:bookmarkStart w:id="626" w:name="_Toc24531"/>
      <w:r>
        <w:rPr>
          <w:rFonts w:hint="eastAsia" w:cs="宋体"/>
          <w:b/>
          <w:kern w:val="0"/>
          <w:sz w:val="32"/>
          <w:szCs w:val="32"/>
        </w:rPr>
        <w:t>联合体协议书</w:t>
      </w:r>
      <w:bookmarkEnd w:id="624"/>
      <w:bookmarkEnd w:id="625"/>
      <w:bookmarkEnd w:id="626"/>
    </w:p>
    <w:p w14:paraId="411E9B05">
      <w:pPr>
        <w:widowControl/>
        <w:ind w:firstLine="482" w:firstLineChars="200"/>
        <w:rPr>
          <w:rFonts w:hint="eastAsia" w:cs="宋体"/>
          <w:b/>
        </w:rPr>
      </w:pPr>
      <w:r>
        <w:rPr>
          <w:rFonts w:hint="eastAsia" w:cs="宋体"/>
          <w:b/>
        </w:rPr>
        <w:t>（以联合体形式投标的，提供联合体协议书；本项目不接受联合体投标或者投标人不以联合体形式投标的，则不需要提供）</w:t>
      </w:r>
    </w:p>
    <w:p w14:paraId="4E2DF3F8">
      <w:pPr>
        <w:snapToGrid w:val="0"/>
        <w:ind w:firstLine="576"/>
        <w:rPr>
          <w:rFonts w:hint="eastAsia" w:cs="宋体"/>
          <w:kern w:val="0"/>
          <w:lang w:val="zh-CN"/>
        </w:rPr>
      </w:pPr>
      <w:r>
        <w:rPr>
          <w:rFonts w:hint="eastAsia" w:cs="宋体"/>
          <w:kern w:val="0"/>
          <w:u w:val="single"/>
        </w:rPr>
        <w:t>（联合体所有成员名称）</w:t>
      </w:r>
      <w:r>
        <w:rPr>
          <w:rFonts w:hint="eastAsia" w:cs="宋体"/>
          <w:kern w:val="0"/>
        </w:rPr>
        <w:t>自愿</w:t>
      </w:r>
      <w:r>
        <w:rPr>
          <w:rFonts w:hint="eastAsia" w:cs="宋体"/>
          <w:kern w:val="0"/>
          <w:lang w:val="zh-CN"/>
        </w:rPr>
        <w:t>组成一个联合体，以一个投标人的身份</w:t>
      </w:r>
      <w:r>
        <w:rPr>
          <w:rFonts w:hint="eastAsia" w:cs="宋体"/>
          <w:kern w:val="0"/>
        </w:rPr>
        <w:t>参加</w:t>
      </w:r>
      <w:r>
        <w:rPr>
          <w:rFonts w:hint="eastAsia" w:cs="宋体"/>
        </w:rPr>
        <w:t>（项目名称）【项目编号/包号：    】</w:t>
      </w:r>
      <w:r>
        <w:rPr>
          <w:rFonts w:hint="eastAsia" w:cs="宋体"/>
          <w:kern w:val="0"/>
          <w:lang w:val="zh-CN"/>
        </w:rPr>
        <w:t xml:space="preserve">投标。 </w:t>
      </w:r>
    </w:p>
    <w:p w14:paraId="53F5532D">
      <w:pPr>
        <w:snapToGrid w:val="0"/>
        <w:ind w:firstLine="576"/>
        <w:rPr>
          <w:rFonts w:hint="eastAsia" w:cs="宋体"/>
          <w:kern w:val="0"/>
          <w:lang w:val="zh-CN"/>
        </w:rPr>
      </w:pPr>
      <w:r>
        <w:rPr>
          <w:rFonts w:hint="eastAsia" w:cs="宋体"/>
          <w:kern w:val="0"/>
          <w:lang w:val="zh-CN"/>
        </w:rPr>
        <w:t>一、各方一致决定，</w:t>
      </w:r>
      <w:r>
        <w:rPr>
          <w:rFonts w:hint="eastAsia" w:cs="宋体"/>
          <w:kern w:val="0"/>
          <w:u w:val="single"/>
        </w:rPr>
        <w:t>（某联合体成员名称）</w:t>
      </w:r>
      <w:r>
        <w:rPr>
          <w:rFonts w:hint="eastAsia" w:cs="宋体"/>
          <w:kern w:val="0"/>
        </w:rPr>
        <w:t>为联合体</w:t>
      </w:r>
      <w:r>
        <w:rPr>
          <w:rFonts w:hint="eastAsia" w:cs="宋体"/>
          <w:kern w:val="0"/>
          <w:lang w:val="zh-CN"/>
        </w:rPr>
        <w:t>牵头人</w:t>
      </w:r>
      <w:r>
        <w:rPr>
          <w:rFonts w:hint="eastAsia" w:cs="宋体"/>
        </w:rPr>
        <w:t>，代表所有联合体成员负责投标和合同实施阶段的主办、协调工作</w:t>
      </w:r>
      <w:r>
        <w:rPr>
          <w:rFonts w:hint="eastAsia" w:cs="宋体"/>
          <w:kern w:val="0"/>
          <w:lang w:val="zh-CN"/>
        </w:rPr>
        <w:t>。</w:t>
      </w:r>
    </w:p>
    <w:p w14:paraId="0584B646">
      <w:pPr>
        <w:snapToGrid w:val="0"/>
        <w:ind w:firstLine="576"/>
        <w:rPr>
          <w:rFonts w:hint="eastAsia" w:cs="宋体"/>
          <w:kern w:val="0"/>
          <w:lang w:val="zh-CN"/>
        </w:rPr>
      </w:pPr>
      <w:r>
        <w:rPr>
          <w:rFonts w:hint="eastAsia" w:cs="宋体"/>
          <w:kern w:val="0"/>
          <w:lang w:val="zh-CN"/>
        </w:rPr>
        <w:t>二、</w:t>
      </w:r>
      <w:r>
        <w:rPr>
          <w:rFonts w:hint="eastAsia" w:cs="宋体"/>
        </w:rPr>
        <w:t>所有联合体成员各方签署授权书，授权书载明的</w:t>
      </w:r>
      <w:r>
        <w:rPr>
          <w:rFonts w:hint="eastAsia" w:cs="宋体"/>
          <w:kern w:val="0"/>
          <w:lang w:val="zh-CN"/>
        </w:rPr>
        <w:t>授权代表根据招标文件规定及投标内容而对采购人、采购代理机构所作的任何合法承诺，包括书面澄清及相应等均对联合投标各方产生约束力。</w:t>
      </w:r>
    </w:p>
    <w:p w14:paraId="4F515580">
      <w:pPr>
        <w:snapToGrid w:val="0"/>
        <w:ind w:firstLine="576"/>
        <w:rPr>
          <w:rFonts w:hint="eastAsia" w:cs="宋体"/>
          <w:kern w:val="0"/>
          <w:lang w:val="zh-CN"/>
        </w:rPr>
      </w:pPr>
      <w:r>
        <w:rPr>
          <w:rFonts w:hint="eastAsia" w:cs="宋体"/>
          <w:kern w:val="0"/>
          <w:lang w:val="zh-CN"/>
        </w:rPr>
        <w:t>三、本次联合投标中，分工如下：</w:t>
      </w:r>
    </w:p>
    <w:p w14:paraId="7E49E092">
      <w:pPr>
        <w:snapToGrid w:val="0"/>
        <w:ind w:firstLine="576"/>
        <w:rPr>
          <w:rFonts w:hint="eastAsia" w:cs="宋体"/>
          <w:kern w:val="0"/>
          <w:lang w:val="zh-CN"/>
        </w:rPr>
      </w:pPr>
      <w:bookmarkStart w:id="627" w:name="_Hlk101134295"/>
      <w:r>
        <w:rPr>
          <w:rFonts w:hint="eastAsia" w:cs="宋体"/>
          <w:kern w:val="0"/>
          <w:u w:val="single"/>
        </w:rPr>
        <w:t xml:space="preserve">（联合体成员1）  </w:t>
      </w:r>
      <w:r>
        <w:rPr>
          <w:rFonts w:hint="eastAsia" w:cs="宋体"/>
          <w:kern w:val="0"/>
          <w:lang w:val="zh-CN"/>
        </w:rPr>
        <w:t>承担</w:t>
      </w:r>
      <w:r>
        <w:rPr>
          <w:rFonts w:hint="eastAsia" w:cs="宋体"/>
          <w:kern w:val="0"/>
        </w:rPr>
        <w:t>项目采购合同金额的</w:t>
      </w:r>
      <w:r>
        <w:rPr>
          <w:rFonts w:hint="eastAsia" w:cs="宋体"/>
          <w:kern w:val="0"/>
          <w:u w:val="single"/>
        </w:rPr>
        <w:t xml:space="preserve">      %</w:t>
      </w:r>
      <w:r>
        <w:rPr>
          <w:rFonts w:hint="eastAsia" w:cs="宋体"/>
          <w:kern w:val="0"/>
        </w:rPr>
        <w:t>，负责</w:t>
      </w:r>
      <w:r>
        <w:rPr>
          <w:rFonts w:hint="eastAsia" w:cs="宋体"/>
          <w:kern w:val="0"/>
          <w:lang w:val="zh-CN"/>
        </w:rPr>
        <w:t>的工作和义务为：</w:t>
      </w:r>
      <w:r>
        <w:rPr>
          <w:rFonts w:hint="eastAsia" w:cs="宋体"/>
          <w:u w:val="single"/>
        </w:rPr>
        <w:t xml:space="preserve">             </w:t>
      </w:r>
      <w:r>
        <w:rPr>
          <w:rFonts w:hint="eastAsia" w:cs="宋体"/>
          <w:kern w:val="0"/>
          <w:lang w:val="zh-CN"/>
        </w:rPr>
        <w:t>；</w:t>
      </w:r>
    </w:p>
    <w:p w14:paraId="73392F68">
      <w:pPr>
        <w:snapToGrid w:val="0"/>
        <w:ind w:firstLine="576"/>
        <w:rPr>
          <w:rFonts w:hint="eastAsia" w:cs="宋体"/>
          <w:kern w:val="0"/>
          <w:lang w:val="zh-CN"/>
        </w:rPr>
      </w:pPr>
      <w:r>
        <w:rPr>
          <w:rFonts w:hint="eastAsia" w:cs="宋体"/>
          <w:kern w:val="0"/>
          <w:u w:val="single"/>
        </w:rPr>
        <w:t>（联合体成员</w:t>
      </w:r>
      <w:r>
        <w:rPr>
          <w:rFonts w:cs="宋体"/>
          <w:kern w:val="0"/>
          <w:u w:val="single"/>
        </w:rPr>
        <w:t>2</w:t>
      </w:r>
      <w:r>
        <w:rPr>
          <w:rFonts w:hint="eastAsia" w:cs="宋体"/>
          <w:kern w:val="0"/>
          <w:u w:val="single"/>
        </w:rPr>
        <w:t xml:space="preserve">）  </w:t>
      </w:r>
      <w:r>
        <w:rPr>
          <w:rFonts w:hint="eastAsia" w:cs="宋体"/>
          <w:kern w:val="0"/>
          <w:lang w:val="zh-CN"/>
        </w:rPr>
        <w:t>承担</w:t>
      </w:r>
      <w:r>
        <w:rPr>
          <w:rFonts w:hint="eastAsia" w:cs="宋体"/>
          <w:kern w:val="0"/>
        </w:rPr>
        <w:t>项目采购合同金额的</w:t>
      </w:r>
      <w:r>
        <w:rPr>
          <w:rFonts w:hint="eastAsia" w:cs="宋体"/>
          <w:kern w:val="0"/>
          <w:u w:val="single"/>
        </w:rPr>
        <w:t xml:space="preserve">      %</w:t>
      </w:r>
      <w:r>
        <w:rPr>
          <w:rFonts w:hint="eastAsia" w:cs="宋体"/>
          <w:kern w:val="0"/>
        </w:rPr>
        <w:t>，负责</w:t>
      </w:r>
      <w:r>
        <w:rPr>
          <w:rFonts w:hint="eastAsia" w:cs="宋体"/>
          <w:kern w:val="0"/>
          <w:lang w:val="zh-CN"/>
        </w:rPr>
        <w:t>的工作和义务为：</w:t>
      </w:r>
      <w:r>
        <w:rPr>
          <w:rFonts w:hint="eastAsia" w:cs="宋体"/>
          <w:u w:val="single"/>
        </w:rPr>
        <w:t xml:space="preserve">             </w:t>
      </w:r>
      <w:r>
        <w:rPr>
          <w:rFonts w:hint="eastAsia" w:cs="宋体"/>
          <w:kern w:val="0"/>
          <w:lang w:val="zh-CN"/>
        </w:rPr>
        <w:t>；</w:t>
      </w:r>
    </w:p>
    <w:p w14:paraId="73DC980C">
      <w:pPr>
        <w:snapToGrid w:val="0"/>
        <w:ind w:firstLine="576"/>
        <w:rPr>
          <w:rFonts w:hint="eastAsia" w:cs="宋体"/>
          <w:kern w:val="0"/>
          <w:lang w:val="zh-CN"/>
        </w:rPr>
      </w:pPr>
      <w:r>
        <w:rPr>
          <w:rFonts w:hint="eastAsia" w:cs="宋体"/>
          <w:kern w:val="0"/>
          <w:lang w:val="zh-CN"/>
        </w:rPr>
        <w:t>……</w:t>
      </w:r>
    </w:p>
    <w:bookmarkEnd w:id="627"/>
    <w:p w14:paraId="70C1FA85">
      <w:pPr>
        <w:snapToGrid w:val="0"/>
        <w:ind w:firstLine="576"/>
        <w:rPr>
          <w:rFonts w:hint="eastAsia" w:cs="宋体"/>
          <w:kern w:val="0"/>
          <w:lang w:val="zh-CN"/>
        </w:rPr>
      </w:pPr>
      <w:r>
        <w:rPr>
          <w:rFonts w:hint="eastAsia" w:cs="宋体"/>
          <w:kern w:val="0"/>
          <w:lang w:val="zh-CN"/>
        </w:rPr>
        <w:t>四、联合体成员中小企业合同份额。</w:t>
      </w:r>
    </w:p>
    <w:p w14:paraId="5CB4AB63">
      <w:pPr>
        <w:snapToGrid w:val="0"/>
        <w:ind w:firstLine="576"/>
        <w:rPr>
          <w:rFonts w:hint="eastAsia" w:cs="宋体"/>
          <w:b/>
          <w:kern w:val="0"/>
          <w:lang w:val="zh-CN"/>
        </w:rPr>
      </w:pPr>
      <w:r>
        <w:rPr>
          <w:rFonts w:hint="eastAsia" w:cs="宋体"/>
          <w:kern w:val="0"/>
          <w:lang w:val="zh-CN"/>
        </w:rPr>
        <w:t>1、</w:t>
      </w:r>
      <w:r>
        <w:rPr>
          <w:rFonts w:hint="eastAsia" w:cs="宋体"/>
          <w:kern w:val="0"/>
          <w:u w:val="single"/>
        </w:rPr>
        <w:t>（联合体成员</w:t>
      </w:r>
      <w:r>
        <w:rPr>
          <w:rFonts w:cs="宋体"/>
          <w:kern w:val="0"/>
          <w:u w:val="single"/>
        </w:rPr>
        <w:t>X,</w:t>
      </w:r>
      <w:r>
        <w:rPr>
          <w:rFonts w:hint="eastAsia" w:cs="宋体"/>
          <w:kern w:val="0"/>
          <w:u w:val="single"/>
        </w:rPr>
        <w:t>……）</w:t>
      </w:r>
      <w:r>
        <w:rPr>
          <w:rFonts w:hint="eastAsia" w:cs="宋体"/>
          <w:kern w:val="0"/>
        </w:rPr>
        <w:t>提供的全部服务及货物由小微企业提供和制造，其合同份额占到合同总金额</w:t>
      </w:r>
      <w:r>
        <w:rPr>
          <w:rFonts w:hint="eastAsia" w:cs="宋体"/>
          <w:kern w:val="0"/>
          <w:u w:val="single"/>
        </w:rPr>
        <w:t xml:space="preserve">     </w:t>
      </w:r>
      <w:r>
        <w:rPr>
          <w:rFonts w:hint="eastAsia" w:cs="宋体"/>
          <w:kern w:val="0"/>
        </w:rPr>
        <w:t>%以上；</w:t>
      </w:r>
      <w:r>
        <w:rPr>
          <w:rFonts w:hint="eastAsia" w:cs="宋体"/>
          <w:kern w:val="0"/>
          <w:lang w:val="zh-CN"/>
        </w:rPr>
        <w:t>……。</w:t>
      </w:r>
      <w:r>
        <w:rPr>
          <w:rFonts w:hint="eastAsia" w:cs="宋体"/>
          <w:b/>
          <w:kern w:val="0"/>
          <w:lang w:val="zh-CN"/>
        </w:rPr>
        <w:t>（未预留份额专门面向中小企业采购的采购项目，以及预留份额中的非预留部分采购包，接受联合体投标的，联合</w:t>
      </w:r>
      <w:r>
        <w:rPr>
          <w:rFonts w:hint="eastAsia" w:cs="宋体"/>
          <w:b/>
          <w:kern w:val="0"/>
        </w:rPr>
        <w:t>体</w:t>
      </w:r>
      <w:r>
        <w:rPr>
          <w:rFonts w:hint="eastAsia" w:cs="宋体"/>
          <w:b/>
          <w:kern w:val="0"/>
          <w:lang w:val="zh-CN"/>
        </w:rPr>
        <w:t>协议</w:t>
      </w:r>
      <w:r>
        <w:rPr>
          <w:rFonts w:hint="eastAsia" w:cs="宋体"/>
          <w:b/>
          <w:kern w:val="0"/>
        </w:rPr>
        <w:t>书</w:t>
      </w:r>
      <w:r>
        <w:rPr>
          <w:rFonts w:hint="eastAsia" w:cs="宋体"/>
          <w:b/>
          <w:kern w:val="0"/>
          <w:lang w:val="zh-CN"/>
        </w:rPr>
        <w:t>约定小微企业的合同份额占到合同总金额30%以上的，对联合体报价按评标标准确定的比例给予扣除。供应商</w:t>
      </w:r>
      <w:r>
        <w:rPr>
          <w:rFonts w:hint="eastAsia" w:cs="宋体"/>
          <w:b/>
        </w:rPr>
        <w:t>拟享受以上价格扣除政策的，填写有关内容。</w:t>
      </w:r>
      <w:r>
        <w:rPr>
          <w:rFonts w:hint="eastAsia" w:cs="宋体"/>
          <w:b/>
          <w:kern w:val="0"/>
          <w:lang w:val="zh-CN"/>
        </w:rPr>
        <w:t>）</w:t>
      </w:r>
    </w:p>
    <w:p w14:paraId="1A1FE489">
      <w:pPr>
        <w:snapToGrid w:val="0"/>
        <w:ind w:firstLine="576"/>
        <w:rPr>
          <w:rFonts w:hint="eastAsia" w:cs="宋体"/>
          <w:kern w:val="0"/>
          <w:lang w:val="zh-CN"/>
        </w:rPr>
      </w:pPr>
      <w:r>
        <w:rPr>
          <w:rFonts w:hint="eastAsia" w:cs="宋体"/>
        </w:rPr>
        <w:t>2、中小企业合同金额达到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要求以联合体形式参加的项目或采购包，供应商按招标文件第一部分招标公告申请人的资格要求中规定的联合体协议书中中小企业、小微企业合同金额应当达到的比例要求填写。</w:t>
      </w:r>
      <w:r>
        <w:rPr>
          <w:rFonts w:hint="eastAsia" w:cs="宋体"/>
          <w:b/>
          <w:bCs/>
          <w:kern w:val="0"/>
          <w:lang w:val="zh-CN"/>
        </w:rPr>
        <w:t>）</w:t>
      </w:r>
    </w:p>
    <w:p w14:paraId="548F2101">
      <w:pPr>
        <w:snapToGrid w:val="0"/>
        <w:ind w:firstLine="576"/>
        <w:rPr>
          <w:rFonts w:hint="eastAsia" w:cs="宋体"/>
          <w:kern w:val="0"/>
          <w:lang w:val="zh-CN"/>
        </w:rPr>
      </w:pPr>
      <w:r>
        <w:rPr>
          <w:rFonts w:hint="eastAsia" w:cs="宋体"/>
          <w:kern w:val="0"/>
          <w:lang w:val="zh-CN"/>
        </w:rPr>
        <w:t>五、如果中标，</w:t>
      </w:r>
      <w:r>
        <w:rPr>
          <w:rFonts w:hint="eastAsia" w:cs="宋体"/>
        </w:rPr>
        <w:t>联合体各成员方共同与采购人签订采购合同，并就采购合同约定的事项对采购人承担连带责任。</w:t>
      </w:r>
    </w:p>
    <w:p w14:paraId="11F1F6E9">
      <w:pPr>
        <w:snapToGrid w:val="0"/>
        <w:ind w:firstLine="576"/>
        <w:rPr>
          <w:rFonts w:hint="eastAsia" w:cs="宋体"/>
          <w:kern w:val="0"/>
          <w:lang w:val="zh-CN"/>
        </w:rPr>
      </w:pPr>
      <w:r>
        <w:rPr>
          <w:rFonts w:hint="eastAsia" w:cs="宋体"/>
          <w:kern w:val="0"/>
          <w:lang w:val="zh-CN"/>
        </w:rPr>
        <w:t>六、有关本次联合投标的其他事宜：</w:t>
      </w:r>
    </w:p>
    <w:p w14:paraId="0A9A106E">
      <w:pPr>
        <w:snapToGrid w:val="0"/>
        <w:ind w:firstLine="576"/>
        <w:rPr>
          <w:rFonts w:hint="eastAsia" w:cs="宋体"/>
          <w:kern w:val="0"/>
          <w:lang w:val="zh-CN"/>
        </w:rPr>
      </w:pPr>
      <w:r>
        <w:rPr>
          <w:rFonts w:hint="eastAsia" w:cs="宋体"/>
          <w:kern w:val="0"/>
          <w:lang w:val="zh-CN"/>
        </w:rPr>
        <w:t>1、联合体各方不再单独参加或者与其他供应商另外组成联合体参加同一合同项下的政府采购活动。</w:t>
      </w:r>
    </w:p>
    <w:p w14:paraId="5374FFE3">
      <w:pPr>
        <w:snapToGrid w:val="0"/>
        <w:ind w:firstLine="576"/>
        <w:rPr>
          <w:rFonts w:hint="eastAsia" w:cs="宋体"/>
          <w:kern w:val="0"/>
          <w:lang w:val="zh-CN"/>
        </w:rPr>
      </w:pPr>
      <w:r>
        <w:rPr>
          <w:rFonts w:hint="eastAsia" w:cs="宋体"/>
          <w:kern w:val="0"/>
          <w:lang w:val="zh-CN"/>
        </w:rPr>
        <w:t>2、联合体中有同类资质的各方按照联合体分工承担相同工作的，按照资质等级较低的供应商确定资质等级。</w:t>
      </w:r>
    </w:p>
    <w:p w14:paraId="4A897C95">
      <w:pPr>
        <w:snapToGrid w:val="0"/>
        <w:ind w:firstLine="576"/>
        <w:rPr>
          <w:rFonts w:hint="eastAsia" w:cs="宋体"/>
          <w:kern w:val="0"/>
          <w:lang w:val="zh-CN"/>
        </w:rPr>
      </w:pPr>
      <w:r>
        <w:rPr>
          <w:rFonts w:hint="eastAsia" w:cs="宋体"/>
          <w:kern w:val="0"/>
          <w:lang w:val="zh-CN"/>
        </w:rPr>
        <w:t>3、本协议提交采购人、采购代理机构后，联合体各方不得以任何形式对上述内容进行修改或撤销。</w:t>
      </w:r>
    </w:p>
    <w:p w14:paraId="177D4728">
      <w:pPr>
        <w:snapToGrid w:val="0"/>
        <w:ind w:firstLine="576"/>
        <w:rPr>
          <w:rFonts w:hint="eastAsia" w:cs="宋体"/>
          <w:kern w:val="0"/>
          <w:lang w:val="zh-CN"/>
        </w:rPr>
      </w:pPr>
      <w:r>
        <w:rPr>
          <w:rFonts w:hint="eastAsia" w:cs="宋体"/>
          <w:kern w:val="0"/>
        </w:rPr>
        <w:t>4、</w:t>
      </w:r>
      <w:r>
        <w:rPr>
          <w:rFonts w:hint="eastAsia" w:cs="宋体"/>
          <w:kern w:val="0"/>
          <w:lang w:val="zh-CN"/>
        </w:rPr>
        <w:t>其他：……</w:t>
      </w:r>
    </w:p>
    <w:p w14:paraId="3C1F9A01">
      <w:pPr>
        <w:snapToGrid w:val="0"/>
        <w:ind w:firstLine="576"/>
        <w:rPr>
          <w:rFonts w:hint="eastAsia" w:cs="宋体"/>
          <w:kern w:val="0"/>
          <w:lang w:val="zh-CN"/>
        </w:rPr>
      </w:pPr>
      <w:r>
        <w:rPr>
          <w:rFonts w:hint="eastAsia" w:cs="宋体"/>
          <w:kern w:val="0"/>
        </w:rPr>
        <w:t>5、</w:t>
      </w:r>
      <w:r>
        <w:rPr>
          <w:rFonts w:hint="eastAsia" w:cs="宋体"/>
          <w:kern w:val="0"/>
          <w:lang w:val="zh-CN"/>
        </w:rPr>
        <w:t>本协议书自签署之日起生效，若未中标，自本次投标有效期结束后自行失效；若中标，自合同书规定的期限之后自行失效。</w:t>
      </w:r>
    </w:p>
    <w:p w14:paraId="2363F55A">
      <w:pPr>
        <w:snapToGrid w:val="0"/>
        <w:ind w:firstLine="576"/>
        <w:rPr>
          <w:rFonts w:hint="eastAsia" w:cs="宋体"/>
          <w:kern w:val="0"/>
          <w:lang w:val="zh-CN"/>
        </w:rPr>
      </w:pPr>
      <w:r>
        <w:rPr>
          <w:rFonts w:hint="eastAsia" w:cs="宋体"/>
          <w:kern w:val="0"/>
        </w:rPr>
        <w:t>6、</w:t>
      </w:r>
      <w:r>
        <w:rPr>
          <w:rFonts w:hint="eastAsia" w:cs="宋体"/>
          <w:kern w:val="0"/>
          <w:lang w:val="zh-CN"/>
        </w:rPr>
        <w:t>本协议书正本一式</w:t>
      </w:r>
      <w:r>
        <w:rPr>
          <w:rFonts w:hint="eastAsia" w:cs="宋体"/>
          <w:kern w:val="0"/>
          <w:u w:val="single"/>
          <w:lang w:val="zh-CN"/>
        </w:rPr>
        <w:t xml:space="preserve">    </w:t>
      </w:r>
      <w:r>
        <w:rPr>
          <w:rFonts w:hint="eastAsia" w:cs="宋体"/>
          <w:kern w:val="0"/>
          <w:lang w:val="zh-CN"/>
        </w:rPr>
        <w:t>份，联合体成员各执</w:t>
      </w:r>
      <w:r>
        <w:rPr>
          <w:rFonts w:hint="eastAsia" w:cs="宋体"/>
          <w:kern w:val="0"/>
          <w:u w:val="single"/>
          <w:lang w:val="zh-CN"/>
        </w:rPr>
        <w:t xml:space="preserve">    </w:t>
      </w:r>
      <w:r>
        <w:rPr>
          <w:rFonts w:hint="eastAsia" w:cs="宋体"/>
          <w:kern w:val="0"/>
          <w:lang w:val="zh-CN"/>
        </w:rPr>
        <w:t>份；副本一式</w:t>
      </w:r>
      <w:r>
        <w:rPr>
          <w:rFonts w:hint="eastAsia" w:cs="宋体"/>
          <w:kern w:val="0"/>
          <w:u w:val="single"/>
          <w:lang w:val="zh-CN"/>
        </w:rPr>
        <w:t xml:space="preserve">    </w:t>
      </w:r>
      <w:r>
        <w:rPr>
          <w:rFonts w:hint="eastAsia" w:cs="宋体"/>
          <w:kern w:val="0"/>
          <w:lang w:val="zh-CN"/>
        </w:rPr>
        <w:t>份，联合体成员各执</w:t>
      </w:r>
      <w:r>
        <w:rPr>
          <w:rFonts w:hint="eastAsia" w:cs="宋体"/>
          <w:kern w:val="0"/>
          <w:u w:val="single"/>
          <w:lang w:val="zh-CN"/>
        </w:rPr>
        <w:t xml:space="preserve">     </w:t>
      </w:r>
      <w:r>
        <w:rPr>
          <w:rFonts w:hint="eastAsia" w:cs="宋体"/>
          <w:kern w:val="0"/>
          <w:lang w:val="zh-CN"/>
        </w:rPr>
        <w:t>份。</w:t>
      </w:r>
    </w:p>
    <w:p w14:paraId="4CC84121">
      <w:pPr>
        <w:snapToGrid w:val="0"/>
        <w:ind w:firstLine="576"/>
        <w:rPr>
          <w:rFonts w:hint="eastAsia" w:cs="宋体"/>
          <w:kern w:val="0"/>
          <w:lang w:val="zh-CN"/>
        </w:rPr>
      </w:pPr>
    </w:p>
    <w:p w14:paraId="39777B1C">
      <w:pPr>
        <w:snapToGrid w:val="0"/>
        <w:ind w:firstLine="576"/>
        <w:rPr>
          <w:rFonts w:hint="eastAsia" w:cs="宋体"/>
          <w:kern w:val="0"/>
          <w:lang w:val="zh-CN"/>
        </w:rPr>
      </w:pPr>
    </w:p>
    <w:p w14:paraId="37BABF22">
      <w:pPr>
        <w:snapToGrid w:val="0"/>
        <w:ind w:firstLine="3840" w:firstLineChars="1600"/>
        <w:rPr>
          <w:rFonts w:hint="eastAsia" w:cs="宋体"/>
          <w:kern w:val="0"/>
          <w:lang w:val="zh-CN"/>
        </w:rPr>
      </w:pPr>
      <w:r>
        <w:rPr>
          <w:rFonts w:hint="eastAsia" w:cs="宋体"/>
          <w:kern w:val="0"/>
          <w:lang w:val="zh-CN"/>
        </w:rPr>
        <w:t>联合体成员</w:t>
      </w:r>
      <w:r>
        <w:rPr>
          <w:rFonts w:hint="eastAsia" w:cs="宋体"/>
          <w:kern w:val="0"/>
        </w:rPr>
        <w:t>1</w:t>
      </w:r>
      <w:r>
        <w:rPr>
          <w:rFonts w:hint="eastAsia" w:cs="宋体"/>
          <w:kern w:val="0"/>
          <w:lang w:val="zh-CN"/>
        </w:rPr>
        <w:t>名称</w:t>
      </w:r>
      <w:r>
        <w:rPr>
          <w:rFonts w:hint="eastAsia" w:cs="仿宋_GB2312"/>
          <w:szCs w:val="24"/>
        </w:rPr>
        <w:t>（</w:t>
      </w:r>
      <w:r>
        <w:rPr>
          <w:rFonts w:hint="eastAsia" w:cs="宋体"/>
          <w:kern w:val="0"/>
          <w:szCs w:val="24"/>
        </w:rPr>
        <w:t>公章</w:t>
      </w:r>
      <w:r>
        <w:rPr>
          <w:rFonts w:hint="eastAsia" w:cs="宋体"/>
          <w:kern w:val="0"/>
          <w:lang w:val="zh-CN"/>
        </w:rPr>
        <w:t>)：</w:t>
      </w:r>
    </w:p>
    <w:p w14:paraId="12434CA7">
      <w:pPr>
        <w:snapToGrid w:val="0"/>
        <w:ind w:firstLine="3840" w:firstLineChars="1600"/>
        <w:rPr>
          <w:rFonts w:hint="eastAsia" w:cs="宋体"/>
          <w:kern w:val="0"/>
          <w:lang w:val="zh-CN"/>
        </w:rPr>
      </w:pPr>
      <w:r>
        <w:rPr>
          <w:rFonts w:hint="eastAsia" w:cs="宋体"/>
          <w:kern w:val="0"/>
          <w:lang w:val="zh-CN"/>
        </w:rPr>
        <w:t>联合体成员</w:t>
      </w:r>
      <w:r>
        <w:rPr>
          <w:rFonts w:hint="eastAsia" w:cs="宋体"/>
          <w:kern w:val="0"/>
        </w:rPr>
        <w:t>2</w:t>
      </w:r>
      <w:r>
        <w:rPr>
          <w:rFonts w:hint="eastAsia" w:cs="宋体"/>
          <w:kern w:val="0"/>
          <w:lang w:val="zh-CN"/>
        </w:rPr>
        <w:t>名称</w:t>
      </w:r>
      <w:r>
        <w:rPr>
          <w:rFonts w:hint="eastAsia" w:cs="仿宋_GB2312"/>
          <w:szCs w:val="24"/>
        </w:rPr>
        <w:t>（</w:t>
      </w:r>
      <w:r>
        <w:rPr>
          <w:rFonts w:hint="eastAsia" w:cs="宋体"/>
          <w:kern w:val="0"/>
          <w:szCs w:val="24"/>
        </w:rPr>
        <w:t>公章</w:t>
      </w:r>
      <w:r>
        <w:rPr>
          <w:rFonts w:hint="eastAsia" w:cs="宋体"/>
          <w:kern w:val="0"/>
          <w:lang w:val="zh-CN"/>
        </w:rPr>
        <w:t>)：</w:t>
      </w:r>
    </w:p>
    <w:p w14:paraId="3AE05937">
      <w:pPr>
        <w:snapToGrid w:val="0"/>
        <w:ind w:right="960"/>
        <w:jc w:val="center"/>
        <w:rPr>
          <w:rFonts w:hint="eastAsia" w:cs="宋体"/>
          <w:kern w:val="0"/>
          <w:lang w:val="zh-CN"/>
        </w:rPr>
      </w:pPr>
      <w:r>
        <w:rPr>
          <w:rFonts w:hint="eastAsia" w:cs="宋体"/>
          <w:kern w:val="0"/>
          <w:lang w:val="zh-CN"/>
        </w:rPr>
        <w:t xml:space="preserve">                   ……</w:t>
      </w:r>
    </w:p>
    <w:p w14:paraId="4BCB75CF">
      <w:pPr>
        <w:snapToGrid w:val="0"/>
        <w:jc w:val="right"/>
        <w:rPr>
          <w:rFonts w:hint="eastAsia" w:cs="宋体"/>
          <w:kern w:val="0"/>
          <w:lang w:val="zh-CN"/>
        </w:rPr>
      </w:pPr>
      <w:r>
        <w:rPr>
          <w:rFonts w:hint="eastAsia" w:cs="宋体"/>
          <w:kern w:val="0"/>
          <w:lang w:val="zh-CN"/>
        </w:rPr>
        <w:t>日期：  年  月   日</w:t>
      </w:r>
    </w:p>
    <w:p w14:paraId="57737671">
      <w:pPr>
        <w:ind w:right="420"/>
        <w:rPr>
          <w:rFonts w:hint="eastAsia" w:cs="宋体"/>
          <w:sz w:val="21"/>
          <w:szCs w:val="21"/>
        </w:rPr>
      </w:pPr>
      <w:r>
        <w:rPr>
          <w:rFonts w:hint="eastAsia" w:cs="宋体"/>
          <w:sz w:val="21"/>
          <w:szCs w:val="21"/>
        </w:rPr>
        <w:t>注：按本格式和要求提供。</w:t>
      </w:r>
    </w:p>
    <w:p w14:paraId="0393AAA4">
      <w:pPr>
        <w:spacing w:before="120" w:beforeLines="50" w:after="120" w:afterLines="50"/>
        <w:ind w:left="2520" w:leftChars="1050"/>
        <w:rPr>
          <w:rFonts w:hint="eastAsia" w:cs="Tahoma"/>
          <w:u w:val="single"/>
        </w:rPr>
      </w:pPr>
      <w:r>
        <w:rPr>
          <w:rFonts w:cs="Tahoma"/>
          <w:u w:val="single"/>
        </w:rPr>
        <w:br w:type="page"/>
      </w:r>
    </w:p>
    <w:p w14:paraId="53060408">
      <w:pPr>
        <w:pStyle w:val="4"/>
        <w:rPr>
          <w:rFonts w:hint="eastAsia"/>
          <w:sz w:val="28"/>
          <w:szCs w:val="28"/>
          <w:lang w:val="zh-CN"/>
        </w:rPr>
      </w:pPr>
      <w:bookmarkStart w:id="628" w:name="_Toc162299566"/>
      <w:bookmarkStart w:id="629" w:name="_Toc20320"/>
      <w:bookmarkStart w:id="630" w:name="_Toc156490356"/>
      <w:bookmarkStart w:id="631" w:name="_Toc10975"/>
      <w:bookmarkStart w:id="632" w:name="_Hlk101169080"/>
      <w:r>
        <w:rPr>
          <w:rFonts w:hint="eastAsia"/>
          <w:sz w:val="28"/>
          <w:szCs w:val="28"/>
        </w:rPr>
        <w:t>三、</w:t>
      </w:r>
      <w:r>
        <w:rPr>
          <w:rFonts w:hint="eastAsia"/>
          <w:sz w:val="28"/>
          <w:szCs w:val="28"/>
          <w:lang w:val="zh-CN"/>
        </w:rPr>
        <w:t>分包意向协议书【如适用】</w:t>
      </w:r>
      <w:bookmarkEnd w:id="628"/>
      <w:bookmarkEnd w:id="629"/>
      <w:bookmarkEnd w:id="630"/>
      <w:bookmarkEnd w:id="631"/>
    </w:p>
    <w:p w14:paraId="28D5986D">
      <w:pPr>
        <w:snapToGrid w:val="0"/>
        <w:jc w:val="center"/>
        <w:outlineLvl w:val="0"/>
        <w:rPr>
          <w:rFonts w:hint="eastAsia" w:cs="宋体"/>
          <w:b/>
          <w:kern w:val="0"/>
          <w:sz w:val="32"/>
          <w:szCs w:val="32"/>
        </w:rPr>
      </w:pPr>
      <w:bookmarkStart w:id="633" w:name="_Toc14674"/>
      <w:bookmarkStart w:id="634" w:name="_Toc3174"/>
      <w:bookmarkStart w:id="635" w:name="_Toc18859"/>
      <w:r>
        <w:rPr>
          <w:rFonts w:hint="eastAsia" w:cs="宋体"/>
          <w:b/>
          <w:kern w:val="0"/>
          <w:sz w:val="32"/>
          <w:szCs w:val="32"/>
        </w:rPr>
        <w:t>分包意向协议书</w:t>
      </w:r>
      <w:bookmarkEnd w:id="633"/>
      <w:bookmarkEnd w:id="634"/>
      <w:bookmarkEnd w:id="635"/>
    </w:p>
    <w:p w14:paraId="25454832">
      <w:pPr>
        <w:widowControl/>
        <w:ind w:firstLine="120" w:firstLineChars="50"/>
        <w:rPr>
          <w:rFonts w:hint="eastAsia" w:cs="宋体"/>
        </w:rPr>
      </w:pPr>
      <w:r>
        <w:rPr>
          <w:rFonts w:hint="eastAsia" w:cs="宋体"/>
        </w:rPr>
        <w:t>【</w:t>
      </w:r>
      <w:r>
        <w:rPr>
          <w:rFonts w:hint="eastAsia" w:cs="宋体"/>
          <w:b/>
        </w:rPr>
        <w:t>中标后以分包方式履行合同的，提供分包意向协议书；采购人不同意分包或者投标人中标后不以分包方式履行合同的，则不需要提供。</w:t>
      </w:r>
      <w:r>
        <w:rPr>
          <w:rFonts w:hint="eastAsia" w:cs="宋体"/>
        </w:rPr>
        <w:t>】</w:t>
      </w:r>
    </w:p>
    <w:p w14:paraId="6DEF5B49">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若成为</w:t>
      </w:r>
      <w:r>
        <w:rPr>
          <w:rFonts w:hint="eastAsia" w:cs="宋体"/>
        </w:rPr>
        <w:t>（项目名称）【项目编号/包号：  】</w:t>
      </w:r>
      <w:r>
        <w:rPr>
          <w:rFonts w:hint="eastAsia" w:cs="宋体"/>
          <w:kern w:val="0"/>
          <w:lang w:val="zh-CN"/>
        </w:rPr>
        <w:t>的中标供应商，将依法采取分包方式履行合同。</w:t>
      </w:r>
      <w:r>
        <w:rPr>
          <w:rFonts w:hint="eastAsia" w:cs="宋体"/>
          <w:kern w:val="0"/>
          <w:u w:val="single"/>
        </w:rPr>
        <w:t>（投标人名称）</w:t>
      </w:r>
      <w:r>
        <w:rPr>
          <w:rFonts w:hint="eastAsia" w:cs="宋体"/>
          <w:kern w:val="0"/>
        </w:rPr>
        <w:t>与</w:t>
      </w:r>
      <w:r>
        <w:rPr>
          <w:rFonts w:hint="eastAsia" w:cs="宋体"/>
          <w:kern w:val="0"/>
          <w:u w:val="single"/>
        </w:rPr>
        <w:t>（所有分包供应商名称）</w:t>
      </w:r>
      <w:r>
        <w:rPr>
          <w:rFonts w:hint="eastAsia" w:cs="宋体"/>
          <w:kern w:val="0"/>
        </w:rPr>
        <w:t>达成分包意向协议书</w:t>
      </w:r>
      <w:r>
        <w:rPr>
          <w:rFonts w:hint="eastAsia" w:cs="宋体"/>
          <w:kern w:val="0"/>
          <w:lang w:val="zh-CN"/>
        </w:rPr>
        <w:t xml:space="preserve">。 </w:t>
      </w:r>
    </w:p>
    <w:p w14:paraId="128DF768">
      <w:pPr>
        <w:snapToGrid w:val="0"/>
        <w:ind w:firstLine="576"/>
        <w:rPr>
          <w:rFonts w:hint="eastAsia" w:cs="宋体"/>
          <w:kern w:val="0"/>
          <w:lang w:val="zh-CN"/>
        </w:rPr>
      </w:pPr>
      <w:r>
        <w:rPr>
          <w:rFonts w:hint="eastAsia" w:cs="宋体"/>
          <w:kern w:val="0"/>
          <w:lang w:val="zh-CN"/>
        </w:rPr>
        <w:t>一、分包标的及数量</w:t>
      </w:r>
    </w:p>
    <w:p w14:paraId="6B591C3B">
      <w:pPr>
        <w:snapToGrid w:val="0"/>
        <w:ind w:firstLine="576"/>
        <w:rPr>
          <w:rFonts w:hint="eastAsia" w:cs="宋体"/>
          <w:kern w:val="0"/>
          <w:lang w:val="zh-CN"/>
        </w:rPr>
      </w:pPr>
      <w:r>
        <w:rPr>
          <w:rFonts w:hint="eastAsia" w:cs="宋体"/>
          <w:kern w:val="0"/>
          <w:u w:val="single"/>
        </w:rPr>
        <w:t>（投标人名称）</w:t>
      </w:r>
      <w:r>
        <w:rPr>
          <w:rFonts w:hint="eastAsia" w:cs="宋体"/>
          <w:kern w:val="0"/>
          <w:lang w:val="zh-CN"/>
        </w:rPr>
        <w:t>将</w:t>
      </w:r>
      <w:r>
        <w:rPr>
          <w:rFonts w:hint="eastAsia" w:cs="宋体"/>
          <w:u w:val="single"/>
        </w:rPr>
        <w:t xml:space="preserve"> </w:t>
      </w:r>
      <w:r>
        <w:rPr>
          <w:rFonts w:cs="宋体"/>
          <w:kern w:val="0"/>
          <w:u w:val="single"/>
        </w:rPr>
        <w:t xml:space="preserve">  XX工作内容   </w:t>
      </w:r>
      <w:r>
        <w:rPr>
          <w:rFonts w:hint="eastAsia" w:cs="宋体"/>
        </w:rPr>
        <w:t>分包给</w:t>
      </w:r>
      <w:r>
        <w:rPr>
          <w:rFonts w:hint="eastAsia" w:cs="宋体"/>
          <w:kern w:val="0"/>
          <w:u w:val="single"/>
        </w:rPr>
        <w:t>（分包供应商1名称）</w:t>
      </w:r>
      <w:r>
        <w:rPr>
          <w:rFonts w:hint="eastAsia" w:cs="宋体"/>
          <w:kern w:val="0"/>
          <w:lang w:val="zh-CN"/>
        </w:rPr>
        <w:t>，</w:t>
      </w:r>
      <w:r>
        <w:rPr>
          <w:rFonts w:hint="eastAsia" w:cs="宋体"/>
          <w:kern w:val="0"/>
          <w:u w:val="single"/>
        </w:rPr>
        <w:t>（分包供应商1名称），</w:t>
      </w:r>
      <w:r>
        <w:rPr>
          <w:rFonts w:hint="eastAsia" w:cs="宋体"/>
          <w:kern w:val="0"/>
          <w:lang w:val="zh-CN"/>
        </w:rPr>
        <w:t>具备承</w:t>
      </w:r>
      <w:r>
        <w:rPr>
          <w:rFonts w:hint="eastAsia" w:cs="宋体"/>
          <w:kern w:val="0"/>
        </w:rPr>
        <w:t>担</w:t>
      </w:r>
      <w:r>
        <w:rPr>
          <w:rFonts w:hint="eastAsia" w:cs="宋体"/>
          <w:kern w:val="0"/>
          <w:u w:val="single"/>
          <w:lang w:val="zh-CN"/>
        </w:rPr>
        <w:t>XX工作内容</w:t>
      </w:r>
      <w:r>
        <w:rPr>
          <w:rFonts w:hint="eastAsia" w:cs="宋体"/>
          <w:kern w:val="0"/>
          <w:lang w:val="zh-CN"/>
        </w:rPr>
        <w:t>相应资质条件且不得再次分包；</w:t>
      </w:r>
    </w:p>
    <w:p w14:paraId="549D0043">
      <w:pPr>
        <w:pStyle w:val="4"/>
        <w:tabs>
          <w:tab w:val="left" w:pos="432"/>
        </w:tabs>
        <w:ind w:left="758" w:leftChars="316" w:firstLine="229" w:firstLineChars="95"/>
        <w:rPr>
          <w:rFonts w:hint="eastAsia" w:ascii="宋体" w:hAnsi="宋体" w:cs="宋体"/>
          <w:kern w:val="0"/>
          <w:sz w:val="24"/>
          <w:szCs w:val="24"/>
        </w:rPr>
      </w:pPr>
      <w:bookmarkStart w:id="636" w:name="_Toc9911"/>
      <w:bookmarkStart w:id="637" w:name="_Toc7532"/>
      <w:bookmarkStart w:id="638" w:name="_Toc20300"/>
      <w:r>
        <w:rPr>
          <w:rFonts w:hint="eastAsia" w:ascii="宋体" w:hAnsi="宋体" w:cs="宋体"/>
          <w:kern w:val="0"/>
          <w:sz w:val="24"/>
          <w:szCs w:val="24"/>
        </w:rPr>
        <w:t>……</w:t>
      </w:r>
      <w:bookmarkEnd w:id="636"/>
      <w:bookmarkEnd w:id="637"/>
      <w:bookmarkEnd w:id="638"/>
    </w:p>
    <w:p w14:paraId="261FFBDC">
      <w:pPr>
        <w:snapToGrid w:val="0"/>
        <w:ind w:firstLine="576"/>
        <w:rPr>
          <w:rFonts w:hint="eastAsia" w:cs="宋体"/>
          <w:kern w:val="0"/>
          <w:lang w:val="zh-CN"/>
        </w:rPr>
      </w:pPr>
      <w:r>
        <w:rPr>
          <w:rFonts w:hint="eastAsia" w:cs="宋体"/>
          <w:kern w:val="0"/>
          <w:lang w:val="zh-CN"/>
        </w:rPr>
        <w:t>二、分包供应商中小企业合同份额</w:t>
      </w:r>
    </w:p>
    <w:p w14:paraId="340DE184">
      <w:pPr>
        <w:snapToGrid w:val="0"/>
        <w:ind w:firstLine="576"/>
        <w:rPr>
          <w:rFonts w:hint="eastAsia" w:cs="宋体"/>
          <w:b/>
          <w:kern w:val="0"/>
          <w:lang w:val="zh-CN"/>
        </w:rPr>
      </w:pPr>
      <w:r>
        <w:rPr>
          <w:rFonts w:cs="宋体"/>
          <w:kern w:val="0"/>
        </w:rPr>
        <w:t>1、</w:t>
      </w:r>
      <w:r>
        <w:rPr>
          <w:rFonts w:hint="eastAsia" w:cs="宋体"/>
          <w:kern w:val="0"/>
          <w:u w:val="single"/>
        </w:rPr>
        <w:t>（分包供应商X</w:t>
      </w:r>
      <w:r>
        <w:rPr>
          <w:rFonts w:cs="宋体"/>
          <w:kern w:val="0"/>
          <w:u w:val="single"/>
        </w:rPr>
        <w:t>,</w:t>
      </w:r>
      <w:r>
        <w:rPr>
          <w:rFonts w:hint="eastAsia" w:cs="宋体"/>
          <w:kern w:val="0"/>
          <w:u w:val="single"/>
        </w:rPr>
        <w:t>……）提供的服务全部由小微企业承担，</w:t>
      </w:r>
      <w:r>
        <w:rPr>
          <w:rFonts w:hint="eastAsia" w:cs="宋体"/>
          <w:kern w:val="0"/>
        </w:rPr>
        <w:t>其合同份额占到合同总金额</w:t>
      </w:r>
      <w:r>
        <w:rPr>
          <w:rFonts w:hint="eastAsia" w:cs="宋体"/>
          <w:kern w:val="0"/>
          <w:u w:val="single"/>
        </w:rPr>
        <w:t xml:space="preserve">     </w:t>
      </w:r>
      <w:r>
        <w:rPr>
          <w:rFonts w:hint="eastAsia" w:cs="宋体"/>
          <w:kern w:val="0"/>
        </w:rPr>
        <w:t>%以上</w:t>
      </w:r>
      <w:r>
        <w:rPr>
          <w:rFonts w:hint="eastAsia" w:cs="宋体"/>
        </w:rPr>
        <w:t>。</w:t>
      </w:r>
      <w:r>
        <w:rPr>
          <w:rFonts w:hint="eastAsia" w:cs="宋体"/>
          <w:b/>
          <w:kern w:val="0"/>
          <w:lang w:val="zh-CN"/>
        </w:rPr>
        <w:t>（未预留份额专门面向中小企业采购的采购项目，以及预留份额中的非预留部分采购包，允许分包的，分包意向协议</w:t>
      </w:r>
      <w:r>
        <w:rPr>
          <w:rFonts w:hint="eastAsia" w:cs="宋体"/>
          <w:b/>
          <w:kern w:val="0"/>
        </w:rPr>
        <w:t>书</w:t>
      </w:r>
      <w:r>
        <w:rPr>
          <w:rFonts w:hint="eastAsia" w:cs="宋体"/>
          <w:b/>
          <w:kern w:val="0"/>
          <w:lang w:val="zh-CN"/>
        </w:rPr>
        <w:t>约定小微企业的合同份额占到合同总金额30%以上的，对大中型企业的报价按评标标准确定的比例给予扣除。供应商</w:t>
      </w:r>
      <w:r>
        <w:rPr>
          <w:rFonts w:hint="eastAsia" w:cs="宋体"/>
          <w:b/>
        </w:rPr>
        <w:t>拟享受以上价格扣除政策的，填写有关内容。</w:t>
      </w:r>
      <w:r>
        <w:rPr>
          <w:rFonts w:hint="eastAsia" w:cs="宋体"/>
          <w:b/>
          <w:kern w:val="0"/>
          <w:lang w:val="zh-CN"/>
        </w:rPr>
        <w:t>）</w:t>
      </w:r>
    </w:p>
    <w:p w14:paraId="13916072">
      <w:pPr>
        <w:ind w:firstLine="480" w:firstLineChars="200"/>
        <w:rPr>
          <w:rFonts w:hint="eastAsia" w:cs="宋体"/>
          <w:b/>
          <w:bCs/>
          <w:kern w:val="0"/>
          <w:lang w:val="zh-CN"/>
        </w:rPr>
      </w:pPr>
      <w:r>
        <w:rPr>
          <w:rFonts w:hint="eastAsia" w:cs="宋体"/>
        </w:rPr>
        <w:t>2、</w:t>
      </w:r>
      <w:bookmarkStart w:id="639" w:name="_Hlk101133173"/>
      <w:r>
        <w:rPr>
          <w:rFonts w:hint="eastAsia" w:cs="宋体"/>
        </w:rPr>
        <w:t>中小企业合同金额达到</w:t>
      </w:r>
      <w:r>
        <w:rPr>
          <w:rFonts w:hint="eastAsia" w:cs="宋体"/>
          <w:u w:val="single"/>
        </w:rPr>
        <w:t xml:space="preserve">  </w:t>
      </w:r>
      <w:r>
        <w:rPr>
          <w:rFonts w:hint="eastAsia" w:cs="宋体"/>
        </w:rPr>
        <w:t>%，其中小微企业合同金额达到</w:t>
      </w:r>
      <w:r>
        <w:rPr>
          <w:rFonts w:hint="eastAsia" w:cs="宋体"/>
          <w:u w:val="single"/>
        </w:rPr>
        <w:t xml:space="preserve"> </w:t>
      </w:r>
      <w:r>
        <w:rPr>
          <w:rFonts w:hint="eastAsia" w:cs="宋体"/>
        </w:rPr>
        <w:t>%</w:t>
      </w:r>
      <w:r>
        <w:rPr>
          <w:rFonts w:hint="eastAsia" w:cs="宋体"/>
          <w:kern w:val="0"/>
          <w:lang w:val="zh-CN"/>
        </w:rPr>
        <w:t>。</w:t>
      </w:r>
      <w:r>
        <w:rPr>
          <w:rFonts w:hint="eastAsia" w:cs="宋体"/>
          <w:b/>
          <w:bCs/>
          <w:kern w:val="0"/>
          <w:lang w:val="zh-CN"/>
        </w:rPr>
        <w:t>（</w:t>
      </w:r>
      <w:r>
        <w:rPr>
          <w:rFonts w:hint="eastAsia" w:cs="宋体"/>
          <w:b/>
          <w:bCs/>
        </w:rPr>
        <w:t>要求合同分包形式参加的项目或采购包，供应商按招标文件第一部分招标公告申请人的资格要求中规定的</w:t>
      </w:r>
      <w:r>
        <w:rPr>
          <w:rFonts w:hint="eastAsia" w:cs="宋体"/>
          <w:b/>
          <w:kern w:val="0"/>
          <w:lang w:val="zh-CN"/>
        </w:rPr>
        <w:t>分包意向协议</w:t>
      </w:r>
      <w:r>
        <w:rPr>
          <w:rFonts w:hint="eastAsia" w:cs="宋体"/>
          <w:b/>
          <w:kern w:val="0"/>
        </w:rPr>
        <w:t>书</w:t>
      </w:r>
      <w:r>
        <w:rPr>
          <w:rFonts w:hint="eastAsia" w:cs="宋体"/>
          <w:b/>
          <w:bCs/>
        </w:rPr>
        <w:t>中中小企业、小微企业合同金额应当达到的比例要求填写。</w:t>
      </w:r>
      <w:r>
        <w:rPr>
          <w:rFonts w:hint="eastAsia" w:cs="宋体"/>
          <w:b/>
          <w:bCs/>
          <w:kern w:val="0"/>
          <w:lang w:val="zh-CN"/>
        </w:rPr>
        <w:t>）</w:t>
      </w:r>
      <w:bookmarkEnd w:id="639"/>
    </w:p>
    <w:p w14:paraId="4B2DA093">
      <w:pPr>
        <w:snapToGrid w:val="0"/>
        <w:ind w:firstLine="576"/>
        <w:rPr>
          <w:rFonts w:hint="eastAsia" w:cs="宋体"/>
          <w:kern w:val="0"/>
          <w:lang w:val="zh-CN"/>
        </w:rPr>
      </w:pPr>
      <w:r>
        <w:rPr>
          <w:rFonts w:hint="eastAsia" w:cs="宋体"/>
          <w:kern w:val="0"/>
          <w:lang w:val="zh-CN"/>
        </w:rPr>
        <w:t>三、分包工作履行期限、地点、方式</w:t>
      </w:r>
    </w:p>
    <w:p w14:paraId="3075F2DB">
      <w:pPr>
        <w:snapToGrid w:val="0"/>
        <w:ind w:firstLine="576"/>
        <w:rPr>
          <w:rFonts w:hint="eastAsia" w:cs="宋体"/>
          <w:u w:val="single"/>
        </w:rPr>
      </w:pPr>
      <w:r>
        <w:rPr>
          <w:rFonts w:hint="eastAsia" w:cs="宋体"/>
          <w:u w:val="single"/>
        </w:rPr>
        <w:t xml:space="preserve">                                                                                  </w:t>
      </w:r>
    </w:p>
    <w:p w14:paraId="37F29207">
      <w:pPr>
        <w:snapToGrid w:val="0"/>
        <w:ind w:firstLine="576"/>
        <w:rPr>
          <w:rFonts w:hint="eastAsia" w:cs="宋体"/>
          <w:kern w:val="0"/>
          <w:lang w:val="zh-CN"/>
        </w:rPr>
      </w:pPr>
      <w:r>
        <w:rPr>
          <w:rFonts w:hint="eastAsia" w:cs="宋体"/>
          <w:kern w:val="0"/>
          <w:lang w:val="zh-CN"/>
        </w:rPr>
        <w:t>四、质量</w:t>
      </w:r>
    </w:p>
    <w:p w14:paraId="6FD8E18B">
      <w:pPr>
        <w:snapToGrid w:val="0"/>
        <w:ind w:firstLine="576"/>
        <w:rPr>
          <w:rFonts w:hint="eastAsia" w:cs="宋体"/>
          <w:kern w:val="0"/>
          <w:lang w:val="zh-CN"/>
        </w:rPr>
      </w:pPr>
      <w:r>
        <w:rPr>
          <w:rFonts w:hint="eastAsia" w:cs="宋体"/>
          <w:u w:val="single"/>
        </w:rPr>
        <w:t xml:space="preserve">                                                                                       </w:t>
      </w:r>
    </w:p>
    <w:p w14:paraId="6E518AE1">
      <w:pPr>
        <w:snapToGrid w:val="0"/>
        <w:ind w:firstLine="576"/>
        <w:rPr>
          <w:rFonts w:hint="eastAsia" w:cs="宋体"/>
          <w:kern w:val="0"/>
          <w:lang w:val="zh-CN"/>
        </w:rPr>
      </w:pPr>
      <w:r>
        <w:rPr>
          <w:rFonts w:hint="eastAsia" w:cs="宋体"/>
          <w:kern w:val="0"/>
          <w:lang w:val="zh-CN"/>
        </w:rPr>
        <w:t>五、价款或者报酬</w:t>
      </w:r>
    </w:p>
    <w:p w14:paraId="4949BD78">
      <w:pPr>
        <w:snapToGrid w:val="0"/>
        <w:ind w:left="655" w:leftChars="273"/>
        <w:rPr>
          <w:rFonts w:hint="eastAsia" w:cs="宋体"/>
          <w:kern w:val="0"/>
          <w:lang w:val="zh-CN"/>
        </w:rPr>
      </w:pPr>
      <w:r>
        <w:rPr>
          <w:rFonts w:hint="eastAsia" w:cs="宋体"/>
          <w:u w:val="single"/>
        </w:rPr>
        <w:t xml:space="preserve">                                                                                     </w:t>
      </w:r>
    </w:p>
    <w:p w14:paraId="2CF67571">
      <w:pPr>
        <w:snapToGrid w:val="0"/>
        <w:ind w:left="655" w:leftChars="273"/>
        <w:rPr>
          <w:rFonts w:hint="eastAsia" w:cs="宋体"/>
          <w:kern w:val="0"/>
          <w:lang w:val="zh-CN"/>
        </w:rPr>
      </w:pPr>
      <w:r>
        <w:rPr>
          <w:rFonts w:hint="eastAsia" w:cs="宋体"/>
          <w:kern w:val="0"/>
          <w:lang w:val="zh-CN"/>
        </w:rPr>
        <w:t>六、违约责任</w:t>
      </w:r>
    </w:p>
    <w:p w14:paraId="06044985">
      <w:pPr>
        <w:snapToGrid w:val="0"/>
        <w:ind w:firstLine="576"/>
        <w:rPr>
          <w:rFonts w:hint="eastAsia" w:cs="宋体"/>
          <w:kern w:val="0"/>
          <w:lang w:val="zh-CN"/>
        </w:rPr>
      </w:pPr>
      <w:r>
        <w:rPr>
          <w:rFonts w:hint="eastAsia" w:cs="宋体"/>
          <w:u w:val="single"/>
        </w:rPr>
        <w:t xml:space="preserve">                                                                                     </w:t>
      </w:r>
    </w:p>
    <w:p w14:paraId="6D852225">
      <w:pPr>
        <w:snapToGrid w:val="0"/>
        <w:ind w:firstLine="576"/>
        <w:rPr>
          <w:rFonts w:hint="eastAsia" w:cs="宋体"/>
          <w:kern w:val="0"/>
          <w:lang w:val="zh-CN"/>
        </w:rPr>
      </w:pPr>
      <w:r>
        <w:rPr>
          <w:rFonts w:hint="eastAsia" w:cs="宋体"/>
          <w:kern w:val="0"/>
          <w:lang w:val="zh-CN"/>
        </w:rPr>
        <w:t>七、争议解决的办法</w:t>
      </w:r>
    </w:p>
    <w:p w14:paraId="277BD370">
      <w:pPr>
        <w:snapToGrid w:val="0"/>
        <w:ind w:firstLine="576"/>
        <w:rPr>
          <w:rFonts w:hint="eastAsia" w:cs="宋体"/>
          <w:kern w:val="0"/>
          <w:lang w:val="zh-CN"/>
        </w:rPr>
      </w:pPr>
      <w:r>
        <w:rPr>
          <w:rFonts w:hint="eastAsia" w:cs="宋体"/>
          <w:u w:val="single"/>
        </w:rPr>
        <w:t xml:space="preserve">                                                                                  </w:t>
      </w:r>
    </w:p>
    <w:p w14:paraId="546B3C0A">
      <w:pPr>
        <w:snapToGrid w:val="0"/>
        <w:ind w:left="5861" w:leftChars="342" w:hanging="5040" w:hangingChars="2100"/>
        <w:rPr>
          <w:rFonts w:hint="eastAsia" w:cs="宋体"/>
          <w:kern w:val="0"/>
          <w:lang w:val="zh-CN"/>
        </w:rPr>
      </w:pPr>
      <w:r>
        <w:rPr>
          <w:rFonts w:hint="eastAsia" w:cs="宋体"/>
          <w:kern w:val="0"/>
          <w:lang w:val="zh-CN"/>
        </w:rPr>
        <w:t xml:space="preserve">                                   </w:t>
      </w:r>
      <w:r>
        <w:rPr>
          <w:rFonts w:hint="eastAsia" w:cs="宋体"/>
          <w:kern w:val="0"/>
        </w:rPr>
        <w:t xml:space="preserve">     </w:t>
      </w:r>
      <w:r>
        <w:rPr>
          <w:rFonts w:hint="eastAsia" w:cs="宋体"/>
          <w:kern w:val="0"/>
          <w:lang w:val="zh-CN"/>
        </w:rPr>
        <w:t xml:space="preserve">  投标人名称</w:t>
      </w:r>
      <w:r>
        <w:rPr>
          <w:rFonts w:hint="eastAsia" w:cs="仿宋_GB2312"/>
          <w:szCs w:val="24"/>
        </w:rPr>
        <w:t>（</w:t>
      </w:r>
      <w:r>
        <w:rPr>
          <w:rFonts w:hint="eastAsia" w:cs="宋体"/>
          <w:kern w:val="0"/>
          <w:szCs w:val="24"/>
        </w:rPr>
        <w:t>公章</w:t>
      </w:r>
      <w:r>
        <w:rPr>
          <w:rFonts w:hint="eastAsia" w:cs="宋体"/>
          <w:kern w:val="0"/>
          <w:lang w:val="zh-CN"/>
        </w:rPr>
        <w:t>)：</w:t>
      </w:r>
    </w:p>
    <w:p w14:paraId="30EB28FF">
      <w:pPr>
        <w:snapToGrid w:val="0"/>
        <w:jc w:val="right"/>
        <w:rPr>
          <w:rFonts w:hint="eastAsia" w:cs="宋体"/>
          <w:kern w:val="0"/>
          <w:lang w:val="zh-CN"/>
        </w:rPr>
      </w:pPr>
      <w:r>
        <w:rPr>
          <w:rFonts w:hint="eastAsia" w:cs="宋体"/>
          <w:kern w:val="0"/>
          <w:lang w:val="zh-CN"/>
        </w:rPr>
        <w:t>分包供应商名称</w:t>
      </w:r>
      <w:r>
        <w:rPr>
          <w:rFonts w:hint="eastAsia" w:cs="仿宋_GB2312"/>
          <w:szCs w:val="24"/>
        </w:rPr>
        <w:t>（</w:t>
      </w:r>
      <w:r>
        <w:rPr>
          <w:rFonts w:hint="eastAsia" w:cs="宋体"/>
          <w:kern w:val="0"/>
          <w:szCs w:val="24"/>
        </w:rPr>
        <w:t>公章</w:t>
      </w:r>
      <w:r>
        <w:rPr>
          <w:rFonts w:hint="eastAsia" w:cs="宋体"/>
          <w:kern w:val="0"/>
          <w:lang w:val="zh-CN"/>
        </w:rPr>
        <w:t>)：</w:t>
      </w:r>
    </w:p>
    <w:p w14:paraId="48907E8D">
      <w:pPr>
        <w:snapToGrid w:val="0"/>
        <w:jc w:val="right"/>
        <w:rPr>
          <w:rFonts w:hint="eastAsia" w:cs="宋体"/>
          <w:kern w:val="0"/>
          <w:lang w:val="zh-CN"/>
        </w:rPr>
      </w:pPr>
    </w:p>
    <w:p w14:paraId="6A53BEBD">
      <w:pPr>
        <w:snapToGrid w:val="0"/>
        <w:ind w:firstLine="5760" w:firstLineChars="2400"/>
        <w:rPr>
          <w:rFonts w:hint="eastAsia" w:cs="宋体"/>
        </w:rPr>
      </w:pPr>
      <w:r>
        <w:rPr>
          <w:rFonts w:hint="eastAsia" w:cs="宋体"/>
          <w:kern w:val="0"/>
          <w:lang w:val="zh-CN"/>
        </w:rPr>
        <w:t>……</w:t>
      </w:r>
    </w:p>
    <w:p w14:paraId="29C9387F">
      <w:pPr>
        <w:jc w:val="center"/>
        <w:rPr>
          <w:rFonts w:hint="eastAsia" w:cs="宋体"/>
          <w:kern w:val="0"/>
          <w:lang w:val="zh-CN"/>
        </w:rPr>
      </w:pPr>
      <w:r>
        <w:rPr>
          <w:rFonts w:hint="eastAsia" w:cs="宋体"/>
          <w:kern w:val="0"/>
          <w:lang w:val="zh-CN"/>
        </w:rPr>
        <w:t xml:space="preserve">                                        日期：  年  月   日</w:t>
      </w:r>
    </w:p>
    <w:p w14:paraId="27891FD4">
      <w:pPr>
        <w:ind w:right="420"/>
        <w:rPr>
          <w:rFonts w:hint="eastAsia" w:cs="宋体"/>
        </w:rPr>
      </w:pPr>
      <w:r>
        <w:rPr>
          <w:rFonts w:hint="eastAsia" w:cs="宋体"/>
          <w:sz w:val="21"/>
          <w:szCs w:val="21"/>
        </w:rPr>
        <w:t>注：按本格式和要求提供。</w:t>
      </w:r>
    </w:p>
    <w:p w14:paraId="5296CAA0">
      <w:pPr>
        <w:topLinePunct/>
        <w:ind w:firstLine="480" w:firstLineChars="200"/>
        <w:rPr>
          <w:rFonts w:hint="eastAsia"/>
          <w:szCs w:val="32"/>
        </w:rPr>
      </w:pPr>
    </w:p>
    <w:p w14:paraId="7DE84851">
      <w:pPr>
        <w:topLinePunct/>
        <w:ind w:firstLine="480" w:firstLineChars="200"/>
        <w:rPr>
          <w:rFonts w:hint="eastAsia"/>
          <w:szCs w:val="32"/>
        </w:rPr>
      </w:pPr>
    </w:p>
    <w:p w14:paraId="532B56B7">
      <w:pPr>
        <w:topLinePunct/>
        <w:ind w:firstLine="480" w:firstLineChars="200"/>
        <w:rPr>
          <w:rFonts w:hint="eastAsia"/>
          <w:szCs w:val="32"/>
        </w:rPr>
      </w:pPr>
    </w:p>
    <w:p w14:paraId="40AA9E18">
      <w:pPr>
        <w:topLinePunct/>
        <w:ind w:firstLine="480" w:firstLineChars="200"/>
        <w:rPr>
          <w:rFonts w:hint="eastAsia"/>
          <w:szCs w:val="32"/>
        </w:rPr>
      </w:pPr>
    </w:p>
    <w:bookmarkEnd w:id="632"/>
    <w:p w14:paraId="6C7FE2F8">
      <w:pPr>
        <w:ind w:left="2520" w:leftChars="1050"/>
        <w:rPr>
          <w:rFonts w:hint="eastAsia"/>
        </w:rPr>
      </w:pPr>
      <w:r>
        <w:rPr>
          <w:rFonts w:cs="Courier New"/>
          <w:szCs w:val="24"/>
        </w:rPr>
        <w:br w:type="page"/>
      </w:r>
    </w:p>
    <w:p w14:paraId="013345A6">
      <w:pPr>
        <w:pStyle w:val="4"/>
        <w:rPr>
          <w:rFonts w:hint="eastAsia"/>
          <w:sz w:val="28"/>
          <w:szCs w:val="28"/>
        </w:rPr>
      </w:pPr>
      <w:bookmarkStart w:id="640" w:name="_Toc163492926"/>
      <w:bookmarkStart w:id="641" w:name="_Toc155185932"/>
      <w:bookmarkStart w:id="642" w:name="_Toc14524"/>
      <w:bookmarkStart w:id="643" w:name="_Toc30866"/>
      <w:r>
        <w:rPr>
          <w:rFonts w:hint="eastAsia"/>
          <w:sz w:val="28"/>
          <w:szCs w:val="28"/>
        </w:rPr>
        <w:t>四、</w:t>
      </w:r>
      <w:bookmarkEnd w:id="640"/>
      <w:bookmarkEnd w:id="641"/>
      <w:r>
        <w:rPr>
          <w:rFonts w:hint="eastAsia"/>
          <w:sz w:val="28"/>
          <w:szCs w:val="28"/>
        </w:rPr>
        <w:t>落实政府采购政策相关证明文件</w:t>
      </w:r>
      <w:bookmarkEnd w:id="642"/>
      <w:bookmarkEnd w:id="643"/>
    </w:p>
    <w:p w14:paraId="2703A708">
      <w:pPr>
        <w:pStyle w:val="5"/>
        <w:rPr>
          <w:rFonts w:hint="eastAsia"/>
          <w:sz w:val="24"/>
          <w:szCs w:val="24"/>
        </w:rPr>
      </w:pPr>
      <w:bookmarkStart w:id="644" w:name="_Toc163492938"/>
      <w:bookmarkStart w:id="645" w:name="_Toc18227"/>
      <w:r>
        <w:rPr>
          <w:rFonts w:hint="eastAsia"/>
          <w:sz w:val="24"/>
          <w:szCs w:val="24"/>
        </w:rPr>
        <w:t>（一）节能环保产品清单及证明材料【如适用】</w:t>
      </w:r>
      <w:bookmarkEnd w:id="644"/>
      <w:bookmarkEnd w:id="645"/>
    </w:p>
    <w:p w14:paraId="522B9A73">
      <w:pPr>
        <w:spacing w:line="300" w:lineRule="auto"/>
        <w:rPr>
          <w:rFonts w:hint="eastAsia" w:cs="宋体"/>
          <w:szCs w:val="24"/>
          <w:u w:val="single"/>
        </w:rPr>
      </w:pPr>
      <w:r>
        <w:rPr>
          <w:rFonts w:hint="eastAsia" w:cs="宋体"/>
          <w:szCs w:val="24"/>
        </w:rPr>
        <w:t>项目名称：             项目编号/包号：</w:t>
      </w:r>
    </w:p>
    <w:p w14:paraId="6DD10A20">
      <w:pPr>
        <w:spacing w:line="300" w:lineRule="auto"/>
        <w:rPr>
          <w:rFonts w:hint="eastAsia" w:cs="宋体"/>
          <w:szCs w:val="24"/>
        </w:rPr>
      </w:pPr>
      <w:r>
        <w:rPr>
          <w:rFonts w:hint="eastAsia" w:cs="宋体"/>
          <w:szCs w:val="24"/>
        </w:rPr>
        <w:t>1、节能产品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4205A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77E55C7">
            <w:pPr>
              <w:pStyle w:val="51"/>
              <w:jc w:val="center"/>
              <w:rPr>
                <w:rFonts w:hint="eastAsia"/>
                <w:sz w:val="21"/>
                <w:szCs w:val="21"/>
              </w:rPr>
            </w:pPr>
            <w:r>
              <w:rPr>
                <w:rFonts w:hint="eastAsia"/>
                <w:sz w:val="21"/>
                <w:szCs w:val="21"/>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14AD795B">
            <w:pPr>
              <w:pStyle w:val="51"/>
              <w:jc w:val="center"/>
              <w:rPr>
                <w:rFonts w:hint="eastAsia"/>
                <w:sz w:val="21"/>
                <w:szCs w:val="21"/>
              </w:rPr>
            </w:pPr>
            <w:r>
              <w:rPr>
                <w:rFonts w:hint="eastAsia"/>
                <w:sz w:val="21"/>
                <w:szCs w:val="21"/>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5E15452A">
            <w:pPr>
              <w:pStyle w:val="51"/>
              <w:jc w:val="center"/>
              <w:rPr>
                <w:rFonts w:hint="eastAsia"/>
                <w:sz w:val="21"/>
                <w:szCs w:val="21"/>
              </w:rPr>
            </w:pPr>
            <w:r>
              <w:rPr>
                <w:rFonts w:hint="eastAsia"/>
                <w:sz w:val="21"/>
                <w:szCs w:val="21"/>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710B436E">
            <w:pPr>
              <w:pStyle w:val="51"/>
              <w:jc w:val="center"/>
              <w:rPr>
                <w:rFonts w:hint="eastAsia"/>
                <w:sz w:val="21"/>
                <w:szCs w:val="21"/>
              </w:rPr>
            </w:pPr>
            <w:r>
              <w:rPr>
                <w:rFonts w:hint="eastAsia"/>
                <w:sz w:val="21"/>
                <w:szCs w:val="21"/>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5826D7BC">
            <w:pPr>
              <w:pStyle w:val="51"/>
              <w:jc w:val="center"/>
              <w:rPr>
                <w:rFonts w:hint="eastAsia"/>
                <w:sz w:val="21"/>
                <w:szCs w:val="21"/>
              </w:rPr>
            </w:pPr>
            <w:r>
              <w:rPr>
                <w:rFonts w:hint="eastAsia"/>
                <w:sz w:val="21"/>
                <w:szCs w:val="21"/>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652F1C0A">
            <w:pPr>
              <w:pStyle w:val="51"/>
              <w:jc w:val="center"/>
              <w:rPr>
                <w:rFonts w:hint="eastAsia"/>
                <w:sz w:val="21"/>
                <w:szCs w:val="21"/>
              </w:rPr>
            </w:pPr>
            <w:r>
              <w:rPr>
                <w:rFonts w:hint="eastAsia"/>
                <w:sz w:val="21"/>
                <w:szCs w:val="21"/>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5B53962E">
            <w:pPr>
              <w:pStyle w:val="51"/>
              <w:jc w:val="center"/>
              <w:rPr>
                <w:rFonts w:hint="eastAsia"/>
                <w:sz w:val="21"/>
                <w:szCs w:val="21"/>
              </w:rPr>
            </w:pPr>
            <w:r>
              <w:rPr>
                <w:rFonts w:hint="eastAsia"/>
                <w:sz w:val="21"/>
                <w:szCs w:val="21"/>
              </w:rPr>
              <w:t>单价</w:t>
            </w:r>
          </w:p>
          <w:p w14:paraId="30B547CA">
            <w:pPr>
              <w:pStyle w:val="51"/>
              <w:jc w:val="center"/>
              <w:rPr>
                <w:rFonts w:hint="eastAsia"/>
                <w:sz w:val="21"/>
                <w:szCs w:val="21"/>
              </w:rPr>
            </w:pPr>
            <w:r>
              <w:rPr>
                <w:rFonts w:hint="eastAsia"/>
                <w:sz w:val="21"/>
                <w:szCs w:val="21"/>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358FEB7F">
            <w:pPr>
              <w:pStyle w:val="51"/>
              <w:jc w:val="center"/>
              <w:rPr>
                <w:rFonts w:hint="eastAsia"/>
                <w:sz w:val="21"/>
                <w:szCs w:val="21"/>
              </w:rPr>
            </w:pPr>
            <w:r>
              <w:rPr>
                <w:rFonts w:hint="eastAsia"/>
                <w:sz w:val="21"/>
                <w:szCs w:val="21"/>
              </w:rPr>
              <w:t>总价</w:t>
            </w:r>
          </w:p>
          <w:p w14:paraId="6D4A3C2E">
            <w:pPr>
              <w:pStyle w:val="51"/>
              <w:jc w:val="center"/>
              <w:rPr>
                <w:rFonts w:hint="eastAsia"/>
                <w:sz w:val="21"/>
                <w:szCs w:val="21"/>
              </w:rPr>
            </w:pPr>
            <w:r>
              <w:rPr>
                <w:rFonts w:hint="eastAsia"/>
                <w:sz w:val="21"/>
                <w:szCs w:val="21"/>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53F390C5">
            <w:pPr>
              <w:pStyle w:val="51"/>
              <w:jc w:val="center"/>
              <w:rPr>
                <w:rFonts w:hint="eastAsia"/>
                <w:sz w:val="21"/>
                <w:szCs w:val="21"/>
              </w:rPr>
            </w:pPr>
            <w:r>
              <w:rPr>
                <w:rFonts w:hint="eastAsia"/>
                <w:sz w:val="21"/>
                <w:szCs w:val="21"/>
              </w:rPr>
              <w:t>属强制采购或优先采购</w:t>
            </w:r>
          </w:p>
        </w:tc>
      </w:tr>
      <w:tr w14:paraId="224E5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E63833F">
            <w:pPr>
              <w:pStyle w:val="51"/>
              <w:numPr>
                <w:ilvl w:val="0"/>
                <w:numId w:val="5"/>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7AAEECF6">
            <w:pPr>
              <w:pStyle w:val="51"/>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23C59AEC">
            <w:pPr>
              <w:pStyle w:val="51"/>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6ED50575">
            <w:pPr>
              <w:pStyle w:val="51"/>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7D3F3C68">
            <w:pPr>
              <w:pStyle w:val="51"/>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7DFD58FD">
            <w:pPr>
              <w:pStyle w:val="51"/>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7B4BE1CF">
            <w:pPr>
              <w:pStyle w:val="51"/>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2922C4CD">
            <w:pPr>
              <w:pStyle w:val="51"/>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35E4B707">
            <w:pPr>
              <w:pStyle w:val="51"/>
              <w:jc w:val="center"/>
              <w:rPr>
                <w:rFonts w:hint="eastAsia"/>
                <w:sz w:val="21"/>
                <w:szCs w:val="21"/>
              </w:rPr>
            </w:pPr>
          </w:p>
        </w:tc>
      </w:tr>
      <w:tr w14:paraId="6B972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270EFFE">
            <w:pPr>
              <w:pStyle w:val="51"/>
              <w:numPr>
                <w:ilvl w:val="0"/>
                <w:numId w:val="5"/>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31B3B1CD">
            <w:pPr>
              <w:pStyle w:val="51"/>
              <w:jc w:val="center"/>
              <w:rPr>
                <w:rFonts w:hint="eastAsia"/>
                <w:sz w:val="21"/>
                <w:szCs w:val="21"/>
              </w:rPr>
            </w:pPr>
          </w:p>
        </w:tc>
        <w:tc>
          <w:tcPr>
            <w:tcW w:w="972" w:type="dxa"/>
            <w:tcBorders>
              <w:top w:val="single" w:color="auto" w:sz="4" w:space="0"/>
              <w:left w:val="single" w:color="auto" w:sz="4" w:space="0"/>
              <w:bottom w:val="single" w:color="auto" w:sz="4" w:space="0"/>
              <w:right w:val="single" w:color="auto" w:sz="4" w:space="0"/>
            </w:tcBorders>
            <w:vAlign w:val="center"/>
          </w:tcPr>
          <w:p w14:paraId="55B8C6BC">
            <w:pPr>
              <w:pStyle w:val="51"/>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2CACFC28">
            <w:pPr>
              <w:pStyle w:val="51"/>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0352468E">
            <w:pPr>
              <w:pStyle w:val="51"/>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066955A9">
            <w:pPr>
              <w:pStyle w:val="51"/>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1207DDFC">
            <w:pPr>
              <w:pStyle w:val="51"/>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52DBCFBF">
            <w:pPr>
              <w:pStyle w:val="51"/>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55BDC0B8">
            <w:pPr>
              <w:pStyle w:val="51"/>
              <w:jc w:val="center"/>
              <w:rPr>
                <w:rFonts w:hint="eastAsia"/>
                <w:sz w:val="21"/>
                <w:szCs w:val="21"/>
              </w:rPr>
            </w:pPr>
          </w:p>
        </w:tc>
      </w:tr>
      <w:tr w14:paraId="1F370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21692972">
            <w:pPr>
              <w:pStyle w:val="51"/>
              <w:numPr>
                <w:ilvl w:val="0"/>
                <w:numId w:val="5"/>
              </w:numPr>
              <w:jc w:val="center"/>
              <w:rPr>
                <w:rFonts w:hint="eastAsia"/>
                <w:sz w:val="21"/>
                <w:szCs w:val="21"/>
              </w:rPr>
            </w:pPr>
          </w:p>
        </w:tc>
        <w:tc>
          <w:tcPr>
            <w:tcW w:w="1147" w:type="dxa"/>
            <w:tcBorders>
              <w:top w:val="single" w:color="auto" w:sz="4" w:space="0"/>
              <w:left w:val="single" w:color="auto" w:sz="4" w:space="0"/>
              <w:bottom w:val="single" w:color="auto" w:sz="4" w:space="0"/>
              <w:right w:val="single" w:color="auto" w:sz="4" w:space="0"/>
            </w:tcBorders>
            <w:vAlign w:val="center"/>
          </w:tcPr>
          <w:p w14:paraId="5A67CD35">
            <w:pPr>
              <w:pStyle w:val="51"/>
              <w:jc w:val="center"/>
              <w:rPr>
                <w:rFonts w:hint="eastAsia"/>
                <w:sz w:val="21"/>
                <w:szCs w:val="21"/>
              </w:rPr>
            </w:pPr>
            <w:r>
              <w:rPr>
                <w:sz w:val="21"/>
                <w:szCs w:val="21"/>
              </w:rPr>
              <w:t>……</w:t>
            </w:r>
          </w:p>
        </w:tc>
        <w:tc>
          <w:tcPr>
            <w:tcW w:w="972" w:type="dxa"/>
            <w:tcBorders>
              <w:top w:val="single" w:color="auto" w:sz="4" w:space="0"/>
              <w:left w:val="single" w:color="auto" w:sz="4" w:space="0"/>
              <w:bottom w:val="single" w:color="auto" w:sz="4" w:space="0"/>
              <w:right w:val="single" w:color="auto" w:sz="4" w:space="0"/>
            </w:tcBorders>
            <w:vAlign w:val="center"/>
          </w:tcPr>
          <w:p w14:paraId="5B385F71">
            <w:pPr>
              <w:pStyle w:val="51"/>
              <w:jc w:val="center"/>
              <w:rPr>
                <w:rFonts w:hint="eastAsia"/>
                <w:sz w:val="21"/>
                <w:szCs w:val="21"/>
              </w:rPr>
            </w:pPr>
          </w:p>
        </w:tc>
        <w:tc>
          <w:tcPr>
            <w:tcW w:w="792" w:type="dxa"/>
            <w:tcBorders>
              <w:top w:val="single" w:color="auto" w:sz="4" w:space="0"/>
              <w:left w:val="single" w:color="auto" w:sz="4" w:space="0"/>
              <w:bottom w:val="single" w:color="auto" w:sz="4" w:space="0"/>
              <w:right w:val="single" w:color="auto" w:sz="4" w:space="0"/>
            </w:tcBorders>
            <w:vAlign w:val="center"/>
          </w:tcPr>
          <w:p w14:paraId="1CB24F30">
            <w:pPr>
              <w:pStyle w:val="51"/>
              <w:jc w:val="center"/>
              <w:rPr>
                <w:rFonts w:hint="eastAsia"/>
                <w:sz w:val="21"/>
                <w:szCs w:val="21"/>
              </w:rPr>
            </w:pPr>
          </w:p>
        </w:tc>
        <w:tc>
          <w:tcPr>
            <w:tcW w:w="696" w:type="dxa"/>
            <w:tcBorders>
              <w:top w:val="single" w:color="auto" w:sz="4" w:space="0"/>
              <w:left w:val="single" w:color="auto" w:sz="4" w:space="0"/>
              <w:bottom w:val="single" w:color="auto" w:sz="4" w:space="0"/>
              <w:right w:val="single" w:color="auto" w:sz="4" w:space="0"/>
            </w:tcBorders>
            <w:vAlign w:val="center"/>
          </w:tcPr>
          <w:p w14:paraId="7F94B5CE">
            <w:pPr>
              <w:pStyle w:val="51"/>
              <w:jc w:val="center"/>
              <w:rPr>
                <w:rFonts w:hint="eastAsia"/>
                <w:sz w:val="21"/>
                <w:szCs w:val="21"/>
              </w:rPr>
            </w:pPr>
          </w:p>
        </w:tc>
        <w:tc>
          <w:tcPr>
            <w:tcW w:w="648" w:type="dxa"/>
            <w:tcBorders>
              <w:top w:val="single" w:color="auto" w:sz="4" w:space="0"/>
              <w:left w:val="single" w:color="auto" w:sz="4" w:space="0"/>
              <w:bottom w:val="single" w:color="auto" w:sz="4" w:space="0"/>
              <w:right w:val="single" w:color="auto" w:sz="4" w:space="0"/>
            </w:tcBorders>
            <w:vAlign w:val="center"/>
          </w:tcPr>
          <w:p w14:paraId="070FAA15">
            <w:pPr>
              <w:pStyle w:val="51"/>
              <w:jc w:val="center"/>
              <w:rPr>
                <w:rFonts w:hint="eastAsia"/>
                <w:sz w:val="21"/>
                <w:szCs w:val="21"/>
              </w:rPr>
            </w:pPr>
          </w:p>
        </w:tc>
        <w:tc>
          <w:tcPr>
            <w:tcW w:w="1128" w:type="dxa"/>
            <w:tcBorders>
              <w:top w:val="single" w:color="auto" w:sz="4" w:space="0"/>
              <w:left w:val="single" w:color="auto" w:sz="4" w:space="0"/>
              <w:bottom w:val="single" w:color="auto" w:sz="4" w:space="0"/>
              <w:right w:val="single" w:color="auto" w:sz="4" w:space="0"/>
            </w:tcBorders>
            <w:vAlign w:val="center"/>
          </w:tcPr>
          <w:p w14:paraId="7EFCA00C">
            <w:pPr>
              <w:pStyle w:val="51"/>
              <w:jc w:val="center"/>
              <w:rPr>
                <w:rFonts w:hint="eastAsia"/>
                <w:sz w:val="21"/>
                <w:szCs w:val="21"/>
              </w:rPr>
            </w:pPr>
          </w:p>
        </w:tc>
        <w:tc>
          <w:tcPr>
            <w:tcW w:w="1224" w:type="dxa"/>
            <w:tcBorders>
              <w:top w:val="single" w:color="auto" w:sz="4" w:space="0"/>
              <w:left w:val="single" w:color="auto" w:sz="4" w:space="0"/>
              <w:bottom w:val="single" w:color="auto" w:sz="4" w:space="0"/>
              <w:right w:val="single" w:color="auto" w:sz="4" w:space="0"/>
            </w:tcBorders>
            <w:vAlign w:val="center"/>
          </w:tcPr>
          <w:p w14:paraId="3C94E3F2">
            <w:pPr>
              <w:pStyle w:val="51"/>
              <w:jc w:val="center"/>
              <w:rPr>
                <w:rFonts w:hint="eastAsia"/>
                <w:sz w:val="21"/>
                <w:szCs w:val="21"/>
              </w:rPr>
            </w:pPr>
          </w:p>
        </w:tc>
        <w:tc>
          <w:tcPr>
            <w:tcW w:w="1582" w:type="dxa"/>
            <w:tcBorders>
              <w:top w:val="single" w:color="auto" w:sz="4" w:space="0"/>
              <w:left w:val="single" w:color="auto" w:sz="4" w:space="0"/>
              <w:bottom w:val="single" w:color="auto" w:sz="4" w:space="0"/>
              <w:right w:val="single" w:color="auto" w:sz="4" w:space="0"/>
            </w:tcBorders>
            <w:vAlign w:val="center"/>
          </w:tcPr>
          <w:p w14:paraId="36F990DC">
            <w:pPr>
              <w:pStyle w:val="51"/>
              <w:jc w:val="center"/>
              <w:rPr>
                <w:rFonts w:hint="eastAsia"/>
                <w:sz w:val="21"/>
                <w:szCs w:val="21"/>
              </w:rPr>
            </w:pPr>
          </w:p>
        </w:tc>
      </w:tr>
    </w:tbl>
    <w:p w14:paraId="1D4E5319">
      <w:pPr>
        <w:spacing w:line="300" w:lineRule="auto"/>
        <w:rPr>
          <w:rFonts w:ascii="Arial" w:hAnsi="Arial" w:cs="Arial"/>
          <w:szCs w:val="21"/>
        </w:rPr>
      </w:pPr>
    </w:p>
    <w:p w14:paraId="60D6A0D3">
      <w:pPr>
        <w:spacing w:line="300" w:lineRule="auto"/>
        <w:rPr>
          <w:rFonts w:hint="eastAsia" w:cs="宋体"/>
          <w:szCs w:val="21"/>
        </w:rPr>
      </w:pPr>
      <w:r>
        <w:rPr>
          <w:rFonts w:hint="eastAsia" w:cs="宋体"/>
          <w:szCs w:val="21"/>
        </w:rPr>
        <w:t>2、环保产品</w:t>
      </w:r>
    </w:p>
    <w:tbl>
      <w:tblPr>
        <w:tblStyle w:val="31"/>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4A4D4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4E4A814">
            <w:pPr>
              <w:pStyle w:val="51"/>
              <w:jc w:val="center"/>
              <w:rPr>
                <w:rFonts w:hint="eastAsia"/>
                <w:sz w:val="21"/>
                <w:szCs w:val="21"/>
              </w:rPr>
            </w:pPr>
            <w:r>
              <w:rPr>
                <w:rFonts w:hint="eastAsia"/>
                <w:sz w:val="21"/>
                <w:szCs w:val="21"/>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7310D08B">
            <w:pPr>
              <w:pStyle w:val="51"/>
              <w:jc w:val="center"/>
              <w:rPr>
                <w:rFonts w:hint="eastAsia"/>
                <w:sz w:val="21"/>
                <w:szCs w:val="21"/>
              </w:rPr>
            </w:pPr>
            <w:r>
              <w:rPr>
                <w:rFonts w:hint="eastAsia"/>
                <w:sz w:val="21"/>
                <w:szCs w:val="21"/>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671D570F">
            <w:pPr>
              <w:pStyle w:val="51"/>
              <w:jc w:val="center"/>
              <w:rPr>
                <w:rFonts w:hint="eastAsia"/>
                <w:sz w:val="21"/>
                <w:szCs w:val="21"/>
              </w:rPr>
            </w:pPr>
            <w:r>
              <w:rPr>
                <w:rFonts w:hint="eastAsia"/>
                <w:sz w:val="21"/>
                <w:szCs w:val="21"/>
              </w:rPr>
              <w:t>制造商</w:t>
            </w:r>
          </w:p>
          <w:p w14:paraId="6BA1D04F">
            <w:pPr>
              <w:pStyle w:val="51"/>
              <w:jc w:val="center"/>
              <w:rPr>
                <w:rFonts w:hint="eastAsia"/>
                <w:sz w:val="21"/>
                <w:szCs w:val="21"/>
              </w:rPr>
            </w:pPr>
            <w:r>
              <w:rPr>
                <w:rFonts w:hint="eastAsia"/>
                <w:sz w:val="21"/>
                <w:szCs w:val="21"/>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39C15C30">
            <w:pPr>
              <w:pStyle w:val="51"/>
              <w:jc w:val="center"/>
              <w:rPr>
                <w:rFonts w:hint="eastAsia"/>
                <w:sz w:val="21"/>
                <w:szCs w:val="21"/>
              </w:rPr>
            </w:pPr>
            <w:r>
              <w:rPr>
                <w:rFonts w:hint="eastAsia"/>
                <w:sz w:val="21"/>
                <w:szCs w:val="21"/>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49FA7015">
            <w:pPr>
              <w:pStyle w:val="51"/>
              <w:jc w:val="center"/>
              <w:rPr>
                <w:rFonts w:hint="eastAsia"/>
                <w:sz w:val="21"/>
                <w:szCs w:val="21"/>
              </w:rPr>
            </w:pPr>
            <w:r>
              <w:rPr>
                <w:rFonts w:hint="eastAsia"/>
                <w:sz w:val="21"/>
                <w:szCs w:val="21"/>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27AABCE2">
            <w:pPr>
              <w:pStyle w:val="51"/>
              <w:jc w:val="center"/>
              <w:rPr>
                <w:rFonts w:hint="eastAsia"/>
                <w:sz w:val="21"/>
                <w:szCs w:val="21"/>
              </w:rPr>
            </w:pPr>
            <w:r>
              <w:rPr>
                <w:rFonts w:hint="eastAsia"/>
                <w:sz w:val="21"/>
                <w:szCs w:val="21"/>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5C1CE91D">
            <w:pPr>
              <w:pStyle w:val="51"/>
              <w:jc w:val="center"/>
              <w:rPr>
                <w:rFonts w:hint="eastAsia"/>
                <w:sz w:val="21"/>
                <w:szCs w:val="21"/>
              </w:rPr>
            </w:pPr>
            <w:r>
              <w:rPr>
                <w:rFonts w:hint="eastAsia"/>
                <w:sz w:val="21"/>
                <w:szCs w:val="21"/>
              </w:rPr>
              <w:t>单价</w:t>
            </w:r>
          </w:p>
          <w:p w14:paraId="5C27F485">
            <w:pPr>
              <w:pStyle w:val="51"/>
              <w:jc w:val="center"/>
              <w:rPr>
                <w:rFonts w:hint="eastAsia"/>
                <w:sz w:val="21"/>
                <w:szCs w:val="21"/>
              </w:rPr>
            </w:pPr>
            <w:r>
              <w:rPr>
                <w:rFonts w:hint="eastAsia"/>
                <w:sz w:val="21"/>
                <w:szCs w:val="21"/>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3DC7D3E">
            <w:pPr>
              <w:pStyle w:val="51"/>
              <w:jc w:val="center"/>
              <w:rPr>
                <w:rFonts w:hint="eastAsia"/>
                <w:sz w:val="21"/>
                <w:szCs w:val="21"/>
              </w:rPr>
            </w:pPr>
            <w:r>
              <w:rPr>
                <w:rFonts w:hint="eastAsia"/>
                <w:sz w:val="21"/>
                <w:szCs w:val="21"/>
              </w:rPr>
              <w:t>总价</w:t>
            </w:r>
          </w:p>
          <w:p w14:paraId="3CBD6EB8">
            <w:pPr>
              <w:pStyle w:val="51"/>
              <w:jc w:val="center"/>
              <w:rPr>
                <w:rFonts w:hint="eastAsia"/>
                <w:sz w:val="21"/>
                <w:szCs w:val="21"/>
              </w:rPr>
            </w:pPr>
            <w:r>
              <w:rPr>
                <w:rFonts w:hint="eastAsia"/>
                <w:sz w:val="21"/>
                <w:szCs w:val="21"/>
              </w:rPr>
              <w:t>（万元）</w:t>
            </w:r>
          </w:p>
        </w:tc>
      </w:tr>
      <w:tr w14:paraId="03641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12EA069D">
            <w:pPr>
              <w:pStyle w:val="51"/>
              <w:numPr>
                <w:ilvl w:val="0"/>
                <w:numId w:val="6"/>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370C837C">
            <w:pPr>
              <w:pStyle w:val="51"/>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761D0CB4">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37D3B5E">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065B673C">
            <w:pPr>
              <w:pStyle w:val="51"/>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7B94135A">
            <w:pPr>
              <w:pStyle w:val="51"/>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7AB76A7D">
            <w:pPr>
              <w:pStyle w:val="51"/>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697D34EB">
            <w:pPr>
              <w:pStyle w:val="51"/>
              <w:jc w:val="center"/>
              <w:rPr>
                <w:rFonts w:hint="eastAsia"/>
                <w:sz w:val="21"/>
                <w:szCs w:val="21"/>
              </w:rPr>
            </w:pPr>
          </w:p>
        </w:tc>
      </w:tr>
      <w:tr w14:paraId="39E5A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0E4BAB3">
            <w:pPr>
              <w:pStyle w:val="51"/>
              <w:numPr>
                <w:ilvl w:val="0"/>
                <w:numId w:val="6"/>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51DB2A09">
            <w:pPr>
              <w:pStyle w:val="51"/>
              <w:jc w:val="center"/>
              <w:rPr>
                <w:rFonts w:hint="eastAsia"/>
                <w:sz w:val="21"/>
                <w:szCs w:val="21"/>
              </w:rPr>
            </w:pPr>
          </w:p>
        </w:tc>
        <w:tc>
          <w:tcPr>
            <w:tcW w:w="1272" w:type="dxa"/>
            <w:tcBorders>
              <w:top w:val="single" w:color="auto" w:sz="4" w:space="0"/>
              <w:left w:val="single" w:color="auto" w:sz="4" w:space="0"/>
              <w:bottom w:val="single" w:color="auto" w:sz="4" w:space="0"/>
              <w:right w:val="single" w:color="auto" w:sz="4" w:space="0"/>
            </w:tcBorders>
            <w:vAlign w:val="center"/>
          </w:tcPr>
          <w:p w14:paraId="5FE88045">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758DD192">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5CADCD91">
            <w:pPr>
              <w:pStyle w:val="51"/>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12B41383">
            <w:pPr>
              <w:pStyle w:val="51"/>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215D4848">
            <w:pPr>
              <w:pStyle w:val="51"/>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12AAB4C5">
            <w:pPr>
              <w:pStyle w:val="51"/>
              <w:jc w:val="center"/>
              <w:rPr>
                <w:rFonts w:hint="eastAsia"/>
                <w:sz w:val="21"/>
                <w:szCs w:val="21"/>
              </w:rPr>
            </w:pPr>
          </w:p>
        </w:tc>
      </w:tr>
      <w:tr w14:paraId="148E3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B86C0FC">
            <w:pPr>
              <w:pStyle w:val="51"/>
              <w:numPr>
                <w:ilvl w:val="0"/>
                <w:numId w:val="6"/>
              </w:numPr>
              <w:jc w:val="center"/>
              <w:rPr>
                <w:rFonts w:hint="eastAsia"/>
                <w:sz w:val="21"/>
                <w:szCs w:val="21"/>
              </w:rPr>
            </w:pPr>
          </w:p>
        </w:tc>
        <w:tc>
          <w:tcPr>
            <w:tcW w:w="1140" w:type="dxa"/>
            <w:tcBorders>
              <w:top w:val="single" w:color="auto" w:sz="4" w:space="0"/>
              <w:left w:val="single" w:color="auto" w:sz="4" w:space="0"/>
              <w:bottom w:val="single" w:color="auto" w:sz="4" w:space="0"/>
              <w:right w:val="single" w:color="auto" w:sz="4" w:space="0"/>
            </w:tcBorders>
            <w:vAlign w:val="center"/>
          </w:tcPr>
          <w:p w14:paraId="3BA650B9">
            <w:pPr>
              <w:pStyle w:val="51"/>
              <w:jc w:val="center"/>
              <w:rPr>
                <w:rFonts w:hint="eastAsia"/>
                <w:sz w:val="21"/>
                <w:szCs w:val="21"/>
              </w:rPr>
            </w:pPr>
            <w:r>
              <w:rPr>
                <w:sz w:val="21"/>
                <w:szCs w:val="21"/>
              </w:rPr>
              <w:t>……</w:t>
            </w:r>
          </w:p>
        </w:tc>
        <w:tc>
          <w:tcPr>
            <w:tcW w:w="1272" w:type="dxa"/>
            <w:tcBorders>
              <w:top w:val="single" w:color="auto" w:sz="4" w:space="0"/>
              <w:left w:val="single" w:color="auto" w:sz="4" w:space="0"/>
              <w:bottom w:val="single" w:color="auto" w:sz="4" w:space="0"/>
              <w:right w:val="single" w:color="auto" w:sz="4" w:space="0"/>
            </w:tcBorders>
            <w:vAlign w:val="center"/>
          </w:tcPr>
          <w:p w14:paraId="7673A67D">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4DC70F15">
            <w:pPr>
              <w:pStyle w:val="51"/>
              <w:jc w:val="center"/>
              <w:rPr>
                <w:rFonts w:hint="eastAsia"/>
                <w:sz w:val="21"/>
                <w:szCs w:val="21"/>
              </w:rPr>
            </w:pPr>
          </w:p>
        </w:tc>
        <w:tc>
          <w:tcPr>
            <w:tcW w:w="816" w:type="dxa"/>
            <w:tcBorders>
              <w:top w:val="single" w:color="auto" w:sz="4" w:space="0"/>
              <w:left w:val="single" w:color="auto" w:sz="4" w:space="0"/>
              <w:bottom w:val="single" w:color="auto" w:sz="4" w:space="0"/>
              <w:right w:val="single" w:color="auto" w:sz="4" w:space="0"/>
            </w:tcBorders>
            <w:vAlign w:val="center"/>
          </w:tcPr>
          <w:p w14:paraId="689A7444">
            <w:pPr>
              <w:pStyle w:val="51"/>
              <w:jc w:val="center"/>
              <w:rPr>
                <w:rFonts w:hint="eastAsia"/>
                <w:sz w:val="21"/>
                <w:szCs w:val="21"/>
              </w:rPr>
            </w:pPr>
          </w:p>
        </w:tc>
        <w:tc>
          <w:tcPr>
            <w:tcW w:w="1032" w:type="dxa"/>
            <w:tcBorders>
              <w:top w:val="single" w:color="auto" w:sz="4" w:space="0"/>
              <w:left w:val="single" w:color="auto" w:sz="4" w:space="0"/>
              <w:bottom w:val="single" w:color="auto" w:sz="4" w:space="0"/>
              <w:right w:val="single" w:color="auto" w:sz="4" w:space="0"/>
            </w:tcBorders>
            <w:vAlign w:val="center"/>
          </w:tcPr>
          <w:p w14:paraId="086B342A">
            <w:pPr>
              <w:pStyle w:val="51"/>
              <w:jc w:val="center"/>
              <w:rPr>
                <w:rFonts w:hint="eastAsia"/>
                <w:sz w:val="21"/>
                <w:szCs w:val="21"/>
              </w:rPr>
            </w:pPr>
          </w:p>
        </w:tc>
        <w:tc>
          <w:tcPr>
            <w:tcW w:w="1380" w:type="dxa"/>
            <w:tcBorders>
              <w:top w:val="single" w:color="auto" w:sz="4" w:space="0"/>
              <w:left w:val="single" w:color="auto" w:sz="4" w:space="0"/>
              <w:bottom w:val="single" w:color="auto" w:sz="4" w:space="0"/>
              <w:right w:val="single" w:color="auto" w:sz="4" w:space="0"/>
            </w:tcBorders>
            <w:vAlign w:val="center"/>
          </w:tcPr>
          <w:p w14:paraId="13BCF279">
            <w:pPr>
              <w:pStyle w:val="51"/>
              <w:jc w:val="center"/>
              <w:rPr>
                <w:rFonts w:hint="eastAsia"/>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14:paraId="52AEBCCF">
            <w:pPr>
              <w:pStyle w:val="51"/>
              <w:jc w:val="center"/>
              <w:rPr>
                <w:rFonts w:hint="eastAsia"/>
                <w:sz w:val="21"/>
                <w:szCs w:val="21"/>
              </w:rPr>
            </w:pPr>
          </w:p>
        </w:tc>
      </w:tr>
    </w:tbl>
    <w:p w14:paraId="2F8E53DB">
      <w:pPr>
        <w:spacing w:line="300" w:lineRule="auto"/>
        <w:rPr>
          <w:rFonts w:ascii="Arial" w:hAnsi="Arial" w:cs="Arial"/>
          <w:szCs w:val="21"/>
        </w:rPr>
      </w:pPr>
    </w:p>
    <w:p w14:paraId="0233B9AD">
      <w:pPr>
        <w:rPr>
          <w:rFonts w:ascii="Arial" w:hAnsi="Arial" w:cs="Arial"/>
          <w:b/>
          <w:sz w:val="21"/>
          <w:szCs w:val="21"/>
        </w:rPr>
      </w:pPr>
      <w:r>
        <w:rPr>
          <w:rFonts w:hint="eastAsia" w:ascii="Arial" w:hAnsi="Arial" w:cs="Arial"/>
          <w:b/>
          <w:sz w:val="21"/>
          <w:szCs w:val="21"/>
        </w:rPr>
        <w:t>特别说明：投标人应将所投产品中节能、环保产品分别列入上表中，并按本招标文件“第二章投标人须知”提供相关证明材料，未填写本表或未提供有效认证证书</w:t>
      </w:r>
      <w:r>
        <w:rPr>
          <w:rFonts w:ascii="Arial" w:hAnsi="Arial" w:cs="Arial"/>
          <w:b/>
          <w:sz w:val="21"/>
          <w:szCs w:val="21"/>
        </w:rPr>
        <w:t>的</w:t>
      </w:r>
      <w:r>
        <w:rPr>
          <w:rFonts w:hint="eastAsia" w:ascii="Arial" w:hAnsi="Arial" w:cs="Arial"/>
          <w:b/>
          <w:sz w:val="21"/>
          <w:szCs w:val="21"/>
        </w:rPr>
        <w:t>不给予评审优惠。</w:t>
      </w:r>
    </w:p>
    <w:p w14:paraId="1566CF68">
      <w:pPr>
        <w:spacing w:line="300" w:lineRule="auto"/>
        <w:rPr>
          <w:rFonts w:ascii="Arial" w:hAnsi="Arial" w:cs="Arial"/>
          <w:szCs w:val="21"/>
        </w:rPr>
      </w:pPr>
    </w:p>
    <w:p w14:paraId="242F8D0C">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4F42BBAF">
      <w:pPr>
        <w:rPr>
          <w:rFonts w:ascii="Arial" w:hAnsi="Arial" w:cs="Arial"/>
          <w:szCs w:val="21"/>
        </w:rPr>
      </w:pPr>
      <w:r>
        <w:rPr>
          <w:rFonts w:ascii="Arial" w:hAnsi="Arial" w:cs="Arial"/>
          <w:szCs w:val="21"/>
        </w:rPr>
        <w:t>日期：</w:t>
      </w:r>
    </w:p>
    <w:p w14:paraId="4E26F680">
      <w:pPr>
        <w:rPr>
          <w:rFonts w:ascii="Arial" w:hAnsi="Arial" w:cs="Arial"/>
          <w:szCs w:val="21"/>
        </w:rPr>
      </w:pPr>
    </w:p>
    <w:p w14:paraId="47CB62BE">
      <w:pPr>
        <w:rPr>
          <w:rFonts w:ascii="Arial" w:hAnsi="Arial" w:cs="Arial"/>
          <w:szCs w:val="21"/>
        </w:rPr>
      </w:pPr>
      <w:r>
        <w:rPr>
          <w:rFonts w:ascii="Arial" w:hAnsi="Arial" w:cs="Arial"/>
          <w:szCs w:val="21"/>
        </w:rPr>
        <w:br w:type="page"/>
      </w:r>
    </w:p>
    <w:p w14:paraId="6097EF7C">
      <w:pPr>
        <w:pStyle w:val="5"/>
        <w:rPr>
          <w:rFonts w:hint="eastAsia"/>
          <w:sz w:val="24"/>
          <w:szCs w:val="24"/>
        </w:rPr>
      </w:pPr>
      <w:bookmarkStart w:id="646" w:name="_Toc163492939"/>
      <w:bookmarkStart w:id="647" w:name="_Toc20772"/>
      <w:r>
        <w:rPr>
          <w:rFonts w:hint="eastAsia"/>
          <w:sz w:val="24"/>
          <w:szCs w:val="24"/>
        </w:rPr>
        <w:t>（二）中小企业声明函【如专门面向中小企业采购的项目，此函可放于此处，否则，应后置于“其他资格证明文件”】</w:t>
      </w:r>
      <w:bookmarkEnd w:id="646"/>
      <w:bookmarkEnd w:id="647"/>
    </w:p>
    <w:p w14:paraId="3FCB476E">
      <w:pPr>
        <w:pStyle w:val="41"/>
        <w:numPr>
          <w:ilvl w:val="0"/>
          <w:numId w:val="0"/>
        </w:numPr>
        <w:spacing w:line="300" w:lineRule="exact"/>
        <w:ind w:left="420" w:hanging="420"/>
        <w:jc w:val="center"/>
        <w:rPr>
          <w:rFonts w:hint="eastAsia"/>
          <w:b/>
          <w:bCs/>
          <w:sz w:val="32"/>
          <w:szCs w:val="32"/>
        </w:rPr>
      </w:pPr>
    </w:p>
    <w:p w14:paraId="74802990">
      <w:pPr>
        <w:pStyle w:val="41"/>
        <w:numPr>
          <w:ilvl w:val="0"/>
          <w:numId w:val="0"/>
        </w:numPr>
        <w:ind w:left="420" w:hanging="420"/>
        <w:jc w:val="center"/>
        <w:rPr>
          <w:rFonts w:hint="eastAsia"/>
          <w:b/>
          <w:bCs/>
          <w:sz w:val="32"/>
          <w:szCs w:val="32"/>
        </w:rPr>
      </w:pPr>
      <w:r>
        <w:rPr>
          <w:rFonts w:hint="eastAsia"/>
          <w:b/>
          <w:bCs/>
          <w:sz w:val="32"/>
          <w:szCs w:val="32"/>
        </w:rPr>
        <w:t>中小企业声明函</w:t>
      </w:r>
    </w:p>
    <w:p w14:paraId="73C77B03">
      <w:pPr>
        <w:ind w:firstLine="504" w:firstLineChars="200"/>
        <w:rPr>
          <w:rFonts w:hint="eastAsia" w:cs="宋体"/>
          <w:spacing w:val="6"/>
          <w:szCs w:val="24"/>
        </w:rPr>
      </w:pPr>
      <w:r>
        <w:rPr>
          <w:rFonts w:hint="eastAsia" w:cs="宋体"/>
          <w:spacing w:val="6"/>
          <w:szCs w:val="24"/>
        </w:rPr>
        <w:t>本公司（联合体）郑重声明，根据《政府采购促进中小企业发展管理办法》（财库﹝2020﹞46 号）的规定，本公司（联合体）参加</w:t>
      </w:r>
      <w:r>
        <w:rPr>
          <w:rFonts w:hint="eastAsia" w:cs="宋体"/>
          <w:spacing w:val="6"/>
          <w:szCs w:val="24"/>
          <w:u w:val="single"/>
        </w:rPr>
        <w:t xml:space="preserve"> （单位名称）</w:t>
      </w:r>
      <w:r>
        <w:rPr>
          <w:rFonts w:hint="eastAsia" w:cs="宋体"/>
          <w:spacing w:val="6"/>
          <w:szCs w:val="24"/>
        </w:rPr>
        <w:t xml:space="preserve"> 的</w:t>
      </w:r>
      <w:r>
        <w:rPr>
          <w:rFonts w:hint="eastAsia" w:cs="宋体"/>
          <w:spacing w:val="6"/>
          <w:szCs w:val="24"/>
          <w:u w:val="single"/>
        </w:rPr>
        <w:t xml:space="preserve"> （项目名称） </w:t>
      </w:r>
      <w:r>
        <w:rPr>
          <w:rFonts w:hint="eastAsia" w:cs="宋体"/>
          <w:spacing w:val="6"/>
          <w:szCs w:val="24"/>
        </w:rPr>
        <w:t>采购活动，服务全部由符合政策要求的中小企业承接。相关企业（含联合体中的中小企业、签订分包意向协议的中小企业）的具体情况如下：</w:t>
      </w:r>
    </w:p>
    <w:p w14:paraId="46C70C1D">
      <w:pPr>
        <w:ind w:firstLine="504" w:firstLineChars="200"/>
        <w:rPr>
          <w:rFonts w:hint="eastAsia" w:cs="宋体"/>
          <w:spacing w:val="6"/>
          <w:szCs w:val="24"/>
        </w:rPr>
      </w:pPr>
      <w:r>
        <w:rPr>
          <w:rFonts w:hint="eastAsia" w:cs="宋体"/>
          <w:spacing w:val="6"/>
          <w:szCs w:val="24"/>
        </w:rPr>
        <w:t xml:space="preserve">1. </w:t>
      </w:r>
      <w:r>
        <w:rPr>
          <w:rFonts w:hint="eastAsia" w:cs="宋体"/>
          <w:spacing w:val="6"/>
          <w:szCs w:val="24"/>
          <w:u w:val="single"/>
        </w:rPr>
        <w:t xml:space="preserve">（标的名称） </w:t>
      </w:r>
      <w:r>
        <w:rPr>
          <w:rFonts w:hint="eastAsia" w:cs="宋体"/>
          <w:spacing w:val="6"/>
          <w:szCs w:val="24"/>
        </w:rPr>
        <w:t>，属于</w:t>
      </w:r>
      <w:r>
        <w:rPr>
          <w:rFonts w:hint="eastAsia" w:cs="宋体"/>
          <w:spacing w:val="6"/>
          <w:szCs w:val="24"/>
          <w:u w:val="single"/>
        </w:rPr>
        <w:t xml:space="preserve"> （采购文件中明确的所属行业） </w:t>
      </w:r>
      <w:r>
        <w:rPr>
          <w:rFonts w:hint="eastAsia" w:cs="宋体"/>
          <w:spacing w:val="6"/>
          <w:szCs w:val="24"/>
        </w:rPr>
        <w:t>；承接企业为</w:t>
      </w:r>
      <w:r>
        <w:rPr>
          <w:rFonts w:hint="eastAsia" w:cs="宋体"/>
          <w:spacing w:val="6"/>
          <w:szCs w:val="24"/>
          <w:u w:val="single"/>
        </w:rPr>
        <w:t xml:space="preserve"> （企业名称）  </w:t>
      </w:r>
      <w:r>
        <w:rPr>
          <w:rFonts w:hint="eastAsia" w:cs="宋体"/>
          <w:spacing w:val="6"/>
          <w:szCs w:val="24"/>
        </w:rPr>
        <w:t>，从业人员</w:t>
      </w:r>
      <w:r>
        <w:rPr>
          <w:rFonts w:hint="eastAsia" w:cs="宋体"/>
          <w:spacing w:val="6"/>
          <w:szCs w:val="24"/>
          <w:u w:val="single"/>
        </w:rPr>
        <w:t xml:space="preserve">     </w:t>
      </w:r>
      <w:r>
        <w:rPr>
          <w:rFonts w:hint="eastAsia" w:cs="宋体"/>
          <w:spacing w:val="6"/>
          <w:szCs w:val="24"/>
        </w:rPr>
        <w:t>人，营业收入为</w:t>
      </w:r>
      <w:r>
        <w:rPr>
          <w:rFonts w:hint="eastAsia" w:cs="宋体"/>
          <w:spacing w:val="6"/>
          <w:szCs w:val="24"/>
          <w:u w:val="single"/>
        </w:rPr>
        <w:t xml:space="preserve">       </w:t>
      </w:r>
      <w:r>
        <w:rPr>
          <w:rFonts w:hint="eastAsia" w:cs="宋体"/>
          <w:spacing w:val="6"/>
          <w:szCs w:val="24"/>
        </w:rPr>
        <w:t>万元，资产总额为</w:t>
      </w:r>
      <w:r>
        <w:rPr>
          <w:rFonts w:hint="eastAsia" w:cs="宋体"/>
          <w:spacing w:val="6"/>
          <w:szCs w:val="24"/>
          <w:u w:val="single"/>
        </w:rPr>
        <w:t xml:space="preserve">         </w:t>
      </w:r>
      <w:r>
        <w:rPr>
          <w:rFonts w:hint="eastAsia" w:cs="宋体"/>
          <w:spacing w:val="6"/>
          <w:szCs w:val="24"/>
        </w:rPr>
        <w:t>万元，属于</w:t>
      </w:r>
      <w:r>
        <w:rPr>
          <w:rFonts w:hint="eastAsia" w:cs="宋体"/>
          <w:spacing w:val="6"/>
          <w:szCs w:val="24"/>
          <w:u w:val="single"/>
        </w:rPr>
        <w:t>（中型企业、小型企业、微型企业）</w:t>
      </w:r>
      <w:r>
        <w:rPr>
          <w:rFonts w:hint="eastAsia" w:cs="宋体"/>
          <w:spacing w:val="6"/>
          <w:szCs w:val="24"/>
        </w:rPr>
        <w:t>；</w:t>
      </w:r>
    </w:p>
    <w:p w14:paraId="5D288F46">
      <w:pPr>
        <w:ind w:firstLine="504" w:firstLineChars="200"/>
        <w:rPr>
          <w:rFonts w:hint="eastAsia" w:cs="宋体"/>
          <w:spacing w:val="6"/>
          <w:szCs w:val="24"/>
        </w:rPr>
      </w:pPr>
      <w:r>
        <w:rPr>
          <w:rFonts w:hint="eastAsia" w:cs="宋体"/>
          <w:spacing w:val="6"/>
          <w:szCs w:val="24"/>
        </w:rPr>
        <w:t>2.</w:t>
      </w:r>
      <w:r>
        <w:rPr>
          <w:rFonts w:hint="eastAsia" w:cs="宋体"/>
          <w:spacing w:val="6"/>
          <w:szCs w:val="24"/>
          <w:u w:val="single"/>
        </w:rPr>
        <w:t xml:space="preserve"> （标的名称）</w:t>
      </w:r>
      <w:r>
        <w:rPr>
          <w:rFonts w:hint="eastAsia" w:cs="宋体"/>
          <w:spacing w:val="6"/>
          <w:szCs w:val="24"/>
        </w:rPr>
        <w:t xml:space="preserve"> ，属于</w:t>
      </w:r>
      <w:r>
        <w:rPr>
          <w:rFonts w:hint="eastAsia" w:cs="宋体"/>
          <w:spacing w:val="6"/>
          <w:szCs w:val="24"/>
          <w:u w:val="single"/>
        </w:rPr>
        <w:t xml:space="preserve"> （采购文件中明确的所属行业） </w:t>
      </w:r>
      <w:r>
        <w:rPr>
          <w:rFonts w:hint="eastAsia" w:cs="宋体"/>
          <w:spacing w:val="6"/>
          <w:szCs w:val="24"/>
        </w:rPr>
        <w:t>；承接企业为</w:t>
      </w:r>
      <w:r>
        <w:rPr>
          <w:rFonts w:hint="eastAsia" w:cs="宋体"/>
          <w:spacing w:val="6"/>
          <w:szCs w:val="24"/>
          <w:u w:val="single"/>
        </w:rPr>
        <w:t xml:space="preserve"> （企业名称）  </w:t>
      </w:r>
      <w:r>
        <w:rPr>
          <w:rFonts w:hint="eastAsia" w:cs="宋体"/>
          <w:spacing w:val="6"/>
          <w:szCs w:val="24"/>
        </w:rPr>
        <w:t>，从业人员</w:t>
      </w:r>
      <w:r>
        <w:rPr>
          <w:rFonts w:hint="eastAsia" w:cs="宋体"/>
          <w:spacing w:val="6"/>
          <w:szCs w:val="24"/>
          <w:u w:val="single"/>
        </w:rPr>
        <w:t xml:space="preserve">     </w:t>
      </w:r>
      <w:r>
        <w:rPr>
          <w:rFonts w:hint="eastAsia" w:cs="宋体"/>
          <w:spacing w:val="6"/>
          <w:szCs w:val="24"/>
        </w:rPr>
        <w:t>人，营业收入为</w:t>
      </w:r>
      <w:r>
        <w:rPr>
          <w:rFonts w:hint="eastAsia" w:cs="宋体"/>
          <w:spacing w:val="6"/>
          <w:szCs w:val="24"/>
          <w:u w:val="single"/>
        </w:rPr>
        <w:t xml:space="preserve">       </w:t>
      </w:r>
      <w:r>
        <w:rPr>
          <w:rFonts w:hint="eastAsia" w:cs="宋体"/>
          <w:spacing w:val="6"/>
          <w:szCs w:val="24"/>
        </w:rPr>
        <w:t>万元，资产总额为</w:t>
      </w:r>
      <w:r>
        <w:rPr>
          <w:rFonts w:hint="eastAsia" w:cs="宋体"/>
          <w:spacing w:val="6"/>
          <w:szCs w:val="24"/>
          <w:u w:val="single"/>
        </w:rPr>
        <w:t xml:space="preserve">         </w:t>
      </w:r>
      <w:r>
        <w:rPr>
          <w:rFonts w:hint="eastAsia" w:cs="宋体"/>
          <w:spacing w:val="6"/>
          <w:szCs w:val="24"/>
        </w:rPr>
        <w:t>万元，属于</w:t>
      </w:r>
      <w:r>
        <w:rPr>
          <w:rFonts w:hint="eastAsia" w:cs="宋体"/>
          <w:spacing w:val="6"/>
          <w:szCs w:val="24"/>
          <w:u w:val="single"/>
        </w:rPr>
        <w:t>（中型企业、小型企业、微型企业）</w:t>
      </w:r>
      <w:r>
        <w:rPr>
          <w:rFonts w:hint="eastAsia" w:cs="宋体"/>
          <w:spacing w:val="6"/>
          <w:szCs w:val="24"/>
        </w:rPr>
        <w:t>；</w:t>
      </w:r>
    </w:p>
    <w:p w14:paraId="780D48FE">
      <w:pPr>
        <w:ind w:firstLine="504" w:firstLineChars="200"/>
        <w:rPr>
          <w:rFonts w:hint="eastAsia" w:cs="宋体"/>
          <w:spacing w:val="6"/>
          <w:szCs w:val="24"/>
        </w:rPr>
      </w:pPr>
      <w:r>
        <w:rPr>
          <w:rFonts w:hint="eastAsia" w:cs="宋体"/>
          <w:spacing w:val="6"/>
          <w:szCs w:val="24"/>
        </w:rPr>
        <w:t>……</w:t>
      </w:r>
    </w:p>
    <w:p w14:paraId="30B62CF0">
      <w:pPr>
        <w:ind w:firstLine="504" w:firstLineChars="200"/>
        <w:rPr>
          <w:rFonts w:hint="eastAsia" w:cs="宋体"/>
          <w:spacing w:val="6"/>
          <w:szCs w:val="24"/>
        </w:rPr>
      </w:pPr>
      <w:r>
        <w:rPr>
          <w:rFonts w:hint="eastAsia" w:cs="宋体"/>
          <w:spacing w:val="6"/>
          <w:szCs w:val="24"/>
        </w:rPr>
        <w:t>以上企业，不属于大企业的分支机构，不存在控股股东为大企业的情形，也不存在与大企业的负责人为同一人的情形。</w:t>
      </w:r>
    </w:p>
    <w:p w14:paraId="57E6C5FB">
      <w:pPr>
        <w:ind w:firstLine="504" w:firstLineChars="200"/>
        <w:rPr>
          <w:rFonts w:hint="eastAsia" w:cs="宋体"/>
          <w:spacing w:val="6"/>
          <w:szCs w:val="24"/>
        </w:rPr>
      </w:pPr>
      <w:r>
        <w:rPr>
          <w:rFonts w:hint="eastAsia" w:cs="宋体"/>
          <w:spacing w:val="6"/>
          <w:szCs w:val="24"/>
        </w:rPr>
        <w:t>本企业对上述声明内容的真实性负责。如有虚假，将依法承担相应责任。</w:t>
      </w:r>
    </w:p>
    <w:p w14:paraId="4B46235F">
      <w:pPr>
        <w:ind w:firstLine="504" w:firstLineChars="200"/>
        <w:rPr>
          <w:rFonts w:hint="eastAsia" w:cs="宋体"/>
          <w:spacing w:val="6"/>
          <w:szCs w:val="24"/>
        </w:rPr>
      </w:pPr>
    </w:p>
    <w:p w14:paraId="5CC7D0A5">
      <w:pPr>
        <w:ind w:right="1008" w:firstLine="4788" w:firstLineChars="1900"/>
        <w:rPr>
          <w:rFonts w:hint="eastAsia" w:cs="宋体"/>
          <w:spacing w:val="6"/>
          <w:szCs w:val="24"/>
        </w:rPr>
      </w:pPr>
    </w:p>
    <w:p w14:paraId="789C41AC">
      <w:pPr>
        <w:ind w:right="1008" w:firstLine="4284" w:firstLineChars="1700"/>
        <w:rPr>
          <w:rFonts w:hint="eastAsia" w:cs="宋体"/>
          <w:spacing w:val="6"/>
          <w:szCs w:val="24"/>
        </w:rPr>
      </w:pPr>
      <w:r>
        <w:rPr>
          <w:rFonts w:hint="eastAsia" w:cs="宋体"/>
          <w:spacing w:val="6"/>
          <w:szCs w:val="24"/>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spacing w:val="6"/>
          <w:szCs w:val="24"/>
        </w:rPr>
        <w:t>：</w:t>
      </w:r>
    </w:p>
    <w:p w14:paraId="1D906DBB">
      <w:pPr>
        <w:ind w:right="1008" w:firstLine="4284" w:firstLineChars="1700"/>
        <w:rPr>
          <w:rFonts w:hint="eastAsia" w:cs="宋体"/>
          <w:spacing w:val="6"/>
          <w:szCs w:val="24"/>
        </w:rPr>
      </w:pPr>
      <w:r>
        <w:rPr>
          <w:rFonts w:hint="eastAsia" w:cs="宋体"/>
          <w:spacing w:val="6"/>
          <w:szCs w:val="24"/>
        </w:rPr>
        <w:t>日期：   年  月  日</w:t>
      </w:r>
    </w:p>
    <w:p w14:paraId="48CE575B">
      <w:pPr>
        <w:ind w:firstLine="504" w:firstLineChars="200"/>
        <w:rPr>
          <w:rFonts w:hint="eastAsia" w:cs="宋体"/>
          <w:spacing w:val="6"/>
          <w:szCs w:val="24"/>
        </w:rPr>
      </w:pPr>
    </w:p>
    <w:p w14:paraId="2EFA0F48">
      <w:pPr>
        <w:rPr>
          <w:rFonts w:hint="eastAsia" w:cs="宋体"/>
          <w:b/>
          <w:bCs/>
          <w:spacing w:val="6"/>
          <w:sz w:val="21"/>
          <w:szCs w:val="21"/>
        </w:rPr>
      </w:pPr>
      <w:r>
        <w:rPr>
          <w:rFonts w:hint="eastAsia" w:cs="宋体"/>
          <w:b/>
          <w:bCs/>
          <w:spacing w:val="6"/>
          <w:sz w:val="21"/>
          <w:szCs w:val="21"/>
        </w:rPr>
        <w:t>说明：1.重要提示：供应商应仔细阅读本函附件1关于“中小企业声明函”的填写要求及提交要求，否则，因填写或提交等产生的一切不利后果，须自行承担。</w:t>
      </w:r>
    </w:p>
    <w:p w14:paraId="4A291319">
      <w:pPr>
        <w:ind w:firstLine="668" w:firstLineChars="300"/>
        <w:rPr>
          <w:rFonts w:hint="eastAsia" w:cs="宋体"/>
          <w:spacing w:val="6"/>
          <w:sz w:val="21"/>
          <w:szCs w:val="21"/>
        </w:rPr>
      </w:pPr>
      <w:r>
        <w:rPr>
          <w:rFonts w:hint="eastAsia" w:cs="宋体"/>
          <w:b/>
          <w:bCs/>
          <w:spacing w:val="6"/>
          <w:sz w:val="21"/>
          <w:szCs w:val="21"/>
        </w:rPr>
        <w:t>2.</w:t>
      </w:r>
      <w:r>
        <w:rPr>
          <w:rFonts w:hint="eastAsia" w:cs="宋体"/>
          <w:spacing w:val="6"/>
          <w:sz w:val="21"/>
          <w:szCs w:val="21"/>
        </w:rPr>
        <w:t>从业人员、营业收入、资产总额填报上一年度数据，无上一年度数据的新成立企业可不填报。</w:t>
      </w:r>
    </w:p>
    <w:p w14:paraId="24CE8D09">
      <w:pPr>
        <w:spacing w:line="360" w:lineRule="exact"/>
        <w:rPr>
          <w:rFonts w:hint="eastAsia"/>
          <w:b/>
          <w:bCs/>
        </w:rPr>
      </w:pPr>
    </w:p>
    <w:p w14:paraId="23055BC7">
      <w:pPr>
        <w:spacing w:line="360" w:lineRule="exact"/>
        <w:rPr>
          <w:rFonts w:hint="eastAsia"/>
          <w:b/>
          <w:bCs/>
        </w:rPr>
      </w:pPr>
    </w:p>
    <w:p w14:paraId="1F9E9C0A">
      <w:pPr>
        <w:spacing w:line="360" w:lineRule="exact"/>
        <w:rPr>
          <w:rFonts w:hint="eastAsia"/>
          <w:b/>
          <w:bCs/>
        </w:rPr>
      </w:pPr>
    </w:p>
    <w:p w14:paraId="22D4EEB2">
      <w:pPr>
        <w:spacing w:line="360" w:lineRule="exact"/>
        <w:rPr>
          <w:rFonts w:hint="eastAsia"/>
          <w:b/>
          <w:bCs/>
        </w:rPr>
      </w:pPr>
      <w:r>
        <w:rPr>
          <w:rFonts w:hint="eastAsia"/>
          <w:b/>
          <w:bCs/>
        </w:rPr>
        <w:t xml:space="preserve">附件1 </w:t>
      </w:r>
    </w:p>
    <w:p w14:paraId="5DD5EBF1">
      <w:pPr>
        <w:widowControl/>
        <w:ind w:firstLine="482" w:firstLineChars="200"/>
        <w:rPr>
          <w:rStyle w:val="34"/>
          <w:rFonts w:hint="eastAsia" w:cs="宋体"/>
          <w:kern w:val="0"/>
          <w:sz w:val="28"/>
          <w:szCs w:val="28"/>
          <w:lang w:bidi="ar"/>
        </w:rPr>
      </w:pPr>
      <w:r>
        <w:rPr>
          <w:rStyle w:val="34"/>
          <w:rFonts w:hint="eastAsia" w:cs="宋体"/>
          <w:kern w:val="0"/>
          <w:szCs w:val="24"/>
          <w:lang w:bidi="ar"/>
        </w:rPr>
        <w:t>（一）关于“中小企业声明函”的填写要求</w:t>
      </w:r>
    </w:p>
    <w:p w14:paraId="72C96F1D">
      <w:pPr>
        <w:widowControl/>
        <w:ind w:firstLine="480" w:firstLineChars="200"/>
        <w:rPr>
          <w:rFonts w:hint="eastAsia" w:cs="宋体"/>
          <w:kern w:val="0"/>
          <w:szCs w:val="28"/>
          <w:lang w:bidi="ar"/>
        </w:rPr>
      </w:pPr>
      <w:r>
        <w:rPr>
          <w:rFonts w:hint="eastAsia" w:cs="宋体"/>
          <w:kern w:val="0"/>
          <w:szCs w:val="28"/>
          <w:lang w:bidi="ar"/>
        </w:rPr>
        <w:t>“中小企业声明函”具体填写要求如下：</w:t>
      </w:r>
    </w:p>
    <w:p w14:paraId="34B8A153">
      <w:pPr>
        <w:widowControl/>
        <w:ind w:firstLine="480" w:firstLineChars="200"/>
        <w:rPr>
          <w:rFonts w:hint="eastAsia" w:cs="宋体"/>
          <w:kern w:val="0"/>
          <w:szCs w:val="28"/>
          <w:lang w:bidi="ar"/>
        </w:rPr>
      </w:pPr>
      <w:r>
        <w:rPr>
          <w:rFonts w:hint="eastAsia" w:cs="宋体"/>
          <w:kern w:val="0"/>
          <w:szCs w:val="28"/>
          <w:lang w:bidi="ar"/>
        </w:rPr>
        <w:t>1.“单位名称”应填写采购人名称。</w:t>
      </w:r>
    </w:p>
    <w:p w14:paraId="2A11B54F">
      <w:pPr>
        <w:widowControl/>
        <w:ind w:firstLine="480" w:firstLineChars="200"/>
        <w:rPr>
          <w:rFonts w:hint="eastAsia" w:cs="宋体"/>
          <w:kern w:val="0"/>
          <w:szCs w:val="28"/>
          <w:lang w:bidi="ar"/>
        </w:rPr>
      </w:pPr>
      <w:r>
        <w:rPr>
          <w:rFonts w:hint="eastAsia" w:cs="宋体"/>
          <w:kern w:val="0"/>
          <w:szCs w:val="28"/>
          <w:lang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4656E78">
      <w:pPr>
        <w:widowControl/>
        <w:ind w:firstLine="480" w:firstLineChars="200"/>
        <w:rPr>
          <w:rFonts w:hint="eastAsia" w:cs="宋体"/>
          <w:kern w:val="0"/>
          <w:szCs w:val="28"/>
          <w:lang w:bidi="ar"/>
        </w:rPr>
      </w:pPr>
      <w:r>
        <w:rPr>
          <w:rFonts w:hint="eastAsia" w:cs="宋体"/>
          <w:kern w:val="0"/>
          <w:szCs w:val="28"/>
          <w:lang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424BB21B">
      <w:pPr>
        <w:widowControl/>
        <w:ind w:firstLine="480" w:firstLineChars="200"/>
        <w:rPr>
          <w:rFonts w:hint="eastAsia" w:cs="宋体"/>
          <w:kern w:val="0"/>
          <w:szCs w:val="28"/>
          <w:lang w:bidi="ar"/>
        </w:rPr>
      </w:pPr>
      <w:r>
        <w:rPr>
          <w:rFonts w:hint="eastAsia" w:cs="宋体"/>
          <w:kern w:val="0"/>
          <w:szCs w:val="28"/>
          <w:lang w:bidi="ar"/>
        </w:rPr>
        <w:t>4.“采购文件中明确的所属行业”应填写采购文件中明确的采购标的所属行业，并应确保与采购标的涉及的货物制造商/服务承接商/工程承建商（根据项目属性确定）本身的所属行业保持一致。</w:t>
      </w:r>
    </w:p>
    <w:p w14:paraId="6CFC9EB5">
      <w:pPr>
        <w:widowControl/>
        <w:ind w:firstLine="480" w:firstLineChars="200"/>
        <w:rPr>
          <w:rFonts w:hint="eastAsia" w:cs="宋体"/>
          <w:kern w:val="0"/>
          <w:szCs w:val="28"/>
          <w:lang w:bidi="ar"/>
        </w:rPr>
      </w:pPr>
      <w:r>
        <w:rPr>
          <w:rFonts w:hint="eastAsia" w:cs="宋体"/>
          <w:kern w:val="0"/>
          <w:szCs w:val="28"/>
          <w:lang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2616AFC">
      <w:pPr>
        <w:widowControl/>
        <w:ind w:firstLine="480" w:firstLineChars="200"/>
        <w:rPr>
          <w:rFonts w:hint="eastAsia" w:cs="宋体"/>
          <w:kern w:val="0"/>
          <w:szCs w:val="28"/>
          <w:lang w:bidi="ar"/>
        </w:rPr>
      </w:pPr>
      <w:r>
        <w:rPr>
          <w:rFonts w:hint="eastAsia" w:cs="宋体"/>
          <w:kern w:val="0"/>
          <w:szCs w:val="28"/>
          <w:lang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5E52084E">
      <w:pPr>
        <w:widowControl/>
        <w:ind w:firstLine="480" w:firstLineChars="200"/>
        <w:rPr>
          <w:rFonts w:hint="eastAsia" w:cs="宋体"/>
          <w:kern w:val="0"/>
          <w:szCs w:val="28"/>
          <w:lang w:bidi="ar"/>
        </w:rPr>
      </w:pPr>
      <w:r>
        <w:rPr>
          <w:rFonts w:hint="eastAsia" w:cs="宋体"/>
          <w:kern w:val="0"/>
          <w:szCs w:val="28"/>
          <w:lang w:bidi="ar"/>
        </w:rPr>
        <w:t>5.“企业名称”应填写投标（响应）的货物制造商/服务承接商/工程承建商（根据项目属性确定）。</w:t>
      </w:r>
    </w:p>
    <w:p w14:paraId="0C159279">
      <w:pPr>
        <w:widowControl/>
        <w:ind w:firstLine="480" w:firstLineChars="200"/>
        <w:rPr>
          <w:rFonts w:hint="eastAsia" w:cs="宋体"/>
          <w:kern w:val="0"/>
          <w:szCs w:val="28"/>
          <w:lang w:bidi="ar"/>
        </w:rPr>
      </w:pPr>
      <w:r>
        <w:rPr>
          <w:rFonts w:hint="eastAsia" w:cs="宋体"/>
          <w:kern w:val="0"/>
          <w:szCs w:val="28"/>
          <w:lang w:bidi="ar"/>
        </w:rPr>
        <w:t>对于分包方式面向中小企业采购的项目，“企业名称”应填写分包部分采购标的对应的货物制造商/服务承接商/工程承建商（根据项目属性确定）。</w:t>
      </w:r>
    </w:p>
    <w:p w14:paraId="32A0E248">
      <w:pPr>
        <w:widowControl/>
        <w:ind w:firstLine="480" w:firstLineChars="200"/>
        <w:rPr>
          <w:rFonts w:hint="eastAsia" w:cs="宋体"/>
          <w:kern w:val="0"/>
          <w:szCs w:val="28"/>
          <w:lang w:bidi="ar"/>
        </w:rPr>
      </w:pPr>
      <w:r>
        <w:rPr>
          <w:rFonts w:hint="eastAsia" w:cs="宋体"/>
          <w:kern w:val="0"/>
          <w:szCs w:val="28"/>
          <w:lang w:bidi="ar"/>
        </w:rPr>
        <w:t>对于以联合体方式面向中小企业采购的项目，“企业名称”应填写联合体中中小企业承担采购标的对应的货物制造商/服务承接商/工程承建商（根据项目属性确定）。</w:t>
      </w:r>
    </w:p>
    <w:p w14:paraId="6115B214">
      <w:pPr>
        <w:widowControl/>
        <w:ind w:firstLine="480" w:firstLineChars="200"/>
        <w:rPr>
          <w:rFonts w:hint="eastAsia" w:cs="宋体"/>
          <w:kern w:val="0"/>
          <w:szCs w:val="28"/>
          <w:lang w:bidi="ar"/>
        </w:rPr>
      </w:pPr>
      <w:r>
        <w:rPr>
          <w:rFonts w:hint="eastAsia" w:cs="宋体"/>
          <w:kern w:val="0"/>
          <w:szCs w:val="28"/>
          <w:lang w:bidi="ar"/>
        </w:rPr>
        <w:t>6.从业人员、资产总额指标以上年度末数据为依据，营业收入指标以上年度累计数据为依据。无上年度数据的新成立企业可不填报。</w:t>
      </w:r>
    </w:p>
    <w:p w14:paraId="185DA5E0">
      <w:pPr>
        <w:widowControl/>
        <w:ind w:firstLine="480" w:firstLineChars="200"/>
        <w:rPr>
          <w:rFonts w:hint="eastAsia" w:cs="宋体"/>
          <w:kern w:val="0"/>
          <w:szCs w:val="28"/>
          <w:lang w:bidi="ar"/>
        </w:rPr>
      </w:pPr>
      <w:r>
        <w:rPr>
          <w:rFonts w:hint="eastAsia" w:cs="宋体"/>
          <w:kern w:val="0"/>
          <w:szCs w:val="28"/>
          <w:lang w:bidi="ar"/>
        </w:rPr>
        <w:t>7.“中型企业/小型企业/微型企业”部分，供应商应依据企业上年度从业人员、营业收入、资产总额等指标，按照《中小企业划型标准规定》（工信部联企业〔2011〕300号）、《金融业企业划型标准规定》（银发〔2015〕309号），判断“中小企业声明函”载明的货物制造商/服务承接商/工程承建商（根据项目属性确定）是否属于采购文件所属行业的中型企业/小型企业/微型企业。</w:t>
      </w:r>
    </w:p>
    <w:p w14:paraId="5BB13879">
      <w:pPr>
        <w:widowControl/>
        <w:ind w:firstLine="480" w:firstLineChars="200"/>
        <w:rPr>
          <w:rFonts w:hint="eastAsia" w:cs="宋体"/>
          <w:kern w:val="0"/>
          <w:szCs w:val="28"/>
          <w:lang w:bidi="ar"/>
        </w:rPr>
      </w:pPr>
      <w:r>
        <w:rPr>
          <w:rFonts w:hint="eastAsia" w:cs="宋体"/>
          <w:kern w:val="0"/>
          <w:szCs w:val="28"/>
          <w:lang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38D05957">
      <w:pPr>
        <w:widowControl/>
        <w:ind w:firstLine="482" w:firstLineChars="200"/>
        <w:rPr>
          <w:rStyle w:val="34"/>
          <w:rFonts w:hint="eastAsia" w:cs="宋体"/>
          <w:kern w:val="0"/>
          <w:szCs w:val="24"/>
          <w:lang w:bidi="ar"/>
        </w:rPr>
      </w:pPr>
      <w:r>
        <w:rPr>
          <w:rStyle w:val="34"/>
          <w:rFonts w:hint="eastAsia" w:cs="宋体"/>
          <w:kern w:val="0"/>
          <w:szCs w:val="24"/>
          <w:lang w:bidi="ar"/>
        </w:rPr>
        <w:t>（二）关于“中小企业声明函”的提交要求</w:t>
      </w:r>
    </w:p>
    <w:p w14:paraId="2C004136">
      <w:pPr>
        <w:widowControl/>
        <w:ind w:firstLine="480" w:firstLineChars="200"/>
        <w:rPr>
          <w:rFonts w:hint="eastAsia" w:cs="宋体"/>
          <w:kern w:val="0"/>
          <w:szCs w:val="28"/>
          <w:lang w:bidi="ar"/>
        </w:rPr>
      </w:pPr>
      <w:r>
        <w:rPr>
          <w:rFonts w:hint="eastAsia" w:cs="宋体"/>
          <w:kern w:val="0"/>
          <w:szCs w:val="28"/>
          <w:lang w:bidi="ar"/>
        </w:rPr>
        <w:t>1.投标（响应）供应商对“中小企业声明函”的真实性负责。投标（响应）供应商应当核实投标（响应）的货物制造商/服务承接商/工程承建商（根据项目属性确定）的相关信息，如对相关信息了解不充分，或者不能确定相关信息真实、准确的，不建议出具“中小企业声明函”。</w:t>
      </w:r>
    </w:p>
    <w:p w14:paraId="20D28FF5">
      <w:pPr>
        <w:widowControl/>
        <w:ind w:firstLine="480" w:firstLineChars="200"/>
        <w:rPr>
          <w:rFonts w:hint="eastAsia" w:cs="宋体"/>
          <w:kern w:val="0"/>
          <w:szCs w:val="28"/>
          <w:lang w:bidi="ar"/>
        </w:rPr>
      </w:pPr>
      <w:r>
        <w:rPr>
          <w:rFonts w:hint="eastAsia" w:cs="宋体"/>
          <w:kern w:val="0"/>
          <w:szCs w:val="28"/>
          <w:lang w:bidi="ar"/>
        </w:rPr>
        <w:t>2.鼓励供应商在投标（响应）时一并提供对货物制造商、服务承接商、工程承建商相关信息的核实核验情况以及其他佐证材料。</w:t>
      </w:r>
    </w:p>
    <w:p w14:paraId="48E96D97">
      <w:pPr>
        <w:widowControl/>
        <w:ind w:firstLine="480" w:firstLineChars="200"/>
        <w:rPr>
          <w:rFonts w:hint="eastAsia" w:cs="宋体"/>
          <w:kern w:val="0"/>
          <w:szCs w:val="28"/>
          <w:lang w:bidi="ar"/>
        </w:rPr>
      </w:pPr>
      <w:r>
        <w:rPr>
          <w:rFonts w:hint="eastAsia" w:cs="宋体"/>
          <w:kern w:val="0"/>
          <w:szCs w:val="28"/>
          <w:lang w:bidi="ar"/>
        </w:rPr>
        <w:t>3.如供应商提供的“中小企业声明函”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E1E0D8D">
      <w:pPr>
        <w:rPr>
          <w:rFonts w:hint="eastAsia" w:cs="宋体"/>
          <w:spacing w:val="6"/>
          <w:sz w:val="21"/>
          <w:szCs w:val="21"/>
        </w:rPr>
      </w:pPr>
      <w:r>
        <w:rPr>
          <w:rFonts w:cs="宋体"/>
          <w:spacing w:val="6"/>
          <w:sz w:val="21"/>
          <w:szCs w:val="21"/>
        </w:rPr>
        <w:br w:type="page"/>
      </w:r>
    </w:p>
    <w:p w14:paraId="21FAAFF1">
      <w:pPr>
        <w:spacing w:line="360" w:lineRule="exact"/>
        <w:rPr>
          <w:rFonts w:hint="eastAsia"/>
          <w:b/>
          <w:bCs/>
        </w:rPr>
      </w:pPr>
      <w:r>
        <w:rPr>
          <w:rFonts w:hint="eastAsia"/>
          <w:b/>
          <w:bCs/>
        </w:rPr>
        <w:t>附件2：</w:t>
      </w:r>
    </w:p>
    <w:p w14:paraId="293C8299">
      <w:pPr>
        <w:pStyle w:val="19"/>
        <w:spacing w:line="240" w:lineRule="auto"/>
        <w:jc w:val="center"/>
        <w:rPr>
          <w:rFonts w:hint="eastAsia" w:hAnsi="宋体" w:cs="宋体"/>
          <w:b/>
          <w:sz w:val="32"/>
          <w:szCs w:val="32"/>
        </w:rPr>
      </w:pPr>
      <w:r>
        <w:rPr>
          <w:rFonts w:hint="eastAsia" w:hAnsi="宋体" w:cs="宋体"/>
          <w:b/>
          <w:sz w:val="32"/>
          <w:szCs w:val="32"/>
        </w:rPr>
        <w:t>关于印发中小企业划型标准规定的通知</w:t>
      </w:r>
    </w:p>
    <w:p w14:paraId="116AFD74">
      <w:pPr>
        <w:spacing w:line="360" w:lineRule="exact"/>
        <w:jc w:val="center"/>
        <w:rPr>
          <w:rStyle w:val="34"/>
          <w:rFonts w:hint="eastAsia" w:cs="宋体"/>
          <w:b w:val="0"/>
          <w:szCs w:val="24"/>
        </w:rPr>
      </w:pPr>
      <w:r>
        <w:rPr>
          <w:rStyle w:val="34"/>
          <w:rFonts w:hint="eastAsia" w:cs="宋体"/>
          <w:b w:val="0"/>
          <w:szCs w:val="24"/>
        </w:rPr>
        <w:t>工信部联企业〔2011〕300号</w:t>
      </w:r>
    </w:p>
    <w:p w14:paraId="508A04C3">
      <w:pPr>
        <w:spacing w:line="360" w:lineRule="exact"/>
        <w:jc w:val="center"/>
        <w:rPr>
          <w:rStyle w:val="34"/>
          <w:rFonts w:hint="eastAsia" w:cs="宋体"/>
          <w:b w:val="0"/>
          <w:szCs w:val="24"/>
        </w:rPr>
      </w:pPr>
    </w:p>
    <w:p w14:paraId="59E57A77">
      <w:pPr>
        <w:spacing w:line="360" w:lineRule="exact"/>
        <w:rPr>
          <w:rStyle w:val="34"/>
          <w:rFonts w:hint="eastAsia" w:cs="宋体"/>
          <w:b w:val="0"/>
          <w:szCs w:val="24"/>
        </w:rPr>
      </w:pPr>
      <w:r>
        <w:rPr>
          <w:rStyle w:val="34"/>
          <w:rFonts w:hint="eastAsia" w:cs="宋体"/>
          <w:b w:val="0"/>
          <w:szCs w:val="24"/>
        </w:rPr>
        <w:t>各省、自治区、直辖市人民政府，国务院各部委、各直属机构及有关单位：</w:t>
      </w:r>
    </w:p>
    <w:p w14:paraId="539807F6">
      <w:pPr>
        <w:spacing w:line="360" w:lineRule="exact"/>
        <w:rPr>
          <w:rStyle w:val="34"/>
          <w:rFonts w:hint="eastAsia" w:cs="宋体"/>
          <w:b w:val="0"/>
          <w:bCs w:val="0"/>
          <w:szCs w:val="24"/>
        </w:rPr>
      </w:pPr>
      <w:r>
        <w:rPr>
          <w:rStyle w:val="34"/>
          <w:rFonts w:hint="eastAsia" w:cs="宋体"/>
          <w:b w:val="0"/>
          <w:bCs w:val="0"/>
          <w:szCs w:val="24"/>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0A765551">
      <w:pPr>
        <w:spacing w:line="360" w:lineRule="exact"/>
        <w:jc w:val="right"/>
        <w:rPr>
          <w:rStyle w:val="34"/>
          <w:rFonts w:hint="eastAsia" w:cs="宋体"/>
          <w:b w:val="0"/>
          <w:bCs w:val="0"/>
          <w:szCs w:val="24"/>
        </w:rPr>
      </w:pPr>
      <w:r>
        <w:rPr>
          <w:rStyle w:val="34"/>
          <w:rFonts w:hint="eastAsia" w:cs="宋体"/>
          <w:b w:val="0"/>
          <w:bCs w:val="0"/>
          <w:szCs w:val="24"/>
        </w:rPr>
        <w:t>工业和信息化部　国家统计局</w:t>
      </w:r>
    </w:p>
    <w:p w14:paraId="78B3BBF2">
      <w:pPr>
        <w:spacing w:line="360" w:lineRule="exact"/>
        <w:jc w:val="right"/>
        <w:rPr>
          <w:rStyle w:val="34"/>
          <w:rFonts w:hint="eastAsia" w:cs="宋体"/>
          <w:b w:val="0"/>
          <w:bCs w:val="0"/>
          <w:szCs w:val="24"/>
        </w:rPr>
      </w:pPr>
      <w:r>
        <w:rPr>
          <w:rStyle w:val="34"/>
          <w:rFonts w:hint="eastAsia" w:cs="宋体"/>
          <w:b w:val="0"/>
          <w:bCs w:val="0"/>
          <w:szCs w:val="24"/>
        </w:rPr>
        <w:t>国家发展和改革委员会　财政部</w:t>
      </w:r>
    </w:p>
    <w:p w14:paraId="223E239C">
      <w:pPr>
        <w:spacing w:line="360" w:lineRule="exact"/>
        <w:jc w:val="right"/>
        <w:rPr>
          <w:rStyle w:val="34"/>
          <w:rFonts w:hint="eastAsia" w:cs="宋体"/>
          <w:b w:val="0"/>
          <w:bCs w:val="0"/>
          <w:szCs w:val="24"/>
        </w:rPr>
      </w:pPr>
      <w:r>
        <w:rPr>
          <w:rStyle w:val="34"/>
          <w:rFonts w:hint="eastAsia" w:cs="宋体"/>
          <w:b w:val="0"/>
          <w:bCs w:val="0"/>
          <w:szCs w:val="24"/>
        </w:rPr>
        <w:t>二○一一年六月十八日</w:t>
      </w:r>
    </w:p>
    <w:p w14:paraId="44E8D257">
      <w:pPr>
        <w:spacing w:line="360" w:lineRule="exact"/>
        <w:rPr>
          <w:rStyle w:val="34"/>
          <w:rFonts w:hint="eastAsia" w:cs="宋体"/>
          <w:b w:val="0"/>
          <w:bCs w:val="0"/>
          <w:szCs w:val="24"/>
        </w:rPr>
      </w:pPr>
      <w:r>
        <w:rPr>
          <w:rStyle w:val="34"/>
          <w:rFonts w:hint="eastAsia" w:cs="宋体"/>
          <w:b w:val="0"/>
          <w:bCs w:val="0"/>
          <w:szCs w:val="24"/>
        </w:rPr>
        <w:t xml:space="preserve"> </w:t>
      </w:r>
    </w:p>
    <w:p w14:paraId="32DA3610">
      <w:pPr>
        <w:spacing w:line="400" w:lineRule="exact"/>
        <w:jc w:val="center"/>
        <w:rPr>
          <w:rStyle w:val="34"/>
          <w:rFonts w:hint="eastAsia" w:cs="宋体"/>
          <w:bCs w:val="0"/>
          <w:sz w:val="28"/>
          <w:szCs w:val="28"/>
        </w:rPr>
      </w:pPr>
      <w:r>
        <w:rPr>
          <w:rStyle w:val="34"/>
          <w:rFonts w:hint="eastAsia" w:cs="宋体"/>
          <w:bCs w:val="0"/>
          <w:sz w:val="28"/>
          <w:szCs w:val="28"/>
        </w:rPr>
        <w:t>中小企业划型标准规定</w:t>
      </w:r>
    </w:p>
    <w:p w14:paraId="7858D136">
      <w:pPr>
        <w:spacing w:line="400" w:lineRule="exact"/>
        <w:rPr>
          <w:rStyle w:val="34"/>
          <w:rFonts w:hint="eastAsia" w:cs="宋体"/>
          <w:b w:val="0"/>
          <w:bCs w:val="0"/>
          <w:szCs w:val="24"/>
        </w:rPr>
      </w:pPr>
      <w:r>
        <w:rPr>
          <w:rStyle w:val="34"/>
          <w:rFonts w:hint="eastAsia" w:cs="宋体"/>
          <w:b w:val="0"/>
          <w:bCs w:val="0"/>
          <w:szCs w:val="24"/>
        </w:rPr>
        <w:t>　　一、根据《中华人民共和国中小企业促进法》和《国务院关于进一步促进中小企业发展的若干意见》(国发〔2009〕36号)，制定本规定。</w:t>
      </w:r>
    </w:p>
    <w:p w14:paraId="025EF6D0">
      <w:pPr>
        <w:spacing w:line="400" w:lineRule="exact"/>
        <w:rPr>
          <w:rStyle w:val="34"/>
          <w:rFonts w:hint="eastAsia" w:cs="宋体"/>
          <w:b w:val="0"/>
          <w:bCs w:val="0"/>
          <w:szCs w:val="24"/>
        </w:rPr>
      </w:pPr>
      <w:r>
        <w:rPr>
          <w:rStyle w:val="34"/>
          <w:rFonts w:hint="eastAsia" w:cs="宋体"/>
          <w:b w:val="0"/>
          <w:bCs w:val="0"/>
          <w:szCs w:val="24"/>
        </w:rPr>
        <w:t>　　二、中小企业划分为中型、小型、微型三种类型，具体标准根据企业从业人员、营业收入、资产总额等指标，结合行业特点制定。</w:t>
      </w:r>
    </w:p>
    <w:p w14:paraId="102F3626">
      <w:pPr>
        <w:spacing w:line="400" w:lineRule="exact"/>
        <w:rPr>
          <w:rStyle w:val="34"/>
          <w:rFonts w:hint="eastAsia" w:cs="宋体"/>
          <w:b w:val="0"/>
          <w:bCs w:val="0"/>
          <w:szCs w:val="24"/>
        </w:rPr>
      </w:pPr>
      <w:r>
        <w:rPr>
          <w:rStyle w:val="34"/>
          <w:rFonts w:hint="eastAsia" w:cs="宋体"/>
          <w:b w:val="0"/>
          <w:bCs w:val="0"/>
          <w:szCs w:val="24"/>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E3D0634">
      <w:pPr>
        <w:spacing w:line="400" w:lineRule="exact"/>
        <w:rPr>
          <w:rStyle w:val="34"/>
          <w:rFonts w:hint="eastAsia" w:cs="宋体"/>
          <w:b w:val="0"/>
          <w:bCs w:val="0"/>
          <w:szCs w:val="24"/>
        </w:rPr>
      </w:pPr>
      <w:r>
        <w:rPr>
          <w:rStyle w:val="34"/>
          <w:rFonts w:hint="eastAsia" w:cs="宋体"/>
          <w:b w:val="0"/>
          <w:bCs w:val="0"/>
          <w:szCs w:val="24"/>
        </w:rPr>
        <w:t>　　四、各行业划型标准为：</w:t>
      </w:r>
    </w:p>
    <w:p w14:paraId="0623E4CB">
      <w:pPr>
        <w:spacing w:line="400" w:lineRule="exact"/>
        <w:rPr>
          <w:rStyle w:val="34"/>
          <w:rFonts w:hint="eastAsia" w:cs="宋体"/>
          <w:b w:val="0"/>
          <w:bCs w:val="0"/>
          <w:szCs w:val="24"/>
        </w:rPr>
      </w:pPr>
      <w:r>
        <w:rPr>
          <w:rStyle w:val="34"/>
          <w:rFonts w:hint="eastAsia" w:cs="宋体"/>
          <w:b w:val="0"/>
          <w:bCs w:val="0"/>
          <w:szCs w:val="24"/>
        </w:rPr>
        <w:t>　　（一）农、林、牧、渔业。营业收入20000万元以下的为中小微型企业。其中，营业收入500万元及以上的为中型企业，营业收入50万元及以上的为小型企业，营业收入50万元以下的为微型企业。</w:t>
      </w:r>
    </w:p>
    <w:p w14:paraId="2A0CE271">
      <w:pPr>
        <w:spacing w:line="400" w:lineRule="exact"/>
        <w:rPr>
          <w:rStyle w:val="34"/>
          <w:rFonts w:hint="eastAsia" w:cs="宋体"/>
          <w:b w:val="0"/>
          <w:bCs w:val="0"/>
          <w:szCs w:val="24"/>
        </w:rPr>
      </w:pPr>
      <w:r>
        <w:rPr>
          <w:rStyle w:val="34"/>
          <w:rFonts w:hint="eastAsia" w:cs="宋体"/>
          <w:b w:val="0"/>
          <w:bCs w:val="0"/>
          <w:szCs w:val="24"/>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4B57C059">
      <w:pPr>
        <w:spacing w:line="400" w:lineRule="exact"/>
        <w:rPr>
          <w:rStyle w:val="34"/>
          <w:rFonts w:hint="eastAsia" w:cs="宋体"/>
          <w:b w:val="0"/>
          <w:bCs w:val="0"/>
          <w:szCs w:val="24"/>
        </w:rPr>
      </w:pPr>
      <w:r>
        <w:rPr>
          <w:rStyle w:val="34"/>
          <w:rFonts w:hint="eastAsia" w:cs="宋体"/>
          <w:b w:val="0"/>
          <w:bCs w:val="0"/>
          <w:szCs w:val="24"/>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07AF220">
      <w:pPr>
        <w:spacing w:line="400" w:lineRule="exact"/>
        <w:rPr>
          <w:rStyle w:val="34"/>
          <w:rFonts w:hint="eastAsia" w:cs="宋体"/>
          <w:b w:val="0"/>
          <w:bCs w:val="0"/>
          <w:szCs w:val="24"/>
        </w:rPr>
      </w:pPr>
      <w:r>
        <w:rPr>
          <w:rStyle w:val="34"/>
          <w:rFonts w:hint="eastAsia" w:cs="宋体"/>
          <w:b w:val="0"/>
          <w:bCs w:val="0"/>
          <w:szCs w:val="24"/>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07A7564C">
      <w:pPr>
        <w:spacing w:line="400" w:lineRule="exact"/>
        <w:rPr>
          <w:rStyle w:val="34"/>
          <w:rFonts w:hint="eastAsia" w:cs="宋体"/>
          <w:b w:val="0"/>
          <w:bCs w:val="0"/>
          <w:szCs w:val="24"/>
        </w:rPr>
      </w:pPr>
      <w:r>
        <w:rPr>
          <w:rStyle w:val="34"/>
          <w:rFonts w:hint="eastAsia" w:cs="宋体"/>
          <w:b w:val="0"/>
          <w:bCs w:val="0"/>
          <w:szCs w:val="24"/>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9A65C94">
      <w:pPr>
        <w:spacing w:line="400" w:lineRule="exact"/>
        <w:rPr>
          <w:rStyle w:val="34"/>
          <w:rFonts w:hint="eastAsia" w:cs="宋体"/>
          <w:b w:val="0"/>
          <w:bCs w:val="0"/>
          <w:szCs w:val="24"/>
        </w:rPr>
      </w:pPr>
      <w:r>
        <w:rPr>
          <w:rStyle w:val="34"/>
          <w:rFonts w:hint="eastAsia" w:cs="宋体"/>
          <w:b w:val="0"/>
          <w:bCs w:val="0"/>
          <w:szCs w:val="24"/>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E3A7D3C">
      <w:pPr>
        <w:spacing w:line="400" w:lineRule="exact"/>
        <w:rPr>
          <w:rStyle w:val="34"/>
          <w:rFonts w:hint="eastAsia" w:cs="宋体"/>
          <w:b w:val="0"/>
          <w:bCs w:val="0"/>
          <w:szCs w:val="24"/>
        </w:rPr>
      </w:pPr>
      <w:r>
        <w:rPr>
          <w:rStyle w:val="34"/>
          <w:rFonts w:hint="eastAsia" w:cs="宋体"/>
          <w:b w:val="0"/>
          <w:bCs w:val="0"/>
          <w:szCs w:val="24"/>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64E33253">
      <w:pPr>
        <w:spacing w:line="400" w:lineRule="exact"/>
        <w:rPr>
          <w:rStyle w:val="34"/>
          <w:rFonts w:hint="eastAsia" w:cs="宋体"/>
          <w:b w:val="0"/>
          <w:bCs w:val="0"/>
          <w:szCs w:val="24"/>
        </w:rPr>
      </w:pPr>
      <w:r>
        <w:rPr>
          <w:rStyle w:val="34"/>
          <w:rFonts w:hint="eastAsia" w:cs="宋体"/>
          <w:b w:val="0"/>
          <w:bCs w:val="0"/>
          <w:szCs w:val="24"/>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7B0E7796">
      <w:pPr>
        <w:spacing w:line="400" w:lineRule="exact"/>
        <w:rPr>
          <w:rStyle w:val="34"/>
          <w:rFonts w:hint="eastAsia" w:cs="宋体"/>
          <w:b w:val="0"/>
          <w:bCs w:val="0"/>
          <w:szCs w:val="24"/>
        </w:rPr>
      </w:pPr>
      <w:r>
        <w:rPr>
          <w:rStyle w:val="34"/>
          <w:rFonts w:hint="eastAsia" w:cs="宋体"/>
          <w:b w:val="0"/>
          <w:bCs w:val="0"/>
          <w:szCs w:val="24"/>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50EA2BC">
      <w:pPr>
        <w:spacing w:line="400" w:lineRule="exact"/>
        <w:rPr>
          <w:rStyle w:val="34"/>
          <w:rFonts w:hint="eastAsia" w:cs="宋体"/>
          <w:b w:val="0"/>
          <w:bCs w:val="0"/>
          <w:szCs w:val="24"/>
        </w:rPr>
      </w:pPr>
      <w:r>
        <w:rPr>
          <w:rStyle w:val="34"/>
          <w:rFonts w:hint="eastAsia" w:cs="宋体"/>
          <w:b w:val="0"/>
          <w:bCs w:val="0"/>
          <w:szCs w:val="24"/>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4D860034">
      <w:pPr>
        <w:spacing w:line="400" w:lineRule="exact"/>
        <w:rPr>
          <w:rStyle w:val="34"/>
          <w:rFonts w:hint="eastAsia" w:cs="宋体"/>
          <w:b w:val="0"/>
          <w:bCs w:val="0"/>
          <w:szCs w:val="24"/>
        </w:rPr>
      </w:pPr>
      <w:r>
        <w:rPr>
          <w:rStyle w:val="34"/>
          <w:rFonts w:hint="eastAsia" w:cs="宋体"/>
          <w:b w:val="0"/>
          <w:bCs w:val="0"/>
          <w:szCs w:val="24"/>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28C2B91D">
      <w:pPr>
        <w:spacing w:line="400" w:lineRule="exact"/>
        <w:rPr>
          <w:rStyle w:val="34"/>
          <w:rFonts w:hint="eastAsia" w:cs="宋体"/>
          <w:b w:val="0"/>
          <w:bCs w:val="0"/>
          <w:szCs w:val="24"/>
        </w:rPr>
      </w:pPr>
      <w:r>
        <w:rPr>
          <w:rStyle w:val="34"/>
          <w:rFonts w:hint="eastAsia" w:cs="宋体"/>
          <w:b w:val="0"/>
          <w:bCs w:val="0"/>
          <w:szCs w:val="24"/>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5144486E">
      <w:pPr>
        <w:spacing w:line="400" w:lineRule="exact"/>
        <w:rPr>
          <w:rStyle w:val="34"/>
          <w:rFonts w:hint="eastAsia" w:cs="宋体"/>
          <w:b w:val="0"/>
          <w:bCs w:val="0"/>
          <w:szCs w:val="24"/>
        </w:rPr>
      </w:pPr>
      <w:r>
        <w:rPr>
          <w:rStyle w:val="34"/>
          <w:rFonts w:hint="eastAsia" w:cs="宋体"/>
          <w:b w:val="0"/>
          <w:bCs w:val="0"/>
          <w:szCs w:val="24"/>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439B74F5">
      <w:pPr>
        <w:spacing w:line="400" w:lineRule="exact"/>
        <w:rPr>
          <w:rStyle w:val="34"/>
          <w:rFonts w:hint="eastAsia" w:cs="宋体"/>
          <w:b w:val="0"/>
          <w:bCs w:val="0"/>
          <w:szCs w:val="24"/>
        </w:rPr>
      </w:pPr>
      <w:r>
        <w:rPr>
          <w:rStyle w:val="34"/>
          <w:rFonts w:hint="eastAsia" w:cs="宋体"/>
          <w:b w:val="0"/>
          <w:bCs w:val="0"/>
          <w:szCs w:val="24"/>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3DE2C268">
      <w:pPr>
        <w:spacing w:line="400" w:lineRule="exact"/>
        <w:rPr>
          <w:rStyle w:val="34"/>
          <w:rFonts w:hint="eastAsia" w:cs="宋体"/>
          <w:b w:val="0"/>
          <w:bCs w:val="0"/>
          <w:szCs w:val="24"/>
        </w:rPr>
      </w:pPr>
      <w:r>
        <w:rPr>
          <w:rStyle w:val="34"/>
          <w:rFonts w:hint="eastAsia" w:cs="宋体"/>
          <w:b w:val="0"/>
          <w:bCs w:val="0"/>
          <w:szCs w:val="24"/>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3F48DCBC">
      <w:pPr>
        <w:spacing w:line="400" w:lineRule="exact"/>
        <w:rPr>
          <w:rStyle w:val="34"/>
          <w:rFonts w:hint="eastAsia" w:cs="宋体"/>
          <w:b w:val="0"/>
          <w:bCs w:val="0"/>
          <w:szCs w:val="24"/>
        </w:rPr>
      </w:pPr>
      <w:r>
        <w:rPr>
          <w:rStyle w:val="34"/>
          <w:rFonts w:hint="eastAsia" w:cs="宋体"/>
          <w:b w:val="0"/>
          <w:bCs w:val="0"/>
          <w:szCs w:val="24"/>
        </w:rPr>
        <w:t>（十六）其他未列明行业。从业人员300人以下的为中小微型企业。其中，从业人员100人及以上的为中型企业；从业人员10人及以上的为小型企业；从业人员10人以下的为微型企业。　　</w:t>
      </w:r>
    </w:p>
    <w:p w14:paraId="6948E0AD">
      <w:pPr>
        <w:spacing w:line="400" w:lineRule="exact"/>
        <w:rPr>
          <w:rStyle w:val="34"/>
          <w:rFonts w:hint="eastAsia" w:cs="宋体"/>
          <w:b w:val="0"/>
          <w:bCs w:val="0"/>
          <w:szCs w:val="24"/>
        </w:rPr>
      </w:pPr>
      <w:r>
        <w:rPr>
          <w:rStyle w:val="34"/>
          <w:rFonts w:hint="eastAsia" w:cs="宋体"/>
          <w:b w:val="0"/>
          <w:bCs w:val="0"/>
          <w:szCs w:val="24"/>
        </w:rPr>
        <w:t>五、企业类型的划分以统计部门的统计数据为依据。</w:t>
      </w:r>
    </w:p>
    <w:p w14:paraId="2BE03885">
      <w:pPr>
        <w:spacing w:line="400" w:lineRule="exact"/>
        <w:rPr>
          <w:rStyle w:val="34"/>
          <w:rFonts w:hint="eastAsia" w:cs="宋体"/>
          <w:b w:val="0"/>
          <w:bCs w:val="0"/>
          <w:szCs w:val="24"/>
        </w:rPr>
      </w:pPr>
      <w:r>
        <w:rPr>
          <w:rStyle w:val="34"/>
          <w:rFonts w:hint="eastAsia" w:cs="宋体"/>
          <w:b w:val="0"/>
          <w:bCs w:val="0"/>
          <w:szCs w:val="24"/>
        </w:rPr>
        <w:t>　　六、本规定适用于在中华人民共和国境内依法设立的各类所有制和各种组织形式的企业。个体工商户和本规定以外的行业，参照本规定进行划型。</w:t>
      </w:r>
    </w:p>
    <w:p w14:paraId="53E520D4">
      <w:pPr>
        <w:spacing w:line="400" w:lineRule="exact"/>
        <w:rPr>
          <w:rStyle w:val="34"/>
          <w:rFonts w:hint="eastAsia" w:cs="宋体"/>
          <w:b w:val="0"/>
          <w:bCs w:val="0"/>
          <w:szCs w:val="24"/>
        </w:rPr>
      </w:pPr>
      <w:r>
        <w:rPr>
          <w:rStyle w:val="34"/>
          <w:rFonts w:hint="eastAsia" w:cs="宋体"/>
          <w:b w:val="0"/>
          <w:bCs w:val="0"/>
          <w:szCs w:val="24"/>
        </w:rPr>
        <w:t>　　七、本规定的中型企业标准上限即为大型企业标准的下限，国家统计部门据此制定大中小微型企业的统计分类。国务院有关部门据此进行相关数据分析，不得制定与本规定不一致的企业划型标准。</w:t>
      </w:r>
    </w:p>
    <w:p w14:paraId="18294F0B">
      <w:pPr>
        <w:spacing w:line="400" w:lineRule="exact"/>
        <w:rPr>
          <w:rStyle w:val="34"/>
          <w:rFonts w:hint="eastAsia" w:cs="宋体"/>
          <w:b w:val="0"/>
          <w:bCs w:val="0"/>
          <w:szCs w:val="24"/>
        </w:rPr>
      </w:pPr>
      <w:r>
        <w:rPr>
          <w:rStyle w:val="34"/>
          <w:rFonts w:hint="eastAsia" w:cs="宋体"/>
          <w:b w:val="0"/>
          <w:bCs w:val="0"/>
          <w:szCs w:val="24"/>
        </w:rPr>
        <w:t>　　八、本规定由工业和信息化部、国家统计局会同有关部门根据《国民经济行业分类》修订情况和企业发展变化情况适时修订。</w:t>
      </w:r>
    </w:p>
    <w:p w14:paraId="03CA0D4D">
      <w:pPr>
        <w:spacing w:line="400" w:lineRule="exact"/>
        <w:rPr>
          <w:rStyle w:val="34"/>
          <w:rFonts w:hint="eastAsia" w:cs="宋体"/>
          <w:b w:val="0"/>
          <w:bCs w:val="0"/>
          <w:szCs w:val="24"/>
        </w:rPr>
      </w:pPr>
      <w:r>
        <w:rPr>
          <w:rStyle w:val="34"/>
          <w:rFonts w:hint="eastAsia" w:cs="宋体"/>
          <w:b w:val="0"/>
          <w:bCs w:val="0"/>
          <w:szCs w:val="24"/>
        </w:rPr>
        <w:t>　　九、本规定由工业和信息化部、国家统计局会同有关部门负责解释。</w:t>
      </w:r>
    </w:p>
    <w:p w14:paraId="796CEE34">
      <w:pPr>
        <w:spacing w:line="400" w:lineRule="exact"/>
        <w:rPr>
          <w:rStyle w:val="34"/>
          <w:rFonts w:hint="eastAsia" w:cs="宋体"/>
          <w:b w:val="0"/>
          <w:bCs w:val="0"/>
          <w:szCs w:val="24"/>
        </w:rPr>
      </w:pPr>
      <w:r>
        <w:rPr>
          <w:rStyle w:val="34"/>
          <w:rFonts w:hint="eastAsia" w:cs="宋体"/>
          <w:b w:val="0"/>
          <w:bCs w:val="0"/>
          <w:szCs w:val="24"/>
        </w:rPr>
        <w:t>十、本规定自发布之日起执行，原国家经贸委、原国家计委、财政部和国家统计局2003年颁布的《中小企业标准暂行规定》同时废止。</w:t>
      </w:r>
    </w:p>
    <w:p w14:paraId="62FB39AC">
      <w:pPr>
        <w:rPr>
          <w:rFonts w:hint="eastAsia" w:cs="宋体"/>
          <w:spacing w:val="6"/>
          <w:sz w:val="21"/>
          <w:szCs w:val="21"/>
        </w:rPr>
      </w:pPr>
      <w:r>
        <w:rPr>
          <w:rFonts w:cs="宋体"/>
          <w:spacing w:val="6"/>
          <w:sz w:val="21"/>
          <w:szCs w:val="21"/>
        </w:rPr>
        <w:br w:type="page"/>
      </w:r>
    </w:p>
    <w:p w14:paraId="5AE07431">
      <w:pPr>
        <w:spacing w:line="360" w:lineRule="exact"/>
        <w:rPr>
          <w:rFonts w:hint="eastAsia"/>
          <w:b/>
          <w:bCs/>
        </w:rPr>
      </w:pPr>
      <w:bookmarkStart w:id="648" w:name="_Toc163492940"/>
      <w:r>
        <w:rPr>
          <w:rFonts w:hint="eastAsia"/>
          <w:b/>
          <w:bCs/>
        </w:rPr>
        <w:t>附件3：</w:t>
      </w:r>
    </w:p>
    <w:p w14:paraId="6FD66D8A">
      <w:pPr>
        <w:rPr>
          <w:rFonts w:hint="eastAsia" w:cs="宋体"/>
          <w:spacing w:val="6"/>
          <w:sz w:val="21"/>
          <w:szCs w:val="21"/>
        </w:rPr>
      </w:pPr>
    </w:p>
    <w:p w14:paraId="10353D00">
      <w:pPr>
        <w:pStyle w:val="19"/>
        <w:spacing w:line="240" w:lineRule="auto"/>
        <w:jc w:val="center"/>
        <w:rPr>
          <w:rFonts w:hint="eastAsia" w:hAnsi="宋体" w:cs="宋体"/>
          <w:b/>
          <w:sz w:val="32"/>
          <w:szCs w:val="32"/>
        </w:rPr>
      </w:pPr>
      <w:r>
        <w:rPr>
          <w:rFonts w:hint="eastAsia" w:hAnsi="宋体" w:cs="宋体"/>
          <w:b/>
          <w:sz w:val="32"/>
          <w:szCs w:val="32"/>
        </w:rPr>
        <w:t>关于印发《金融业企业划型标准规定》的通知</w:t>
      </w:r>
    </w:p>
    <w:p w14:paraId="6571D1D5">
      <w:pPr>
        <w:jc w:val="center"/>
        <w:rPr>
          <w:rStyle w:val="34"/>
          <w:rFonts w:hint="eastAsia" w:cs="宋体"/>
          <w:b w:val="0"/>
          <w:szCs w:val="24"/>
        </w:rPr>
      </w:pPr>
      <w:r>
        <w:rPr>
          <w:rStyle w:val="34"/>
          <w:rFonts w:hint="eastAsia" w:cs="宋体"/>
          <w:b w:val="0"/>
          <w:szCs w:val="24"/>
        </w:rPr>
        <w:t>银发〔2015〕309号</w:t>
      </w:r>
    </w:p>
    <w:p w14:paraId="5A8BD85B">
      <w:pPr>
        <w:spacing w:line="460" w:lineRule="exact"/>
        <w:ind w:firstLine="483"/>
        <w:rPr>
          <w:rStyle w:val="34"/>
          <w:rFonts w:hint="eastAsia" w:cs="宋体"/>
          <w:b w:val="0"/>
          <w:bCs w:val="0"/>
          <w:szCs w:val="24"/>
        </w:rPr>
      </w:pPr>
      <w:r>
        <w:rPr>
          <w:rStyle w:val="34"/>
          <w:rFonts w:hint="eastAsia" w:cs="宋体"/>
          <w:b w:val="0"/>
          <w:bCs w:val="0"/>
          <w:szCs w:val="24"/>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41F7FE30">
      <w:pPr>
        <w:spacing w:line="460" w:lineRule="exact"/>
        <w:ind w:firstLine="483"/>
        <w:rPr>
          <w:rStyle w:val="34"/>
          <w:rFonts w:hint="eastAsia" w:cs="宋体"/>
          <w:b w:val="0"/>
          <w:bCs w:val="0"/>
          <w:szCs w:val="24"/>
        </w:rPr>
      </w:pPr>
      <w:r>
        <w:rPr>
          <w:rStyle w:val="34"/>
          <w:rFonts w:hint="eastAsia" w:cs="宋体"/>
          <w:b w:val="0"/>
          <w:bCs w:val="0"/>
          <w:szCs w:val="24"/>
        </w:rPr>
        <w:t>请人民银行上海总部，各分行、营业管理部、省会（首府）城市中心支行、副省级城市中心支行会同所在省（区、市）银监局、证监局、保监局、统计局将本通知联合转发至辖内相关机构。</w:t>
      </w:r>
    </w:p>
    <w:p w14:paraId="61DF5D30">
      <w:pPr>
        <w:spacing w:line="460" w:lineRule="exact"/>
        <w:ind w:firstLine="483"/>
        <w:rPr>
          <w:rStyle w:val="34"/>
          <w:rFonts w:hint="eastAsia" w:cs="宋体"/>
          <w:b w:val="0"/>
          <w:bCs w:val="0"/>
          <w:szCs w:val="24"/>
        </w:rPr>
      </w:pPr>
    </w:p>
    <w:p w14:paraId="5106EDE7">
      <w:pPr>
        <w:spacing w:line="460" w:lineRule="exact"/>
        <w:ind w:firstLine="483"/>
        <w:rPr>
          <w:rStyle w:val="34"/>
          <w:rFonts w:hint="eastAsia" w:cs="宋体"/>
          <w:b w:val="0"/>
          <w:bCs w:val="0"/>
          <w:szCs w:val="24"/>
        </w:rPr>
      </w:pPr>
      <w:r>
        <w:rPr>
          <w:rStyle w:val="34"/>
          <w:rFonts w:hint="eastAsia" w:cs="宋体"/>
          <w:b w:val="0"/>
          <w:bCs w:val="0"/>
          <w:szCs w:val="24"/>
        </w:rPr>
        <w:t>附件：金融业企业划型标准规定</w:t>
      </w:r>
    </w:p>
    <w:p w14:paraId="11E18D3D">
      <w:pPr>
        <w:spacing w:line="460" w:lineRule="exact"/>
        <w:rPr>
          <w:rStyle w:val="34"/>
          <w:rFonts w:hint="eastAsia" w:cs="宋体"/>
          <w:b w:val="0"/>
          <w:bCs w:val="0"/>
          <w:szCs w:val="24"/>
        </w:rPr>
      </w:pPr>
      <w:r>
        <w:rPr>
          <w:rFonts w:hint="eastAsia" w:cs="宋体"/>
          <w:spacing w:val="6"/>
          <w:szCs w:val="24"/>
        </w:rPr>
        <w:t>                                      </w:t>
      </w:r>
      <w:r>
        <w:rPr>
          <w:rStyle w:val="34"/>
          <w:rFonts w:hint="eastAsia" w:cs="宋体"/>
          <w:b w:val="0"/>
          <w:bCs w:val="0"/>
          <w:szCs w:val="24"/>
        </w:rPr>
        <w:t>                                   中国人民银行</w:t>
      </w:r>
    </w:p>
    <w:p w14:paraId="14F41A3B">
      <w:pPr>
        <w:spacing w:line="460" w:lineRule="exact"/>
        <w:ind w:firstLine="2400" w:firstLineChars="1000"/>
        <w:rPr>
          <w:rStyle w:val="34"/>
          <w:rFonts w:hint="eastAsia" w:cs="宋体"/>
          <w:b w:val="0"/>
          <w:bCs w:val="0"/>
          <w:szCs w:val="24"/>
        </w:rPr>
      </w:pPr>
      <w:r>
        <w:rPr>
          <w:rStyle w:val="34"/>
          <w:rFonts w:hint="eastAsia" w:cs="宋体"/>
          <w:b w:val="0"/>
          <w:bCs w:val="0"/>
          <w:szCs w:val="24"/>
        </w:rPr>
        <w:t>          中国银行业监督管理委员会</w:t>
      </w:r>
    </w:p>
    <w:p w14:paraId="739EFE55">
      <w:pPr>
        <w:spacing w:line="460" w:lineRule="exact"/>
        <w:ind w:firstLine="2400" w:firstLineChars="1000"/>
        <w:rPr>
          <w:rStyle w:val="34"/>
          <w:rFonts w:hint="eastAsia" w:cs="宋体"/>
          <w:b w:val="0"/>
          <w:bCs w:val="0"/>
          <w:szCs w:val="24"/>
        </w:rPr>
      </w:pPr>
      <w:r>
        <w:rPr>
          <w:rStyle w:val="34"/>
          <w:rFonts w:hint="eastAsia" w:cs="宋体"/>
          <w:b w:val="0"/>
          <w:bCs w:val="0"/>
          <w:szCs w:val="24"/>
        </w:rPr>
        <w:t>           中国证券监督管理委员会</w:t>
      </w:r>
    </w:p>
    <w:p w14:paraId="358FE5DC">
      <w:pPr>
        <w:spacing w:line="460" w:lineRule="exact"/>
        <w:ind w:firstLine="2400" w:firstLineChars="1000"/>
        <w:rPr>
          <w:rStyle w:val="34"/>
          <w:rFonts w:hint="eastAsia" w:cs="宋体"/>
          <w:b w:val="0"/>
          <w:bCs w:val="0"/>
          <w:szCs w:val="24"/>
        </w:rPr>
      </w:pPr>
      <w:r>
        <w:rPr>
          <w:rStyle w:val="34"/>
          <w:rFonts w:hint="eastAsia" w:cs="宋体"/>
          <w:b w:val="0"/>
          <w:bCs w:val="0"/>
          <w:szCs w:val="24"/>
        </w:rPr>
        <w:t>           中国保险监督管理委员会</w:t>
      </w:r>
    </w:p>
    <w:p w14:paraId="6C7200CF">
      <w:pPr>
        <w:spacing w:line="460" w:lineRule="exact"/>
        <w:ind w:firstLine="2160" w:firstLineChars="900"/>
        <w:rPr>
          <w:rStyle w:val="34"/>
          <w:rFonts w:hint="eastAsia" w:cs="宋体"/>
          <w:b w:val="0"/>
          <w:bCs w:val="0"/>
          <w:szCs w:val="24"/>
        </w:rPr>
      </w:pPr>
      <w:r>
        <w:rPr>
          <w:rStyle w:val="34"/>
          <w:rFonts w:hint="eastAsia" w:cs="宋体"/>
          <w:b w:val="0"/>
          <w:bCs w:val="0"/>
          <w:szCs w:val="24"/>
        </w:rPr>
        <w:t>           中华人民共和国国家统计局</w:t>
      </w:r>
    </w:p>
    <w:p w14:paraId="6C9607DF">
      <w:pPr>
        <w:spacing w:line="460" w:lineRule="exact"/>
        <w:rPr>
          <w:rStyle w:val="34"/>
          <w:rFonts w:hint="eastAsia" w:cs="宋体"/>
          <w:b w:val="0"/>
          <w:bCs w:val="0"/>
          <w:szCs w:val="24"/>
        </w:rPr>
      </w:pPr>
      <w:r>
        <w:rPr>
          <w:rStyle w:val="34"/>
          <w:rFonts w:hint="eastAsia" w:cs="宋体"/>
          <w:b w:val="0"/>
          <w:bCs w:val="0"/>
          <w:szCs w:val="24"/>
        </w:rPr>
        <w:t>                                                           2015年9月28日</w:t>
      </w:r>
    </w:p>
    <w:p w14:paraId="52B8EDD2">
      <w:pPr>
        <w:rPr>
          <w:rFonts w:hint="eastAsia" w:cs="宋体"/>
          <w:spacing w:val="6"/>
          <w:sz w:val="21"/>
          <w:szCs w:val="21"/>
        </w:rPr>
      </w:pPr>
    </w:p>
    <w:p w14:paraId="1B887C37">
      <w:pPr>
        <w:rPr>
          <w:rFonts w:hint="eastAsia" w:cs="宋体"/>
          <w:spacing w:val="6"/>
          <w:sz w:val="21"/>
          <w:szCs w:val="21"/>
        </w:rPr>
      </w:pPr>
    </w:p>
    <w:p w14:paraId="5E12052C">
      <w:pPr>
        <w:rPr>
          <w:rFonts w:hint="eastAsia" w:cs="宋体"/>
          <w:spacing w:val="6"/>
          <w:sz w:val="21"/>
          <w:szCs w:val="21"/>
        </w:rPr>
      </w:pPr>
    </w:p>
    <w:p w14:paraId="745D55DA">
      <w:pPr>
        <w:rPr>
          <w:rFonts w:hint="eastAsia" w:cs="宋体"/>
          <w:spacing w:val="6"/>
          <w:sz w:val="21"/>
          <w:szCs w:val="21"/>
        </w:rPr>
      </w:pPr>
    </w:p>
    <w:p w14:paraId="3BB3897A">
      <w:pPr>
        <w:rPr>
          <w:rFonts w:hint="eastAsia" w:cs="宋体"/>
          <w:spacing w:val="6"/>
          <w:sz w:val="21"/>
          <w:szCs w:val="21"/>
        </w:rPr>
      </w:pPr>
    </w:p>
    <w:p w14:paraId="71ADDBC4">
      <w:pPr>
        <w:rPr>
          <w:rFonts w:hint="eastAsia" w:cs="宋体"/>
          <w:spacing w:val="6"/>
          <w:sz w:val="21"/>
          <w:szCs w:val="21"/>
        </w:rPr>
      </w:pPr>
    </w:p>
    <w:p w14:paraId="35D4F53A">
      <w:pPr>
        <w:rPr>
          <w:rFonts w:hint="eastAsia" w:cs="宋体"/>
          <w:spacing w:val="6"/>
          <w:sz w:val="21"/>
          <w:szCs w:val="21"/>
        </w:rPr>
      </w:pPr>
    </w:p>
    <w:p w14:paraId="45D071D6">
      <w:pPr>
        <w:rPr>
          <w:rFonts w:hint="eastAsia" w:cs="宋体"/>
          <w:spacing w:val="6"/>
          <w:sz w:val="21"/>
          <w:szCs w:val="21"/>
        </w:rPr>
      </w:pPr>
    </w:p>
    <w:p w14:paraId="68ABE852">
      <w:pPr>
        <w:rPr>
          <w:rFonts w:hint="eastAsia" w:cs="宋体"/>
          <w:spacing w:val="6"/>
          <w:sz w:val="21"/>
          <w:szCs w:val="21"/>
        </w:rPr>
      </w:pPr>
    </w:p>
    <w:p w14:paraId="25FC79DE">
      <w:pPr>
        <w:rPr>
          <w:rFonts w:hint="eastAsia" w:cs="宋体"/>
          <w:spacing w:val="6"/>
          <w:sz w:val="21"/>
          <w:szCs w:val="21"/>
        </w:rPr>
      </w:pPr>
      <w:r>
        <w:rPr>
          <w:rFonts w:hint="eastAsia" w:cs="宋体"/>
          <w:spacing w:val="6"/>
          <w:sz w:val="21"/>
          <w:szCs w:val="21"/>
        </w:rPr>
        <w:t>附件              </w:t>
      </w:r>
    </w:p>
    <w:p w14:paraId="61DBF896">
      <w:pPr>
        <w:pStyle w:val="19"/>
        <w:spacing w:line="240" w:lineRule="auto"/>
        <w:jc w:val="center"/>
        <w:rPr>
          <w:rFonts w:hint="eastAsia" w:hAnsi="宋体" w:cs="宋体"/>
          <w:b/>
          <w:sz w:val="28"/>
          <w:szCs w:val="28"/>
        </w:rPr>
      </w:pPr>
      <w:r>
        <w:rPr>
          <w:rFonts w:hint="eastAsia" w:hAnsi="宋体" w:cs="宋体"/>
          <w:b/>
          <w:sz w:val="28"/>
          <w:szCs w:val="28"/>
        </w:rPr>
        <w:t>金融业企业划型标准规定</w:t>
      </w:r>
    </w:p>
    <w:p w14:paraId="4EDC8282">
      <w:pPr>
        <w:spacing w:line="400" w:lineRule="exact"/>
        <w:ind w:firstLine="483"/>
        <w:rPr>
          <w:rStyle w:val="34"/>
          <w:rFonts w:hint="eastAsia" w:cs="宋体"/>
          <w:b w:val="0"/>
          <w:bCs w:val="0"/>
          <w:szCs w:val="24"/>
        </w:rPr>
      </w:pPr>
      <w:r>
        <w:rPr>
          <w:rStyle w:val="34"/>
          <w:rFonts w:hint="eastAsia" w:cs="宋体"/>
          <w:b w:val="0"/>
          <w:bCs w:val="0"/>
          <w:szCs w:val="24"/>
        </w:rPr>
        <w:t>一、根据《中华人民共和国中小企业促进法》、《国务院关于进一步促进中小企业发展的若干意见》（国发〔2009〕36号）和《国务院办公厅关于金融支持小微企业发展的实施意见》（国办发〔2013〕87号），制定本规定。</w:t>
      </w:r>
    </w:p>
    <w:p w14:paraId="7C87A444">
      <w:pPr>
        <w:spacing w:line="400" w:lineRule="exact"/>
        <w:ind w:firstLine="483"/>
        <w:rPr>
          <w:rStyle w:val="34"/>
          <w:rFonts w:hint="eastAsia" w:cs="宋体"/>
          <w:b w:val="0"/>
          <w:bCs w:val="0"/>
          <w:szCs w:val="24"/>
        </w:rPr>
      </w:pPr>
      <w:r>
        <w:rPr>
          <w:rStyle w:val="34"/>
          <w:rFonts w:hint="eastAsia" w:cs="宋体"/>
          <w:b w:val="0"/>
          <w:bCs w:val="0"/>
          <w:szCs w:val="24"/>
        </w:rPr>
        <w:t>二、适用范围。本规定适用于从事《国民经济行业分类》（GB/T4754-2011）中J门类（金融业）活动的企业。</w:t>
      </w:r>
    </w:p>
    <w:p w14:paraId="7AB5CC3F">
      <w:pPr>
        <w:spacing w:line="400" w:lineRule="exact"/>
        <w:ind w:firstLine="483"/>
        <w:rPr>
          <w:rStyle w:val="34"/>
          <w:rFonts w:hint="eastAsia" w:cs="宋体"/>
          <w:b w:val="0"/>
          <w:bCs w:val="0"/>
          <w:szCs w:val="24"/>
        </w:rPr>
      </w:pPr>
      <w:r>
        <w:rPr>
          <w:rStyle w:val="34"/>
          <w:rFonts w:hint="eastAsia" w:cs="宋体"/>
          <w:b w:val="0"/>
          <w:bCs w:val="0"/>
          <w:szCs w:val="24"/>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B697D5B">
      <w:pPr>
        <w:spacing w:line="400" w:lineRule="exact"/>
        <w:ind w:firstLine="483"/>
        <w:rPr>
          <w:rStyle w:val="34"/>
          <w:rFonts w:hint="eastAsia" w:cs="宋体"/>
          <w:b w:val="0"/>
          <w:bCs w:val="0"/>
          <w:szCs w:val="24"/>
        </w:rPr>
      </w:pPr>
      <w:r>
        <w:rPr>
          <w:rStyle w:val="34"/>
          <w:rFonts w:hint="eastAsia" w:cs="宋体"/>
          <w:b w:val="0"/>
          <w:bCs w:val="0"/>
          <w:szCs w:val="24"/>
        </w:rPr>
        <w:t>四、划型标准指标。采用一个完整会计年度中四个季度末法人并表口径的资产总额（信托公司为信托资产）平均值作为划型指标，该指标以监管部门数据为准。</w:t>
      </w:r>
    </w:p>
    <w:p w14:paraId="08FAD844">
      <w:pPr>
        <w:spacing w:line="400" w:lineRule="exact"/>
        <w:ind w:firstLine="483"/>
        <w:rPr>
          <w:rStyle w:val="34"/>
          <w:rFonts w:hint="eastAsia" w:cs="宋体"/>
          <w:b w:val="0"/>
          <w:bCs w:val="0"/>
          <w:szCs w:val="24"/>
        </w:rPr>
      </w:pPr>
      <w:r>
        <w:rPr>
          <w:rStyle w:val="34"/>
          <w:rFonts w:hint="eastAsia" w:cs="宋体"/>
          <w:b w:val="0"/>
          <w:bCs w:val="0"/>
          <w:szCs w:val="24"/>
        </w:rPr>
        <w:t>五、指标标准值。依据指标标准值，将各类金融业企业划分为大、中、小、微四个规模类型，中型企业标准上限及以上的为大型企业。</w:t>
      </w:r>
    </w:p>
    <w:p w14:paraId="1A4751C4">
      <w:pPr>
        <w:spacing w:line="400" w:lineRule="exact"/>
        <w:ind w:firstLine="483"/>
        <w:rPr>
          <w:rStyle w:val="34"/>
          <w:rFonts w:hint="eastAsia" w:cs="宋体"/>
          <w:b w:val="0"/>
          <w:bCs w:val="0"/>
          <w:szCs w:val="24"/>
        </w:rPr>
      </w:pPr>
      <w:r>
        <w:rPr>
          <w:rStyle w:val="34"/>
          <w:rFonts w:hint="eastAsia" w:cs="宋体"/>
          <w:b w:val="0"/>
          <w:bCs w:val="0"/>
          <w:szCs w:val="24"/>
        </w:rPr>
        <w:t>（一）银行业存款类金融机构。资产总额40000亿元以下的为中小微型企业。其中，资产总额5000亿元及以上的为中型企业，资产总额50亿元及以上的为小型企业，资产总额50亿元以下的为微型企业。</w:t>
      </w:r>
    </w:p>
    <w:p w14:paraId="3D18945C">
      <w:pPr>
        <w:spacing w:line="400" w:lineRule="exact"/>
        <w:ind w:firstLine="483"/>
        <w:rPr>
          <w:rStyle w:val="34"/>
          <w:rFonts w:hint="eastAsia" w:cs="宋体"/>
          <w:b w:val="0"/>
          <w:bCs w:val="0"/>
          <w:szCs w:val="24"/>
        </w:rPr>
      </w:pPr>
      <w:r>
        <w:rPr>
          <w:rStyle w:val="34"/>
          <w:rFonts w:hint="eastAsia" w:cs="宋体"/>
          <w:b w:val="0"/>
          <w:bCs w:val="0"/>
          <w:szCs w:val="24"/>
        </w:rPr>
        <w:t>（二）银行业非存款类金融机构。资产总额1000亿元以下的为中小微企业。其中，资产总额200亿元及以上的为中型企业，资产总额50亿元及以上的为小型企业，资产总额50亿元以下的为微型企业。</w:t>
      </w:r>
    </w:p>
    <w:p w14:paraId="73006430">
      <w:pPr>
        <w:spacing w:line="400" w:lineRule="exact"/>
        <w:ind w:firstLine="483"/>
        <w:rPr>
          <w:rStyle w:val="34"/>
          <w:rFonts w:hint="eastAsia" w:cs="宋体"/>
          <w:b w:val="0"/>
          <w:bCs w:val="0"/>
          <w:szCs w:val="24"/>
        </w:rPr>
      </w:pPr>
      <w:r>
        <w:rPr>
          <w:rStyle w:val="34"/>
          <w:rFonts w:hint="eastAsia" w:cs="宋体"/>
          <w:b w:val="0"/>
          <w:bCs w:val="0"/>
          <w:szCs w:val="24"/>
        </w:rPr>
        <w:t>（三）贷款公司、小额贷款公司及典当行。资产总额1000亿元以下的为中小微型企业。其中，资产总额200亿元及以上的为中型企业，资产总额50亿元及以上的为小型企业，资产总额50亿元以下的为微型企业。</w:t>
      </w:r>
    </w:p>
    <w:p w14:paraId="71106C50">
      <w:pPr>
        <w:spacing w:line="400" w:lineRule="exact"/>
        <w:ind w:firstLine="483"/>
        <w:rPr>
          <w:rStyle w:val="34"/>
          <w:rFonts w:hint="eastAsia" w:cs="宋体"/>
          <w:b w:val="0"/>
          <w:bCs w:val="0"/>
          <w:szCs w:val="24"/>
        </w:rPr>
      </w:pPr>
      <w:r>
        <w:rPr>
          <w:rStyle w:val="34"/>
          <w:rFonts w:hint="eastAsia" w:cs="宋体"/>
          <w:b w:val="0"/>
          <w:bCs w:val="0"/>
          <w:szCs w:val="24"/>
        </w:rPr>
        <w:t>（四）证券业金融机构。资产总额1000亿元以下的为中小微型企业。其中，资产总额100亿元及以上的为中型企业，资产总额10亿元及以上的为小型企业，资产总额10亿元以下的为微型企业。</w:t>
      </w:r>
    </w:p>
    <w:p w14:paraId="1E18220A">
      <w:pPr>
        <w:spacing w:line="400" w:lineRule="exact"/>
        <w:ind w:firstLine="483"/>
        <w:rPr>
          <w:rStyle w:val="34"/>
          <w:rFonts w:hint="eastAsia" w:cs="宋体"/>
          <w:b w:val="0"/>
          <w:bCs w:val="0"/>
          <w:szCs w:val="24"/>
        </w:rPr>
      </w:pPr>
      <w:r>
        <w:rPr>
          <w:rStyle w:val="34"/>
          <w:rFonts w:hint="eastAsia" w:cs="宋体"/>
          <w:b w:val="0"/>
          <w:bCs w:val="0"/>
          <w:szCs w:val="24"/>
        </w:rPr>
        <w:t>（五）保险业金融机构。资产总额5000亿元以下的为中小微型企业。其中，资产总额400亿元及以上的为中型企业，资产总额20亿元及以上的为小型企业，资产总额20亿元以下的为微型企业。</w:t>
      </w:r>
    </w:p>
    <w:p w14:paraId="1EDE9F8B">
      <w:pPr>
        <w:spacing w:line="400" w:lineRule="exact"/>
        <w:ind w:firstLine="483"/>
        <w:rPr>
          <w:rStyle w:val="34"/>
          <w:rFonts w:hint="eastAsia" w:cs="宋体"/>
          <w:b w:val="0"/>
          <w:bCs w:val="0"/>
          <w:szCs w:val="24"/>
        </w:rPr>
      </w:pPr>
      <w:r>
        <w:rPr>
          <w:rStyle w:val="34"/>
          <w:rFonts w:hint="eastAsia" w:cs="宋体"/>
          <w:b w:val="0"/>
          <w:bCs w:val="0"/>
          <w:szCs w:val="24"/>
        </w:rPr>
        <w:t>（六）信托公司。信托资产1000亿元以下的为中小微型企业。其中，信托资产400亿元及以上的为中型企业，信托资产20亿元及以上的为小型企业，信托资产20亿元以下的为微型企业。</w:t>
      </w:r>
    </w:p>
    <w:p w14:paraId="5D9B5D07">
      <w:pPr>
        <w:spacing w:line="400" w:lineRule="exact"/>
        <w:ind w:firstLine="483"/>
        <w:rPr>
          <w:rStyle w:val="34"/>
          <w:rFonts w:hint="eastAsia" w:cs="宋体"/>
          <w:b w:val="0"/>
          <w:bCs w:val="0"/>
          <w:szCs w:val="24"/>
        </w:rPr>
      </w:pPr>
      <w:r>
        <w:rPr>
          <w:rStyle w:val="34"/>
          <w:rFonts w:hint="eastAsia" w:cs="宋体"/>
          <w:b w:val="0"/>
          <w:bCs w:val="0"/>
          <w:szCs w:val="24"/>
        </w:rPr>
        <w:t>（七）金融控股公司。资产总额40000亿元以下的为中小微企业。其中，资产总额5000亿元及以上的为中型企业，资产总额50亿元及以上的为小型企业，资产总额50亿元以下的为微型企业。、</w:t>
      </w:r>
    </w:p>
    <w:p w14:paraId="2C4CC4F6">
      <w:pPr>
        <w:spacing w:line="400" w:lineRule="exact"/>
        <w:ind w:firstLine="483"/>
        <w:rPr>
          <w:rStyle w:val="34"/>
          <w:rFonts w:hint="eastAsia" w:cs="宋体"/>
          <w:b w:val="0"/>
          <w:bCs w:val="0"/>
          <w:szCs w:val="24"/>
        </w:rPr>
      </w:pPr>
      <w:r>
        <w:rPr>
          <w:rStyle w:val="34"/>
          <w:rFonts w:hint="eastAsia" w:cs="宋体"/>
          <w:b w:val="0"/>
          <w:bCs w:val="0"/>
          <w:szCs w:val="24"/>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82CEF08">
      <w:pPr>
        <w:spacing w:line="400" w:lineRule="exact"/>
        <w:ind w:firstLine="483"/>
        <w:rPr>
          <w:rStyle w:val="34"/>
          <w:rFonts w:hint="eastAsia" w:cs="宋体"/>
          <w:b w:val="0"/>
          <w:bCs w:val="0"/>
          <w:szCs w:val="24"/>
        </w:rPr>
      </w:pPr>
      <w:r>
        <w:rPr>
          <w:rStyle w:val="34"/>
          <w:rFonts w:hint="eastAsia" w:cs="宋体"/>
          <w:b w:val="0"/>
          <w:bCs w:val="0"/>
          <w:szCs w:val="24"/>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方便政府部门和社会各界查询使用。</w:t>
      </w:r>
    </w:p>
    <w:p w14:paraId="0EDABB55">
      <w:pPr>
        <w:spacing w:line="400" w:lineRule="exact"/>
        <w:ind w:firstLine="483"/>
        <w:rPr>
          <w:rStyle w:val="34"/>
          <w:rFonts w:hint="eastAsia" w:cs="宋体"/>
          <w:b w:val="0"/>
          <w:bCs w:val="0"/>
          <w:szCs w:val="24"/>
        </w:rPr>
      </w:pPr>
      <w:r>
        <w:rPr>
          <w:rStyle w:val="34"/>
          <w:rFonts w:hint="eastAsia" w:cs="宋体"/>
          <w:b w:val="0"/>
          <w:bCs w:val="0"/>
          <w:szCs w:val="24"/>
        </w:rPr>
        <w:t>七、标准值的评估和调整。金融业企业划型标准工作组每五年对划型标准值受经济发展与通货膨胀等因素的影响程度进行评估和调整。</w:t>
      </w:r>
    </w:p>
    <w:p w14:paraId="785172E8">
      <w:pPr>
        <w:spacing w:line="400" w:lineRule="exact"/>
        <w:ind w:firstLine="483"/>
        <w:rPr>
          <w:rStyle w:val="34"/>
          <w:rFonts w:hint="eastAsia" w:cs="宋体"/>
          <w:b w:val="0"/>
          <w:bCs w:val="0"/>
          <w:szCs w:val="24"/>
        </w:rPr>
      </w:pPr>
      <w:r>
        <w:rPr>
          <w:rStyle w:val="34"/>
          <w:rFonts w:hint="eastAsia" w:cs="宋体"/>
          <w:b w:val="0"/>
          <w:bCs w:val="0"/>
          <w:szCs w:val="24"/>
        </w:rPr>
        <w:t>八、本规定的中型金融业企业标准上限即为大型金融业企业下限。国务院有关部门据此进行相关数据的统计分析，不得制定与本规定不一致的金融业企业划型标准。</w:t>
      </w:r>
    </w:p>
    <w:p w14:paraId="67B235F9">
      <w:pPr>
        <w:spacing w:line="400" w:lineRule="exact"/>
        <w:ind w:firstLine="483"/>
        <w:rPr>
          <w:rStyle w:val="34"/>
          <w:rFonts w:hint="eastAsia" w:cs="宋体"/>
          <w:b w:val="0"/>
          <w:bCs w:val="0"/>
          <w:szCs w:val="24"/>
        </w:rPr>
      </w:pPr>
      <w:r>
        <w:rPr>
          <w:rStyle w:val="34"/>
          <w:rFonts w:hint="eastAsia" w:cs="宋体"/>
          <w:b w:val="0"/>
          <w:bCs w:val="0"/>
          <w:szCs w:val="24"/>
        </w:rPr>
        <w:t>九、融资担保公司参照本规定中“除贷款公司、小额贷款公司、典当行以外的其他金融机构”标准划型。</w:t>
      </w:r>
    </w:p>
    <w:p w14:paraId="3ACD8FDD">
      <w:pPr>
        <w:spacing w:line="400" w:lineRule="exact"/>
        <w:ind w:firstLine="483"/>
        <w:rPr>
          <w:rStyle w:val="34"/>
          <w:rFonts w:hint="eastAsia" w:cs="宋体"/>
          <w:b w:val="0"/>
          <w:bCs w:val="0"/>
          <w:szCs w:val="24"/>
        </w:rPr>
      </w:pPr>
      <w:r>
        <w:rPr>
          <w:rStyle w:val="34"/>
          <w:rFonts w:hint="eastAsia" w:cs="宋体"/>
          <w:b w:val="0"/>
          <w:bCs w:val="0"/>
          <w:szCs w:val="24"/>
        </w:rPr>
        <w:t>十、本规定由人民银行会同银监会、证监会、保监会和统计局负责解释。</w:t>
      </w:r>
    </w:p>
    <w:p w14:paraId="7B14D52B">
      <w:pPr>
        <w:spacing w:line="400" w:lineRule="exact"/>
        <w:ind w:firstLine="483"/>
        <w:rPr>
          <w:rStyle w:val="34"/>
          <w:rFonts w:hint="eastAsia" w:cs="宋体"/>
          <w:b w:val="0"/>
          <w:bCs w:val="0"/>
          <w:szCs w:val="24"/>
        </w:rPr>
      </w:pPr>
      <w:r>
        <w:rPr>
          <w:rStyle w:val="34"/>
          <w:rFonts w:hint="eastAsia" w:cs="宋体"/>
          <w:b w:val="0"/>
          <w:bCs w:val="0"/>
          <w:szCs w:val="24"/>
        </w:rPr>
        <w:t>十一、本规定自发布之日起实施。</w:t>
      </w:r>
    </w:p>
    <w:p w14:paraId="6942C230">
      <w:pPr>
        <w:spacing w:line="400" w:lineRule="exact"/>
        <w:ind w:firstLine="483"/>
        <w:rPr>
          <w:rStyle w:val="34"/>
          <w:rFonts w:hint="eastAsia" w:cs="宋体"/>
          <w:b w:val="0"/>
          <w:bCs w:val="0"/>
          <w:szCs w:val="24"/>
        </w:rPr>
      </w:pPr>
    </w:p>
    <w:p w14:paraId="4120971C">
      <w:pPr>
        <w:spacing w:line="400" w:lineRule="exact"/>
        <w:ind w:firstLine="483"/>
        <w:rPr>
          <w:rStyle w:val="34"/>
          <w:rFonts w:hint="eastAsia" w:cs="宋体"/>
          <w:b w:val="0"/>
          <w:bCs w:val="0"/>
          <w:szCs w:val="24"/>
        </w:rPr>
      </w:pPr>
      <w:r>
        <w:rPr>
          <w:rStyle w:val="34"/>
          <w:rFonts w:hint="eastAsia" w:cs="宋体"/>
          <w:b w:val="0"/>
          <w:bCs w:val="0"/>
          <w:szCs w:val="24"/>
        </w:rPr>
        <w:t>附</w:t>
      </w:r>
      <w:r>
        <w:rPr>
          <w:rStyle w:val="34"/>
          <w:rFonts w:hint="eastAsia" w:cs="宋体"/>
          <w:b w:val="0"/>
          <w:bCs w:val="0"/>
          <w:szCs w:val="24"/>
          <w:lang w:eastAsia="zh-CN"/>
        </w:rPr>
        <w:t>；</w:t>
      </w:r>
      <w:r>
        <w:rPr>
          <w:rStyle w:val="34"/>
          <w:rFonts w:hint="eastAsia" w:cs="宋体"/>
          <w:b w:val="0"/>
          <w:bCs w:val="0"/>
          <w:szCs w:val="24"/>
        </w:rPr>
        <w:t>金融业企业划型标准</w:t>
      </w:r>
    </w:p>
    <w:p w14:paraId="1A51E7B0">
      <w:pPr>
        <w:rPr>
          <w:rFonts w:hint="eastAsia" w:cs="宋体"/>
          <w:spacing w:val="6"/>
          <w:sz w:val="21"/>
          <w:szCs w:val="21"/>
        </w:rPr>
      </w:pPr>
    </w:p>
    <w:p w14:paraId="53320E99">
      <w:pPr>
        <w:rPr>
          <w:rFonts w:hint="eastAsia" w:cs="宋体"/>
          <w:spacing w:val="6"/>
          <w:szCs w:val="24"/>
        </w:rPr>
      </w:pPr>
    </w:p>
    <w:p w14:paraId="4266DE3F">
      <w:pPr>
        <w:rPr>
          <w:rFonts w:hint="eastAsia" w:cs="宋体"/>
          <w:spacing w:val="6"/>
          <w:szCs w:val="24"/>
        </w:rPr>
      </w:pPr>
    </w:p>
    <w:p w14:paraId="7F68E87B">
      <w:pPr>
        <w:rPr>
          <w:rFonts w:hint="eastAsia" w:cs="宋体"/>
          <w:spacing w:val="6"/>
          <w:szCs w:val="24"/>
        </w:rPr>
      </w:pPr>
    </w:p>
    <w:p w14:paraId="76ABAF77">
      <w:pPr>
        <w:rPr>
          <w:rFonts w:hint="eastAsia" w:cs="宋体"/>
          <w:spacing w:val="6"/>
          <w:szCs w:val="24"/>
        </w:rPr>
      </w:pPr>
    </w:p>
    <w:p w14:paraId="337760F1">
      <w:pPr>
        <w:rPr>
          <w:rFonts w:hint="eastAsia" w:cs="宋体"/>
          <w:spacing w:val="6"/>
          <w:szCs w:val="24"/>
        </w:rPr>
      </w:pPr>
    </w:p>
    <w:p w14:paraId="05CEC902">
      <w:pPr>
        <w:rPr>
          <w:rFonts w:hint="eastAsia" w:cs="宋体"/>
          <w:spacing w:val="6"/>
          <w:szCs w:val="24"/>
        </w:rPr>
      </w:pPr>
    </w:p>
    <w:p w14:paraId="690201D4">
      <w:pPr>
        <w:rPr>
          <w:rFonts w:hint="eastAsia" w:cs="宋体"/>
          <w:spacing w:val="6"/>
          <w:szCs w:val="24"/>
        </w:rPr>
      </w:pPr>
      <w:r>
        <w:rPr>
          <w:rFonts w:hint="eastAsia" w:cs="宋体"/>
          <w:spacing w:val="6"/>
          <w:szCs w:val="24"/>
        </w:rPr>
        <w:t>附</w:t>
      </w:r>
    </w:p>
    <w:p w14:paraId="0D0D1363">
      <w:pPr>
        <w:pStyle w:val="19"/>
        <w:spacing w:before="100" w:after="100" w:line="240" w:lineRule="auto"/>
        <w:jc w:val="center"/>
        <w:rPr>
          <w:rFonts w:hint="eastAsia" w:hAnsi="宋体" w:cs="宋体"/>
          <w:b/>
          <w:sz w:val="28"/>
          <w:szCs w:val="28"/>
        </w:rPr>
      </w:pPr>
      <w:r>
        <w:rPr>
          <w:rFonts w:hint="eastAsia" w:hAnsi="宋体" w:cs="宋体"/>
          <w:b/>
          <w:sz w:val="28"/>
          <w:szCs w:val="28"/>
        </w:rPr>
        <w:t>金融业企业划型标准</w:t>
      </w:r>
    </w:p>
    <w:tbl>
      <w:tblPr>
        <w:tblStyle w:val="32"/>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129E0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Align w:val="center"/>
          </w:tcPr>
          <w:p w14:paraId="49AD699F">
            <w:pPr>
              <w:spacing w:line="240" w:lineRule="auto"/>
              <w:jc w:val="center"/>
              <w:rPr>
                <w:rFonts w:hint="eastAsia" w:cs="宋体"/>
                <w:b/>
                <w:spacing w:val="6"/>
                <w:sz w:val="21"/>
                <w:szCs w:val="21"/>
              </w:rPr>
            </w:pPr>
            <w:r>
              <w:rPr>
                <w:rFonts w:hint="eastAsia" w:cs="宋体"/>
                <w:b/>
                <w:spacing w:val="6"/>
                <w:sz w:val="21"/>
                <w:szCs w:val="21"/>
              </w:rPr>
              <w:t>行业</w:t>
            </w:r>
          </w:p>
        </w:tc>
        <w:tc>
          <w:tcPr>
            <w:tcW w:w="1817" w:type="dxa"/>
            <w:vAlign w:val="center"/>
          </w:tcPr>
          <w:p w14:paraId="1CB9DC7E">
            <w:pPr>
              <w:spacing w:line="240" w:lineRule="auto"/>
              <w:jc w:val="center"/>
              <w:rPr>
                <w:rFonts w:hint="eastAsia" w:cs="宋体"/>
                <w:b/>
                <w:spacing w:val="6"/>
                <w:sz w:val="21"/>
                <w:szCs w:val="21"/>
              </w:rPr>
            </w:pPr>
            <w:r>
              <w:rPr>
                <w:rFonts w:hint="eastAsia" w:cs="宋体"/>
                <w:b/>
                <w:spacing w:val="6"/>
                <w:sz w:val="21"/>
                <w:szCs w:val="21"/>
              </w:rPr>
              <w:t>类别</w:t>
            </w:r>
          </w:p>
        </w:tc>
        <w:tc>
          <w:tcPr>
            <w:tcW w:w="1143" w:type="dxa"/>
            <w:vAlign w:val="center"/>
          </w:tcPr>
          <w:p w14:paraId="214C9E8C">
            <w:pPr>
              <w:spacing w:line="240" w:lineRule="auto"/>
              <w:jc w:val="center"/>
              <w:rPr>
                <w:rFonts w:hint="eastAsia" w:cs="宋体"/>
                <w:b/>
                <w:spacing w:val="6"/>
                <w:sz w:val="21"/>
                <w:szCs w:val="21"/>
              </w:rPr>
            </w:pPr>
            <w:r>
              <w:rPr>
                <w:rFonts w:hint="eastAsia" w:cs="宋体"/>
                <w:b/>
                <w:spacing w:val="6"/>
                <w:sz w:val="21"/>
                <w:szCs w:val="21"/>
              </w:rPr>
              <w:t>类型</w:t>
            </w:r>
          </w:p>
        </w:tc>
        <w:tc>
          <w:tcPr>
            <w:tcW w:w="3251" w:type="dxa"/>
            <w:vAlign w:val="center"/>
          </w:tcPr>
          <w:p w14:paraId="136B335C">
            <w:pPr>
              <w:spacing w:line="240" w:lineRule="auto"/>
              <w:jc w:val="center"/>
              <w:rPr>
                <w:rFonts w:hint="eastAsia" w:cs="宋体"/>
                <w:b/>
                <w:spacing w:val="6"/>
                <w:sz w:val="21"/>
                <w:szCs w:val="21"/>
              </w:rPr>
            </w:pPr>
            <w:r>
              <w:rPr>
                <w:rFonts w:hint="eastAsia" w:cs="宋体"/>
                <w:b/>
                <w:spacing w:val="6"/>
                <w:sz w:val="21"/>
                <w:szCs w:val="21"/>
              </w:rPr>
              <w:t>资产总额</w:t>
            </w:r>
          </w:p>
        </w:tc>
      </w:tr>
      <w:tr w14:paraId="3F9F7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52F44122">
            <w:pPr>
              <w:spacing w:line="240" w:lineRule="auto"/>
              <w:jc w:val="both"/>
              <w:rPr>
                <w:rFonts w:hint="eastAsia" w:cs="宋体"/>
                <w:spacing w:val="6"/>
                <w:sz w:val="21"/>
                <w:szCs w:val="21"/>
              </w:rPr>
            </w:pPr>
            <w:r>
              <w:rPr>
                <w:rFonts w:hint="eastAsia" w:cs="宋体"/>
                <w:spacing w:val="6"/>
                <w:sz w:val="21"/>
                <w:szCs w:val="21"/>
              </w:rPr>
              <w:t>货币金融服务</w:t>
            </w:r>
          </w:p>
        </w:tc>
        <w:tc>
          <w:tcPr>
            <w:tcW w:w="1168" w:type="dxa"/>
            <w:vMerge w:val="restart"/>
            <w:vAlign w:val="center"/>
          </w:tcPr>
          <w:p w14:paraId="7F738539">
            <w:pPr>
              <w:spacing w:line="240" w:lineRule="auto"/>
              <w:jc w:val="both"/>
              <w:rPr>
                <w:rFonts w:hint="eastAsia" w:cs="宋体"/>
                <w:spacing w:val="6"/>
                <w:sz w:val="21"/>
                <w:szCs w:val="21"/>
              </w:rPr>
            </w:pPr>
            <w:r>
              <w:rPr>
                <w:rFonts w:hint="eastAsia" w:cs="宋体"/>
                <w:spacing w:val="6"/>
                <w:sz w:val="21"/>
                <w:szCs w:val="21"/>
              </w:rPr>
              <w:t>货币银行服务</w:t>
            </w:r>
          </w:p>
        </w:tc>
        <w:tc>
          <w:tcPr>
            <w:tcW w:w="1817" w:type="dxa"/>
            <w:vMerge w:val="restart"/>
            <w:vAlign w:val="center"/>
          </w:tcPr>
          <w:p w14:paraId="0DCACDAD">
            <w:pPr>
              <w:spacing w:line="240" w:lineRule="auto"/>
              <w:jc w:val="both"/>
              <w:rPr>
                <w:rFonts w:hint="eastAsia" w:cs="宋体"/>
                <w:spacing w:val="6"/>
                <w:sz w:val="21"/>
                <w:szCs w:val="21"/>
              </w:rPr>
            </w:pPr>
            <w:r>
              <w:rPr>
                <w:rFonts w:hint="eastAsia" w:cs="宋体"/>
                <w:spacing w:val="6"/>
                <w:sz w:val="21"/>
                <w:szCs w:val="21"/>
              </w:rPr>
              <w:t>银行业存款类金融机构</w:t>
            </w:r>
          </w:p>
        </w:tc>
        <w:tc>
          <w:tcPr>
            <w:tcW w:w="1143" w:type="dxa"/>
            <w:vAlign w:val="center"/>
          </w:tcPr>
          <w:p w14:paraId="384123F7">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360D8476">
            <w:pPr>
              <w:spacing w:line="240" w:lineRule="auto"/>
              <w:jc w:val="center"/>
              <w:rPr>
                <w:rFonts w:hint="eastAsia" w:cs="宋体"/>
                <w:spacing w:val="6"/>
                <w:sz w:val="21"/>
                <w:szCs w:val="21"/>
              </w:rPr>
            </w:pPr>
            <w:r>
              <w:rPr>
                <w:rFonts w:hint="eastAsia" w:cs="宋体"/>
                <w:spacing w:val="6"/>
                <w:sz w:val="21"/>
                <w:szCs w:val="21"/>
              </w:rPr>
              <w:t>5000亿元（含）至40000亿元</w:t>
            </w:r>
          </w:p>
        </w:tc>
      </w:tr>
      <w:tr w14:paraId="1ABC3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2F90F03">
            <w:pPr>
              <w:spacing w:line="240" w:lineRule="auto"/>
              <w:jc w:val="both"/>
              <w:rPr>
                <w:rFonts w:hint="eastAsia" w:cs="宋体"/>
                <w:spacing w:val="6"/>
                <w:sz w:val="21"/>
                <w:szCs w:val="21"/>
              </w:rPr>
            </w:pPr>
          </w:p>
        </w:tc>
        <w:tc>
          <w:tcPr>
            <w:tcW w:w="1168" w:type="dxa"/>
            <w:vMerge w:val="continue"/>
            <w:vAlign w:val="center"/>
          </w:tcPr>
          <w:p w14:paraId="07C1D6DC">
            <w:pPr>
              <w:spacing w:line="240" w:lineRule="auto"/>
              <w:jc w:val="both"/>
              <w:rPr>
                <w:rFonts w:hint="eastAsia" w:cs="宋体"/>
                <w:spacing w:val="6"/>
                <w:sz w:val="21"/>
                <w:szCs w:val="21"/>
              </w:rPr>
            </w:pPr>
          </w:p>
        </w:tc>
        <w:tc>
          <w:tcPr>
            <w:tcW w:w="1817" w:type="dxa"/>
            <w:vMerge w:val="continue"/>
            <w:vAlign w:val="center"/>
          </w:tcPr>
          <w:p w14:paraId="325C778F">
            <w:pPr>
              <w:spacing w:line="240" w:lineRule="auto"/>
              <w:jc w:val="both"/>
              <w:rPr>
                <w:rFonts w:hint="eastAsia" w:cs="宋体"/>
                <w:spacing w:val="6"/>
                <w:sz w:val="21"/>
                <w:szCs w:val="21"/>
              </w:rPr>
            </w:pPr>
          </w:p>
        </w:tc>
        <w:tc>
          <w:tcPr>
            <w:tcW w:w="1143" w:type="dxa"/>
            <w:vAlign w:val="center"/>
          </w:tcPr>
          <w:p w14:paraId="20638749">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2549C94C">
            <w:pPr>
              <w:spacing w:line="240" w:lineRule="auto"/>
              <w:jc w:val="center"/>
              <w:rPr>
                <w:rFonts w:hint="eastAsia" w:cs="宋体"/>
                <w:spacing w:val="6"/>
                <w:sz w:val="21"/>
                <w:szCs w:val="21"/>
              </w:rPr>
            </w:pPr>
            <w:r>
              <w:rPr>
                <w:rFonts w:hint="eastAsia" w:cs="宋体"/>
                <w:spacing w:val="6"/>
                <w:sz w:val="21"/>
                <w:szCs w:val="21"/>
              </w:rPr>
              <w:t>50亿元（含）至5000亿元</w:t>
            </w:r>
          </w:p>
        </w:tc>
      </w:tr>
      <w:tr w14:paraId="66FA5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AD65B6">
            <w:pPr>
              <w:spacing w:line="240" w:lineRule="auto"/>
              <w:jc w:val="both"/>
              <w:rPr>
                <w:rFonts w:hint="eastAsia" w:cs="宋体"/>
                <w:spacing w:val="6"/>
                <w:sz w:val="21"/>
                <w:szCs w:val="21"/>
              </w:rPr>
            </w:pPr>
          </w:p>
        </w:tc>
        <w:tc>
          <w:tcPr>
            <w:tcW w:w="1168" w:type="dxa"/>
            <w:vMerge w:val="continue"/>
            <w:vAlign w:val="center"/>
          </w:tcPr>
          <w:p w14:paraId="5723D5C0">
            <w:pPr>
              <w:spacing w:line="240" w:lineRule="auto"/>
              <w:jc w:val="both"/>
              <w:rPr>
                <w:rFonts w:hint="eastAsia" w:cs="宋体"/>
                <w:spacing w:val="6"/>
                <w:sz w:val="21"/>
                <w:szCs w:val="21"/>
              </w:rPr>
            </w:pPr>
          </w:p>
        </w:tc>
        <w:tc>
          <w:tcPr>
            <w:tcW w:w="1817" w:type="dxa"/>
            <w:vMerge w:val="continue"/>
            <w:vAlign w:val="center"/>
          </w:tcPr>
          <w:p w14:paraId="14CC1067">
            <w:pPr>
              <w:spacing w:line="240" w:lineRule="auto"/>
              <w:jc w:val="both"/>
              <w:rPr>
                <w:rFonts w:hint="eastAsia" w:cs="宋体"/>
                <w:spacing w:val="6"/>
                <w:sz w:val="21"/>
                <w:szCs w:val="21"/>
              </w:rPr>
            </w:pPr>
          </w:p>
        </w:tc>
        <w:tc>
          <w:tcPr>
            <w:tcW w:w="1143" w:type="dxa"/>
            <w:vAlign w:val="center"/>
          </w:tcPr>
          <w:p w14:paraId="739DF73D">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0E22C55E">
            <w:pPr>
              <w:spacing w:line="240" w:lineRule="auto"/>
              <w:jc w:val="center"/>
              <w:rPr>
                <w:rFonts w:hint="eastAsia" w:cs="宋体"/>
                <w:spacing w:val="6"/>
                <w:sz w:val="21"/>
                <w:szCs w:val="21"/>
              </w:rPr>
            </w:pPr>
            <w:r>
              <w:rPr>
                <w:rFonts w:hint="eastAsia" w:cs="宋体"/>
                <w:spacing w:val="6"/>
                <w:sz w:val="21"/>
                <w:szCs w:val="21"/>
              </w:rPr>
              <w:t>50亿元以下</w:t>
            </w:r>
          </w:p>
        </w:tc>
      </w:tr>
      <w:tr w14:paraId="1AFAC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C0F0DD6">
            <w:pPr>
              <w:spacing w:line="240" w:lineRule="auto"/>
              <w:jc w:val="both"/>
              <w:rPr>
                <w:rFonts w:hint="eastAsia" w:cs="宋体"/>
                <w:spacing w:val="6"/>
                <w:sz w:val="21"/>
                <w:szCs w:val="21"/>
              </w:rPr>
            </w:pPr>
          </w:p>
        </w:tc>
        <w:tc>
          <w:tcPr>
            <w:tcW w:w="1168" w:type="dxa"/>
            <w:vMerge w:val="restart"/>
            <w:vAlign w:val="center"/>
          </w:tcPr>
          <w:p w14:paraId="58928A0E">
            <w:pPr>
              <w:spacing w:line="240" w:lineRule="auto"/>
              <w:jc w:val="both"/>
              <w:rPr>
                <w:rFonts w:hint="eastAsia" w:cs="宋体"/>
                <w:spacing w:val="6"/>
                <w:sz w:val="21"/>
                <w:szCs w:val="21"/>
              </w:rPr>
            </w:pPr>
            <w:r>
              <w:rPr>
                <w:rFonts w:hint="eastAsia" w:cs="宋体"/>
                <w:spacing w:val="6"/>
                <w:sz w:val="21"/>
                <w:szCs w:val="21"/>
              </w:rPr>
              <w:t>非货币银行服务</w:t>
            </w:r>
          </w:p>
        </w:tc>
        <w:tc>
          <w:tcPr>
            <w:tcW w:w="1817" w:type="dxa"/>
            <w:vMerge w:val="restart"/>
            <w:vAlign w:val="center"/>
          </w:tcPr>
          <w:p w14:paraId="08C72796">
            <w:pPr>
              <w:spacing w:line="240" w:lineRule="auto"/>
              <w:jc w:val="both"/>
              <w:rPr>
                <w:rFonts w:hint="eastAsia" w:cs="宋体"/>
                <w:spacing w:val="6"/>
                <w:sz w:val="21"/>
                <w:szCs w:val="21"/>
              </w:rPr>
            </w:pPr>
            <w:r>
              <w:rPr>
                <w:rFonts w:hint="eastAsia" w:cs="宋体"/>
                <w:spacing w:val="6"/>
                <w:sz w:val="21"/>
                <w:szCs w:val="21"/>
              </w:rPr>
              <w:t>银行业非存款类金融机构</w:t>
            </w:r>
          </w:p>
        </w:tc>
        <w:tc>
          <w:tcPr>
            <w:tcW w:w="1143" w:type="dxa"/>
            <w:vAlign w:val="center"/>
          </w:tcPr>
          <w:p w14:paraId="5B465991">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34E6F2BB">
            <w:pPr>
              <w:spacing w:line="240" w:lineRule="auto"/>
              <w:jc w:val="center"/>
              <w:rPr>
                <w:rFonts w:hint="eastAsia" w:cs="宋体"/>
                <w:spacing w:val="6"/>
                <w:sz w:val="21"/>
                <w:szCs w:val="21"/>
              </w:rPr>
            </w:pPr>
            <w:r>
              <w:rPr>
                <w:rFonts w:hint="eastAsia" w:cs="宋体"/>
                <w:spacing w:val="6"/>
                <w:sz w:val="21"/>
                <w:szCs w:val="21"/>
              </w:rPr>
              <w:t>200亿元（含）至1000亿元</w:t>
            </w:r>
          </w:p>
        </w:tc>
      </w:tr>
      <w:tr w14:paraId="6CEB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D93A11">
            <w:pPr>
              <w:spacing w:line="240" w:lineRule="auto"/>
              <w:jc w:val="both"/>
              <w:rPr>
                <w:rFonts w:hint="eastAsia" w:cs="宋体"/>
                <w:spacing w:val="6"/>
                <w:sz w:val="21"/>
                <w:szCs w:val="21"/>
              </w:rPr>
            </w:pPr>
          </w:p>
        </w:tc>
        <w:tc>
          <w:tcPr>
            <w:tcW w:w="1168" w:type="dxa"/>
            <w:vMerge w:val="continue"/>
            <w:vAlign w:val="center"/>
          </w:tcPr>
          <w:p w14:paraId="0295741F">
            <w:pPr>
              <w:spacing w:line="240" w:lineRule="auto"/>
              <w:jc w:val="both"/>
              <w:rPr>
                <w:rFonts w:hint="eastAsia" w:cs="宋体"/>
                <w:spacing w:val="6"/>
                <w:sz w:val="21"/>
                <w:szCs w:val="21"/>
              </w:rPr>
            </w:pPr>
          </w:p>
        </w:tc>
        <w:tc>
          <w:tcPr>
            <w:tcW w:w="1817" w:type="dxa"/>
            <w:vMerge w:val="continue"/>
            <w:vAlign w:val="center"/>
          </w:tcPr>
          <w:p w14:paraId="3A9489DA">
            <w:pPr>
              <w:spacing w:line="240" w:lineRule="auto"/>
              <w:jc w:val="both"/>
              <w:rPr>
                <w:rFonts w:hint="eastAsia" w:cs="宋体"/>
                <w:spacing w:val="6"/>
                <w:sz w:val="21"/>
                <w:szCs w:val="21"/>
              </w:rPr>
            </w:pPr>
          </w:p>
        </w:tc>
        <w:tc>
          <w:tcPr>
            <w:tcW w:w="1143" w:type="dxa"/>
            <w:vAlign w:val="center"/>
          </w:tcPr>
          <w:p w14:paraId="6F7939B3">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18A78024">
            <w:pPr>
              <w:spacing w:line="240" w:lineRule="auto"/>
              <w:jc w:val="center"/>
              <w:rPr>
                <w:rFonts w:hint="eastAsia" w:cs="宋体"/>
                <w:spacing w:val="6"/>
                <w:sz w:val="21"/>
                <w:szCs w:val="21"/>
              </w:rPr>
            </w:pPr>
            <w:r>
              <w:rPr>
                <w:rFonts w:hint="eastAsia" w:cs="宋体"/>
                <w:spacing w:val="6"/>
                <w:sz w:val="21"/>
                <w:szCs w:val="21"/>
              </w:rPr>
              <w:t>50亿元（含）至200亿元</w:t>
            </w:r>
          </w:p>
        </w:tc>
      </w:tr>
      <w:tr w14:paraId="00F20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64545E1">
            <w:pPr>
              <w:spacing w:line="240" w:lineRule="auto"/>
              <w:jc w:val="both"/>
              <w:rPr>
                <w:rFonts w:hint="eastAsia" w:cs="宋体"/>
                <w:spacing w:val="6"/>
                <w:sz w:val="21"/>
                <w:szCs w:val="21"/>
              </w:rPr>
            </w:pPr>
          </w:p>
        </w:tc>
        <w:tc>
          <w:tcPr>
            <w:tcW w:w="1168" w:type="dxa"/>
            <w:vMerge w:val="continue"/>
            <w:vAlign w:val="center"/>
          </w:tcPr>
          <w:p w14:paraId="4A9690E5">
            <w:pPr>
              <w:spacing w:line="240" w:lineRule="auto"/>
              <w:jc w:val="both"/>
              <w:rPr>
                <w:rFonts w:hint="eastAsia" w:cs="宋体"/>
                <w:spacing w:val="6"/>
                <w:sz w:val="21"/>
                <w:szCs w:val="21"/>
              </w:rPr>
            </w:pPr>
          </w:p>
        </w:tc>
        <w:tc>
          <w:tcPr>
            <w:tcW w:w="1817" w:type="dxa"/>
            <w:vMerge w:val="continue"/>
            <w:vAlign w:val="center"/>
          </w:tcPr>
          <w:p w14:paraId="0D4177F6">
            <w:pPr>
              <w:spacing w:line="240" w:lineRule="auto"/>
              <w:jc w:val="both"/>
              <w:rPr>
                <w:rFonts w:hint="eastAsia" w:cs="宋体"/>
                <w:spacing w:val="6"/>
                <w:sz w:val="21"/>
                <w:szCs w:val="21"/>
              </w:rPr>
            </w:pPr>
          </w:p>
        </w:tc>
        <w:tc>
          <w:tcPr>
            <w:tcW w:w="1143" w:type="dxa"/>
            <w:vAlign w:val="center"/>
          </w:tcPr>
          <w:p w14:paraId="23A3D8E2">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5FC418A3">
            <w:pPr>
              <w:spacing w:line="240" w:lineRule="auto"/>
              <w:jc w:val="center"/>
              <w:rPr>
                <w:rFonts w:hint="eastAsia" w:cs="宋体"/>
                <w:spacing w:val="6"/>
                <w:sz w:val="21"/>
                <w:szCs w:val="21"/>
              </w:rPr>
            </w:pPr>
            <w:r>
              <w:rPr>
                <w:rFonts w:hint="eastAsia" w:cs="宋体"/>
                <w:spacing w:val="6"/>
                <w:sz w:val="21"/>
                <w:szCs w:val="21"/>
              </w:rPr>
              <w:t>50亿元以下</w:t>
            </w:r>
          </w:p>
        </w:tc>
      </w:tr>
      <w:tr w14:paraId="19E45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0877A19">
            <w:pPr>
              <w:spacing w:line="240" w:lineRule="auto"/>
              <w:jc w:val="both"/>
              <w:rPr>
                <w:rFonts w:hint="eastAsia" w:cs="宋体"/>
                <w:spacing w:val="6"/>
                <w:sz w:val="21"/>
                <w:szCs w:val="21"/>
              </w:rPr>
            </w:pPr>
          </w:p>
        </w:tc>
        <w:tc>
          <w:tcPr>
            <w:tcW w:w="1168" w:type="dxa"/>
            <w:vMerge w:val="continue"/>
            <w:vAlign w:val="center"/>
          </w:tcPr>
          <w:p w14:paraId="4864043F">
            <w:pPr>
              <w:spacing w:line="240" w:lineRule="auto"/>
              <w:jc w:val="both"/>
              <w:rPr>
                <w:rFonts w:hint="eastAsia" w:cs="宋体"/>
                <w:spacing w:val="6"/>
                <w:sz w:val="21"/>
                <w:szCs w:val="21"/>
              </w:rPr>
            </w:pPr>
          </w:p>
        </w:tc>
        <w:tc>
          <w:tcPr>
            <w:tcW w:w="1817" w:type="dxa"/>
            <w:vMerge w:val="restart"/>
            <w:vAlign w:val="center"/>
          </w:tcPr>
          <w:p w14:paraId="4003D129">
            <w:pPr>
              <w:spacing w:line="240" w:lineRule="auto"/>
              <w:jc w:val="both"/>
              <w:rPr>
                <w:rFonts w:hint="eastAsia" w:cs="宋体"/>
                <w:spacing w:val="6"/>
                <w:sz w:val="21"/>
                <w:szCs w:val="21"/>
              </w:rPr>
            </w:pPr>
            <w:r>
              <w:rPr>
                <w:rFonts w:hint="eastAsia" w:cs="宋体"/>
                <w:spacing w:val="6"/>
                <w:sz w:val="21"/>
                <w:szCs w:val="21"/>
              </w:rPr>
              <w:t>贷款公司、小额贷款公司及典当行</w:t>
            </w:r>
          </w:p>
        </w:tc>
        <w:tc>
          <w:tcPr>
            <w:tcW w:w="1143" w:type="dxa"/>
            <w:vAlign w:val="center"/>
          </w:tcPr>
          <w:p w14:paraId="6D7BD76D">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43046004">
            <w:pPr>
              <w:spacing w:line="240" w:lineRule="auto"/>
              <w:jc w:val="center"/>
              <w:rPr>
                <w:rFonts w:hint="eastAsia" w:cs="宋体"/>
                <w:spacing w:val="6"/>
                <w:sz w:val="21"/>
                <w:szCs w:val="21"/>
              </w:rPr>
            </w:pPr>
            <w:r>
              <w:rPr>
                <w:rFonts w:hint="eastAsia" w:cs="宋体"/>
                <w:spacing w:val="6"/>
                <w:sz w:val="21"/>
                <w:szCs w:val="21"/>
              </w:rPr>
              <w:t>200亿元（含）至1000亿元</w:t>
            </w:r>
          </w:p>
        </w:tc>
      </w:tr>
      <w:tr w14:paraId="40FA2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7F1AF31">
            <w:pPr>
              <w:spacing w:line="240" w:lineRule="auto"/>
              <w:jc w:val="both"/>
              <w:rPr>
                <w:rFonts w:hint="eastAsia" w:cs="宋体"/>
                <w:spacing w:val="6"/>
                <w:sz w:val="21"/>
                <w:szCs w:val="21"/>
              </w:rPr>
            </w:pPr>
          </w:p>
        </w:tc>
        <w:tc>
          <w:tcPr>
            <w:tcW w:w="1168" w:type="dxa"/>
            <w:vMerge w:val="continue"/>
            <w:vAlign w:val="center"/>
          </w:tcPr>
          <w:p w14:paraId="3DDAD413">
            <w:pPr>
              <w:spacing w:line="240" w:lineRule="auto"/>
              <w:jc w:val="both"/>
              <w:rPr>
                <w:rFonts w:hint="eastAsia" w:cs="宋体"/>
                <w:spacing w:val="6"/>
                <w:sz w:val="21"/>
                <w:szCs w:val="21"/>
              </w:rPr>
            </w:pPr>
          </w:p>
        </w:tc>
        <w:tc>
          <w:tcPr>
            <w:tcW w:w="1817" w:type="dxa"/>
            <w:vMerge w:val="continue"/>
            <w:vAlign w:val="center"/>
          </w:tcPr>
          <w:p w14:paraId="0F06BE9D">
            <w:pPr>
              <w:spacing w:line="240" w:lineRule="auto"/>
              <w:jc w:val="both"/>
              <w:rPr>
                <w:rFonts w:hint="eastAsia" w:cs="宋体"/>
                <w:spacing w:val="6"/>
                <w:sz w:val="21"/>
                <w:szCs w:val="21"/>
              </w:rPr>
            </w:pPr>
          </w:p>
        </w:tc>
        <w:tc>
          <w:tcPr>
            <w:tcW w:w="1143" w:type="dxa"/>
            <w:vAlign w:val="center"/>
          </w:tcPr>
          <w:p w14:paraId="10CB3B1F">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5FA7BC92">
            <w:pPr>
              <w:spacing w:line="240" w:lineRule="auto"/>
              <w:jc w:val="center"/>
              <w:rPr>
                <w:rFonts w:hint="eastAsia" w:cs="宋体"/>
                <w:spacing w:val="6"/>
                <w:sz w:val="21"/>
                <w:szCs w:val="21"/>
              </w:rPr>
            </w:pPr>
            <w:r>
              <w:rPr>
                <w:rFonts w:hint="eastAsia" w:cs="宋体"/>
                <w:spacing w:val="6"/>
                <w:sz w:val="21"/>
                <w:szCs w:val="21"/>
              </w:rPr>
              <w:t>50亿元（含）至200亿元</w:t>
            </w:r>
          </w:p>
        </w:tc>
      </w:tr>
      <w:tr w14:paraId="6CBA1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0E478F">
            <w:pPr>
              <w:spacing w:line="240" w:lineRule="auto"/>
              <w:jc w:val="both"/>
              <w:rPr>
                <w:rFonts w:hint="eastAsia" w:cs="宋体"/>
                <w:spacing w:val="6"/>
                <w:sz w:val="21"/>
                <w:szCs w:val="21"/>
              </w:rPr>
            </w:pPr>
          </w:p>
        </w:tc>
        <w:tc>
          <w:tcPr>
            <w:tcW w:w="1168" w:type="dxa"/>
            <w:vMerge w:val="continue"/>
            <w:vAlign w:val="center"/>
          </w:tcPr>
          <w:p w14:paraId="59DC1C14">
            <w:pPr>
              <w:spacing w:line="240" w:lineRule="auto"/>
              <w:jc w:val="both"/>
              <w:rPr>
                <w:rFonts w:hint="eastAsia" w:cs="宋体"/>
                <w:spacing w:val="6"/>
                <w:sz w:val="21"/>
                <w:szCs w:val="21"/>
              </w:rPr>
            </w:pPr>
          </w:p>
        </w:tc>
        <w:tc>
          <w:tcPr>
            <w:tcW w:w="1817" w:type="dxa"/>
            <w:vMerge w:val="continue"/>
            <w:vAlign w:val="center"/>
          </w:tcPr>
          <w:p w14:paraId="6C2E1104">
            <w:pPr>
              <w:spacing w:line="240" w:lineRule="auto"/>
              <w:jc w:val="both"/>
              <w:rPr>
                <w:rFonts w:hint="eastAsia" w:cs="宋体"/>
                <w:spacing w:val="6"/>
                <w:sz w:val="21"/>
                <w:szCs w:val="21"/>
              </w:rPr>
            </w:pPr>
          </w:p>
        </w:tc>
        <w:tc>
          <w:tcPr>
            <w:tcW w:w="1143" w:type="dxa"/>
            <w:vAlign w:val="center"/>
          </w:tcPr>
          <w:p w14:paraId="3E4FB9EB">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139C42C4">
            <w:pPr>
              <w:spacing w:line="240" w:lineRule="auto"/>
              <w:jc w:val="center"/>
              <w:rPr>
                <w:rFonts w:hint="eastAsia" w:cs="宋体"/>
                <w:spacing w:val="6"/>
                <w:sz w:val="21"/>
                <w:szCs w:val="21"/>
              </w:rPr>
            </w:pPr>
            <w:r>
              <w:rPr>
                <w:rFonts w:hint="eastAsia" w:cs="宋体"/>
                <w:spacing w:val="6"/>
                <w:sz w:val="21"/>
                <w:szCs w:val="21"/>
              </w:rPr>
              <w:t>50亿元以下</w:t>
            </w:r>
          </w:p>
        </w:tc>
      </w:tr>
      <w:tr w14:paraId="76C18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B00844D">
            <w:pPr>
              <w:spacing w:line="240" w:lineRule="auto"/>
              <w:jc w:val="both"/>
              <w:rPr>
                <w:rFonts w:hint="eastAsia" w:cs="宋体"/>
                <w:spacing w:val="6"/>
                <w:sz w:val="21"/>
                <w:szCs w:val="21"/>
              </w:rPr>
            </w:pPr>
            <w:r>
              <w:rPr>
                <w:rFonts w:hint="eastAsia" w:cs="宋体"/>
                <w:spacing w:val="6"/>
                <w:sz w:val="21"/>
                <w:szCs w:val="21"/>
              </w:rPr>
              <w:t>资本市场服务</w:t>
            </w:r>
          </w:p>
        </w:tc>
        <w:tc>
          <w:tcPr>
            <w:tcW w:w="1817" w:type="dxa"/>
            <w:vMerge w:val="restart"/>
            <w:vAlign w:val="center"/>
          </w:tcPr>
          <w:p w14:paraId="1DE06168">
            <w:pPr>
              <w:spacing w:line="240" w:lineRule="auto"/>
              <w:jc w:val="both"/>
              <w:rPr>
                <w:rFonts w:hint="eastAsia" w:cs="宋体"/>
                <w:spacing w:val="6"/>
                <w:sz w:val="21"/>
                <w:szCs w:val="21"/>
              </w:rPr>
            </w:pPr>
            <w:r>
              <w:rPr>
                <w:rFonts w:hint="eastAsia" w:cs="宋体"/>
                <w:spacing w:val="6"/>
                <w:sz w:val="21"/>
                <w:szCs w:val="21"/>
              </w:rPr>
              <w:t>证券业金融机构</w:t>
            </w:r>
          </w:p>
        </w:tc>
        <w:tc>
          <w:tcPr>
            <w:tcW w:w="1143" w:type="dxa"/>
            <w:vAlign w:val="center"/>
          </w:tcPr>
          <w:p w14:paraId="440587AE">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23330131">
            <w:pPr>
              <w:spacing w:line="240" w:lineRule="auto"/>
              <w:jc w:val="center"/>
              <w:rPr>
                <w:rFonts w:hint="eastAsia" w:cs="宋体"/>
                <w:spacing w:val="6"/>
                <w:sz w:val="21"/>
                <w:szCs w:val="21"/>
              </w:rPr>
            </w:pPr>
            <w:r>
              <w:rPr>
                <w:rFonts w:hint="eastAsia" w:cs="宋体"/>
                <w:spacing w:val="6"/>
                <w:sz w:val="21"/>
                <w:szCs w:val="21"/>
              </w:rPr>
              <w:t>100亿元（含）至1000亿元</w:t>
            </w:r>
          </w:p>
        </w:tc>
      </w:tr>
      <w:tr w14:paraId="5991F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A3C5EBD">
            <w:pPr>
              <w:spacing w:line="240" w:lineRule="auto"/>
              <w:jc w:val="both"/>
              <w:rPr>
                <w:rFonts w:hint="eastAsia" w:cs="宋体"/>
                <w:spacing w:val="6"/>
                <w:sz w:val="21"/>
                <w:szCs w:val="21"/>
              </w:rPr>
            </w:pPr>
          </w:p>
        </w:tc>
        <w:tc>
          <w:tcPr>
            <w:tcW w:w="1817" w:type="dxa"/>
            <w:vMerge w:val="continue"/>
            <w:vAlign w:val="center"/>
          </w:tcPr>
          <w:p w14:paraId="790B74AA">
            <w:pPr>
              <w:spacing w:line="240" w:lineRule="auto"/>
              <w:jc w:val="both"/>
              <w:rPr>
                <w:rFonts w:hint="eastAsia" w:cs="宋体"/>
                <w:spacing w:val="6"/>
                <w:sz w:val="21"/>
                <w:szCs w:val="21"/>
              </w:rPr>
            </w:pPr>
          </w:p>
        </w:tc>
        <w:tc>
          <w:tcPr>
            <w:tcW w:w="1143" w:type="dxa"/>
            <w:vAlign w:val="center"/>
          </w:tcPr>
          <w:p w14:paraId="47878F46">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36905176">
            <w:pPr>
              <w:spacing w:line="240" w:lineRule="auto"/>
              <w:jc w:val="center"/>
              <w:rPr>
                <w:rFonts w:hint="eastAsia" w:cs="宋体"/>
                <w:spacing w:val="6"/>
                <w:sz w:val="21"/>
                <w:szCs w:val="21"/>
              </w:rPr>
            </w:pPr>
            <w:r>
              <w:rPr>
                <w:rFonts w:hint="eastAsia" w:cs="宋体"/>
                <w:spacing w:val="6"/>
                <w:sz w:val="21"/>
                <w:szCs w:val="21"/>
              </w:rPr>
              <w:t>10亿元（含）至100亿元</w:t>
            </w:r>
          </w:p>
        </w:tc>
      </w:tr>
      <w:tr w14:paraId="75E3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50D6838D">
            <w:pPr>
              <w:spacing w:line="240" w:lineRule="auto"/>
              <w:jc w:val="both"/>
              <w:rPr>
                <w:rFonts w:hint="eastAsia" w:cs="宋体"/>
                <w:spacing w:val="6"/>
                <w:sz w:val="21"/>
                <w:szCs w:val="21"/>
              </w:rPr>
            </w:pPr>
          </w:p>
        </w:tc>
        <w:tc>
          <w:tcPr>
            <w:tcW w:w="1817" w:type="dxa"/>
            <w:vMerge w:val="continue"/>
            <w:vAlign w:val="center"/>
          </w:tcPr>
          <w:p w14:paraId="5081AA6A">
            <w:pPr>
              <w:spacing w:line="240" w:lineRule="auto"/>
              <w:jc w:val="both"/>
              <w:rPr>
                <w:rFonts w:hint="eastAsia" w:cs="宋体"/>
                <w:spacing w:val="6"/>
                <w:sz w:val="21"/>
                <w:szCs w:val="21"/>
              </w:rPr>
            </w:pPr>
          </w:p>
        </w:tc>
        <w:tc>
          <w:tcPr>
            <w:tcW w:w="1143" w:type="dxa"/>
            <w:vAlign w:val="center"/>
          </w:tcPr>
          <w:p w14:paraId="19737775">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7DBA79E6">
            <w:pPr>
              <w:spacing w:line="240" w:lineRule="auto"/>
              <w:jc w:val="center"/>
              <w:rPr>
                <w:rFonts w:hint="eastAsia" w:cs="宋体"/>
                <w:spacing w:val="6"/>
                <w:sz w:val="21"/>
                <w:szCs w:val="21"/>
              </w:rPr>
            </w:pPr>
            <w:r>
              <w:rPr>
                <w:rFonts w:hint="eastAsia" w:cs="宋体"/>
                <w:spacing w:val="6"/>
                <w:sz w:val="21"/>
                <w:szCs w:val="21"/>
              </w:rPr>
              <w:t>10亿元以下</w:t>
            </w:r>
          </w:p>
        </w:tc>
      </w:tr>
      <w:tr w14:paraId="12320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01268C3">
            <w:pPr>
              <w:spacing w:line="240" w:lineRule="auto"/>
              <w:jc w:val="both"/>
              <w:rPr>
                <w:rFonts w:hint="eastAsia" w:cs="宋体"/>
                <w:spacing w:val="6"/>
                <w:sz w:val="21"/>
                <w:szCs w:val="21"/>
              </w:rPr>
            </w:pPr>
            <w:r>
              <w:rPr>
                <w:rFonts w:hint="eastAsia" w:cs="宋体"/>
                <w:spacing w:val="6"/>
                <w:sz w:val="21"/>
                <w:szCs w:val="21"/>
              </w:rPr>
              <w:t>保险业</w:t>
            </w:r>
          </w:p>
        </w:tc>
        <w:tc>
          <w:tcPr>
            <w:tcW w:w="1817" w:type="dxa"/>
            <w:vMerge w:val="restart"/>
            <w:vAlign w:val="center"/>
          </w:tcPr>
          <w:p w14:paraId="4D49BE5B">
            <w:pPr>
              <w:spacing w:line="240" w:lineRule="auto"/>
              <w:jc w:val="both"/>
              <w:rPr>
                <w:rFonts w:hint="eastAsia" w:cs="宋体"/>
                <w:spacing w:val="6"/>
                <w:sz w:val="21"/>
                <w:szCs w:val="21"/>
              </w:rPr>
            </w:pPr>
            <w:r>
              <w:rPr>
                <w:rFonts w:hint="eastAsia" w:cs="宋体"/>
                <w:spacing w:val="6"/>
                <w:sz w:val="21"/>
                <w:szCs w:val="21"/>
              </w:rPr>
              <w:t>保险业金融机构</w:t>
            </w:r>
          </w:p>
        </w:tc>
        <w:tc>
          <w:tcPr>
            <w:tcW w:w="1143" w:type="dxa"/>
            <w:vAlign w:val="center"/>
          </w:tcPr>
          <w:p w14:paraId="211887C5">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451D5AD2">
            <w:pPr>
              <w:spacing w:line="240" w:lineRule="auto"/>
              <w:jc w:val="center"/>
              <w:rPr>
                <w:rFonts w:hint="eastAsia" w:cs="宋体"/>
                <w:spacing w:val="6"/>
                <w:sz w:val="21"/>
                <w:szCs w:val="21"/>
              </w:rPr>
            </w:pPr>
            <w:r>
              <w:rPr>
                <w:rFonts w:hint="eastAsia" w:cs="宋体"/>
                <w:spacing w:val="6"/>
                <w:sz w:val="21"/>
                <w:szCs w:val="21"/>
              </w:rPr>
              <w:t>400亿元（含）至5000亿元</w:t>
            </w:r>
          </w:p>
        </w:tc>
      </w:tr>
      <w:tr w14:paraId="7952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23DDD746">
            <w:pPr>
              <w:spacing w:line="240" w:lineRule="auto"/>
              <w:jc w:val="both"/>
              <w:rPr>
                <w:rFonts w:hint="eastAsia" w:cs="宋体"/>
                <w:spacing w:val="6"/>
                <w:sz w:val="21"/>
                <w:szCs w:val="21"/>
              </w:rPr>
            </w:pPr>
          </w:p>
        </w:tc>
        <w:tc>
          <w:tcPr>
            <w:tcW w:w="1817" w:type="dxa"/>
            <w:vMerge w:val="continue"/>
            <w:vAlign w:val="center"/>
          </w:tcPr>
          <w:p w14:paraId="10986576">
            <w:pPr>
              <w:spacing w:line="240" w:lineRule="auto"/>
              <w:jc w:val="both"/>
              <w:rPr>
                <w:rFonts w:hint="eastAsia" w:cs="宋体"/>
                <w:spacing w:val="6"/>
                <w:sz w:val="21"/>
                <w:szCs w:val="21"/>
              </w:rPr>
            </w:pPr>
          </w:p>
        </w:tc>
        <w:tc>
          <w:tcPr>
            <w:tcW w:w="1143" w:type="dxa"/>
            <w:vAlign w:val="center"/>
          </w:tcPr>
          <w:p w14:paraId="417908DA">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5B557ABF">
            <w:pPr>
              <w:spacing w:line="240" w:lineRule="auto"/>
              <w:jc w:val="center"/>
              <w:rPr>
                <w:rFonts w:hint="eastAsia" w:cs="宋体"/>
                <w:spacing w:val="6"/>
                <w:sz w:val="21"/>
                <w:szCs w:val="21"/>
              </w:rPr>
            </w:pPr>
            <w:r>
              <w:rPr>
                <w:rFonts w:hint="eastAsia" w:cs="宋体"/>
                <w:spacing w:val="6"/>
                <w:sz w:val="21"/>
                <w:szCs w:val="21"/>
              </w:rPr>
              <w:t>20亿元（含）至400亿元</w:t>
            </w:r>
          </w:p>
        </w:tc>
      </w:tr>
      <w:tr w14:paraId="3B8AD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8737FEE">
            <w:pPr>
              <w:spacing w:line="240" w:lineRule="auto"/>
              <w:jc w:val="both"/>
              <w:rPr>
                <w:rFonts w:hint="eastAsia" w:cs="宋体"/>
                <w:spacing w:val="6"/>
                <w:sz w:val="21"/>
                <w:szCs w:val="21"/>
              </w:rPr>
            </w:pPr>
          </w:p>
        </w:tc>
        <w:tc>
          <w:tcPr>
            <w:tcW w:w="1817" w:type="dxa"/>
            <w:vMerge w:val="continue"/>
            <w:vAlign w:val="center"/>
          </w:tcPr>
          <w:p w14:paraId="01FFB9E3">
            <w:pPr>
              <w:spacing w:line="240" w:lineRule="auto"/>
              <w:jc w:val="both"/>
              <w:rPr>
                <w:rFonts w:hint="eastAsia" w:cs="宋体"/>
                <w:spacing w:val="6"/>
                <w:sz w:val="21"/>
                <w:szCs w:val="21"/>
              </w:rPr>
            </w:pPr>
          </w:p>
        </w:tc>
        <w:tc>
          <w:tcPr>
            <w:tcW w:w="1143" w:type="dxa"/>
            <w:vAlign w:val="center"/>
          </w:tcPr>
          <w:p w14:paraId="4A8AE6A5">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4DBF3616">
            <w:pPr>
              <w:spacing w:line="240" w:lineRule="auto"/>
              <w:jc w:val="center"/>
              <w:rPr>
                <w:rFonts w:hint="eastAsia" w:cs="宋体"/>
                <w:spacing w:val="6"/>
                <w:sz w:val="21"/>
                <w:szCs w:val="21"/>
              </w:rPr>
            </w:pPr>
            <w:r>
              <w:rPr>
                <w:rFonts w:hint="eastAsia" w:cs="宋体"/>
                <w:spacing w:val="6"/>
                <w:sz w:val="21"/>
                <w:szCs w:val="21"/>
              </w:rPr>
              <w:t>20亿元以下</w:t>
            </w:r>
          </w:p>
        </w:tc>
      </w:tr>
      <w:tr w14:paraId="31852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590B4B92">
            <w:pPr>
              <w:spacing w:line="240" w:lineRule="auto"/>
              <w:jc w:val="both"/>
              <w:rPr>
                <w:rFonts w:hint="eastAsia" w:cs="宋体"/>
                <w:spacing w:val="6"/>
                <w:sz w:val="21"/>
                <w:szCs w:val="21"/>
              </w:rPr>
            </w:pPr>
            <w:r>
              <w:rPr>
                <w:rFonts w:hint="eastAsia" w:cs="宋体"/>
                <w:spacing w:val="6"/>
                <w:sz w:val="21"/>
                <w:szCs w:val="21"/>
              </w:rPr>
              <w:t>其他金融业</w:t>
            </w:r>
          </w:p>
        </w:tc>
        <w:tc>
          <w:tcPr>
            <w:tcW w:w="1168" w:type="dxa"/>
            <w:vMerge w:val="restart"/>
            <w:vAlign w:val="center"/>
          </w:tcPr>
          <w:p w14:paraId="215F07E4">
            <w:pPr>
              <w:spacing w:line="240" w:lineRule="auto"/>
              <w:jc w:val="both"/>
              <w:rPr>
                <w:rFonts w:hint="eastAsia" w:cs="宋体"/>
                <w:spacing w:val="6"/>
                <w:sz w:val="21"/>
                <w:szCs w:val="21"/>
              </w:rPr>
            </w:pPr>
            <w:r>
              <w:rPr>
                <w:rFonts w:hint="eastAsia" w:cs="宋体"/>
                <w:spacing w:val="6"/>
                <w:sz w:val="21"/>
                <w:szCs w:val="21"/>
              </w:rPr>
              <w:t>金融信托与管理服务</w:t>
            </w:r>
          </w:p>
        </w:tc>
        <w:tc>
          <w:tcPr>
            <w:tcW w:w="1817" w:type="dxa"/>
            <w:vMerge w:val="restart"/>
            <w:vAlign w:val="center"/>
          </w:tcPr>
          <w:p w14:paraId="55BE863A">
            <w:pPr>
              <w:spacing w:line="240" w:lineRule="auto"/>
              <w:jc w:val="both"/>
              <w:rPr>
                <w:rFonts w:hint="eastAsia" w:cs="宋体"/>
                <w:spacing w:val="6"/>
                <w:sz w:val="21"/>
                <w:szCs w:val="21"/>
              </w:rPr>
            </w:pPr>
            <w:r>
              <w:rPr>
                <w:rFonts w:hint="eastAsia" w:cs="宋体"/>
                <w:spacing w:val="6"/>
                <w:sz w:val="21"/>
                <w:szCs w:val="21"/>
              </w:rPr>
              <w:t>信托公司</w:t>
            </w:r>
          </w:p>
        </w:tc>
        <w:tc>
          <w:tcPr>
            <w:tcW w:w="1143" w:type="dxa"/>
            <w:vAlign w:val="center"/>
          </w:tcPr>
          <w:p w14:paraId="09303517">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19717AEA">
            <w:pPr>
              <w:spacing w:line="240" w:lineRule="auto"/>
              <w:jc w:val="center"/>
              <w:rPr>
                <w:rFonts w:hint="eastAsia" w:cs="宋体"/>
                <w:spacing w:val="6"/>
                <w:sz w:val="21"/>
                <w:szCs w:val="21"/>
              </w:rPr>
            </w:pPr>
            <w:r>
              <w:rPr>
                <w:rFonts w:hint="eastAsia" w:cs="宋体"/>
                <w:spacing w:val="6"/>
                <w:sz w:val="21"/>
                <w:szCs w:val="21"/>
              </w:rPr>
              <w:t>400亿元（含）至1000亿元</w:t>
            </w:r>
          </w:p>
        </w:tc>
      </w:tr>
      <w:tr w14:paraId="0AE25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C6B65CF">
            <w:pPr>
              <w:spacing w:line="240" w:lineRule="auto"/>
              <w:jc w:val="both"/>
              <w:rPr>
                <w:rFonts w:hint="eastAsia" w:cs="宋体"/>
                <w:spacing w:val="6"/>
                <w:sz w:val="21"/>
                <w:szCs w:val="21"/>
              </w:rPr>
            </w:pPr>
          </w:p>
        </w:tc>
        <w:tc>
          <w:tcPr>
            <w:tcW w:w="1168" w:type="dxa"/>
            <w:vMerge w:val="continue"/>
            <w:vAlign w:val="center"/>
          </w:tcPr>
          <w:p w14:paraId="1F2D9C1B">
            <w:pPr>
              <w:spacing w:line="240" w:lineRule="auto"/>
              <w:jc w:val="both"/>
              <w:rPr>
                <w:rFonts w:hint="eastAsia" w:cs="宋体"/>
                <w:spacing w:val="6"/>
                <w:sz w:val="21"/>
                <w:szCs w:val="21"/>
              </w:rPr>
            </w:pPr>
          </w:p>
        </w:tc>
        <w:tc>
          <w:tcPr>
            <w:tcW w:w="1817" w:type="dxa"/>
            <w:vMerge w:val="continue"/>
            <w:vAlign w:val="center"/>
          </w:tcPr>
          <w:p w14:paraId="33CA6C7C">
            <w:pPr>
              <w:spacing w:line="240" w:lineRule="auto"/>
              <w:jc w:val="both"/>
              <w:rPr>
                <w:rFonts w:hint="eastAsia" w:cs="宋体"/>
                <w:spacing w:val="6"/>
                <w:sz w:val="21"/>
                <w:szCs w:val="21"/>
              </w:rPr>
            </w:pPr>
          </w:p>
        </w:tc>
        <w:tc>
          <w:tcPr>
            <w:tcW w:w="1143" w:type="dxa"/>
            <w:vAlign w:val="center"/>
          </w:tcPr>
          <w:p w14:paraId="77B09F1E">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4DD54C71">
            <w:pPr>
              <w:spacing w:line="240" w:lineRule="auto"/>
              <w:jc w:val="center"/>
              <w:rPr>
                <w:rFonts w:hint="eastAsia" w:cs="宋体"/>
                <w:spacing w:val="6"/>
                <w:sz w:val="21"/>
                <w:szCs w:val="21"/>
              </w:rPr>
            </w:pPr>
            <w:r>
              <w:rPr>
                <w:rFonts w:hint="eastAsia" w:cs="宋体"/>
                <w:spacing w:val="6"/>
                <w:sz w:val="21"/>
                <w:szCs w:val="21"/>
              </w:rPr>
              <w:t>20亿元（含）至400亿元</w:t>
            </w:r>
          </w:p>
        </w:tc>
      </w:tr>
      <w:tr w14:paraId="345C9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9709A12">
            <w:pPr>
              <w:spacing w:line="240" w:lineRule="auto"/>
              <w:jc w:val="both"/>
              <w:rPr>
                <w:rFonts w:hint="eastAsia" w:cs="宋体"/>
                <w:spacing w:val="6"/>
                <w:sz w:val="21"/>
                <w:szCs w:val="21"/>
              </w:rPr>
            </w:pPr>
          </w:p>
        </w:tc>
        <w:tc>
          <w:tcPr>
            <w:tcW w:w="1168" w:type="dxa"/>
            <w:vMerge w:val="continue"/>
            <w:vAlign w:val="center"/>
          </w:tcPr>
          <w:p w14:paraId="5FD37BFB">
            <w:pPr>
              <w:spacing w:line="240" w:lineRule="auto"/>
              <w:jc w:val="both"/>
              <w:rPr>
                <w:rFonts w:hint="eastAsia" w:cs="宋体"/>
                <w:spacing w:val="6"/>
                <w:sz w:val="21"/>
                <w:szCs w:val="21"/>
              </w:rPr>
            </w:pPr>
          </w:p>
        </w:tc>
        <w:tc>
          <w:tcPr>
            <w:tcW w:w="1817" w:type="dxa"/>
            <w:vMerge w:val="continue"/>
            <w:vAlign w:val="center"/>
          </w:tcPr>
          <w:p w14:paraId="4F48250C">
            <w:pPr>
              <w:spacing w:line="240" w:lineRule="auto"/>
              <w:jc w:val="both"/>
              <w:rPr>
                <w:rFonts w:hint="eastAsia" w:cs="宋体"/>
                <w:spacing w:val="6"/>
                <w:sz w:val="21"/>
                <w:szCs w:val="21"/>
              </w:rPr>
            </w:pPr>
          </w:p>
        </w:tc>
        <w:tc>
          <w:tcPr>
            <w:tcW w:w="1143" w:type="dxa"/>
            <w:vAlign w:val="center"/>
          </w:tcPr>
          <w:p w14:paraId="1DC22789">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3C737502">
            <w:pPr>
              <w:spacing w:line="240" w:lineRule="auto"/>
              <w:jc w:val="center"/>
              <w:rPr>
                <w:rFonts w:hint="eastAsia" w:cs="宋体"/>
                <w:spacing w:val="6"/>
                <w:sz w:val="21"/>
                <w:szCs w:val="21"/>
              </w:rPr>
            </w:pPr>
            <w:r>
              <w:rPr>
                <w:rFonts w:hint="eastAsia" w:cs="宋体"/>
                <w:spacing w:val="6"/>
                <w:sz w:val="21"/>
                <w:szCs w:val="21"/>
              </w:rPr>
              <w:t>20亿元以下</w:t>
            </w:r>
          </w:p>
        </w:tc>
      </w:tr>
      <w:tr w14:paraId="65851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F1CD3CC">
            <w:pPr>
              <w:spacing w:line="240" w:lineRule="auto"/>
              <w:jc w:val="both"/>
              <w:rPr>
                <w:rFonts w:hint="eastAsia" w:cs="宋体"/>
                <w:spacing w:val="6"/>
                <w:sz w:val="21"/>
                <w:szCs w:val="21"/>
              </w:rPr>
            </w:pPr>
          </w:p>
        </w:tc>
        <w:tc>
          <w:tcPr>
            <w:tcW w:w="1168" w:type="dxa"/>
            <w:vMerge w:val="restart"/>
            <w:vAlign w:val="center"/>
          </w:tcPr>
          <w:p w14:paraId="6FF62AC6">
            <w:pPr>
              <w:spacing w:line="240" w:lineRule="auto"/>
              <w:jc w:val="both"/>
              <w:rPr>
                <w:rFonts w:hint="eastAsia" w:cs="宋体"/>
                <w:spacing w:val="6"/>
                <w:sz w:val="21"/>
                <w:szCs w:val="21"/>
              </w:rPr>
            </w:pPr>
            <w:r>
              <w:rPr>
                <w:rFonts w:hint="eastAsia" w:cs="宋体"/>
                <w:spacing w:val="6"/>
                <w:sz w:val="21"/>
                <w:szCs w:val="21"/>
              </w:rPr>
              <w:t>控股公司服务</w:t>
            </w:r>
          </w:p>
        </w:tc>
        <w:tc>
          <w:tcPr>
            <w:tcW w:w="1817" w:type="dxa"/>
            <w:vMerge w:val="restart"/>
            <w:vAlign w:val="center"/>
          </w:tcPr>
          <w:p w14:paraId="51D3DCD3">
            <w:pPr>
              <w:spacing w:line="240" w:lineRule="auto"/>
              <w:jc w:val="both"/>
              <w:rPr>
                <w:rFonts w:hint="eastAsia" w:cs="宋体"/>
                <w:spacing w:val="6"/>
                <w:sz w:val="21"/>
                <w:szCs w:val="21"/>
              </w:rPr>
            </w:pPr>
            <w:r>
              <w:rPr>
                <w:rFonts w:hint="eastAsia" w:cs="宋体"/>
                <w:spacing w:val="6"/>
                <w:sz w:val="21"/>
                <w:szCs w:val="21"/>
              </w:rPr>
              <w:t>金融控股公司</w:t>
            </w:r>
          </w:p>
        </w:tc>
        <w:tc>
          <w:tcPr>
            <w:tcW w:w="1143" w:type="dxa"/>
            <w:vAlign w:val="center"/>
          </w:tcPr>
          <w:p w14:paraId="47CB5DE6">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5FDE12D3">
            <w:pPr>
              <w:spacing w:line="240" w:lineRule="auto"/>
              <w:jc w:val="center"/>
              <w:rPr>
                <w:rFonts w:hint="eastAsia" w:cs="宋体"/>
                <w:spacing w:val="6"/>
                <w:sz w:val="21"/>
                <w:szCs w:val="21"/>
              </w:rPr>
            </w:pPr>
            <w:r>
              <w:rPr>
                <w:rFonts w:hint="eastAsia" w:cs="宋体"/>
                <w:spacing w:val="6"/>
                <w:sz w:val="21"/>
                <w:szCs w:val="21"/>
              </w:rPr>
              <w:t>5000亿元（含）至40000亿元</w:t>
            </w:r>
          </w:p>
        </w:tc>
      </w:tr>
      <w:tr w14:paraId="039E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D471038">
            <w:pPr>
              <w:spacing w:line="240" w:lineRule="auto"/>
              <w:jc w:val="both"/>
              <w:rPr>
                <w:rFonts w:hint="eastAsia" w:cs="宋体"/>
                <w:spacing w:val="6"/>
                <w:sz w:val="21"/>
                <w:szCs w:val="21"/>
              </w:rPr>
            </w:pPr>
          </w:p>
        </w:tc>
        <w:tc>
          <w:tcPr>
            <w:tcW w:w="1168" w:type="dxa"/>
            <w:vMerge w:val="continue"/>
            <w:vAlign w:val="center"/>
          </w:tcPr>
          <w:p w14:paraId="6A460317">
            <w:pPr>
              <w:spacing w:line="240" w:lineRule="auto"/>
              <w:jc w:val="both"/>
              <w:rPr>
                <w:rFonts w:hint="eastAsia" w:cs="宋体"/>
                <w:spacing w:val="6"/>
                <w:sz w:val="21"/>
                <w:szCs w:val="21"/>
              </w:rPr>
            </w:pPr>
          </w:p>
        </w:tc>
        <w:tc>
          <w:tcPr>
            <w:tcW w:w="1817" w:type="dxa"/>
            <w:vMerge w:val="continue"/>
            <w:vAlign w:val="center"/>
          </w:tcPr>
          <w:p w14:paraId="1AF185E4">
            <w:pPr>
              <w:spacing w:line="240" w:lineRule="auto"/>
              <w:jc w:val="both"/>
              <w:rPr>
                <w:rFonts w:hint="eastAsia" w:cs="宋体"/>
                <w:spacing w:val="6"/>
                <w:sz w:val="21"/>
                <w:szCs w:val="21"/>
              </w:rPr>
            </w:pPr>
          </w:p>
        </w:tc>
        <w:tc>
          <w:tcPr>
            <w:tcW w:w="1143" w:type="dxa"/>
            <w:vAlign w:val="center"/>
          </w:tcPr>
          <w:p w14:paraId="3EAA2AF5">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213EDC83">
            <w:pPr>
              <w:spacing w:line="240" w:lineRule="auto"/>
              <w:jc w:val="center"/>
              <w:rPr>
                <w:rFonts w:hint="eastAsia" w:cs="宋体"/>
                <w:spacing w:val="6"/>
                <w:sz w:val="21"/>
                <w:szCs w:val="21"/>
              </w:rPr>
            </w:pPr>
            <w:r>
              <w:rPr>
                <w:rFonts w:hint="eastAsia" w:cs="宋体"/>
                <w:spacing w:val="6"/>
                <w:sz w:val="21"/>
                <w:szCs w:val="21"/>
              </w:rPr>
              <w:t>50亿元（含）至5000亿元</w:t>
            </w:r>
          </w:p>
        </w:tc>
      </w:tr>
      <w:tr w14:paraId="4E0E4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A74EC5C">
            <w:pPr>
              <w:spacing w:line="240" w:lineRule="auto"/>
              <w:jc w:val="both"/>
              <w:rPr>
                <w:rFonts w:hint="eastAsia" w:cs="宋体"/>
                <w:spacing w:val="6"/>
                <w:sz w:val="21"/>
                <w:szCs w:val="21"/>
              </w:rPr>
            </w:pPr>
          </w:p>
        </w:tc>
        <w:tc>
          <w:tcPr>
            <w:tcW w:w="1168" w:type="dxa"/>
            <w:vMerge w:val="continue"/>
            <w:vAlign w:val="center"/>
          </w:tcPr>
          <w:p w14:paraId="229C83FA">
            <w:pPr>
              <w:spacing w:line="240" w:lineRule="auto"/>
              <w:jc w:val="both"/>
              <w:rPr>
                <w:rFonts w:hint="eastAsia" w:cs="宋体"/>
                <w:spacing w:val="6"/>
                <w:sz w:val="21"/>
                <w:szCs w:val="21"/>
              </w:rPr>
            </w:pPr>
          </w:p>
        </w:tc>
        <w:tc>
          <w:tcPr>
            <w:tcW w:w="1817" w:type="dxa"/>
            <w:vMerge w:val="continue"/>
            <w:vAlign w:val="center"/>
          </w:tcPr>
          <w:p w14:paraId="697FDFA4">
            <w:pPr>
              <w:spacing w:line="240" w:lineRule="auto"/>
              <w:jc w:val="both"/>
              <w:rPr>
                <w:rFonts w:hint="eastAsia" w:cs="宋体"/>
                <w:spacing w:val="6"/>
                <w:sz w:val="21"/>
                <w:szCs w:val="21"/>
              </w:rPr>
            </w:pPr>
          </w:p>
        </w:tc>
        <w:tc>
          <w:tcPr>
            <w:tcW w:w="1143" w:type="dxa"/>
            <w:vAlign w:val="center"/>
          </w:tcPr>
          <w:p w14:paraId="69B37DE7">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25F1F344">
            <w:pPr>
              <w:spacing w:line="240" w:lineRule="auto"/>
              <w:jc w:val="center"/>
              <w:rPr>
                <w:rFonts w:hint="eastAsia" w:cs="宋体"/>
                <w:spacing w:val="6"/>
                <w:sz w:val="21"/>
                <w:szCs w:val="21"/>
              </w:rPr>
            </w:pPr>
            <w:r>
              <w:rPr>
                <w:rFonts w:hint="eastAsia" w:cs="宋体"/>
                <w:spacing w:val="6"/>
                <w:sz w:val="21"/>
                <w:szCs w:val="21"/>
              </w:rPr>
              <w:t>50亿元以下</w:t>
            </w:r>
          </w:p>
        </w:tc>
      </w:tr>
      <w:tr w14:paraId="7A463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145B6A31">
            <w:pPr>
              <w:spacing w:line="240" w:lineRule="auto"/>
              <w:jc w:val="both"/>
              <w:rPr>
                <w:rFonts w:hint="eastAsia" w:cs="宋体"/>
                <w:spacing w:val="6"/>
                <w:sz w:val="21"/>
                <w:szCs w:val="21"/>
              </w:rPr>
            </w:pPr>
          </w:p>
        </w:tc>
        <w:tc>
          <w:tcPr>
            <w:tcW w:w="1168" w:type="dxa"/>
            <w:vMerge w:val="restart"/>
            <w:vAlign w:val="center"/>
          </w:tcPr>
          <w:p w14:paraId="1205917A">
            <w:pPr>
              <w:spacing w:line="240" w:lineRule="auto"/>
              <w:jc w:val="both"/>
              <w:rPr>
                <w:rFonts w:hint="eastAsia" w:cs="宋体"/>
                <w:spacing w:val="6"/>
                <w:sz w:val="21"/>
                <w:szCs w:val="21"/>
              </w:rPr>
            </w:pPr>
            <w:r>
              <w:rPr>
                <w:rFonts w:hint="eastAsia" w:cs="宋体"/>
                <w:spacing w:val="6"/>
                <w:sz w:val="21"/>
                <w:szCs w:val="21"/>
              </w:rPr>
              <w:t>其他未包括的金融业</w:t>
            </w:r>
          </w:p>
        </w:tc>
        <w:tc>
          <w:tcPr>
            <w:tcW w:w="1817" w:type="dxa"/>
            <w:vMerge w:val="restart"/>
            <w:vAlign w:val="center"/>
          </w:tcPr>
          <w:p w14:paraId="7AAAA738">
            <w:pPr>
              <w:spacing w:line="240" w:lineRule="auto"/>
              <w:jc w:val="both"/>
              <w:rPr>
                <w:rFonts w:hint="eastAsia" w:cs="宋体"/>
                <w:spacing w:val="6"/>
                <w:sz w:val="21"/>
                <w:szCs w:val="21"/>
              </w:rPr>
            </w:pPr>
            <w:r>
              <w:rPr>
                <w:rFonts w:hint="eastAsia" w:cs="宋体"/>
                <w:spacing w:val="6"/>
                <w:sz w:val="21"/>
                <w:szCs w:val="21"/>
              </w:rPr>
              <w:t>除贷款公司、小额贷款公司、典当行以外的其他金融机构</w:t>
            </w:r>
          </w:p>
        </w:tc>
        <w:tc>
          <w:tcPr>
            <w:tcW w:w="1143" w:type="dxa"/>
            <w:vAlign w:val="center"/>
          </w:tcPr>
          <w:p w14:paraId="7FDE0E7E">
            <w:pPr>
              <w:spacing w:line="240" w:lineRule="auto"/>
              <w:jc w:val="center"/>
              <w:rPr>
                <w:rFonts w:hint="eastAsia" w:cs="宋体"/>
                <w:spacing w:val="6"/>
                <w:sz w:val="21"/>
                <w:szCs w:val="21"/>
              </w:rPr>
            </w:pPr>
            <w:r>
              <w:rPr>
                <w:rFonts w:hint="eastAsia" w:cs="宋体"/>
                <w:spacing w:val="6"/>
                <w:sz w:val="21"/>
                <w:szCs w:val="21"/>
              </w:rPr>
              <w:t>中型</w:t>
            </w:r>
          </w:p>
        </w:tc>
        <w:tc>
          <w:tcPr>
            <w:tcW w:w="3251" w:type="dxa"/>
            <w:vAlign w:val="center"/>
          </w:tcPr>
          <w:p w14:paraId="04DF016C">
            <w:pPr>
              <w:spacing w:line="240" w:lineRule="auto"/>
              <w:jc w:val="center"/>
              <w:rPr>
                <w:rFonts w:hint="eastAsia" w:cs="宋体"/>
                <w:spacing w:val="6"/>
                <w:sz w:val="21"/>
                <w:szCs w:val="21"/>
              </w:rPr>
            </w:pPr>
            <w:r>
              <w:rPr>
                <w:rFonts w:hint="eastAsia" w:cs="宋体"/>
                <w:spacing w:val="6"/>
                <w:sz w:val="21"/>
                <w:szCs w:val="21"/>
              </w:rPr>
              <w:t>200亿元（含）至1000亿元</w:t>
            </w:r>
          </w:p>
        </w:tc>
      </w:tr>
      <w:tr w14:paraId="05D8E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7229D041">
            <w:pPr>
              <w:spacing w:line="240" w:lineRule="auto"/>
              <w:rPr>
                <w:rFonts w:hint="eastAsia" w:cs="宋体"/>
                <w:spacing w:val="6"/>
                <w:sz w:val="21"/>
                <w:szCs w:val="21"/>
              </w:rPr>
            </w:pPr>
          </w:p>
        </w:tc>
        <w:tc>
          <w:tcPr>
            <w:tcW w:w="1168" w:type="dxa"/>
            <w:vMerge w:val="continue"/>
          </w:tcPr>
          <w:p w14:paraId="492746EC">
            <w:pPr>
              <w:spacing w:line="240" w:lineRule="auto"/>
              <w:rPr>
                <w:rFonts w:hint="eastAsia" w:cs="宋体"/>
                <w:spacing w:val="6"/>
                <w:sz w:val="21"/>
                <w:szCs w:val="21"/>
              </w:rPr>
            </w:pPr>
          </w:p>
        </w:tc>
        <w:tc>
          <w:tcPr>
            <w:tcW w:w="1817" w:type="dxa"/>
            <w:vMerge w:val="continue"/>
          </w:tcPr>
          <w:p w14:paraId="02D8A893">
            <w:pPr>
              <w:spacing w:line="240" w:lineRule="auto"/>
              <w:rPr>
                <w:rFonts w:hint="eastAsia" w:cs="宋体"/>
                <w:spacing w:val="6"/>
                <w:sz w:val="21"/>
                <w:szCs w:val="21"/>
              </w:rPr>
            </w:pPr>
          </w:p>
        </w:tc>
        <w:tc>
          <w:tcPr>
            <w:tcW w:w="1143" w:type="dxa"/>
            <w:vAlign w:val="center"/>
          </w:tcPr>
          <w:p w14:paraId="4CC7C4E7">
            <w:pPr>
              <w:spacing w:line="240" w:lineRule="auto"/>
              <w:jc w:val="center"/>
              <w:rPr>
                <w:rFonts w:hint="eastAsia" w:cs="宋体"/>
                <w:spacing w:val="6"/>
                <w:sz w:val="21"/>
                <w:szCs w:val="21"/>
              </w:rPr>
            </w:pPr>
            <w:r>
              <w:rPr>
                <w:rFonts w:hint="eastAsia" w:cs="宋体"/>
                <w:spacing w:val="6"/>
                <w:sz w:val="21"/>
                <w:szCs w:val="21"/>
              </w:rPr>
              <w:t>小型</w:t>
            </w:r>
          </w:p>
        </w:tc>
        <w:tc>
          <w:tcPr>
            <w:tcW w:w="3251" w:type="dxa"/>
            <w:vAlign w:val="center"/>
          </w:tcPr>
          <w:p w14:paraId="26D99FEC">
            <w:pPr>
              <w:spacing w:line="240" w:lineRule="auto"/>
              <w:jc w:val="center"/>
              <w:rPr>
                <w:rFonts w:hint="eastAsia" w:cs="宋体"/>
                <w:spacing w:val="6"/>
                <w:sz w:val="21"/>
                <w:szCs w:val="21"/>
              </w:rPr>
            </w:pPr>
            <w:r>
              <w:rPr>
                <w:rFonts w:hint="eastAsia" w:cs="宋体"/>
                <w:spacing w:val="6"/>
                <w:sz w:val="21"/>
                <w:szCs w:val="21"/>
              </w:rPr>
              <w:t>50亿元（含）至200亿元</w:t>
            </w:r>
          </w:p>
        </w:tc>
      </w:tr>
      <w:tr w14:paraId="724E2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6E45BFC4">
            <w:pPr>
              <w:spacing w:line="240" w:lineRule="auto"/>
              <w:rPr>
                <w:rFonts w:hint="eastAsia" w:cs="宋体"/>
                <w:spacing w:val="6"/>
                <w:sz w:val="21"/>
                <w:szCs w:val="21"/>
              </w:rPr>
            </w:pPr>
          </w:p>
        </w:tc>
        <w:tc>
          <w:tcPr>
            <w:tcW w:w="1168" w:type="dxa"/>
            <w:vMerge w:val="continue"/>
          </w:tcPr>
          <w:p w14:paraId="04DAA2CA">
            <w:pPr>
              <w:spacing w:line="240" w:lineRule="auto"/>
              <w:rPr>
                <w:rFonts w:hint="eastAsia" w:cs="宋体"/>
                <w:spacing w:val="6"/>
                <w:sz w:val="21"/>
                <w:szCs w:val="21"/>
              </w:rPr>
            </w:pPr>
          </w:p>
        </w:tc>
        <w:tc>
          <w:tcPr>
            <w:tcW w:w="1817" w:type="dxa"/>
            <w:vMerge w:val="continue"/>
          </w:tcPr>
          <w:p w14:paraId="52A3D81A">
            <w:pPr>
              <w:spacing w:line="240" w:lineRule="auto"/>
              <w:rPr>
                <w:rFonts w:hint="eastAsia" w:cs="宋体"/>
                <w:spacing w:val="6"/>
                <w:sz w:val="21"/>
                <w:szCs w:val="21"/>
              </w:rPr>
            </w:pPr>
          </w:p>
        </w:tc>
        <w:tc>
          <w:tcPr>
            <w:tcW w:w="1143" w:type="dxa"/>
            <w:vAlign w:val="center"/>
          </w:tcPr>
          <w:p w14:paraId="72A64A8A">
            <w:pPr>
              <w:spacing w:line="240" w:lineRule="auto"/>
              <w:jc w:val="center"/>
              <w:rPr>
                <w:rFonts w:hint="eastAsia" w:cs="宋体"/>
                <w:spacing w:val="6"/>
                <w:sz w:val="21"/>
                <w:szCs w:val="21"/>
              </w:rPr>
            </w:pPr>
            <w:r>
              <w:rPr>
                <w:rFonts w:hint="eastAsia" w:cs="宋体"/>
                <w:spacing w:val="6"/>
                <w:sz w:val="21"/>
                <w:szCs w:val="21"/>
              </w:rPr>
              <w:t>微型</w:t>
            </w:r>
          </w:p>
        </w:tc>
        <w:tc>
          <w:tcPr>
            <w:tcW w:w="3251" w:type="dxa"/>
            <w:vAlign w:val="center"/>
          </w:tcPr>
          <w:p w14:paraId="70867BF4">
            <w:pPr>
              <w:spacing w:line="240" w:lineRule="auto"/>
              <w:jc w:val="center"/>
              <w:rPr>
                <w:rFonts w:hint="eastAsia" w:cs="宋体"/>
                <w:spacing w:val="6"/>
                <w:sz w:val="21"/>
                <w:szCs w:val="21"/>
              </w:rPr>
            </w:pPr>
            <w:r>
              <w:rPr>
                <w:rFonts w:hint="eastAsia" w:cs="宋体"/>
                <w:spacing w:val="6"/>
                <w:sz w:val="21"/>
                <w:szCs w:val="21"/>
              </w:rPr>
              <w:t>50亿元以下</w:t>
            </w:r>
          </w:p>
        </w:tc>
      </w:tr>
    </w:tbl>
    <w:p w14:paraId="3B67BC15">
      <w:pPr>
        <w:pStyle w:val="19"/>
        <w:spacing w:line="500" w:lineRule="exact"/>
        <w:jc w:val="both"/>
        <w:rPr>
          <w:rFonts w:hint="eastAsia" w:ascii="方正小标宋_GBK" w:hAnsi="方正小标宋_GBK" w:eastAsia="方正小标宋_GBK" w:cs="方正小标宋_GBK"/>
          <w:bCs/>
          <w:sz w:val="36"/>
          <w:szCs w:val="36"/>
        </w:rPr>
      </w:pPr>
      <w:r>
        <w:rPr>
          <w:rFonts w:cs="宋体"/>
          <w:spacing w:val="6"/>
          <w:sz w:val="21"/>
          <w:szCs w:val="21"/>
        </w:rPr>
        <w:br w:type="page"/>
      </w:r>
    </w:p>
    <w:p w14:paraId="15A74FF7">
      <w:pPr>
        <w:pStyle w:val="5"/>
        <w:spacing w:before="80" w:after="80" w:line="240" w:lineRule="auto"/>
        <w:ind w:left="420" w:hanging="420"/>
        <w:rPr>
          <w:rFonts w:hint="eastAsia"/>
          <w:sz w:val="24"/>
          <w:szCs w:val="24"/>
        </w:rPr>
      </w:pPr>
      <w:bookmarkStart w:id="649" w:name="_Toc4673"/>
      <w:r>
        <w:rPr>
          <w:rFonts w:hint="eastAsia"/>
          <w:sz w:val="24"/>
          <w:szCs w:val="24"/>
        </w:rPr>
        <w:t>（三）监狱企业证明文件</w:t>
      </w:r>
      <w:r>
        <w:rPr>
          <w:rFonts w:hint="eastAsia"/>
          <w:b w:val="0"/>
          <w:bCs w:val="0"/>
          <w:sz w:val="24"/>
          <w:szCs w:val="24"/>
        </w:rPr>
        <w:t>【如适用】</w:t>
      </w:r>
      <w:bookmarkEnd w:id="648"/>
      <w:bookmarkEnd w:id="649"/>
    </w:p>
    <w:p w14:paraId="4EB38481">
      <w:pPr>
        <w:rPr>
          <w:rFonts w:hint="eastAsia" w:cs="仿宋_GB2312"/>
          <w:b/>
          <w:szCs w:val="24"/>
        </w:rPr>
      </w:pPr>
    </w:p>
    <w:p w14:paraId="57EF3788">
      <w:pPr>
        <w:adjustRightInd w:val="0"/>
        <w:snapToGrid w:val="0"/>
        <w:ind w:firstLine="480" w:firstLineChars="200"/>
        <w:rPr>
          <w:rFonts w:hint="eastAsia" w:cs="宋体"/>
          <w:szCs w:val="24"/>
        </w:rPr>
      </w:pPr>
      <w:r>
        <w:rPr>
          <w:rFonts w:hint="eastAsia" w:cs="宋体"/>
          <w:szCs w:val="24"/>
        </w:rPr>
        <w:t>【监狱企业应当提供由省级及以上监狱管理局、戒毒管理局（含新疆生产建设兵团）出具的监狱企业的证明文件，格式如下】。</w:t>
      </w:r>
    </w:p>
    <w:p w14:paraId="0F32411D">
      <w:pPr>
        <w:pStyle w:val="19"/>
        <w:jc w:val="center"/>
        <w:rPr>
          <w:rFonts w:hint="eastAsia" w:hAnsi="宋体" w:cs="宋体"/>
          <w:b/>
          <w:sz w:val="32"/>
          <w:szCs w:val="32"/>
        </w:rPr>
      </w:pPr>
    </w:p>
    <w:p w14:paraId="15F8ADCF">
      <w:pPr>
        <w:pStyle w:val="19"/>
        <w:jc w:val="center"/>
        <w:rPr>
          <w:rFonts w:hint="eastAsia" w:hAnsi="宋体" w:cs="宋体"/>
          <w:b/>
          <w:sz w:val="32"/>
          <w:szCs w:val="32"/>
        </w:rPr>
      </w:pPr>
      <w:r>
        <w:rPr>
          <w:rFonts w:hint="eastAsia" w:hAnsi="宋体" w:cs="宋体"/>
          <w:b/>
          <w:sz w:val="32"/>
          <w:szCs w:val="32"/>
        </w:rPr>
        <w:t>监狱企业证明函</w:t>
      </w:r>
    </w:p>
    <w:p w14:paraId="0030A17D">
      <w:pPr>
        <w:rPr>
          <w:rFonts w:hint="eastAsia" w:ascii="仿宋_GB2312" w:hAnsi="仿宋_GB2312" w:eastAsia="仿宋_GB2312" w:cs="仿宋_GB2312"/>
          <w:sz w:val="32"/>
          <w:szCs w:val="32"/>
        </w:rPr>
      </w:pPr>
    </w:p>
    <w:p w14:paraId="64AFF03B">
      <w:pPr>
        <w:ind w:firstLine="504" w:firstLineChars="200"/>
        <w:rPr>
          <w:rFonts w:hint="eastAsia" w:cs="宋体"/>
          <w:spacing w:val="6"/>
          <w:szCs w:val="24"/>
        </w:rPr>
      </w:pPr>
      <w:r>
        <w:rPr>
          <w:rFonts w:hint="eastAsia" w:cs="宋体"/>
          <w:spacing w:val="6"/>
          <w:szCs w:val="24"/>
        </w:rPr>
        <w:t>本公司郑重声明，根据财政部、司法部《关于政府采购支持监狱企业发展有关问题的通知》（财库</w:t>
      </w:r>
      <w:r>
        <w:rPr>
          <w:rFonts w:hint="eastAsia" w:ascii="微软雅黑" w:hAnsi="微软雅黑" w:eastAsia="微软雅黑" w:cs="微软雅黑"/>
          <w:spacing w:val="6"/>
          <w:szCs w:val="24"/>
        </w:rPr>
        <w:t>〔</w:t>
      </w:r>
      <w:r>
        <w:rPr>
          <w:rFonts w:hint="eastAsia" w:cs="宋体"/>
          <w:spacing w:val="6"/>
          <w:szCs w:val="24"/>
        </w:rPr>
        <w:t>2014</w:t>
      </w:r>
      <w:r>
        <w:rPr>
          <w:rFonts w:hint="eastAsia" w:ascii="微软雅黑" w:hAnsi="微软雅黑" w:eastAsia="微软雅黑" w:cs="微软雅黑"/>
          <w:spacing w:val="6"/>
          <w:szCs w:val="24"/>
        </w:rPr>
        <w:t>〕</w:t>
      </w:r>
      <w:r>
        <w:rPr>
          <w:rFonts w:hint="eastAsia" w:cs="宋体"/>
          <w:spacing w:val="6"/>
          <w:szCs w:val="24"/>
        </w:rPr>
        <w:t>68号）的规定，本公司为监狱企业。</w:t>
      </w:r>
    </w:p>
    <w:p w14:paraId="4C9FEDA3">
      <w:pPr>
        <w:rPr>
          <w:rFonts w:hint="eastAsia" w:cs="宋体"/>
          <w:szCs w:val="24"/>
        </w:rPr>
      </w:pPr>
    </w:p>
    <w:p w14:paraId="2E6C6526">
      <w:pPr>
        <w:ind w:firstLine="4440" w:firstLineChars="1850"/>
        <w:rPr>
          <w:rFonts w:hint="eastAsia" w:cs="宋体"/>
          <w:szCs w:val="24"/>
        </w:rPr>
      </w:pPr>
    </w:p>
    <w:p w14:paraId="0F7141F8">
      <w:pPr>
        <w:ind w:firstLine="4440" w:firstLineChars="1850"/>
        <w:rPr>
          <w:rFonts w:hint="eastAsia" w:cs="宋体"/>
          <w:szCs w:val="24"/>
        </w:rPr>
      </w:pPr>
    </w:p>
    <w:p w14:paraId="06FC6E6F">
      <w:pPr>
        <w:ind w:right="1008" w:firstLine="4284" w:firstLineChars="1700"/>
        <w:rPr>
          <w:rFonts w:hint="eastAsia" w:cs="宋体"/>
          <w:spacing w:val="6"/>
          <w:szCs w:val="24"/>
        </w:rPr>
      </w:pPr>
      <w:r>
        <w:rPr>
          <w:rFonts w:hint="eastAsia" w:cs="宋体"/>
          <w:spacing w:val="6"/>
          <w:szCs w:val="24"/>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spacing w:val="6"/>
          <w:szCs w:val="24"/>
        </w:rPr>
        <w:t>：</w:t>
      </w:r>
    </w:p>
    <w:p w14:paraId="1D2559AA">
      <w:pPr>
        <w:ind w:right="1008" w:firstLine="4284" w:firstLineChars="1700"/>
        <w:rPr>
          <w:rFonts w:hint="eastAsia" w:cs="宋体"/>
          <w:spacing w:val="6"/>
          <w:szCs w:val="24"/>
        </w:rPr>
      </w:pPr>
      <w:r>
        <w:rPr>
          <w:rFonts w:hint="eastAsia" w:cs="宋体"/>
          <w:spacing w:val="6"/>
          <w:szCs w:val="24"/>
        </w:rPr>
        <w:t>日期：   年  月  日</w:t>
      </w:r>
    </w:p>
    <w:p w14:paraId="3CED9138">
      <w:pPr>
        <w:ind w:firstLine="240" w:firstLineChars="100"/>
        <w:rPr>
          <w:rFonts w:hint="eastAsia" w:cs="宋体"/>
          <w:szCs w:val="24"/>
        </w:rPr>
      </w:pPr>
    </w:p>
    <w:p w14:paraId="00E8EF9C">
      <w:pPr>
        <w:ind w:firstLine="240" w:firstLineChars="100"/>
        <w:rPr>
          <w:rFonts w:hint="eastAsia" w:cs="宋体"/>
          <w:szCs w:val="24"/>
        </w:rPr>
      </w:pPr>
    </w:p>
    <w:p w14:paraId="033CD41F">
      <w:pPr>
        <w:ind w:firstLine="3360" w:firstLineChars="1400"/>
        <w:rPr>
          <w:rFonts w:hint="eastAsia" w:cs="宋体"/>
          <w:szCs w:val="24"/>
        </w:rPr>
      </w:pPr>
      <w:r>
        <w:rPr>
          <w:rFonts w:hint="eastAsia" w:cs="宋体"/>
          <w:szCs w:val="24"/>
        </w:rPr>
        <w:t>省级以上监狱管理局、戒毒管理局</w:t>
      </w:r>
    </w:p>
    <w:p w14:paraId="4FA24F53">
      <w:pPr>
        <w:ind w:firstLine="3360" w:firstLineChars="1400"/>
        <w:rPr>
          <w:rFonts w:hint="eastAsia" w:cs="宋体"/>
          <w:szCs w:val="24"/>
        </w:rPr>
      </w:pPr>
      <w:r>
        <w:rPr>
          <w:rFonts w:hint="eastAsia" w:cs="宋体"/>
          <w:szCs w:val="24"/>
        </w:rPr>
        <w:t xml:space="preserve">（含新疆生产建设兵团）（盖章）：  </w:t>
      </w:r>
    </w:p>
    <w:p w14:paraId="20CA12FC">
      <w:pPr>
        <w:ind w:firstLine="4320" w:firstLineChars="1800"/>
        <w:rPr>
          <w:rFonts w:hint="eastAsia" w:cs="宋体"/>
          <w:szCs w:val="24"/>
        </w:rPr>
      </w:pPr>
      <w:r>
        <w:rPr>
          <w:rFonts w:hint="eastAsia" w:cs="宋体"/>
          <w:szCs w:val="24"/>
        </w:rPr>
        <w:t>日期：</w:t>
      </w:r>
      <w:r>
        <w:rPr>
          <w:rFonts w:hint="eastAsia" w:cs="宋体"/>
          <w:spacing w:val="6"/>
          <w:szCs w:val="24"/>
        </w:rPr>
        <w:t xml:space="preserve">   年  月  日</w:t>
      </w:r>
    </w:p>
    <w:p w14:paraId="03470107">
      <w:pPr>
        <w:ind w:firstLine="240" w:firstLineChars="100"/>
        <w:rPr>
          <w:rFonts w:hint="eastAsia" w:cs="宋体"/>
          <w:szCs w:val="24"/>
        </w:rPr>
      </w:pPr>
    </w:p>
    <w:p w14:paraId="55FF14DA">
      <w:pPr>
        <w:ind w:firstLine="4000" w:firstLineChars="1250"/>
        <w:rPr>
          <w:rFonts w:hint="eastAsia" w:ascii="仿宋_GB2312" w:hAnsi="仿宋_GB2312" w:eastAsia="仿宋_GB2312" w:cs="仿宋_GB2312"/>
          <w:sz w:val="32"/>
          <w:szCs w:val="32"/>
        </w:rPr>
      </w:pPr>
    </w:p>
    <w:p w14:paraId="35CFC897">
      <w:pPr>
        <w:rPr>
          <w:rFonts w:hint="eastAsia" w:ascii="仿宋_GB2312" w:hAnsi="仿宋_GB2312" w:eastAsia="仿宋_GB2312" w:cs="仿宋_GB2312"/>
          <w:sz w:val="32"/>
          <w:szCs w:val="32"/>
        </w:rPr>
      </w:pPr>
    </w:p>
    <w:p w14:paraId="7F4F07B7">
      <w:pPr>
        <w:widowControl/>
        <w:spacing w:before="100" w:beforeAutospacing="1" w:after="100" w:afterAutospacing="1"/>
        <w:rPr>
          <w:rFonts w:ascii="Arial" w:hAnsi="Arial" w:cs="Arial"/>
          <w:sz w:val="21"/>
          <w:szCs w:val="21"/>
        </w:rPr>
      </w:pPr>
    </w:p>
    <w:p w14:paraId="15E806E5">
      <w:pPr>
        <w:widowControl/>
        <w:spacing w:before="100" w:beforeAutospacing="1" w:after="100" w:afterAutospacing="1"/>
        <w:rPr>
          <w:rFonts w:ascii="Arial" w:hAnsi="Arial" w:cs="Arial"/>
          <w:sz w:val="21"/>
          <w:szCs w:val="21"/>
        </w:rPr>
      </w:pPr>
    </w:p>
    <w:p w14:paraId="015D4C26">
      <w:pPr>
        <w:widowControl/>
        <w:spacing w:before="100" w:beforeAutospacing="1" w:after="100" w:afterAutospacing="1"/>
        <w:rPr>
          <w:rFonts w:ascii="Arial" w:hAnsi="Arial" w:cs="Arial"/>
          <w:sz w:val="21"/>
          <w:szCs w:val="21"/>
        </w:rPr>
      </w:pPr>
    </w:p>
    <w:p w14:paraId="733EEFD2">
      <w:pPr>
        <w:pStyle w:val="5"/>
        <w:spacing w:before="80" w:after="80" w:line="240" w:lineRule="auto"/>
        <w:ind w:left="420" w:hanging="420"/>
        <w:rPr>
          <w:rFonts w:hint="eastAsia"/>
          <w:sz w:val="24"/>
          <w:szCs w:val="24"/>
        </w:rPr>
      </w:pPr>
      <w:bookmarkStart w:id="650" w:name="_Toc163492941"/>
    </w:p>
    <w:p w14:paraId="508336F6">
      <w:pPr>
        <w:pStyle w:val="5"/>
        <w:spacing w:before="80" w:after="80" w:line="240" w:lineRule="auto"/>
        <w:ind w:left="420" w:hanging="420"/>
        <w:rPr>
          <w:rFonts w:hint="eastAsia"/>
          <w:sz w:val="24"/>
          <w:szCs w:val="24"/>
        </w:rPr>
      </w:pPr>
      <w:bookmarkStart w:id="651" w:name="_Toc12492"/>
      <w:r>
        <w:rPr>
          <w:rFonts w:hint="eastAsia"/>
          <w:sz w:val="24"/>
          <w:szCs w:val="24"/>
        </w:rPr>
        <w:t>（四）残疾人福利性单位声明函</w:t>
      </w:r>
      <w:r>
        <w:rPr>
          <w:rFonts w:hint="eastAsia"/>
          <w:b w:val="0"/>
          <w:bCs w:val="0"/>
          <w:sz w:val="24"/>
          <w:szCs w:val="24"/>
        </w:rPr>
        <w:t>【如适用】</w:t>
      </w:r>
      <w:bookmarkEnd w:id="650"/>
      <w:bookmarkEnd w:id="651"/>
    </w:p>
    <w:p w14:paraId="54E0617E">
      <w:pPr>
        <w:pStyle w:val="41"/>
        <w:numPr>
          <w:ilvl w:val="0"/>
          <w:numId w:val="0"/>
        </w:numPr>
        <w:ind w:left="420" w:hanging="420"/>
        <w:jc w:val="center"/>
        <w:rPr>
          <w:rFonts w:hint="eastAsia"/>
          <w:b/>
          <w:bCs/>
          <w:sz w:val="32"/>
          <w:szCs w:val="32"/>
        </w:rPr>
      </w:pPr>
    </w:p>
    <w:p w14:paraId="3F090EB7">
      <w:pPr>
        <w:pStyle w:val="41"/>
        <w:numPr>
          <w:ilvl w:val="0"/>
          <w:numId w:val="0"/>
        </w:numPr>
        <w:ind w:left="420" w:hanging="420"/>
        <w:jc w:val="center"/>
        <w:rPr>
          <w:rFonts w:hint="eastAsia"/>
          <w:b/>
          <w:bCs/>
          <w:sz w:val="32"/>
          <w:szCs w:val="32"/>
        </w:rPr>
      </w:pPr>
      <w:r>
        <w:rPr>
          <w:rFonts w:hint="eastAsia"/>
          <w:b/>
          <w:bCs/>
          <w:sz w:val="32"/>
          <w:szCs w:val="32"/>
        </w:rPr>
        <w:t>残疾人福利性单位声明函</w:t>
      </w:r>
    </w:p>
    <w:p w14:paraId="59866A8E">
      <w:pPr>
        <w:wordWrap w:val="0"/>
        <w:ind w:firstLine="480" w:firstLineChars="200"/>
        <w:rPr>
          <w:rFonts w:hint="eastAsia"/>
          <w:szCs w:val="24"/>
        </w:rPr>
      </w:pPr>
    </w:p>
    <w:p w14:paraId="14B2AEE4">
      <w:pPr>
        <w:wordWrap w:val="0"/>
        <w:ind w:firstLine="480" w:firstLineChars="200"/>
        <w:rPr>
          <w:rFonts w:hint="eastAsia"/>
          <w:szCs w:val="24"/>
        </w:rPr>
      </w:pPr>
      <w:r>
        <w:rPr>
          <w:rFonts w:hint="eastAsia"/>
          <w:szCs w:val="24"/>
        </w:rPr>
        <w:t>本公司（联合体）郑重声明，根据《财政部 民政部 中国残疾人联合会关于促进残疾人就业政府采购政策的通知》（财库〔2017〕141号）的规定，本公司（联合体）参加</w:t>
      </w:r>
      <w:r>
        <w:rPr>
          <w:rFonts w:hint="eastAsia"/>
          <w:szCs w:val="24"/>
          <w:u w:val="single"/>
        </w:rPr>
        <w:t xml:space="preserve"> （单位名称） </w:t>
      </w:r>
      <w:r>
        <w:rPr>
          <w:rFonts w:hint="eastAsia"/>
          <w:szCs w:val="24"/>
        </w:rPr>
        <w:t>的</w:t>
      </w:r>
      <w:r>
        <w:rPr>
          <w:rFonts w:hint="eastAsia"/>
          <w:szCs w:val="24"/>
          <w:u w:val="single"/>
        </w:rPr>
        <w:t xml:space="preserve"> （项目名称） </w:t>
      </w:r>
      <w:r>
        <w:rPr>
          <w:rFonts w:hint="eastAsia"/>
          <w:szCs w:val="24"/>
        </w:rPr>
        <w:t>采购活动，提供的服务及货物</w:t>
      </w:r>
      <w:r>
        <w:rPr>
          <w:rFonts w:hint="eastAsia"/>
          <w:b/>
          <w:szCs w:val="24"/>
        </w:rPr>
        <w:t>全部由</w:t>
      </w:r>
      <w:r>
        <w:rPr>
          <w:rFonts w:hint="eastAsia"/>
          <w:szCs w:val="24"/>
        </w:rPr>
        <w:t>符合政策要求的</w:t>
      </w:r>
      <w:r>
        <w:rPr>
          <w:rFonts w:hint="eastAsia"/>
          <w:b/>
          <w:szCs w:val="24"/>
        </w:rPr>
        <w:t>残疾人福利性单位提供和制造</w:t>
      </w:r>
      <w:r>
        <w:rPr>
          <w:rFonts w:hint="eastAsia"/>
          <w:szCs w:val="24"/>
        </w:rPr>
        <w:t>。相关企业（含联合体中的残疾人福利性单位、签订分包意向协议书的残疾人福利性单位）的具体情况如下：</w:t>
      </w:r>
    </w:p>
    <w:p w14:paraId="25EC2A7C">
      <w:pPr>
        <w:wordWrap w:val="0"/>
        <w:ind w:firstLine="480" w:firstLineChars="200"/>
        <w:rPr>
          <w:rFonts w:hint="eastAsia"/>
          <w:szCs w:val="24"/>
        </w:rPr>
      </w:pPr>
      <w:r>
        <w:rPr>
          <w:rFonts w:hint="eastAsia"/>
          <w:szCs w:val="24"/>
        </w:rPr>
        <w:t>1.</w:t>
      </w:r>
      <w:r>
        <w:rPr>
          <w:rFonts w:hint="eastAsia"/>
          <w:szCs w:val="24"/>
          <w:u w:val="single"/>
        </w:rPr>
        <w:t xml:space="preserve"> （标的名称） </w:t>
      </w:r>
      <w:r>
        <w:rPr>
          <w:rFonts w:hint="eastAsia"/>
          <w:szCs w:val="24"/>
        </w:rPr>
        <w:t xml:space="preserve">，承接单位为 </w:t>
      </w:r>
      <w:r>
        <w:rPr>
          <w:szCs w:val="24"/>
          <w:u w:val="single"/>
        </w:rPr>
        <w:t xml:space="preserve">  </w:t>
      </w:r>
      <w:r>
        <w:rPr>
          <w:rFonts w:hint="eastAsia"/>
          <w:szCs w:val="24"/>
          <w:u w:val="single"/>
        </w:rPr>
        <w:t xml:space="preserve">（企业名称） </w:t>
      </w:r>
      <w:r>
        <w:rPr>
          <w:rFonts w:hint="eastAsia"/>
          <w:szCs w:val="24"/>
        </w:rPr>
        <w:t>，属于残疾人福利性单位；</w:t>
      </w:r>
    </w:p>
    <w:p w14:paraId="70269FBA">
      <w:pPr>
        <w:wordWrap w:val="0"/>
        <w:ind w:firstLine="480" w:firstLineChars="200"/>
        <w:rPr>
          <w:rFonts w:hint="eastAsia"/>
          <w:szCs w:val="24"/>
        </w:rPr>
      </w:pPr>
      <w:r>
        <w:rPr>
          <w:rFonts w:hint="eastAsia"/>
          <w:szCs w:val="24"/>
        </w:rPr>
        <w:t xml:space="preserve">2. </w:t>
      </w:r>
      <w:r>
        <w:rPr>
          <w:rFonts w:hint="eastAsia"/>
          <w:szCs w:val="24"/>
          <w:u w:val="single"/>
        </w:rPr>
        <w:t xml:space="preserve">（标的名称） </w:t>
      </w:r>
      <w:r>
        <w:rPr>
          <w:rFonts w:hint="eastAsia"/>
          <w:szCs w:val="24"/>
        </w:rPr>
        <w:t xml:space="preserve">，承接单位为 </w:t>
      </w:r>
      <w:r>
        <w:rPr>
          <w:szCs w:val="24"/>
          <w:u w:val="single"/>
        </w:rPr>
        <w:t xml:space="preserve">  </w:t>
      </w:r>
      <w:r>
        <w:rPr>
          <w:rFonts w:hint="eastAsia"/>
          <w:szCs w:val="24"/>
          <w:u w:val="single"/>
        </w:rPr>
        <w:t xml:space="preserve">（企业名称） </w:t>
      </w:r>
      <w:r>
        <w:rPr>
          <w:rFonts w:hint="eastAsia"/>
          <w:szCs w:val="24"/>
        </w:rPr>
        <w:t>，属于残疾人福利性单位；</w:t>
      </w:r>
    </w:p>
    <w:p w14:paraId="14CA83C1">
      <w:pPr>
        <w:wordWrap w:val="0"/>
        <w:ind w:firstLine="480" w:firstLineChars="200"/>
        <w:rPr>
          <w:rFonts w:hint="eastAsia"/>
          <w:szCs w:val="24"/>
        </w:rPr>
      </w:pPr>
      <w:r>
        <w:rPr>
          <w:rFonts w:hint="eastAsia"/>
          <w:szCs w:val="24"/>
        </w:rPr>
        <w:t>……</w:t>
      </w:r>
    </w:p>
    <w:p w14:paraId="382D4D38">
      <w:pPr>
        <w:wordWrap w:val="0"/>
        <w:ind w:firstLine="480" w:firstLineChars="200"/>
        <w:rPr>
          <w:rFonts w:hint="eastAsia"/>
          <w:szCs w:val="24"/>
        </w:rPr>
      </w:pPr>
      <w:r>
        <w:rPr>
          <w:rFonts w:hint="eastAsia"/>
          <w:szCs w:val="24"/>
        </w:rPr>
        <w:t>以上企业，不属于大企业的分支机构，不存在控股股东为大企业的情形，也不存在与大企业的负责人为同一人的情形。</w:t>
      </w:r>
    </w:p>
    <w:p w14:paraId="3CF82979">
      <w:pPr>
        <w:wordWrap w:val="0"/>
        <w:ind w:left="1087" w:leftChars="200" w:hanging="607" w:hangingChars="253"/>
        <w:rPr>
          <w:rFonts w:hint="eastAsia"/>
          <w:szCs w:val="24"/>
        </w:rPr>
      </w:pPr>
      <w:r>
        <w:rPr>
          <w:rFonts w:hint="eastAsia"/>
          <w:szCs w:val="24"/>
        </w:rPr>
        <w:t>本企业对上述声明内容的真实性负责。如有虚假，将依法承担相应责任。</w:t>
      </w:r>
    </w:p>
    <w:p w14:paraId="175BCF6A">
      <w:pPr>
        <w:wordWrap w:val="0"/>
        <w:ind w:left="1091" w:hanging="1091" w:hangingChars="453"/>
        <w:rPr>
          <w:rFonts w:hint="eastAsia"/>
          <w:b/>
          <w:bCs/>
          <w:szCs w:val="24"/>
        </w:rPr>
      </w:pPr>
    </w:p>
    <w:p w14:paraId="3830E1C9">
      <w:pPr>
        <w:wordWrap w:val="0"/>
        <w:ind w:left="1091" w:hanging="1091" w:hangingChars="453"/>
        <w:rPr>
          <w:rFonts w:hint="eastAsia"/>
          <w:bCs/>
          <w:szCs w:val="24"/>
        </w:rPr>
      </w:pPr>
      <w:r>
        <w:rPr>
          <w:rFonts w:hint="eastAsia"/>
          <w:b/>
          <w:bCs/>
          <w:szCs w:val="24"/>
        </w:rPr>
        <w:t>说明：</w:t>
      </w:r>
      <w:r>
        <w:rPr>
          <w:rFonts w:hint="eastAsia"/>
          <w:bCs/>
          <w:szCs w:val="24"/>
        </w:rPr>
        <w:t>1、服务及</w:t>
      </w:r>
      <w:r>
        <w:rPr>
          <w:rFonts w:hint="eastAsia"/>
          <w:bCs/>
          <w:szCs w:val="21"/>
          <w:lang w:val="zh-CN"/>
        </w:rPr>
        <w:t>货物应当全部由符合政策要求的残疾人福利性单位</w:t>
      </w:r>
      <w:r>
        <w:rPr>
          <w:rFonts w:hint="eastAsia"/>
          <w:bCs/>
          <w:szCs w:val="21"/>
        </w:rPr>
        <w:t>提供及</w:t>
      </w:r>
      <w:r>
        <w:rPr>
          <w:rFonts w:hint="eastAsia"/>
          <w:bCs/>
          <w:szCs w:val="21"/>
          <w:lang w:val="zh-CN"/>
        </w:rPr>
        <w:t>生产且使用该残疾人福利性单位商号或注册商标（与代理商或投标人无关）；应当严格按上述格式及内容进行填写（应当明确每个标的的生产企业类型及相关数据），否则导致的后果由投标人自行承担；</w:t>
      </w:r>
    </w:p>
    <w:p w14:paraId="4652B269">
      <w:pPr>
        <w:wordWrap w:val="0"/>
        <w:ind w:left="1087" w:hanging="1087" w:hangingChars="453"/>
        <w:rPr>
          <w:rFonts w:hint="eastAsia" w:cs="Courier New"/>
          <w:szCs w:val="21"/>
        </w:rPr>
      </w:pPr>
      <w:r>
        <w:rPr>
          <w:rFonts w:hint="eastAsia"/>
          <w:bCs/>
          <w:szCs w:val="21"/>
          <w:lang w:val="zh-CN"/>
        </w:rPr>
        <w:t xml:space="preserve">      2、</w:t>
      </w:r>
      <w:r>
        <w:rPr>
          <w:rFonts w:hint="eastAsia" w:cs="Courier New"/>
          <w:szCs w:val="21"/>
        </w:rPr>
        <w:t>以联合体形式参加的，应</w:t>
      </w:r>
      <w:r>
        <w:rPr>
          <w:rFonts w:hint="eastAsia"/>
          <w:bCs/>
          <w:szCs w:val="21"/>
          <w:lang w:val="zh-CN"/>
        </w:rPr>
        <w:t>当</w:t>
      </w:r>
      <w:r>
        <w:rPr>
          <w:rFonts w:hint="eastAsia" w:cs="Courier New"/>
          <w:szCs w:val="21"/>
        </w:rPr>
        <w:t>由联合体各方盖章。</w:t>
      </w:r>
    </w:p>
    <w:p w14:paraId="6D93508A">
      <w:pPr>
        <w:wordWrap w:val="0"/>
        <w:spacing w:before="100" w:beforeAutospacing="1" w:after="100" w:afterAutospacing="1"/>
        <w:ind w:firstLine="3316" w:firstLineChars="1382"/>
        <w:rPr>
          <w:rFonts w:hint="eastAsia"/>
          <w:bCs/>
          <w:szCs w:val="21"/>
          <w:lang w:val="zh-CN"/>
        </w:rPr>
      </w:pPr>
      <w:r>
        <w:rPr>
          <w:rFonts w:hint="eastAsia"/>
          <w:bCs/>
          <w:szCs w:val="21"/>
          <w:lang w:val="zh-CN"/>
        </w:rPr>
        <w:t>投标人</w:t>
      </w:r>
      <w:r>
        <w:rPr>
          <w:rFonts w:hint="eastAsia"/>
          <w:bCs/>
          <w:szCs w:val="21"/>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bCs/>
          <w:szCs w:val="21"/>
          <w:lang w:val="zh-CN"/>
        </w:rPr>
        <w:t>：</w:t>
      </w:r>
      <w:r>
        <w:rPr>
          <w:rFonts w:hint="eastAsia"/>
          <w:bCs/>
          <w:szCs w:val="21"/>
          <w:u w:val="single"/>
          <w:lang w:val="zh-CN"/>
        </w:rPr>
        <w:t xml:space="preserve">              </w:t>
      </w:r>
    </w:p>
    <w:p w14:paraId="4785BBA3">
      <w:pPr>
        <w:wordWrap w:val="0"/>
        <w:spacing w:before="100" w:beforeAutospacing="1" w:after="100" w:afterAutospacing="1"/>
        <w:ind w:firstLine="3316" w:firstLineChars="1382"/>
        <w:rPr>
          <w:rFonts w:hint="eastAsia"/>
          <w:bCs/>
          <w:szCs w:val="24"/>
          <w:u w:val="single"/>
        </w:rPr>
      </w:pPr>
      <w:r>
        <w:rPr>
          <w:rFonts w:hint="eastAsia"/>
          <w:szCs w:val="24"/>
        </w:rPr>
        <w:t>日</w:t>
      </w:r>
      <w:r>
        <w:rPr>
          <w:szCs w:val="24"/>
        </w:rPr>
        <w:t xml:space="preserve">  </w:t>
      </w:r>
      <w:r>
        <w:rPr>
          <w:rFonts w:hint="eastAsia"/>
          <w:szCs w:val="24"/>
        </w:rPr>
        <w:t>期：</w:t>
      </w:r>
      <w:r>
        <w:rPr>
          <w:bCs/>
          <w:szCs w:val="24"/>
          <w:u w:val="single"/>
        </w:rPr>
        <w:t xml:space="preserve">                         </w:t>
      </w:r>
    </w:p>
    <w:p w14:paraId="707C3FA4">
      <w:pPr>
        <w:rPr>
          <w:rFonts w:hint="eastAsia"/>
          <w:bCs/>
          <w:szCs w:val="24"/>
          <w:u w:val="single"/>
        </w:rPr>
      </w:pPr>
      <w:r>
        <w:rPr>
          <w:bCs/>
          <w:szCs w:val="24"/>
          <w:u w:val="single"/>
        </w:rPr>
        <w:br w:type="page"/>
      </w:r>
    </w:p>
    <w:p w14:paraId="69A27834">
      <w:pPr>
        <w:pStyle w:val="5"/>
        <w:numPr>
          <w:ilvl w:val="0"/>
          <w:numId w:val="7"/>
        </w:numPr>
        <w:spacing w:before="80" w:after="80" w:line="360" w:lineRule="auto"/>
        <w:ind w:left="420" w:hanging="420"/>
        <w:rPr>
          <w:rFonts w:hint="eastAsia" w:cs="宋体"/>
          <w:sz w:val="24"/>
        </w:rPr>
      </w:pPr>
      <w:r>
        <w:rPr>
          <w:rFonts w:hint="eastAsia" w:ascii="Times New Roman" w:hAnsi="Times New Roman" w:cs="Times New Roman"/>
          <w:sz w:val="24"/>
          <w:szCs w:val="24"/>
        </w:rPr>
        <w:t>关于符合本国产品标准的声明函或财政部会同有关部门规定的有关证明文件、</w:t>
      </w:r>
      <w:r>
        <w:rPr>
          <w:rFonts w:hint="eastAsia" w:cs="宋体"/>
          <w:sz w:val="24"/>
        </w:rPr>
        <w:t>关于符合本国产品标准的成本占比的承诺函</w:t>
      </w:r>
      <w:r>
        <w:rPr>
          <w:rFonts w:hint="eastAsia" w:ascii="Times New Roman" w:hAnsi="Times New Roman" w:cs="Times New Roman"/>
          <w:sz w:val="24"/>
          <w:szCs w:val="24"/>
        </w:rPr>
        <w:t>【</w:t>
      </w:r>
      <w:r>
        <w:rPr>
          <w:rFonts w:hint="eastAsia" w:ascii="Times New Roman" w:hAnsi="Times New Roman" w:cs="Times New Roman"/>
          <w:b/>
          <w:bCs/>
          <w:sz w:val="24"/>
          <w:szCs w:val="24"/>
        </w:rPr>
        <w:t>如适用，需提供</w:t>
      </w:r>
      <w:r>
        <w:rPr>
          <w:rFonts w:hint="eastAsia" w:ascii="Times New Roman" w:hAnsi="Times New Roman" w:cs="Times New Roman"/>
          <w:sz w:val="24"/>
          <w:szCs w:val="24"/>
        </w:rPr>
        <w:t>】</w:t>
      </w:r>
    </w:p>
    <w:p w14:paraId="18EA4606">
      <w:pPr>
        <w:jc w:val="center"/>
        <w:rPr>
          <w:rFonts w:ascii="Times New Roman" w:hAnsi="Times New Roman" w:cs="Times New Roman"/>
          <w:szCs w:val="24"/>
        </w:rPr>
      </w:pPr>
    </w:p>
    <w:p w14:paraId="6E8D1391">
      <w:pPr>
        <w:jc w:val="center"/>
        <w:rPr>
          <w:rFonts w:ascii="Times New Roman" w:hAnsi="Times New Roman" w:cs="Times New Roman"/>
          <w:b/>
          <w:bCs/>
          <w:sz w:val="32"/>
          <w:szCs w:val="32"/>
        </w:rPr>
      </w:pPr>
      <w:r>
        <w:rPr>
          <w:rFonts w:hint="eastAsia" w:ascii="Times New Roman" w:hAnsi="Times New Roman" w:cs="Times New Roman"/>
          <w:b/>
          <w:bCs/>
          <w:sz w:val="32"/>
          <w:szCs w:val="32"/>
        </w:rPr>
        <w:t>关于符合本国产品标准的声明函</w:t>
      </w:r>
    </w:p>
    <w:p w14:paraId="35349524">
      <w:pPr>
        <w:ind w:firstLine="480" w:firstLineChars="200"/>
        <w:rPr>
          <w:rFonts w:ascii="Times New Roman" w:hAnsi="Times New Roman" w:cs="Times New Roman"/>
          <w:szCs w:val="24"/>
        </w:rPr>
      </w:pPr>
      <w:r>
        <w:rPr>
          <w:rFonts w:hint="eastAsia" w:ascii="Times New Roman" w:hAnsi="Times New Roman" w:cs="Times New Roman"/>
          <w:szCs w:val="24"/>
        </w:rPr>
        <w:t>本公司（单位）郑重声明，根据《国务院办公厅关于在政府采购中实施本国产品标准及相关政策的通知》（国办发〔2025〕34号）的规定，本公司（单位）提供的以下产品属于本国产品。具体情况如下：</w:t>
      </w:r>
    </w:p>
    <w:p w14:paraId="3D4A5C79">
      <w:pPr>
        <w:ind w:firstLine="480" w:firstLineChars="200"/>
        <w:rPr>
          <w:rFonts w:ascii="Times New Roman" w:hAnsi="Times New Roman" w:cs="Times New Roman"/>
          <w:szCs w:val="24"/>
        </w:rPr>
      </w:pPr>
      <w:r>
        <w:rPr>
          <w:rFonts w:hint="eastAsia" w:ascii="Times New Roman" w:hAnsi="Times New Roman" w:cs="Times New Roman"/>
          <w:szCs w:val="24"/>
        </w:rPr>
        <w:t>1.（产品名称1）1，生产厂为（厂名）2，厂址为（生产厂址）。（产品名称1）的中国境内生产的组件成本占比≥（规定比例）3。（产品名称1）的（关键组件）4在中国境内生产。（产品名称1）的（关键工序）5在中国境内完成。</w:t>
      </w:r>
    </w:p>
    <w:p w14:paraId="68CA51FD">
      <w:pPr>
        <w:ind w:firstLine="480" w:firstLineChars="200"/>
        <w:rPr>
          <w:rFonts w:ascii="Times New Roman" w:hAnsi="Times New Roman" w:cs="Times New Roman"/>
          <w:szCs w:val="24"/>
        </w:rPr>
      </w:pPr>
      <w:r>
        <w:rPr>
          <w:rFonts w:hint="eastAsia" w:ascii="Times New Roman" w:hAnsi="Times New Roman" w:cs="Times New Roman"/>
          <w:szCs w:val="24"/>
        </w:rPr>
        <w:t>2.（产品名称2），生产厂为（厂名），厂址为（生产厂址）。（产品名称2）的中国境内生产的组件成本占比≥（规定比例）。（产品名称2）的（关键组件）在中国境内生产。（产品名称2）的（关键工序）在中国境内完成。</w:t>
      </w:r>
    </w:p>
    <w:p w14:paraId="34B8546B">
      <w:pPr>
        <w:ind w:firstLine="480" w:firstLineChars="200"/>
        <w:rPr>
          <w:rFonts w:ascii="Times New Roman" w:hAnsi="Times New Roman" w:cs="Times New Roman"/>
          <w:szCs w:val="24"/>
        </w:rPr>
      </w:pPr>
      <w:r>
        <w:rPr>
          <w:rFonts w:hint="eastAsia" w:ascii="Times New Roman" w:hAnsi="Times New Roman" w:cs="Times New Roman"/>
          <w:szCs w:val="24"/>
        </w:rPr>
        <w:t>……</w:t>
      </w:r>
    </w:p>
    <w:p w14:paraId="1E8B49DD">
      <w:pPr>
        <w:ind w:firstLine="480" w:firstLineChars="200"/>
        <w:rPr>
          <w:rFonts w:ascii="Times New Roman" w:hAnsi="Times New Roman" w:cs="Times New Roman"/>
          <w:szCs w:val="24"/>
        </w:rPr>
      </w:pPr>
      <w:r>
        <w:rPr>
          <w:rFonts w:hint="eastAsia" w:ascii="Times New Roman" w:hAnsi="Times New Roman" w:cs="Times New Roman"/>
          <w:szCs w:val="24"/>
        </w:rPr>
        <w:t>本公司（单位）对上述声明内容的真实性负责。如有虚假，愿承担相应法律责任。</w:t>
      </w:r>
    </w:p>
    <w:p w14:paraId="609D7794">
      <w:pPr>
        <w:rPr>
          <w:rFonts w:ascii="Times New Roman" w:hAnsi="Times New Roman" w:cs="Times New Roman"/>
          <w:szCs w:val="24"/>
        </w:rPr>
      </w:pPr>
    </w:p>
    <w:p w14:paraId="14014FDF">
      <w:pPr>
        <w:jc w:val="right"/>
        <w:rPr>
          <w:rFonts w:ascii="Times New Roman" w:hAnsi="Times New Roman" w:cs="Times New Roman"/>
          <w:szCs w:val="24"/>
        </w:rPr>
      </w:pPr>
      <w:r>
        <w:rPr>
          <w:rFonts w:hint="eastAsia" w:ascii="Times New Roman" w:hAnsi="Times New Roman" w:cs="Times New Roman"/>
          <w:szCs w:val="24"/>
        </w:rPr>
        <w:t>公司（单位）名称（盖章）：　 </w:t>
      </w:r>
    </w:p>
    <w:p w14:paraId="1161CF18">
      <w:pPr>
        <w:jc w:val="right"/>
        <w:rPr>
          <w:rFonts w:ascii="Times New Roman" w:hAnsi="Times New Roman" w:cs="Times New Roman"/>
          <w:szCs w:val="24"/>
        </w:rPr>
      </w:pPr>
      <w:r>
        <w:rPr>
          <w:rFonts w:hint="eastAsia" w:ascii="Times New Roman" w:hAnsi="Times New Roman" w:cs="Times New Roman"/>
          <w:szCs w:val="24"/>
        </w:rPr>
        <w:t>       </w:t>
      </w:r>
    </w:p>
    <w:p w14:paraId="70527E38">
      <w:pPr>
        <w:jc w:val="right"/>
        <w:rPr>
          <w:rFonts w:ascii="Times New Roman" w:hAnsi="Times New Roman" w:cs="Times New Roman"/>
          <w:szCs w:val="24"/>
        </w:rPr>
      </w:pPr>
      <w:r>
        <w:rPr>
          <w:rFonts w:hint="eastAsia" w:ascii="Times New Roman" w:hAnsi="Times New Roman" w:cs="Times New Roman"/>
          <w:szCs w:val="24"/>
        </w:rPr>
        <w:t>日期：　     年　  月　  日   </w:t>
      </w:r>
    </w:p>
    <w:p w14:paraId="27C11485">
      <w:pPr>
        <w:rPr>
          <w:rFonts w:ascii="Times New Roman" w:hAnsi="Times New Roman" w:cs="Times New Roman"/>
          <w:szCs w:val="24"/>
        </w:rPr>
      </w:pPr>
    </w:p>
    <w:p w14:paraId="353CF4A1">
      <w:pPr>
        <w:rPr>
          <w:rFonts w:hint="eastAsia"/>
        </w:rPr>
      </w:pPr>
    </w:p>
    <w:p w14:paraId="7E8194CF">
      <w:pPr>
        <w:rPr>
          <w:rFonts w:hint="eastAsia" w:cs="宋体"/>
          <w:szCs w:val="32"/>
        </w:rPr>
      </w:pPr>
      <w:r>
        <w:rPr>
          <w:rFonts w:hint="eastAsia" w:cs="宋体"/>
          <w:szCs w:val="32"/>
        </w:rPr>
        <w:br w:type="page"/>
      </w:r>
    </w:p>
    <w:p w14:paraId="4C36BE9D">
      <w:pPr>
        <w:pStyle w:val="2"/>
        <w:spacing w:before="101" w:line="223" w:lineRule="auto"/>
        <w:ind w:left="470"/>
        <w:outlineLvl w:val="0"/>
        <w:rPr>
          <w:rFonts w:hint="eastAsia" w:eastAsia="宋体" w:cs="宋体"/>
          <w:sz w:val="24"/>
          <w:szCs w:val="32"/>
        </w:rPr>
      </w:pPr>
      <w:r>
        <w:rPr>
          <w:rFonts w:hint="eastAsia" w:eastAsia="宋体" w:cs="宋体"/>
          <w:sz w:val="24"/>
          <w:szCs w:val="32"/>
        </w:rPr>
        <w:t>附件：</w:t>
      </w:r>
    </w:p>
    <w:p w14:paraId="6B3B58C9">
      <w:pPr>
        <w:pStyle w:val="2"/>
        <w:spacing w:before="101" w:line="223" w:lineRule="auto"/>
        <w:ind w:left="470"/>
        <w:outlineLvl w:val="0"/>
        <w:rPr>
          <w:rFonts w:hint="eastAsia" w:eastAsia="宋体" w:cs="宋体"/>
          <w:sz w:val="43"/>
          <w:szCs w:val="43"/>
        </w:rPr>
      </w:pPr>
      <w:r>
        <w:rPr>
          <w:rFonts w:hint="eastAsia" w:eastAsia="宋体" w:cs="宋体"/>
          <w:b/>
          <w:bCs/>
          <w:spacing w:val="3"/>
          <w:sz w:val="43"/>
          <w:szCs w:val="43"/>
        </w:rPr>
        <w:t>中国境内生产的组件成本核算基本规则</w:t>
      </w:r>
    </w:p>
    <w:p w14:paraId="5ECA095C">
      <w:pPr>
        <w:spacing w:line="304" w:lineRule="auto"/>
        <w:rPr>
          <w:rFonts w:hint="eastAsia" w:cs="宋体"/>
          <w:sz w:val="21"/>
        </w:rPr>
      </w:pPr>
    </w:p>
    <w:p w14:paraId="07D5EF75">
      <w:pPr>
        <w:spacing w:line="305" w:lineRule="auto"/>
        <w:rPr>
          <w:rFonts w:hint="eastAsia" w:cs="宋体"/>
          <w:sz w:val="21"/>
        </w:rPr>
      </w:pPr>
    </w:p>
    <w:p w14:paraId="35501799">
      <w:pPr>
        <w:pStyle w:val="2"/>
        <w:spacing w:before="100" w:line="495" w:lineRule="auto"/>
        <w:ind w:left="25" w:right="13" w:firstLine="642"/>
        <w:rPr>
          <w:rFonts w:hint="eastAsia" w:eastAsia="宋体" w:cs="宋体"/>
          <w:sz w:val="28"/>
          <w:szCs w:val="28"/>
        </w:rPr>
      </w:pPr>
      <w:r>
        <w:rPr>
          <w:rFonts w:hint="eastAsia" w:eastAsia="宋体" w:cs="宋体"/>
          <w:color w:val="333333"/>
          <w:spacing w:val="9"/>
          <w:sz w:val="28"/>
          <w:szCs w:val="28"/>
        </w:rPr>
        <w:t>产品在中国境内生产的组件成本，一般按照</w:t>
      </w:r>
      <w:r>
        <w:rPr>
          <w:rFonts w:hint="eastAsia" w:eastAsia="宋体" w:cs="宋体"/>
          <w:color w:val="333333"/>
          <w:spacing w:val="8"/>
          <w:sz w:val="28"/>
          <w:szCs w:val="28"/>
        </w:rPr>
        <w:t>其二级组件</w:t>
      </w:r>
      <w:r>
        <w:rPr>
          <w:rFonts w:hint="eastAsia" w:eastAsia="宋体" w:cs="宋体"/>
          <w:color w:val="333333"/>
          <w:spacing w:val="9"/>
          <w:sz w:val="28"/>
          <w:szCs w:val="28"/>
        </w:rPr>
        <w:t>的相关成本进行核算。按照产品的一级组件进行成本</w:t>
      </w:r>
      <w:r>
        <w:rPr>
          <w:rFonts w:hint="eastAsia" w:eastAsia="宋体" w:cs="宋体"/>
          <w:color w:val="333333"/>
          <w:spacing w:val="8"/>
          <w:sz w:val="28"/>
          <w:szCs w:val="28"/>
        </w:rPr>
        <w:t>核算能</w:t>
      </w:r>
      <w:r>
        <w:rPr>
          <w:rFonts w:hint="eastAsia" w:eastAsia="宋体" w:cs="宋体"/>
          <w:color w:val="333333"/>
          <w:spacing w:val="9"/>
          <w:sz w:val="28"/>
          <w:szCs w:val="28"/>
        </w:rPr>
        <w:t>够满足中国境内生产的组件成本判定需求的，可以按照一级</w:t>
      </w:r>
      <w:r>
        <w:rPr>
          <w:rFonts w:hint="eastAsia" w:eastAsia="宋体" w:cs="宋体"/>
          <w:color w:val="333333"/>
          <w:spacing w:val="8"/>
          <w:sz w:val="28"/>
          <w:szCs w:val="28"/>
        </w:rPr>
        <w:t>组件的相关成本进行核算。</w:t>
      </w:r>
    </w:p>
    <w:p w14:paraId="5CA615FB">
      <w:pPr>
        <w:pStyle w:val="2"/>
        <w:spacing w:before="24" w:line="405" w:lineRule="auto"/>
        <w:ind w:left="30" w:right="13" w:firstLine="642"/>
        <w:rPr>
          <w:rFonts w:hint="eastAsia" w:eastAsia="宋体" w:cs="宋体"/>
          <w:sz w:val="28"/>
          <w:szCs w:val="28"/>
        </w:rPr>
      </w:pPr>
      <w:r>
        <w:rPr>
          <w:rFonts w:hint="eastAsia" w:eastAsia="宋体" w:cs="宋体"/>
          <w:color w:val="333333"/>
          <w:spacing w:val="8"/>
          <w:sz w:val="28"/>
          <w:szCs w:val="28"/>
        </w:rPr>
        <w:t>一、产品的一级组件是指直接组成产品的组件。产品的</w:t>
      </w:r>
      <w:r>
        <w:rPr>
          <w:rFonts w:hint="eastAsia" w:eastAsia="宋体" w:cs="宋体"/>
          <w:color w:val="333333"/>
          <w:spacing w:val="9"/>
          <w:sz w:val="28"/>
          <w:szCs w:val="28"/>
        </w:rPr>
        <w:t>二级组件是指直接组成产品一级组件的组件。</w:t>
      </w:r>
      <w:r>
        <w:rPr>
          <w:rFonts w:hint="eastAsia" w:eastAsia="宋体" w:cs="宋体"/>
          <w:color w:val="333333"/>
          <w:spacing w:val="8"/>
          <w:sz w:val="28"/>
          <w:szCs w:val="28"/>
        </w:rPr>
        <w:t>一级组件不可</w:t>
      </w:r>
      <w:r>
        <w:rPr>
          <w:rFonts w:hint="eastAsia" w:eastAsia="宋体" w:cs="宋体"/>
          <w:color w:val="333333"/>
          <w:spacing w:val="7"/>
          <w:sz w:val="28"/>
          <w:szCs w:val="28"/>
        </w:rPr>
        <w:t>分解的，视同二级组件。</w:t>
      </w:r>
    </w:p>
    <w:p w14:paraId="6AA6305F">
      <w:pPr>
        <w:pStyle w:val="2"/>
        <w:spacing w:before="101" w:line="405" w:lineRule="auto"/>
        <w:ind w:left="27" w:right="13" w:firstLine="644"/>
        <w:rPr>
          <w:rFonts w:hint="eastAsia" w:eastAsia="宋体" w:cs="宋体"/>
          <w:sz w:val="28"/>
          <w:szCs w:val="28"/>
        </w:rPr>
      </w:pPr>
      <w:r>
        <w:rPr>
          <w:rFonts w:hint="eastAsia" w:eastAsia="宋体" w:cs="宋体"/>
          <w:color w:val="333333"/>
          <w:spacing w:val="8"/>
          <w:sz w:val="28"/>
          <w:szCs w:val="28"/>
        </w:rPr>
        <w:t>二、二级组件在中国境内生产的，其全部成本计入中国</w:t>
      </w:r>
      <w:r>
        <w:rPr>
          <w:rFonts w:hint="eastAsia" w:eastAsia="宋体" w:cs="宋体"/>
          <w:color w:val="333333"/>
          <w:spacing w:val="9"/>
          <w:sz w:val="28"/>
          <w:szCs w:val="28"/>
        </w:rPr>
        <w:t>境内生产的组件成本；二级组件不在中国境内生</w:t>
      </w:r>
      <w:r>
        <w:rPr>
          <w:rFonts w:hint="eastAsia" w:eastAsia="宋体" w:cs="宋体"/>
          <w:color w:val="333333"/>
          <w:spacing w:val="8"/>
          <w:sz w:val="28"/>
          <w:szCs w:val="28"/>
        </w:rPr>
        <w:t>产的，其成本不计入中国境内生产的组件成本。</w:t>
      </w:r>
    </w:p>
    <w:p w14:paraId="049AA5D3">
      <w:pPr>
        <w:pStyle w:val="2"/>
        <w:spacing w:before="101" w:line="360" w:lineRule="auto"/>
        <w:ind w:left="27" w:right="16" w:firstLine="639"/>
        <w:rPr>
          <w:rFonts w:hint="eastAsia" w:eastAsia="宋体" w:cs="宋体"/>
          <w:sz w:val="28"/>
          <w:szCs w:val="28"/>
        </w:rPr>
      </w:pPr>
      <w:r>
        <w:rPr>
          <w:rFonts w:hint="eastAsia" w:eastAsia="宋体" w:cs="宋体"/>
          <w:color w:val="333333"/>
          <w:spacing w:val="8"/>
          <w:sz w:val="28"/>
          <w:szCs w:val="28"/>
        </w:rPr>
        <w:t>三、产品总成本和组件成本以相关会计核算数据、采购合同、进货记录等为基础进行计算。</w:t>
      </w:r>
    </w:p>
    <w:p w14:paraId="3BD8460D">
      <w:pPr>
        <w:pStyle w:val="2"/>
        <w:spacing w:before="102" w:line="359" w:lineRule="auto"/>
        <w:ind w:left="31" w:right="16" w:firstLine="665"/>
        <w:rPr>
          <w:rFonts w:hint="eastAsia" w:eastAsia="宋体" w:cs="宋体"/>
          <w:sz w:val="28"/>
          <w:szCs w:val="28"/>
        </w:rPr>
      </w:pPr>
      <w:r>
        <w:rPr>
          <w:rFonts w:hint="eastAsia" w:eastAsia="宋体" w:cs="宋体"/>
          <w:color w:val="333333"/>
          <w:spacing w:val="7"/>
          <w:sz w:val="28"/>
          <w:szCs w:val="28"/>
        </w:rPr>
        <w:t>四、需要对成本核算规则予以进一步明确的其他有关事</w:t>
      </w:r>
      <w:r>
        <w:rPr>
          <w:rFonts w:hint="eastAsia" w:eastAsia="宋体" w:cs="宋体"/>
          <w:color w:val="333333"/>
          <w:spacing w:val="8"/>
          <w:sz w:val="28"/>
          <w:szCs w:val="28"/>
        </w:rPr>
        <w:t>项由财政部会同有关部门另行规定。</w:t>
      </w:r>
    </w:p>
    <w:p w14:paraId="7304359D">
      <w:pPr>
        <w:rPr>
          <w:rFonts w:ascii="Times New Roman" w:hAnsi="Times New Roman" w:cs="Times New Roman"/>
          <w:sz w:val="28"/>
          <w:szCs w:val="28"/>
        </w:rPr>
      </w:pPr>
      <w:r>
        <w:rPr>
          <w:rFonts w:ascii="Times New Roman" w:hAnsi="Times New Roman" w:cs="Times New Roman"/>
          <w:sz w:val="28"/>
          <w:szCs w:val="28"/>
        </w:rPr>
        <w:br w:type="page"/>
      </w:r>
    </w:p>
    <w:p w14:paraId="0389C086">
      <w:pPr>
        <w:pStyle w:val="4"/>
        <w:spacing w:before="100" w:after="100" w:line="360" w:lineRule="auto"/>
        <w:ind w:left="420" w:hanging="420"/>
        <w:rPr>
          <w:rFonts w:hint="eastAsia"/>
          <w:sz w:val="28"/>
          <w:szCs w:val="28"/>
        </w:rPr>
      </w:pPr>
      <w:bookmarkStart w:id="652" w:name="_Toc18110"/>
      <w:bookmarkStart w:id="653" w:name="_Toc29560"/>
      <w:r>
        <w:rPr>
          <w:rFonts w:hint="eastAsia"/>
          <w:sz w:val="28"/>
          <w:szCs w:val="28"/>
        </w:rPr>
        <w:t>五、不参与围标串标承诺书</w:t>
      </w:r>
      <w:bookmarkEnd w:id="652"/>
      <w:bookmarkEnd w:id="653"/>
    </w:p>
    <w:p w14:paraId="56AB8B27">
      <w:pPr>
        <w:pStyle w:val="4"/>
        <w:spacing w:before="100" w:after="100" w:line="240" w:lineRule="auto"/>
        <w:ind w:left="420" w:hanging="420"/>
        <w:rPr>
          <w:rFonts w:hint="eastAsia"/>
        </w:rPr>
      </w:pPr>
    </w:p>
    <w:p w14:paraId="0E063309">
      <w:pPr>
        <w:jc w:val="center"/>
        <w:rPr>
          <w:rFonts w:hint="eastAsia"/>
        </w:rPr>
      </w:pPr>
      <w:r>
        <w:rPr>
          <w:rFonts w:hint="eastAsia" w:cstheme="majorBidi"/>
          <w:b/>
          <w:bCs/>
          <w:sz w:val="32"/>
          <w:szCs w:val="32"/>
        </w:rPr>
        <w:t>不参与围标串标承诺书</w:t>
      </w:r>
    </w:p>
    <w:p w14:paraId="1EE087E9">
      <w:pPr>
        <w:rPr>
          <w:rFonts w:hint="eastAsia"/>
        </w:rPr>
      </w:pPr>
      <w:r>
        <w:rPr>
          <w:rFonts w:hint="eastAsia"/>
        </w:rPr>
        <w:t>  </w:t>
      </w:r>
    </w:p>
    <w:p w14:paraId="26CAAC7E">
      <w:pPr>
        <w:ind w:firstLine="480" w:firstLineChars="200"/>
        <w:rPr>
          <w:rFonts w:hint="eastAsia"/>
        </w:rPr>
      </w:pPr>
      <w:r>
        <w:rPr>
          <w:rFonts w:hint="eastAsia"/>
        </w:rPr>
        <w:t>本人作为经授权的投标人代表,清楚知晓我单位本项目投标活动,对以下事项作出承诺：</w:t>
      </w:r>
    </w:p>
    <w:p w14:paraId="4848361D">
      <w:pPr>
        <w:ind w:firstLine="480" w:firstLineChars="200"/>
        <w:rPr>
          <w:rFonts w:hint="eastAsia"/>
        </w:rPr>
      </w:pPr>
    </w:p>
    <w:p w14:paraId="1550D64C">
      <w:pPr>
        <w:ind w:firstLine="480" w:firstLineChars="200"/>
        <w:rPr>
          <w:rFonts w:hint="eastAsia"/>
        </w:rPr>
      </w:pPr>
      <w:r>
        <w:rPr>
          <w:rFonts w:hint="eastAsia"/>
        </w:rPr>
        <w:t>一、我单位和我本人遵循公开透明、公平竞争、公正和诚实信用的原则,依法依规参与本项目竞标。</w:t>
      </w:r>
    </w:p>
    <w:p w14:paraId="5939DA54">
      <w:pPr>
        <w:ind w:firstLine="480" w:firstLineChars="200"/>
        <w:rPr>
          <w:rFonts w:hint="eastAsia"/>
        </w:rPr>
      </w:pPr>
      <w:r>
        <w:rPr>
          <w:rFonts w:hint="eastAsia"/>
        </w:rPr>
        <w:t>二、我单位和我本人在本项目政府采购投标活动中,未参与围标串标。</w:t>
      </w:r>
    </w:p>
    <w:p w14:paraId="1B79B59D">
      <w:pPr>
        <w:ind w:firstLine="480" w:firstLineChars="200"/>
        <w:rPr>
          <w:rFonts w:hint="eastAsia"/>
        </w:rPr>
      </w:pPr>
      <w:r>
        <w:rPr>
          <w:rFonts w:hint="eastAsia"/>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27390D7F">
      <w:pPr>
        <w:pStyle w:val="2"/>
        <w:rPr>
          <w:rFonts w:hint="eastAsia"/>
        </w:rPr>
      </w:pPr>
    </w:p>
    <w:p w14:paraId="52C78339">
      <w:pPr>
        <w:spacing w:line="560" w:lineRule="exact"/>
        <w:rPr>
          <w:rFonts w:hint="eastAsia" w:cs="宋体"/>
          <w:kern w:val="0"/>
          <w:szCs w:val="24"/>
        </w:rPr>
      </w:pPr>
    </w:p>
    <w:p w14:paraId="4B02037D">
      <w:pPr>
        <w:spacing w:line="560" w:lineRule="exact"/>
        <w:rPr>
          <w:rFonts w:hint="eastAsia" w:cs="宋体"/>
          <w:kern w:val="0"/>
          <w:szCs w:val="24"/>
        </w:rPr>
      </w:pPr>
      <w:r>
        <w:rPr>
          <w:rFonts w:hint="eastAsia" w:cs="宋体"/>
          <w:kern w:val="0"/>
          <w:szCs w:val="24"/>
        </w:rPr>
        <w:t>投标人</w:t>
      </w:r>
      <w:r>
        <w:rPr>
          <w:rFonts w:hint="eastAsia"/>
          <w:bCs/>
          <w:szCs w:val="21"/>
        </w:rPr>
        <w:t>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kern w:val="0"/>
          <w:szCs w:val="24"/>
        </w:rPr>
        <w:t>：</w:t>
      </w:r>
    </w:p>
    <w:p w14:paraId="274CADD3">
      <w:pPr>
        <w:spacing w:line="560" w:lineRule="exact"/>
        <w:rPr>
          <w:rFonts w:hint="eastAsia" w:cs="宋体"/>
          <w:kern w:val="0"/>
          <w:szCs w:val="24"/>
        </w:rPr>
      </w:pPr>
      <w:r>
        <w:rPr>
          <w:rFonts w:hint="eastAsia" w:cs="宋体"/>
          <w:kern w:val="0"/>
          <w:szCs w:val="24"/>
        </w:rPr>
        <w:t>法定代表人（负责人或本人）或授权代表（签字或盖章）：</w:t>
      </w:r>
    </w:p>
    <w:p w14:paraId="43B54235">
      <w:pPr>
        <w:spacing w:line="560" w:lineRule="exact"/>
        <w:rPr>
          <w:rFonts w:hint="eastAsia" w:cs="宋体"/>
          <w:kern w:val="0"/>
          <w:szCs w:val="24"/>
        </w:rPr>
      </w:pPr>
      <w:r>
        <w:rPr>
          <w:rFonts w:hint="eastAsia" w:cs="宋体"/>
          <w:kern w:val="0"/>
          <w:szCs w:val="24"/>
        </w:rPr>
        <w:t>日期： 年 月 日</w:t>
      </w:r>
    </w:p>
    <w:p w14:paraId="1BB9BAD5">
      <w:pPr>
        <w:widowControl/>
        <w:spacing w:line="560" w:lineRule="exact"/>
        <w:ind w:firstLine="630"/>
        <w:rPr>
          <w:rFonts w:hint="eastAsia" w:cs="宋体"/>
          <w:kern w:val="0"/>
          <w:szCs w:val="24"/>
        </w:rPr>
      </w:pPr>
    </w:p>
    <w:p w14:paraId="3F412D1C">
      <w:pPr>
        <w:pStyle w:val="2"/>
        <w:rPr>
          <w:rFonts w:hint="eastAsia"/>
        </w:rPr>
      </w:pPr>
    </w:p>
    <w:p w14:paraId="426C59B2">
      <w:pPr>
        <w:pStyle w:val="2"/>
        <w:rPr>
          <w:rFonts w:hint="eastAsia"/>
        </w:rPr>
      </w:pPr>
    </w:p>
    <w:p w14:paraId="51B9E94A">
      <w:pPr>
        <w:pStyle w:val="2"/>
        <w:rPr>
          <w:rFonts w:hint="eastAsia"/>
        </w:rPr>
      </w:pPr>
    </w:p>
    <w:p w14:paraId="64379DBD">
      <w:pPr>
        <w:pStyle w:val="2"/>
        <w:rPr>
          <w:rFonts w:hint="eastAsia"/>
        </w:rPr>
      </w:pPr>
    </w:p>
    <w:p w14:paraId="44AB3E0B">
      <w:pPr>
        <w:pStyle w:val="2"/>
        <w:rPr>
          <w:rFonts w:hint="eastAsia"/>
        </w:rPr>
      </w:pPr>
    </w:p>
    <w:p w14:paraId="7877F26D">
      <w:pPr>
        <w:pStyle w:val="2"/>
        <w:rPr>
          <w:rFonts w:hint="eastAsia"/>
        </w:rPr>
      </w:pPr>
    </w:p>
    <w:p w14:paraId="2C9C35E9">
      <w:pPr>
        <w:pStyle w:val="2"/>
        <w:rPr>
          <w:rFonts w:hint="eastAsia"/>
        </w:rPr>
      </w:pPr>
    </w:p>
    <w:p w14:paraId="7FCCFE49">
      <w:pPr>
        <w:pStyle w:val="2"/>
        <w:rPr>
          <w:rFonts w:hint="eastAsia"/>
        </w:rPr>
      </w:pPr>
    </w:p>
    <w:p w14:paraId="76444422">
      <w:pPr>
        <w:pStyle w:val="2"/>
        <w:rPr>
          <w:rFonts w:hint="eastAsia"/>
        </w:rPr>
      </w:pPr>
    </w:p>
    <w:p w14:paraId="33F6B1E1">
      <w:pPr>
        <w:pStyle w:val="2"/>
        <w:rPr>
          <w:rFonts w:hint="eastAsia"/>
        </w:rPr>
      </w:pPr>
    </w:p>
    <w:p w14:paraId="1A12E360">
      <w:pPr>
        <w:pStyle w:val="4"/>
        <w:spacing w:before="100" w:after="100" w:line="360" w:lineRule="auto"/>
        <w:ind w:left="420" w:hanging="420"/>
        <w:rPr>
          <w:rFonts w:hint="eastAsia"/>
          <w:sz w:val="28"/>
          <w:szCs w:val="28"/>
        </w:rPr>
      </w:pPr>
    </w:p>
    <w:p w14:paraId="61A99D29">
      <w:pPr>
        <w:pStyle w:val="4"/>
        <w:spacing w:before="100" w:after="100" w:line="360" w:lineRule="auto"/>
        <w:ind w:left="420" w:hanging="420"/>
        <w:rPr>
          <w:rFonts w:hint="eastAsia"/>
          <w:sz w:val="28"/>
          <w:szCs w:val="28"/>
          <w:lang w:val="zh-CN"/>
        </w:rPr>
      </w:pPr>
      <w:bookmarkStart w:id="654" w:name="_Toc6223"/>
      <w:bookmarkStart w:id="655" w:name="_Toc17591"/>
      <w:r>
        <w:rPr>
          <w:rFonts w:hint="eastAsia"/>
          <w:sz w:val="28"/>
          <w:szCs w:val="28"/>
        </w:rPr>
        <w:t>六、</w:t>
      </w:r>
      <w:r>
        <w:rPr>
          <w:rFonts w:hint="eastAsia"/>
          <w:sz w:val="28"/>
          <w:szCs w:val="28"/>
          <w:lang w:val="zh-CN"/>
        </w:rPr>
        <w:t>其他资格证明文件</w:t>
      </w:r>
      <w:bookmarkEnd w:id="654"/>
      <w:bookmarkEnd w:id="655"/>
    </w:p>
    <w:p w14:paraId="42FF0C14">
      <w:pPr>
        <w:pStyle w:val="39"/>
        <w:rPr>
          <w:rFonts w:hint="eastAsia"/>
        </w:rPr>
      </w:pPr>
      <w:r>
        <w:rPr>
          <w:rFonts w:hint="eastAsia" w:cs="Courier New"/>
          <w:szCs w:val="24"/>
        </w:rPr>
        <w:t>投标人认为需提供的其它相关资格证明材料</w:t>
      </w:r>
    </w:p>
    <w:p w14:paraId="4D7F4178">
      <w:pPr>
        <w:pStyle w:val="39"/>
        <w:rPr>
          <w:rFonts w:hint="eastAsia"/>
        </w:rPr>
      </w:pPr>
    </w:p>
    <w:p w14:paraId="25FF6925">
      <w:pPr>
        <w:pStyle w:val="39"/>
        <w:rPr>
          <w:rFonts w:hint="eastAsia"/>
        </w:rPr>
      </w:pPr>
    </w:p>
    <w:p w14:paraId="52716E08">
      <w:pPr>
        <w:pStyle w:val="39"/>
        <w:rPr>
          <w:rFonts w:hint="eastAsia"/>
        </w:rPr>
      </w:pPr>
    </w:p>
    <w:p w14:paraId="64970E95">
      <w:pPr>
        <w:pStyle w:val="39"/>
        <w:rPr>
          <w:rFonts w:hint="eastAsia"/>
        </w:rPr>
      </w:pPr>
    </w:p>
    <w:p w14:paraId="121756A1">
      <w:pPr>
        <w:pStyle w:val="39"/>
        <w:rPr>
          <w:rFonts w:hint="eastAsia"/>
        </w:rPr>
      </w:pPr>
    </w:p>
    <w:p w14:paraId="24631291">
      <w:pPr>
        <w:pStyle w:val="39"/>
        <w:rPr>
          <w:rFonts w:hint="eastAsia"/>
        </w:rPr>
      </w:pPr>
    </w:p>
    <w:p w14:paraId="07CC015F">
      <w:pPr>
        <w:pStyle w:val="39"/>
        <w:rPr>
          <w:rFonts w:hint="eastAsia"/>
        </w:rPr>
      </w:pPr>
    </w:p>
    <w:p w14:paraId="385D51EF">
      <w:pPr>
        <w:pStyle w:val="39"/>
        <w:rPr>
          <w:rFonts w:hint="eastAsia"/>
        </w:rPr>
      </w:pPr>
    </w:p>
    <w:p w14:paraId="6F1D0F0B">
      <w:pPr>
        <w:pStyle w:val="39"/>
        <w:rPr>
          <w:rFonts w:hint="eastAsia"/>
        </w:rPr>
      </w:pPr>
    </w:p>
    <w:p w14:paraId="48D7154D">
      <w:pPr>
        <w:pStyle w:val="39"/>
        <w:rPr>
          <w:rFonts w:hint="eastAsia"/>
        </w:rPr>
      </w:pPr>
    </w:p>
    <w:p w14:paraId="7E5911FF">
      <w:pPr>
        <w:pStyle w:val="39"/>
        <w:rPr>
          <w:rFonts w:hint="eastAsia"/>
        </w:rPr>
      </w:pPr>
    </w:p>
    <w:p w14:paraId="3A145A79">
      <w:pPr>
        <w:pStyle w:val="39"/>
        <w:rPr>
          <w:rFonts w:hint="eastAsia"/>
        </w:rPr>
      </w:pPr>
    </w:p>
    <w:p w14:paraId="39DFB118">
      <w:pPr>
        <w:pStyle w:val="39"/>
        <w:rPr>
          <w:rFonts w:hint="eastAsia"/>
        </w:rPr>
      </w:pPr>
    </w:p>
    <w:p w14:paraId="5599B717">
      <w:pPr>
        <w:pStyle w:val="39"/>
        <w:rPr>
          <w:rFonts w:hint="eastAsia"/>
        </w:rPr>
      </w:pPr>
    </w:p>
    <w:p w14:paraId="0511D13D">
      <w:pPr>
        <w:pStyle w:val="39"/>
        <w:rPr>
          <w:rFonts w:hint="eastAsia"/>
        </w:rPr>
      </w:pPr>
    </w:p>
    <w:p w14:paraId="1794C982">
      <w:pPr>
        <w:pStyle w:val="39"/>
        <w:rPr>
          <w:rFonts w:hint="eastAsia"/>
        </w:rPr>
      </w:pPr>
    </w:p>
    <w:p w14:paraId="42034A7B">
      <w:pPr>
        <w:pStyle w:val="39"/>
        <w:rPr>
          <w:rFonts w:hint="eastAsia"/>
        </w:rPr>
      </w:pPr>
    </w:p>
    <w:p w14:paraId="134D2AC0">
      <w:pPr>
        <w:pStyle w:val="39"/>
        <w:rPr>
          <w:rFonts w:hint="eastAsia"/>
        </w:rPr>
      </w:pPr>
    </w:p>
    <w:p w14:paraId="126DC7F7">
      <w:pPr>
        <w:pStyle w:val="39"/>
        <w:rPr>
          <w:rFonts w:hint="eastAsia"/>
        </w:rPr>
      </w:pPr>
    </w:p>
    <w:p w14:paraId="189D1BC2">
      <w:pPr>
        <w:pStyle w:val="39"/>
        <w:rPr>
          <w:rFonts w:hint="eastAsia"/>
        </w:rPr>
      </w:pPr>
    </w:p>
    <w:p w14:paraId="5E3EB0D3">
      <w:pPr>
        <w:pStyle w:val="39"/>
        <w:rPr>
          <w:rFonts w:hint="eastAsia"/>
        </w:rPr>
      </w:pPr>
    </w:p>
    <w:p w14:paraId="26127635">
      <w:pPr>
        <w:pStyle w:val="39"/>
        <w:rPr>
          <w:rFonts w:hint="eastAsia"/>
        </w:rPr>
      </w:pPr>
    </w:p>
    <w:p w14:paraId="2D4D83C8">
      <w:pPr>
        <w:pStyle w:val="39"/>
        <w:rPr>
          <w:rFonts w:hint="eastAsia"/>
        </w:rPr>
      </w:pPr>
    </w:p>
    <w:p w14:paraId="11C54FCC">
      <w:pPr>
        <w:pStyle w:val="39"/>
        <w:rPr>
          <w:rFonts w:hint="eastAsia"/>
        </w:rPr>
      </w:pPr>
    </w:p>
    <w:p w14:paraId="59930B2B">
      <w:pPr>
        <w:pStyle w:val="39"/>
        <w:rPr>
          <w:rFonts w:hint="eastAsia"/>
        </w:rPr>
      </w:pPr>
    </w:p>
    <w:p w14:paraId="79204417">
      <w:pPr>
        <w:pStyle w:val="39"/>
        <w:rPr>
          <w:rFonts w:hint="eastAsia"/>
        </w:rPr>
      </w:pPr>
    </w:p>
    <w:p w14:paraId="65E10D88">
      <w:pPr>
        <w:pStyle w:val="62"/>
        <w:spacing w:line="360" w:lineRule="exact"/>
        <w:rPr>
          <w:rFonts w:hint="eastAsia" w:ascii="宋体" w:hAnsi="宋体" w:eastAsia="宋体" w:cs="宋体"/>
          <w:b/>
          <w:bCs/>
        </w:rPr>
      </w:pPr>
    </w:p>
    <w:p w14:paraId="05D0F8E5">
      <w:pPr>
        <w:ind w:firstLine="480" w:firstLineChars="200"/>
        <w:rPr>
          <w:rFonts w:hint="eastAsia" w:cs="仿宋_GB2312"/>
          <w:szCs w:val="24"/>
          <w:lang w:val="zh-CN"/>
        </w:rPr>
      </w:pPr>
      <w:r>
        <w:rPr>
          <w:rFonts w:hint="eastAsia" w:cs="仿宋_GB2312"/>
          <w:szCs w:val="24"/>
          <w:lang w:val="zh-CN"/>
        </w:rPr>
        <w:t>封面：</w:t>
      </w:r>
    </w:p>
    <w:p w14:paraId="3CE91E8A">
      <w:pPr>
        <w:autoSpaceDE w:val="0"/>
        <w:autoSpaceDN w:val="0"/>
        <w:adjustRightInd w:val="0"/>
        <w:rPr>
          <w:rFonts w:hint="eastAsia"/>
          <w:sz w:val="21"/>
          <w:szCs w:val="24"/>
        </w:rPr>
      </w:pPr>
    </w:p>
    <w:p w14:paraId="56457A8F">
      <w:pPr>
        <w:autoSpaceDE w:val="0"/>
        <w:autoSpaceDN w:val="0"/>
        <w:adjustRightInd w:val="0"/>
        <w:rPr>
          <w:rFonts w:hint="eastAsia"/>
          <w:sz w:val="21"/>
          <w:szCs w:val="24"/>
        </w:rPr>
      </w:pPr>
    </w:p>
    <w:p w14:paraId="427BA567">
      <w:pPr>
        <w:autoSpaceDE w:val="0"/>
        <w:autoSpaceDN w:val="0"/>
        <w:adjustRightInd w:val="0"/>
        <w:jc w:val="center"/>
        <w:rPr>
          <w:rFonts w:hint="eastAsia"/>
          <w:sz w:val="21"/>
          <w:szCs w:val="24"/>
        </w:rPr>
      </w:pPr>
    </w:p>
    <w:p w14:paraId="1C853803">
      <w:pPr>
        <w:pStyle w:val="3"/>
        <w:spacing w:line="360" w:lineRule="auto"/>
        <w:rPr>
          <w:rFonts w:hint="eastAsia"/>
          <w:sz w:val="56"/>
          <w:szCs w:val="56"/>
        </w:rPr>
      </w:pPr>
      <w:bookmarkStart w:id="656" w:name="_Toc16701"/>
      <w:r>
        <w:rPr>
          <w:rFonts w:hint="eastAsia"/>
          <w:sz w:val="56"/>
          <w:szCs w:val="56"/>
        </w:rPr>
        <w:t>投 标 文 件</w:t>
      </w:r>
      <w:bookmarkEnd w:id="656"/>
    </w:p>
    <w:p w14:paraId="3DC28B87">
      <w:pPr>
        <w:pStyle w:val="3"/>
        <w:spacing w:line="360" w:lineRule="auto"/>
        <w:rPr>
          <w:rFonts w:hint="eastAsia"/>
          <w:sz w:val="56"/>
          <w:szCs w:val="56"/>
        </w:rPr>
      </w:pPr>
      <w:bookmarkStart w:id="657" w:name="_Toc30374"/>
      <w:r>
        <w:rPr>
          <w:rFonts w:hint="eastAsia"/>
          <w:sz w:val="56"/>
          <w:szCs w:val="56"/>
        </w:rPr>
        <w:t>报价文件</w:t>
      </w:r>
      <w:bookmarkEnd w:id="657"/>
    </w:p>
    <w:p w14:paraId="6B6F9BF9">
      <w:pPr>
        <w:autoSpaceDE w:val="0"/>
        <w:autoSpaceDN w:val="0"/>
        <w:adjustRightInd w:val="0"/>
        <w:jc w:val="center"/>
        <w:rPr>
          <w:rFonts w:hint="eastAsia"/>
          <w:sz w:val="36"/>
          <w:szCs w:val="36"/>
        </w:rPr>
      </w:pPr>
      <w:r>
        <w:rPr>
          <w:rFonts w:hint="eastAsia"/>
          <w:sz w:val="36"/>
          <w:szCs w:val="36"/>
        </w:rPr>
        <w:t>（第XX包）【如不分包，请删去本行】</w:t>
      </w:r>
    </w:p>
    <w:p w14:paraId="33BF88CF">
      <w:pPr>
        <w:pStyle w:val="4"/>
        <w:rPr>
          <w:rFonts w:hint="eastAsia"/>
          <w:sz w:val="21"/>
          <w:szCs w:val="21"/>
        </w:rPr>
      </w:pPr>
    </w:p>
    <w:p w14:paraId="55F02FA9">
      <w:pPr>
        <w:rPr>
          <w:rFonts w:hint="eastAsia"/>
          <w:sz w:val="21"/>
          <w:szCs w:val="21"/>
        </w:rPr>
      </w:pPr>
    </w:p>
    <w:p w14:paraId="7A6144A7">
      <w:pPr>
        <w:rPr>
          <w:rFonts w:hint="eastAsia"/>
        </w:rPr>
      </w:pPr>
    </w:p>
    <w:p w14:paraId="0093A7D8">
      <w:pPr>
        <w:autoSpaceDE w:val="0"/>
        <w:autoSpaceDN w:val="0"/>
        <w:adjustRightInd w:val="0"/>
        <w:rPr>
          <w:rFonts w:hint="eastAsia"/>
          <w:sz w:val="21"/>
          <w:szCs w:val="21"/>
        </w:rPr>
      </w:pPr>
    </w:p>
    <w:p w14:paraId="3B9AAF9C">
      <w:pPr>
        <w:autoSpaceDE w:val="0"/>
        <w:autoSpaceDN w:val="0"/>
        <w:adjustRightInd w:val="0"/>
        <w:rPr>
          <w:rFonts w:hint="eastAsia"/>
          <w:sz w:val="21"/>
          <w:szCs w:val="21"/>
        </w:rPr>
      </w:pPr>
    </w:p>
    <w:p w14:paraId="384FB89C">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6569FBCE">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2DEE0473">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1F2D77DC">
      <w:pPr>
        <w:ind w:left="840" w:firstLine="420"/>
        <w:rPr>
          <w:rFonts w:hint="eastAsia"/>
          <w:b/>
          <w:bCs/>
          <w:sz w:val="28"/>
          <w:szCs w:val="28"/>
        </w:rPr>
      </w:pPr>
    </w:p>
    <w:p w14:paraId="2E5C02B9">
      <w:pPr>
        <w:ind w:left="840" w:firstLine="420"/>
        <w:rPr>
          <w:rFonts w:hint="eastAsia"/>
          <w:b/>
          <w:bCs/>
          <w:sz w:val="28"/>
          <w:szCs w:val="28"/>
        </w:rPr>
      </w:pPr>
    </w:p>
    <w:p w14:paraId="1AE137D8">
      <w:pPr>
        <w:jc w:val="center"/>
        <w:rPr>
          <w:rFonts w:hint="eastAsia" w:ascii="黑体" w:hAnsi="黑体" w:eastAsia="黑体"/>
          <w:sz w:val="32"/>
          <w:szCs w:val="32"/>
        </w:rPr>
      </w:pPr>
      <w:r>
        <w:rPr>
          <w:rFonts w:hint="eastAsia" w:cs="宋体"/>
          <w:sz w:val="32"/>
          <w:szCs w:val="32"/>
        </w:rPr>
        <w:t>年   月    日</w:t>
      </w:r>
    </w:p>
    <w:p w14:paraId="4D281BA1">
      <w:pPr>
        <w:rPr>
          <w:rFonts w:hint="eastAsia"/>
          <w:lang w:val="zh-CN"/>
        </w:rPr>
      </w:pPr>
      <w:r>
        <w:rPr>
          <w:lang w:val="zh-CN"/>
        </w:rPr>
        <w:br w:type="page"/>
      </w:r>
    </w:p>
    <w:p w14:paraId="16B8D83E">
      <w:pPr>
        <w:pStyle w:val="4"/>
        <w:spacing w:before="100" w:after="100" w:line="360" w:lineRule="auto"/>
        <w:ind w:left="420" w:hanging="420"/>
        <w:jc w:val="center"/>
        <w:rPr>
          <w:rFonts w:hint="eastAsia"/>
        </w:rPr>
      </w:pPr>
    </w:p>
    <w:p w14:paraId="4C4C7374">
      <w:pPr>
        <w:pStyle w:val="4"/>
        <w:spacing w:before="100" w:after="100" w:line="360" w:lineRule="auto"/>
        <w:ind w:left="420" w:hanging="420"/>
        <w:jc w:val="center"/>
        <w:rPr>
          <w:rFonts w:hint="eastAsia"/>
        </w:rPr>
      </w:pPr>
      <w:bookmarkStart w:id="658" w:name="_Toc2238"/>
      <w:bookmarkStart w:id="659" w:name="_Toc26789"/>
      <w:r>
        <w:rPr>
          <w:rFonts w:hint="eastAsia"/>
        </w:rPr>
        <w:t>一、开标一览表</w:t>
      </w:r>
      <w:bookmarkEnd w:id="658"/>
      <w:bookmarkEnd w:id="659"/>
    </w:p>
    <w:p w14:paraId="2BF5F412">
      <w:pPr>
        <w:spacing w:line="300" w:lineRule="auto"/>
        <w:rPr>
          <w:rFonts w:hint="eastAsia" w:cs="仿宋_GB2312"/>
          <w:szCs w:val="24"/>
        </w:rPr>
      </w:pPr>
    </w:p>
    <w:p w14:paraId="15A12298">
      <w:pPr>
        <w:rPr>
          <w:rFonts w:hint="eastAsia"/>
          <w:bCs/>
          <w:szCs w:val="21"/>
          <w:lang w:val="zh-CN"/>
        </w:rPr>
      </w:pPr>
      <w:r>
        <w:rPr>
          <w:rFonts w:hint="eastAsia"/>
          <w:bCs/>
          <w:szCs w:val="21"/>
          <w:lang w:val="zh-CN"/>
        </w:rPr>
        <w:t>项目名称：</w:t>
      </w:r>
      <w:r>
        <w:rPr>
          <w:rFonts w:hint="eastAsia"/>
          <w:bCs/>
          <w:szCs w:val="21"/>
          <w:u w:val="single"/>
          <w:lang w:val="zh-CN"/>
        </w:rPr>
        <w:t xml:space="preserve">                     </w:t>
      </w:r>
    </w:p>
    <w:p w14:paraId="61B8E2B4">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p>
    <w:tbl>
      <w:tblPr>
        <w:tblStyle w:val="31"/>
        <w:tblW w:w="9591"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04"/>
        <w:gridCol w:w="2520"/>
        <w:gridCol w:w="4668"/>
        <w:gridCol w:w="1299"/>
      </w:tblGrid>
      <w:tr w14:paraId="3C8AE4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jc w:val="center"/>
        </w:trPr>
        <w:tc>
          <w:tcPr>
            <w:tcW w:w="1104" w:type="dxa"/>
            <w:tcBorders>
              <w:top w:val="single" w:color="auto" w:sz="4" w:space="0"/>
              <w:left w:val="single" w:color="auto" w:sz="4" w:space="0"/>
              <w:right w:val="single" w:color="auto" w:sz="4" w:space="0"/>
            </w:tcBorders>
            <w:vAlign w:val="center"/>
          </w:tcPr>
          <w:p w14:paraId="0CDE0A28">
            <w:pPr>
              <w:snapToGrid w:val="0"/>
              <w:spacing w:line="400" w:lineRule="exact"/>
              <w:jc w:val="center"/>
              <w:rPr>
                <w:rFonts w:hint="eastAsia" w:cs="宋体"/>
                <w:bCs/>
                <w:sz w:val="28"/>
                <w:szCs w:val="28"/>
              </w:rPr>
            </w:pPr>
            <w:r>
              <w:rPr>
                <w:rFonts w:hint="eastAsia" w:cs="宋体"/>
                <w:bCs/>
                <w:sz w:val="28"/>
                <w:szCs w:val="28"/>
              </w:rPr>
              <w:t>序号</w:t>
            </w:r>
          </w:p>
        </w:tc>
        <w:tc>
          <w:tcPr>
            <w:tcW w:w="7188" w:type="dxa"/>
            <w:gridSpan w:val="2"/>
            <w:tcBorders>
              <w:top w:val="single" w:color="auto" w:sz="4" w:space="0"/>
              <w:left w:val="single" w:color="auto" w:sz="4" w:space="0"/>
              <w:right w:val="single" w:color="auto" w:sz="4" w:space="0"/>
            </w:tcBorders>
            <w:vAlign w:val="center"/>
          </w:tcPr>
          <w:p w14:paraId="3D385030">
            <w:pPr>
              <w:snapToGrid w:val="0"/>
              <w:spacing w:line="400" w:lineRule="exact"/>
              <w:jc w:val="center"/>
              <w:rPr>
                <w:rFonts w:hint="eastAsia" w:cs="宋体"/>
                <w:bCs/>
                <w:sz w:val="28"/>
                <w:szCs w:val="28"/>
              </w:rPr>
            </w:pPr>
            <w:r>
              <w:rPr>
                <w:rFonts w:hint="eastAsia" w:cs="宋体"/>
                <w:bCs/>
                <w:sz w:val="28"/>
                <w:szCs w:val="28"/>
              </w:rPr>
              <w:t>内容</w:t>
            </w:r>
          </w:p>
        </w:tc>
        <w:tc>
          <w:tcPr>
            <w:tcW w:w="1299" w:type="dxa"/>
            <w:tcBorders>
              <w:top w:val="single" w:color="auto" w:sz="4" w:space="0"/>
              <w:left w:val="single" w:color="auto" w:sz="4" w:space="0"/>
              <w:right w:val="single" w:color="auto" w:sz="4" w:space="0"/>
            </w:tcBorders>
            <w:vAlign w:val="center"/>
          </w:tcPr>
          <w:p w14:paraId="346908FF">
            <w:pPr>
              <w:snapToGrid w:val="0"/>
              <w:spacing w:line="400" w:lineRule="exact"/>
              <w:jc w:val="center"/>
              <w:rPr>
                <w:rFonts w:hint="eastAsia" w:cs="宋体"/>
                <w:bCs/>
                <w:sz w:val="28"/>
                <w:szCs w:val="28"/>
              </w:rPr>
            </w:pPr>
            <w:r>
              <w:rPr>
                <w:rFonts w:hint="eastAsia" w:cs="宋体"/>
                <w:bCs/>
                <w:sz w:val="28"/>
                <w:szCs w:val="28"/>
              </w:rPr>
              <w:t>备注</w:t>
            </w:r>
          </w:p>
        </w:tc>
      </w:tr>
      <w:tr w14:paraId="227C949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517" w:hRule="atLeast"/>
          <w:jc w:val="center"/>
        </w:trPr>
        <w:tc>
          <w:tcPr>
            <w:tcW w:w="1104" w:type="dxa"/>
            <w:tcBorders>
              <w:top w:val="single" w:color="auto" w:sz="4" w:space="0"/>
              <w:left w:val="single" w:color="auto" w:sz="4" w:space="0"/>
              <w:right w:val="single" w:color="auto" w:sz="4" w:space="0"/>
            </w:tcBorders>
            <w:vAlign w:val="center"/>
          </w:tcPr>
          <w:p w14:paraId="375A754D">
            <w:pPr>
              <w:snapToGrid w:val="0"/>
              <w:spacing w:line="400" w:lineRule="exact"/>
              <w:jc w:val="center"/>
              <w:rPr>
                <w:rFonts w:hint="eastAsia" w:cs="宋体"/>
                <w:bCs/>
                <w:sz w:val="28"/>
                <w:szCs w:val="28"/>
              </w:rPr>
            </w:pPr>
            <w:r>
              <w:rPr>
                <w:rFonts w:hint="eastAsia" w:cs="宋体"/>
                <w:bCs/>
                <w:sz w:val="28"/>
                <w:szCs w:val="28"/>
              </w:rPr>
              <w:t>1</w:t>
            </w:r>
          </w:p>
        </w:tc>
        <w:tc>
          <w:tcPr>
            <w:tcW w:w="7188" w:type="dxa"/>
            <w:gridSpan w:val="2"/>
            <w:tcBorders>
              <w:top w:val="single" w:color="auto" w:sz="4" w:space="0"/>
              <w:left w:val="single" w:color="auto" w:sz="4" w:space="0"/>
              <w:right w:val="single" w:color="auto" w:sz="4" w:space="0"/>
            </w:tcBorders>
            <w:vAlign w:val="center"/>
          </w:tcPr>
          <w:p w14:paraId="2452CA84">
            <w:pPr>
              <w:snapToGrid w:val="0"/>
              <w:spacing w:line="400" w:lineRule="exact"/>
              <w:rPr>
                <w:rFonts w:hint="eastAsia" w:cs="宋体"/>
                <w:bCs/>
                <w:sz w:val="28"/>
                <w:szCs w:val="28"/>
              </w:rPr>
            </w:pPr>
            <w:r>
              <w:rPr>
                <w:rFonts w:hint="eastAsia" w:cs="宋体"/>
                <w:bCs/>
                <w:sz w:val="28"/>
                <w:szCs w:val="28"/>
              </w:rPr>
              <w:t>项目名称</w:t>
            </w:r>
          </w:p>
        </w:tc>
        <w:tc>
          <w:tcPr>
            <w:tcW w:w="1299" w:type="dxa"/>
            <w:tcBorders>
              <w:top w:val="single" w:color="auto" w:sz="4" w:space="0"/>
              <w:left w:val="single" w:color="auto" w:sz="4" w:space="0"/>
              <w:right w:val="single" w:color="auto" w:sz="4" w:space="0"/>
            </w:tcBorders>
            <w:vAlign w:val="center"/>
          </w:tcPr>
          <w:p w14:paraId="172FDEA1">
            <w:pPr>
              <w:snapToGrid w:val="0"/>
              <w:spacing w:line="400" w:lineRule="exact"/>
              <w:jc w:val="center"/>
              <w:rPr>
                <w:rFonts w:hint="eastAsia" w:cs="宋体"/>
                <w:bCs/>
                <w:sz w:val="28"/>
                <w:szCs w:val="28"/>
              </w:rPr>
            </w:pPr>
          </w:p>
        </w:tc>
      </w:tr>
      <w:tr w14:paraId="0C32D8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034" w:hRule="atLeast"/>
          <w:jc w:val="center"/>
        </w:trPr>
        <w:tc>
          <w:tcPr>
            <w:tcW w:w="1104" w:type="dxa"/>
            <w:tcBorders>
              <w:top w:val="single" w:color="auto" w:sz="4" w:space="0"/>
              <w:left w:val="single" w:color="auto" w:sz="4" w:space="0"/>
              <w:right w:val="single" w:color="auto" w:sz="4" w:space="0"/>
            </w:tcBorders>
            <w:vAlign w:val="center"/>
          </w:tcPr>
          <w:p w14:paraId="205C3C7E">
            <w:pPr>
              <w:snapToGrid w:val="0"/>
              <w:spacing w:line="400" w:lineRule="exact"/>
              <w:jc w:val="center"/>
              <w:rPr>
                <w:rFonts w:hint="eastAsia" w:cs="宋体"/>
                <w:bCs/>
                <w:sz w:val="28"/>
                <w:szCs w:val="28"/>
              </w:rPr>
            </w:pPr>
            <w:r>
              <w:rPr>
                <w:rFonts w:hint="eastAsia" w:cs="宋体"/>
                <w:bCs/>
                <w:sz w:val="28"/>
                <w:szCs w:val="28"/>
              </w:rPr>
              <w:t>2</w:t>
            </w:r>
          </w:p>
        </w:tc>
        <w:tc>
          <w:tcPr>
            <w:tcW w:w="2520" w:type="dxa"/>
            <w:tcBorders>
              <w:top w:val="single" w:color="auto" w:sz="4" w:space="0"/>
              <w:left w:val="single" w:color="auto" w:sz="4" w:space="0"/>
              <w:bottom w:val="single" w:color="auto" w:sz="4" w:space="0"/>
              <w:right w:val="single" w:color="auto" w:sz="4" w:space="0"/>
            </w:tcBorders>
            <w:vAlign w:val="center"/>
          </w:tcPr>
          <w:p w14:paraId="0D8981FF">
            <w:pPr>
              <w:snapToGrid w:val="0"/>
              <w:spacing w:line="400" w:lineRule="exact"/>
              <w:rPr>
                <w:rFonts w:hint="eastAsia" w:cs="宋体"/>
                <w:bCs/>
                <w:sz w:val="28"/>
                <w:szCs w:val="28"/>
              </w:rPr>
            </w:pPr>
            <w:r>
              <w:rPr>
                <w:rFonts w:hint="eastAsia" w:cs="宋体"/>
                <w:bCs/>
                <w:sz w:val="28"/>
                <w:szCs w:val="28"/>
              </w:rPr>
              <w:t>投标总价</w:t>
            </w:r>
          </w:p>
        </w:tc>
        <w:tc>
          <w:tcPr>
            <w:tcW w:w="4668" w:type="dxa"/>
            <w:tcBorders>
              <w:top w:val="single" w:color="auto" w:sz="4" w:space="0"/>
              <w:left w:val="single" w:color="auto" w:sz="4" w:space="0"/>
              <w:bottom w:val="single" w:color="auto" w:sz="4" w:space="0"/>
              <w:right w:val="single" w:color="auto" w:sz="4" w:space="0"/>
            </w:tcBorders>
            <w:vAlign w:val="center"/>
          </w:tcPr>
          <w:p w14:paraId="6F4CCD67">
            <w:pPr>
              <w:snapToGrid w:val="0"/>
              <w:spacing w:line="400" w:lineRule="exact"/>
              <w:rPr>
                <w:rFonts w:hint="eastAsia" w:cs="宋体"/>
                <w:bCs/>
                <w:sz w:val="28"/>
                <w:szCs w:val="28"/>
              </w:rPr>
            </w:pPr>
            <w:r>
              <w:rPr>
                <w:rFonts w:hint="eastAsia" w:cs="宋体"/>
                <w:bCs/>
                <w:sz w:val="28"/>
                <w:szCs w:val="28"/>
              </w:rPr>
              <w:t>小写：           元</w:t>
            </w:r>
          </w:p>
          <w:p w14:paraId="7070EA57">
            <w:pPr>
              <w:rPr>
                <w:rFonts w:hint="eastAsia"/>
              </w:rPr>
            </w:pPr>
            <w:r>
              <w:rPr>
                <w:rFonts w:hint="eastAsia" w:cs="宋体"/>
                <w:bCs/>
                <w:sz w:val="28"/>
                <w:szCs w:val="28"/>
              </w:rPr>
              <w:t>大写：           元</w:t>
            </w:r>
          </w:p>
        </w:tc>
        <w:tc>
          <w:tcPr>
            <w:tcW w:w="1299" w:type="dxa"/>
            <w:tcBorders>
              <w:top w:val="single" w:color="auto" w:sz="4" w:space="0"/>
              <w:left w:val="single" w:color="auto" w:sz="4" w:space="0"/>
              <w:bottom w:val="single" w:color="auto" w:sz="4" w:space="0"/>
              <w:right w:val="single" w:color="auto" w:sz="4" w:space="0"/>
            </w:tcBorders>
            <w:vAlign w:val="center"/>
          </w:tcPr>
          <w:p w14:paraId="36DB0A9C">
            <w:pPr>
              <w:snapToGrid w:val="0"/>
              <w:spacing w:line="400" w:lineRule="exact"/>
              <w:rPr>
                <w:rFonts w:hint="eastAsia" w:cs="宋体"/>
                <w:bCs/>
                <w:sz w:val="28"/>
                <w:szCs w:val="28"/>
              </w:rPr>
            </w:pPr>
          </w:p>
        </w:tc>
      </w:tr>
      <w:tr w14:paraId="2E749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1595E706">
            <w:pPr>
              <w:snapToGrid w:val="0"/>
              <w:spacing w:line="400" w:lineRule="exact"/>
              <w:jc w:val="center"/>
              <w:rPr>
                <w:rFonts w:hint="eastAsia" w:cs="宋体"/>
                <w:bCs/>
                <w:sz w:val="28"/>
                <w:szCs w:val="28"/>
              </w:rPr>
            </w:pPr>
            <w:r>
              <w:rPr>
                <w:rFonts w:hint="eastAsia" w:cs="宋体"/>
                <w:bCs/>
                <w:sz w:val="28"/>
                <w:szCs w:val="28"/>
              </w:rPr>
              <w:t>3</w:t>
            </w:r>
          </w:p>
        </w:tc>
        <w:tc>
          <w:tcPr>
            <w:tcW w:w="2520" w:type="dxa"/>
            <w:tcBorders>
              <w:top w:val="single" w:color="auto" w:sz="4" w:space="0"/>
              <w:left w:val="single" w:color="auto" w:sz="4" w:space="0"/>
              <w:bottom w:val="single" w:color="auto" w:sz="4" w:space="0"/>
              <w:right w:val="single" w:color="auto" w:sz="4" w:space="0"/>
            </w:tcBorders>
            <w:vAlign w:val="center"/>
          </w:tcPr>
          <w:p w14:paraId="32CC954A">
            <w:pPr>
              <w:snapToGrid w:val="0"/>
              <w:spacing w:line="400" w:lineRule="exact"/>
              <w:rPr>
                <w:rFonts w:hint="eastAsia" w:cs="宋体"/>
                <w:bCs/>
                <w:sz w:val="28"/>
                <w:szCs w:val="28"/>
                <w:u w:val="single"/>
              </w:rPr>
            </w:pPr>
            <w:r>
              <w:rPr>
                <w:rFonts w:hint="eastAsia" w:cs="宋体"/>
                <w:bCs/>
                <w:sz w:val="28"/>
                <w:szCs w:val="28"/>
              </w:rPr>
              <w:t>服务期限</w:t>
            </w:r>
          </w:p>
        </w:tc>
        <w:tc>
          <w:tcPr>
            <w:tcW w:w="4668" w:type="dxa"/>
            <w:tcBorders>
              <w:top w:val="single" w:color="auto" w:sz="4" w:space="0"/>
              <w:left w:val="single" w:color="auto" w:sz="4" w:space="0"/>
              <w:bottom w:val="single" w:color="auto" w:sz="4" w:space="0"/>
              <w:right w:val="single" w:color="auto" w:sz="4" w:space="0"/>
            </w:tcBorders>
            <w:vAlign w:val="center"/>
          </w:tcPr>
          <w:p w14:paraId="6D8815FE">
            <w:pPr>
              <w:snapToGrid w:val="0"/>
              <w:spacing w:line="400" w:lineRule="exact"/>
              <w:ind w:left="2559"/>
              <w:rPr>
                <w:rFonts w:hint="eastAsia" w:cs="宋体"/>
                <w:bCs/>
                <w:sz w:val="28"/>
                <w:szCs w:val="28"/>
                <w:u w:val="single"/>
              </w:rPr>
            </w:pPr>
          </w:p>
        </w:tc>
        <w:tc>
          <w:tcPr>
            <w:tcW w:w="1299" w:type="dxa"/>
            <w:tcBorders>
              <w:top w:val="single" w:color="auto" w:sz="4" w:space="0"/>
              <w:left w:val="single" w:color="auto" w:sz="4" w:space="0"/>
              <w:bottom w:val="single" w:color="auto" w:sz="4" w:space="0"/>
              <w:right w:val="single" w:color="auto" w:sz="4" w:space="0"/>
            </w:tcBorders>
            <w:vAlign w:val="center"/>
          </w:tcPr>
          <w:p w14:paraId="18C09083">
            <w:pPr>
              <w:snapToGrid w:val="0"/>
              <w:spacing w:line="400" w:lineRule="exact"/>
              <w:rPr>
                <w:rFonts w:hint="eastAsia" w:cs="宋体"/>
                <w:bCs/>
                <w:sz w:val="28"/>
                <w:szCs w:val="28"/>
                <w:u w:val="single"/>
              </w:rPr>
            </w:pPr>
          </w:p>
        </w:tc>
      </w:tr>
      <w:tr w14:paraId="4FF57C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4B29D7A4">
            <w:pPr>
              <w:snapToGrid w:val="0"/>
              <w:spacing w:line="400" w:lineRule="exact"/>
              <w:jc w:val="center"/>
              <w:rPr>
                <w:rFonts w:hint="eastAsia" w:cs="宋体"/>
                <w:bCs/>
                <w:sz w:val="28"/>
                <w:szCs w:val="28"/>
              </w:rPr>
            </w:pPr>
            <w:r>
              <w:rPr>
                <w:rFonts w:hint="eastAsia" w:cs="宋体"/>
                <w:bCs/>
                <w:sz w:val="28"/>
                <w:szCs w:val="28"/>
              </w:rPr>
              <w:t>4</w:t>
            </w:r>
          </w:p>
        </w:tc>
        <w:tc>
          <w:tcPr>
            <w:tcW w:w="2520" w:type="dxa"/>
            <w:tcBorders>
              <w:top w:val="single" w:color="auto" w:sz="4" w:space="0"/>
              <w:left w:val="single" w:color="auto" w:sz="4" w:space="0"/>
              <w:bottom w:val="single" w:color="auto" w:sz="4" w:space="0"/>
              <w:right w:val="single" w:color="auto" w:sz="4" w:space="0"/>
            </w:tcBorders>
            <w:vAlign w:val="center"/>
          </w:tcPr>
          <w:p w14:paraId="1F4293A9">
            <w:pPr>
              <w:snapToGrid w:val="0"/>
              <w:spacing w:line="400" w:lineRule="exact"/>
              <w:rPr>
                <w:rFonts w:hint="eastAsia" w:cs="宋体"/>
                <w:bCs/>
                <w:sz w:val="28"/>
                <w:szCs w:val="28"/>
              </w:rPr>
            </w:pPr>
            <w:r>
              <w:rPr>
                <w:rFonts w:hint="eastAsia" w:cs="宋体"/>
                <w:bCs/>
                <w:sz w:val="28"/>
                <w:szCs w:val="28"/>
              </w:rPr>
              <w:t>服务地点</w:t>
            </w:r>
          </w:p>
        </w:tc>
        <w:tc>
          <w:tcPr>
            <w:tcW w:w="4668" w:type="dxa"/>
            <w:tcBorders>
              <w:top w:val="single" w:color="auto" w:sz="4" w:space="0"/>
              <w:left w:val="single" w:color="auto" w:sz="4" w:space="0"/>
              <w:bottom w:val="single" w:color="auto" w:sz="4" w:space="0"/>
              <w:right w:val="single" w:color="auto" w:sz="4" w:space="0"/>
            </w:tcBorders>
          </w:tcPr>
          <w:p w14:paraId="58276F25">
            <w:pPr>
              <w:snapToGrid w:val="0"/>
              <w:spacing w:line="400" w:lineRule="exact"/>
              <w:rPr>
                <w:rFonts w:hint="eastAsia" w:cs="宋体"/>
                <w:bCs/>
                <w:sz w:val="28"/>
                <w:szCs w:val="28"/>
              </w:rPr>
            </w:pPr>
          </w:p>
        </w:tc>
        <w:tc>
          <w:tcPr>
            <w:tcW w:w="1299" w:type="dxa"/>
            <w:tcBorders>
              <w:top w:val="single" w:color="auto" w:sz="4" w:space="0"/>
              <w:left w:val="single" w:color="auto" w:sz="4" w:space="0"/>
              <w:bottom w:val="single" w:color="auto" w:sz="4" w:space="0"/>
              <w:right w:val="single" w:color="auto" w:sz="4" w:space="0"/>
            </w:tcBorders>
          </w:tcPr>
          <w:p w14:paraId="7BDFB37B">
            <w:pPr>
              <w:snapToGrid w:val="0"/>
              <w:spacing w:line="400" w:lineRule="exact"/>
              <w:rPr>
                <w:rFonts w:hint="eastAsia" w:cs="宋体"/>
                <w:bCs/>
                <w:sz w:val="28"/>
                <w:szCs w:val="28"/>
              </w:rPr>
            </w:pPr>
          </w:p>
        </w:tc>
      </w:tr>
      <w:tr w14:paraId="745037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17A6EC8E">
            <w:pPr>
              <w:snapToGrid w:val="0"/>
              <w:spacing w:line="400" w:lineRule="exact"/>
              <w:jc w:val="center"/>
              <w:rPr>
                <w:rFonts w:hint="eastAsia" w:cs="宋体"/>
                <w:bCs/>
                <w:sz w:val="28"/>
                <w:szCs w:val="28"/>
              </w:rPr>
            </w:pPr>
            <w:r>
              <w:rPr>
                <w:rFonts w:hint="eastAsia" w:cs="宋体"/>
                <w:bCs/>
                <w:sz w:val="28"/>
                <w:szCs w:val="28"/>
              </w:rPr>
              <w:t>5</w:t>
            </w:r>
          </w:p>
        </w:tc>
        <w:tc>
          <w:tcPr>
            <w:tcW w:w="2520" w:type="dxa"/>
            <w:tcBorders>
              <w:top w:val="single" w:color="auto" w:sz="4" w:space="0"/>
              <w:left w:val="single" w:color="auto" w:sz="4" w:space="0"/>
              <w:bottom w:val="single" w:color="auto" w:sz="4" w:space="0"/>
              <w:right w:val="single" w:color="auto" w:sz="4" w:space="0"/>
            </w:tcBorders>
            <w:vAlign w:val="center"/>
          </w:tcPr>
          <w:p w14:paraId="79CDC7C4">
            <w:pPr>
              <w:snapToGrid w:val="0"/>
              <w:spacing w:line="400" w:lineRule="exact"/>
              <w:rPr>
                <w:rFonts w:hint="eastAsia" w:cs="宋体"/>
                <w:bCs/>
                <w:sz w:val="28"/>
                <w:szCs w:val="28"/>
              </w:rPr>
            </w:pPr>
            <w:r>
              <w:rPr>
                <w:rFonts w:hint="eastAsia" w:cs="宋体"/>
                <w:bCs/>
                <w:sz w:val="28"/>
                <w:szCs w:val="28"/>
              </w:rPr>
              <w:t>负责人姓名</w:t>
            </w:r>
          </w:p>
          <w:p w14:paraId="6675B5A5">
            <w:pPr>
              <w:snapToGrid w:val="0"/>
              <w:spacing w:line="400" w:lineRule="exact"/>
              <w:rPr>
                <w:rFonts w:hint="eastAsia" w:cs="宋体"/>
                <w:bCs/>
                <w:sz w:val="28"/>
                <w:szCs w:val="28"/>
              </w:rPr>
            </w:pPr>
            <w:r>
              <w:rPr>
                <w:rFonts w:hint="eastAsia" w:cs="宋体"/>
                <w:bCs/>
                <w:sz w:val="28"/>
                <w:szCs w:val="28"/>
              </w:rPr>
              <w:t>专业职称</w:t>
            </w:r>
          </w:p>
        </w:tc>
        <w:tc>
          <w:tcPr>
            <w:tcW w:w="4668" w:type="dxa"/>
            <w:tcBorders>
              <w:top w:val="single" w:color="auto" w:sz="4" w:space="0"/>
              <w:left w:val="single" w:color="auto" w:sz="4" w:space="0"/>
              <w:bottom w:val="single" w:color="auto" w:sz="4" w:space="0"/>
              <w:right w:val="single" w:color="auto" w:sz="4" w:space="0"/>
            </w:tcBorders>
          </w:tcPr>
          <w:p w14:paraId="4CC65621">
            <w:pPr>
              <w:snapToGrid w:val="0"/>
              <w:spacing w:line="400" w:lineRule="exact"/>
              <w:rPr>
                <w:rFonts w:hint="eastAsia" w:cs="宋体"/>
                <w:bCs/>
                <w:sz w:val="28"/>
                <w:szCs w:val="28"/>
              </w:rPr>
            </w:pPr>
          </w:p>
        </w:tc>
        <w:tc>
          <w:tcPr>
            <w:tcW w:w="1299" w:type="dxa"/>
            <w:tcBorders>
              <w:top w:val="single" w:color="auto" w:sz="4" w:space="0"/>
              <w:left w:val="single" w:color="auto" w:sz="4" w:space="0"/>
              <w:bottom w:val="single" w:color="auto" w:sz="4" w:space="0"/>
              <w:right w:val="single" w:color="auto" w:sz="4" w:space="0"/>
            </w:tcBorders>
          </w:tcPr>
          <w:p w14:paraId="6FE30BFF">
            <w:pPr>
              <w:snapToGrid w:val="0"/>
              <w:spacing w:line="400" w:lineRule="exact"/>
              <w:rPr>
                <w:rFonts w:hint="eastAsia" w:cs="宋体"/>
                <w:bCs/>
                <w:sz w:val="28"/>
                <w:szCs w:val="28"/>
              </w:rPr>
            </w:pPr>
          </w:p>
        </w:tc>
      </w:tr>
      <w:tr w14:paraId="17662A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1104" w:type="dxa"/>
            <w:tcBorders>
              <w:top w:val="single" w:color="auto" w:sz="4" w:space="0"/>
              <w:left w:val="single" w:color="auto" w:sz="4" w:space="0"/>
              <w:bottom w:val="single" w:color="auto" w:sz="4" w:space="0"/>
              <w:right w:val="single" w:color="auto" w:sz="4" w:space="0"/>
            </w:tcBorders>
            <w:vAlign w:val="center"/>
          </w:tcPr>
          <w:p w14:paraId="447EC73B">
            <w:pPr>
              <w:snapToGrid w:val="0"/>
              <w:spacing w:line="400" w:lineRule="exact"/>
              <w:jc w:val="center"/>
              <w:rPr>
                <w:rFonts w:hint="eastAsia" w:cs="宋体"/>
                <w:bCs/>
                <w:sz w:val="28"/>
                <w:szCs w:val="28"/>
              </w:rPr>
            </w:pPr>
            <w:r>
              <w:rPr>
                <w:rFonts w:hint="eastAsia" w:cs="宋体"/>
                <w:bCs/>
                <w:sz w:val="28"/>
                <w:szCs w:val="28"/>
              </w:rPr>
              <w:t>6</w:t>
            </w:r>
          </w:p>
        </w:tc>
        <w:tc>
          <w:tcPr>
            <w:tcW w:w="2520" w:type="dxa"/>
            <w:tcBorders>
              <w:top w:val="single" w:color="auto" w:sz="4" w:space="0"/>
              <w:left w:val="single" w:color="auto" w:sz="4" w:space="0"/>
              <w:bottom w:val="single" w:color="auto" w:sz="4" w:space="0"/>
              <w:right w:val="single" w:color="auto" w:sz="4" w:space="0"/>
            </w:tcBorders>
            <w:vAlign w:val="center"/>
          </w:tcPr>
          <w:p w14:paraId="4EAE0291">
            <w:pPr>
              <w:snapToGrid w:val="0"/>
              <w:spacing w:line="400" w:lineRule="exact"/>
              <w:rPr>
                <w:rFonts w:hint="eastAsia" w:cs="宋体"/>
                <w:bCs/>
                <w:sz w:val="28"/>
                <w:szCs w:val="28"/>
              </w:rPr>
            </w:pPr>
            <w:r>
              <w:rPr>
                <w:rFonts w:hint="eastAsia" w:cs="宋体"/>
                <w:bCs/>
                <w:sz w:val="28"/>
                <w:szCs w:val="28"/>
              </w:rPr>
              <w:t>其他事项申明</w:t>
            </w:r>
          </w:p>
        </w:tc>
        <w:tc>
          <w:tcPr>
            <w:tcW w:w="4668" w:type="dxa"/>
            <w:tcBorders>
              <w:top w:val="single" w:color="auto" w:sz="4" w:space="0"/>
              <w:left w:val="single" w:color="auto" w:sz="4" w:space="0"/>
              <w:bottom w:val="single" w:color="auto" w:sz="4" w:space="0"/>
              <w:right w:val="single" w:color="auto" w:sz="4" w:space="0"/>
            </w:tcBorders>
          </w:tcPr>
          <w:p w14:paraId="04A5503E">
            <w:pPr>
              <w:snapToGrid w:val="0"/>
              <w:spacing w:line="400" w:lineRule="exact"/>
              <w:rPr>
                <w:rFonts w:hint="eastAsia" w:cs="宋体"/>
                <w:bCs/>
                <w:sz w:val="28"/>
                <w:szCs w:val="28"/>
              </w:rPr>
            </w:pPr>
          </w:p>
        </w:tc>
        <w:tc>
          <w:tcPr>
            <w:tcW w:w="1299" w:type="dxa"/>
            <w:tcBorders>
              <w:top w:val="single" w:color="auto" w:sz="4" w:space="0"/>
              <w:left w:val="single" w:color="auto" w:sz="4" w:space="0"/>
              <w:bottom w:val="single" w:color="auto" w:sz="4" w:space="0"/>
              <w:right w:val="single" w:color="auto" w:sz="4" w:space="0"/>
            </w:tcBorders>
          </w:tcPr>
          <w:p w14:paraId="55040CA6">
            <w:pPr>
              <w:snapToGrid w:val="0"/>
              <w:spacing w:line="400" w:lineRule="exact"/>
              <w:rPr>
                <w:rFonts w:hint="eastAsia" w:cs="宋体"/>
                <w:bCs/>
                <w:sz w:val="28"/>
                <w:szCs w:val="28"/>
              </w:rPr>
            </w:pPr>
          </w:p>
        </w:tc>
      </w:tr>
    </w:tbl>
    <w:p w14:paraId="456618D8">
      <w:pPr>
        <w:spacing w:line="300" w:lineRule="auto"/>
        <w:rPr>
          <w:rFonts w:ascii="Arial" w:hAnsi="Arial" w:cs="Arial"/>
          <w:szCs w:val="21"/>
          <w:u w:val="single"/>
        </w:rPr>
      </w:pPr>
    </w:p>
    <w:p w14:paraId="78D3DDF2">
      <w:pPr>
        <w:spacing w:line="300" w:lineRule="auto"/>
        <w:rPr>
          <w:rFonts w:ascii="Arial" w:hAnsi="Arial" w:cs="Arial"/>
          <w:szCs w:val="21"/>
        </w:rPr>
      </w:pPr>
      <w:r>
        <w:rPr>
          <w:rFonts w:ascii="Arial" w:hAnsi="Arial" w:cs="Arial"/>
          <w:szCs w:val="21"/>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Arial" w:hAnsi="Arial" w:cs="Arial"/>
          <w:szCs w:val="21"/>
        </w:rPr>
        <w:t>：</w:t>
      </w:r>
    </w:p>
    <w:p w14:paraId="72F6980E">
      <w:pPr>
        <w:spacing w:line="300" w:lineRule="auto"/>
        <w:rPr>
          <w:rFonts w:hint="eastAsia" w:cs="Arial"/>
          <w:szCs w:val="24"/>
        </w:rPr>
      </w:pPr>
      <w:r>
        <w:rPr>
          <w:rFonts w:ascii="Arial" w:hAnsi="Arial" w:cs="Arial"/>
          <w:szCs w:val="21"/>
        </w:rPr>
        <w:t>日期：</w:t>
      </w:r>
    </w:p>
    <w:p w14:paraId="793436C3">
      <w:pPr>
        <w:pStyle w:val="2"/>
        <w:rPr>
          <w:rFonts w:hint="eastAsia" w:cs="Arial"/>
        </w:rPr>
      </w:pPr>
    </w:p>
    <w:p w14:paraId="6325C369">
      <w:pPr>
        <w:rPr>
          <w:rFonts w:hint="eastAsia" w:cs="宋体"/>
          <w:b/>
          <w:sz w:val="21"/>
          <w:szCs w:val="21"/>
        </w:rPr>
      </w:pPr>
      <w:r>
        <w:rPr>
          <w:rFonts w:hint="eastAsia" w:cs="宋体"/>
          <w:b/>
          <w:sz w:val="21"/>
          <w:szCs w:val="21"/>
        </w:rPr>
        <w:t>注：</w:t>
      </w:r>
    </w:p>
    <w:p w14:paraId="3AC674A0">
      <w:pPr>
        <w:ind w:firstLine="435"/>
        <w:rPr>
          <w:rFonts w:hint="eastAsia" w:cs="宋体"/>
          <w:sz w:val="21"/>
          <w:szCs w:val="21"/>
        </w:rPr>
      </w:pPr>
      <w:r>
        <w:rPr>
          <w:rFonts w:hint="eastAsia" w:cs="宋体"/>
          <w:sz w:val="21"/>
          <w:szCs w:val="21"/>
        </w:rPr>
        <w:t>1.此表用于开标唱标之用。</w:t>
      </w:r>
    </w:p>
    <w:p w14:paraId="6A750406">
      <w:pPr>
        <w:ind w:firstLine="435"/>
        <w:rPr>
          <w:rFonts w:hint="eastAsia" w:cs="宋体"/>
          <w:sz w:val="21"/>
          <w:szCs w:val="21"/>
        </w:rPr>
      </w:pPr>
      <w:r>
        <w:rPr>
          <w:rFonts w:hint="eastAsia" w:cs="宋体"/>
          <w:sz w:val="21"/>
          <w:szCs w:val="21"/>
        </w:rPr>
        <w:t>2.表中投标报价即为优惠后报价，并作为评审及定标依据。任何有选择或有条件的投标报价，或者表中某一包填写多个报价，均为无效报价。</w:t>
      </w:r>
    </w:p>
    <w:p w14:paraId="26285B95">
      <w:pPr>
        <w:pStyle w:val="2"/>
        <w:ind w:firstLine="420" w:firstLineChars="200"/>
        <w:rPr>
          <w:rFonts w:hint="eastAsia" w:eastAsia="宋体" w:cs="宋体"/>
          <w:sz w:val="24"/>
        </w:rPr>
        <w:sectPr>
          <w:headerReference r:id="rId7" w:type="default"/>
          <w:footerReference r:id="rId8" w:type="default"/>
          <w:pgSz w:w="11905" w:h="16840"/>
          <w:pgMar w:top="1440" w:right="1797" w:bottom="1440" w:left="1797" w:header="851" w:footer="850" w:gutter="0"/>
          <w:pgNumType w:fmt="numberInDash"/>
          <w:cols w:space="720" w:num="1"/>
        </w:sectPr>
      </w:pPr>
      <w:r>
        <w:rPr>
          <w:rFonts w:hint="eastAsia" w:eastAsia="宋体" w:cs="宋体"/>
          <w:szCs w:val="21"/>
        </w:rPr>
        <w:t>3.表中大写与小写不一致的，以大写为准。</w:t>
      </w:r>
    </w:p>
    <w:p w14:paraId="754E3134">
      <w:pPr>
        <w:pStyle w:val="4"/>
        <w:spacing w:before="100" w:after="100" w:line="360" w:lineRule="auto"/>
        <w:ind w:left="420" w:hanging="420"/>
        <w:jc w:val="center"/>
        <w:rPr>
          <w:rFonts w:hint="eastAsia"/>
        </w:rPr>
      </w:pPr>
      <w:bookmarkStart w:id="660" w:name="_Toc19342"/>
      <w:bookmarkStart w:id="661" w:name="_Toc12971"/>
      <w:r>
        <w:rPr>
          <w:rFonts w:hint="eastAsia"/>
        </w:rPr>
        <w:t>二、分项报价表</w:t>
      </w:r>
      <w:bookmarkEnd w:id="660"/>
      <w:bookmarkEnd w:id="661"/>
    </w:p>
    <w:p w14:paraId="53C27C12">
      <w:pPr>
        <w:rPr>
          <w:rFonts w:hint="eastAsia"/>
          <w:bCs/>
          <w:szCs w:val="21"/>
          <w:lang w:val="zh-CN"/>
        </w:rPr>
      </w:pPr>
      <w:r>
        <w:rPr>
          <w:rFonts w:hint="eastAsia"/>
          <w:bCs/>
          <w:szCs w:val="21"/>
          <w:lang w:val="zh-CN"/>
        </w:rPr>
        <w:t>项目名称：</w:t>
      </w:r>
      <w:r>
        <w:rPr>
          <w:rFonts w:hint="eastAsia"/>
          <w:bCs/>
          <w:szCs w:val="21"/>
          <w:u w:val="single"/>
          <w:lang w:val="zh-CN"/>
        </w:rPr>
        <w:t xml:space="preserve">                  </w:t>
      </w:r>
      <w:r>
        <w:rPr>
          <w:rFonts w:hint="eastAsia"/>
          <w:bCs/>
          <w:szCs w:val="21"/>
          <w:u w:val="single"/>
        </w:rPr>
        <w:t xml:space="preserve">     </w:t>
      </w:r>
      <w:r>
        <w:rPr>
          <w:rFonts w:hint="eastAsia"/>
          <w:bCs/>
          <w:szCs w:val="21"/>
          <w:u w:val="single"/>
          <w:lang w:val="zh-CN"/>
        </w:rPr>
        <w:t xml:space="preserve">   </w:t>
      </w:r>
    </w:p>
    <w:p w14:paraId="671E92D5">
      <w:pPr>
        <w:rPr>
          <w:rFonts w:hint="eastAsia"/>
          <w:bCs/>
          <w:szCs w:val="21"/>
          <w:u w:val="single"/>
          <w:lang w:val="zh-CN"/>
        </w:rPr>
      </w:pPr>
      <w:r>
        <w:rPr>
          <w:rFonts w:hint="eastAsia"/>
          <w:bCs/>
          <w:szCs w:val="21"/>
          <w:lang w:val="zh-CN"/>
        </w:rPr>
        <w:t>项目编号</w:t>
      </w:r>
      <w:r>
        <w:rPr>
          <w:rFonts w:hint="eastAsia"/>
          <w:bCs/>
          <w:szCs w:val="21"/>
        </w:rPr>
        <w:t>/</w:t>
      </w:r>
      <w:r>
        <w:rPr>
          <w:rFonts w:hint="eastAsia"/>
          <w:bCs/>
          <w:szCs w:val="21"/>
          <w:lang w:val="zh-CN"/>
        </w:rPr>
        <w:t>包号：</w:t>
      </w:r>
      <w:r>
        <w:rPr>
          <w:rFonts w:hint="eastAsia"/>
          <w:bCs/>
          <w:szCs w:val="21"/>
          <w:u w:val="single"/>
          <w:lang w:val="zh-CN"/>
        </w:rPr>
        <w:t xml:space="preserve">                     </w:t>
      </w:r>
    </w:p>
    <w:tbl>
      <w:tblPr>
        <w:tblStyle w:val="31"/>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35B7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1AF3DC7C">
            <w:pPr>
              <w:adjustRightInd w:val="0"/>
              <w:snapToGrid w:val="0"/>
              <w:spacing w:line="240" w:lineRule="auto"/>
              <w:jc w:val="center"/>
              <w:rPr>
                <w:rFonts w:hint="eastAsia" w:cs="宋体"/>
                <w:sz w:val="21"/>
                <w:szCs w:val="21"/>
              </w:rPr>
            </w:pPr>
            <w:r>
              <w:rPr>
                <w:rFonts w:hint="eastAsia" w:cs="宋体"/>
                <w:sz w:val="21"/>
                <w:szCs w:val="21"/>
              </w:rPr>
              <w:t>序号</w:t>
            </w:r>
          </w:p>
        </w:tc>
        <w:tc>
          <w:tcPr>
            <w:tcW w:w="3720" w:type="dxa"/>
            <w:vAlign w:val="center"/>
          </w:tcPr>
          <w:p w14:paraId="185E3221">
            <w:pPr>
              <w:adjustRightInd w:val="0"/>
              <w:snapToGrid w:val="0"/>
              <w:spacing w:line="240" w:lineRule="auto"/>
              <w:jc w:val="center"/>
              <w:rPr>
                <w:rFonts w:hint="eastAsia" w:cs="宋体"/>
                <w:sz w:val="21"/>
                <w:szCs w:val="21"/>
              </w:rPr>
            </w:pPr>
            <w:r>
              <w:rPr>
                <w:rFonts w:hint="eastAsia" w:cs="宋体"/>
                <w:sz w:val="21"/>
                <w:szCs w:val="21"/>
              </w:rPr>
              <w:t>名称</w:t>
            </w:r>
          </w:p>
        </w:tc>
        <w:tc>
          <w:tcPr>
            <w:tcW w:w="1065" w:type="dxa"/>
            <w:vAlign w:val="center"/>
          </w:tcPr>
          <w:p w14:paraId="70B5CE7D">
            <w:pPr>
              <w:adjustRightInd w:val="0"/>
              <w:snapToGrid w:val="0"/>
              <w:spacing w:line="240" w:lineRule="auto"/>
              <w:jc w:val="center"/>
              <w:rPr>
                <w:rFonts w:hint="eastAsia" w:cs="宋体"/>
                <w:sz w:val="21"/>
                <w:szCs w:val="21"/>
              </w:rPr>
            </w:pPr>
            <w:r>
              <w:rPr>
                <w:rFonts w:hint="eastAsia" w:cs="宋体"/>
                <w:sz w:val="21"/>
                <w:szCs w:val="21"/>
              </w:rPr>
              <w:t>数量</w:t>
            </w:r>
          </w:p>
        </w:tc>
        <w:tc>
          <w:tcPr>
            <w:tcW w:w="1065" w:type="dxa"/>
            <w:vAlign w:val="center"/>
          </w:tcPr>
          <w:p w14:paraId="09BF7B96">
            <w:pPr>
              <w:adjustRightInd w:val="0"/>
              <w:snapToGrid w:val="0"/>
              <w:spacing w:line="240" w:lineRule="auto"/>
              <w:jc w:val="center"/>
              <w:rPr>
                <w:rFonts w:hint="eastAsia" w:cs="宋体"/>
                <w:sz w:val="21"/>
                <w:szCs w:val="21"/>
              </w:rPr>
            </w:pPr>
            <w:r>
              <w:rPr>
                <w:rFonts w:hint="eastAsia" w:cs="宋体"/>
                <w:sz w:val="21"/>
                <w:szCs w:val="21"/>
              </w:rPr>
              <w:t>单价（元）</w:t>
            </w:r>
          </w:p>
        </w:tc>
        <w:tc>
          <w:tcPr>
            <w:tcW w:w="1066" w:type="dxa"/>
            <w:vAlign w:val="center"/>
          </w:tcPr>
          <w:p w14:paraId="11F4EBCF">
            <w:pPr>
              <w:adjustRightInd w:val="0"/>
              <w:snapToGrid w:val="0"/>
              <w:spacing w:line="240" w:lineRule="auto"/>
              <w:jc w:val="center"/>
              <w:rPr>
                <w:rFonts w:hint="eastAsia" w:cs="宋体"/>
                <w:sz w:val="21"/>
                <w:szCs w:val="21"/>
              </w:rPr>
            </w:pPr>
            <w:r>
              <w:rPr>
                <w:rFonts w:hint="eastAsia" w:cs="宋体"/>
                <w:sz w:val="21"/>
                <w:szCs w:val="21"/>
              </w:rPr>
              <w:t>合价（元）</w:t>
            </w:r>
          </w:p>
        </w:tc>
        <w:tc>
          <w:tcPr>
            <w:tcW w:w="947" w:type="dxa"/>
            <w:vAlign w:val="center"/>
          </w:tcPr>
          <w:p w14:paraId="7C070E28">
            <w:pPr>
              <w:adjustRightInd w:val="0"/>
              <w:snapToGrid w:val="0"/>
              <w:spacing w:line="240" w:lineRule="auto"/>
              <w:jc w:val="center"/>
              <w:rPr>
                <w:rFonts w:hint="eastAsia" w:cs="宋体"/>
                <w:sz w:val="21"/>
                <w:szCs w:val="21"/>
              </w:rPr>
            </w:pPr>
            <w:r>
              <w:rPr>
                <w:rFonts w:hint="eastAsia" w:cs="宋体"/>
                <w:sz w:val="21"/>
                <w:szCs w:val="21"/>
              </w:rPr>
              <w:t>备注</w:t>
            </w:r>
          </w:p>
        </w:tc>
      </w:tr>
      <w:tr w14:paraId="7D9E7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A0554AB">
            <w:pPr>
              <w:adjustRightInd w:val="0"/>
              <w:snapToGrid w:val="0"/>
              <w:spacing w:line="240" w:lineRule="auto"/>
              <w:jc w:val="center"/>
              <w:rPr>
                <w:rFonts w:hint="eastAsia" w:cs="宋体"/>
                <w:sz w:val="21"/>
                <w:szCs w:val="21"/>
              </w:rPr>
            </w:pPr>
            <w:r>
              <w:rPr>
                <w:rFonts w:hint="eastAsia" w:cs="宋体"/>
                <w:sz w:val="21"/>
                <w:szCs w:val="21"/>
              </w:rPr>
              <w:t>1</w:t>
            </w:r>
          </w:p>
        </w:tc>
        <w:tc>
          <w:tcPr>
            <w:tcW w:w="3720" w:type="dxa"/>
            <w:vAlign w:val="center"/>
          </w:tcPr>
          <w:p w14:paraId="498DF019">
            <w:pPr>
              <w:adjustRightInd w:val="0"/>
              <w:snapToGrid w:val="0"/>
              <w:spacing w:line="240" w:lineRule="auto"/>
              <w:jc w:val="center"/>
              <w:rPr>
                <w:rFonts w:hint="eastAsia" w:cs="宋体"/>
                <w:sz w:val="21"/>
                <w:szCs w:val="21"/>
              </w:rPr>
            </w:pPr>
          </w:p>
        </w:tc>
        <w:tc>
          <w:tcPr>
            <w:tcW w:w="1065" w:type="dxa"/>
            <w:vAlign w:val="center"/>
          </w:tcPr>
          <w:p w14:paraId="6540CFF6">
            <w:pPr>
              <w:adjustRightInd w:val="0"/>
              <w:snapToGrid w:val="0"/>
              <w:spacing w:line="240" w:lineRule="auto"/>
              <w:jc w:val="center"/>
              <w:rPr>
                <w:rFonts w:hint="eastAsia" w:cs="宋体"/>
                <w:sz w:val="21"/>
                <w:szCs w:val="21"/>
              </w:rPr>
            </w:pPr>
          </w:p>
        </w:tc>
        <w:tc>
          <w:tcPr>
            <w:tcW w:w="1065" w:type="dxa"/>
            <w:vAlign w:val="center"/>
          </w:tcPr>
          <w:p w14:paraId="02770B41">
            <w:pPr>
              <w:adjustRightInd w:val="0"/>
              <w:snapToGrid w:val="0"/>
              <w:spacing w:line="240" w:lineRule="auto"/>
              <w:jc w:val="center"/>
              <w:rPr>
                <w:rFonts w:hint="eastAsia" w:cs="宋体"/>
                <w:sz w:val="21"/>
                <w:szCs w:val="21"/>
              </w:rPr>
            </w:pPr>
          </w:p>
        </w:tc>
        <w:tc>
          <w:tcPr>
            <w:tcW w:w="1066" w:type="dxa"/>
            <w:vAlign w:val="center"/>
          </w:tcPr>
          <w:p w14:paraId="2BF76BE5">
            <w:pPr>
              <w:adjustRightInd w:val="0"/>
              <w:snapToGrid w:val="0"/>
              <w:spacing w:line="240" w:lineRule="auto"/>
              <w:jc w:val="center"/>
              <w:rPr>
                <w:rFonts w:hint="eastAsia" w:cs="宋体"/>
                <w:sz w:val="21"/>
                <w:szCs w:val="21"/>
              </w:rPr>
            </w:pPr>
          </w:p>
        </w:tc>
        <w:tc>
          <w:tcPr>
            <w:tcW w:w="947" w:type="dxa"/>
            <w:vAlign w:val="center"/>
          </w:tcPr>
          <w:p w14:paraId="4DF2FB45">
            <w:pPr>
              <w:adjustRightInd w:val="0"/>
              <w:snapToGrid w:val="0"/>
              <w:spacing w:line="240" w:lineRule="auto"/>
              <w:jc w:val="center"/>
              <w:rPr>
                <w:rFonts w:hint="eastAsia" w:cs="宋体"/>
                <w:sz w:val="21"/>
                <w:szCs w:val="21"/>
              </w:rPr>
            </w:pPr>
          </w:p>
        </w:tc>
      </w:tr>
      <w:tr w14:paraId="741F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34A50FE">
            <w:pPr>
              <w:adjustRightInd w:val="0"/>
              <w:snapToGrid w:val="0"/>
              <w:spacing w:line="240" w:lineRule="auto"/>
              <w:jc w:val="center"/>
              <w:rPr>
                <w:rFonts w:hint="eastAsia" w:cs="宋体"/>
                <w:sz w:val="21"/>
                <w:szCs w:val="21"/>
              </w:rPr>
            </w:pPr>
            <w:r>
              <w:rPr>
                <w:rFonts w:hint="eastAsia" w:cs="宋体"/>
                <w:sz w:val="21"/>
                <w:szCs w:val="21"/>
              </w:rPr>
              <w:t>2</w:t>
            </w:r>
          </w:p>
        </w:tc>
        <w:tc>
          <w:tcPr>
            <w:tcW w:w="3720" w:type="dxa"/>
            <w:vAlign w:val="center"/>
          </w:tcPr>
          <w:p w14:paraId="1511F253">
            <w:pPr>
              <w:adjustRightInd w:val="0"/>
              <w:snapToGrid w:val="0"/>
              <w:spacing w:line="240" w:lineRule="auto"/>
              <w:jc w:val="center"/>
              <w:rPr>
                <w:rFonts w:hint="eastAsia" w:cs="宋体"/>
                <w:sz w:val="21"/>
                <w:szCs w:val="21"/>
              </w:rPr>
            </w:pPr>
          </w:p>
        </w:tc>
        <w:tc>
          <w:tcPr>
            <w:tcW w:w="1065" w:type="dxa"/>
            <w:vAlign w:val="center"/>
          </w:tcPr>
          <w:p w14:paraId="6C8A09A8">
            <w:pPr>
              <w:adjustRightInd w:val="0"/>
              <w:snapToGrid w:val="0"/>
              <w:spacing w:line="240" w:lineRule="auto"/>
              <w:jc w:val="center"/>
              <w:rPr>
                <w:rFonts w:hint="eastAsia" w:cs="宋体"/>
                <w:sz w:val="21"/>
                <w:szCs w:val="21"/>
              </w:rPr>
            </w:pPr>
          </w:p>
        </w:tc>
        <w:tc>
          <w:tcPr>
            <w:tcW w:w="1065" w:type="dxa"/>
            <w:vAlign w:val="center"/>
          </w:tcPr>
          <w:p w14:paraId="06A15205">
            <w:pPr>
              <w:adjustRightInd w:val="0"/>
              <w:snapToGrid w:val="0"/>
              <w:spacing w:line="240" w:lineRule="auto"/>
              <w:jc w:val="center"/>
              <w:rPr>
                <w:rFonts w:hint="eastAsia" w:cs="宋体"/>
                <w:sz w:val="21"/>
                <w:szCs w:val="21"/>
              </w:rPr>
            </w:pPr>
          </w:p>
        </w:tc>
        <w:tc>
          <w:tcPr>
            <w:tcW w:w="1066" w:type="dxa"/>
            <w:vAlign w:val="center"/>
          </w:tcPr>
          <w:p w14:paraId="75D43127">
            <w:pPr>
              <w:adjustRightInd w:val="0"/>
              <w:snapToGrid w:val="0"/>
              <w:spacing w:line="240" w:lineRule="auto"/>
              <w:jc w:val="center"/>
              <w:rPr>
                <w:rFonts w:hint="eastAsia" w:cs="宋体"/>
                <w:sz w:val="21"/>
                <w:szCs w:val="21"/>
              </w:rPr>
            </w:pPr>
          </w:p>
        </w:tc>
        <w:tc>
          <w:tcPr>
            <w:tcW w:w="947" w:type="dxa"/>
            <w:vAlign w:val="center"/>
          </w:tcPr>
          <w:p w14:paraId="686E8CDE">
            <w:pPr>
              <w:adjustRightInd w:val="0"/>
              <w:snapToGrid w:val="0"/>
              <w:spacing w:line="240" w:lineRule="auto"/>
              <w:jc w:val="center"/>
              <w:rPr>
                <w:rFonts w:hint="eastAsia" w:cs="宋体"/>
                <w:sz w:val="21"/>
                <w:szCs w:val="21"/>
              </w:rPr>
            </w:pPr>
          </w:p>
        </w:tc>
      </w:tr>
      <w:tr w14:paraId="6852E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5BB4537">
            <w:pPr>
              <w:adjustRightInd w:val="0"/>
              <w:snapToGrid w:val="0"/>
              <w:spacing w:line="240" w:lineRule="auto"/>
              <w:jc w:val="center"/>
              <w:rPr>
                <w:rFonts w:hint="eastAsia" w:cs="宋体"/>
                <w:sz w:val="21"/>
                <w:szCs w:val="21"/>
              </w:rPr>
            </w:pPr>
            <w:r>
              <w:rPr>
                <w:rFonts w:hint="eastAsia" w:cs="宋体"/>
                <w:sz w:val="21"/>
                <w:szCs w:val="21"/>
              </w:rPr>
              <w:t>3</w:t>
            </w:r>
          </w:p>
        </w:tc>
        <w:tc>
          <w:tcPr>
            <w:tcW w:w="3720" w:type="dxa"/>
            <w:vAlign w:val="center"/>
          </w:tcPr>
          <w:p w14:paraId="5C5B3C4D">
            <w:pPr>
              <w:adjustRightInd w:val="0"/>
              <w:snapToGrid w:val="0"/>
              <w:spacing w:line="240" w:lineRule="auto"/>
              <w:jc w:val="center"/>
              <w:rPr>
                <w:rFonts w:hint="eastAsia" w:cs="宋体"/>
                <w:sz w:val="21"/>
                <w:szCs w:val="21"/>
              </w:rPr>
            </w:pPr>
          </w:p>
        </w:tc>
        <w:tc>
          <w:tcPr>
            <w:tcW w:w="1065" w:type="dxa"/>
            <w:vAlign w:val="center"/>
          </w:tcPr>
          <w:p w14:paraId="33253056">
            <w:pPr>
              <w:adjustRightInd w:val="0"/>
              <w:snapToGrid w:val="0"/>
              <w:spacing w:line="240" w:lineRule="auto"/>
              <w:jc w:val="center"/>
              <w:rPr>
                <w:rFonts w:hint="eastAsia" w:cs="宋体"/>
                <w:sz w:val="21"/>
                <w:szCs w:val="21"/>
              </w:rPr>
            </w:pPr>
          </w:p>
        </w:tc>
        <w:tc>
          <w:tcPr>
            <w:tcW w:w="1065" w:type="dxa"/>
            <w:vAlign w:val="center"/>
          </w:tcPr>
          <w:p w14:paraId="34BC2F54">
            <w:pPr>
              <w:adjustRightInd w:val="0"/>
              <w:snapToGrid w:val="0"/>
              <w:spacing w:line="240" w:lineRule="auto"/>
              <w:jc w:val="center"/>
              <w:rPr>
                <w:rFonts w:hint="eastAsia" w:cs="宋体"/>
                <w:sz w:val="21"/>
                <w:szCs w:val="21"/>
              </w:rPr>
            </w:pPr>
          </w:p>
        </w:tc>
        <w:tc>
          <w:tcPr>
            <w:tcW w:w="1066" w:type="dxa"/>
            <w:vAlign w:val="center"/>
          </w:tcPr>
          <w:p w14:paraId="32708C6C">
            <w:pPr>
              <w:adjustRightInd w:val="0"/>
              <w:snapToGrid w:val="0"/>
              <w:spacing w:line="240" w:lineRule="auto"/>
              <w:jc w:val="center"/>
              <w:rPr>
                <w:rFonts w:hint="eastAsia" w:cs="宋体"/>
                <w:sz w:val="21"/>
                <w:szCs w:val="21"/>
              </w:rPr>
            </w:pPr>
          </w:p>
        </w:tc>
        <w:tc>
          <w:tcPr>
            <w:tcW w:w="947" w:type="dxa"/>
            <w:vAlign w:val="center"/>
          </w:tcPr>
          <w:p w14:paraId="22C7DC16">
            <w:pPr>
              <w:adjustRightInd w:val="0"/>
              <w:snapToGrid w:val="0"/>
              <w:spacing w:line="240" w:lineRule="auto"/>
              <w:jc w:val="center"/>
              <w:rPr>
                <w:rFonts w:hint="eastAsia" w:cs="宋体"/>
                <w:sz w:val="21"/>
                <w:szCs w:val="21"/>
              </w:rPr>
            </w:pPr>
          </w:p>
        </w:tc>
      </w:tr>
      <w:tr w14:paraId="7C1C0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011CCE9">
            <w:pPr>
              <w:adjustRightInd w:val="0"/>
              <w:snapToGrid w:val="0"/>
              <w:spacing w:line="240" w:lineRule="auto"/>
              <w:jc w:val="center"/>
              <w:rPr>
                <w:rFonts w:hint="eastAsia" w:cs="宋体"/>
                <w:sz w:val="21"/>
                <w:szCs w:val="21"/>
              </w:rPr>
            </w:pPr>
            <w:r>
              <w:rPr>
                <w:rFonts w:hint="eastAsia" w:cs="宋体"/>
                <w:sz w:val="21"/>
                <w:szCs w:val="21"/>
              </w:rPr>
              <w:t>4</w:t>
            </w:r>
          </w:p>
        </w:tc>
        <w:tc>
          <w:tcPr>
            <w:tcW w:w="3720" w:type="dxa"/>
            <w:vAlign w:val="center"/>
          </w:tcPr>
          <w:p w14:paraId="55EEF4A3">
            <w:pPr>
              <w:adjustRightInd w:val="0"/>
              <w:snapToGrid w:val="0"/>
              <w:spacing w:line="240" w:lineRule="auto"/>
              <w:jc w:val="center"/>
              <w:rPr>
                <w:rFonts w:hint="eastAsia" w:cs="宋体"/>
                <w:sz w:val="21"/>
                <w:szCs w:val="21"/>
              </w:rPr>
            </w:pPr>
          </w:p>
        </w:tc>
        <w:tc>
          <w:tcPr>
            <w:tcW w:w="1065" w:type="dxa"/>
            <w:vAlign w:val="center"/>
          </w:tcPr>
          <w:p w14:paraId="4B2C03EE">
            <w:pPr>
              <w:adjustRightInd w:val="0"/>
              <w:snapToGrid w:val="0"/>
              <w:spacing w:line="240" w:lineRule="auto"/>
              <w:jc w:val="center"/>
              <w:rPr>
                <w:rFonts w:hint="eastAsia" w:cs="宋体"/>
                <w:sz w:val="21"/>
                <w:szCs w:val="21"/>
              </w:rPr>
            </w:pPr>
          </w:p>
        </w:tc>
        <w:tc>
          <w:tcPr>
            <w:tcW w:w="1065" w:type="dxa"/>
            <w:vAlign w:val="center"/>
          </w:tcPr>
          <w:p w14:paraId="729F9ED2">
            <w:pPr>
              <w:adjustRightInd w:val="0"/>
              <w:snapToGrid w:val="0"/>
              <w:spacing w:line="240" w:lineRule="auto"/>
              <w:jc w:val="center"/>
              <w:rPr>
                <w:rFonts w:hint="eastAsia" w:cs="宋体"/>
                <w:sz w:val="21"/>
                <w:szCs w:val="21"/>
              </w:rPr>
            </w:pPr>
          </w:p>
        </w:tc>
        <w:tc>
          <w:tcPr>
            <w:tcW w:w="1066" w:type="dxa"/>
            <w:vAlign w:val="center"/>
          </w:tcPr>
          <w:p w14:paraId="709CC490">
            <w:pPr>
              <w:adjustRightInd w:val="0"/>
              <w:snapToGrid w:val="0"/>
              <w:spacing w:line="240" w:lineRule="auto"/>
              <w:jc w:val="center"/>
              <w:rPr>
                <w:rFonts w:hint="eastAsia" w:cs="宋体"/>
                <w:sz w:val="21"/>
                <w:szCs w:val="21"/>
              </w:rPr>
            </w:pPr>
          </w:p>
        </w:tc>
        <w:tc>
          <w:tcPr>
            <w:tcW w:w="947" w:type="dxa"/>
            <w:vAlign w:val="center"/>
          </w:tcPr>
          <w:p w14:paraId="492DC644">
            <w:pPr>
              <w:adjustRightInd w:val="0"/>
              <w:snapToGrid w:val="0"/>
              <w:spacing w:line="240" w:lineRule="auto"/>
              <w:jc w:val="center"/>
              <w:rPr>
                <w:rFonts w:hint="eastAsia" w:cs="宋体"/>
                <w:sz w:val="21"/>
                <w:szCs w:val="21"/>
              </w:rPr>
            </w:pPr>
          </w:p>
        </w:tc>
      </w:tr>
      <w:tr w14:paraId="3715F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5A0EE7AA">
            <w:pPr>
              <w:adjustRightInd w:val="0"/>
              <w:snapToGrid w:val="0"/>
              <w:spacing w:line="240" w:lineRule="auto"/>
              <w:jc w:val="center"/>
              <w:rPr>
                <w:rFonts w:hint="eastAsia" w:cs="宋体"/>
                <w:sz w:val="21"/>
                <w:szCs w:val="21"/>
              </w:rPr>
            </w:pPr>
            <w:r>
              <w:rPr>
                <w:rFonts w:hint="eastAsia" w:cs="宋体"/>
                <w:sz w:val="21"/>
                <w:szCs w:val="21"/>
              </w:rPr>
              <w:t>5</w:t>
            </w:r>
          </w:p>
        </w:tc>
        <w:tc>
          <w:tcPr>
            <w:tcW w:w="3720" w:type="dxa"/>
            <w:vAlign w:val="center"/>
          </w:tcPr>
          <w:p w14:paraId="08DA49FD">
            <w:pPr>
              <w:adjustRightInd w:val="0"/>
              <w:snapToGrid w:val="0"/>
              <w:spacing w:line="240" w:lineRule="auto"/>
              <w:jc w:val="center"/>
              <w:rPr>
                <w:rFonts w:hint="eastAsia" w:cs="宋体"/>
                <w:sz w:val="21"/>
                <w:szCs w:val="21"/>
              </w:rPr>
            </w:pPr>
          </w:p>
        </w:tc>
        <w:tc>
          <w:tcPr>
            <w:tcW w:w="1065" w:type="dxa"/>
            <w:vAlign w:val="center"/>
          </w:tcPr>
          <w:p w14:paraId="39553199">
            <w:pPr>
              <w:adjustRightInd w:val="0"/>
              <w:snapToGrid w:val="0"/>
              <w:spacing w:line="240" w:lineRule="auto"/>
              <w:jc w:val="center"/>
              <w:rPr>
                <w:rFonts w:hint="eastAsia" w:cs="宋体"/>
                <w:sz w:val="21"/>
                <w:szCs w:val="21"/>
              </w:rPr>
            </w:pPr>
          </w:p>
        </w:tc>
        <w:tc>
          <w:tcPr>
            <w:tcW w:w="1065" w:type="dxa"/>
            <w:vAlign w:val="center"/>
          </w:tcPr>
          <w:p w14:paraId="145C8763">
            <w:pPr>
              <w:adjustRightInd w:val="0"/>
              <w:snapToGrid w:val="0"/>
              <w:spacing w:line="240" w:lineRule="auto"/>
              <w:jc w:val="center"/>
              <w:rPr>
                <w:rFonts w:hint="eastAsia" w:cs="宋体"/>
                <w:sz w:val="21"/>
                <w:szCs w:val="21"/>
              </w:rPr>
            </w:pPr>
          </w:p>
        </w:tc>
        <w:tc>
          <w:tcPr>
            <w:tcW w:w="1066" w:type="dxa"/>
            <w:vAlign w:val="center"/>
          </w:tcPr>
          <w:p w14:paraId="3CC29B69">
            <w:pPr>
              <w:adjustRightInd w:val="0"/>
              <w:snapToGrid w:val="0"/>
              <w:spacing w:line="240" w:lineRule="auto"/>
              <w:jc w:val="center"/>
              <w:rPr>
                <w:rFonts w:hint="eastAsia" w:cs="宋体"/>
                <w:sz w:val="21"/>
                <w:szCs w:val="21"/>
              </w:rPr>
            </w:pPr>
          </w:p>
        </w:tc>
        <w:tc>
          <w:tcPr>
            <w:tcW w:w="947" w:type="dxa"/>
            <w:vAlign w:val="center"/>
          </w:tcPr>
          <w:p w14:paraId="10D0D8B3">
            <w:pPr>
              <w:adjustRightInd w:val="0"/>
              <w:snapToGrid w:val="0"/>
              <w:spacing w:line="240" w:lineRule="auto"/>
              <w:jc w:val="center"/>
              <w:rPr>
                <w:rFonts w:hint="eastAsia" w:cs="宋体"/>
                <w:sz w:val="21"/>
                <w:szCs w:val="21"/>
              </w:rPr>
            </w:pPr>
          </w:p>
        </w:tc>
      </w:tr>
      <w:tr w14:paraId="46B83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1CE8CAA">
            <w:pPr>
              <w:adjustRightInd w:val="0"/>
              <w:snapToGrid w:val="0"/>
              <w:spacing w:line="240" w:lineRule="auto"/>
              <w:jc w:val="center"/>
              <w:rPr>
                <w:rFonts w:hint="eastAsia" w:cs="宋体"/>
                <w:sz w:val="21"/>
                <w:szCs w:val="21"/>
              </w:rPr>
            </w:pPr>
            <w:r>
              <w:rPr>
                <w:rFonts w:hint="eastAsia" w:cs="宋体"/>
                <w:sz w:val="21"/>
                <w:szCs w:val="21"/>
              </w:rPr>
              <w:t>6</w:t>
            </w:r>
          </w:p>
        </w:tc>
        <w:tc>
          <w:tcPr>
            <w:tcW w:w="3720" w:type="dxa"/>
            <w:vAlign w:val="center"/>
          </w:tcPr>
          <w:p w14:paraId="4BF73345">
            <w:pPr>
              <w:adjustRightInd w:val="0"/>
              <w:snapToGrid w:val="0"/>
              <w:spacing w:line="240" w:lineRule="auto"/>
              <w:jc w:val="center"/>
              <w:rPr>
                <w:rFonts w:hint="eastAsia" w:cs="宋体"/>
                <w:sz w:val="21"/>
                <w:szCs w:val="21"/>
              </w:rPr>
            </w:pPr>
          </w:p>
        </w:tc>
        <w:tc>
          <w:tcPr>
            <w:tcW w:w="1065" w:type="dxa"/>
            <w:vAlign w:val="center"/>
          </w:tcPr>
          <w:p w14:paraId="6576ABEA">
            <w:pPr>
              <w:adjustRightInd w:val="0"/>
              <w:snapToGrid w:val="0"/>
              <w:spacing w:line="240" w:lineRule="auto"/>
              <w:jc w:val="center"/>
              <w:rPr>
                <w:rFonts w:hint="eastAsia" w:cs="宋体"/>
                <w:sz w:val="21"/>
                <w:szCs w:val="21"/>
              </w:rPr>
            </w:pPr>
          </w:p>
        </w:tc>
        <w:tc>
          <w:tcPr>
            <w:tcW w:w="1065" w:type="dxa"/>
            <w:vAlign w:val="center"/>
          </w:tcPr>
          <w:p w14:paraId="14AE25A6">
            <w:pPr>
              <w:adjustRightInd w:val="0"/>
              <w:snapToGrid w:val="0"/>
              <w:spacing w:line="240" w:lineRule="auto"/>
              <w:jc w:val="center"/>
              <w:rPr>
                <w:rFonts w:hint="eastAsia" w:cs="宋体"/>
                <w:sz w:val="21"/>
                <w:szCs w:val="21"/>
              </w:rPr>
            </w:pPr>
          </w:p>
        </w:tc>
        <w:tc>
          <w:tcPr>
            <w:tcW w:w="1066" w:type="dxa"/>
            <w:vAlign w:val="center"/>
          </w:tcPr>
          <w:p w14:paraId="77E70B85">
            <w:pPr>
              <w:adjustRightInd w:val="0"/>
              <w:snapToGrid w:val="0"/>
              <w:spacing w:line="240" w:lineRule="auto"/>
              <w:jc w:val="center"/>
              <w:rPr>
                <w:rFonts w:hint="eastAsia" w:cs="宋体"/>
                <w:sz w:val="21"/>
                <w:szCs w:val="21"/>
              </w:rPr>
            </w:pPr>
          </w:p>
        </w:tc>
        <w:tc>
          <w:tcPr>
            <w:tcW w:w="947" w:type="dxa"/>
            <w:vAlign w:val="center"/>
          </w:tcPr>
          <w:p w14:paraId="75B1F2B0">
            <w:pPr>
              <w:adjustRightInd w:val="0"/>
              <w:snapToGrid w:val="0"/>
              <w:spacing w:line="240" w:lineRule="auto"/>
              <w:jc w:val="center"/>
              <w:rPr>
                <w:rFonts w:hint="eastAsia" w:cs="宋体"/>
                <w:sz w:val="21"/>
                <w:szCs w:val="21"/>
              </w:rPr>
            </w:pPr>
          </w:p>
        </w:tc>
      </w:tr>
      <w:tr w14:paraId="4DB50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318C5D5">
            <w:pPr>
              <w:adjustRightInd w:val="0"/>
              <w:snapToGrid w:val="0"/>
              <w:spacing w:line="240" w:lineRule="auto"/>
              <w:jc w:val="center"/>
              <w:rPr>
                <w:rFonts w:hint="eastAsia" w:cs="宋体"/>
                <w:sz w:val="21"/>
                <w:szCs w:val="21"/>
              </w:rPr>
            </w:pPr>
            <w:r>
              <w:rPr>
                <w:rFonts w:hint="eastAsia" w:cs="宋体"/>
                <w:sz w:val="21"/>
                <w:szCs w:val="21"/>
              </w:rPr>
              <w:t>7</w:t>
            </w:r>
          </w:p>
        </w:tc>
        <w:tc>
          <w:tcPr>
            <w:tcW w:w="3720" w:type="dxa"/>
            <w:vAlign w:val="center"/>
          </w:tcPr>
          <w:p w14:paraId="086A4510">
            <w:pPr>
              <w:adjustRightInd w:val="0"/>
              <w:snapToGrid w:val="0"/>
              <w:spacing w:line="240" w:lineRule="auto"/>
              <w:jc w:val="center"/>
              <w:rPr>
                <w:rFonts w:hint="eastAsia" w:cs="宋体"/>
                <w:sz w:val="21"/>
                <w:szCs w:val="21"/>
              </w:rPr>
            </w:pPr>
          </w:p>
        </w:tc>
        <w:tc>
          <w:tcPr>
            <w:tcW w:w="1065" w:type="dxa"/>
            <w:vAlign w:val="center"/>
          </w:tcPr>
          <w:p w14:paraId="6FE831A1">
            <w:pPr>
              <w:adjustRightInd w:val="0"/>
              <w:snapToGrid w:val="0"/>
              <w:spacing w:line="240" w:lineRule="auto"/>
              <w:jc w:val="center"/>
              <w:rPr>
                <w:rFonts w:hint="eastAsia" w:cs="宋体"/>
                <w:sz w:val="21"/>
                <w:szCs w:val="21"/>
              </w:rPr>
            </w:pPr>
          </w:p>
        </w:tc>
        <w:tc>
          <w:tcPr>
            <w:tcW w:w="1065" w:type="dxa"/>
            <w:vAlign w:val="center"/>
          </w:tcPr>
          <w:p w14:paraId="39C4DDE2">
            <w:pPr>
              <w:adjustRightInd w:val="0"/>
              <w:snapToGrid w:val="0"/>
              <w:spacing w:line="240" w:lineRule="auto"/>
              <w:jc w:val="center"/>
              <w:rPr>
                <w:rFonts w:hint="eastAsia" w:cs="宋体"/>
                <w:sz w:val="21"/>
                <w:szCs w:val="21"/>
              </w:rPr>
            </w:pPr>
          </w:p>
        </w:tc>
        <w:tc>
          <w:tcPr>
            <w:tcW w:w="1066" w:type="dxa"/>
            <w:vAlign w:val="center"/>
          </w:tcPr>
          <w:p w14:paraId="5080EC42">
            <w:pPr>
              <w:adjustRightInd w:val="0"/>
              <w:snapToGrid w:val="0"/>
              <w:spacing w:line="240" w:lineRule="auto"/>
              <w:jc w:val="center"/>
              <w:rPr>
                <w:rFonts w:hint="eastAsia" w:cs="宋体"/>
                <w:sz w:val="21"/>
                <w:szCs w:val="21"/>
              </w:rPr>
            </w:pPr>
          </w:p>
        </w:tc>
        <w:tc>
          <w:tcPr>
            <w:tcW w:w="947" w:type="dxa"/>
            <w:vAlign w:val="center"/>
          </w:tcPr>
          <w:p w14:paraId="7CF492EA">
            <w:pPr>
              <w:adjustRightInd w:val="0"/>
              <w:snapToGrid w:val="0"/>
              <w:spacing w:line="240" w:lineRule="auto"/>
              <w:jc w:val="center"/>
              <w:rPr>
                <w:rFonts w:hint="eastAsia" w:cs="宋体"/>
                <w:sz w:val="21"/>
                <w:szCs w:val="21"/>
              </w:rPr>
            </w:pPr>
          </w:p>
        </w:tc>
      </w:tr>
      <w:tr w14:paraId="4FE22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5CB106B">
            <w:pPr>
              <w:adjustRightInd w:val="0"/>
              <w:snapToGrid w:val="0"/>
              <w:spacing w:line="240" w:lineRule="auto"/>
              <w:jc w:val="center"/>
              <w:rPr>
                <w:rFonts w:hint="eastAsia" w:cs="宋体"/>
                <w:sz w:val="21"/>
                <w:szCs w:val="21"/>
              </w:rPr>
            </w:pPr>
            <w:r>
              <w:rPr>
                <w:rFonts w:hint="eastAsia" w:cs="宋体"/>
                <w:sz w:val="21"/>
                <w:szCs w:val="21"/>
              </w:rPr>
              <w:t>8</w:t>
            </w:r>
          </w:p>
        </w:tc>
        <w:tc>
          <w:tcPr>
            <w:tcW w:w="3720" w:type="dxa"/>
            <w:vAlign w:val="center"/>
          </w:tcPr>
          <w:p w14:paraId="4A41B87B">
            <w:pPr>
              <w:adjustRightInd w:val="0"/>
              <w:snapToGrid w:val="0"/>
              <w:spacing w:line="240" w:lineRule="auto"/>
              <w:jc w:val="center"/>
              <w:rPr>
                <w:rFonts w:hint="eastAsia" w:cs="宋体"/>
                <w:sz w:val="21"/>
                <w:szCs w:val="21"/>
              </w:rPr>
            </w:pPr>
          </w:p>
        </w:tc>
        <w:tc>
          <w:tcPr>
            <w:tcW w:w="1065" w:type="dxa"/>
            <w:vAlign w:val="center"/>
          </w:tcPr>
          <w:p w14:paraId="564F17D4">
            <w:pPr>
              <w:adjustRightInd w:val="0"/>
              <w:snapToGrid w:val="0"/>
              <w:spacing w:line="240" w:lineRule="auto"/>
              <w:jc w:val="center"/>
              <w:rPr>
                <w:rFonts w:hint="eastAsia" w:cs="宋体"/>
                <w:sz w:val="21"/>
                <w:szCs w:val="21"/>
              </w:rPr>
            </w:pPr>
          </w:p>
        </w:tc>
        <w:tc>
          <w:tcPr>
            <w:tcW w:w="1065" w:type="dxa"/>
            <w:vAlign w:val="center"/>
          </w:tcPr>
          <w:p w14:paraId="3352155B">
            <w:pPr>
              <w:adjustRightInd w:val="0"/>
              <w:snapToGrid w:val="0"/>
              <w:spacing w:line="240" w:lineRule="auto"/>
              <w:jc w:val="center"/>
              <w:rPr>
                <w:rFonts w:hint="eastAsia" w:cs="宋体"/>
                <w:sz w:val="21"/>
                <w:szCs w:val="21"/>
              </w:rPr>
            </w:pPr>
          </w:p>
        </w:tc>
        <w:tc>
          <w:tcPr>
            <w:tcW w:w="1066" w:type="dxa"/>
            <w:vAlign w:val="center"/>
          </w:tcPr>
          <w:p w14:paraId="6F0A08C4">
            <w:pPr>
              <w:adjustRightInd w:val="0"/>
              <w:snapToGrid w:val="0"/>
              <w:spacing w:line="240" w:lineRule="auto"/>
              <w:jc w:val="center"/>
              <w:rPr>
                <w:rFonts w:hint="eastAsia" w:cs="宋体"/>
                <w:sz w:val="21"/>
                <w:szCs w:val="21"/>
              </w:rPr>
            </w:pPr>
          </w:p>
        </w:tc>
        <w:tc>
          <w:tcPr>
            <w:tcW w:w="947" w:type="dxa"/>
            <w:vAlign w:val="center"/>
          </w:tcPr>
          <w:p w14:paraId="6EFF36B2">
            <w:pPr>
              <w:adjustRightInd w:val="0"/>
              <w:snapToGrid w:val="0"/>
              <w:spacing w:line="240" w:lineRule="auto"/>
              <w:jc w:val="center"/>
              <w:rPr>
                <w:rFonts w:hint="eastAsia" w:cs="宋体"/>
                <w:sz w:val="21"/>
                <w:szCs w:val="21"/>
              </w:rPr>
            </w:pPr>
          </w:p>
        </w:tc>
      </w:tr>
      <w:tr w14:paraId="4E29D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33D27FD">
            <w:pPr>
              <w:adjustRightInd w:val="0"/>
              <w:snapToGrid w:val="0"/>
              <w:spacing w:line="240" w:lineRule="auto"/>
              <w:jc w:val="center"/>
              <w:rPr>
                <w:rFonts w:hint="eastAsia" w:cs="宋体"/>
                <w:sz w:val="21"/>
                <w:szCs w:val="21"/>
              </w:rPr>
            </w:pPr>
            <w:r>
              <w:rPr>
                <w:rFonts w:hint="eastAsia" w:cs="宋体"/>
                <w:sz w:val="21"/>
                <w:szCs w:val="21"/>
              </w:rPr>
              <w:t>……</w:t>
            </w:r>
          </w:p>
        </w:tc>
        <w:tc>
          <w:tcPr>
            <w:tcW w:w="3720" w:type="dxa"/>
            <w:vAlign w:val="center"/>
          </w:tcPr>
          <w:p w14:paraId="4C33E349">
            <w:pPr>
              <w:adjustRightInd w:val="0"/>
              <w:snapToGrid w:val="0"/>
              <w:spacing w:line="240" w:lineRule="auto"/>
              <w:jc w:val="center"/>
              <w:rPr>
                <w:rFonts w:hint="eastAsia" w:cs="宋体"/>
                <w:sz w:val="21"/>
                <w:szCs w:val="21"/>
              </w:rPr>
            </w:pPr>
            <w:r>
              <w:rPr>
                <w:rFonts w:hint="eastAsia" w:cs="宋体"/>
                <w:sz w:val="21"/>
                <w:szCs w:val="21"/>
              </w:rPr>
              <w:t>……</w:t>
            </w:r>
          </w:p>
        </w:tc>
        <w:tc>
          <w:tcPr>
            <w:tcW w:w="1065" w:type="dxa"/>
            <w:vAlign w:val="center"/>
          </w:tcPr>
          <w:p w14:paraId="7DA34135">
            <w:pPr>
              <w:adjustRightInd w:val="0"/>
              <w:snapToGrid w:val="0"/>
              <w:spacing w:line="240" w:lineRule="auto"/>
              <w:jc w:val="center"/>
              <w:rPr>
                <w:rFonts w:hint="eastAsia" w:cs="宋体"/>
                <w:sz w:val="21"/>
                <w:szCs w:val="21"/>
              </w:rPr>
            </w:pPr>
          </w:p>
        </w:tc>
        <w:tc>
          <w:tcPr>
            <w:tcW w:w="1065" w:type="dxa"/>
            <w:vAlign w:val="center"/>
          </w:tcPr>
          <w:p w14:paraId="7B097859">
            <w:pPr>
              <w:adjustRightInd w:val="0"/>
              <w:snapToGrid w:val="0"/>
              <w:spacing w:line="240" w:lineRule="auto"/>
              <w:jc w:val="center"/>
              <w:rPr>
                <w:rFonts w:hint="eastAsia" w:cs="宋体"/>
                <w:sz w:val="21"/>
                <w:szCs w:val="21"/>
              </w:rPr>
            </w:pPr>
          </w:p>
        </w:tc>
        <w:tc>
          <w:tcPr>
            <w:tcW w:w="1066" w:type="dxa"/>
            <w:vAlign w:val="center"/>
          </w:tcPr>
          <w:p w14:paraId="355AF654">
            <w:pPr>
              <w:adjustRightInd w:val="0"/>
              <w:snapToGrid w:val="0"/>
              <w:spacing w:line="240" w:lineRule="auto"/>
              <w:jc w:val="center"/>
              <w:rPr>
                <w:rFonts w:hint="eastAsia" w:cs="宋体"/>
                <w:sz w:val="21"/>
                <w:szCs w:val="21"/>
              </w:rPr>
            </w:pPr>
          </w:p>
        </w:tc>
        <w:tc>
          <w:tcPr>
            <w:tcW w:w="947" w:type="dxa"/>
            <w:vAlign w:val="center"/>
          </w:tcPr>
          <w:p w14:paraId="7DA8C210">
            <w:pPr>
              <w:adjustRightInd w:val="0"/>
              <w:snapToGrid w:val="0"/>
              <w:spacing w:line="240" w:lineRule="auto"/>
              <w:jc w:val="center"/>
              <w:rPr>
                <w:rFonts w:hint="eastAsia" w:cs="宋体"/>
                <w:sz w:val="21"/>
                <w:szCs w:val="21"/>
              </w:rPr>
            </w:pPr>
          </w:p>
        </w:tc>
      </w:tr>
      <w:tr w14:paraId="009A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780EB68">
            <w:pPr>
              <w:adjustRightInd w:val="0"/>
              <w:snapToGrid w:val="0"/>
              <w:spacing w:line="240" w:lineRule="auto"/>
              <w:jc w:val="center"/>
              <w:rPr>
                <w:rFonts w:hint="eastAsia" w:cs="宋体"/>
                <w:sz w:val="21"/>
                <w:szCs w:val="21"/>
              </w:rPr>
            </w:pPr>
          </w:p>
        </w:tc>
        <w:tc>
          <w:tcPr>
            <w:tcW w:w="3720" w:type="dxa"/>
            <w:vAlign w:val="center"/>
          </w:tcPr>
          <w:p w14:paraId="67D3B9DD">
            <w:pPr>
              <w:adjustRightInd w:val="0"/>
              <w:snapToGrid w:val="0"/>
              <w:spacing w:line="240" w:lineRule="auto"/>
              <w:jc w:val="center"/>
              <w:rPr>
                <w:rFonts w:hint="eastAsia" w:cs="宋体"/>
                <w:sz w:val="21"/>
                <w:szCs w:val="21"/>
              </w:rPr>
            </w:pPr>
            <w:r>
              <w:rPr>
                <w:rFonts w:hint="eastAsia" w:cs="宋体"/>
                <w:sz w:val="21"/>
                <w:szCs w:val="21"/>
              </w:rPr>
              <w:t>其他费用</w:t>
            </w:r>
          </w:p>
        </w:tc>
        <w:tc>
          <w:tcPr>
            <w:tcW w:w="1065" w:type="dxa"/>
            <w:vAlign w:val="center"/>
          </w:tcPr>
          <w:p w14:paraId="408E3F42">
            <w:pPr>
              <w:adjustRightInd w:val="0"/>
              <w:snapToGrid w:val="0"/>
              <w:spacing w:line="240" w:lineRule="auto"/>
              <w:jc w:val="center"/>
              <w:rPr>
                <w:rFonts w:hint="eastAsia" w:cs="宋体"/>
                <w:sz w:val="21"/>
                <w:szCs w:val="21"/>
              </w:rPr>
            </w:pPr>
          </w:p>
        </w:tc>
        <w:tc>
          <w:tcPr>
            <w:tcW w:w="1065" w:type="dxa"/>
            <w:vAlign w:val="center"/>
          </w:tcPr>
          <w:p w14:paraId="2C1D9700">
            <w:pPr>
              <w:adjustRightInd w:val="0"/>
              <w:snapToGrid w:val="0"/>
              <w:spacing w:line="240" w:lineRule="auto"/>
              <w:jc w:val="center"/>
              <w:rPr>
                <w:rFonts w:hint="eastAsia" w:cs="宋体"/>
                <w:sz w:val="21"/>
                <w:szCs w:val="21"/>
              </w:rPr>
            </w:pPr>
          </w:p>
        </w:tc>
        <w:tc>
          <w:tcPr>
            <w:tcW w:w="1066" w:type="dxa"/>
            <w:vAlign w:val="center"/>
          </w:tcPr>
          <w:p w14:paraId="0636B48B">
            <w:pPr>
              <w:adjustRightInd w:val="0"/>
              <w:snapToGrid w:val="0"/>
              <w:spacing w:line="240" w:lineRule="auto"/>
              <w:jc w:val="center"/>
              <w:rPr>
                <w:rFonts w:hint="eastAsia" w:cs="宋体"/>
                <w:sz w:val="21"/>
                <w:szCs w:val="21"/>
              </w:rPr>
            </w:pPr>
          </w:p>
        </w:tc>
        <w:tc>
          <w:tcPr>
            <w:tcW w:w="947" w:type="dxa"/>
            <w:vAlign w:val="center"/>
          </w:tcPr>
          <w:p w14:paraId="7BB8EE4B">
            <w:pPr>
              <w:adjustRightInd w:val="0"/>
              <w:snapToGrid w:val="0"/>
              <w:spacing w:line="240" w:lineRule="auto"/>
              <w:jc w:val="center"/>
              <w:rPr>
                <w:rFonts w:hint="eastAsia" w:cs="宋体"/>
                <w:sz w:val="21"/>
                <w:szCs w:val="21"/>
              </w:rPr>
            </w:pPr>
          </w:p>
        </w:tc>
      </w:tr>
      <w:tr w14:paraId="59778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68A7B10">
            <w:pPr>
              <w:adjustRightInd w:val="0"/>
              <w:snapToGrid w:val="0"/>
              <w:spacing w:line="240" w:lineRule="auto"/>
              <w:jc w:val="center"/>
              <w:rPr>
                <w:rFonts w:hint="eastAsia" w:cs="宋体"/>
                <w:sz w:val="21"/>
                <w:szCs w:val="21"/>
              </w:rPr>
            </w:pPr>
            <w:r>
              <w:rPr>
                <w:rFonts w:hint="eastAsia" w:cs="宋体"/>
                <w:sz w:val="21"/>
                <w:szCs w:val="21"/>
              </w:rPr>
              <w:t>……</w:t>
            </w:r>
          </w:p>
        </w:tc>
        <w:tc>
          <w:tcPr>
            <w:tcW w:w="3720" w:type="dxa"/>
            <w:vAlign w:val="center"/>
          </w:tcPr>
          <w:p w14:paraId="499FF59F">
            <w:pPr>
              <w:adjustRightInd w:val="0"/>
              <w:snapToGrid w:val="0"/>
              <w:spacing w:line="240" w:lineRule="auto"/>
              <w:jc w:val="center"/>
              <w:rPr>
                <w:rFonts w:hint="eastAsia" w:cs="宋体"/>
                <w:sz w:val="21"/>
                <w:szCs w:val="21"/>
              </w:rPr>
            </w:pPr>
            <w:r>
              <w:rPr>
                <w:rFonts w:hint="eastAsia" w:cs="宋体"/>
                <w:sz w:val="21"/>
                <w:szCs w:val="21"/>
              </w:rPr>
              <w:t>……</w:t>
            </w:r>
          </w:p>
        </w:tc>
        <w:tc>
          <w:tcPr>
            <w:tcW w:w="1065" w:type="dxa"/>
            <w:vAlign w:val="center"/>
          </w:tcPr>
          <w:p w14:paraId="189EADC7">
            <w:pPr>
              <w:adjustRightInd w:val="0"/>
              <w:snapToGrid w:val="0"/>
              <w:spacing w:line="240" w:lineRule="auto"/>
              <w:jc w:val="center"/>
              <w:rPr>
                <w:rFonts w:hint="eastAsia" w:cs="宋体"/>
                <w:sz w:val="21"/>
                <w:szCs w:val="21"/>
              </w:rPr>
            </w:pPr>
          </w:p>
        </w:tc>
        <w:tc>
          <w:tcPr>
            <w:tcW w:w="1065" w:type="dxa"/>
            <w:vAlign w:val="center"/>
          </w:tcPr>
          <w:p w14:paraId="1A7D7D0B">
            <w:pPr>
              <w:adjustRightInd w:val="0"/>
              <w:snapToGrid w:val="0"/>
              <w:spacing w:line="240" w:lineRule="auto"/>
              <w:jc w:val="center"/>
              <w:rPr>
                <w:rFonts w:hint="eastAsia" w:cs="宋体"/>
                <w:sz w:val="21"/>
                <w:szCs w:val="21"/>
              </w:rPr>
            </w:pPr>
          </w:p>
        </w:tc>
        <w:tc>
          <w:tcPr>
            <w:tcW w:w="1066" w:type="dxa"/>
            <w:vAlign w:val="center"/>
          </w:tcPr>
          <w:p w14:paraId="5B32C8FD">
            <w:pPr>
              <w:adjustRightInd w:val="0"/>
              <w:snapToGrid w:val="0"/>
              <w:spacing w:line="240" w:lineRule="auto"/>
              <w:jc w:val="center"/>
              <w:rPr>
                <w:rFonts w:hint="eastAsia" w:cs="宋体"/>
                <w:sz w:val="21"/>
                <w:szCs w:val="21"/>
              </w:rPr>
            </w:pPr>
          </w:p>
        </w:tc>
        <w:tc>
          <w:tcPr>
            <w:tcW w:w="947" w:type="dxa"/>
            <w:vAlign w:val="center"/>
          </w:tcPr>
          <w:p w14:paraId="46558261">
            <w:pPr>
              <w:adjustRightInd w:val="0"/>
              <w:snapToGrid w:val="0"/>
              <w:spacing w:line="240" w:lineRule="auto"/>
              <w:jc w:val="center"/>
              <w:rPr>
                <w:rFonts w:hint="eastAsia" w:cs="宋体"/>
                <w:sz w:val="21"/>
                <w:szCs w:val="21"/>
              </w:rPr>
            </w:pPr>
          </w:p>
        </w:tc>
      </w:tr>
      <w:tr w14:paraId="1429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15" w:type="dxa"/>
            <w:gridSpan w:val="4"/>
            <w:vAlign w:val="center"/>
          </w:tcPr>
          <w:p w14:paraId="5AC3D19A">
            <w:pPr>
              <w:adjustRightInd w:val="0"/>
              <w:snapToGrid w:val="0"/>
              <w:spacing w:line="240" w:lineRule="auto"/>
              <w:jc w:val="center"/>
              <w:rPr>
                <w:rFonts w:hint="eastAsia" w:cs="宋体"/>
                <w:sz w:val="21"/>
                <w:szCs w:val="21"/>
              </w:rPr>
            </w:pPr>
            <w:r>
              <w:rPr>
                <w:rFonts w:hint="eastAsia" w:cs="宋体"/>
                <w:sz w:val="21"/>
                <w:szCs w:val="21"/>
              </w:rPr>
              <w:t>投标报价合计（元）</w:t>
            </w:r>
          </w:p>
        </w:tc>
        <w:tc>
          <w:tcPr>
            <w:tcW w:w="2013" w:type="dxa"/>
            <w:gridSpan w:val="2"/>
            <w:vAlign w:val="center"/>
          </w:tcPr>
          <w:p w14:paraId="254CF396">
            <w:pPr>
              <w:adjustRightInd w:val="0"/>
              <w:snapToGrid w:val="0"/>
              <w:spacing w:line="240" w:lineRule="auto"/>
              <w:jc w:val="center"/>
              <w:rPr>
                <w:rFonts w:hint="eastAsia" w:cs="宋体"/>
                <w:sz w:val="21"/>
                <w:szCs w:val="21"/>
              </w:rPr>
            </w:pPr>
          </w:p>
        </w:tc>
      </w:tr>
    </w:tbl>
    <w:p w14:paraId="1AB4A381">
      <w:pPr>
        <w:spacing w:line="300" w:lineRule="auto"/>
        <w:rPr>
          <w:rFonts w:ascii="Arial" w:hAnsi="Arial" w:cs="Arial"/>
          <w:szCs w:val="21"/>
        </w:rPr>
      </w:pPr>
    </w:p>
    <w:p w14:paraId="1EF13CA5">
      <w:pPr>
        <w:spacing w:line="300" w:lineRule="auto"/>
        <w:rPr>
          <w:rFonts w:ascii="Arial" w:hAnsi="Arial" w:cs="Arial"/>
          <w:szCs w:val="21"/>
        </w:rPr>
      </w:pPr>
      <w:r>
        <w:rPr>
          <w:rFonts w:ascii="Arial" w:hAnsi="Arial" w:cs="Arial"/>
          <w:szCs w:val="21"/>
        </w:rPr>
        <w:t>投标人名称</w:t>
      </w:r>
      <w:r>
        <w:rPr>
          <w:rFonts w:hint="eastAsia" w:cs="宋体"/>
          <w:kern w:val="0"/>
          <w:lang w:val="zh-CN"/>
        </w:rPr>
        <w:t>(</w:t>
      </w:r>
      <w:r>
        <w:rPr>
          <w:rFonts w:hint="eastAsia" w:cs="宋体"/>
          <w:kern w:val="0"/>
          <w:szCs w:val="24"/>
        </w:rPr>
        <w:t>公章</w:t>
      </w:r>
      <w:r>
        <w:rPr>
          <w:rFonts w:hint="eastAsia" w:cs="宋体"/>
          <w:kern w:val="0"/>
          <w:lang w:val="zh-CN"/>
        </w:rPr>
        <w:t>)</w:t>
      </w:r>
      <w:r>
        <w:rPr>
          <w:rFonts w:ascii="Arial" w:hAnsi="Arial" w:cs="Arial"/>
          <w:szCs w:val="21"/>
        </w:rPr>
        <w:t>：</w:t>
      </w:r>
    </w:p>
    <w:p w14:paraId="27B042EF">
      <w:pPr>
        <w:spacing w:line="300" w:lineRule="auto"/>
        <w:rPr>
          <w:rFonts w:ascii="Arial" w:hAnsi="Arial" w:cs="Arial"/>
          <w:szCs w:val="21"/>
        </w:rPr>
      </w:pPr>
      <w:r>
        <w:rPr>
          <w:rFonts w:ascii="Arial" w:hAnsi="Arial" w:cs="Arial"/>
          <w:szCs w:val="21"/>
        </w:rPr>
        <w:t>日期：</w:t>
      </w:r>
    </w:p>
    <w:p w14:paraId="30049F1F">
      <w:pPr>
        <w:spacing w:line="300" w:lineRule="auto"/>
        <w:rPr>
          <w:rFonts w:ascii="Arial" w:hAnsi="Arial" w:cs="Arial"/>
          <w:szCs w:val="21"/>
        </w:rPr>
      </w:pPr>
    </w:p>
    <w:p w14:paraId="3C592900">
      <w:pPr>
        <w:rPr>
          <w:rFonts w:hint="eastAsia" w:cs="宋体"/>
          <w:b/>
          <w:sz w:val="21"/>
          <w:szCs w:val="21"/>
        </w:rPr>
      </w:pPr>
      <w:r>
        <w:rPr>
          <w:rFonts w:hint="eastAsia" w:cs="宋体"/>
          <w:b/>
          <w:sz w:val="21"/>
          <w:szCs w:val="21"/>
        </w:rPr>
        <w:t>注：</w:t>
      </w:r>
    </w:p>
    <w:p w14:paraId="4386BC71">
      <w:pPr>
        <w:ind w:firstLine="435"/>
        <w:rPr>
          <w:rFonts w:hint="eastAsia" w:cs="宋体"/>
          <w:sz w:val="21"/>
          <w:szCs w:val="21"/>
        </w:rPr>
      </w:pPr>
      <w:r>
        <w:rPr>
          <w:rFonts w:hint="eastAsia" w:cs="宋体"/>
          <w:sz w:val="21"/>
          <w:szCs w:val="21"/>
        </w:rPr>
        <w:t>1.</w:t>
      </w:r>
      <w:r>
        <w:rPr>
          <w:rFonts w:cs="宋体"/>
          <w:sz w:val="21"/>
          <w:szCs w:val="21"/>
        </w:rPr>
        <w:t>按照本表填写的各项目的投标报价合计填写到</w:t>
      </w:r>
      <w:r>
        <w:rPr>
          <w:rFonts w:hint="eastAsia" w:cs="宋体"/>
          <w:sz w:val="21"/>
          <w:szCs w:val="21"/>
        </w:rPr>
        <w:t>“开标一览表”</w:t>
      </w:r>
      <w:r>
        <w:rPr>
          <w:rFonts w:cs="宋体"/>
          <w:sz w:val="21"/>
          <w:szCs w:val="21"/>
        </w:rPr>
        <w:t>中对应的</w:t>
      </w:r>
      <w:r>
        <w:rPr>
          <w:rFonts w:hint="eastAsia" w:cs="宋体"/>
          <w:sz w:val="21"/>
          <w:szCs w:val="21"/>
        </w:rPr>
        <w:t>“</w:t>
      </w:r>
      <w:r>
        <w:rPr>
          <w:rFonts w:cs="宋体"/>
          <w:sz w:val="21"/>
          <w:szCs w:val="21"/>
        </w:rPr>
        <w:t>投标报价</w:t>
      </w:r>
      <w:r>
        <w:rPr>
          <w:rFonts w:hint="eastAsia" w:cs="宋体"/>
          <w:sz w:val="21"/>
          <w:szCs w:val="21"/>
        </w:rPr>
        <w:t>”</w:t>
      </w:r>
      <w:r>
        <w:rPr>
          <w:rFonts w:cs="宋体"/>
          <w:sz w:val="21"/>
          <w:szCs w:val="21"/>
        </w:rPr>
        <w:t>栏中。</w:t>
      </w:r>
    </w:p>
    <w:p w14:paraId="22F813EB">
      <w:pPr>
        <w:ind w:firstLine="435"/>
        <w:rPr>
          <w:rFonts w:hint="eastAsia" w:cs="宋体"/>
          <w:szCs w:val="24"/>
        </w:rPr>
        <w:sectPr>
          <w:footerReference r:id="rId9" w:type="default"/>
          <w:pgSz w:w="11906" w:h="16838"/>
          <w:pgMar w:top="1440" w:right="1800" w:bottom="1440" w:left="1800" w:header="851" w:footer="992" w:gutter="0"/>
          <w:pgNumType w:fmt="numberInDash"/>
          <w:cols w:space="425" w:num="1"/>
          <w:docGrid w:type="lines" w:linePitch="312" w:charSpace="0"/>
        </w:sectPr>
      </w:pPr>
      <w:r>
        <w:rPr>
          <w:rFonts w:hint="eastAsia" w:cs="宋体"/>
          <w:sz w:val="21"/>
          <w:szCs w:val="21"/>
        </w:rPr>
        <w:t>2.所列服务为对应本项目需求的全部服务内容。如有漏项或缺项，投标人承担全部责任。</w:t>
      </w:r>
      <w:r>
        <w:rPr>
          <w:rFonts w:hint="eastAsia" w:cs="宋体"/>
          <w:szCs w:val="24"/>
        </w:rPr>
        <w:br w:type="page"/>
      </w:r>
    </w:p>
    <w:p w14:paraId="2220E22F">
      <w:pPr>
        <w:pStyle w:val="4"/>
        <w:spacing w:before="100" w:after="100" w:line="360" w:lineRule="auto"/>
        <w:ind w:left="420" w:hanging="420"/>
        <w:jc w:val="center"/>
        <w:rPr>
          <w:rFonts w:hint="eastAsia"/>
        </w:rPr>
      </w:pPr>
      <w:bookmarkStart w:id="662" w:name="_Toc28343"/>
      <w:bookmarkStart w:id="663" w:name="_Toc4379"/>
      <w:r>
        <w:rPr>
          <w:rFonts w:hint="eastAsia"/>
        </w:rPr>
        <w:t>三、关于符合本国产品标准的声明函或财政部规定的其他</w:t>
      </w:r>
      <w:bookmarkEnd w:id="662"/>
    </w:p>
    <w:p w14:paraId="6291E74F">
      <w:pPr>
        <w:pStyle w:val="4"/>
        <w:spacing w:before="100" w:after="100" w:line="360" w:lineRule="auto"/>
        <w:ind w:left="420" w:hanging="420"/>
        <w:jc w:val="center"/>
        <w:rPr>
          <w:rFonts w:hint="eastAsia"/>
        </w:rPr>
      </w:pPr>
      <w:bookmarkStart w:id="664" w:name="_Toc15816"/>
      <w:r>
        <w:rPr>
          <w:rFonts w:hint="eastAsia"/>
        </w:rPr>
        <w:t>证明文件</w:t>
      </w:r>
      <w:bookmarkEnd w:id="663"/>
      <w:bookmarkEnd w:id="664"/>
      <w:r>
        <w:rPr>
          <w:rFonts w:hint="eastAsia"/>
        </w:rPr>
        <w:t>（产品为货物时提供）</w:t>
      </w:r>
    </w:p>
    <w:p w14:paraId="1263B16C">
      <w:pPr>
        <w:rPr>
          <w:rFonts w:hint="eastAsia" w:cs="宋体"/>
          <w:spacing w:val="6"/>
          <w:sz w:val="21"/>
          <w:szCs w:val="21"/>
        </w:rPr>
      </w:pPr>
      <w:r>
        <w:rPr>
          <w:rFonts w:hint="eastAsia" w:cs="宋体"/>
          <w:spacing w:val="6"/>
          <w:sz w:val="21"/>
          <w:szCs w:val="21"/>
        </w:rPr>
        <w:t>附件1</w:t>
      </w:r>
    </w:p>
    <w:p w14:paraId="159A290B">
      <w:pPr>
        <w:widowControl/>
        <w:ind w:firstLine="482" w:firstLineChars="200"/>
        <w:jc w:val="center"/>
        <w:rPr>
          <w:rFonts w:hint="eastAsia" w:cs="宋体"/>
          <w:kern w:val="0"/>
          <w:szCs w:val="24"/>
          <w:lang w:bidi="ar"/>
        </w:rPr>
      </w:pPr>
      <w:r>
        <w:rPr>
          <w:rFonts w:hint="eastAsia" w:cs="宋体"/>
          <w:b/>
          <w:bCs/>
          <w:kern w:val="0"/>
          <w:szCs w:val="24"/>
          <w:lang w:bidi="ar"/>
        </w:rPr>
        <w:t>（一）关于符合本国产品标准的声明函</w:t>
      </w:r>
    </w:p>
    <w:p w14:paraId="5625564C">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本公司（单位）郑重声明，根据《国务院办公厅关于在政府采购中实施本国产品标准及相关政策的通知》（国办发〔2025〕34号）的规定，本公司（单位）提供的以下产品属于本国产品。具体情况如下：</w:t>
      </w:r>
    </w:p>
    <w:p w14:paraId="716C9080">
      <w:pPr>
        <w:widowControl/>
        <w:ind w:firstLine="420" w:firstLineChars="200"/>
        <w:jc w:val="both"/>
        <w:rPr>
          <w:rFonts w:hint="eastAsia" w:cs="宋体"/>
          <w:kern w:val="0"/>
          <w:sz w:val="21"/>
          <w:szCs w:val="21"/>
          <w:lang w:bidi="ar"/>
        </w:rPr>
      </w:pPr>
      <w:r>
        <w:rPr>
          <w:rFonts w:hint="eastAsia" w:cs="宋体"/>
          <w:kern w:val="0"/>
          <w:sz w:val="21"/>
          <w:szCs w:val="21"/>
          <w:lang w:bidi="ar"/>
        </w:rPr>
        <w:t>1.</w:t>
      </w:r>
      <w:r>
        <w:rPr>
          <w:rFonts w:hint="eastAsia" w:cs="宋体"/>
          <w:kern w:val="0"/>
          <w:sz w:val="21"/>
          <w:szCs w:val="21"/>
          <w:u w:val="single"/>
          <w:lang w:bidi="ar"/>
        </w:rPr>
        <w:t>（产品名称1）</w:t>
      </w:r>
      <w:r>
        <w:rPr>
          <w:rFonts w:hint="eastAsia" w:cs="宋体"/>
          <w:kern w:val="0"/>
          <w:sz w:val="21"/>
          <w:szCs w:val="21"/>
          <w:lang w:bidi="ar"/>
        </w:rPr>
        <w:t>1，生产厂为</w:t>
      </w:r>
      <w:r>
        <w:rPr>
          <w:rFonts w:hint="eastAsia" w:cs="宋体"/>
          <w:kern w:val="0"/>
          <w:sz w:val="21"/>
          <w:szCs w:val="21"/>
          <w:u w:val="single"/>
          <w:lang w:bidi="ar"/>
        </w:rPr>
        <w:t>（厂名）</w:t>
      </w:r>
      <w:r>
        <w:rPr>
          <w:rFonts w:hint="eastAsia" w:cs="宋体"/>
          <w:kern w:val="0"/>
          <w:sz w:val="21"/>
          <w:szCs w:val="21"/>
          <w:lang w:bidi="ar"/>
        </w:rPr>
        <w:t>2，厂址为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（产品名称1）</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3。</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4在中国境内生产。</w:t>
      </w:r>
      <w:r>
        <w:rPr>
          <w:rFonts w:hint="eastAsia" w:cs="宋体"/>
          <w:kern w:val="0"/>
          <w:sz w:val="21"/>
          <w:szCs w:val="21"/>
          <w:u w:val="single"/>
          <w:lang w:bidi="ar"/>
        </w:rPr>
        <w:t>（产品名称1）</w:t>
      </w:r>
      <w:r>
        <w:rPr>
          <w:rFonts w:hint="eastAsia" w:cs="宋体"/>
          <w:kern w:val="0"/>
          <w:sz w:val="21"/>
          <w:szCs w:val="21"/>
          <w:lang w:bidi="ar"/>
        </w:rPr>
        <w:t>的</w:t>
      </w:r>
      <w:r>
        <w:rPr>
          <w:rFonts w:hint="eastAsia" w:cs="宋体"/>
          <w:kern w:val="0"/>
          <w:sz w:val="21"/>
          <w:szCs w:val="21"/>
          <w:u w:val="single"/>
          <w:lang w:bidi="ar"/>
        </w:rPr>
        <w:t>（关键工序）</w:t>
      </w:r>
      <w:r>
        <w:rPr>
          <w:rFonts w:hint="eastAsia" w:cs="宋体"/>
          <w:kern w:val="0"/>
          <w:sz w:val="21"/>
          <w:szCs w:val="21"/>
          <w:lang w:bidi="ar"/>
        </w:rPr>
        <w:t>5在中国境内完成。</w:t>
      </w:r>
    </w:p>
    <w:p w14:paraId="6CF0781B">
      <w:pPr>
        <w:widowControl/>
        <w:ind w:firstLine="420" w:firstLineChars="200"/>
        <w:jc w:val="both"/>
        <w:rPr>
          <w:rFonts w:hint="eastAsia" w:cs="宋体"/>
          <w:kern w:val="0"/>
          <w:sz w:val="21"/>
          <w:szCs w:val="21"/>
          <w:lang w:bidi="ar"/>
        </w:rPr>
      </w:pPr>
      <w:r>
        <w:rPr>
          <w:rFonts w:hint="eastAsia" w:cs="宋体"/>
          <w:kern w:val="0"/>
          <w:sz w:val="21"/>
          <w:szCs w:val="21"/>
          <w:lang w:bidi="ar"/>
        </w:rPr>
        <w:t>2.</w:t>
      </w:r>
      <w:r>
        <w:rPr>
          <w:rFonts w:hint="eastAsia" w:cs="宋体"/>
          <w:kern w:val="0"/>
          <w:sz w:val="21"/>
          <w:szCs w:val="21"/>
          <w:u w:val="single"/>
          <w:lang w:bidi="ar"/>
        </w:rPr>
        <w:t>（产品名称2）</w:t>
      </w:r>
      <w:r>
        <w:rPr>
          <w:rFonts w:hint="eastAsia" w:cs="宋体"/>
          <w:kern w:val="0"/>
          <w:sz w:val="21"/>
          <w:szCs w:val="21"/>
          <w:lang w:bidi="ar"/>
        </w:rPr>
        <w:t>，生产厂为</w:t>
      </w:r>
      <w:r>
        <w:rPr>
          <w:rFonts w:hint="eastAsia" w:cs="宋体"/>
          <w:kern w:val="0"/>
          <w:sz w:val="21"/>
          <w:szCs w:val="21"/>
          <w:u w:val="single"/>
          <w:lang w:bidi="ar"/>
        </w:rPr>
        <w:t>（厂名）</w:t>
      </w:r>
      <w:r>
        <w:rPr>
          <w:rFonts w:hint="eastAsia" w:cs="宋体"/>
          <w:kern w:val="0"/>
          <w:sz w:val="21"/>
          <w:szCs w:val="21"/>
          <w:lang w:bidi="ar"/>
        </w:rPr>
        <w:t>，厂址为</w:t>
      </w:r>
      <w:r>
        <w:rPr>
          <w:rFonts w:hint="eastAsia" w:cs="宋体"/>
          <w:kern w:val="0"/>
          <w:sz w:val="21"/>
          <w:szCs w:val="21"/>
          <w:u w:val="single"/>
          <w:lang w:bidi="ar"/>
        </w:rPr>
        <w:t>（生产厂址）</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的中国境内生产的组件成本占比≥</w:t>
      </w:r>
      <w:r>
        <w:rPr>
          <w:rFonts w:hint="eastAsia" w:cs="宋体"/>
          <w:kern w:val="0"/>
          <w:sz w:val="21"/>
          <w:szCs w:val="21"/>
          <w:u w:val="single"/>
          <w:lang w:bidi="ar"/>
        </w:rPr>
        <w:t>（规定比例）</w:t>
      </w:r>
      <w:r>
        <w:rPr>
          <w:rFonts w:hint="eastAsia" w:cs="宋体"/>
          <w:kern w:val="0"/>
          <w:sz w:val="21"/>
          <w:szCs w:val="21"/>
          <w:lang w:bidi="ar"/>
        </w:rPr>
        <w:t>。</w:t>
      </w:r>
      <w:r>
        <w:rPr>
          <w:rFonts w:hint="eastAsia" w:cs="宋体"/>
          <w:kern w:val="0"/>
          <w:sz w:val="21"/>
          <w:szCs w:val="21"/>
          <w:u w:val="single"/>
          <w:lang w:bidi="ar"/>
        </w:rPr>
        <w:t>（产品名称2）</w:t>
      </w:r>
      <w:r>
        <w:rPr>
          <w:rFonts w:hint="eastAsia" w:cs="宋体"/>
          <w:kern w:val="0"/>
          <w:sz w:val="21"/>
          <w:szCs w:val="21"/>
          <w:lang w:bidi="ar"/>
        </w:rPr>
        <w:t>的</w:t>
      </w:r>
      <w:r>
        <w:rPr>
          <w:rFonts w:hint="eastAsia" w:cs="宋体"/>
          <w:kern w:val="0"/>
          <w:sz w:val="21"/>
          <w:szCs w:val="21"/>
          <w:u w:val="single"/>
          <w:lang w:bidi="ar"/>
        </w:rPr>
        <w:t>（关键组件）</w:t>
      </w:r>
      <w:r>
        <w:rPr>
          <w:rFonts w:hint="eastAsia" w:cs="宋体"/>
          <w:kern w:val="0"/>
          <w:sz w:val="21"/>
          <w:szCs w:val="21"/>
          <w:lang w:bidi="ar"/>
        </w:rPr>
        <w:t>在中国境内生产。</w:t>
      </w:r>
      <w:r>
        <w:rPr>
          <w:rFonts w:hint="eastAsia" w:cs="宋体"/>
          <w:kern w:val="0"/>
          <w:sz w:val="21"/>
          <w:szCs w:val="21"/>
          <w:u w:val="single"/>
          <w:lang w:bidi="ar"/>
        </w:rPr>
        <w:t>（产品名称2）</w:t>
      </w:r>
      <w:r>
        <w:rPr>
          <w:rFonts w:hint="eastAsia" w:cs="宋体"/>
          <w:kern w:val="0"/>
          <w:sz w:val="21"/>
          <w:szCs w:val="21"/>
          <w:lang w:bidi="ar"/>
        </w:rPr>
        <w:t>的（关键工序）在中国境内完成。</w:t>
      </w:r>
    </w:p>
    <w:p w14:paraId="603C9C84">
      <w:pPr>
        <w:widowControl/>
        <w:ind w:firstLine="420" w:firstLineChars="200"/>
        <w:jc w:val="both"/>
        <w:rPr>
          <w:rFonts w:hint="eastAsia" w:cs="宋体"/>
          <w:kern w:val="0"/>
          <w:sz w:val="21"/>
          <w:szCs w:val="21"/>
          <w:lang w:bidi="ar"/>
        </w:rPr>
      </w:pPr>
      <w:r>
        <w:rPr>
          <w:rFonts w:hint="eastAsia" w:cs="宋体"/>
          <w:kern w:val="0"/>
          <w:sz w:val="21"/>
          <w:szCs w:val="21"/>
          <w:lang w:bidi="ar"/>
        </w:rPr>
        <w:t>……</w:t>
      </w:r>
    </w:p>
    <w:p w14:paraId="104D65C6">
      <w:pPr>
        <w:widowControl/>
        <w:ind w:firstLine="420" w:firstLineChars="200"/>
        <w:jc w:val="both"/>
        <w:rPr>
          <w:rFonts w:hint="eastAsia" w:cs="宋体"/>
          <w:kern w:val="0"/>
          <w:sz w:val="21"/>
          <w:szCs w:val="21"/>
          <w:lang w:bidi="ar"/>
        </w:rPr>
      </w:pPr>
      <w:r>
        <w:rPr>
          <w:rFonts w:hint="eastAsia" w:cs="宋体"/>
          <w:kern w:val="0"/>
          <w:sz w:val="21"/>
          <w:szCs w:val="21"/>
          <w:lang w:bidi="ar"/>
        </w:rPr>
        <w:t>本公司（单位）对上述声明内容的真实性负责。如有虚假，愿承担相应法律责任。</w:t>
      </w:r>
    </w:p>
    <w:p w14:paraId="04460D0A">
      <w:pPr>
        <w:widowControl/>
        <w:ind w:firstLine="420" w:firstLineChars="200"/>
        <w:jc w:val="both"/>
        <w:rPr>
          <w:rFonts w:hint="eastAsia" w:cs="宋体"/>
          <w:kern w:val="0"/>
          <w:sz w:val="21"/>
          <w:szCs w:val="21"/>
          <w:lang w:bidi="ar"/>
        </w:rPr>
      </w:pPr>
    </w:p>
    <w:p w14:paraId="0E6EDD47">
      <w:pPr>
        <w:widowControl/>
        <w:ind w:firstLine="420" w:firstLineChars="200"/>
        <w:jc w:val="both"/>
        <w:rPr>
          <w:rFonts w:hint="eastAsia" w:cs="宋体"/>
          <w:kern w:val="0"/>
          <w:sz w:val="21"/>
          <w:szCs w:val="21"/>
          <w:lang w:bidi="ar"/>
        </w:rPr>
      </w:pPr>
      <w:r>
        <w:rPr>
          <w:rFonts w:hint="eastAsia" w:cs="宋体"/>
          <w:kern w:val="0"/>
          <w:sz w:val="21"/>
          <w:szCs w:val="21"/>
          <w:lang w:bidi="ar"/>
        </w:rPr>
        <w:t>公司（单位）名称（盖章）：　        </w:t>
      </w:r>
    </w:p>
    <w:p w14:paraId="4E2B9973">
      <w:pPr>
        <w:widowControl/>
        <w:ind w:firstLine="420" w:firstLineChars="200"/>
        <w:jc w:val="both"/>
        <w:rPr>
          <w:rFonts w:hint="eastAsia" w:cs="宋体"/>
          <w:kern w:val="0"/>
          <w:sz w:val="21"/>
          <w:szCs w:val="21"/>
          <w:lang w:bidi="ar"/>
        </w:rPr>
      </w:pPr>
      <w:r>
        <w:rPr>
          <w:rFonts w:hint="eastAsia" w:cs="宋体"/>
          <w:kern w:val="0"/>
          <w:sz w:val="21"/>
          <w:szCs w:val="21"/>
          <w:lang w:bidi="ar"/>
        </w:rPr>
        <w:t>日期：　     年　  月　  日         </w:t>
      </w:r>
    </w:p>
    <w:p w14:paraId="79AAB481">
      <w:pPr>
        <w:widowControl/>
        <w:ind w:firstLine="420" w:firstLineChars="200"/>
        <w:rPr>
          <w:rFonts w:hint="eastAsia" w:cs="宋体"/>
          <w:kern w:val="0"/>
          <w:sz w:val="21"/>
          <w:szCs w:val="21"/>
          <w:lang w:bidi="ar"/>
        </w:rPr>
      </w:pPr>
    </w:p>
    <w:p w14:paraId="24DBB000">
      <w:pPr>
        <w:widowControl/>
        <w:rPr>
          <w:rFonts w:hint="eastAsia" w:cs="宋体"/>
          <w:kern w:val="0"/>
          <w:sz w:val="21"/>
          <w:szCs w:val="21"/>
          <w:lang w:bidi="ar"/>
        </w:rPr>
      </w:pPr>
      <w:r>
        <w:rPr>
          <w:rFonts w:hint="eastAsia" w:cs="宋体"/>
          <w:b/>
          <w:bCs/>
          <w:kern w:val="0"/>
          <w:sz w:val="21"/>
          <w:szCs w:val="21"/>
          <w:lang w:bidi="ar"/>
        </w:rPr>
        <w:t>注：</w:t>
      </w:r>
      <w:r>
        <w:rPr>
          <w:rFonts w:hint="eastAsia" w:cs="宋体"/>
          <w:kern w:val="0"/>
          <w:sz w:val="21"/>
          <w:szCs w:val="21"/>
          <w:lang w:bidi="ar"/>
        </w:rPr>
        <w:t>1.产品如有型号，请在“产品名称”栏一并填写。</w:t>
      </w:r>
    </w:p>
    <w:p w14:paraId="1AFBC2A6">
      <w:pPr>
        <w:widowControl/>
        <w:ind w:firstLine="420" w:firstLineChars="200"/>
        <w:rPr>
          <w:rFonts w:hint="eastAsia" w:cs="宋体"/>
          <w:kern w:val="0"/>
          <w:sz w:val="21"/>
          <w:szCs w:val="21"/>
          <w:lang w:bidi="ar"/>
        </w:rPr>
      </w:pPr>
      <w:r>
        <w:rPr>
          <w:rFonts w:hint="eastAsia" w:cs="宋体"/>
          <w:kern w:val="0"/>
          <w:sz w:val="21"/>
          <w:szCs w:val="21"/>
          <w:lang w:bidi="ar"/>
        </w:rPr>
        <w:t>2.生产厂名与厂址应与生产厂营业执照载明的相关信息保持一致。</w:t>
      </w:r>
    </w:p>
    <w:p w14:paraId="47671B31">
      <w:pPr>
        <w:widowControl/>
        <w:ind w:firstLine="420" w:firstLineChars="200"/>
        <w:rPr>
          <w:rFonts w:hint="eastAsia" w:cs="宋体"/>
          <w:kern w:val="0"/>
          <w:sz w:val="21"/>
          <w:szCs w:val="21"/>
          <w:lang w:bidi="ar"/>
        </w:rPr>
      </w:pPr>
      <w:r>
        <w:rPr>
          <w:rFonts w:hint="eastAsia" w:cs="宋体"/>
          <w:kern w:val="0"/>
          <w:sz w:val="21"/>
          <w:szCs w:val="21"/>
          <w:lang w:bidi="ar"/>
        </w:rPr>
        <w:t>3.该产品的中国境内生产的组件成本占比相关要求实施前，“规定比例”栏可不填，下同。</w:t>
      </w:r>
    </w:p>
    <w:p w14:paraId="598B0C2D">
      <w:pPr>
        <w:widowControl/>
        <w:ind w:firstLine="420" w:firstLineChars="200"/>
        <w:rPr>
          <w:rFonts w:hint="eastAsia" w:cs="宋体"/>
          <w:kern w:val="0"/>
          <w:sz w:val="21"/>
          <w:szCs w:val="21"/>
          <w:lang w:bidi="ar"/>
        </w:rPr>
      </w:pPr>
      <w:r>
        <w:rPr>
          <w:rFonts w:hint="eastAsia" w:cs="宋体"/>
          <w:kern w:val="0"/>
          <w:sz w:val="21"/>
          <w:szCs w:val="21"/>
          <w:lang w:bidi="ar"/>
        </w:rPr>
        <w:t>4.该产品的关键组件要求实施前，“关键组件”栏可不填，下同。</w:t>
      </w:r>
    </w:p>
    <w:p w14:paraId="465F1155">
      <w:pPr>
        <w:widowControl/>
        <w:ind w:firstLine="420" w:firstLineChars="200"/>
        <w:rPr>
          <w:rFonts w:hint="eastAsia" w:cs="宋体"/>
          <w:kern w:val="0"/>
          <w:sz w:val="21"/>
          <w:szCs w:val="21"/>
          <w:lang w:bidi="ar"/>
        </w:rPr>
      </w:pPr>
      <w:r>
        <w:rPr>
          <w:rFonts w:hint="eastAsia" w:cs="宋体"/>
          <w:kern w:val="0"/>
          <w:sz w:val="21"/>
          <w:szCs w:val="21"/>
          <w:lang w:bidi="ar"/>
        </w:rPr>
        <w:t>5.该产品的关键工序要求实施前，“关键工序”栏可不填，下同。</w:t>
      </w:r>
    </w:p>
    <w:p w14:paraId="4828D4CD">
      <w:pPr>
        <w:rPr>
          <w:rFonts w:hint="eastAsia" w:cs="宋体"/>
          <w:kern w:val="0"/>
          <w:sz w:val="21"/>
          <w:szCs w:val="21"/>
          <w:lang w:bidi="ar"/>
        </w:rPr>
      </w:pPr>
      <w:r>
        <w:rPr>
          <w:rFonts w:hint="eastAsia" w:cs="宋体"/>
          <w:kern w:val="0"/>
          <w:sz w:val="21"/>
          <w:szCs w:val="21"/>
          <w:lang w:bidi="ar"/>
        </w:rPr>
        <w:br w:type="page"/>
      </w:r>
    </w:p>
    <w:p w14:paraId="61789E07">
      <w:pPr>
        <w:rPr>
          <w:rFonts w:hint="eastAsia" w:cs="宋体"/>
          <w:spacing w:val="6"/>
          <w:sz w:val="21"/>
          <w:szCs w:val="21"/>
        </w:rPr>
      </w:pPr>
      <w:r>
        <w:rPr>
          <w:rFonts w:hint="eastAsia" w:cs="宋体"/>
          <w:spacing w:val="6"/>
          <w:sz w:val="21"/>
          <w:szCs w:val="21"/>
        </w:rPr>
        <w:t>附件2</w:t>
      </w:r>
    </w:p>
    <w:p w14:paraId="6B535F69">
      <w:pPr>
        <w:jc w:val="center"/>
        <w:rPr>
          <w:rFonts w:hint="eastAsia" w:cs="宋体"/>
          <w:b/>
          <w:bCs/>
          <w:kern w:val="0"/>
          <w:szCs w:val="24"/>
          <w:lang w:bidi="ar"/>
        </w:rPr>
      </w:pPr>
      <w:r>
        <w:rPr>
          <w:rFonts w:hint="eastAsia" w:cs="宋体"/>
          <w:b/>
          <w:bCs/>
          <w:kern w:val="0"/>
          <w:szCs w:val="24"/>
          <w:lang w:bidi="ar"/>
        </w:rPr>
        <w:t>（二）本国产品成本占比承诺函</w:t>
      </w:r>
    </w:p>
    <w:p w14:paraId="78803C6C">
      <w:pPr>
        <w:spacing w:line="640" w:lineRule="exact"/>
        <w:rPr>
          <w:rFonts w:hint="eastAsia"/>
          <w:szCs w:val="24"/>
        </w:rPr>
      </w:pPr>
    </w:p>
    <w:p w14:paraId="6A9AF00C">
      <w:pPr>
        <w:widowControl/>
        <w:ind w:firstLine="420" w:firstLineChars="200"/>
        <w:jc w:val="both"/>
        <w:rPr>
          <w:rFonts w:hint="eastAsia" w:cs="宋体"/>
          <w:kern w:val="0"/>
          <w:sz w:val="21"/>
          <w:szCs w:val="21"/>
          <w:lang w:bidi="ar"/>
        </w:rPr>
      </w:pPr>
      <w:r>
        <w:rPr>
          <w:rFonts w:hint="eastAsia" w:cs="宋体"/>
          <w:kern w:val="0"/>
          <w:sz w:val="21"/>
          <w:szCs w:val="21"/>
          <w:lang w:bidi="ar"/>
        </w:rPr>
        <w:t>致</w:t>
      </w:r>
      <w:r>
        <w:rPr>
          <w:rFonts w:hint="eastAsia" w:cs="宋体"/>
          <w:kern w:val="0"/>
          <w:sz w:val="21"/>
          <w:szCs w:val="21"/>
          <w:lang w:eastAsia="zh-CN" w:bidi="ar"/>
        </w:rPr>
        <w:t>；</w:t>
      </w:r>
      <w:r>
        <w:rPr>
          <w:rFonts w:hint="eastAsia" w:cs="宋体"/>
          <w:kern w:val="0"/>
          <w:sz w:val="21"/>
          <w:szCs w:val="21"/>
          <w:lang w:bidi="ar"/>
        </w:rPr>
        <w:t>[采购人/采购代理机构名称]</w:t>
      </w:r>
    </w:p>
    <w:p w14:paraId="54F7DD17">
      <w:pPr>
        <w:widowControl/>
        <w:ind w:firstLine="420" w:firstLineChars="200"/>
        <w:jc w:val="both"/>
        <w:rPr>
          <w:rFonts w:hint="eastAsia" w:eastAsia="宋体" w:cs="宋体"/>
          <w:kern w:val="0"/>
          <w:sz w:val="21"/>
          <w:szCs w:val="21"/>
          <w:lang w:eastAsia="zh-CN" w:bidi="ar"/>
        </w:rPr>
      </w:pPr>
      <w:r>
        <w:rPr>
          <w:rFonts w:hint="eastAsia" w:cs="宋体"/>
          <w:kern w:val="0"/>
          <w:sz w:val="21"/>
          <w:szCs w:val="21"/>
          <w:lang w:bidi="ar"/>
        </w:rPr>
        <w:t>本单位就参与[项目名称      、编号      ]政府采购项目，郑重承诺如下</w:t>
      </w:r>
      <w:r>
        <w:rPr>
          <w:rFonts w:hint="eastAsia" w:cs="宋体"/>
          <w:kern w:val="0"/>
          <w:sz w:val="21"/>
          <w:szCs w:val="21"/>
          <w:lang w:eastAsia="zh-CN" w:bidi="ar"/>
        </w:rPr>
        <w:t>；</w:t>
      </w:r>
    </w:p>
    <w:p w14:paraId="43E9A84D">
      <w:pPr>
        <w:widowControl/>
        <w:ind w:firstLine="420" w:firstLineChars="200"/>
        <w:jc w:val="both"/>
        <w:rPr>
          <w:rFonts w:hint="eastAsia" w:cs="宋体"/>
          <w:kern w:val="0"/>
          <w:sz w:val="21"/>
          <w:szCs w:val="21"/>
          <w:lang w:bidi="ar"/>
        </w:rPr>
      </w:pPr>
      <w:r>
        <w:rPr>
          <w:rFonts w:hint="eastAsia" w:cs="宋体"/>
          <w:kern w:val="0"/>
          <w:sz w:val="21"/>
          <w:szCs w:val="21"/>
          <w:lang w:bidi="ar"/>
        </w:rPr>
        <w:t>本单位为该项目(或采购包)提供的符合本国产品标准的产品成本之和，占所提供全部产品成本之和的比例为</w:t>
      </w:r>
      <w:r>
        <w:rPr>
          <w:rFonts w:hint="eastAsia" w:cs="宋体"/>
          <w:kern w:val="0"/>
          <w:sz w:val="21"/>
          <w:szCs w:val="21"/>
          <w:u w:val="single"/>
          <w:lang w:bidi="ar"/>
        </w:rPr>
        <w:t xml:space="preserve">     </w:t>
      </w:r>
      <w:r>
        <w:rPr>
          <w:rFonts w:hint="eastAsia" w:cs="宋体"/>
          <w:kern w:val="0"/>
          <w:sz w:val="21"/>
          <w:szCs w:val="21"/>
          <w:lang w:bidi="ar"/>
        </w:rPr>
        <w:t>%。本承诺内容真实有效，若存在虚假承诺，愿意承担相应法律责任，放弃中标(成交)资格，并接受政府采购监管部门处罚。</w:t>
      </w:r>
    </w:p>
    <w:p w14:paraId="75EA6FDB">
      <w:pPr>
        <w:widowControl/>
        <w:ind w:firstLine="420" w:firstLineChars="200"/>
        <w:jc w:val="both"/>
        <w:rPr>
          <w:rFonts w:hint="eastAsia" w:cs="宋体"/>
          <w:kern w:val="0"/>
          <w:sz w:val="21"/>
          <w:szCs w:val="21"/>
          <w:lang w:bidi="ar"/>
        </w:rPr>
      </w:pPr>
    </w:p>
    <w:p w14:paraId="3DD21540">
      <w:pPr>
        <w:widowControl/>
        <w:ind w:firstLine="420" w:firstLineChars="200"/>
        <w:jc w:val="both"/>
        <w:rPr>
          <w:rFonts w:hint="eastAsia" w:eastAsia="宋体" w:cs="宋体"/>
          <w:kern w:val="0"/>
          <w:sz w:val="21"/>
          <w:szCs w:val="21"/>
          <w:lang w:eastAsia="zh-CN" w:bidi="ar"/>
        </w:rPr>
      </w:pPr>
      <w:r>
        <w:rPr>
          <w:rFonts w:hint="eastAsia" w:cs="宋体"/>
          <w:kern w:val="0"/>
          <w:sz w:val="21"/>
          <w:szCs w:val="21"/>
          <w:lang w:bidi="ar"/>
        </w:rPr>
        <w:t>承诺人(供应商公章)</w:t>
      </w:r>
      <w:r>
        <w:rPr>
          <w:rFonts w:hint="eastAsia" w:cs="宋体"/>
          <w:kern w:val="0"/>
          <w:sz w:val="21"/>
          <w:szCs w:val="21"/>
          <w:lang w:eastAsia="zh-CN" w:bidi="ar"/>
        </w:rPr>
        <w:t>；</w:t>
      </w:r>
    </w:p>
    <w:p w14:paraId="3F861948">
      <w:pPr>
        <w:widowControl/>
        <w:ind w:firstLine="420" w:firstLineChars="200"/>
        <w:jc w:val="both"/>
        <w:rPr>
          <w:rFonts w:hint="eastAsia" w:eastAsia="宋体" w:cs="宋体"/>
          <w:kern w:val="0"/>
          <w:sz w:val="21"/>
          <w:szCs w:val="21"/>
          <w:lang w:eastAsia="zh-CN" w:bidi="ar"/>
        </w:rPr>
      </w:pPr>
      <w:r>
        <w:rPr>
          <w:rFonts w:hint="eastAsia" w:cs="宋体"/>
          <w:kern w:val="0"/>
          <w:sz w:val="21"/>
          <w:szCs w:val="21"/>
          <w:lang w:bidi="ar"/>
        </w:rPr>
        <w:t>法定代表人或授权代表签字</w:t>
      </w:r>
      <w:r>
        <w:rPr>
          <w:rFonts w:hint="eastAsia" w:cs="宋体"/>
          <w:kern w:val="0"/>
          <w:sz w:val="21"/>
          <w:szCs w:val="21"/>
          <w:lang w:eastAsia="zh-CN" w:bidi="ar"/>
        </w:rPr>
        <w:t>；</w:t>
      </w:r>
    </w:p>
    <w:p w14:paraId="1684C19D">
      <w:pPr>
        <w:widowControl/>
        <w:ind w:firstLine="420" w:firstLineChars="200"/>
        <w:jc w:val="both"/>
        <w:rPr>
          <w:rFonts w:hint="eastAsia" w:cs="宋体"/>
          <w:kern w:val="0"/>
          <w:sz w:val="21"/>
          <w:szCs w:val="21"/>
          <w:lang w:bidi="ar"/>
        </w:rPr>
      </w:pPr>
      <w:r>
        <w:rPr>
          <w:rFonts w:hint="eastAsia" w:cs="宋体"/>
          <w:kern w:val="0"/>
          <w:sz w:val="21"/>
          <w:szCs w:val="21"/>
          <w:lang w:bidi="ar"/>
        </w:rPr>
        <w:t>日期</w:t>
      </w:r>
      <w:r>
        <w:rPr>
          <w:rFonts w:hint="eastAsia" w:cs="宋体"/>
          <w:kern w:val="0"/>
          <w:sz w:val="21"/>
          <w:szCs w:val="21"/>
          <w:lang w:eastAsia="zh-CN" w:bidi="ar"/>
        </w:rPr>
        <w:t>；</w:t>
      </w:r>
      <w:r>
        <w:rPr>
          <w:rFonts w:hint="eastAsia" w:cs="宋体"/>
          <w:kern w:val="0"/>
          <w:sz w:val="21"/>
          <w:szCs w:val="21"/>
          <w:lang w:bidi="ar"/>
        </w:rPr>
        <w:t xml:space="preserve">  年  月  日</w:t>
      </w:r>
    </w:p>
    <w:p w14:paraId="7E04716F">
      <w:pPr>
        <w:widowControl/>
        <w:ind w:firstLine="420" w:firstLineChars="200"/>
        <w:jc w:val="both"/>
        <w:rPr>
          <w:rFonts w:hint="eastAsia" w:cs="宋体"/>
          <w:kern w:val="0"/>
          <w:sz w:val="21"/>
          <w:szCs w:val="21"/>
          <w:lang w:bidi="ar"/>
        </w:rPr>
      </w:pPr>
    </w:p>
    <w:p w14:paraId="0B80A185">
      <w:pPr>
        <w:widowControl/>
        <w:ind w:firstLine="420" w:firstLineChars="200"/>
        <w:jc w:val="both"/>
        <w:rPr>
          <w:rFonts w:hint="eastAsia" w:cs="宋体"/>
          <w:kern w:val="0"/>
          <w:sz w:val="21"/>
          <w:szCs w:val="21"/>
          <w:lang w:bidi="ar"/>
        </w:rPr>
      </w:pPr>
    </w:p>
    <w:p w14:paraId="60C117E6">
      <w:pPr>
        <w:widowControl/>
        <w:ind w:firstLine="420" w:firstLineChars="200"/>
        <w:jc w:val="both"/>
        <w:rPr>
          <w:rFonts w:hint="eastAsia" w:cs="宋体"/>
          <w:kern w:val="0"/>
          <w:sz w:val="21"/>
          <w:szCs w:val="21"/>
          <w:lang w:bidi="ar"/>
        </w:rPr>
      </w:pPr>
    </w:p>
    <w:p w14:paraId="6ABEAF50">
      <w:pPr>
        <w:widowControl/>
        <w:ind w:firstLine="420" w:firstLineChars="200"/>
        <w:jc w:val="both"/>
        <w:rPr>
          <w:rFonts w:hint="eastAsia" w:cs="宋体"/>
          <w:kern w:val="0"/>
          <w:sz w:val="21"/>
          <w:szCs w:val="21"/>
          <w:lang w:bidi="ar"/>
        </w:rPr>
      </w:pPr>
    </w:p>
    <w:p w14:paraId="30588B52">
      <w:pPr>
        <w:widowControl/>
        <w:ind w:firstLine="420" w:firstLineChars="200"/>
        <w:jc w:val="both"/>
        <w:rPr>
          <w:rFonts w:hint="eastAsia" w:cs="宋体"/>
          <w:kern w:val="0"/>
          <w:sz w:val="21"/>
          <w:szCs w:val="21"/>
          <w:lang w:bidi="ar"/>
        </w:rPr>
      </w:pPr>
    </w:p>
    <w:p w14:paraId="4FE59AE9">
      <w:pPr>
        <w:widowControl/>
        <w:ind w:firstLine="420" w:firstLineChars="200"/>
        <w:jc w:val="both"/>
        <w:rPr>
          <w:rFonts w:hint="eastAsia" w:cs="宋体"/>
          <w:kern w:val="0"/>
          <w:sz w:val="21"/>
          <w:szCs w:val="21"/>
          <w:lang w:bidi="ar"/>
        </w:rPr>
      </w:pPr>
    </w:p>
    <w:p w14:paraId="3674B97B">
      <w:pPr>
        <w:widowControl/>
        <w:ind w:firstLine="420" w:firstLineChars="200"/>
        <w:jc w:val="both"/>
        <w:rPr>
          <w:rFonts w:hint="eastAsia" w:cs="宋体"/>
          <w:kern w:val="0"/>
          <w:sz w:val="21"/>
          <w:szCs w:val="21"/>
          <w:lang w:bidi="ar"/>
        </w:rPr>
      </w:pPr>
    </w:p>
    <w:p w14:paraId="36FC7F8C">
      <w:pPr>
        <w:widowControl/>
        <w:ind w:firstLine="420" w:firstLineChars="200"/>
        <w:jc w:val="both"/>
        <w:rPr>
          <w:rFonts w:hint="eastAsia" w:cs="宋体"/>
          <w:kern w:val="0"/>
          <w:sz w:val="21"/>
          <w:szCs w:val="21"/>
          <w:lang w:bidi="ar"/>
        </w:rPr>
      </w:pPr>
    </w:p>
    <w:p w14:paraId="0FB5EBDD">
      <w:pPr>
        <w:widowControl/>
        <w:ind w:firstLine="420" w:firstLineChars="200"/>
        <w:jc w:val="both"/>
        <w:rPr>
          <w:rFonts w:hint="eastAsia" w:cs="宋体"/>
          <w:kern w:val="0"/>
          <w:sz w:val="21"/>
          <w:szCs w:val="21"/>
          <w:lang w:bidi="ar"/>
        </w:rPr>
      </w:pPr>
    </w:p>
    <w:p w14:paraId="51263422">
      <w:pPr>
        <w:widowControl/>
        <w:ind w:firstLine="420" w:firstLineChars="200"/>
        <w:jc w:val="both"/>
        <w:rPr>
          <w:rFonts w:hint="eastAsia" w:cs="宋体"/>
          <w:kern w:val="0"/>
          <w:sz w:val="21"/>
          <w:szCs w:val="21"/>
          <w:lang w:bidi="ar"/>
        </w:rPr>
      </w:pPr>
    </w:p>
    <w:p w14:paraId="41AAD4B1">
      <w:pPr>
        <w:widowControl/>
        <w:jc w:val="both"/>
        <w:rPr>
          <w:rFonts w:hint="eastAsia" w:cs="宋体"/>
          <w:kern w:val="0"/>
          <w:sz w:val="21"/>
          <w:szCs w:val="21"/>
          <w:lang w:bidi="ar"/>
        </w:rPr>
        <w:sectPr>
          <w:pgSz w:w="11906" w:h="16838"/>
          <w:pgMar w:top="1440" w:right="1803" w:bottom="1440" w:left="1803" w:header="851" w:footer="992" w:gutter="0"/>
          <w:pgNumType w:fmt="numberInDash"/>
          <w:cols w:space="0" w:num="1"/>
          <w:docGrid w:type="lines" w:linePitch="332" w:charSpace="0"/>
        </w:sectPr>
      </w:pPr>
      <w:r>
        <w:rPr>
          <w:rFonts w:hint="eastAsia" w:cs="宋体"/>
          <w:b/>
          <w:bCs/>
          <w:kern w:val="0"/>
          <w:sz w:val="21"/>
          <w:szCs w:val="21"/>
          <w:lang w:bidi="ar"/>
        </w:rPr>
        <w:t>注：</w:t>
      </w:r>
      <w:r>
        <w:rPr>
          <w:rFonts w:hint="eastAsia" w:cs="宋体"/>
          <w:kern w:val="0"/>
          <w:sz w:val="21"/>
          <w:szCs w:val="21"/>
          <w:lang w:bidi="ar"/>
        </w:rPr>
        <w:t>若供应商所投产品均符合本国产品标准，且已提供《声明函》，可不填写《承诺函》。</w:t>
      </w:r>
    </w:p>
    <w:p w14:paraId="51AE6A0F">
      <w:pPr>
        <w:ind w:firstLine="435"/>
        <w:rPr>
          <w:rFonts w:hint="eastAsia" w:cs="宋体"/>
          <w:szCs w:val="24"/>
        </w:rPr>
      </w:pPr>
    </w:p>
    <w:p w14:paraId="2B27A089">
      <w:pPr>
        <w:pStyle w:val="62"/>
        <w:spacing w:line="360" w:lineRule="exact"/>
        <w:rPr>
          <w:rFonts w:hint="eastAsia" w:ascii="宋体" w:hAnsi="宋体" w:eastAsia="宋体" w:cs="宋体"/>
          <w:b/>
          <w:bCs/>
        </w:rPr>
      </w:pPr>
    </w:p>
    <w:p w14:paraId="2A466E81">
      <w:pPr>
        <w:ind w:firstLine="480" w:firstLineChars="200"/>
        <w:rPr>
          <w:rFonts w:hint="eastAsia" w:cs="仿宋_GB2312"/>
          <w:szCs w:val="24"/>
          <w:lang w:val="zh-CN"/>
        </w:rPr>
      </w:pPr>
      <w:r>
        <w:rPr>
          <w:rFonts w:hint="eastAsia" w:cs="仿宋_GB2312"/>
          <w:szCs w:val="24"/>
          <w:lang w:val="zh-CN"/>
        </w:rPr>
        <w:t>封面：</w:t>
      </w:r>
    </w:p>
    <w:p w14:paraId="6B0A1052">
      <w:pPr>
        <w:autoSpaceDE w:val="0"/>
        <w:autoSpaceDN w:val="0"/>
        <w:adjustRightInd w:val="0"/>
        <w:rPr>
          <w:rFonts w:hint="eastAsia"/>
          <w:sz w:val="21"/>
          <w:szCs w:val="24"/>
        </w:rPr>
      </w:pPr>
    </w:p>
    <w:p w14:paraId="7C21023C">
      <w:pPr>
        <w:autoSpaceDE w:val="0"/>
        <w:autoSpaceDN w:val="0"/>
        <w:adjustRightInd w:val="0"/>
        <w:rPr>
          <w:rFonts w:hint="eastAsia"/>
          <w:sz w:val="21"/>
          <w:szCs w:val="24"/>
        </w:rPr>
      </w:pPr>
    </w:p>
    <w:p w14:paraId="195FC018">
      <w:pPr>
        <w:autoSpaceDE w:val="0"/>
        <w:autoSpaceDN w:val="0"/>
        <w:adjustRightInd w:val="0"/>
        <w:jc w:val="center"/>
        <w:rPr>
          <w:rFonts w:hint="eastAsia"/>
          <w:sz w:val="21"/>
          <w:szCs w:val="24"/>
        </w:rPr>
      </w:pPr>
    </w:p>
    <w:p w14:paraId="09591BC9">
      <w:pPr>
        <w:pStyle w:val="3"/>
        <w:rPr>
          <w:rFonts w:hint="eastAsia"/>
          <w:sz w:val="56"/>
          <w:szCs w:val="56"/>
        </w:rPr>
      </w:pPr>
      <w:bookmarkStart w:id="665" w:name="_Toc29933"/>
      <w:r>
        <w:rPr>
          <w:rFonts w:hint="eastAsia"/>
          <w:sz w:val="56"/>
          <w:szCs w:val="56"/>
        </w:rPr>
        <w:t>投 标 文 件</w:t>
      </w:r>
      <w:bookmarkEnd w:id="665"/>
    </w:p>
    <w:p w14:paraId="3A8B90F0">
      <w:pPr>
        <w:pStyle w:val="3"/>
        <w:rPr>
          <w:rFonts w:hint="eastAsia"/>
          <w:sz w:val="56"/>
          <w:szCs w:val="56"/>
        </w:rPr>
      </w:pPr>
      <w:bookmarkStart w:id="666" w:name="_Toc6309"/>
      <w:r>
        <w:rPr>
          <w:rFonts w:hint="eastAsia"/>
          <w:sz w:val="56"/>
          <w:szCs w:val="56"/>
        </w:rPr>
        <w:t>商务技术文件</w:t>
      </w:r>
      <w:bookmarkEnd w:id="666"/>
    </w:p>
    <w:p w14:paraId="17441364">
      <w:pPr>
        <w:autoSpaceDE w:val="0"/>
        <w:autoSpaceDN w:val="0"/>
        <w:adjustRightInd w:val="0"/>
        <w:jc w:val="center"/>
        <w:rPr>
          <w:rFonts w:hint="eastAsia"/>
          <w:sz w:val="36"/>
          <w:szCs w:val="36"/>
        </w:rPr>
      </w:pPr>
      <w:r>
        <w:rPr>
          <w:rFonts w:hint="eastAsia"/>
          <w:sz w:val="36"/>
          <w:szCs w:val="36"/>
        </w:rPr>
        <w:t>（第XX包）【如不分包，请删去本行】</w:t>
      </w:r>
    </w:p>
    <w:p w14:paraId="29A8B2C1">
      <w:pPr>
        <w:pStyle w:val="4"/>
        <w:rPr>
          <w:rFonts w:hint="eastAsia"/>
          <w:sz w:val="21"/>
          <w:szCs w:val="21"/>
        </w:rPr>
      </w:pPr>
    </w:p>
    <w:p w14:paraId="47DE5E45">
      <w:pPr>
        <w:rPr>
          <w:rFonts w:hint="eastAsia"/>
          <w:sz w:val="21"/>
          <w:szCs w:val="21"/>
        </w:rPr>
      </w:pPr>
    </w:p>
    <w:p w14:paraId="38D353D6">
      <w:pPr>
        <w:rPr>
          <w:rFonts w:hint="eastAsia"/>
        </w:rPr>
      </w:pPr>
    </w:p>
    <w:p w14:paraId="1E43F942">
      <w:pPr>
        <w:autoSpaceDE w:val="0"/>
        <w:autoSpaceDN w:val="0"/>
        <w:adjustRightInd w:val="0"/>
        <w:rPr>
          <w:rFonts w:hint="eastAsia"/>
          <w:sz w:val="21"/>
          <w:szCs w:val="21"/>
        </w:rPr>
      </w:pPr>
    </w:p>
    <w:p w14:paraId="30BE1B84">
      <w:pPr>
        <w:autoSpaceDE w:val="0"/>
        <w:autoSpaceDN w:val="0"/>
        <w:adjustRightInd w:val="0"/>
        <w:rPr>
          <w:rFonts w:hint="eastAsia"/>
          <w:sz w:val="21"/>
          <w:szCs w:val="21"/>
        </w:rPr>
      </w:pPr>
    </w:p>
    <w:p w14:paraId="083255D2">
      <w:pPr>
        <w:ind w:left="420" w:leftChars="175"/>
        <w:rPr>
          <w:rFonts w:hint="eastAsia" w:cs="宋体"/>
          <w:sz w:val="36"/>
          <w:szCs w:val="36"/>
        </w:rPr>
      </w:pPr>
      <w:r>
        <w:rPr>
          <w:rFonts w:hint="eastAsia" w:cs="宋体"/>
          <w:sz w:val="36"/>
          <w:szCs w:val="36"/>
        </w:rPr>
        <w:t>项目编号/包号：</w:t>
      </w:r>
      <w:r>
        <w:rPr>
          <w:rFonts w:hint="eastAsia" w:cs="宋体"/>
          <w:sz w:val="36"/>
          <w:szCs w:val="36"/>
          <w:u w:val="single"/>
        </w:rPr>
        <w:t xml:space="preserve">                           </w:t>
      </w:r>
    </w:p>
    <w:p w14:paraId="0E131BFB">
      <w:pPr>
        <w:ind w:left="420" w:leftChars="175"/>
        <w:rPr>
          <w:rFonts w:hint="eastAsia" w:cs="宋体"/>
          <w:sz w:val="36"/>
          <w:szCs w:val="36"/>
        </w:rPr>
      </w:pPr>
      <w:r>
        <w:rPr>
          <w:rFonts w:hint="eastAsia" w:cs="宋体"/>
          <w:sz w:val="36"/>
          <w:szCs w:val="36"/>
        </w:rPr>
        <w:t>项目名称：</w:t>
      </w:r>
      <w:r>
        <w:rPr>
          <w:rFonts w:hint="eastAsia" w:cs="宋体"/>
          <w:sz w:val="36"/>
          <w:szCs w:val="36"/>
          <w:u w:val="single"/>
        </w:rPr>
        <w:t xml:space="preserve">                                </w:t>
      </w:r>
    </w:p>
    <w:p w14:paraId="0E2512A0">
      <w:pPr>
        <w:ind w:left="420" w:leftChars="175"/>
        <w:rPr>
          <w:rFonts w:hint="eastAsia" w:cs="宋体"/>
          <w:sz w:val="36"/>
          <w:szCs w:val="36"/>
        </w:rPr>
      </w:pPr>
      <w:r>
        <w:rPr>
          <w:rFonts w:hint="eastAsia" w:cs="宋体"/>
          <w:sz w:val="36"/>
          <w:szCs w:val="36"/>
        </w:rPr>
        <w:t>投 标 人：</w:t>
      </w:r>
      <w:r>
        <w:rPr>
          <w:rFonts w:hint="eastAsia" w:cs="宋体"/>
          <w:sz w:val="36"/>
          <w:szCs w:val="36"/>
          <w:u w:val="single"/>
        </w:rPr>
        <w:t xml:space="preserve">                                </w:t>
      </w:r>
    </w:p>
    <w:p w14:paraId="3F483E92">
      <w:pPr>
        <w:ind w:left="420" w:leftChars="175"/>
        <w:rPr>
          <w:rFonts w:hint="eastAsia" w:ascii="黑体" w:hAnsi="黑体" w:eastAsia="黑体"/>
          <w:sz w:val="32"/>
          <w:szCs w:val="32"/>
        </w:rPr>
      </w:pPr>
    </w:p>
    <w:p w14:paraId="51953497">
      <w:pPr>
        <w:ind w:left="840" w:firstLine="420"/>
        <w:rPr>
          <w:rFonts w:hint="eastAsia"/>
          <w:b/>
          <w:bCs/>
          <w:sz w:val="28"/>
          <w:szCs w:val="28"/>
        </w:rPr>
      </w:pPr>
    </w:p>
    <w:p w14:paraId="640F5E9E">
      <w:pPr>
        <w:ind w:left="840" w:firstLine="420"/>
        <w:rPr>
          <w:rFonts w:hint="eastAsia"/>
          <w:b/>
          <w:bCs/>
          <w:sz w:val="28"/>
          <w:szCs w:val="28"/>
        </w:rPr>
      </w:pPr>
    </w:p>
    <w:p w14:paraId="3CADC477">
      <w:pPr>
        <w:jc w:val="center"/>
        <w:rPr>
          <w:rFonts w:hint="eastAsia" w:ascii="黑体" w:hAnsi="黑体" w:eastAsia="黑体"/>
          <w:sz w:val="32"/>
          <w:szCs w:val="32"/>
        </w:rPr>
      </w:pPr>
      <w:r>
        <w:rPr>
          <w:rFonts w:hint="eastAsia" w:cs="宋体"/>
          <w:sz w:val="32"/>
          <w:szCs w:val="32"/>
        </w:rPr>
        <w:t>年   月    日</w:t>
      </w:r>
    </w:p>
    <w:p w14:paraId="7156E6BD">
      <w:pPr>
        <w:rPr>
          <w:rFonts w:hint="eastAsia"/>
          <w:lang w:val="zh-CN"/>
        </w:rPr>
      </w:pPr>
      <w:r>
        <w:rPr>
          <w:lang w:val="zh-CN"/>
        </w:rPr>
        <w:br w:type="page"/>
      </w:r>
    </w:p>
    <w:p w14:paraId="2DDED4E0">
      <w:pPr>
        <w:pStyle w:val="4"/>
        <w:spacing w:before="100" w:after="100" w:line="360" w:lineRule="auto"/>
        <w:ind w:left="420" w:hanging="420"/>
        <w:jc w:val="center"/>
        <w:rPr>
          <w:rFonts w:hint="eastAsia"/>
        </w:rPr>
      </w:pPr>
      <w:bookmarkStart w:id="667" w:name="_Toc155185921"/>
      <w:bookmarkStart w:id="668" w:name="_Toc13736"/>
      <w:bookmarkStart w:id="669" w:name="_Toc109899908"/>
      <w:bookmarkStart w:id="670" w:name="_Toc140132831"/>
      <w:bookmarkStart w:id="671" w:name="_Toc109899489"/>
      <w:bookmarkStart w:id="672" w:name="_Toc3577"/>
      <w:bookmarkStart w:id="673" w:name="_Toc28532"/>
      <w:bookmarkStart w:id="674" w:name="_Toc109900327"/>
      <w:bookmarkStart w:id="675" w:name="_Toc25402"/>
      <w:r>
        <w:rPr>
          <w:rFonts w:hint="eastAsia"/>
        </w:rPr>
        <w:t>一、投标函</w:t>
      </w:r>
      <w:bookmarkEnd w:id="667"/>
      <w:bookmarkEnd w:id="668"/>
      <w:bookmarkEnd w:id="669"/>
      <w:bookmarkEnd w:id="670"/>
      <w:bookmarkEnd w:id="671"/>
      <w:bookmarkEnd w:id="672"/>
      <w:bookmarkEnd w:id="673"/>
      <w:bookmarkEnd w:id="674"/>
      <w:bookmarkEnd w:id="675"/>
    </w:p>
    <w:p w14:paraId="589964B9">
      <w:pPr>
        <w:rPr>
          <w:rFonts w:hint="eastAsia"/>
        </w:rPr>
      </w:pPr>
      <w:r>
        <w:rPr>
          <w:rFonts w:hint="eastAsia"/>
        </w:rPr>
        <w:t>致：（采购人）</w:t>
      </w:r>
    </w:p>
    <w:p w14:paraId="0FB9F4C3">
      <w:pPr>
        <w:ind w:firstLine="480" w:firstLineChars="200"/>
        <w:rPr>
          <w:rFonts w:hint="eastAsia" w:cs="仿宋_GB2312"/>
          <w:b/>
          <w:bCs/>
          <w:szCs w:val="24"/>
        </w:rPr>
      </w:pPr>
      <w:r>
        <w:rPr>
          <w:rFonts w:hint="eastAsia" w:cs="仿宋_GB2312"/>
          <w:szCs w:val="24"/>
        </w:rPr>
        <w:t>根据贵方</w:t>
      </w:r>
      <w:r>
        <w:rPr>
          <w:rFonts w:hint="eastAsia" w:cs="仿宋_GB2312"/>
          <w:szCs w:val="24"/>
          <w:u w:val="single"/>
        </w:rPr>
        <w:t>（项目名称）（项目编号/包号）</w:t>
      </w:r>
      <w:r>
        <w:rPr>
          <w:rFonts w:hint="eastAsia" w:cs="仿宋_GB2312"/>
          <w:szCs w:val="24"/>
        </w:rPr>
        <w:t>项目的招标公告，签字代表</w:t>
      </w:r>
      <w:r>
        <w:rPr>
          <w:rFonts w:hint="eastAsia" w:cs="仿宋_GB2312"/>
          <w:szCs w:val="24"/>
          <w:u w:val="single"/>
        </w:rPr>
        <w:t>（姓名、职务）</w:t>
      </w:r>
      <w:r>
        <w:rPr>
          <w:rFonts w:hint="eastAsia" w:cs="仿宋_GB2312"/>
          <w:szCs w:val="24"/>
        </w:rPr>
        <w:t>经正式授权并代表投标人</w:t>
      </w:r>
      <w:r>
        <w:rPr>
          <w:rFonts w:hint="eastAsia" w:cs="仿宋_GB2312"/>
          <w:szCs w:val="24"/>
          <w:u w:val="single"/>
        </w:rPr>
        <w:t>（投标人名称、地址）</w:t>
      </w:r>
      <w:r>
        <w:rPr>
          <w:rFonts w:hint="eastAsia" w:cs="仿宋_GB2312"/>
          <w:szCs w:val="24"/>
        </w:rPr>
        <w:t>提交下述文件</w:t>
      </w:r>
      <w:r>
        <w:rPr>
          <w:rFonts w:hint="eastAsia" w:cs="仿宋_GB2312"/>
          <w:b/>
          <w:bCs/>
          <w:szCs w:val="24"/>
        </w:rPr>
        <w:t>：</w:t>
      </w:r>
    </w:p>
    <w:p w14:paraId="6BEF915D">
      <w:pPr>
        <w:spacing w:line="324" w:lineRule="auto"/>
        <w:ind w:firstLine="480" w:firstLineChars="200"/>
        <w:jc w:val="both"/>
        <w:rPr>
          <w:rFonts w:hint="eastAsia" w:cs="Arial"/>
          <w:szCs w:val="24"/>
        </w:rPr>
      </w:pPr>
      <w:r>
        <w:rPr>
          <w:rFonts w:hint="eastAsia" w:cs="Arial"/>
          <w:szCs w:val="24"/>
        </w:rPr>
        <w:t>1.资格证明文件</w:t>
      </w:r>
      <w:r>
        <w:rPr>
          <w:rFonts w:cs="Arial"/>
          <w:szCs w:val="24"/>
        </w:rPr>
        <w:t>；</w:t>
      </w:r>
    </w:p>
    <w:p w14:paraId="60A88349">
      <w:pPr>
        <w:spacing w:line="324" w:lineRule="auto"/>
        <w:ind w:firstLine="480" w:firstLineChars="200"/>
        <w:jc w:val="both"/>
        <w:rPr>
          <w:rFonts w:hint="eastAsia" w:cs="Arial"/>
          <w:szCs w:val="24"/>
        </w:rPr>
      </w:pPr>
      <w:r>
        <w:rPr>
          <w:rFonts w:hint="eastAsia" w:cs="Arial"/>
          <w:szCs w:val="24"/>
        </w:rPr>
        <w:t>2.投标报价</w:t>
      </w:r>
      <w:r>
        <w:rPr>
          <w:rFonts w:cs="Arial"/>
          <w:szCs w:val="24"/>
        </w:rPr>
        <w:t>文件</w:t>
      </w:r>
      <w:r>
        <w:rPr>
          <w:rFonts w:hint="eastAsia" w:cs="Arial"/>
          <w:szCs w:val="24"/>
        </w:rPr>
        <w:t>；</w:t>
      </w:r>
    </w:p>
    <w:p w14:paraId="3BC173F1">
      <w:pPr>
        <w:spacing w:line="324" w:lineRule="auto"/>
        <w:ind w:firstLine="480" w:firstLineChars="200"/>
        <w:jc w:val="both"/>
        <w:rPr>
          <w:rFonts w:hint="eastAsia" w:cs="Arial"/>
          <w:szCs w:val="24"/>
        </w:rPr>
      </w:pPr>
      <w:r>
        <w:rPr>
          <w:rFonts w:hint="eastAsia" w:cs="Arial"/>
          <w:szCs w:val="24"/>
        </w:rPr>
        <w:t>3.商务技术文件</w:t>
      </w:r>
      <w:r>
        <w:rPr>
          <w:rFonts w:cs="Arial"/>
          <w:szCs w:val="24"/>
        </w:rPr>
        <w:t>。</w:t>
      </w:r>
    </w:p>
    <w:p w14:paraId="0789B806">
      <w:pPr>
        <w:spacing w:line="324" w:lineRule="auto"/>
        <w:ind w:firstLine="480" w:firstLineChars="200"/>
        <w:rPr>
          <w:rFonts w:hint="eastAsia" w:cs="Arial"/>
          <w:szCs w:val="24"/>
        </w:rPr>
      </w:pPr>
      <w:r>
        <w:rPr>
          <w:rFonts w:cs="Arial"/>
          <w:szCs w:val="24"/>
        </w:rPr>
        <w:t>根据此函，签字代表宣布同意如下：</w:t>
      </w:r>
    </w:p>
    <w:p w14:paraId="49657EFE">
      <w:pPr>
        <w:spacing w:line="324" w:lineRule="auto"/>
        <w:ind w:firstLine="480" w:firstLineChars="200"/>
        <w:jc w:val="both"/>
        <w:rPr>
          <w:rFonts w:hint="eastAsia" w:cs="Arial"/>
          <w:szCs w:val="24"/>
        </w:rPr>
      </w:pPr>
      <w:r>
        <w:rPr>
          <w:rFonts w:hint="eastAsia" w:cs="Arial"/>
          <w:szCs w:val="24"/>
        </w:rPr>
        <w:t>1.</w:t>
      </w:r>
      <w:r>
        <w:rPr>
          <w:rFonts w:cs="Arial"/>
          <w:szCs w:val="24"/>
        </w:rPr>
        <w:t>所附投标价格表中规定的应提交和交付的服务和</w:t>
      </w:r>
      <w:r>
        <w:rPr>
          <w:rFonts w:hint="eastAsia" w:cs="Arial"/>
          <w:szCs w:val="24"/>
        </w:rPr>
        <w:t>相关货物（如有）</w:t>
      </w:r>
      <w:r>
        <w:rPr>
          <w:rFonts w:cs="Arial"/>
          <w:szCs w:val="24"/>
        </w:rPr>
        <w:t>的</w:t>
      </w:r>
      <w:r>
        <w:rPr>
          <w:rFonts w:hint="eastAsia" w:cs="Arial"/>
          <w:szCs w:val="24"/>
        </w:rPr>
        <w:t>投标报价</w:t>
      </w:r>
      <w:r>
        <w:rPr>
          <w:rFonts w:cs="Arial"/>
          <w:szCs w:val="24"/>
        </w:rPr>
        <w:t>为</w:t>
      </w:r>
      <w:r>
        <w:rPr>
          <w:rFonts w:hint="eastAsia" w:cs="Arial"/>
          <w:szCs w:val="24"/>
        </w:rPr>
        <w:t xml:space="preserve"> </w:t>
      </w:r>
      <w:r>
        <w:rPr>
          <w:rFonts w:hint="eastAsia" w:cs="Arial"/>
          <w:szCs w:val="24"/>
          <w:u w:val="single"/>
        </w:rPr>
        <w:t xml:space="preserve">                  </w:t>
      </w:r>
      <w:r>
        <w:rPr>
          <w:rFonts w:cs="Arial"/>
          <w:szCs w:val="24"/>
        </w:rPr>
        <w:t>。</w:t>
      </w:r>
    </w:p>
    <w:p w14:paraId="55C5B4AF">
      <w:pPr>
        <w:spacing w:line="324" w:lineRule="auto"/>
        <w:ind w:firstLine="480" w:firstLineChars="200"/>
        <w:jc w:val="both"/>
        <w:rPr>
          <w:rFonts w:hint="eastAsia" w:cs="Arial"/>
          <w:szCs w:val="24"/>
        </w:rPr>
      </w:pPr>
      <w:r>
        <w:rPr>
          <w:rFonts w:hint="eastAsia" w:cs="Arial"/>
          <w:szCs w:val="24"/>
        </w:rPr>
        <w:t>2.我方</w:t>
      </w:r>
      <w:r>
        <w:rPr>
          <w:rFonts w:cs="Arial"/>
          <w:szCs w:val="24"/>
        </w:rPr>
        <w:t>将按招标文件的规定履行合同责任和义务。</w:t>
      </w:r>
    </w:p>
    <w:p w14:paraId="1CB17252">
      <w:pPr>
        <w:spacing w:line="324" w:lineRule="auto"/>
        <w:ind w:firstLine="480" w:firstLineChars="200"/>
        <w:jc w:val="both"/>
        <w:rPr>
          <w:rFonts w:hint="eastAsia" w:cs="Arial"/>
          <w:szCs w:val="24"/>
        </w:rPr>
      </w:pPr>
      <w:r>
        <w:rPr>
          <w:rFonts w:hint="eastAsia" w:cs="Arial"/>
          <w:szCs w:val="24"/>
        </w:rPr>
        <w:t>3.我方</w:t>
      </w:r>
      <w:r>
        <w:rPr>
          <w:rFonts w:cs="Arial"/>
          <w:szCs w:val="24"/>
        </w:rPr>
        <w:t>已详细审查全部招标文件，包括第</w:t>
      </w:r>
      <w:r>
        <w:rPr>
          <w:rFonts w:cs="Arial"/>
          <w:szCs w:val="24"/>
          <w:u w:val="single"/>
        </w:rPr>
        <w:t>（编号、补遗书）（如果有的话）</w:t>
      </w:r>
      <w:r>
        <w:rPr>
          <w:rFonts w:cs="Arial"/>
          <w:szCs w:val="24"/>
        </w:rPr>
        <w:t>。我</w:t>
      </w:r>
      <w:r>
        <w:rPr>
          <w:rFonts w:hint="eastAsia" w:cs="Arial"/>
          <w:szCs w:val="24"/>
        </w:rPr>
        <w:t>方</w:t>
      </w:r>
      <w:r>
        <w:rPr>
          <w:rFonts w:cs="Arial"/>
          <w:szCs w:val="24"/>
        </w:rPr>
        <w:t>完全理解并同意放弃对这方面有不明及误解的权力。</w:t>
      </w:r>
    </w:p>
    <w:p w14:paraId="5E7B77F9">
      <w:pPr>
        <w:spacing w:line="324" w:lineRule="auto"/>
        <w:ind w:firstLine="480" w:firstLineChars="200"/>
        <w:jc w:val="both"/>
        <w:rPr>
          <w:rFonts w:hint="eastAsia" w:cs="Arial"/>
          <w:szCs w:val="24"/>
        </w:rPr>
      </w:pPr>
      <w:r>
        <w:rPr>
          <w:rFonts w:hint="eastAsia" w:cs="Arial"/>
          <w:szCs w:val="24"/>
        </w:rPr>
        <w:t>4.投标有效期为自提交投标文件的截止之日起</w:t>
      </w:r>
      <w:r>
        <w:rPr>
          <w:rFonts w:hint="eastAsia" w:cs="Arial"/>
          <w:szCs w:val="24"/>
          <w:u w:val="single"/>
        </w:rPr>
        <w:t xml:space="preserve"> （由投标人填写）</w:t>
      </w:r>
      <w:r>
        <w:rPr>
          <w:rFonts w:cs="Arial"/>
          <w:szCs w:val="24"/>
        </w:rPr>
        <w:t>个日历天。</w:t>
      </w:r>
    </w:p>
    <w:p w14:paraId="41B67089">
      <w:pPr>
        <w:spacing w:line="324" w:lineRule="auto"/>
        <w:ind w:firstLine="480" w:firstLineChars="200"/>
        <w:jc w:val="both"/>
        <w:rPr>
          <w:rFonts w:hint="eastAsia" w:cs="Arial"/>
          <w:szCs w:val="24"/>
        </w:rPr>
      </w:pPr>
      <w:r>
        <w:rPr>
          <w:rFonts w:hint="eastAsia" w:cs="Arial"/>
          <w:szCs w:val="24"/>
        </w:rPr>
        <w:t>5.我方</w:t>
      </w:r>
      <w:r>
        <w:rPr>
          <w:rFonts w:cs="Arial"/>
          <w:szCs w:val="24"/>
        </w:rPr>
        <w:t>同意提供按照贵方</w:t>
      </w:r>
      <w:r>
        <w:rPr>
          <w:rFonts w:hint="eastAsia" w:cs="Arial"/>
          <w:szCs w:val="24"/>
        </w:rPr>
        <w:t>招标文件</w:t>
      </w:r>
      <w:r>
        <w:rPr>
          <w:rFonts w:cs="Arial"/>
          <w:szCs w:val="24"/>
        </w:rPr>
        <w:t>要求的与投标有关的一切数据或资料，</w:t>
      </w:r>
      <w:r>
        <w:rPr>
          <w:rFonts w:hint="eastAsia" w:cs="Arial"/>
          <w:szCs w:val="24"/>
        </w:rPr>
        <w:t>采用综合评分法时，我方</w:t>
      </w:r>
      <w:r>
        <w:rPr>
          <w:rFonts w:cs="Arial"/>
          <w:szCs w:val="24"/>
        </w:rPr>
        <w:t>完全理解贵方不一定接受最低价的投标。</w:t>
      </w:r>
    </w:p>
    <w:p w14:paraId="0F0812E3">
      <w:pPr>
        <w:spacing w:line="324" w:lineRule="auto"/>
        <w:ind w:firstLine="480" w:firstLineChars="200"/>
        <w:jc w:val="both"/>
        <w:rPr>
          <w:rFonts w:hint="eastAsia" w:cs="Arial"/>
          <w:szCs w:val="24"/>
        </w:rPr>
      </w:pPr>
      <w:r>
        <w:rPr>
          <w:rFonts w:hint="eastAsia" w:cs="Arial"/>
          <w:szCs w:val="24"/>
        </w:rPr>
        <w:t>6.本项目如由中标人支付采购代理服务费，我方同意按投标人须知前附表中规定向采购代理机构支付采购代理服务费。</w:t>
      </w:r>
    </w:p>
    <w:p w14:paraId="43C93D25">
      <w:pPr>
        <w:snapToGrid w:val="0"/>
        <w:spacing w:line="324" w:lineRule="auto"/>
        <w:ind w:firstLine="480" w:firstLineChars="200"/>
        <w:jc w:val="both"/>
        <w:rPr>
          <w:rFonts w:hint="eastAsia" w:cs="Arial"/>
          <w:szCs w:val="24"/>
        </w:rPr>
      </w:pPr>
      <w:r>
        <w:rPr>
          <w:rFonts w:hint="eastAsia" w:cs="Arial"/>
          <w:szCs w:val="24"/>
        </w:rPr>
        <w:t>7.重要声明：</w:t>
      </w:r>
    </w:p>
    <w:p w14:paraId="1A3B9481">
      <w:pPr>
        <w:snapToGrid w:val="0"/>
        <w:spacing w:line="324" w:lineRule="auto"/>
        <w:ind w:firstLine="480" w:firstLineChars="200"/>
        <w:rPr>
          <w:rFonts w:hint="eastAsia"/>
          <w:szCs w:val="24"/>
        </w:rPr>
      </w:pPr>
      <w:r>
        <w:rPr>
          <w:rFonts w:hint="eastAsia"/>
          <w:szCs w:val="24"/>
        </w:rPr>
        <w:t>1）与我方单位负责人为同一人的其他单位名称：</w:t>
      </w:r>
    </w:p>
    <w:p w14:paraId="7ABCC717">
      <w:pPr>
        <w:snapToGrid w:val="0"/>
        <w:spacing w:line="324" w:lineRule="auto"/>
        <w:ind w:left="456" w:leftChars="190" w:firstLine="355" w:firstLineChars="148"/>
        <w:rPr>
          <w:rFonts w:hint="eastAsia"/>
          <w:szCs w:val="24"/>
        </w:rPr>
      </w:pPr>
      <w:r>
        <w:rPr>
          <w:rFonts w:hint="eastAsia"/>
          <w:szCs w:val="24"/>
        </w:rPr>
        <w:t>□无；□有，具体单位名称为：</w:t>
      </w:r>
      <w:r>
        <w:rPr>
          <w:rFonts w:hint="eastAsia" w:cs="Arial"/>
          <w:szCs w:val="24"/>
          <w:u w:val="single"/>
        </w:rPr>
        <w:t>（由投标人如实填写）</w:t>
      </w:r>
      <w:r>
        <w:rPr>
          <w:rFonts w:hint="eastAsia"/>
          <w:szCs w:val="24"/>
        </w:rPr>
        <w:t>。</w:t>
      </w:r>
    </w:p>
    <w:p w14:paraId="372EC055">
      <w:pPr>
        <w:snapToGrid w:val="0"/>
        <w:spacing w:line="324" w:lineRule="auto"/>
        <w:ind w:firstLine="480" w:firstLineChars="200"/>
        <w:rPr>
          <w:rFonts w:hint="eastAsia"/>
          <w:szCs w:val="24"/>
        </w:rPr>
      </w:pPr>
      <w:r>
        <w:rPr>
          <w:rFonts w:hint="eastAsia"/>
          <w:szCs w:val="24"/>
        </w:rPr>
        <w:t>2）与我方存在控股、管理关系的其他单位的名称：</w:t>
      </w:r>
    </w:p>
    <w:p w14:paraId="179543D7">
      <w:pPr>
        <w:snapToGrid w:val="0"/>
        <w:spacing w:line="324" w:lineRule="auto"/>
        <w:ind w:left="456" w:leftChars="190" w:firstLine="355" w:firstLineChars="148"/>
        <w:rPr>
          <w:rFonts w:hint="eastAsia"/>
          <w:szCs w:val="24"/>
        </w:rPr>
      </w:pPr>
      <w:r>
        <w:rPr>
          <w:rFonts w:hint="eastAsia"/>
          <w:szCs w:val="24"/>
        </w:rPr>
        <w:t xml:space="preserve">□无；□有，具体单位名称为： </w:t>
      </w:r>
      <w:r>
        <w:rPr>
          <w:rFonts w:hint="eastAsia" w:cs="Arial"/>
          <w:szCs w:val="24"/>
          <w:u w:val="single"/>
        </w:rPr>
        <w:t>（由投标人如实填写）</w:t>
      </w:r>
      <w:r>
        <w:rPr>
          <w:rFonts w:hint="eastAsia"/>
          <w:szCs w:val="24"/>
        </w:rPr>
        <w:t>。</w:t>
      </w:r>
    </w:p>
    <w:p w14:paraId="5458431B">
      <w:pPr>
        <w:snapToGrid w:val="0"/>
        <w:spacing w:line="324" w:lineRule="auto"/>
        <w:ind w:firstLine="480" w:firstLineChars="200"/>
        <w:rPr>
          <w:rFonts w:hint="eastAsia"/>
          <w:szCs w:val="24"/>
        </w:rPr>
      </w:pPr>
      <w:r>
        <w:rPr>
          <w:rFonts w:hint="eastAsia"/>
          <w:szCs w:val="24"/>
        </w:rPr>
        <w:t>3）参与本项目采购活动前，是否为本项目前期准备提供过整体设计、规范编制或者项目管理、监理、检测等服务：</w:t>
      </w:r>
    </w:p>
    <w:p w14:paraId="59133EE5">
      <w:pPr>
        <w:snapToGrid w:val="0"/>
        <w:spacing w:line="324" w:lineRule="auto"/>
        <w:ind w:left="456" w:leftChars="190" w:firstLine="355" w:firstLineChars="148"/>
        <w:rPr>
          <w:rFonts w:hint="eastAsia"/>
          <w:szCs w:val="24"/>
        </w:rPr>
      </w:pPr>
      <w:r>
        <w:rPr>
          <w:rFonts w:hint="eastAsia"/>
          <w:szCs w:val="24"/>
        </w:rPr>
        <w:t xml:space="preserve">□无；□有，已提供的具体服务内容为： </w:t>
      </w:r>
      <w:r>
        <w:rPr>
          <w:rFonts w:hint="eastAsia" w:cs="Arial"/>
          <w:szCs w:val="24"/>
          <w:u w:val="single"/>
        </w:rPr>
        <w:t>（由投标人如实填写）</w:t>
      </w:r>
      <w:r>
        <w:rPr>
          <w:rFonts w:hint="eastAsia"/>
          <w:szCs w:val="24"/>
        </w:rPr>
        <w:t>。</w:t>
      </w:r>
    </w:p>
    <w:p w14:paraId="5260BA19">
      <w:pPr>
        <w:spacing w:line="324" w:lineRule="auto"/>
        <w:ind w:firstLine="480" w:firstLineChars="200"/>
        <w:rPr>
          <w:rFonts w:hint="eastAsia"/>
          <w:szCs w:val="24"/>
        </w:rPr>
      </w:pPr>
      <w:r>
        <w:rPr>
          <w:rFonts w:hint="eastAsia"/>
          <w:szCs w:val="24"/>
        </w:rPr>
        <w:t>（备注：以上</w:t>
      </w:r>
      <w:r>
        <w:rPr>
          <w:szCs w:val="24"/>
        </w:rPr>
        <w:t>3</w:t>
      </w:r>
      <w:r>
        <w:rPr>
          <w:rFonts w:hint="eastAsia"/>
          <w:szCs w:val="24"/>
        </w:rPr>
        <w:t>项声明，必须如实选择，选中项用☑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63D021EE">
      <w:pPr>
        <w:snapToGrid w:val="0"/>
        <w:spacing w:line="324" w:lineRule="auto"/>
        <w:ind w:firstLine="480" w:firstLineChars="200"/>
        <w:rPr>
          <w:rFonts w:hint="eastAsia"/>
          <w:szCs w:val="24"/>
        </w:rPr>
      </w:pPr>
      <w:r>
        <w:rPr>
          <w:rFonts w:hint="eastAsia"/>
          <w:szCs w:val="24"/>
        </w:rPr>
        <w:t>4）我方在本投标文件中所提供的全部资料均真实有效，我方承诺对其真实性负责并承担相应后果。</w:t>
      </w:r>
    </w:p>
    <w:p w14:paraId="42B280ED">
      <w:pPr>
        <w:snapToGrid w:val="0"/>
        <w:spacing w:line="324" w:lineRule="auto"/>
        <w:ind w:firstLine="480" w:firstLineChars="200"/>
        <w:rPr>
          <w:rFonts w:hint="eastAsia"/>
          <w:szCs w:val="24"/>
        </w:rPr>
      </w:pPr>
      <w:r>
        <w:rPr>
          <w:rFonts w:hint="eastAsia"/>
          <w:szCs w:val="24"/>
        </w:rPr>
        <w:t>5）</w:t>
      </w:r>
      <w:bookmarkStart w:id="676" w:name="_Hlk161604053"/>
      <w:r>
        <w:rPr>
          <w:rFonts w:hint="eastAsia"/>
          <w:szCs w:val="24"/>
        </w:rPr>
        <w:t>我方承诺本《投标函》的签章对本投标文件全部内容具有约束力并承担法律责任。</w:t>
      </w:r>
      <w:bookmarkEnd w:id="676"/>
    </w:p>
    <w:p w14:paraId="5508D94A">
      <w:pPr>
        <w:spacing w:line="300" w:lineRule="auto"/>
        <w:rPr>
          <w:rFonts w:hint="eastAsia" w:cs="Arial"/>
          <w:szCs w:val="24"/>
        </w:rPr>
      </w:pPr>
    </w:p>
    <w:p w14:paraId="4F84D9E0">
      <w:pPr>
        <w:spacing w:line="300" w:lineRule="auto"/>
        <w:rPr>
          <w:rFonts w:hint="eastAsia" w:cs="Arial"/>
          <w:szCs w:val="24"/>
        </w:rPr>
      </w:pPr>
    </w:p>
    <w:p w14:paraId="36A75917">
      <w:pPr>
        <w:spacing w:line="300" w:lineRule="auto"/>
        <w:rPr>
          <w:rFonts w:hint="eastAsia" w:cs="Arial"/>
          <w:szCs w:val="24"/>
        </w:rPr>
      </w:pPr>
    </w:p>
    <w:p w14:paraId="4D11A4B7">
      <w:pPr>
        <w:autoSpaceDE w:val="0"/>
        <w:autoSpaceDN w:val="0"/>
        <w:adjustRightInd w:val="0"/>
        <w:snapToGrid w:val="0"/>
        <w:ind w:firstLine="480" w:firstLineChars="200"/>
        <w:rPr>
          <w:rFonts w:hint="eastAsia" w:cs="宋体"/>
        </w:rPr>
      </w:pPr>
      <w:r>
        <w:rPr>
          <w:rFonts w:hint="eastAsia" w:cs="宋体"/>
        </w:rPr>
        <w:t xml:space="preserve">投 </w:t>
      </w:r>
      <w:r>
        <w:rPr>
          <w:rFonts w:cs="宋体"/>
        </w:rPr>
        <w:t xml:space="preserve">   </w:t>
      </w:r>
      <w:r>
        <w:rPr>
          <w:rFonts w:hint="eastAsia" w:cs="宋体"/>
        </w:rPr>
        <w:t xml:space="preserve">标 </w:t>
      </w:r>
      <w:r>
        <w:rPr>
          <w:rFonts w:cs="宋体"/>
        </w:rPr>
        <w:t xml:space="preserve">   </w:t>
      </w:r>
      <w:r>
        <w:rPr>
          <w:rFonts w:hint="eastAsia" w:cs="宋体"/>
        </w:rPr>
        <w:t>人</w:t>
      </w:r>
      <w:r>
        <w:rPr>
          <w:rFonts w:hint="eastAsia" w:cs="仿宋_GB2312"/>
          <w:szCs w:val="24"/>
        </w:rPr>
        <w:t>（</w:t>
      </w:r>
      <w:r>
        <w:rPr>
          <w:rFonts w:hint="eastAsia" w:cs="宋体"/>
          <w:kern w:val="0"/>
          <w:szCs w:val="24"/>
        </w:rPr>
        <w:t>公章</w:t>
      </w:r>
      <w:r>
        <w:rPr>
          <w:rFonts w:hint="eastAsia" w:cs="宋体"/>
          <w:kern w:val="0"/>
          <w:lang w:val="zh-CN"/>
        </w:rPr>
        <w:t>)：</w:t>
      </w:r>
    </w:p>
    <w:p w14:paraId="38E8E6C2">
      <w:pPr>
        <w:autoSpaceDE w:val="0"/>
        <w:autoSpaceDN w:val="0"/>
        <w:adjustRightInd w:val="0"/>
        <w:snapToGrid w:val="0"/>
        <w:ind w:firstLine="480" w:firstLineChars="200"/>
        <w:rPr>
          <w:rFonts w:hint="eastAsia" w:cs="宋体"/>
        </w:rPr>
      </w:pPr>
      <w:r>
        <w:rPr>
          <w:rFonts w:hint="eastAsia" w:cs="宋体"/>
        </w:rPr>
        <w:t>法定代表人或授权代表（签字或印章）：</w:t>
      </w:r>
    </w:p>
    <w:p w14:paraId="59E977FE">
      <w:pPr>
        <w:autoSpaceDE w:val="0"/>
        <w:autoSpaceDN w:val="0"/>
        <w:adjustRightInd w:val="0"/>
        <w:snapToGrid w:val="0"/>
        <w:ind w:firstLine="480" w:firstLineChars="200"/>
        <w:rPr>
          <w:rFonts w:hint="eastAsia" w:cs="宋体"/>
        </w:rPr>
      </w:pPr>
      <w:r>
        <w:rPr>
          <w:rFonts w:hint="eastAsia" w:cs="宋体"/>
        </w:rPr>
        <w:t>通  讯  地  址：</w:t>
      </w:r>
    </w:p>
    <w:p w14:paraId="6CAD2B1B">
      <w:pPr>
        <w:autoSpaceDE w:val="0"/>
        <w:autoSpaceDN w:val="0"/>
        <w:adjustRightInd w:val="0"/>
        <w:snapToGrid w:val="0"/>
        <w:ind w:firstLine="480" w:firstLineChars="200"/>
        <w:rPr>
          <w:rFonts w:hint="eastAsia" w:cs="宋体"/>
        </w:rPr>
      </w:pPr>
      <w:r>
        <w:rPr>
          <w:rFonts w:hint="eastAsia" w:cs="宋体"/>
        </w:rPr>
        <w:t xml:space="preserve">传       </w:t>
      </w:r>
      <w:r>
        <w:rPr>
          <w:rFonts w:cs="宋体"/>
        </w:rPr>
        <w:t xml:space="preserve">   </w:t>
      </w:r>
      <w:r>
        <w:rPr>
          <w:rFonts w:hint="eastAsia" w:cs="宋体"/>
        </w:rPr>
        <w:t>真：</w:t>
      </w:r>
    </w:p>
    <w:p w14:paraId="4A5B90DC">
      <w:pPr>
        <w:autoSpaceDE w:val="0"/>
        <w:autoSpaceDN w:val="0"/>
        <w:adjustRightInd w:val="0"/>
        <w:snapToGrid w:val="0"/>
        <w:ind w:firstLine="480" w:firstLineChars="200"/>
        <w:rPr>
          <w:rFonts w:hint="eastAsia" w:cs="宋体"/>
        </w:rPr>
      </w:pPr>
      <w:r>
        <w:rPr>
          <w:rFonts w:hint="eastAsia" w:cs="宋体"/>
        </w:rPr>
        <w:t>电          话：</w:t>
      </w:r>
    </w:p>
    <w:p w14:paraId="35D1310C">
      <w:pPr>
        <w:ind w:firstLine="480" w:firstLineChars="200"/>
        <w:rPr>
          <w:rFonts w:hint="eastAsia" w:cs="Arial"/>
          <w:szCs w:val="24"/>
        </w:rPr>
      </w:pPr>
      <w:r>
        <w:rPr>
          <w:rFonts w:hint="eastAsia" w:cs="宋体"/>
        </w:rPr>
        <w:t xml:space="preserve">日     </w:t>
      </w:r>
      <w:r>
        <w:rPr>
          <w:rFonts w:cs="宋体"/>
        </w:rPr>
        <w:t xml:space="preserve">  </w:t>
      </w:r>
      <w:r>
        <w:rPr>
          <w:rFonts w:hint="eastAsia" w:cs="宋体"/>
        </w:rPr>
        <w:t xml:space="preserve">    期：</w:t>
      </w:r>
    </w:p>
    <w:p w14:paraId="35536D21">
      <w:pPr>
        <w:rPr>
          <w:rFonts w:hint="eastAsia" w:cs="Arial"/>
          <w:szCs w:val="24"/>
          <w:u w:val="single"/>
        </w:rPr>
      </w:pPr>
    </w:p>
    <w:p w14:paraId="5C8E67AC">
      <w:pPr>
        <w:rPr>
          <w:rFonts w:hint="eastAsia" w:cs="Arial"/>
          <w:szCs w:val="24"/>
          <w:u w:val="single"/>
        </w:rPr>
      </w:pPr>
      <w:r>
        <w:rPr>
          <w:rFonts w:cs="Arial"/>
          <w:szCs w:val="24"/>
          <w:u w:val="single"/>
        </w:rPr>
        <w:br w:type="page"/>
      </w:r>
    </w:p>
    <w:p w14:paraId="5E2C25C6">
      <w:pPr>
        <w:pStyle w:val="4"/>
        <w:spacing w:before="100" w:after="100" w:line="360" w:lineRule="auto"/>
        <w:ind w:left="420" w:hanging="420"/>
        <w:jc w:val="center"/>
        <w:rPr>
          <w:rFonts w:hint="eastAsia"/>
        </w:rPr>
      </w:pPr>
      <w:bookmarkStart w:id="677" w:name="_Toc155185924"/>
      <w:bookmarkStart w:id="678" w:name="_Toc3285"/>
      <w:bookmarkStart w:id="679" w:name="_Toc518"/>
      <w:r>
        <w:rPr>
          <w:rFonts w:hint="eastAsia"/>
        </w:rPr>
        <w:t>二、法定代表人（单位负责人）身份证明</w:t>
      </w:r>
      <w:bookmarkEnd w:id="677"/>
      <w:bookmarkEnd w:id="678"/>
      <w:bookmarkEnd w:id="679"/>
    </w:p>
    <w:p w14:paraId="5EB1F32C">
      <w:pPr>
        <w:spacing w:line="480" w:lineRule="auto"/>
        <w:ind w:firstLine="480" w:firstLineChars="200"/>
        <w:rPr>
          <w:rFonts w:hint="eastAsia" w:cs="仿宋_GB2312"/>
          <w:szCs w:val="24"/>
        </w:rPr>
      </w:pPr>
      <w:r>
        <w:rPr>
          <w:rFonts w:hint="eastAsia" w:cs="仿宋_GB2312"/>
          <w:szCs w:val="24"/>
        </w:rPr>
        <w:t xml:space="preserve">致：（采购人或采购代理机构） </w:t>
      </w:r>
    </w:p>
    <w:p w14:paraId="6BCABB72">
      <w:pPr>
        <w:spacing w:line="480" w:lineRule="auto"/>
        <w:ind w:firstLine="960" w:firstLineChars="400"/>
        <w:rPr>
          <w:rFonts w:hint="eastAsia" w:cs="仿宋_GB2312"/>
          <w:szCs w:val="24"/>
        </w:rPr>
      </w:pPr>
      <w:r>
        <w:rPr>
          <w:rFonts w:hint="eastAsia" w:cs="仿宋_GB2312"/>
          <w:szCs w:val="24"/>
        </w:rPr>
        <w:t xml:space="preserve">兹证明， </w:t>
      </w:r>
    </w:p>
    <w:p w14:paraId="5B85E3CC">
      <w:pPr>
        <w:spacing w:line="480" w:lineRule="auto"/>
        <w:ind w:firstLine="480" w:firstLineChars="200"/>
        <w:rPr>
          <w:rFonts w:hint="eastAsia" w:cs="仿宋_GB2312"/>
          <w:szCs w:val="24"/>
        </w:rPr>
      </w:pPr>
      <w:r>
        <w:rPr>
          <w:rFonts w:hint="eastAsia" w:cs="仿宋_GB2312"/>
          <w:szCs w:val="24"/>
        </w:rPr>
        <w:t xml:space="preserve">姓名：____性别：____年龄：____职务：____ </w:t>
      </w:r>
    </w:p>
    <w:p w14:paraId="3A80EBCA">
      <w:pPr>
        <w:spacing w:line="480" w:lineRule="auto"/>
        <w:ind w:firstLine="480" w:firstLineChars="200"/>
        <w:rPr>
          <w:rFonts w:hint="eastAsia" w:cs="仿宋_GB2312"/>
          <w:szCs w:val="24"/>
        </w:rPr>
      </w:pPr>
      <w:r>
        <w:rPr>
          <w:rFonts w:hint="eastAsia" w:cs="仿宋_GB2312"/>
          <w:szCs w:val="24"/>
        </w:rPr>
        <w:t xml:space="preserve">系 </w:t>
      </w:r>
      <w:r>
        <w:rPr>
          <w:rFonts w:hint="eastAsia" w:cs="仿宋_GB2312"/>
          <w:szCs w:val="24"/>
          <w:u w:val="single"/>
        </w:rPr>
        <w:t xml:space="preserve">            </w:t>
      </w:r>
      <w:r>
        <w:rPr>
          <w:rFonts w:hint="eastAsia" w:cs="仿宋_GB2312"/>
          <w:szCs w:val="24"/>
        </w:rPr>
        <w:t xml:space="preserve">（投标人名称）的法定代表人（单位负责人）。 </w:t>
      </w:r>
    </w:p>
    <w:p w14:paraId="7EE286AF">
      <w:pPr>
        <w:spacing w:line="480" w:lineRule="auto"/>
        <w:ind w:firstLine="480" w:firstLineChars="200"/>
        <w:rPr>
          <w:rFonts w:hint="eastAsia" w:cs="仿宋_GB2312"/>
          <w:szCs w:val="24"/>
        </w:rPr>
      </w:pPr>
      <w:r>
        <w:rPr>
          <w:rFonts w:hint="eastAsia" w:cs="仿宋_GB2312"/>
          <w:szCs w:val="24"/>
        </w:rPr>
        <w:t xml:space="preserve">附：法定代表人（单位负责人）身份证、护照等身份证明文件电子件： </w:t>
      </w:r>
    </w:p>
    <w:p w14:paraId="5355F3C4">
      <w:pPr>
        <w:spacing w:line="480" w:lineRule="auto"/>
        <w:ind w:firstLine="480" w:firstLineChars="200"/>
        <w:rPr>
          <w:rFonts w:hint="eastAsia" w:cs="仿宋_GB2312"/>
          <w:szCs w:val="24"/>
        </w:rPr>
      </w:pPr>
    </w:p>
    <w:p w14:paraId="23757A5A">
      <w:pPr>
        <w:rPr>
          <w:rFonts w:hint="eastAsia" w:cs="Arial"/>
          <w:sz w:val="21"/>
          <w:szCs w:val="21"/>
        </w:rPr>
      </w:pP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EEBC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6CE3817F">
            <w:pPr>
              <w:rPr>
                <w:rFonts w:hint="eastAsia" w:cs="Arial"/>
              </w:rPr>
            </w:pPr>
          </w:p>
        </w:tc>
      </w:tr>
    </w:tbl>
    <w:p w14:paraId="65EA847A">
      <w:pPr>
        <w:ind w:firstLine="840" w:firstLineChars="350"/>
        <w:jc w:val="center"/>
        <w:rPr>
          <w:rFonts w:hint="eastAsia" w:cs="Arial"/>
        </w:rPr>
      </w:pPr>
    </w:p>
    <w:p w14:paraId="70E93494">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DejaVuSans" w:hAnsi="DejaVuSans" w:eastAsia="DejaVuSans" w:cs="DejaVuSans"/>
          <w:kern w:val="0"/>
          <w:szCs w:val="24"/>
          <w:lang w:bidi="ar"/>
        </w:rPr>
        <w:t xml:space="preserve">________________ </w:t>
      </w:r>
    </w:p>
    <w:p w14:paraId="3D93000F">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 </w:t>
      </w:r>
    </w:p>
    <w:p w14:paraId="4B7627AD">
      <w:pPr>
        <w:widowControl/>
        <w:rPr>
          <w:rFonts w:hint="eastAsia" w:cs="宋体"/>
          <w:kern w:val="0"/>
          <w:szCs w:val="24"/>
          <w:lang w:bidi="ar"/>
        </w:rPr>
      </w:pPr>
    </w:p>
    <w:p w14:paraId="0EDCE4BA">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日</w:t>
      </w:r>
    </w:p>
    <w:p w14:paraId="4B3F74FB">
      <w:pPr>
        <w:rPr>
          <w:rFonts w:hint="eastAsia"/>
          <w:b/>
          <w:sz w:val="28"/>
          <w:szCs w:val="28"/>
        </w:rPr>
      </w:pPr>
    </w:p>
    <w:p w14:paraId="5C77B0FA">
      <w:pPr>
        <w:rPr>
          <w:rFonts w:hint="eastAsia"/>
          <w:b/>
          <w:sz w:val="28"/>
          <w:szCs w:val="28"/>
        </w:rPr>
      </w:pPr>
      <w:r>
        <w:rPr>
          <w:b/>
          <w:sz w:val="28"/>
          <w:szCs w:val="28"/>
        </w:rPr>
        <w:br w:type="page"/>
      </w:r>
    </w:p>
    <w:p w14:paraId="76CD40F5">
      <w:pPr>
        <w:pStyle w:val="4"/>
        <w:spacing w:before="100" w:after="100" w:line="360" w:lineRule="auto"/>
        <w:ind w:left="420" w:hanging="420"/>
        <w:jc w:val="center"/>
        <w:rPr>
          <w:rFonts w:hint="eastAsia"/>
        </w:rPr>
      </w:pPr>
      <w:bookmarkStart w:id="680" w:name="_Toc22585"/>
      <w:bookmarkStart w:id="681" w:name="_Toc29531"/>
      <w:bookmarkStart w:id="682" w:name="_Toc155185925"/>
      <w:r>
        <w:rPr>
          <w:rFonts w:hint="eastAsia"/>
        </w:rPr>
        <w:t>三、授权委托书</w:t>
      </w:r>
      <w:bookmarkEnd w:id="680"/>
      <w:bookmarkEnd w:id="681"/>
      <w:bookmarkEnd w:id="682"/>
    </w:p>
    <w:p w14:paraId="3B41E48D">
      <w:pPr>
        <w:ind w:firstLine="480" w:firstLineChars="200"/>
        <w:rPr>
          <w:rFonts w:hint="eastAsia" w:cs="仿宋_GB2312"/>
          <w:szCs w:val="24"/>
        </w:rPr>
      </w:pPr>
      <w:r>
        <w:rPr>
          <w:rFonts w:hint="eastAsia" w:cs="仿宋_GB2312"/>
          <w:szCs w:val="24"/>
        </w:rPr>
        <w:t>本人</w:t>
      </w:r>
      <w:r>
        <w:rPr>
          <w:rFonts w:cs="仿宋_GB2312"/>
          <w:szCs w:val="24"/>
          <w:u w:val="single"/>
        </w:rPr>
        <w:t xml:space="preserve">     </w:t>
      </w:r>
      <w:r>
        <w:rPr>
          <w:rFonts w:hint="eastAsia" w:cs="仿宋_GB2312"/>
          <w:szCs w:val="24"/>
        </w:rPr>
        <w:t>（姓名）系</w:t>
      </w:r>
      <w:r>
        <w:rPr>
          <w:rFonts w:hint="eastAsia" w:cs="仿宋_GB2312"/>
          <w:szCs w:val="24"/>
          <w:u w:val="single"/>
        </w:rPr>
        <w:t xml:space="preserve">          </w:t>
      </w:r>
      <w:r>
        <w:rPr>
          <w:rFonts w:hint="eastAsia" w:cs="仿宋_GB2312"/>
          <w:szCs w:val="24"/>
        </w:rPr>
        <w:t>（投标人名称）的法定代表人</w:t>
      </w:r>
      <w:r>
        <w:rPr>
          <w:rFonts w:hint="eastAsia"/>
        </w:rPr>
        <w:t>（单位负责人）</w:t>
      </w:r>
      <w:r>
        <w:rPr>
          <w:rFonts w:hint="eastAsia" w:cs="仿宋_GB2312"/>
          <w:szCs w:val="24"/>
        </w:rPr>
        <w:t>，现委托</w:t>
      </w:r>
      <w:r>
        <w:rPr>
          <w:rFonts w:hint="eastAsia" w:cs="仿宋_GB2312"/>
          <w:szCs w:val="24"/>
          <w:u w:val="single"/>
        </w:rPr>
        <w:t xml:space="preserve">     </w:t>
      </w:r>
      <w:r>
        <w:rPr>
          <w:rFonts w:hint="eastAsia" w:cs="仿宋_GB2312"/>
          <w:szCs w:val="24"/>
        </w:rPr>
        <w:t>（姓名）为我方代理人。代理人根据授权，以我方名义签署、澄清确认、说明、补正、递交、撤回、修改</w:t>
      </w:r>
      <w:r>
        <w:rPr>
          <w:rFonts w:hint="eastAsia" w:cs="仿宋_GB2312"/>
          <w:szCs w:val="24"/>
          <w:u w:val="single"/>
        </w:rPr>
        <w:t xml:space="preserve">           </w:t>
      </w:r>
      <w:r>
        <w:rPr>
          <w:rFonts w:hint="eastAsia" w:cs="仿宋_GB2312"/>
          <w:szCs w:val="24"/>
        </w:rPr>
        <w:t>（项目名称）投标文件、签订合同和处理有关事宜，其法律后果由我方承担。</w:t>
      </w:r>
    </w:p>
    <w:p w14:paraId="69E9BE47">
      <w:pPr>
        <w:ind w:firstLine="480" w:firstLineChars="200"/>
        <w:rPr>
          <w:rFonts w:hint="eastAsia" w:cs="仿宋_GB2312"/>
          <w:szCs w:val="24"/>
        </w:rPr>
      </w:pPr>
      <w:r>
        <w:rPr>
          <w:rFonts w:hint="eastAsia" w:cs="仿宋_GB2312"/>
          <w:szCs w:val="24"/>
        </w:rPr>
        <w:t>委托期限：自本授权委托书签署之日起至投标有效期届满之日止。</w:t>
      </w:r>
    </w:p>
    <w:p w14:paraId="47358774">
      <w:pPr>
        <w:ind w:firstLine="480" w:firstLineChars="200"/>
        <w:rPr>
          <w:rFonts w:hint="eastAsia" w:cs="仿宋_GB2312"/>
          <w:szCs w:val="24"/>
        </w:rPr>
      </w:pPr>
      <w:r>
        <w:rPr>
          <w:rFonts w:hint="eastAsia" w:cs="仿宋_GB2312"/>
          <w:szCs w:val="24"/>
        </w:rPr>
        <w:t>代理人无转委托权。</w:t>
      </w:r>
    </w:p>
    <w:p w14:paraId="6B9A48ED">
      <w:pPr>
        <w:spacing w:line="240" w:lineRule="exact"/>
        <w:ind w:firstLine="480" w:firstLineChars="200"/>
        <w:rPr>
          <w:rFonts w:hint="eastAsia" w:cs="仿宋_GB2312"/>
          <w:szCs w:val="24"/>
        </w:rPr>
      </w:pPr>
    </w:p>
    <w:p w14:paraId="18EC997F">
      <w:pPr>
        <w:widowControl/>
        <w:rPr>
          <w:rFonts w:hint="eastAsia"/>
        </w:rPr>
      </w:pPr>
      <w:r>
        <w:rPr>
          <w:rFonts w:hint="eastAsia" w:cs="宋体"/>
          <w:kern w:val="0"/>
          <w:szCs w:val="24"/>
          <w:lang w:bidi="ar"/>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ascii="DejaVuSans" w:hAnsi="DejaVuSans" w:eastAsia="DejaVuSans" w:cs="DejaVuSans"/>
          <w:kern w:val="0"/>
          <w:szCs w:val="24"/>
          <w:lang w:bidi="ar"/>
        </w:rPr>
        <w:t xml:space="preserve">________________ </w:t>
      </w:r>
    </w:p>
    <w:p w14:paraId="47C9581B">
      <w:pPr>
        <w:widowControl/>
        <w:rPr>
          <w:rFonts w:hint="eastAsia"/>
        </w:rPr>
      </w:pPr>
      <w:r>
        <w:rPr>
          <w:rFonts w:hint="eastAsia" w:cs="宋体"/>
          <w:kern w:val="0"/>
          <w:szCs w:val="24"/>
          <w:lang w:bidi="ar"/>
        </w:rPr>
        <w:t>法定代表人（单位负责人）（签字或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p>
    <w:p w14:paraId="1245DBC7">
      <w:pPr>
        <w:widowControl/>
        <w:rPr>
          <w:rFonts w:hint="eastAsia"/>
        </w:rPr>
      </w:pPr>
      <w:r>
        <w:rPr>
          <w:rFonts w:hint="eastAsia" w:cs="宋体"/>
          <w:kern w:val="0"/>
          <w:szCs w:val="24"/>
          <w:lang w:bidi="ar"/>
        </w:rPr>
        <w:t>委托代理人（签字或</w:t>
      </w:r>
      <w:r>
        <w:rPr>
          <w:rFonts w:hint="eastAsia" w:cs="宋体"/>
          <w:kern w:val="0"/>
          <w:szCs w:val="24"/>
        </w:rPr>
        <w:t>盖章</w:t>
      </w:r>
      <w:r>
        <w:rPr>
          <w:rFonts w:hint="eastAsia" w:cs="宋体"/>
          <w:kern w:val="0"/>
          <w:szCs w:val="24"/>
          <w:lang w:bidi="ar"/>
        </w:rPr>
        <w:t>）：</w:t>
      </w:r>
      <w:r>
        <w:rPr>
          <w:rFonts w:ascii="DejaVuSans" w:hAnsi="DejaVuSans" w:eastAsia="DejaVuSans" w:cs="DejaVuSans"/>
          <w:kern w:val="0"/>
          <w:szCs w:val="24"/>
          <w:lang w:bidi="ar"/>
        </w:rPr>
        <w:t xml:space="preserve">________________ </w:t>
      </w:r>
      <w:r>
        <w:rPr>
          <w:rFonts w:hint="eastAsia" w:ascii="DejaVuSans" w:hAnsi="DejaVuSans" w:eastAsia="DejaVuSans" w:cs="DejaVuSans"/>
          <w:kern w:val="0"/>
          <w:szCs w:val="24"/>
          <w:lang w:bidi="ar"/>
        </w:rPr>
        <w:t xml:space="preserve">   联系电话：</w:t>
      </w:r>
      <w:r>
        <w:rPr>
          <w:rFonts w:hint="eastAsia" w:ascii="DejaVuSans" w:hAnsi="DejaVuSans" w:eastAsia="DejaVuSans" w:cs="DejaVuSans"/>
          <w:kern w:val="0"/>
          <w:szCs w:val="24"/>
          <w:u w:val="single"/>
          <w:lang w:bidi="ar"/>
        </w:rPr>
        <w:t xml:space="preserve">               </w:t>
      </w:r>
      <w:r>
        <w:rPr>
          <w:rFonts w:ascii="DejaVuSans" w:hAnsi="DejaVuSans" w:eastAsia="DejaVuSans" w:cs="DejaVuSans"/>
          <w:kern w:val="0"/>
          <w:szCs w:val="24"/>
          <w:lang w:bidi="ar"/>
        </w:rPr>
        <w:t xml:space="preserve"> </w:t>
      </w:r>
    </w:p>
    <w:p w14:paraId="1D0D1E36">
      <w:pPr>
        <w:widowControl/>
        <w:rPr>
          <w:rFonts w:hint="eastAsia"/>
        </w:rPr>
      </w:pPr>
      <w:r>
        <w:rPr>
          <w:rFonts w:hint="eastAsia" w:cs="宋体"/>
          <w:kern w:val="0"/>
          <w:szCs w:val="24"/>
          <w:lang w:bidi="ar"/>
        </w:rPr>
        <w:t>日期：</w:t>
      </w:r>
      <w:r>
        <w:rPr>
          <w:rFonts w:ascii="DejaVuSans" w:hAnsi="DejaVuSans" w:eastAsia="DejaVuSans" w:cs="DejaVuSans"/>
          <w:kern w:val="0"/>
          <w:szCs w:val="24"/>
          <w:lang w:bidi="ar"/>
        </w:rPr>
        <w:t>_____</w:t>
      </w:r>
      <w:r>
        <w:rPr>
          <w:rFonts w:hint="eastAsia" w:cs="宋体"/>
          <w:kern w:val="0"/>
          <w:szCs w:val="24"/>
          <w:lang w:bidi="ar"/>
        </w:rPr>
        <w:t>年</w:t>
      </w:r>
      <w:r>
        <w:rPr>
          <w:rFonts w:ascii="DejaVuSans" w:hAnsi="DejaVuSans" w:eastAsia="DejaVuSans" w:cs="DejaVuSans"/>
          <w:kern w:val="0"/>
          <w:szCs w:val="24"/>
          <w:lang w:bidi="ar"/>
        </w:rPr>
        <w:t>______</w:t>
      </w:r>
      <w:r>
        <w:rPr>
          <w:rFonts w:hint="eastAsia" w:cs="宋体"/>
          <w:kern w:val="0"/>
          <w:szCs w:val="24"/>
          <w:lang w:bidi="ar"/>
        </w:rPr>
        <w:t>月</w:t>
      </w:r>
      <w:r>
        <w:rPr>
          <w:rFonts w:ascii="DejaVuSans" w:hAnsi="DejaVuSans" w:eastAsia="DejaVuSans" w:cs="DejaVuSans"/>
          <w:kern w:val="0"/>
          <w:szCs w:val="24"/>
          <w:lang w:bidi="ar"/>
        </w:rPr>
        <w:t>______</w:t>
      </w:r>
      <w:r>
        <w:rPr>
          <w:rFonts w:hint="eastAsia" w:cs="宋体"/>
          <w:kern w:val="0"/>
          <w:szCs w:val="24"/>
          <w:lang w:bidi="ar"/>
        </w:rPr>
        <w:t xml:space="preserve">日 </w:t>
      </w:r>
    </w:p>
    <w:p w14:paraId="1B4CCAF2">
      <w:pPr>
        <w:spacing w:line="240" w:lineRule="exact"/>
        <w:ind w:firstLine="480" w:firstLineChars="200"/>
        <w:rPr>
          <w:rFonts w:hint="eastAsia" w:cs="仿宋_GB2312"/>
          <w:szCs w:val="24"/>
        </w:rPr>
      </w:pPr>
    </w:p>
    <w:p w14:paraId="6C126AC5">
      <w:pPr>
        <w:widowControl/>
        <w:rPr>
          <w:rFonts w:hint="eastAsia"/>
        </w:rPr>
      </w:pPr>
      <w:r>
        <w:rPr>
          <w:rFonts w:hint="eastAsia" w:cs="宋体"/>
          <w:kern w:val="0"/>
          <w:szCs w:val="24"/>
          <w:lang w:bidi="ar"/>
        </w:rPr>
        <w:t xml:space="preserve">附：法定代表人及委托代理人身份证明文件电子件：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51A78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19970500">
            <w:pPr>
              <w:rPr>
                <w:rFonts w:hint="eastAsia" w:cs="Arial"/>
              </w:rPr>
            </w:pPr>
          </w:p>
        </w:tc>
      </w:tr>
    </w:tbl>
    <w:p w14:paraId="22F98957">
      <w:pPr>
        <w:ind w:firstLine="480" w:firstLineChars="200"/>
        <w:rPr>
          <w:rFonts w:hint="eastAsia" w:cs="仿宋_GB2312"/>
          <w:szCs w:val="24"/>
        </w:rPr>
      </w:pPr>
      <w:r>
        <w:rPr>
          <w:rFonts w:hint="eastAsia" w:cs="仿宋_GB2312"/>
          <w:szCs w:val="24"/>
        </w:rPr>
        <w:t xml:space="preserve">说明： </w:t>
      </w:r>
    </w:p>
    <w:p w14:paraId="5A1686BA">
      <w:pPr>
        <w:ind w:firstLine="480" w:firstLineChars="200"/>
        <w:rPr>
          <w:rFonts w:hint="eastAsia" w:cs="仿宋_GB2312"/>
          <w:szCs w:val="24"/>
        </w:rPr>
      </w:pPr>
      <w:r>
        <w:rPr>
          <w:rFonts w:hint="eastAsia" w:cs="仿宋_GB2312"/>
          <w:szCs w:val="24"/>
        </w:rPr>
        <w:t xml:space="preserve">1.若投标人为事业单位或其他组织或分支机构，则法定代表人（单位负责人）处的签署人可为单位负责人。 </w:t>
      </w:r>
    </w:p>
    <w:p w14:paraId="2D3B6949">
      <w:pPr>
        <w:ind w:firstLine="480" w:firstLineChars="200"/>
        <w:rPr>
          <w:rFonts w:hint="eastAsia" w:cs="仿宋_GB2312"/>
          <w:szCs w:val="24"/>
        </w:rPr>
      </w:pPr>
      <w:r>
        <w:rPr>
          <w:rFonts w:cs="仿宋_GB2312"/>
          <w:szCs w:val="24"/>
        </w:rPr>
        <w:t>2.</w:t>
      </w:r>
      <w:r>
        <w:rPr>
          <w:rFonts w:hint="eastAsia" w:cs="仿宋_GB2312"/>
          <w:szCs w:val="24"/>
        </w:rPr>
        <w:t xml:space="preserve">若投标文件中签字之处均为法定代表人（单位负责人）本人签署，则可不提供本《授权委托书》，但须提供《法定代表人（单位负责人）身份证明》。 </w:t>
      </w:r>
    </w:p>
    <w:p w14:paraId="5B42D595">
      <w:pPr>
        <w:ind w:firstLine="480" w:firstLineChars="200"/>
        <w:rPr>
          <w:rFonts w:hint="eastAsia" w:cs="仿宋_GB2312"/>
          <w:szCs w:val="24"/>
        </w:rPr>
      </w:pPr>
      <w:r>
        <w:rPr>
          <w:rFonts w:cs="仿宋_GB2312"/>
          <w:szCs w:val="24"/>
        </w:rPr>
        <w:t>3.</w:t>
      </w:r>
      <w:r>
        <w:rPr>
          <w:rFonts w:hint="eastAsia" w:cs="仿宋_GB2312"/>
          <w:szCs w:val="24"/>
        </w:rPr>
        <w:t xml:space="preserve">投标人为自然人的情形，可不提供本《授权委托书》。 </w:t>
      </w:r>
    </w:p>
    <w:p w14:paraId="2E089A95">
      <w:pPr>
        <w:ind w:firstLine="480" w:firstLineChars="200"/>
        <w:rPr>
          <w:rFonts w:hint="eastAsia" w:cs="仿宋_GB2312"/>
          <w:szCs w:val="24"/>
        </w:rPr>
      </w:pPr>
      <w:r>
        <w:rPr>
          <w:rFonts w:cs="仿宋_GB2312"/>
          <w:szCs w:val="24"/>
        </w:rPr>
        <w:t>4.</w:t>
      </w:r>
      <w:r>
        <w:rPr>
          <w:rFonts w:hint="eastAsia" w:cs="仿宋_GB2312"/>
          <w:szCs w:val="24"/>
        </w:rPr>
        <w:t>投标人应随本《授权委托书》同时提供法定代表人（单位负责人）及委托代理人的有效的身份证、护照等身份证明文件电子件。提供身份证的，应同时提供身份证</w:t>
      </w:r>
      <w:r>
        <w:rPr>
          <w:rFonts w:hint="eastAsia" w:cs="仿宋_GB2312"/>
          <w:b/>
          <w:bCs/>
          <w:szCs w:val="24"/>
        </w:rPr>
        <w:t>双面</w:t>
      </w:r>
      <w:r>
        <w:rPr>
          <w:rFonts w:hint="eastAsia" w:cs="仿宋_GB2312"/>
          <w:szCs w:val="24"/>
        </w:rPr>
        <w:t>电子件。</w:t>
      </w:r>
    </w:p>
    <w:p w14:paraId="1B1F1DB9">
      <w:pPr>
        <w:rPr>
          <w:rFonts w:hint="eastAsia"/>
        </w:rPr>
      </w:pPr>
      <w:r>
        <w:br w:type="page"/>
      </w:r>
    </w:p>
    <w:p w14:paraId="13C402A6">
      <w:pPr>
        <w:pStyle w:val="4"/>
        <w:spacing w:before="100" w:after="100" w:line="360" w:lineRule="auto"/>
        <w:ind w:left="420" w:hanging="420"/>
        <w:jc w:val="center"/>
        <w:rPr>
          <w:rFonts w:hint="eastAsia"/>
        </w:rPr>
      </w:pPr>
      <w:bookmarkStart w:id="683" w:name="_Toc163492928"/>
      <w:bookmarkStart w:id="684" w:name="_Toc155185934"/>
      <w:bookmarkStart w:id="685" w:name="_Toc12455"/>
      <w:bookmarkStart w:id="686" w:name="_Toc30910"/>
      <w:r>
        <w:rPr>
          <w:rFonts w:hint="eastAsia"/>
        </w:rPr>
        <w:t>四、</w:t>
      </w:r>
      <w:bookmarkEnd w:id="683"/>
      <w:bookmarkEnd w:id="684"/>
      <w:r>
        <w:rPr>
          <w:rFonts w:hint="eastAsia"/>
          <w:lang w:val="zh-CN"/>
        </w:rPr>
        <w:t>政府采购</w:t>
      </w:r>
      <w:r>
        <w:rPr>
          <w:rFonts w:hint="eastAsia"/>
        </w:rPr>
        <w:t>投标人</w:t>
      </w:r>
      <w:r>
        <w:rPr>
          <w:rFonts w:hint="eastAsia"/>
          <w:lang w:val="zh-CN"/>
        </w:rPr>
        <w:t>廉洁自律承诺书</w:t>
      </w:r>
      <w:bookmarkEnd w:id="685"/>
      <w:bookmarkEnd w:id="686"/>
    </w:p>
    <w:p w14:paraId="61A655DF">
      <w:pPr>
        <w:pStyle w:val="2"/>
        <w:rPr>
          <w:rFonts w:hint="eastAsia"/>
        </w:rPr>
      </w:pPr>
    </w:p>
    <w:p w14:paraId="4539355C">
      <w:pPr>
        <w:snapToGrid w:val="0"/>
        <w:rPr>
          <w:rFonts w:hint="eastAsia" w:cs="宋体"/>
          <w:kern w:val="0"/>
          <w:szCs w:val="24"/>
        </w:rPr>
      </w:pPr>
      <w:r>
        <w:rPr>
          <w:rFonts w:hint="eastAsia" w:cs="宋体"/>
          <w:szCs w:val="24"/>
        </w:rPr>
        <w:t>（采购人）、（采购代理机构）</w:t>
      </w:r>
      <w:r>
        <w:rPr>
          <w:rFonts w:hint="eastAsia" w:cs="宋体"/>
          <w:kern w:val="0"/>
          <w:szCs w:val="24"/>
          <w:lang w:val="zh-CN"/>
        </w:rPr>
        <w:t>：</w:t>
      </w:r>
    </w:p>
    <w:p w14:paraId="3EC0F319">
      <w:pPr>
        <w:autoSpaceDE w:val="0"/>
        <w:autoSpaceDN w:val="0"/>
        <w:ind w:left="2" w:leftChars="1" w:firstLine="480" w:firstLineChars="200"/>
        <w:rPr>
          <w:rFonts w:hint="eastAsia" w:cs="宋体"/>
          <w:kern w:val="0"/>
          <w:szCs w:val="24"/>
          <w:lang w:val="zh-CN"/>
        </w:rPr>
      </w:pPr>
      <w:r>
        <w:rPr>
          <w:rFonts w:hint="eastAsia" w:cs="宋体"/>
          <w:kern w:val="0"/>
          <w:szCs w:val="24"/>
          <w:lang w:val="zh-CN"/>
        </w:rPr>
        <w:t>我单位响应你</w:t>
      </w:r>
      <w:r>
        <w:rPr>
          <w:rFonts w:hint="eastAsia" w:cs="宋体"/>
          <w:szCs w:val="24"/>
        </w:rPr>
        <w:t>单位</w:t>
      </w:r>
      <w:r>
        <w:rPr>
          <w:rFonts w:hint="eastAsia" w:cs="宋体"/>
          <w:kern w:val="0"/>
          <w:szCs w:val="24"/>
          <w:lang w:val="zh-CN"/>
        </w:rPr>
        <w:t>项目招标</w:t>
      </w:r>
      <w:r>
        <w:rPr>
          <w:rFonts w:hint="eastAsia" w:cs="宋体"/>
          <w:kern w:val="0"/>
          <w:szCs w:val="24"/>
        </w:rPr>
        <w:t>文件</w:t>
      </w:r>
      <w:r>
        <w:rPr>
          <w:rFonts w:hint="eastAsia" w:cs="宋体"/>
          <w:kern w:val="0"/>
          <w:szCs w:val="24"/>
          <w:lang w:val="zh-CN"/>
        </w:rPr>
        <w:t>要求参加投标。在这次投标过程中和中标后，我们将严格遵守国家法律法规要求，并郑重承诺：</w:t>
      </w:r>
    </w:p>
    <w:p w14:paraId="0B3AD669">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一、不向项目有关人员及部门赠送礼金礼物、有价证券、回扣以及中介费、介绍费、咨询费等好处费； </w:t>
      </w:r>
    </w:p>
    <w:p w14:paraId="6B4022D4">
      <w:pPr>
        <w:autoSpaceDE w:val="0"/>
        <w:autoSpaceDN w:val="0"/>
        <w:ind w:left="2" w:leftChars="1" w:firstLine="480" w:firstLineChars="200"/>
        <w:rPr>
          <w:rFonts w:hint="eastAsia" w:cs="宋体"/>
          <w:kern w:val="0"/>
          <w:szCs w:val="24"/>
          <w:lang w:val="zh-CN"/>
        </w:rPr>
      </w:pPr>
      <w:r>
        <w:rPr>
          <w:rFonts w:hint="eastAsia" w:cs="宋体"/>
          <w:kern w:val="0"/>
          <w:szCs w:val="24"/>
          <w:lang w:val="zh-CN"/>
        </w:rPr>
        <w:t xml:space="preserve">二、不为项目有关人员及部门报销应由你方单位或个人支付的费用； </w:t>
      </w:r>
    </w:p>
    <w:p w14:paraId="1685110F">
      <w:pPr>
        <w:autoSpaceDE w:val="0"/>
        <w:autoSpaceDN w:val="0"/>
        <w:ind w:left="2" w:leftChars="1" w:firstLine="480" w:firstLineChars="200"/>
        <w:rPr>
          <w:rFonts w:hint="eastAsia" w:cs="宋体"/>
          <w:kern w:val="0"/>
          <w:szCs w:val="24"/>
          <w:lang w:val="zh-CN"/>
        </w:rPr>
      </w:pPr>
      <w:r>
        <w:rPr>
          <w:rFonts w:hint="eastAsia" w:cs="宋体"/>
          <w:kern w:val="0"/>
          <w:szCs w:val="24"/>
          <w:lang w:val="zh-CN"/>
        </w:rPr>
        <w:t>三、不向项目有关人员及部门提供有可能影响公正的宴请和健身娱乐等活动；</w:t>
      </w:r>
    </w:p>
    <w:p w14:paraId="09EC319D">
      <w:pPr>
        <w:autoSpaceDE w:val="0"/>
        <w:autoSpaceDN w:val="0"/>
        <w:ind w:left="2" w:leftChars="1" w:firstLine="480" w:firstLineChars="200"/>
        <w:rPr>
          <w:rFonts w:hint="eastAsia" w:cs="宋体"/>
          <w:kern w:val="0"/>
          <w:szCs w:val="24"/>
          <w:lang w:val="zh-CN"/>
        </w:rPr>
      </w:pPr>
      <w:r>
        <w:rPr>
          <w:rFonts w:hint="eastAsia" w:cs="宋体"/>
          <w:kern w:val="0"/>
          <w:szCs w:val="24"/>
          <w:lang w:val="zh-CN"/>
        </w:rPr>
        <w:t>四、不为项目有关人员及部门出国（境）、旅游等提供方便；</w:t>
      </w:r>
    </w:p>
    <w:p w14:paraId="4537FA40">
      <w:pPr>
        <w:autoSpaceDE w:val="0"/>
        <w:autoSpaceDN w:val="0"/>
        <w:ind w:left="2" w:leftChars="1" w:firstLine="480" w:firstLineChars="200"/>
        <w:rPr>
          <w:rFonts w:hint="eastAsia" w:cs="宋体"/>
          <w:kern w:val="0"/>
          <w:szCs w:val="24"/>
          <w:lang w:val="zh-CN"/>
        </w:rPr>
      </w:pPr>
      <w:r>
        <w:rPr>
          <w:rFonts w:hint="eastAsia" w:cs="宋体"/>
          <w:kern w:val="0"/>
          <w:szCs w:val="24"/>
          <w:lang w:val="zh-CN"/>
        </w:rPr>
        <w:t>五、不为项目有关人员个人装修住房、婚丧嫁娶、配偶子女工作安排等提供好处；</w:t>
      </w:r>
    </w:p>
    <w:p w14:paraId="0F883528">
      <w:pPr>
        <w:autoSpaceDE w:val="0"/>
        <w:autoSpaceDN w:val="0"/>
        <w:ind w:left="2" w:leftChars="1" w:firstLine="480" w:firstLineChars="200"/>
        <w:rPr>
          <w:rFonts w:hint="eastAsia" w:cs="宋体"/>
          <w:kern w:val="0"/>
          <w:szCs w:val="24"/>
          <w:lang w:val="zh-CN"/>
        </w:rPr>
      </w:pPr>
      <w:r>
        <w:rPr>
          <w:rFonts w:hint="eastAsia" w:cs="宋体"/>
          <w:kern w:val="0"/>
          <w:szCs w:val="24"/>
          <w:lang w:val="zh-CN"/>
        </w:rPr>
        <w:t>六、严格遵守《中华人民共和国政府采购法》</w:t>
      </w:r>
      <w:r>
        <w:rPr>
          <w:rFonts w:hint="eastAsia"/>
        </w:rPr>
        <w:t>《中华人民共和国政府采购法实施条例》</w:t>
      </w:r>
      <w:r>
        <w:rPr>
          <w:rFonts w:hint="eastAsia" w:cs="宋体"/>
          <w:kern w:val="0"/>
          <w:szCs w:val="24"/>
          <w:lang w:val="zh-CN"/>
        </w:rPr>
        <w:t xml:space="preserve">《中华人民共和国民法典》等法律法规，诚实守信，合法经营，坚决抵制各种违法违纪行为。 </w:t>
      </w:r>
    </w:p>
    <w:p w14:paraId="776BF314">
      <w:pPr>
        <w:autoSpaceDE w:val="0"/>
        <w:autoSpaceDN w:val="0"/>
        <w:ind w:left="2" w:leftChars="1" w:firstLine="480" w:firstLineChars="200"/>
        <w:rPr>
          <w:rFonts w:hint="eastAsia" w:cs="宋体"/>
          <w:kern w:val="0"/>
          <w:szCs w:val="24"/>
          <w:lang w:val="zh-CN"/>
        </w:rPr>
      </w:pPr>
      <w:r>
        <w:rPr>
          <w:rFonts w:hint="eastAsia" w:cs="宋体"/>
          <w:kern w:val="0"/>
          <w:szCs w:val="24"/>
          <w:lang w:val="zh-CN"/>
        </w:rPr>
        <w:t>如违反上述承诺，你单位有权立即取消我单位投标、中标或在建项目的建设资格，有权拒绝我单位在一定时期内进入你单位进行项目建设或其他经营活动，并通报</w:t>
      </w:r>
      <w:r>
        <w:rPr>
          <w:rFonts w:hint="eastAsia" w:cs="宋体"/>
          <w:kern w:val="0"/>
          <w:szCs w:val="24"/>
        </w:rPr>
        <w:t>兵团</w:t>
      </w:r>
      <w:r>
        <w:rPr>
          <w:rFonts w:hint="eastAsia" w:cs="宋体"/>
          <w:kern w:val="0"/>
          <w:szCs w:val="24"/>
          <w:lang w:val="zh-CN"/>
        </w:rPr>
        <w:t>财政局。由此引起的相应损失均由我单位承担。</w:t>
      </w:r>
    </w:p>
    <w:p w14:paraId="03594546">
      <w:pPr>
        <w:autoSpaceDE w:val="0"/>
        <w:autoSpaceDN w:val="0"/>
        <w:ind w:left="2"/>
        <w:rPr>
          <w:rFonts w:hint="eastAsia" w:cs="宋体"/>
          <w:kern w:val="0"/>
          <w:szCs w:val="24"/>
          <w:lang w:val="zh-CN"/>
        </w:rPr>
      </w:pPr>
    </w:p>
    <w:p w14:paraId="12C33D6A">
      <w:pPr>
        <w:autoSpaceDE w:val="0"/>
        <w:autoSpaceDN w:val="0"/>
        <w:ind w:left="2"/>
        <w:rPr>
          <w:rFonts w:hint="eastAsia" w:cs="宋体"/>
          <w:kern w:val="0"/>
          <w:szCs w:val="24"/>
          <w:lang w:val="zh-CN"/>
        </w:rPr>
      </w:pPr>
    </w:p>
    <w:p w14:paraId="6717BAB6">
      <w:pPr>
        <w:autoSpaceDE w:val="0"/>
        <w:autoSpaceDN w:val="0"/>
        <w:ind w:left="2"/>
        <w:rPr>
          <w:rFonts w:hint="eastAsia" w:cs="宋体"/>
          <w:kern w:val="0"/>
          <w:szCs w:val="24"/>
          <w:lang w:val="zh-CN"/>
        </w:rPr>
      </w:pPr>
    </w:p>
    <w:p w14:paraId="1462C298">
      <w:pPr>
        <w:autoSpaceDE w:val="0"/>
        <w:autoSpaceDN w:val="0"/>
        <w:ind w:left="2" w:leftChars="1" w:right="1120" w:firstLine="4560" w:firstLineChars="1900"/>
        <w:rPr>
          <w:rFonts w:hint="eastAsia" w:cs="宋体"/>
          <w:kern w:val="0"/>
          <w:szCs w:val="24"/>
          <w:lang w:val="zh-CN"/>
        </w:rPr>
      </w:pPr>
      <w:r>
        <w:rPr>
          <w:rFonts w:hint="eastAsia" w:cs="宋体"/>
          <w:kern w:val="0"/>
          <w:szCs w:val="24"/>
          <w:lang w:val="zh-CN"/>
        </w:rPr>
        <w:t>投标人名称</w:t>
      </w:r>
      <w:r>
        <w:rPr>
          <w:rFonts w:hint="eastAsia" w:cs="仿宋_GB2312"/>
          <w:szCs w:val="24"/>
        </w:rPr>
        <w:t>（</w:t>
      </w:r>
      <w:r>
        <w:rPr>
          <w:rFonts w:hint="eastAsia" w:cs="宋体"/>
          <w:kern w:val="0"/>
          <w:szCs w:val="24"/>
        </w:rPr>
        <w:t>公章</w:t>
      </w:r>
      <w:r>
        <w:rPr>
          <w:rFonts w:hint="eastAsia" w:cs="宋体"/>
          <w:kern w:val="0"/>
          <w:lang w:val="zh-CN"/>
        </w:rPr>
        <w:t>)</w:t>
      </w:r>
      <w:r>
        <w:rPr>
          <w:rFonts w:hint="eastAsia" w:cs="宋体"/>
          <w:kern w:val="0"/>
          <w:szCs w:val="24"/>
          <w:lang w:val="zh-CN"/>
        </w:rPr>
        <w:t xml:space="preserve">：                                                                                                                                                                                                               </w:t>
      </w:r>
    </w:p>
    <w:p w14:paraId="2BCFF8F8">
      <w:pPr>
        <w:ind w:firstLine="4560" w:firstLineChars="1900"/>
        <w:rPr>
          <w:rFonts w:hint="eastAsia" w:asciiTheme="majorHAnsi" w:hAnsiTheme="majorHAnsi" w:cstheme="majorBidi"/>
          <w:b/>
          <w:bCs/>
          <w:szCs w:val="24"/>
        </w:rPr>
      </w:pPr>
      <w:r>
        <w:rPr>
          <w:rFonts w:hint="eastAsia" w:cs="宋体"/>
          <w:kern w:val="0"/>
          <w:szCs w:val="24"/>
          <w:lang w:val="zh-CN"/>
        </w:rPr>
        <w:t>日期</w:t>
      </w:r>
      <w:r>
        <w:rPr>
          <w:rFonts w:hint="eastAsia" w:cs="宋体"/>
          <w:kern w:val="0"/>
          <w:szCs w:val="24"/>
        </w:rPr>
        <w:t>：</w:t>
      </w:r>
      <w:r>
        <w:rPr>
          <w:rFonts w:hint="eastAsia" w:cs="宋体"/>
          <w:kern w:val="0"/>
          <w:szCs w:val="24"/>
          <w:lang w:val="zh-CN"/>
        </w:rPr>
        <w:t xml:space="preserve">   年   月   日</w:t>
      </w:r>
    </w:p>
    <w:p w14:paraId="648EFAF6">
      <w:pPr>
        <w:rPr>
          <w:rFonts w:hint="eastAsia" w:asciiTheme="majorHAnsi" w:hAnsiTheme="majorHAnsi" w:cstheme="majorBidi"/>
          <w:b/>
          <w:bCs/>
          <w:szCs w:val="24"/>
        </w:rPr>
      </w:pPr>
    </w:p>
    <w:p w14:paraId="5C3EAA66">
      <w:pPr>
        <w:pStyle w:val="2"/>
        <w:rPr>
          <w:rFonts w:hint="eastAsia" w:eastAsia="宋体" w:asciiTheme="majorHAnsi" w:hAnsiTheme="majorHAnsi" w:cstheme="majorBidi"/>
          <w:b/>
          <w:bCs/>
          <w:sz w:val="24"/>
        </w:rPr>
      </w:pPr>
    </w:p>
    <w:p w14:paraId="6B1BEEA2">
      <w:pPr>
        <w:pStyle w:val="2"/>
        <w:rPr>
          <w:rFonts w:hint="eastAsia" w:eastAsia="宋体" w:asciiTheme="majorHAnsi" w:hAnsiTheme="majorHAnsi" w:cstheme="majorBidi"/>
          <w:b/>
          <w:bCs/>
          <w:sz w:val="24"/>
        </w:rPr>
      </w:pPr>
    </w:p>
    <w:p w14:paraId="299EA60D">
      <w:pPr>
        <w:pStyle w:val="2"/>
        <w:rPr>
          <w:rFonts w:hint="eastAsia" w:eastAsia="宋体" w:asciiTheme="majorHAnsi" w:hAnsiTheme="majorHAnsi" w:cstheme="majorBidi"/>
          <w:b/>
          <w:bCs/>
          <w:sz w:val="24"/>
        </w:rPr>
      </w:pPr>
    </w:p>
    <w:p w14:paraId="46551B76">
      <w:pPr>
        <w:pStyle w:val="4"/>
        <w:jc w:val="center"/>
        <w:rPr>
          <w:rFonts w:hint="eastAsia"/>
        </w:rPr>
      </w:pPr>
      <w:bookmarkStart w:id="687" w:name="_Toc18432"/>
      <w:bookmarkStart w:id="688" w:name="_Toc1633"/>
      <w:r>
        <w:rPr>
          <w:rFonts w:hint="eastAsia"/>
        </w:rPr>
        <w:t>五、</w:t>
      </w:r>
      <w:r>
        <w:rPr>
          <w:rFonts w:hint="eastAsia"/>
          <w:lang w:val="zh-CN"/>
        </w:rPr>
        <w:t>实质性响应一览表【</w:t>
      </w:r>
      <w:r>
        <w:rPr>
          <w:rFonts w:hint="eastAsia"/>
        </w:rPr>
        <w:t>本表须与第五章的一致】</w:t>
      </w:r>
      <w:bookmarkEnd w:id="687"/>
      <w:bookmarkEnd w:id="688"/>
    </w:p>
    <w:p w14:paraId="4A0B566F">
      <w:pPr>
        <w:shd w:val="clear" w:color="auto" w:fill="FFFFFF"/>
        <w:tabs>
          <w:tab w:val="left" w:pos="3045"/>
        </w:tabs>
        <w:autoSpaceDE w:val="0"/>
        <w:autoSpaceDN w:val="0"/>
        <w:adjustRightInd w:val="0"/>
        <w:snapToGrid w:val="0"/>
        <w:spacing w:line="360" w:lineRule="exact"/>
        <w:jc w:val="center"/>
        <w:rPr>
          <w:rFonts w:hint="eastAsia" w:cs="宋体"/>
          <w:bCs/>
        </w:rPr>
      </w:pPr>
      <w:r>
        <w:rPr>
          <w:rFonts w:hint="eastAsia" w:cs="宋体"/>
          <w:bCs/>
        </w:rPr>
        <w:t>（投标人须对本附表所有内容逐条响应且无负偏离，否则其</w:t>
      </w:r>
      <w:r>
        <w:rPr>
          <w:rFonts w:hint="eastAsia" w:cs="宋体"/>
          <w:b/>
        </w:rPr>
        <w:t>投标无效</w:t>
      </w:r>
      <w:r>
        <w:rPr>
          <w:rFonts w:hint="eastAsia" w:cs="宋体"/>
          <w:bCs/>
        </w:rPr>
        <w:t>）</w:t>
      </w:r>
    </w:p>
    <w:p w14:paraId="2FFFAEA0">
      <w:pPr>
        <w:pStyle w:val="25"/>
        <w:rPr>
          <w:rFonts w:hint="eastAsia" w:cs="宋体"/>
        </w:rPr>
      </w:pPr>
    </w:p>
    <w:tbl>
      <w:tblPr>
        <w:tblStyle w:val="31"/>
        <w:tblW w:w="5435"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9"/>
        <w:gridCol w:w="1993"/>
        <w:gridCol w:w="4259"/>
        <w:gridCol w:w="1871"/>
        <w:gridCol w:w="731"/>
      </w:tblGrid>
      <w:tr w14:paraId="2D205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0" w:type="pct"/>
            <w:vMerge w:val="restart"/>
            <w:vAlign w:val="center"/>
          </w:tcPr>
          <w:p w14:paraId="7EDB02D8">
            <w:pPr>
              <w:spacing w:line="360" w:lineRule="exact"/>
              <w:jc w:val="center"/>
              <w:rPr>
                <w:rFonts w:hint="eastAsia" w:cs="宋体"/>
                <w:szCs w:val="24"/>
              </w:rPr>
            </w:pPr>
            <w:r>
              <w:rPr>
                <w:rFonts w:hint="eastAsia" w:cs="宋体"/>
                <w:szCs w:val="24"/>
              </w:rPr>
              <w:t>序号</w:t>
            </w:r>
          </w:p>
        </w:tc>
        <w:tc>
          <w:tcPr>
            <w:tcW w:w="3373" w:type="pct"/>
            <w:gridSpan w:val="2"/>
            <w:vAlign w:val="center"/>
          </w:tcPr>
          <w:p w14:paraId="330906B0">
            <w:pPr>
              <w:spacing w:line="360" w:lineRule="exact"/>
              <w:jc w:val="center"/>
              <w:rPr>
                <w:rFonts w:hint="eastAsia" w:cs="宋体"/>
                <w:szCs w:val="24"/>
              </w:rPr>
            </w:pPr>
            <w:r>
              <w:rPr>
                <w:rFonts w:hint="eastAsia" w:cs="宋体"/>
              </w:rPr>
              <w:t>招标文件要求的实质性响应内容</w:t>
            </w:r>
          </w:p>
        </w:tc>
        <w:tc>
          <w:tcPr>
            <w:tcW w:w="1010" w:type="pct"/>
            <w:vMerge w:val="restart"/>
            <w:vAlign w:val="center"/>
          </w:tcPr>
          <w:p w14:paraId="7C526F44">
            <w:pPr>
              <w:spacing w:line="360" w:lineRule="exact"/>
              <w:jc w:val="center"/>
              <w:rPr>
                <w:rFonts w:hint="eastAsia" w:cs="宋体"/>
                <w:szCs w:val="24"/>
              </w:rPr>
            </w:pPr>
            <w:r>
              <w:rPr>
                <w:rFonts w:hint="eastAsia" w:cs="宋体"/>
                <w:szCs w:val="24"/>
              </w:rPr>
              <w:t>投标文件响应的具体内容</w:t>
            </w:r>
          </w:p>
        </w:tc>
        <w:tc>
          <w:tcPr>
            <w:tcW w:w="395" w:type="pct"/>
            <w:vMerge w:val="restart"/>
            <w:vAlign w:val="center"/>
          </w:tcPr>
          <w:p w14:paraId="01838209">
            <w:pPr>
              <w:spacing w:line="360" w:lineRule="exact"/>
              <w:jc w:val="center"/>
              <w:rPr>
                <w:rFonts w:hint="eastAsia" w:cs="宋体"/>
                <w:szCs w:val="24"/>
              </w:rPr>
            </w:pPr>
            <w:r>
              <w:rPr>
                <w:rFonts w:hint="eastAsia" w:cs="宋体"/>
                <w:szCs w:val="24"/>
              </w:rPr>
              <w:t>备注</w:t>
            </w:r>
          </w:p>
        </w:tc>
      </w:tr>
      <w:tr w14:paraId="08277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220" w:type="pct"/>
            <w:vMerge w:val="continue"/>
            <w:vAlign w:val="center"/>
          </w:tcPr>
          <w:p w14:paraId="4BB6CE81">
            <w:pPr>
              <w:spacing w:line="360" w:lineRule="exact"/>
              <w:jc w:val="center"/>
              <w:rPr>
                <w:rFonts w:hint="eastAsia"/>
              </w:rPr>
            </w:pPr>
          </w:p>
        </w:tc>
        <w:tc>
          <w:tcPr>
            <w:tcW w:w="1075" w:type="pct"/>
            <w:vAlign w:val="center"/>
          </w:tcPr>
          <w:p w14:paraId="3F1D1958">
            <w:pPr>
              <w:spacing w:line="360" w:lineRule="exact"/>
              <w:jc w:val="center"/>
              <w:rPr>
                <w:rFonts w:hint="eastAsia" w:cs="宋体"/>
                <w:szCs w:val="24"/>
              </w:rPr>
            </w:pPr>
            <w:r>
              <w:rPr>
                <w:rFonts w:hint="eastAsia" w:cs="宋体"/>
              </w:rPr>
              <w:t>实质性要求</w:t>
            </w:r>
          </w:p>
        </w:tc>
        <w:tc>
          <w:tcPr>
            <w:tcW w:w="2298" w:type="pct"/>
            <w:vAlign w:val="center"/>
          </w:tcPr>
          <w:p w14:paraId="5A622B78">
            <w:pPr>
              <w:spacing w:line="360" w:lineRule="exact"/>
              <w:jc w:val="center"/>
              <w:rPr>
                <w:rFonts w:hint="eastAsia" w:cs="宋体"/>
                <w:szCs w:val="24"/>
              </w:rPr>
            </w:pPr>
            <w:r>
              <w:rPr>
                <w:rFonts w:hint="eastAsia" w:cs="宋体"/>
              </w:rPr>
              <w:t>招标文件中的规定</w:t>
            </w:r>
          </w:p>
        </w:tc>
        <w:tc>
          <w:tcPr>
            <w:tcW w:w="1010" w:type="pct"/>
            <w:vMerge w:val="continue"/>
            <w:vAlign w:val="center"/>
          </w:tcPr>
          <w:p w14:paraId="032A8705">
            <w:pPr>
              <w:spacing w:line="360" w:lineRule="exact"/>
              <w:jc w:val="center"/>
              <w:rPr>
                <w:rFonts w:hint="eastAsia" w:cs="宋体"/>
                <w:szCs w:val="24"/>
              </w:rPr>
            </w:pPr>
          </w:p>
        </w:tc>
        <w:tc>
          <w:tcPr>
            <w:tcW w:w="395" w:type="pct"/>
            <w:vMerge w:val="continue"/>
            <w:vAlign w:val="center"/>
          </w:tcPr>
          <w:p w14:paraId="118A77ED">
            <w:pPr>
              <w:spacing w:line="360" w:lineRule="exact"/>
              <w:jc w:val="center"/>
              <w:rPr>
                <w:rFonts w:hint="eastAsia" w:cs="宋体"/>
                <w:szCs w:val="24"/>
              </w:rPr>
            </w:pPr>
          </w:p>
        </w:tc>
      </w:tr>
      <w:tr w14:paraId="1CCC2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vAlign w:val="center"/>
          </w:tcPr>
          <w:p w14:paraId="6E63030E">
            <w:pPr>
              <w:spacing w:line="360" w:lineRule="exact"/>
              <w:jc w:val="center"/>
              <w:rPr>
                <w:rFonts w:hint="eastAsia" w:cs="宋体"/>
                <w:szCs w:val="24"/>
              </w:rPr>
            </w:pPr>
            <w:r>
              <w:rPr>
                <w:rFonts w:hint="eastAsia" w:cs="宋体"/>
                <w:szCs w:val="24"/>
              </w:rPr>
              <w:t>1</w:t>
            </w:r>
          </w:p>
        </w:tc>
        <w:tc>
          <w:tcPr>
            <w:tcW w:w="1075" w:type="pct"/>
            <w:vAlign w:val="center"/>
          </w:tcPr>
          <w:p w14:paraId="67792220">
            <w:pPr>
              <w:spacing w:line="360" w:lineRule="exact"/>
              <w:rPr>
                <w:rFonts w:hint="eastAsia" w:cs="宋体"/>
                <w:szCs w:val="24"/>
              </w:rPr>
            </w:pPr>
          </w:p>
        </w:tc>
        <w:tc>
          <w:tcPr>
            <w:tcW w:w="2298" w:type="pct"/>
            <w:vAlign w:val="center"/>
          </w:tcPr>
          <w:p w14:paraId="2D1F1126">
            <w:pPr>
              <w:shd w:val="clear" w:color="auto" w:fill="FFFFFF"/>
              <w:autoSpaceDE w:val="0"/>
              <w:autoSpaceDN w:val="0"/>
              <w:spacing w:line="360" w:lineRule="exact"/>
              <w:rPr>
                <w:rFonts w:hint="eastAsia" w:cs="宋体"/>
                <w:szCs w:val="24"/>
              </w:rPr>
            </w:pPr>
          </w:p>
        </w:tc>
        <w:tc>
          <w:tcPr>
            <w:tcW w:w="1010" w:type="pct"/>
            <w:vAlign w:val="center"/>
          </w:tcPr>
          <w:p w14:paraId="1BE1AB62">
            <w:pPr>
              <w:spacing w:line="360" w:lineRule="exact"/>
              <w:rPr>
                <w:rFonts w:hint="eastAsia" w:cs="宋体"/>
                <w:szCs w:val="24"/>
              </w:rPr>
            </w:pPr>
          </w:p>
        </w:tc>
        <w:tc>
          <w:tcPr>
            <w:tcW w:w="395" w:type="pct"/>
            <w:vAlign w:val="center"/>
          </w:tcPr>
          <w:p w14:paraId="3B789A81">
            <w:pPr>
              <w:spacing w:line="360" w:lineRule="exact"/>
              <w:rPr>
                <w:rFonts w:hint="eastAsia" w:cs="宋体"/>
                <w:szCs w:val="24"/>
              </w:rPr>
            </w:pPr>
          </w:p>
        </w:tc>
      </w:tr>
      <w:tr w14:paraId="2D33A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8" w:hRule="atLeast"/>
        </w:trPr>
        <w:tc>
          <w:tcPr>
            <w:tcW w:w="220" w:type="pct"/>
            <w:vAlign w:val="center"/>
          </w:tcPr>
          <w:p w14:paraId="5E124AEE">
            <w:pPr>
              <w:spacing w:line="360" w:lineRule="exact"/>
              <w:jc w:val="center"/>
              <w:rPr>
                <w:rFonts w:hint="eastAsia" w:cs="宋体"/>
                <w:szCs w:val="24"/>
              </w:rPr>
            </w:pPr>
            <w:r>
              <w:rPr>
                <w:rFonts w:hint="eastAsia" w:cs="宋体"/>
                <w:szCs w:val="24"/>
              </w:rPr>
              <w:t>2</w:t>
            </w:r>
          </w:p>
        </w:tc>
        <w:tc>
          <w:tcPr>
            <w:tcW w:w="1075" w:type="pct"/>
            <w:vAlign w:val="center"/>
          </w:tcPr>
          <w:p w14:paraId="7ED18817">
            <w:pPr>
              <w:spacing w:line="360" w:lineRule="exact"/>
              <w:rPr>
                <w:rFonts w:hint="eastAsia" w:cs="宋体"/>
                <w:szCs w:val="24"/>
              </w:rPr>
            </w:pPr>
          </w:p>
        </w:tc>
        <w:tc>
          <w:tcPr>
            <w:tcW w:w="2298" w:type="pct"/>
            <w:vAlign w:val="center"/>
          </w:tcPr>
          <w:p w14:paraId="475ECF52">
            <w:pPr>
              <w:shd w:val="clear" w:color="auto" w:fill="FFFFFF"/>
              <w:autoSpaceDE w:val="0"/>
              <w:autoSpaceDN w:val="0"/>
              <w:spacing w:line="360" w:lineRule="exact"/>
              <w:rPr>
                <w:rFonts w:hint="eastAsia" w:cs="宋体"/>
                <w:szCs w:val="24"/>
              </w:rPr>
            </w:pPr>
          </w:p>
        </w:tc>
        <w:tc>
          <w:tcPr>
            <w:tcW w:w="1010" w:type="pct"/>
            <w:vAlign w:val="center"/>
          </w:tcPr>
          <w:p w14:paraId="1B444519">
            <w:pPr>
              <w:spacing w:line="360" w:lineRule="exact"/>
              <w:rPr>
                <w:rFonts w:hint="eastAsia" w:cs="宋体"/>
                <w:szCs w:val="24"/>
              </w:rPr>
            </w:pPr>
          </w:p>
        </w:tc>
        <w:tc>
          <w:tcPr>
            <w:tcW w:w="395" w:type="pct"/>
            <w:vAlign w:val="center"/>
          </w:tcPr>
          <w:p w14:paraId="251B8E6D">
            <w:pPr>
              <w:spacing w:line="360" w:lineRule="exact"/>
              <w:rPr>
                <w:rFonts w:hint="eastAsia" w:cs="宋体"/>
                <w:szCs w:val="24"/>
              </w:rPr>
            </w:pPr>
          </w:p>
        </w:tc>
      </w:tr>
      <w:tr w14:paraId="152C0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atLeast"/>
        </w:trPr>
        <w:tc>
          <w:tcPr>
            <w:tcW w:w="220" w:type="pct"/>
            <w:vAlign w:val="center"/>
          </w:tcPr>
          <w:p w14:paraId="3122654C">
            <w:pPr>
              <w:spacing w:line="360" w:lineRule="exact"/>
              <w:jc w:val="center"/>
              <w:rPr>
                <w:rFonts w:hint="eastAsia" w:cs="宋体"/>
                <w:szCs w:val="24"/>
              </w:rPr>
            </w:pPr>
            <w:r>
              <w:rPr>
                <w:rFonts w:hint="eastAsia" w:cs="宋体"/>
                <w:szCs w:val="24"/>
              </w:rPr>
              <w:t>3</w:t>
            </w:r>
          </w:p>
        </w:tc>
        <w:tc>
          <w:tcPr>
            <w:tcW w:w="1075" w:type="pct"/>
            <w:vAlign w:val="center"/>
          </w:tcPr>
          <w:p w14:paraId="0F94F2CC">
            <w:pPr>
              <w:pStyle w:val="51"/>
              <w:rPr>
                <w:rFonts w:hint="eastAsia"/>
              </w:rPr>
            </w:pPr>
          </w:p>
        </w:tc>
        <w:tc>
          <w:tcPr>
            <w:tcW w:w="2298" w:type="pct"/>
            <w:vAlign w:val="center"/>
          </w:tcPr>
          <w:p w14:paraId="60333BF2">
            <w:pPr>
              <w:pStyle w:val="51"/>
              <w:rPr>
                <w:rFonts w:hint="eastAsia"/>
              </w:rPr>
            </w:pPr>
          </w:p>
        </w:tc>
        <w:tc>
          <w:tcPr>
            <w:tcW w:w="1010" w:type="pct"/>
            <w:vAlign w:val="center"/>
          </w:tcPr>
          <w:p w14:paraId="288FA9D4">
            <w:pPr>
              <w:spacing w:line="360" w:lineRule="exact"/>
              <w:rPr>
                <w:rFonts w:hint="eastAsia" w:cs="宋体"/>
                <w:szCs w:val="24"/>
              </w:rPr>
            </w:pPr>
          </w:p>
        </w:tc>
        <w:tc>
          <w:tcPr>
            <w:tcW w:w="395" w:type="pct"/>
            <w:vAlign w:val="center"/>
          </w:tcPr>
          <w:p w14:paraId="2A72E79C">
            <w:pPr>
              <w:spacing w:line="360" w:lineRule="exact"/>
              <w:rPr>
                <w:rFonts w:hint="eastAsia" w:cs="宋体"/>
                <w:szCs w:val="24"/>
              </w:rPr>
            </w:pPr>
          </w:p>
        </w:tc>
      </w:tr>
      <w:tr w14:paraId="49FA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vAlign w:val="center"/>
          </w:tcPr>
          <w:p w14:paraId="55AE520B">
            <w:pPr>
              <w:spacing w:line="360" w:lineRule="exact"/>
              <w:jc w:val="center"/>
              <w:rPr>
                <w:rFonts w:hint="eastAsia" w:cs="宋体"/>
                <w:szCs w:val="24"/>
              </w:rPr>
            </w:pPr>
            <w:r>
              <w:rPr>
                <w:rFonts w:hint="eastAsia" w:cs="宋体"/>
                <w:szCs w:val="24"/>
              </w:rPr>
              <w:t>4</w:t>
            </w:r>
          </w:p>
        </w:tc>
        <w:tc>
          <w:tcPr>
            <w:tcW w:w="1075" w:type="pct"/>
            <w:vAlign w:val="center"/>
          </w:tcPr>
          <w:p w14:paraId="1B8E4A70">
            <w:pPr>
              <w:pStyle w:val="51"/>
              <w:rPr>
                <w:rFonts w:hint="eastAsia"/>
              </w:rPr>
            </w:pPr>
          </w:p>
        </w:tc>
        <w:tc>
          <w:tcPr>
            <w:tcW w:w="2298" w:type="pct"/>
            <w:vAlign w:val="center"/>
          </w:tcPr>
          <w:p w14:paraId="3CCA6761">
            <w:pPr>
              <w:pStyle w:val="51"/>
              <w:rPr>
                <w:rFonts w:hint="eastAsia"/>
              </w:rPr>
            </w:pPr>
          </w:p>
        </w:tc>
        <w:tc>
          <w:tcPr>
            <w:tcW w:w="1010" w:type="pct"/>
            <w:vAlign w:val="center"/>
          </w:tcPr>
          <w:p w14:paraId="3BECD306">
            <w:pPr>
              <w:spacing w:line="360" w:lineRule="exact"/>
              <w:rPr>
                <w:rFonts w:hint="eastAsia" w:cs="宋体"/>
                <w:szCs w:val="24"/>
              </w:rPr>
            </w:pPr>
          </w:p>
        </w:tc>
        <w:tc>
          <w:tcPr>
            <w:tcW w:w="395" w:type="pct"/>
            <w:vAlign w:val="center"/>
          </w:tcPr>
          <w:p w14:paraId="07685E68">
            <w:pPr>
              <w:spacing w:line="360" w:lineRule="exact"/>
              <w:rPr>
                <w:rFonts w:hint="eastAsia" w:cs="宋体"/>
                <w:szCs w:val="24"/>
              </w:rPr>
            </w:pPr>
          </w:p>
        </w:tc>
      </w:tr>
      <w:tr w14:paraId="44C07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rPr>
        <w:tc>
          <w:tcPr>
            <w:tcW w:w="220" w:type="pct"/>
            <w:vAlign w:val="center"/>
          </w:tcPr>
          <w:p w14:paraId="26F58F60">
            <w:pPr>
              <w:spacing w:line="360" w:lineRule="exact"/>
              <w:jc w:val="center"/>
              <w:rPr>
                <w:rFonts w:hint="eastAsia" w:cs="宋体"/>
                <w:szCs w:val="24"/>
              </w:rPr>
            </w:pPr>
            <w:r>
              <w:rPr>
                <w:rFonts w:hint="eastAsia" w:cs="宋体"/>
                <w:szCs w:val="24"/>
              </w:rPr>
              <w:t>5</w:t>
            </w:r>
          </w:p>
        </w:tc>
        <w:tc>
          <w:tcPr>
            <w:tcW w:w="1075" w:type="pct"/>
            <w:vAlign w:val="center"/>
          </w:tcPr>
          <w:p w14:paraId="358A1F61">
            <w:pPr>
              <w:spacing w:line="360" w:lineRule="exact"/>
              <w:rPr>
                <w:rFonts w:hint="eastAsia" w:cs="宋体"/>
                <w:szCs w:val="24"/>
              </w:rPr>
            </w:pPr>
            <w:r>
              <w:rPr>
                <w:rFonts w:hint="eastAsia" w:cs="宋体"/>
                <w:szCs w:val="24"/>
                <w:lang w:val="zh-CN"/>
              </w:rPr>
              <w:t>……</w:t>
            </w:r>
          </w:p>
        </w:tc>
        <w:tc>
          <w:tcPr>
            <w:tcW w:w="2298" w:type="pct"/>
            <w:vAlign w:val="center"/>
          </w:tcPr>
          <w:p w14:paraId="0EE2AD59">
            <w:pPr>
              <w:pStyle w:val="75"/>
              <w:shd w:val="clear" w:color="auto" w:fill="FFFFFF"/>
              <w:spacing w:line="360" w:lineRule="exact"/>
              <w:ind w:firstLine="0" w:firstLineChars="0"/>
              <w:rPr>
                <w:rFonts w:hint="eastAsia" w:ascii="宋体" w:eastAsia="宋体" w:cs="宋体"/>
                <w:sz w:val="24"/>
                <w:szCs w:val="24"/>
              </w:rPr>
            </w:pPr>
          </w:p>
        </w:tc>
        <w:tc>
          <w:tcPr>
            <w:tcW w:w="1010" w:type="pct"/>
            <w:vAlign w:val="center"/>
          </w:tcPr>
          <w:p w14:paraId="2920F265">
            <w:pPr>
              <w:spacing w:line="360" w:lineRule="exact"/>
              <w:rPr>
                <w:rFonts w:hint="eastAsia" w:cs="宋体"/>
                <w:szCs w:val="24"/>
              </w:rPr>
            </w:pPr>
          </w:p>
        </w:tc>
        <w:tc>
          <w:tcPr>
            <w:tcW w:w="395" w:type="pct"/>
            <w:vAlign w:val="center"/>
          </w:tcPr>
          <w:p w14:paraId="6FFFD5F8">
            <w:pPr>
              <w:spacing w:line="360" w:lineRule="exact"/>
              <w:rPr>
                <w:rFonts w:hint="eastAsia" w:cs="宋体"/>
                <w:szCs w:val="24"/>
              </w:rPr>
            </w:pPr>
          </w:p>
        </w:tc>
      </w:tr>
      <w:tr w14:paraId="78367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vAlign w:val="center"/>
          </w:tcPr>
          <w:p w14:paraId="27A18BE5">
            <w:pPr>
              <w:spacing w:line="360" w:lineRule="exact"/>
              <w:jc w:val="center"/>
              <w:rPr>
                <w:rFonts w:hint="eastAsia" w:cs="宋体"/>
                <w:szCs w:val="24"/>
              </w:rPr>
            </w:pPr>
            <w:r>
              <w:rPr>
                <w:rFonts w:hint="eastAsia" w:cs="宋体"/>
                <w:szCs w:val="24"/>
              </w:rPr>
              <w:t>6</w:t>
            </w:r>
          </w:p>
        </w:tc>
        <w:tc>
          <w:tcPr>
            <w:tcW w:w="1075" w:type="pct"/>
            <w:vAlign w:val="center"/>
          </w:tcPr>
          <w:p w14:paraId="7B809F50">
            <w:pPr>
              <w:spacing w:line="360" w:lineRule="exact"/>
              <w:rPr>
                <w:rFonts w:hint="eastAsia" w:cs="宋体"/>
                <w:szCs w:val="24"/>
              </w:rPr>
            </w:pPr>
            <w:r>
              <w:rPr>
                <w:rFonts w:hint="eastAsia" w:cs="宋体"/>
                <w:szCs w:val="24"/>
                <w:lang w:val="zh-CN"/>
              </w:rPr>
              <w:t>……</w:t>
            </w:r>
          </w:p>
        </w:tc>
        <w:tc>
          <w:tcPr>
            <w:tcW w:w="2298" w:type="pct"/>
            <w:vAlign w:val="center"/>
          </w:tcPr>
          <w:p w14:paraId="106CB913">
            <w:pPr>
              <w:spacing w:line="360" w:lineRule="exact"/>
              <w:rPr>
                <w:rFonts w:hint="eastAsia" w:cs="宋体"/>
                <w:szCs w:val="24"/>
              </w:rPr>
            </w:pPr>
          </w:p>
        </w:tc>
        <w:tc>
          <w:tcPr>
            <w:tcW w:w="1010" w:type="pct"/>
            <w:vAlign w:val="center"/>
          </w:tcPr>
          <w:p w14:paraId="3604CEDE">
            <w:pPr>
              <w:spacing w:line="360" w:lineRule="exact"/>
              <w:rPr>
                <w:rFonts w:hint="eastAsia" w:cs="宋体"/>
                <w:szCs w:val="24"/>
              </w:rPr>
            </w:pPr>
          </w:p>
        </w:tc>
        <w:tc>
          <w:tcPr>
            <w:tcW w:w="395" w:type="pct"/>
            <w:vAlign w:val="center"/>
          </w:tcPr>
          <w:p w14:paraId="7180E0A1">
            <w:pPr>
              <w:spacing w:line="360" w:lineRule="exact"/>
              <w:rPr>
                <w:rFonts w:hint="eastAsia" w:cs="宋体"/>
                <w:szCs w:val="24"/>
              </w:rPr>
            </w:pPr>
          </w:p>
        </w:tc>
      </w:tr>
      <w:tr w14:paraId="5443E8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0" w:hRule="atLeast"/>
        </w:trPr>
        <w:tc>
          <w:tcPr>
            <w:tcW w:w="220" w:type="pct"/>
            <w:vAlign w:val="center"/>
          </w:tcPr>
          <w:p w14:paraId="5BF42F11">
            <w:pPr>
              <w:spacing w:line="360" w:lineRule="exact"/>
              <w:jc w:val="center"/>
              <w:rPr>
                <w:rFonts w:hint="eastAsia" w:cs="宋体"/>
                <w:szCs w:val="24"/>
              </w:rPr>
            </w:pPr>
            <w:r>
              <w:rPr>
                <w:rFonts w:hint="eastAsia" w:cs="宋体"/>
                <w:szCs w:val="24"/>
              </w:rPr>
              <w:t>7</w:t>
            </w:r>
          </w:p>
        </w:tc>
        <w:tc>
          <w:tcPr>
            <w:tcW w:w="1075" w:type="pct"/>
            <w:vAlign w:val="center"/>
          </w:tcPr>
          <w:p w14:paraId="41BE8441">
            <w:pPr>
              <w:spacing w:line="360" w:lineRule="exact"/>
              <w:rPr>
                <w:rFonts w:hint="eastAsia" w:cs="宋体"/>
                <w:szCs w:val="24"/>
              </w:rPr>
            </w:pPr>
            <w:r>
              <w:rPr>
                <w:rFonts w:hint="eastAsia" w:cs="宋体"/>
                <w:szCs w:val="24"/>
                <w:lang w:val="zh-CN"/>
              </w:rPr>
              <w:t>……</w:t>
            </w:r>
          </w:p>
        </w:tc>
        <w:tc>
          <w:tcPr>
            <w:tcW w:w="2298" w:type="pct"/>
            <w:vAlign w:val="center"/>
          </w:tcPr>
          <w:p w14:paraId="44E48CBA">
            <w:pPr>
              <w:shd w:val="clear" w:color="auto" w:fill="FFFFFF"/>
              <w:spacing w:line="400" w:lineRule="atLeast"/>
              <w:rPr>
                <w:rFonts w:hint="eastAsia" w:cs="宋体"/>
                <w:szCs w:val="24"/>
              </w:rPr>
            </w:pPr>
          </w:p>
        </w:tc>
        <w:tc>
          <w:tcPr>
            <w:tcW w:w="1010" w:type="pct"/>
            <w:vAlign w:val="center"/>
          </w:tcPr>
          <w:p w14:paraId="0EF7909E">
            <w:pPr>
              <w:spacing w:line="360" w:lineRule="exact"/>
              <w:rPr>
                <w:rFonts w:hint="eastAsia" w:cs="宋体"/>
                <w:szCs w:val="24"/>
              </w:rPr>
            </w:pPr>
          </w:p>
        </w:tc>
        <w:tc>
          <w:tcPr>
            <w:tcW w:w="395" w:type="pct"/>
            <w:vAlign w:val="center"/>
          </w:tcPr>
          <w:p w14:paraId="4A73B718">
            <w:pPr>
              <w:spacing w:line="360" w:lineRule="exact"/>
              <w:rPr>
                <w:rFonts w:hint="eastAsia" w:cs="宋体"/>
                <w:szCs w:val="24"/>
              </w:rPr>
            </w:pPr>
          </w:p>
        </w:tc>
      </w:tr>
      <w:tr w14:paraId="4F17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2" w:hRule="atLeast"/>
        </w:trPr>
        <w:tc>
          <w:tcPr>
            <w:tcW w:w="220" w:type="pct"/>
            <w:vAlign w:val="center"/>
          </w:tcPr>
          <w:p w14:paraId="4C3421AC">
            <w:pPr>
              <w:spacing w:line="360" w:lineRule="exact"/>
              <w:jc w:val="center"/>
              <w:rPr>
                <w:rFonts w:hint="eastAsia" w:cs="宋体"/>
                <w:szCs w:val="24"/>
              </w:rPr>
            </w:pPr>
          </w:p>
        </w:tc>
        <w:tc>
          <w:tcPr>
            <w:tcW w:w="1075" w:type="pct"/>
            <w:vAlign w:val="center"/>
          </w:tcPr>
          <w:p w14:paraId="06FCB0CF">
            <w:pPr>
              <w:spacing w:line="360" w:lineRule="exact"/>
              <w:rPr>
                <w:rFonts w:hint="eastAsia" w:cs="宋体"/>
                <w:szCs w:val="24"/>
                <w:lang w:val="zh-CN"/>
              </w:rPr>
            </w:pPr>
            <w:r>
              <w:rPr>
                <w:rFonts w:hint="eastAsia" w:cs="宋体"/>
                <w:szCs w:val="24"/>
                <w:lang w:val="zh-CN"/>
              </w:rPr>
              <w:t>……</w:t>
            </w:r>
          </w:p>
        </w:tc>
        <w:tc>
          <w:tcPr>
            <w:tcW w:w="2298" w:type="pct"/>
            <w:vAlign w:val="center"/>
          </w:tcPr>
          <w:p w14:paraId="2717A934">
            <w:pPr>
              <w:spacing w:line="400" w:lineRule="exact"/>
              <w:rPr>
                <w:rFonts w:hint="eastAsia" w:cs="宋体"/>
                <w:szCs w:val="24"/>
              </w:rPr>
            </w:pPr>
          </w:p>
        </w:tc>
        <w:tc>
          <w:tcPr>
            <w:tcW w:w="1010" w:type="pct"/>
            <w:vAlign w:val="center"/>
          </w:tcPr>
          <w:p w14:paraId="51C2E59D">
            <w:pPr>
              <w:spacing w:line="360" w:lineRule="exact"/>
              <w:rPr>
                <w:rFonts w:hint="eastAsia" w:cs="宋体"/>
                <w:szCs w:val="24"/>
              </w:rPr>
            </w:pPr>
          </w:p>
        </w:tc>
        <w:tc>
          <w:tcPr>
            <w:tcW w:w="395" w:type="pct"/>
            <w:vAlign w:val="center"/>
          </w:tcPr>
          <w:p w14:paraId="3CEF9AF1">
            <w:pPr>
              <w:spacing w:line="360" w:lineRule="exact"/>
              <w:rPr>
                <w:rFonts w:hint="eastAsia" w:cs="宋体"/>
                <w:szCs w:val="24"/>
              </w:rPr>
            </w:pPr>
          </w:p>
        </w:tc>
      </w:tr>
    </w:tbl>
    <w:p w14:paraId="62088284">
      <w:pPr>
        <w:spacing w:line="500" w:lineRule="exact"/>
        <w:rPr>
          <w:rFonts w:hint="eastAsia" w:asciiTheme="majorHAnsi" w:hAnsiTheme="majorHAnsi" w:cstheme="majorBidi"/>
          <w:b/>
          <w:bCs/>
          <w:sz w:val="28"/>
          <w:szCs w:val="28"/>
        </w:rPr>
      </w:pPr>
    </w:p>
    <w:p w14:paraId="7B83FD82">
      <w:pPr>
        <w:spacing w:line="500" w:lineRule="exact"/>
        <w:rPr>
          <w:rFonts w:hint="eastAsia" w:asciiTheme="majorHAnsi" w:hAnsiTheme="majorHAnsi" w:cstheme="majorBidi"/>
          <w:b/>
          <w:bCs/>
          <w:sz w:val="28"/>
          <w:szCs w:val="28"/>
        </w:rPr>
      </w:pPr>
    </w:p>
    <w:p w14:paraId="11A15239">
      <w:pPr>
        <w:pStyle w:val="4"/>
        <w:spacing w:before="100" w:after="100" w:line="360" w:lineRule="auto"/>
        <w:ind w:left="420" w:hanging="420"/>
        <w:jc w:val="center"/>
        <w:rPr>
          <w:rFonts w:hint="eastAsia"/>
        </w:rPr>
      </w:pPr>
      <w:bookmarkStart w:id="689" w:name="_Toc17991"/>
      <w:bookmarkStart w:id="690" w:name="_Toc28344"/>
      <w:r>
        <w:rPr>
          <w:rFonts w:hint="eastAsia"/>
        </w:rPr>
        <w:t>六、商务响应偏离表</w:t>
      </w:r>
      <w:bookmarkEnd w:id="689"/>
      <w:bookmarkEnd w:id="690"/>
    </w:p>
    <w:p w14:paraId="74DC210E">
      <w:pPr>
        <w:rPr>
          <w:rFonts w:hint="eastAsia" w:cs="仿宋_GB2312"/>
          <w:szCs w:val="24"/>
        </w:rPr>
      </w:pPr>
      <w:r>
        <w:rPr>
          <w:rFonts w:hint="eastAsia" w:cs="仿宋_GB2312"/>
          <w:szCs w:val="24"/>
        </w:rPr>
        <w:t xml:space="preserve">项目名称：                                         </w:t>
      </w:r>
    </w:p>
    <w:p w14:paraId="3BED19CF">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1"/>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5E242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20400A1">
            <w:pPr>
              <w:pStyle w:val="51"/>
              <w:jc w:val="center"/>
              <w:rPr>
                <w:rFonts w:hint="eastAsia" w:cs="宋体"/>
                <w:sz w:val="21"/>
                <w:szCs w:val="21"/>
              </w:rPr>
            </w:pPr>
            <w:r>
              <w:rPr>
                <w:rFonts w:hint="eastAsia" w:cs="宋体"/>
                <w:sz w:val="21"/>
                <w:szCs w:val="21"/>
              </w:rPr>
              <w:t>序号</w:t>
            </w:r>
          </w:p>
        </w:tc>
        <w:tc>
          <w:tcPr>
            <w:tcW w:w="1395" w:type="pct"/>
            <w:vAlign w:val="center"/>
          </w:tcPr>
          <w:p w14:paraId="3E98DF94">
            <w:pPr>
              <w:pStyle w:val="51"/>
              <w:jc w:val="center"/>
              <w:rPr>
                <w:rFonts w:hint="eastAsia" w:cs="宋体"/>
                <w:sz w:val="21"/>
                <w:szCs w:val="21"/>
              </w:rPr>
            </w:pPr>
            <w:r>
              <w:rPr>
                <w:rFonts w:hint="eastAsia" w:cs="宋体"/>
                <w:sz w:val="21"/>
                <w:szCs w:val="21"/>
              </w:rPr>
              <w:t>招标文件的商务条款</w:t>
            </w:r>
          </w:p>
        </w:tc>
        <w:tc>
          <w:tcPr>
            <w:tcW w:w="1002" w:type="pct"/>
            <w:vAlign w:val="center"/>
          </w:tcPr>
          <w:p w14:paraId="09C6085C">
            <w:pPr>
              <w:pStyle w:val="51"/>
              <w:jc w:val="center"/>
              <w:rPr>
                <w:rFonts w:hint="eastAsia" w:cs="宋体"/>
                <w:sz w:val="21"/>
                <w:szCs w:val="21"/>
              </w:rPr>
            </w:pPr>
            <w:r>
              <w:rPr>
                <w:rFonts w:hint="eastAsia" w:cs="宋体"/>
                <w:sz w:val="21"/>
                <w:szCs w:val="21"/>
              </w:rPr>
              <w:t>投标文件的响应内容</w:t>
            </w:r>
          </w:p>
        </w:tc>
        <w:tc>
          <w:tcPr>
            <w:tcW w:w="1090" w:type="pct"/>
            <w:vAlign w:val="center"/>
          </w:tcPr>
          <w:p w14:paraId="0D3B71DD">
            <w:pPr>
              <w:pStyle w:val="51"/>
              <w:jc w:val="center"/>
              <w:rPr>
                <w:rFonts w:hint="eastAsia" w:cs="宋体"/>
                <w:sz w:val="21"/>
                <w:szCs w:val="21"/>
              </w:rPr>
            </w:pPr>
            <w:r>
              <w:rPr>
                <w:rFonts w:hint="eastAsia" w:cs="宋体"/>
                <w:sz w:val="21"/>
                <w:szCs w:val="21"/>
              </w:rPr>
              <w:t>响应情况</w:t>
            </w:r>
          </w:p>
        </w:tc>
        <w:tc>
          <w:tcPr>
            <w:tcW w:w="1090" w:type="pct"/>
            <w:vAlign w:val="center"/>
          </w:tcPr>
          <w:p w14:paraId="3C8BE6DB">
            <w:pPr>
              <w:pStyle w:val="51"/>
              <w:jc w:val="center"/>
              <w:rPr>
                <w:rFonts w:hint="eastAsia" w:cs="宋体"/>
                <w:sz w:val="21"/>
                <w:szCs w:val="21"/>
              </w:rPr>
            </w:pPr>
            <w:r>
              <w:rPr>
                <w:rFonts w:hint="eastAsia" w:cs="宋体"/>
                <w:sz w:val="21"/>
                <w:szCs w:val="21"/>
              </w:rPr>
              <w:t>说明及索引</w:t>
            </w:r>
          </w:p>
        </w:tc>
      </w:tr>
      <w:tr w14:paraId="308AF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B4E172C">
            <w:pPr>
              <w:pStyle w:val="51"/>
              <w:jc w:val="center"/>
              <w:rPr>
                <w:rFonts w:hint="eastAsia" w:cs="宋体"/>
                <w:sz w:val="21"/>
                <w:szCs w:val="21"/>
              </w:rPr>
            </w:pPr>
            <w:r>
              <w:rPr>
                <w:rFonts w:hint="eastAsia" w:cs="宋体"/>
                <w:sz w:val="21"/>
                <w:szCs w:val="21"/>
              </w:rPr>
              <w:t>1</w:t>
            </w:r>
          </w:p>
        </w:tc>
        <w:tc>
          <w:tcPr>
            <w:tcW w:w="1395" w:type="pct"/>
            <w:vAlign w:val="center"/>
          </w:tcPr>
          <w:p w14:paraId="6DDBC34E">
            <w:pPr>
              <w:pStyle w:val="51"/>
              <w:jc w:val="center"/>
              <w:rPr>
                <w:rFonts w:hint="eastAsia" w:cs="宋体"/>
                <w:sz w:val="21"/>
                <w:szCs w:val="21"/>
              </w:rPr>
            </w:pPr>
            <w:r>
              <w:rPr>
                <w:rFonts w:hint="eastAsia" w:cs="宋体"/>
                <w:sz w:val="21"/>
                <w:szCs w:val="21"/>
              </w:rPr>
              <w:t>*******</w:t>
            </w:r>
          </w:p>
        </w:tc>
        <w:tc>
          <w:tcPr>
            <w:tcW w:w="1002" w:type="pct"/>
            <w:vAlign w:val="center"/>
          </w:tcPr>
          <w:p w14:paraId="22E07CC0">
            <w:pPr>
              <w:pStyle w:val="51"/>
              <w:jc w:val="center"/>
              <w:rPr>
                <w:rFonts w:hint="eastAsia" w:cs="宋体"/>
                <w:sz w:val="21"/>
                <w:szCs w:val="21"/>
              </w:rPr>
            </w:pPr>
            <w:r>
              <w:rPr>
                <w:rFonts w:hint="eastAsia" w:cs="宋体"/>
                <w:sz w:val="21"/>
                <w:szCs w:val="21"/>
              </w:rPr>
              <w:t>*******</w:t>
            </w:r>
          </w:p>
        </w:tc>
        <w:tc>
          <w:tcPr>
            <w:tcW w:w="1090" w:type="pct"/>
            <w:vAlign w:val="center"/>
          </w:tcPr>
          <w:p w14:paraId="191E9D81">
            <w:pPr>
              <w:pStyle w:val="51"/>
              <w:jc w:val="center"/>
              <w:rPr>
                <w:rFonts w:hint="eastAsia" w:cs="宋体"/>
                <w:sz w:val="21"/>
                <w:szCs w:val="21"/>
              </w:rPr>
            </w:pPr>
            <w:r>
              <w:rPr>
                <w:rFonts w:hint="eastAsia" w:cs="宋体"/>
                <w:sz w:val="21"/>
                <w:szCs w:val="21"/>
              </w:rPr>
              <w:t>响应/偏离</w:t>
            </w:r>
          </w:p>
        </w:tc>
        <w:tc>
          <w:tcPr>
            <w:tcW w:w="1090" w:type="pct"/>
            <w:vAlign w:val="center"/>
          </w:tcPr>
          <w:p w14:paraId="468D29D7">
            <w:pPr>
              <w:pStyle w:val="51"/>
              <w:jc w:val="center"/>
              <w:rPr>
                <w:rFonts w:hint="eastAsia" w:cs="宋体"/>
                <w:sz w:val="21"/>
                <w:szCs w:val="21"/>
              </w:rPr>
            </w:pPr>
          </w:p>
        </w:tc>
      </w:tr>
      <w:tr w14:paraId="291FE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F3EA76D">
            <w:pPr>
              <w:pStyle w:val="51"/>
              <w:jc w:val="center"/>
              <w:rPr>
                <w:rFonts w:hint="eastAsia" w:cs="宋体"/>
                <w:sz w:val="21"/>
                <w:szCs w:val="21"/>
              </w:rPr>
            </w:pPr>
            <w:r>
              <w:rPr>
                <w:rFonts w:hint="eastAsia" w:cs="宋体"/>
                <w:sz w:val="21"/>
                <w:szCs w:val="21"/>
              </w:rPr>
              <w:t>2</w:t>
            </w:r>
          </w:p>
        </w:tc>
        <w:tc>
          <w:tcPr>
            <w:tcW w:w="1395" w:type="pct"/>
            <w:vAlign w:val="center"/>
          </w:tcPr>
          <w:p w14:paraId="01A9FC9C">
            <w:pPr>
              <w:pStyle w:val="51"/>
              <w:jc w:val="center"/>
              <w:rPr>
                <w:rFonts w:hint="eastAsia" w:cs="宋体"/>
                <w:sz w:val="21"/>
                <w:szCs w:val="21"/>
              </w:rPr>
            </w:pPr>
            <w:r>
              <w:rPr>
                <w:rFonts w:hint="eastAsia" w:cs="宋体"/>
                <w:sz w:val="21"/>
                <w:szCs w:val="21"/>
              </w:rPr>
              <w:t>*******</w:t>
            </w:r>
          </w:p>
        </w:tc>
        <w:tc>
          <w:tcPr>
            <w:tcW w:w="1002" w:type="pct"/>
            <w:vAlign w:val="center"/>
          </w:tcPr>
          <w:p w14:paraId="714C9162">
            <w:pPr>
              <w:pStyle w:val="51"/>
              <w:jc w:val="center"/>
              <w:rPr>
                <w:rFonts w:hint="eastAsia" w:cs="宋体"/>
                <w:sz w:val="21"/>
                <w:szCs w:val="21"/>
              </w:rPr>
            </w:pPr>
            <w:r>
              <w:rPr>
                <w:rFonts w:hint="eastAsia" w:cs="宋体"/>
                <w:sz w:val="21"/>
                <w:szCs w:val="21"/>
              </w:rPr>
              <w:t>*******</w:t>
            </w:r>
          </w:p>
        </w:tc>
        <w:tc>
          <w:tcPr>
            <w:tcW w:w="1090" w:type="pct"/>
            <w:vAlign w:val="center"/>
          </w:tcPr>
          <w:p w14:paraId="21725CF5">
            <w:pPr>
              <w:pStyle w:val="51"/>
              <w:jc w:val="center"/>
              <w:rPr>
                <w:rFonts w:hint="eastAsia" w:cs="宋体"/>
                <w:sz w:val="21"/>
                <w:szCs w:val="21"/>
              </w:rPr>
            </w:pPr>
          </w:p>
        </w:tc>
        <w:tc>
          <w:tcPr>
            <w:tcW w:w="1090" w:type="pct"/>
            <w:vAlign w:val="center"/>
          </w:tcPr>
          <w:p w14:paraId="3B64E7DD">
            <w:pPr>
              <w:pStyle w:val="51"/>
              <w:jc w:val="center"/>
              <w:rPr>
                <w:rFonts w:hint="eastAsia" w:cs="宋体"/>
                <w:sz w:val="21"/>
                <w:szCs w:val="21"/>
              </w:rPr>
            </w:pPr>
          </w:p>
        </w:tc>
      </w:tr>
      <w:tr w14:paraId="4E1A7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6EEB915">
            <w:pPr>
              <w:pStyle w:val="51"/>
              <w:jc w:val="center"/>
              <w:rPr>
                <w:rFonts w:hint="eastAsia" w:cs="宋体"/>
                <w:sz w:val="21"/>
                <w:szCs w:val="21"/>
              </w:rPr>
            </w:pPr>
            <w:r>
              <w:rPr>
                <w:rFonts w:hint="eastAsia" w:cs="宋体"/>
                <w:sz w:val="21"/>
                <w:szCs w:val="21"/>
              </w:rPr>
              <w:t>3</w:t>
            </w:r>
          </w:p>
        </w:tc>
        <w:tc>
          <w:tcPr>
            <w:tcW w:w="1395" w:type="pct"/>
            <w:vAlign w:val="center"/>
          </w:tcPr>
          <w:p w14:paraId="4F3F330B">
            <w:pPr>
              <w:pStyle w:val="51"/>
              <w:jc w:val="center"/>
              <w:rPr>
                <w:rFonts w:hint="eastAsia" w:cs="宋体"/>
                <w:sz w:val="21"/>
                <w:szCs w:val="21"/>
              </w:rPr>
            </w:pPr>
            <w:r>
              <w:rPr>
                <w:rFonts w:hint="eastAsia" w:cs="宋体"/>
                <w:sz w:val="21"/>
                <w:szCs w:val="21"/>
              </w:rPr>
              <w:t>*******</w:t>
            </w:r>
          </w:p>
        </w:tc>
        <w:tc>
          <w:tcPr>
            <w:tcW w:w="1002" w:type="pct"/>
            <w:vAlign w:val="center"/>
          </w:tcPr>
          <w:p w14:paraId="469613B9">
            <w:pPr>
              <w:pStyle w:val="51"/>
              <w:jc w:val="center"/>
              <w:rPr>
                <w:rFonts w:hint="eastAsia" w:cs="宋体"/>
                <w:sz w:val="21"/>
                <w:szCs w:val="21"/>
              </w:rPr>
            </w:pPr>
            <w:r>
              <w:rPr>
                <w:rFonts w:hint="eastAsia" w:cs="宋体"/>
                <w:sz w:val="21"/>
                <w:szCs w:val="21"/>
              </w:rPr>
              <w:t>*******</w:t>
            </w:r>
          </w:p>
        </w:tc>
        <w:tc>
          <w:tcPr>
            <w:tcW w:w="1090" w:type="pct"/>
            <w:vAlign w:val="center"/>
          </w:tcPr>
          <w:p w14:paraId="067F7B2C">
            <w:pPr>
              <w:pStyle w:val="51"/>
              <w:jc w:val="center"/>
              <w:rPr>
                <w:rFonts w:hint="eastAsia" w:cs="宋体"/>
                <w:sz w:val="21"/>
                <w:szCs w:val="21"/>
              </w:rPr>
            </w:pPr>
          </w:p>
        </w:tc>
        <w:tc>
          <w:tcPr>
            <w:tcW w:w="1090" w:type="pct"/>
            <w:vAlign w:val="center"/>
          </w:tcPr>
          <w:p w14:paraId="63A50E17">
            <w:pPr>
              <w:pStyle w:val="51"/>
              <w:jc w:val="center"/>
              <w:rPr>
                <w:rFonts w:hint="eastAsia" w:cs="宋体"/>
                <w:sz w:val="21"/>
                <w:szCs w:val="21"/>
              </w:rPr>
            </w:pPr>
          </w:p>
        </w:tc>
      </w:tr>
      <w:tr w14:paraId="62C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760B0E0">
            <w:pPr>
              <w:pStyle w:val="51"/>
              <w:jc w:val="center"/>
              <w:rPr>
                <w:rFonts w:hint="eastAsia" w:cs="宋体"/>
                <w:sz w:val="21"/>
                <w:szCs w:val="21"/>
              </w:rPr>
            </w:pPr>
          </w:p>
        </w:tc>
        <w:tc>
          <w:tcPr>
            <w:tcW w:w="1395" w:type="pct"/>
            <w:vAlign w:val="center"/>
          </w:tcPr>
          <w:p w14:paraId="036E6509">
            <w:pPr>
              <w:pStyle w:val="51"/>
              <w:jc w:val="center"/>
              <w:rPr>
                <w:rFonts w:hint="eastAsia" w:cs="宋体"/>
                <w:sz w:val="21"/>
                <w:szCs w:val="21"/>
              </w:rPr>
            </w:pPr>
          </w:p>
        </w:tc>
        <w:tc>
          <w:tcPr>
            <w:tcW w:w="1002" w:type="pct"/>
            <w:vAlign w:val="center"/>
          </w:tcPr>
          <w:p w14:paraId="3D26ADB6">
            <w:pPr>
              <w:pStyle w:val="51"/>
              <w:jc w:val="center"/>
              <w:rPr>
                <w:rFonts w:hint="eastAsia" w:cs="宋体"/>
                <w:sz w:val="21"/>
                <w:szCs w:val="21"/>
              </w:rPr>
            </w:pPr>
          </w:p>
        </w:tc>
        <w:tc>
          <w:tcPr>
            <w:tcW w:w="1090" w:type="pct"/>
            <w:vAlign w:val="center"/>
          </w:tcPr>
          <w:p w14:paraId="0FE2F5BD">
            <w:pPr>
              <w:pStyle w:val="51"/>
              <w:jc w:val="center"/>
              <w:rPr>
                <w:rFonts w:hint="eastAsia" w:cs="宋体"/>
                <w:sz w:val="21"/>
                <w:szCs w:val="21"/>
              </w:rPr>
            </w:pPr>
          </w:p>
        </w:tc>
        <w:tc>
          <w:tcPr>
            <w:tcW w:w="1090" w:type="pct"/>
            <w:vAlign w:val="center"/>
          </w:tcPr>
          <w:p w14:paraId="10FA063D">
            <w:pPr>
              <w:pStyle w:val="51"/>
              <w:jc w:val="center"/>
              <w:rPr>
                <w:rFonts w:hint="eastAsia" w:cs="宋体"/>
                <w:sz w:val="21"/>
                <w:szCs w:val="21"/>
              </w:rPr>
            </w:pPr>
          </w:p>
        </w:tc>
      </w:tr>
      <w:tr w14:paraId="0E6A7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183907AB">
            <w:pPr>
              <w:pStyle w:val="51"/>
              <w:jc w:val="center"/>
              <w:rPr>
                <w:rFonts w:hint="eastAsia" w:cs="宋体"/>
                <w:sz w:val="21"/>
                <w:szCs w:val="21"/>
              </w:rPr>
            </w:pPr>
          </w:p>
        </w:tc>
        <w:tc>
          <w:tcPr>
            <w:tcW w:w="1395" w:type="pct"/>
            <w:vAlign w:val="center"/>
          </w:tcPr>
          <w:p w14:paraId="5EE7F4D9">
            <w:pPr>
              <w:pStyle w:val="51"/>
              <w:jc w:val="center"/>
              <w:rPr>
                <w:rFonts w:hint="eastAsia" w:cs="宋体"/>
                <w:sz w:val="21"/>
                <w:szCs w:val="21"/>
              </w:rPr>
            </w:pPr>
          </w:p>
        </w:tc>
        <w:tc>
          <w:tcPr>
            <w:tcW w:w="1002" w:type="pct"/>
            <w:vAlign w:val="center"/>
          </w:tcPr>
          <w:p w14:paraId="03A91ED9">
            <w:pPr>
              <w:pStyle w:val="51"/>
              <w:jc w:val="center"/>
              <w:rPr>
                <w:rFonts w:hint="eastAsia" w:cs="宋体"/>
                <w:sz w:val="21"/>
                <w:szCs w:val="21"/>
              </w:rPr>
            </w:pPr>
          </w:p>
        </w:tc>
        <w:tc>
          <w:tcPr>
            <w:tcW w:w="1090" w:type="pct"/>
            <w:vAlign w:val="center"/>
          </w:tcPr>
          <w:p w14:paraId="0A112189">
            <w:pPr>
              <w:pStyle w:val="51"/>
              <w:jc w:val="center"/>
              <w:rPr>
                <w:rFonts w:hint="eastAsia" w:cs="宋体"/>
                <w:sz w:val="21"/>
                <w:szCs w:val="21"/>
              </w:rPr>
            </w:pPr>
          </w:p>
        </w:tc>
        <w:tc>
          <w:tcPr>
            <w:tcW w:w="1090" w:type="pct"/>
            <w:vAlign w:val="center"/>
          </w:tcPr>
          <w:p w14:paraId="4E4028CF">
            <w:pPr>
              <w:pStyle w:val="51"/>
              <w:jc w:val="center"/>
              <w:rPr>
                <w:rFonts w:hint="eastAsia" w:cs="宋体"/>
                <w:sz w:val="21"/>
                <w:szCs w:val="21"/>
              </w:rPr>
            </w:pPr>
          </w:p>
        </w:tc>
      </w:tr>
      <w:tr w14:paraId="6673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51F03DD">
            <w:pPr>
              <w:pStyle w:val="51"/>
              <w:jc w:val="center"/>
              <w:rPr>
                <w:rFonts w:hint="eastAsia" w:cs="宋体"/>
                <w:sz w:val="21"/>
                <w:szCs w:val="21"/>
              </w:rPr>
            </w:pPr>
          </w:p>
        </w:tc>
        <w:tc>
          <w:tcPr>
            <w:tcW w:w="1395" w:type="pct"/>
            <w:vAlign w:val="center"/>
          </w:tcPr>
          <w:p w14:paraId="31E40310">
            <w:pPr>
              <w:pStyle w:val="51"/>
              <w:jc w:val="center"/>
              <w:rPr>
                <w:rFonts w:hint="eastAsia" w:cs="宋体"/>
                <w:sz w:val="21"/>
                <w:szCs w:val="21"/>
              </w:rPr>
            </w:pPr>
          </w:p>
        </w:tc>
        <w:tc>
          <w:tcPr>
            <w:tcW w:w="1002" w:type="pct"/>
            <w:vAlign w:val="center"/>
          </w:tcPr>
          <w:p w14:paraId="1356451F">
            <w:pPr>
              <w:pStyle w:val="51"/>
              <w:jc w:val="center"/>
              <w:rPr>
                <w:rFonts w:hint="eastAsia" w:cs="宋体"/>
                <w:sz w:val="21"/>
                <w:szCs w:val="21"/>
              </w:rPr>
            </w:pPr>
          </w:p>
        </w:tc>
        <w:tc>
          <w:tcPr>
            <w:tcW w:w="1090" w:type="pct"/>
            <w:vAlign w:val="center"/>
          </w:tcPr>
          <w:p w14:paraId="6FA67499">
            <w:pPr>
              <w:pStyle w:val="51"/>
              <w:jc w:val="center"/>
              <w:rPr>
                <w:rFonts w:hint="eastAsia" w:cs="宋体"/>
                <w:sz w:val="21"/>
                <w:szCs w:val="21"/>
              </w:rPr>
            </w:pPr>
          </w:p>
        </w:tc>
        <w:tc>
          <w:tcPr>
            <w:tcW w:w="1090" w:type="pct"/>
            <w:vAlign w:val="center"/>
          </w:tcPr>
          <w:p w14:paraId="5FD41694">
            <w:pPr>
              <w:pStyle w:val="51"/>
              <w:jc w:val="center"/>
              <w:rPr>
                <w:rFonts w:hint="eastAsia" w:cs="宋体"/>
                <w:sz w:val="21"/>
                <w:szCs w:val="21"/>
              </w:rPr>
            </w:pPr>
          </w:p>
        </w:tc>
      </w:tr>
      <w:tr w14:paraId="7C52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80C4190">
            <w:pPr>
              <w:pStyle w:val="51"/>
              <w:jc w:val="center"/>
              <w:rPr>
                <w:rFonts w:hint="eastAsia" w:cs="宋体"/>
                <w:sz w:val="21"/>
                <w:szCs w:val="21"/>
              </w:rPr>
            </w:pPr>
          </w:p>
        </w:tc>
        <w:tc>
          <w:tcPr>
            <w:tcW w:w="1395" w:type="pct"/>
            <w:vAlign w:val="center"/>
          </w:tcPr>
          <w:p w14:paraId="393C1365">
            <w:pPr>
              <w:pStyle w:val="51"/>
              <w:jc w:val="center"/>
              <w:rPr>
                <w:rFonts w:hint="eastAsia" w:cs="宋体"/>
                <w:sz w:val="21"/>
                <w:szCs w:val="21"/>
              </w:rPr>
            </w:pPr>
          </w:p>
        </w:tc>
        <w:tc>
          <w:tcPr>
            <w:tcW w:w="1002" w:type="pct"/>
            <w:vAlign w:val="center"/>
          </w:tcPr>
          <w:p w14:paraId="50C0DA9D">
            <w:pPr>
              <w:pStyle w:val="51"/>
              <w:jc w:val="center"/>
              <w:rPr>
                <w:rFonts w:hint="eastAsia" w:cs="宋体"/>
                <w:sz w:val="21"/>
                <w:szCs w:val="21"/>
              </w:rPr>
            </w:pPr>
          </w:p>
        </w:tc>
        <w:tc>
          <w:tcPr>
            <w:tcW w:w="1090" w:type="pct"/>
            <w:vAlign w:val="center"/>
          </w:tcPr>
          <w:p w14:paraId="118F9979">
            <w:pPr>
              <w:pStyle w:val="51"/>
              <w:jc w:val="center"/>
              <w:rPr>
                <w:rFonts w:hint="eastAsia" w:cs="宋体"/>
                <w:sz w:val="21"/>
                <w:szCs w:val="21"/>
              </w:rPr>
            </w:pPr>
          </w:p>
        </w:tc>
        <w:tc>
          <w:tcPr>
            <w:tcW w:w="1090" w:type="pct"/>
            <w:vAlign w:val="center"/>
          </w:tcPr>
          <w:p w14:paraId="4CFF61AA">
            <w:pPr>
              <w:pStyle w:val="51"/>
              <w:jc w:val="center"/>
              <w:rPr>
                <w:rFonts w:hint="eastAsia" w:cs="宋体"/>
                <w:sz w:val="21"/>
                <w:szCs w:val="21"/>
              </w:rPr>
            </w:pPr>
          </w:p>
        </w:tc>
      </w:tr>
      <w:tr w14:paraId="2D122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995ABD2">
            <w:pPr>
              <w:pStyle w:val="51"/>
              <w:jc w:val="center"/>
              <w:rPr>
                <w:rFonts w:hint="eastAsia" w:cs="宋体"/>
                <w:sz w:val="21"/>
                <w:szCs w:val="21"/>
              </w:rPr>
            </w:pPr>
          </w:p>
        </w:tc>
        <w:tc>
          <w:tcPr>
            <w:tcW w:w="1395" w:type="pct"/>
            <w:vAlign w:val="center"/>
          </w:tcPr>
          <w:p w14:paraId="4DED600B">
            <w:pPr>
              <w:pStyle w:val="51"/>
              <w:jc w:val="center"/>
              <w:rPr>
                <w:rFonts w:hint="eastAsia" w:cs="宋体"/>
                <w:sz w:val="21"/>
                <w:szCs w:val="21"/>
              </w:rPr>
            </w:pPr>
          </w:p>
        </w:tc>
        <w:tc>
          <w:tcPr>
            <w:tcW w:w="1002" w:type="pct"/>
            <w:vAlign w:val="center"/>
          </w:tcPr>
          <w:p w14:paraId="268A6E26">
            <w:pPr>
              <w:pStyle w:val="51"/>
              <w:jc w:val="center"/>
              <w:rPr>
                <w:rFonts w:hint="eastAsia" w:cs="宋体"/>
                <w:sz w:val="21"/>
                <w:szCs w:val="21"/>
              </w:rPr>
            </w:pPr>
          </w:p>
        </w:tc>
        <w:tc>
          <w:tcPr>
            <w:tcW w:w="1090" w:type="pct"/>
            <w:vAlign w:val="center"/>
          </w:tcPr>
          <w:p w14:paraId="27B06DB7">
            <w:pPr>
              <w:pStyle w:val="51"/>
              <w:jc w:val="center"/>
              <w:rPr>
                <w:rFonts w:hint="eastAsia" w:cs="宋体"/>
                <w:sz w:val="21"/>
                <w:szCs w:val="21"/>
              </w:rPr>
            </w:pPr>
          </w:p>
        </w:tc>
        <w:tc>
          <w:tcPr>
            <w:tcW w:w="1090" w:type="pct"/>
            <w:vAlign w:val="center"/>
          </w:tcPr>
          <w:p w14:paraId="366DCB04">
            <w:pPr>
              <w:pStyle w:val="51"/>
              <w:jc w:val="center"/>
              <w:rPr>
                <w:rFonts w:hint="eastAsia" w:cs="宋体"/>
                <w:sz w:val="21"/>
                <w:szCs w:val="21"/>
              </w:rPr>
            </w:pPr>
          </w:p>
        </w:tc>
      </w:tr>
      <w:tr w14:paraId="0E45B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2B9C55E3">
            <w:pPr>
              <w:pStyle w:val="51"/>
              <w:jc w:val="center"/>
              <w:rPr>
                <w:rFonts w:hint="eastAsia" w:cs="宋体"/>
                <w:sz w:val="21"/>
                <w:szCs w:val="21"/>
              </w:rPr>
            </w:pPr>
          </w:p>
        </w:tc>
        <w:tc>
          <w:tcPr>
            <w:tcW w:w="1395" w:type="pct"/>
            <w:vAlign w:val="center"/>
          </w:tcPr>
          <w:p w14:paraId="2797C141">
            <w:pPr>
              <w:pStyle w:val="51"/>
              <w:jc w:val="center"/>
              <w:rPr>
                <w:rFonts w:hint="eastAsia" w:cs="宋体"/>
                <w:sz w:val="21"/>
                <w:szCs w:val="21"/>
              </w:rPr>
            </w:pPr>
          </w:p>
        </w:tc>
        <w:tc>
          <w:tcPr>
            <w:tcW w:w="1002" w:type="pct"/>
            <w:vAlign w:val="center"/>
          </w:tcPr>
          <w:p w14:paraId="03DDA1A6">
            <w:pPr>
              <w:pStyle w:val="51"/>
              <w:jc w:val="center"/>
              <w:rPr>
                <w:rFonts w:hint="eastAsia" w:cs="宋体"/>
                <w:sz w:val="21"/>
                <w:szCs w:val="21"/>
              </w:rPr>
            </w:pPr>
          </w:p>
        </w:tc>
        <w:tc>
          <w:tcPr>
            <w:tcW w:w="1090" w:type="pct"/>
            <w:vAlign w:val="center"/>
          </w:tcPr>
          <w:p w14:paraId="688F1845">
            <w:pPr>
              <w:pStyle w:val="51"/>
              <w:jc w:val="center"/>
              <w:rPr>
                <w:rFonts w:hint="eastAsia" w:cs="宋体"/>
                <w:sz w:val="21"/>
                <w:szCs w:val="21"/>
              </w:rPr>
            </w:pPr>
          </w:p>
        </w:tc>
        <w:tc>
          <w:tcPr>
            <w:tcW w:w="1090" w:type="pct"/>
            <w:vAlign w:val="center"/>
          </w:tcPr>
          <w:p w14:paraId="54A30D65">
            <w:pPr>
              <w:pStyle w:val="51"/>
              <w:jc w:val="center"/>
              <w:rPr>
                <w:rFonts w:hint="eastAsia" w:cs="宋体"/>
                <w:sz w:val="21"/>
                <w:szCs w:val="21"/>
              </w:rPr>
            </w:pPr>
          </w:p>
        </w:tc>
      </w:tr>
      <w:tr w14:paraId="77FE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24BC23C9">
            <w:pPr>
              <w:pStyle w:val="51"/>
              <w:jc w:val="center"/>
              <w:rPr>
                <w:rFonts w:hint="eastAsia" w:cs="宋体"/>
                <w:sz w:val="21"/>
                <w:szCs w:val="21"/>
              </w:rPr>
            </w:pPr>
            <w:r>
              <w:rPr>
                <w:rFonts w:hint="eastAsia" w:cs="宋体"/>
                <w:sz w:val="21"/>
                <w:szCs w:val="21"/>
              </w:rPr>
              <w:t>……</w:t>
            </w:r>
          </w:p>
        </w:tc>
        <w:tc>
          <w:tcPr>
            <w:tcW w:w="1395" w:type="pct"/>
            <w:vAlign w:val="center"/>
          </w:tcPr>
          <w:p w14:paraId="60B59AE1">
            <w:pPr>
              <w:pStyle w:val="51"/>
              <w:jc w:val="center"/>
              <w:rPr>
                <w:rFonts w:hint="eastAsia" w:cs="宋体"/>
                <w:sz w:val="21"/>
                <w:szCs w:val="21"/>
              </w:rPr>
            </w:pPr>
            <w:r>
              <w:rPr>
                <w:rFonts w:hint="eastAsia" w:cs="宋体"/>
                <w:sz w:val="21"/>
                <w:szCs w:val="21"/>
              </w:rPr>
              <w:t>…………</w:t>
            </w:r>
          </w:p>
        </w:tc>
        <w:tc>
          <w:tcPr>
            <w:tcW w:w="1002" w:type="pct"/>
            <w:vAlign w:val="center"/>
          </w:tcPr>
          <w:p w14:paraId="320380CE">
            <w:pPr>
              <w:pStyle w:val="51"/>
              <w:jc w:val="center"/>
              <w:rPr>
                <w:rFonts w:hint="eastAsia" w:cs="宋体"/>
                <w:sz w:val="21"/>
                <w:szCs w:val="21"/>
              </w:rPr>
            </w:pPr>
            <w:r>
              <w:rPr>
                <w:rFonts w:hint="eastAsia" w:cs="宋体"/>
                <w:sz w:val="21"/>
                <w:szCs w:val="21"/>
              </w:rPr>
              <w:t>…………</w:t>
            </w:r>
          </w:p>
        </w:tc>
        <w:tc>
          <w:tcPr>
            <w:tcW w:w="1090" w:type="pct"/>
            <w:vAlign w:val="center"/>
          </w:tcPr>
          <w:p w14:paraId="4B713B39">
            <w:pPr>
              <w:pStyle w:val="51"/>
              <w:jc w:val="center"/>
              <w:rPr>
                <w:rFonts w:hint="eastAsia" w:cs="宋体"/>
                <w:sz w:val="21"/>
                <w:szCs w:val="21"/>
              </w:rPr>
            </w:pPr>
            <w:r>
              <w:rPr>
                <w:rFonts w:hint="eastAsia" w:cs="宋体"/>
                <w:sz w:val="21"/>
                <w:szCs w:val="21"/>
              </w:rPr>
              <w:t>……</w:t>
            </w:r>
          </w:p>
        </w:tc>
        <w:tc>
          <w:tcPr>
            <w:tcW w:w="1090" w:type="pct"/>
            <w:vAlign w:val="center"/>
          </w:tcPr>
          <w:p w14:paraId="51F9D21F">
            <w:pPr>
              <w:pStyle w:val="51"/>
              <w:jc w:val="center"/>
              <w:rPr>
                <w:rFonts w:hint="eastAsia" w:cs="宋体"/>
                <w:sz w:val="21"/>
                <w:szCs w:val="21"/>
              </w:rPr>
            </w:pPr>
          </w:p>
        </w:tc>
      </w:tr>
    </w:tbl>
    <w:p w14:paraId="066425E1">
      <w:pPr>
        <w:ind w:firstLine="420" w:firstLineChars="200"/>
        <w:rPr>
          <w:rFonts w:hint="eastAsia" w:cs="仿宋_GB2312"/>
          <w:sz w:val="21"/>
          <w:szCs w:val="21"/>
        </w:rPr>
      </w:pPr>
    </w:p>
    <w:p w14:paraId="4B0DC9A2">
      <w:pPr>
        <w:ind w:firstLine="480" w:firstLineChars="200"/>
        <w:rPr>
          <w:rFonts w:hint="eastAsia" w:cs="仿宋_GB2312"/>
          <w:szCs w:val="24"/>
        </w:rPr>
      </w:pPr>
    </w:p>
    <w:p w14:paraId="6AFD1BB9">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宋体"/>
          <w:kern w:val="0"/>
          <w:lang w:val="zh-CN"/>
        </w:rPr>
        <w:t>)</w:t>
      </w:r>
      <w:r>
        <w:rPr>
          <w:rFonts w:hint="eastAsia" w:cs="仿宋_GB2312"/>
          <w:szCs w:val="24"/>
        </w:rPr>
        <w:t>：</w:t>
      </w:r>
      <w:r>
        <w:rPr>
          <w:rFonts w:cs="仿宋_GB2312"/>
          <w:szCs w:val="24"/>
        </w:rPr>
        <w:t xml:space="preserve"> </w:t>
      </w:r>
    </w:p>
    <w:p w14:paraId="0B1D7A2D">
      <w:pPr>
        <w:ind w:firstLine="420"/>
        <w:rPr>
          <w:rFonts w:hint="eastAsia" w:cs="仿宋_GB2312"/>
          <w:szCs w:val="24"/>
        </w:rPr>
      </w:pPr>
      <w:r>
        <w:rPr>
          <w:rFonts w:hint="eastAsia" w:cs="仿宋_GB2312"/>
          <w:szCs w:val="24"/>
        </w:rPr>
        <w:t>日      期：</w:t>
      </w:r>
    </w:p>
    <w:p w14:paraId="04E4CE78">
      <w:pPr>
        <w:ind w:firstLine="420"/>
        <w:rPr>
          <w:rFonts w:hint="eastAsia" w:cs="仿宋_GB2312"/>
          <w:szCs w:val="24"/>
        </w:rPr>
      </w:pPr>
    </w:p>
    <w:p w14:paraId="58D174F5">
      <w:pPr>
        <w:ind w:firstLine="420" w:firstLineChars="200"/>
        <w:rPr>
          <w:rFonts w:hint="eastAsia" w:cs="仿宋_GB2312"/>
          <w:szCs w:val="24"/>
        </w:rPr>
      </w:pPr>
      <w:r>
        <w:rPr>
          <w:rFonts w:hint="eastAsia" w:cs="仿宋_GB2312"/>
          <w:sz w:val="21"/>
          <w:szCs w:val="21"/>
        </w:rPr>
        <w:t>注：投标人应按照招标文件“第三章 采购需求”中的商务要求填写：</w:t>
      </w:r>
    </w:p>
    <w:p w14:paraId="7680D103">
      <w:pPr>
        <w:ind w:firstLine="420" w:firstLineChars="200"/>
        <w:rPr>
          <w:rFonts w:hint="eastAsia" w:cs="仿宋_GB2312"/>
          <w:sz w:val="21"/>
          <w:szCs w:val="21"/>
        </w:rPr>
      </w:pPr>
      <w:r>
        <w:rPr>
          <w:rFonts w:hint="eastAsia" w:cs="仿宋_GB2312"/>
          <w:sz w:val="21"/>
          <w:szCs w:val="21"/>
        </w:rPr>
        <w:t xml:space="preserve">1.“招标文件的商务条款”栏应详细列明招标文件中的商务要求。 </w:t>
      </w:r>
    </w:p>
    <w:p w14:paraId="46DF6384">
      <w:pPr>
        <w:ind w:firstLine="420" w:firstLineChars="200"/>
        <w:rPr>
          <w:rFonts w:hint="eastAsia" w:cs="仿宋_GB2312"/>
          <w:sz w:val="21"/>
          <w:szCs w:val="21"/>
        </w:rPr>
      </w:pPr>
      <w:r>
        <w:rPr>
          <w:rFonts w:hint="eastAsia" w:cs="仿宋_GB2312"/>
          <w:sz w:val="21"/>
          <w:szCs w:val="21"/>
        </w:rPr>
        <w:t>2.“投标文件的响应内容”栏填写投标人对招标文件提出的商务条款作出的明确响应，并列明具体响应数值或内容，只注明符合、满足等无具体内容表述的，将视为未实质性满足招标文件要求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02F98983">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3A1D0FCD">
      <w:pPr>
        <w:ind w:firstLine="420" w:firstLineChars="200"/>
        <w:rPr>
          <w:rFonts w:hint="eastAsia" w:cs="仿宋_GB2312"/>
          <w:sz w:val="21"/>
          <w:szCs w:val="21"/>
        </w:rPr>
      </w:pPr>
      <w:r>
        <w:rPr>
          <w:rFonts w:hint="eastAsia" w:cs="仿宋_GB2312"/>
          <w:sz w:val="21"/>
          <w:szCs w:val="21"/>
        </w:rPr>
        <w:t>4.“说明及索引”栏可填写偏离情况的具体说明及索引。</w:t>
      </w:r>
    </w:p>
    <w:p w14:paraId="07F40192">
      <w:pPr>
        <w:ind w:firstLine="420"/>
        <w:rPr>
          <w:rFonts w:hint="eastAsia" w:cs="仿宋_GB2312"/>
          <w:szCs w:val="24"/>
        </w:rPr>
      </w:pPr>
      <w:r>
        <w:rPr>
          <w:rFonts w:hint="eastAsia" w:cs="仿宋_GB2312"/>
          <w:sz w:val="21"/>
          <w:szCs w:val="21"/>
        </w:rPr>
        <w:t>5.对招标文件中的所有商务要求，除本表所列明的所有偏离外，均视作供应商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r>
        <w:rPr>
          <w:rFonts w:cs="仿宋_GB2312"/>
          <w:szCs w:val="24"/>
        </w:rPr>
        <w:br w:type="page"/>
      </w:r>
    </w:p>
    <w:p w14:paraId="36ECFD34">
      <w:pPr>
        <w:spacing w:line="500" w:lineRule="exact"/>
        <w:rPr>
          <w:rFonts w:hint="eastAsia" w:asciiTheme="majorHAnsi" w:hAnsiTheme="majorHAnsi" w:cstheme="majorBidi"/>
          <w:b/>
          <w:bCs/>
          <w:sz w:val="28"/>
          <w:szCs w:val="28"/>
        </w:rPr>
      </w:pPr>
    </w:p>
    <w:p w14:paraId="3CBA9273">
      <w:pPr>
        <w:pStyle w:val="4"/>
        <w:spacing w:before="100" w:after="100" w:line="360" w:lineRule="auto"/>
        <w:ind w:left="420" w:hanging="420"/>
        <w:jc w:val="center"/>
        <w:rPr>
          <w:rFonts w:hint="eastAsia"/>
        </w:rPr>
      </w:pPr>
      <w:bookmarkStart w:id="691" w:name="_Toc17815"/>
      <w:bookmarkStart w:id="692" w:name="_Toc2100"/>
      <w:r>
        <w:rPr>
          <w:rFonts w:hint="eastAsia"/>
        </w:rPr>
        <w:t>七、业绩证明文件</w:t>
      </w:r>
      <w:bookmarkEnd w:id="691"/>
      <w:bookmarkEnd w:id="692"/>
    </w:p>
    <w:p w14:paraId="5C912875">
      <w:pPr>
        <w:rPr>
          <w:rFonts w:hint="eastAsia" w:cs="仿宋_GB2312"/>
          <w:szCs w:val="24"/>
        </w:rPr>
      </w:pPr>
      <w:r>
        <w:rPr>
          <w:rFonts w:cs="Arial"/>
          <w:bCs/>
          <w:szCs w:val="21"/>
        </w:rPr>
        <w:fldChar w:fldCharType="begin"/>
      </w:r>
      <w:r>
        <w:rPr>
          <w:rFonts w:cs="Arial"/>
          <w:bCs/>
          <w:szCs w:val="21"/>
        </w:rPr>
        <w:instrText xml:space="preserve"> LINK Word.Document.8 "D:\\音乐厅\\4通用设备\\招标文件\\音乐厅空调设备招标文件v1.0.doc" "OLE_LINK8" \r  \* MERGEFORMAT </w:instrText>
      </w:r>
      <w:r>
        <w:rPr>
          <w:rFonts w:cs="Arial"/>
          <w:bCs/>
          <w:szCs w:val="21"/>
        </w:rPr>
        <w:fldChar w:fldCharType="separate"/>
      </w:r>
      <w:r>
        <w:rPr>
          <w:rFonts w:hint="eastAsia" w:cs="仿宋_GB2312"/>
          <w:szCs w:val="24"/>
        </w:rPr>
        <w:t xml:space="preserve">项目名称：                                         </w:t>
      </w:r>
    </w:p>
    <w:p w14:paraId="47C9F2CF">
      <w:pPr>
        <w:rPr>
          <w:rFonts w:hint="eastAsia" w:cs="Arial"/>
          <w:bCs/>
          <w:szCs w:val="21"/>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r>
        <w:rPr>
          <w:rFonts w:cs="Arial"/>
          <w:bCs/>
          <w:szCs w:val="21"/>
        </w:rPr>
        <w:fldChar w:fldCharType="end"/>
      </w:r>
    </w:p>
    <w:tbl>
      <w:tblPr>
        <w:tblStyle w:val="31"/>
        <w:tblW w:w="8722"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180"/>
        <w:gridCol w:w="1364"/>
        <w:gridCol w:w="1419"/>
        <w:gridCol w:w="1402"/>
        <w:gridCol w:w="1495"/>
        <w:gridCol w:w="1049"/>
      </w:tblGrid>
      <w:tr w14:paraId="47DF0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813" w:type="dxa"/>
            <w:vAlign w:val="center"/>
          </w:tcPr>
          <w:p w14:paraId="2974D507">
            <w:pPr>
              <w:jc w:val="center"/>
              <w:rPr>
                <w:rFonts w:hint="eastAsia" w:cs="宋体"/>
                <w:sz w:val="21"/>
                <w:szCs w:val="21"/>
              </w:rPr>
            </w:pPr>
            <w:bookmarkStart w:id="693" w:name="_Hlk46779239"/>
            <w:r>
              <w:rPr>
                <w:rFonts w:hint="eastAsia" w:cs="宋体"/>
                <w:sz w:val="21"/>
                <w:szCs w:val="21"/>
              </w:rPr>
              <w:t>序号</w:t>
            </w:r>
          </w:p>
        </w:tc>
        <w:tc>
          <w:tcPr>
            <w:tcW w:w="1180" w:type="dxa"/>
            <w:vAlign w:val="center"/>
          </w:tcPr>
          <w:p w14:paraId="021D419E">
            <w:pPr>
              <w:jc w:val="center"/>
              <w:rPr>
                <w:rFonts w:hint="eastAsia" w:cs="宋体"/>
                <w:sz w:val="21"/>
                <w:szCs w:val="21"/>
              </w:rPr>
            </w:pPr>
            <w:r>
              <w:rPr>
                <w:rFonts w:hint="eastAsia" w:cs="宋体"/>
                <w:sz w:val="21"/>
                <w:szCs w:val="21"/>
              </w:rPr>
              <w:t>项目名称</w:t>
            </w:r>
          </w:p>
        </w:tc>
        <w:tc>
          <w:tcPr>
            <w:tcW w:w="1364" w:type="dxa"/>
            <w:vAlign w:val="center"/>
          </w:tcPr>
          <w:p w14:paraId="376AF63B">
            <w:pPr>
              <w:jc w:val="center"/>
              <w:rPr>
                <w:rFonts w:hint="eastAsia" w:cs="宋体"/>
                <w:sz w:val="21"/>
                <w:szCs w:val="21"/>
              </w:rPr>
            </w:pPr>
            <w:r>
              <w:rPr>
                <w:rFonts w:hint="eastAsia" w:cs="宋体"/>
                <w:sz w:val="21"/>
                <w:szCs w:val="21"/>
              </w:rPr>
              <w:t>标的内容</w:t>
            </w:r>
          </w:p>
        </w:tc>
        <w:tc>
          <w:tcPr>
            <w:tcW w:w="1419" w:type="dxa"/>
            <w:vAlign w:val="center"/>
          </w:tcPr>
          <w:p w14:paraId="1D75193E">
            <w:pPr>
              <w:jc w:val="center"/>
              <w:rPr>
                <w:rFonts w:hint="eastAsia" w:cs="宋体"/>
                <w:sz w:val="21"/>
                <w:szCs w:val="21"/>
              </w:rPr>
            </w:pPr>
            <w:r>
              <w:rPr>
                <w:rFonts w:hint="eastAsia" w:cs="宋体"/>
                <w:sz w:val="21"/>
                <w:szCs w:val="21"/>
              </w:rPr>
              <w:t>采购人名称</w:t>
            </w:r>
          </w:p>
        </w:tc>
        <w:tc>
          <w:tcPr>
            <w:tcW w:w="1402" w:type="dxa"/>
            <w:vAlign w:val="center"/>
          </w:tcPr>
          <w:p w14:paraId="305627E8">
            <w:pPr>
              <w:spacing w:line="240" w:lineRule="auto"/>
              <w:jc w:val="center"/>
              <w:rPr>
                <w:rFonts w:hint="eastAsia" w:cs="宋体"/>
                <w:sz w:val="21"/>
                <w:szCs w:val="21"/>
              </w:rPr>
            </w:pPr>
            <w:r>
              <w:rPr>
                <w:rFonts w:hint="eastAsia" w:cs="宋体"/>
                <w:sz w:val="21"/>
                <w:szCs w:val="21"/>
              </w:rPr>
              <w:t>中标（成交）金额</w:t>
            </w:r>
          </w:p>
        </w:tc>
        <w:tc>
          <w:tcPr>
            <w:tcW w:w="1495" w:type="dxa"/>
            <w:vAlign w:val="center"/>
          </w:tcPr>
          <w:p w14:paraId="7445B496">
            <w:pPr>
              <w:spacing w:line="240" w:lineRule="auto"/>
              <w:jc w:val="center"/>
              <w:rPr>
                <w:rFonts w:hint="eastAsia" w:cs="宋体"/>
                <w:sz w:val="21"/>
                <w:szCs w:val="21"/>
              </w:rPr>
            </w:pPr>
            <w:r>
              <w:rPr>
                <w:rFonts w:hint="eastAsia" w:cs="宋体"/>
                <w:sz w:val="21"/>
                <w:szCs w:val="21"/>
              </w:rPr>
              <w:t>采购合同签订时间</w:t>
            </w:r>
          </w:p>
        </w:tc>
        <w:tc>
          <w:tcPr>
            <w:tcW w:w="1049" w:type="dxa"/>
            <w:vAlign w:val="center"/>
          </w:tcPr>
          <w:p w14:paraId="312DDF5F">
            <w:pPr>
              <w:jc w:val="center"/>
              <w:rPr>
                <w:rFonts w:hint="eastAsia" w:cs="宋体"/>
                <w:sz w:val="21"/>
                <w:szCs w:val="21"/>
              </w:rPr>
            </w:pPr>
            <w:r>
              <w:rPr>
                <w:rFonts w:hint="eastAsia" w:cs="宋体"/>
                <w:sz w:val="21"/>
                <w:szCs w:val="21"/>
              </w:rPr>
              <w:t>备注</w:t>
            </w:r>
          </w:p>
        </w:tc>
      </w:tr>
      <w:tr w14:paraId="699D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518989A6">
            <w:pPr>
              <w:jc w:val="center"/>
              <w:rPr>
                <w:rFonts w:hint="eastAsia" w:cs="宋体"/>
                <w:sz w:val="21"/>
                <w:szCs w:val="21"/>
              </w:rPr>
            </w:pPr>
            <w:r>
              <w:rPr>
                <w:rFonts w:hint="eastAsia" w:cs="宋体"/>
                <w:sz w:val="21"/>
                <w:szCs w:val="21"/>
              </w:rPr>
              <w:t>1</w:t>
            </w:r>
          </w:p>
        </w:tc>
        <w:tc>
          <w:tcPr>
            <w:tcW w:w="1180" w:type="dxa"/>
            <w:vAlign w:val="center"/>
          </w:tcPr>
          <w:p w14:paraId="247276E7">
            <w:pPr>
              <w:rPr>
                <w:rFonts w:hint="eastAsia" w:cs="宋体"/>
                <w:sz w:val="21"/>
                <w:szCs w:val="21"/>
              </w:rPr>
            </w:pPr>
          </w:p>
        </w:tc>
        <w:tc>
          <w:tcPr>
            <w:tcW w:w="1364" w:type="dxa"/>
            <w:vAlign w:val="center"/>
          </w:tcPr>
          <w:p w14:paraId="56484E57">
            <w:pPr>
              <w:rPr>
                <w:rFonts w:hint="eastAsia" w:cs="宋体"/>
                <w:sz w:val="21"/>
                <w:szCs w:val="21"/>
              </w:rPr>
            </w:pPr>
          </w:p>
        </w:tc>
        <w:tc>
          <w:tcPr>
            <w:tcW w:w="1419" w:type="dxa"/>
            <w:vAlign w:val="center"/>
          </w:tcPr>
          <w:p w14:paraId="2EF231F4">
            <w:pPr>
              <w:rPr>
                <w:rFonts w:hint="eastAsia" w:cs="宋体"/>
                <w:sz w:val="21"/>
                <w:szCs w:val="21"/>
              </w:rPr>
            </w:pPr>
          </w:p>
        </w:tc>
        <w:tc>
          <w:tcPr>
            <w:tcW w:w="1402" w:type="dxa"/>
            <w:vAlign w:val="center"/>
          </w:tcPr>
          <w:p w14:paraId="1C732905">
            <w:pPr>
              <w:rPr>
                <w:rFonts w:hint="eastAsia" w:cs="宋体"/>
                <w:sz w:val="21"/>
                <w:szCs w:val="21"/>
              </w:rPr>
            </w:pPr>
          </w:p>
        </w:tc>
        <w:tc>
          <w:tcPr>
            <w:tcW w:w="1495" w:type="dxa"/>
            <w:vAlign w:val="center"/>
          </w:tcPr>
          <w:p w14:paraId="08F97452">
            <w:pPr>
              <w:rPr>
                <w:rFonts w:hint="eastAsia" w:cs="宋体"/>
                <w:sz w:val="21"/>
                <w:szCs w:val="21"/>
              </w:rPr>
            </w:pPr>
          </w:p>
        </w:tc>
        <w:tc>
          <w:tcPr>
            <w:tcW w:w="1049" w:type="dxa"/>
            <w:vAlign w:val="center"/>
          </w:tcPr>
          <w:p w14:paraId="64F0168C">
            <w:pPr>
              <w:rPr>
                <w:rFonts w:hint="eastAsia" w:cs="宋体"/>
                <w:sz w:val="21"/>
                <w:szCs w:val="21"/>
              </w:rPr>
            </w:pPr>
          </w:p>
        </w:tc>
      </w:tr>
      <w:tr w14:paraId="50A9F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6B54B8E6">
            <w:pPr>
              <w:jc w:val="center"/>
              <w:rPr>
                <w:rFonts w:hint="eastAsia" w:cs="宋体"/>
                <w:sz w:val="21"/>
                <w:szCs w:val="21"/>
              </w:rPr>
            </w:pPr>
            <w:r>
              <w:rPr>
                <w:rFonts w:hint="eastAsia" w:cs="宋体"/>
                <w:sz w:val="21"/>
                <w:szCs w:val="21"/>
              </w:rPr>
              <w:t>2</w:t>
            </w:r>
          </w:p>
        </w:tc>
        <w:tc>
          <w:tcPr>
            <w:tcW w:w="1180" w:type="dxa"/>
            <w:vAlign w:val="center"/>
          </w:tcPr>
          <w:p w14:paraId="2C4634EF">
            <w:pPr>
              <w:rPr>
                <w:rFonts w:hint="eastAsia" w:cs="宋体"/>
                <w:sz w:val="21"/>
                <w:szCs w:val="21"/>
              </w:rPr>
            </w:pPr>
          </w:p>
        </w:tc>
        <w:tc>
          <w:tcPr>
            <w:tcW w:w="1364" w:type="dxa"/>
            <w:vAlign w:val="center"/>
          </w:tcPr>
          <w:p w14:paraId="1C698586">
            <w:pPr>
              <w:rPr>
                <w:rFonts w:hint="eastAsia" w:cs="宋体"/>
                <w:sz w:val="21"/>
                <w:szCs w:val="21"/>
              </w:rPr>
            </w:pPr>
          </w:p>
        </w:tc>
        <w:tc>
          <w:tcPr>
            <w:tcW w:w="1419" w:type="dxa"/>
            <w:vAlign w:val="center"/>
          </w:tcPr>
          <w:p w14:paraId="17343136">
            <w:pPr>
              <w:rPr>
                <w:rFonts w:hint="eastAsia" w:cs="宋体"/>
                <w:sz w:val="21"/>
                <w:szCs w:val="21"/>
              </w:rPr>
            </w:pPr>
          </w:p>
        </w:tc>
        <w:tc>
          <w:tcPr>
            <w:tcW w:w="1402" w:type="dxa"/>
            <w:vAlign w:val="center"/>
          </w:tcPr>
          <w:p w14:paraId="48509BB0">
            <w:pPr>
              <w:rPr>
                <w:rFonts w:hint="eastAsia" w:cs="宋体"/>
                <w:sz w:val="21"/>
                <w:szCs w:val="21"/>
              </w:rPr>
            </w:pPr>
          </w:p>
        </w:tc>
        <w:tc>
          <w:tcPr>
            <w:tcW w:w="1495" w:type="dxa"/>
            <w:vAlign w:val="center"/>
          </w:tcPr>
          <w:p w14:paraId="57719C2F">
            <w:pPr>
              <w:rPr>
                <w:rFonts w:hint="eastAsia" w:cs="宋体"/>
                <w:sz w:val="21"/>
                <w:szCs w:val="21"/>
              </w:rPr>
            </w:pPr>
          </w:p>
        </w:tc>
        <w:tc>
          <w:tcPr>
            <w:tcW w:w="1049" w:type="dxa"/>
            <w:vAlign w:val="center"/>
          </w:tcPr>
          <w:p w14:paraId="3C818A78">
            <w:pPr>
              <w:rPr>
                <w:rFonts w:hint="eastAsia" w:cs="宋体"/>
                <w:sz w:val="21"/>
                <w:szCs w:val="21"/>
              </w:rPr>
            </w:pPr>
          </w:p>
        </w:tc>
      </w:tr>
      <w:tr w14:paraId="1F24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247A8401">
            <w:pPr>
              <w:jc w:val="center"/>
              <w:rPr>
                <w:rFonts w:hint="eastAsia" w:cs="宋体"/>
                <w:sz w:val="21"/>
                <w:szCs w:val="21"/>
              </w:rPr>
            </w:pPr>
            <w:r>
              <w:rPr>
                <w:rFonts w:hint="eastAsia" w:cs="宋体"/>
                <w:sz w:val="21"/>
                <w:szCs w:val="21"/>
              </w:rPr>
              <w:t>3</w:t>
            </w:r>
          </w:p>
        </w:tc>
        <w:tc>
          <w:tcPr>
            <w:tcW w:w="1180" w:type="dxa"/>
            <w:vAlign w:val="center"/>
          </w:tcPr>
          <w:p w14:paraId="0B26EEBC">
            <w:pPr>
              <w:rPr>
                <w:rFonts w:hint="eastAsia" w:cs="宋体"/>
                <w:sz w:val="21"/>
                <w:szCs w:val="21"/>
              </w:rPr>
            </w:pPr>
          </w:p>
        </w:tc>
        <w:tc>
          <w:tcPr>
            <w:tcW w:w="1364" w:type="dxa"/>
            <w:vAlign w:val="center"/>
          </w:tcPr>
          <w:p w14:paraId="6FA16A00">
            <w:pPr>
              <w:rPr>
                <w:rFonts w:hint="eastAsia" w:cs="宋体"/>
                <w:sz w:val="21"/>
                <w:szCs w:val="21"/>
              </w:rPr>
            </w:pPr>
          </w:p>
        </w:tc>
        <w:tc>
          <w:tcPr>
            <w:tcW w:w="1419" w:type="dxa"/>
            <w:vAlign w:val="center"/>
          </w:tcPr>
          <w:p w14:paraId="1E6C7BB0">
            <w:pPr>
              <w:rPr>
                <w:rFonts w:hint="eastAsia" w:cs="宋体"/>
                <w:sz w:val="21"/>
                <w:szCs w:val="21"/>
              </w:rPr>
            </w:pPr>
          </w:p>
        </w:tc>
        <w:tc>
          <w:tcPr>
            <w:tcW w:w="1402" w:type="dxa"/>
            <w:vAlign w:val="center"/>
          </w:tcPr>
          <w:p w14:paraId="42D1C1D0">
            <w:pPr>
              <w:rPr>
                <w:rFonts w:hint="eastAsia" w:cs="宋体"/>
                <w:sz w:val="21"/>
                <w:szCs w:val="21"/>
              </w:rPr>
            </w:pPr>
          </w:p>
        </w:tc>
        <w:tc>
          <w:tcPr>
            <w:tcW w:w="1495" w:type="dxa"/>
            <w:vAlign w:val="center"/>
          </w:tcPr>
          <w:p w14:paraId="04052F38">
            <w:pPr>
              <w:rPr>
                <w:rFonts w:hint="eastAsia" w:cs="宋体"/>
                <w:sz w:val="21"/>
                <w:szCs w:val="21"/>
              </w:rPr>
            </w:pPr>
          </w:p>
        </w:tc>
        <w:tc>
          <w:tcPr>
            <w:tcW w:w="1049" w:type="dxa"/>
            <w:vAlign w:val="center"/>
          </w:tcPr>
          <w:p w14:paraId="55F124F9">
            <w:pPr>
              <w:rPr>
                <w:rFonts w:hint="eastAsia" w:cs="宋体"/>
                <w:sz w:val="21"/>
                <w:szCs w:val="21"/>
              </w:rPr>
            </w:pPr>
          </w:p>
        </w:tc>
      </w:tr>
      <w:tr w14:paraId="1FDAA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13" w:type="dxa"/>
            <w:vAlign w:val="center"/>
          </w:tcPr>
          <w:p w14:paraId="5005F249">
            <w:pPr>
              <w:jc w:val="center"/>
              <w:rPr>
                <w:rFonts w:hint="eastAsia" w:cs="宋体"/>
                <w:sz w:val="21"/>
                <w:szCs w:val="21"/>
              </w:rPr>
            </w:pPr>
            <w:r>
              <w:rPr>
                <w:rFonts w:hint="eastAsia" w:cs="宋体"/>
                <w:sz w:val="21"/>
                <w:szCs w:val="21"/>
              </w:rPr>
              <w:t>4</w:t>
            </w:r>
          </w:p>
        </w:tc>
        <w:tc>
          <w:tcPr>
            <w:tcW w:w="1180" w:type="dxa"/>
            <w:vAlign w:val="center"/>
          </w:tcPr>
          <w:p w14:paraId="0F2CB1E4">
            <w:pPr>
              <w:rPr>
                <w:rFonts w:hint="eastAsia" w:cs="宋体"/>
                <w:sz w:val="21"/>
                <w:szCs w:val="21"/>
              </w:rPr>
            </w:pPr>
          </w:p>
        </w:tc>
        <w:tc>
          <w:tcPr>
            <w:tcW w:w="1364" w:type="dxa"/>
            <w:vAlign w:val="center"/>
          </w:tcPr>
          <w:p w14:paraId="40B1235D">
            <w:pPr>
              <w:rPr>
                <w:rFonts w:hint="eastAsia" w:cs="宋体"/>
                <w:sz w:val="21"/>
                <w:szCs w:val="21"/>
              </w:rPr>
            </w:pPr>
          </w:p>
        </w:tc>
        <w:tc>
          <w:tcPr>
            <w:tcW w:w="1419" w:type="dxa"/>
            <w:vAlign w:val="center"/>
          </w:tcPr>
          <w:p w14:paraId="66A66EB7">
            <w:pPr>
              <w:rPr>
                <w:rFonts w:hint="eastAsia" w:cs="宋体"/>
                <w:sz w:val="21"/>
                <w:szCs w:val="21"/>
              </w:rPr>
            </w:pPr>
          </w:p>
        </w:tc>
        <w:tc>
          <w:tcPr>
            <w:tcW w:w="1402" w:type="dxa"/>
            <w:vAlign w:val="center"/>
          </w:tcPr>
          <w:p w14:paraId="19F24AB5">
            <w:pPr>
              <w:rPr>
                <w:rFonts w:hint="eastAsia" w:cs="宋体"/>
                <w:sz w:val="21"/>
                <w:szCs w:val="21"/>
              </w:rPr>
            </w:pPr>
          </w:p>
        </w:tc>
        <w:tc>
          <w:tcPr>
            <w:tcW w:w="1495" w:type="dxa"/>
            <w:vAlign w:val="center"/>
          </w:tcPr>
          <w:p w14:paraId="7F28CEA0">
            <w:pPr>
              <w:rPr>
                <w:rFonts w:hint="eastAsia" w:cs="宋体"/>
                <w:sz w:val="21"/>
                <w:szCs w:val="21"/>
              </w:rPr>
            </w:pPr>
          </w:p>
        </w:tc>
        <w:tc>
          <w:tcPr>
            <w:tcW w:w="1049" w:type="dxa"/>
            <w:vAlign w:val="center"/>
          </w:tcPr>
          <w:p w14:paraId="5B8BDE43">
            <w:pPr>
              <w:rPr>
                <w:rFonts w:hint="eastAsia" w:cs="宋体"/>
                <w:sz w:val="21"/>
                <w:szCs w:val="21"/>
              </w:rPr>
            </w:pPr>
          </w:p>
        </w:tc>
      </w:tr>
      <w:tr w14:paraId="71C06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813" w:type="dxa"/>
            <w:vAlign w:val="center"/>
          </w:tcPr>
          <w:p w14:paraId="2140F25D">
            <w:pPr>
              <w:jc w:val="center"/>
              <w:rPr>
                <w:rFonts w:hint="eastAsia" w:cs="宋体"/>
                <w:sz w:val="21"/>
                <w:szCs w:val="21"/>
              </w:rPr>
            </w:pPr>
            <w:r>
              <w:rPr>
                <w:rFonts w:hint="eastAsia" w:cs="宋体"/>
                <w:sz w:val="21"/>
                <w:szCs w:val="21"/>
              </w:rPr>
              <w:t>5</w:t>
            </w:r>
          </w:p>
        </w:tc>
        <w:tc>
          <w:tcPr>
            <w:tcW w:w="1180" w:type="dxa"/>
            <w:vAlign w:val="center"/>
          </w:tcPr>
          <w:p w14:paraId="539E9CD8">
            <w:pPr>
              <w:rPr>
                <w:rFonts w:hint="eastAsia" w:cs="宋体"/>
                <w:sz w:val="21"/>
                <w:szCs w:val="21"/>
              </w:rPr>
            </w:pPr>
          </w:p>
        </w:tc>
        <w:tc>
          <w:tcPr>
            <w:tcW w:w="1364" w:type="dxa"/>
            <w:vAlign w:val="center"/>
          </w:tcPr>
          <w:p w14:paraId="06F3FA1E">
            <w:pPr>
              <w:rPr>
                <w:rFonts w:hint="eastAsia" w:cs="宋体"/>
                <w:sz w:val="21"/>
                <w:szCs w:val="21"/>
              </w:rPr>
            </w:pPr>
          </w:p>
        </w:tc>
        <w:tc>
          <w:tcPr>
            <w:tcW w:w="1419" w:type="dxa"/>
            <w:vAlign w:val="center"/>
          </w:tcPr>
          <w:p w14:paraId="58CEF6BC">
            <w:pPr>
              <w:rPr>
                <w:rFonts w:hint="eastAsia" w:cs="宋体"/>
                <w:sz w:val="21"/>
                <w:szCs w:val="21"/>
              </w:rPr>
            </w:pPr>
          </w:p>
        </w:tc>
        <w:tc>
          <w:tcPr>
            <w:tcW w:w="1402" w:type="dxa"/>
            <w:vAlign w:val="center"/>
          </w:tcPr>
          <w:p w14:paraId="16DC8016">
            <w:pPr>
              <w:rPr>
                <w:rFonts w:hint="eastAsia" w:cs="宋体"/>
                <w:sz w:val="21"/>
                <w:szCs w:val="21"/>
              </w:rPr>
            </w:pPr>
          </w:p>
        </w:tc>
        <w:tc>
          <w:tcPr>
            <w:tcW w:w="1495" w:type="dxa"/>
            <w:vAlign w:val="center"/>
          </w:tcPr>
          <w:p w14:paraId="242A9426">
            <w:pPr>
              <w:rPr>
                <w:rFonts w:hint="eastAsia" w:cs="宋体"/>
                <w:sz w:val="21"/>
                <w:szCs w:val="21"/>
              </w:rPr>
            </w:pPr>
          </w:p>
        </w:tc>
        <w:tc>
          <w:tcPr>
            <w:tcW w:w="1049" w:type="dxa"/>
            <w:vAlign w:val="center"/>
          </w:tcPr>
          <w:p w14:paraId="10824C93">
            <w:pPr>
              <w:rPr>
                <w:rFonts w:hint="eastAsia" w:cs="宋体"/>
                <w:sz w:val="21"/>
                <w:szCs w:val="21"/>
              </w:rPr>
            </w:pPr>
          </w:p>
        </w:tc>
      </w:tr>
      <w:tr w14:paraId="0C12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813" w:type="dxa"/>
            <w:vAlign w:val="center"/>
          </w:tcPr>
          <w:p w14:paraId="7CC5F0E7">
            <w:pPr>
              <w:jc w:val="center"/>
              <w:rPr>
                <w:rFonts w:hint="eastAsia" w:cs="宋体"/>
                <w:sz w:val="21"/>
                <w:szCs w:val="21"/>
              </w:rPr>
            </w:pPr>
            <w:r>
              <w:rPr>
                <w:rFonts w:hint="eastAsia" w:cs="宋体"/>
                <w:sz w:val="21"/>
                <w:szCs w:val="21"/>
              </w:rPr>
              <w:t>…</w:t>
            </w:r>
          </w:p>
        </w:tc>
        <w:tc>
          <w:tcPr>
            <w:tcW w:w="1180" w:type="dxa"/>
            <w:vAlign w:val="center"/>
          </w:tcPr>
          <w:p w14:paraId="50B7D982">
            <w:pPr>
              <w:rPr>
                <w:rFonts w:hint="eastAsia" w:cs="宋体"/>
                <w:sz w:val="21"/>
                <w:szCs w:val="21"/>
              </w:rPr>
            </w:pPr>
          </w:p>
        </w:tc>
        <w:tc>
          <w:tcPr>
            <w:tcW w:w="1364" w:type="dxa"/>
            <w:vAlign w:val="center"/>
          </w:tcPr>
          <w:p w14:paraId="3820395A">
            <w:pPr>
              <w:rPr>
                <w:rFonts w:hint="eastAsia" w:cs="宋体"/>
                <w:sz w:val="21"/>
                <w:szCs w:val="21"/>
              </w:rPr>
            </w:pPr>
          </w:p>
        </w:tc>
        <w:tc>
          <w:tcPr>
            <w:tcW w:w="1419" w:type="dxa"/>
            <w:vAlign w:val="center"/>
          </w:tcPr>
          <w:p w14:paraId="47450577">
            <w:pPr>
              <w:rPr>
                <w:rFonts w:hint="eastAsia" w:cs="宋体"/>
                <w:sz w:val="21"/>
                <w:szCs w:val="21"/>
              </w:rPr>
            </w:pPr>
          </w:p>
        </w:tc>
        <w:tc>
          <w:tcPr>
            <w:tcW w:w="1402" w:type="dxa"/>
            <w:vAlign w:val="center"/>
          </w:tcPr>
          <w:p w14:paraId="3DEF82EB">
            <w:pPr>
              <w:rPr>
                <w:rFonts w:hint="eastAsia" w:cs="宋体"/>
                <w:sz w:val="21"/>
                <w:szCs w:val="21"/>
              </w:rPr>
            </w:pPr>
          </w:p>
        </w:tc>
        <w:tc>
          <w:tcPr>
            <w:tcW w:w="1495" w:type="dxa"/>
            <w:vAlign w:val="center"/>
          </w:tcPr>
          <w:p w14:paraId="287E3F4C">
            <w:pPr>
              <w:rPr>
                <w:rFonts w:hint="eastAsia" w:cs="宋体"/>
                <w:sz w:val="21"/>
                <w:szCs w:val="21"/>
              </w:rPr>
            </w:pPr>
          </w:p>
        </w:tc>
        <w:tc>
          <w:tcPr>
            <w:tcW w:w="1049" w:type="dxa"/>
            <w:vAlign w:val="center"/>
          </w:tcPr>
          <w:p w14:paraId="0E4F1CDB">
            <w:pPr>
              <w:rPr>
                <w:rFonts w:hint="eastAsia" w:cs="宋体"/>
                <w:sz w:val="21"/>
                <w:szCs w:val="21"/>
              </w:rPr>
            </w:pPr>
          </w:p>
        </w:tc>
      </w:tr>
      <w:bookmarkEnd w:id="693"/>
    </w:tbl>
    <w:p w14:paraId="4483136A">
      <w:pPr>
        <w:rPr>
          <w:rFonts w:hint="eastAsia" w:cs="仿宋_GB2312"/>
          <w:szCs w:val="24"/>
        </w:rPr>
      </w:pPr>
    </w:p>
    <w:p w14:paraId="738CAC1C">
      <w:pPr>
        <w:rPr>
          <w:rFonts w:hint="eastAsia" w:cs="仿宋_GB2312"/>
          <w:sz w:val="21"/>
          <w:szCs w:val="21"/>
        </w:rPr>
      </w:pPr>
      <w:r>
        <w:rPr>
          <w:rFonts w:hint="eastAsia" w:cs="仿宋_GB2312"/>
          <w:sz w:val="21"/>
          <w:szCs w:val="21"/>
        </w:rPr>
        <w:t>注：投标人须按相关要求提供相应的中标（成交）通知书、采购合同等业绩证明资料。</w:t>
      </w:r>
    </w:p>
    <w:p w14:paraId="76B3AFDF">
      <w:pPr>
        <w:rPr>
          <w:rFonts w:hint="eastAsia" w:cs="仿宋_GB2312"/>
          <w:szCs w:val="24"/>
        </w:rPr>
      </w:pPr>
    </w:p>
    <w:p w14:paraId="666EE809">
      <w:pPr>
        <w:widowControl/>
        <w:spacing w:before="100" w:beforeAutospacing="1" w:after="100" w:afterAutospacing="1"/>
        <w:rPr>
          <w:rFonts w:hint="eastAsia" w:cs="Arial"/>
          <w:szCs w:val="21"/>
        </w:rPr>
      </w:pPr>
    </w:p>
    <w:p w14:paraId="47C87C02">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宋体"/>
          <w:kern w:val="0"/>
          <w:lang w:val="zh-CN"/>
        </w:rPr>
        <w:t>)</w:t>
      </w:r>
      <w:r>
        <w:rPr>
          <w:rFonts w:hint="eastAsia" w:cs="仿宋_GB2312"/>
          <w:szCs w:val="24"/>
        </w:rPr>
        <w:t>：</w:t>
      </w:r>
      <w:r>
        <w:rPr>
          <w:rFonts w:cs="仿宋_GB2312"/>
          <w:szCs w:val="24"/>
        </w:rPr>
        <w:t xml:space="preserve"> </w:t>
      </w:r>
    </w:p>
    <w:p w14:paraId="714A314A">
      <w:pPr>
        <w:ind w:firstLine="420"/>
        <w:rPr>
          <w:rFonts w:hint="eastAsia" w:cs="仿宋_GB2312"/>
          <w:szCs w:val="24"/>
        </w:rPr>
      </w:pPr>
      <w:r>
        <w:rPr>
          <w:rFonts w:hint="eastAsia" w:cs="仿宋_GB2312"/>
          <w:szCs w:val="24"/>
        </w:rPr>
        <w:t>日      期：</w:t>
      </w:r>
    </w:p>
    <w:p w14:paraId="4651D88C">
      <w:pPr>
        <w:ind w:firstLine="420"/>
        <w:rPr>
          <w:rFonts w:hint="eastAsia" w:cs="仿宋_GB2312"/>
          <w:szCs w:val="24"/>
        </w:rPr>
      </w:pPr>
      <w:r>
        <w:rPr>
          <w:rFonts w:cs="仿宋_GB2312"/>
          <w:szCs w:val="24"/>
        </w:rPr>
        <w:br w:type="page"/>
      </w:r>
    </w:p>
    <w:p w14:paraId="4CED45A8">
      <w:pPr>
        <w:pStyle w:val="4"/>
        <w:spacing w:before="100" w:after="100" w:line="360" w:lineRule="auto"/>
        <w:ind w:left="420" w:hanging="420"/>
        <w:jc w:val="center"/>
        <w:rPr>
          <w:rFonts w:hint="eastAsia"/>
        </w:rPr>
      </w:pPr>
      <w:bookmarkStart w:id="694" w:name="_Toc22277"/>
      <w:bookmarkStart w:id="695" w:name="_Toc24146"/>
      <w:r>
        <w:rPr>
          <w:rFonts w:hint="eastAsia"/>
        </w:rPr>
        <w:t>八、拟派项目团队</w:t>
      </w:r>
      <w:bookmarkEnd w:id="694"/>
      <w:bookmarkEnd w:id="695"/>
    </w:p>
    <w:tbl>
      <w:tblPr>
        <w:tblStyle w:val="31"/>
        <w:tblW w:w="9252"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267"/>
        <w:gridCol w:w="1296"/>
        <w:gridCol w:w="1080"/>
        <w:gridCol w:w="804"/>
        <w:gridCol w:w="1860"/>
        <w:gridCol w:w="1356"/>
        <w:gridCol w:w="816"/>
      </w:tblGrid>
      <w:tr w14:paraId="4432FA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45960CDB">
            <w:pPr>
              <w:pStyle w:val="51"/>
              <w:jc w:val="center"/>
              <w:rPr>
                <w:rFonts w:hint="eastAsia" w:cs="宋体"/>
                <w:sz w:val="21"/>
                <w:szCs w:val="21"/>
              </w:rPr>
            </w:pPr>
            <w:r>
              <w:rPr>
                <w:rFonts w:hint="eastAsia" w:cs="宋体"/>
                <w:sz w:val="21"/>
                <w:szCs w:val="21"/>
              </w:rPr>
              <w:t>序号</w:t>
            </w:r>
          </w:p>
        </w:tc>
        <w:tc>
          <w:tcPr>
            <w:tcW w:w="1267" w:type="dxa"/>
            <w:vAlign w:val="center"/>
          </w:tcPr>
          <w:p w14:paraId="28780AB2">
            <w:pPr>
              <w:pStyle w:val="51"/>
              <w:jc w:val="center"/>
              <w:rPr>
                <w:rFonts w:hint="eastAsia" w:cs="宋体"/>
                <w:sz w:val="21"/>
                <w:szCs w:val="21"/>
              </w:rPr>
            </w:pPr>
            <w:r>
              <w:rPr>
                <w:rFonts w:hint="eastAsia" w:cs="宋体"/>
                <w:sz w:val="21"/>
                <w:szCs w:val="21"/>
              </w:rPr>
              <w:t>团队成员</w:t>
            </w:r>
          </w:p>
          <w:p w14:paraId="203F200A">
            <w:pPr>
              <w:pStyle w:val="51"/>
              <w:jc w:val="center"/>
              <w:rPr>
                <w:rFonts w:hint="eastAsia" w:cs="宋体"/>
                <w:sz w:val="21"/>
                <w:szCs w:val="21"/>
              </w:rPr>
            </w:pPr>
            <w:r>
              <w:rPr>
                <w:rFonts w:hint="eastAsia" w:cs="宋体"/>
                <w:sz w:val="21"/>
                <w:szCs w:val="21"/>
              </w:rPr>
              <w:t>姓名</w:t>
            </w:r>
          </w:p>
        </w:tc>
        <w:tc>
          <w:tcPr>
            <w:tcW w:w="1296" w:type="dxa"/>
            <w:tcBorders>
              <w:right w:val="single" w:color="auto" w:sz="4" w:space="0"/>
            </w:tcBorders>
            <w:vAlign w:val="center"/>
          </w:tcPr>
          <w:p w14:paraId="30BCDD26">
            <w:pPr>
              <w:pStyle w:val="51"/>
              <w:jc w:val="center"/>
              <w:rPr>
                <w:rFonts w:hint="eastAsia" w:cs="宋体"/>
                <w:sz w:val="21"/>
                <w:szCs w:val="21"/>
              </w:rPr>
            </w:pPr>
            <w:r>
              <w:rPr>
                <w:rFonts w:hint="eastAsia" w:cs="宋体"/>
                <w:sz w:val="21"/>
                <w:szCs w:val="21"/>
              </w:rPr>
              <w:t>工作单位</w:t>
            </w:r>
          </w:p>
        </w:tc>
        <w:tc>
          <w:tcPr>
            <w:tcW w:w="1080" w:type="dxa"/>
            <w:tcBorders>
              <w:left w:val="single" w:color="auto" w:sz="4" w:space="0"/>
            </w:tcBorders>
            <w:vAlign w:val="center"/>
          </w:tcPr>
          <w:p w14:paraId="587CD983">
            <w:pPr>
              <w:pStyle w:val="51"/>
              <w:jc w:val="center"/>
              <w:rPr>
                <w:rFonts w:hint="eastAsia" w:cs="宋体"/>
                <w:sz w:val="21"/>
                <w:szCs w:val="21"/>
              </w:rPr>
            </w:pPr>
            <w:r>
              <w:rPr>
                <w:rFonts w:hint="eastAsia" w:cs="宋体"/>
                <w:sz w:val="21"/>
                <w:szCs w:val="21"/>
              </w:rPr>
              <w:t>身份证号</w:t>
            </w:r>
          </w:p>
        </w:tc>
        <w:tc>
          <w:tcPr>
            <w:tcW w:w="804" w:type="dxa"/>
            <w:tcBorders>
              <w:left w:val="single" w:color="auto" w:sz="4" w:space="0"/>
            </w:tcBorders>
            <w:vAlign w:val="center"/>
          </w:tcPr>
          <w:p w14:paraId="48B16735">
            <w:pPr>
              <w:pStyle w:val="51"/>
              <w:jc w:val="center"/>
              <w:rPr>
                <w:rFonts w:hint="eastAsia" w:cs="宋体"/>
                <w:sz w:val="21"/>
                <w:szCs w:val="21"/>
              </w:rPr>
            </w:pPr>
            <w:r>
              <w:rPr>
                <w:rFonts w:hint="eastAsia" w:cs="宋体"/>
                <w:sz w:val="21"/>
                <w:szCs w:val="21"/>
              </w:rPr>
              <w:t>职称</w:t>
            </w:r>
          </w:p>
        </w:tc>
        <w:tc>
          <w:tcPr>
            <w:tcW w:w="1860" w:type="dxa"/>
            <w:vAlign w:val="center"/>
          </w:tcPr>
          <w:p w14:paraId="58D13651">
            <w:pPr>
              <w:pStyle w:val="51"/>
              <w:jc w:val="center"/>
              <w:rPr>
                <w:rFonts w:hint="eastAsia" w:cs="宋体"/>
                <w:sz w:val="21"/>
                <w:szCs w:val="21"/>
              </w:rPr>
            </w:pPr>
            <w:r>
              <w:rPr>
                <w:rFonts w:hint="eastAsia" w:cs="宋体"/>
                <w:sz w:val="21"/>
                <w:szCs w:val="21"/>
              </w:rPr>
              <w:t>注册证书（岗位证书）名称及编号</w:t>
            </w:r>
          </w:p>
        </w:tc>
        <w:tc>
          <w:tcPr>
            <w:tcW w:w="1356" w:type="dxa"/>
            <w:vAlign w:val="center"/>
          </w:tcPr>
          <w:p w14:paraId="6D1DA800">
            <w:pPr>
              <w:pStyle w:val="51"/>
              <w:jc w:val="center"/>
              <w:rPr>
                <w:rFonts w:hint="eastAsia" w:cs="宋体"/>
                <w:sz w:val="21"/>
                <w:szCs w:val="21"/>
              </w:rPr>
            </w:pPr>
            <w:r>
              <w:rPr>
                <w:rFonts w:hint="eastAsia" w:cs="宋体"/>
                <w:sz w:val="21"/>
                <w:szCs w:val="21"/>
              </w:rPr>
              <w:t>在团队中职务（岗位）</w:t>
            </w:r>
          </w:p>
        </w:tc>
        <w:tc>
          <w:tcPr>
            <w:tcW w:w="816" w:type="dxa"/>
            <w:vAlign w:val="center"/>
          </w:tcPr>
          <w:p w14:paraId="25C2FB64">
            <w:pPr>
              <w:pStyle w:val="51"/>
              <w:jc w:val="center"/>
              <w:rPr>
                <w:rFonts w:hint="eastAsia" w:cs="宋体"/>
                <w:sz w:val="21"/>
                <w:szCs w:val="21"/>
              </w:rPr>
            </w:pPr>
            <w:r>
              <w:rPr>
                <w:rFonts w:hint="eastAsia" w:cs="宋体"/>
                <w:sz w:val="21"/>
                <w:szCs w:val="21"/>
              </w:rPr>
              <w:t>自有/外聘</w:t>
            </w:r>
          </w:p>
        </w:tc>
      </w:tr>
      <w:tr w14:paraId="2366BA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2C7A665">
            <w:pPr>
              <w:pStyle w:val="51"/>
              <w:jc w:val="center"/>
              <w:rPr>
                <w:rFonts w:hint="eastAsia" w:cs="宋体"/>
                <w:sz w:val="21"/>
                <w:szCs w:val="21"/>
              </w:rPr>
            </w:pPr>
            <w:bookmarkStart w:id="696" w:name="_Toc99533292"/>
            <w:bookmarkStart w:id="697" w:name="_Toc100090784"/>
            <w:r>
              <w:rPr>
                <w:rFonts w:hint="eastAsia" w:cs="宋体"/>
                <w:sz w:val="21"/>
                <w:szCs w:val="21"/>
              </w:rPr>
              <w:t>1</w:t>
            </w:r>
            <w:bookmarkEnd w:id="696"/>
            <w:bookmarkEnd w:id="697"/>
          </w:p>
        </w:tc>
        <w:tc>
          <w:tcPr>
            <w:tcW w:w="1267" w:type="dxa"/>
            <w:vAlign w:val="center"/>
          </w:tcPr>
          <w:p w14:paraId="704771F1">
            <w:pPr>
              <w:pStyle w:val="51"/>
              <w:jc w:val="center"/>
              <w:rPr>
                <w:rFonts w:hint="eastAsia" w:cs="宋体"/>
                <w:sz w:val="21"/>
                <w:szCs w:val="21"/>
              </w:rPr>
            </w:pPr>
          </w:p>
        </w:tc>
        <w:tc>
          <w:tcPr>
            <w:tcW w:w="1296" w:type="dxa"/>
            <w:tcBorders>
              <w:right w:val="single" w:color="auto" w:sz="4" w:space="0"/>
            </w:tcBorders>
            <w:vAlign w:val="center"/>
          </w:tcPr>
          <w:p w14:paraId="7FEB1120">
            <w:pPr>
              <w:pStyle w:val="51"/>
              <w:jc w:val="center"/>
              <w:rPr>
                <w:rFonts w:hint="eastAsia" w:cs="宋体"/>
                <w:sz w:val="21"/>
                <w:szCs w:val="21"/>
              </w:rPr>
            </w:pPr>
          </w:p>
        </w:tc>
        <w:tc>
          <w:tcPr>
            <w:tcW w:w="1080" w:type="dxa"/>
            <w:tcBorders>
              <w:left w:val="single" w:color="auto" w:sz="4" w:space="0"/>
            </w:tcBorders>
            <w:vAlign w:val="center"/>
          </w:tcPr>
          <w:p w14:paraId="77FCEC16">
            <w:pPr>
              <w:pStyle w:val="51"/>
              <w:jc w:val="center"/>
              <w:rPr>
                <w:rFonts w:hint="eastAsia" w:cs="宋体"/>
                <w:sz w:val="21"/>
                <w:szCs w:val="21"/>
              </w:rPr>
            </w:pPr>
          </w:p>
        </w:tc>
        <w:tc>
          <w:tcPr>
            <w:tcW w:w="804" w:type="dxa"/>
            <w:tcBorders>
              <w:left w:val="single" w:color="auto" w:sz="4" w:space="0"/>
            </w:tcBorders>
            <w:vAlign w:val="center"/>
          </w:tcPr>
          <w:p w14:paraId="3CFA04C0">
            <w:pPr>
              <w:pStyle w:val="51"/>
              <w:jc w:val="center"/>
              <w:rPr>
                <w:rFonts w:hint="eastAsia" w:cs="宋体"/>
                <w:sz w:val="21"/>
                <w:szCs w:val="21"/>
              </w:rPr>
            </w:pPr>
          </w:p>
        </w:tc>
        <w:tc>
          <w:tcPr>
            <w:tcW w:w="1860" w:type="dxa"/>
            <w:vAlign w:val="center"/>
          </w:tcPr>
          <w:p w14:paraId="5E94FDDC">
            <w:pPr>
              <w:pStyle w:val="51"/>
              <w:jc w:val="center"/>
              <w:rPr>
                <w:rFonts w:hint="eastAsia" w:cs="宋体"/>
                <w:sz w:val="21"/>
                <w:szCs w:val="21"/>
              </w:rPr>
            </w:pPr>
          </w:p>
        </w:tc>
        <w:tc>
          <w:tcPr>
            <w:tcW w:w="1356" w:type="dxa"/>
            <w:vAlign w:val="center"/>
          </w:tcPr>
          <w:p w14:paraId="14DBBF09">
            <w:pPr>
              <w:pStyle w:val="51"/>
              <w:jc w:val="center"/>
              <w:rPr>
                <w:rFonts w:hint="eastAsia" w:cs="宋体"/>
                <w:sz w:val="21"/>
                <w:szCs w:val="21"/>
              </w:rPr>
            </w:pPr>
          </w:p>
        </w:tc>
        <w:tc>
          <w:tcPr>
            <w:tcW w:w="816" w:type="dxa"/>
            <w:vAlign w:val="center"/>
          </w:tcPr>
          <w:p w14:paraId="4D3C7524">
            <w:pPr>
              <w:pStyle w:val="51"/>
              <w:jc w:val="center"/>
              <w:rPr>
                <w:rFonts w:hint="eastAsia" w:cs="宋体"/>
                <w:sz w:val="21"/>
                <w:szCs w:val="21"/>
              </w:rPr>
            </w:pPr>
          </w:p>
        </w:tc>
      </w:tr>
      <w:tr w14:paraId="515875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71714F8">
            <w:pPr>
              <w:pStyle w:val="51"/>
              <w:jc w:val="center"/>
              <w:rPr>
                <w:rFonts w:hint="eastAsia" w:cs="宋体"/>
                <w:sz w:val="21"/>
                <w:szCs w:val="21"/>
              </w:rPr>
            </w:pPr>
            <w:bookmarkStart w:id="698" w:name="_Toc99533293"/>
            <w:bookmarkStart w:id="699" w:name="_Toc100090785"/>
            <w:r>
              <w:rPr>
                <w:rFonts w:hint="eastAsia" w:cs="宋体"/>
                <w:sz w:val="21"/>
                <w:szCs w:val="21"/>
              </w:rPr>
              <w:t>2</w:t>
            </w:r>
            <w:bookmarkEnd w:id="698"/>
            <w:bookmarkEnd w:id="699"/>
          </w:p>
        </w:tc>
        <w:tc>
          <w:tcPr>
            <w:tcW w:w="1267" w:type="dxa"/>
            <w:vAlign w:val="center"/>
          </w:tcPr>
          <w:p w14:paraId="0B8C30EF">
            <w:pPr>
              <w:pStyle w:val="51"/>
              <w:jc w:val="center"/>
              <w:rPr>
                <w:rFonts w:hint="eastAsia" w:cs="宋体"/>
                <w:sz w:val="21"/>
                <w:szCs w:val="21"/>
              </w:rPr>
            </w:pPr>
          </w:p>
        </w:tc>
        <w:tc>
          <w:tcPr>
            <w:tcW w:w="1296" w:type="dxa"/>
            <w:tcBorders>
              <w:right w:val="single" w:color="auto" w:sz="4" w:space="0"/>
            </w:tcBorders>
            <w:vAlign w:val="center"/>
          </w:tcPr>
          <w:p w14:paraId="1C3DF534">
            <w:pPr>
              <w:pStyle w:val="51"/>
              <w:jc w:val="center"/>
              <w:rPr>
                <w:rFonts w:hint="eastAsia" w:cs="宋体"/>
                <w:sz w:val="21"/>
                <w:szCs w:val="21"/>
              </w:rPr>
            </w:pPr>
          </w:p>
        </w:tc>
        <w:tc>
          <w:tcPr>
            <w:tcW w:w="1080" w:type="dxa"/>
            <w:tcBorders>
              <w:left w:val="single" w:color="auto" w:sz="4" w:space="0"/>
            </w:tcBorders>
            <w:vAlign w:val="center"/>
          </w:tcPr>
          <w:p w14:paraId="0FF47E19">
            <w:pPr>
              <w:pStyle w:val="51"/>
              <w:jc w:val="center"/>
              <w:rPr>
                <w:rFonts w:hint="eastAsia" w:cs="宋体"/>
                <w:sz w:val="21"/>
                <w:szCs w:val="21"/>
              </w:rPr>
            </w:pPr>
          </w:p>
        </w:tc>
        <w:tc>
          <w:tcPr>
            <w:tcW w:w="804" w:type="dxa"/>
            <w:tcBorders>
              <w:left w:val="single" w:color="auto" w:sz="4" w:space="0"/>
            </w:tcBorders>
            <w:vAlign w:val="center"/>
          </w:tcPr>
          <w:p w14:paraId="31962D05">
            <w:pPr>
              <w:pStyle w:val="51"/>
              <w:jc w:val="center"/>
              <w:rPr>
                <w:rFonts w:hint="eastAsia" w:cs="宋体"/>
                <w:sz w:val="21"/>
                <w:szCs w:val="21"/>
              </w:rPr>
            </w:pPr>
          </w:p>
        </w:tc>
        <w:tc>
          <w:tcPr>
            <w:tcW w:w="1860" w:type="dxa"/>
            <w:vAlign w:val="center"/>
          </w:tcPr>
          <w:p w14:paraId="6949EB89">
            <w:pPr>
              <w:pStyle w:val="51"/>
              <w:jc w:val="center"/>
              <w:rPr>
                <w:rFonts w:hint="eastAsia" w:cs="宋体"/>
                <w:sz w:val="21"/>
                <w:szCs w:val="21"/>
              </w:rPr>
            </w:pPr>
          </w:p>
        </w:tc>
        <w:tc>
          <w:tcPr>
            <w:tcW w:w="1356" w:type="dxa"/>
            <w:vAlign w:val="center"/>
          </w:tcPr>
          <w:p w14:paraId="53DDD4FD">
            <w:pPr>
              <w:pStyle w:val="51"/>
              <w:jc w:val="center"/>
              <w:rPr>
                <w:rFonts w:hint="eastAsia" w:cs="宋体"/>
                <w:sz w:val="21"/>
                <w:szCs w:val="21"/>
              </w:rPr>
            </w:pPr>
          </w:p>
        </w:tc>
        <w:tc>
          <w:tcPr>
            <w:tcW w:w="816" w:type="dxa"/>
            <w:vAlign w:val="center"/>
          </w:tcPr>
          <w:p w14:paraId="0040CF2C">
            <w:pPr>
              <w:pStyle w:val="51"/>
              <w:jc w:val="center"/>
              <w:rPr>
                <w:rFonts w:hint="eastAsia" w:cs="宋体"/>
                <w:sz w:val="21"/>
                <w:szCs w:val="21"/>
              </w:rPr>
            </w:pPr>
          </w:p>
        </w:tc>
      </w:tr>
      <w:tr w14:paraId="437355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9A515CD">
            <w:pPr>
              <w:pStyle w:val="51"/>
              <w:jc w:val="center"/>
              <w:rPr>
                <w:rFonts w:hint="eastAsia" w:cs="宋体"/>
                <w:sz w:val="21"/>
                <w:szCs w:val="21"/>
              </w:rPr>
            </w:pPr>
            <w:bookmarkStart w:id="700" w:name="_Toc99533294"/>
            <w:bookmarkStart w:id="701" w:name="_Toc100090786"/>
            <w:r>
              <w:rPr>
                <w:rFonts w:hint="eastAsia" w:cs="宋体"/>
                <w:sz w:val="21"/>
                <w:szCs w:val="21"/>
              </w:rPr>
              <w:t>3</w:t>
            </w:r>
            <w:bookmarkEnd w:id="700"/>
            <w:bookmarkEnd w:id="701"/>
          </w:p>
        </w:tc>
        <w:tc>
          <w:tcPr>
            <w:tcW w:w="1267" w:type="dxa"/>
            <w:vAlign w:val="center"/>
          </w:tcPr>
          <w:p w14:paraId="5D4234CF">
            <w:pPr>
              <w:pStyle w:val="51"/>
              <w:jc w:val="center"/>
              <w:rPr>
                <w:rFonts w:hint="eastAsia" w:cs="宋体"/>
                <w:sz w:val="21"/>
                <w:szCs w:val="21"/>
              </w:rPr>
            </w:pPr>
          </w:p>
        </w:tc>
        <w:tc>
          <w:tcPr>
            <w:tcW w:w="1296" w:type="dxa"/>
            <w:tcBorders>
              <w:right w:val="single" w:color="auto" w:sz="4" w:space="0"/>
            </w:tcBorders>
            <w:vAlign w:val="center"/>
          </w:tcPr>
          <w:p w14:paraId="4FF0D326">
            <w:pPr>
              <w:pStyle w:val="51"/>
              <w:jc w:val="center"/>
              <w:rPr>
                <w:rFonts w:hint="eastAsia" w:cs="宋体"/>
                <w:sz w:val="21"/>
                <w:szCs w:val="21"/>
              </w:rPr>
            </w:pPr>
          </w:p>
        </w:tc>
        <w:tc>
          <w:tcPr>
            <w:tcW w:w="1080" w:type="dxa"/>
            <w:tcBorders>
              <w:left w:val="single" w:color="auto" w:sz="4" w:space="0"/>
            </w:tcBorders>
            <w:vAlign w:val="center"/>
          </w:tcPr>
          <w:p w14:paraId="64E12C7F">
            <w:pPr>
              <w:pStyle w:val="51"/>
              <w:jc w:val="center"/>
              <w:rPr>
                <w:rFonts w:hint="eastAsia" w:cs="宋体"/>
                <w:sz w:val="21"/>
                <w:szCs w:val="21"/>
              </w:rPr>
            </w:pPr>
          </w:p>
        </w:tc>
        <w:tc>
          <w:tcPr>
            <w:tcW w:w="804" w:type="dxa"/>
            <w:tcBorders>
              <w:left w:val="single" w:color="auto" w:sz="4" w:space="0"/>
            </w:tcBorders>
            <w:vAlign w:val="center"/>
          </w:tcPr>
          <w:p w14:paraId="2D750038">
            <w:pPr>
              <w:pStyle w:val="51"/>
              <w:jc w:val="center"/>
              <w:rPr>
                <w:rFonts w:hint="eastAsia" w:cs="宋体"/>
                <w:sz w:val="21"/>
                <w:szCs w:val="21"/>
              </w:rPr>
            </w:pPr>
          </w:p>
        </w:tc>
        <w:tc>
          <w:tcPr>
            <w:tcW w:w="1860" w:type="dxa"/>
            <w:vAlign w:val="center"/>
          </w:tcPr>
          <w:p w14:paraId="7C963663">
            <w:pPr>
              <w:pStyle w:val="51"/>
              <w:jc w:val="center"/>
              <w:rPr>
                <w:rFonts w:hint="eastAsia" w:cs="宋体"/>
                <w:sz w:val="21"/>
                <w:szCs w:val="21"/>
              </w:rPr>
            </w:pPr>
          </w:p>
        </w:tc>
        <w:tc>
          <w:tcPr>
            <w:tcW w:w="1356" w:type="dxa"/>
            <w:vAlign w:val="center"/>
          </w:tcPr>
          <w:p w14:paraId="29B17033">
            <w:pPr>
              <w:pStyle w:val="51"/>
              <w:jc w:val="center"/>
              <w:rPr>
                <w:rFonts w:hint="eastAsia" w:cs="宋体"/>
                <w:sz w:val="21"/>
                <w:szCs w:val="21"/>
              </w:rPr>
            </w:pPr>
          </w:p>
        </w:tc>
        <w:tc>
          <w:tcPr>
            <w:tcW w:w="816" w:type="dxa"/>
            <w:vAlign w:val="center"/>
          </w:tcPr>
          <w:p w14:paraId="172A0E4D">
            <w:pPr>
              <w:pStyle w:val="51"/>
              <w:jc w:val="center"/>
              <w:rPr>
                <w:rFonts w:hint="eastAsia" w:cs="宋体"/>
                <w:sz w:val="21"/>
                <w:szCs w:val="21"/>
              </w:rPr>
            </w:pPr>
          </w:p>
        </w:tc>
      </w:tr>
      <w:tr w14:paraId="16EABA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A97517A">
            <w:pPr>
              <w:pStyle w:val="51"/>
              <w:jc w:val="center"/>
              <w:rPr>
                <w:rFonts w:hint="eastAsia" w:cs="宋体"/>
                <w:sz w:val="21"/>
                <w:szCs w:val="21"/>
              </w:rPr>
            </w:pPr>
            <w:bookmarkStart w:id="702" w:name="_Toc100090787"/>
            <w:bookmarkStart w:id="703" w:name="_Toc99533295"/>
            <w:r>
              <w:rPr>
                <w:rFonts w:hint="eastAsia" w:cs="宋体"/>
                <w:sz w:val="21"/>
                <w:szCs w:val="21"/>
              </w:rPr>
              <w:t>4</w:t>
            </w:r>
            <w:bookmarkEnd w:id="702"/>
            <w:bookmarkEnd w:id="703"/>
          </w:p>
        </w:tc>
        <w:tc>
          <w:tcPr>
            <w:tcW w:w="1267" w:type="dxa"/>
            <w:vAlign w:val="center"/>
          </w:tcPr>
          <w:p w14:paraId="5A1D7CA7">
            <w:pPr>
              <w:pStyle w:val="51"/>
              <w:jc w:val="center"/>
              <w:rPr>
                <w:rFonts w:hint="eastAsia" w:cs="宋体"/>
                <w:sz w:val="21"/>
                <w:szCs w:val="21"/>
              </w:rPr>
            </w:pPr>
          </w:p>
        </w:tc>
        <w:tc>
          <w:tcPr>
            <w:tcW w:w="1296" w:type="dxa"/>
            <w:tcBorders>
              <w:right w:val="single" w:color="auto" w:sz="4" w:space="0"/>
            </w:tcBorders>
            <w:vAlign w:val="center"/>
          </w:tcPr>
          <w:p w14:paraId="3843E983">
            <w:pPr>
              <w:pStyle w:val="51"/>
              <w:jc w:val="center"/>
              <w:rPr>
                <w:rFonts w:hint="eastAsia" w:cs="宋体"/>
                <w:sz w:val="21"/>
                <w:szCs w:val="21"/>
              </w:rPr>
            </w:pPr>
          </w:p>
        </w:tc>
        <w:tc>
          <w:tcPr>
            <w:tcW w:w="1080" w:type="dxa"/>
            <w:tcBorders>
              <w:left w:val="single" w:color="auto" w:sz="4" w:space="0"/>
            </w:tcBorders>
            <w:vAlign w:val="center"/>
          </w:tcPr>
          <w:p w14:paraId="20620E13">
            <w:pPr>
              <w:pStyle w:val="51"/>
              <w:jc w:val="center"/>
              <w:rPr>
                <w:rFonts w:hint="eastAsia" w:cs="宋体"/>
                <w:sz w:val="21"/>
                <w:szCs w:val="21"/>
              </w:rPr>
            </w:pPr>
          </w:p>
        </w:tc>
        <w:tc>
          <w:tcPr>
            <w:tcW w:w="804" w:type="dxa"/>
            <w:tcBorders>
              <w:left w:val="single" w:color="auto" w:sz="4" w:space="0"/>
            </w:tcBorders>
            <w:vAlign w:val="center"/>
          </w:tcPr>
          <w:p w14:paraId="6CC2AD51">
            <w:pPr>
              <w:pStyle w:val="51"/>
              <w:jc w:val="center"/>
              <w:rPr>
                <w:rFonts w:hint="eastAsia" w:cs="宋体"/>
                <w:sz w:val="21"/>
                <w:szCs w:val="21"/>
              </w:rPr>
            </w:pPr>
          </w:p>
        </w:tc>
        <w:tc>
          <w:tcPr>
            <w:tcW w:w="1860" w:type="dxa"/>
            <w:vAlign w:val="center"/>
          </w:tcPr>
          <w:p w14:paraId="037FE208">
            <w:pPr>
              <w:pStyle w:val="51"/>
              <w:jc w:val="center"/>
              <w:rPr>
                <w:rFonts w:hint="eastAsia" w:cs="宋体"/>
                <w:sz w:val="21"/>
                <w:szCs w:val="21"/>
              </w:rPr>
            </w:pPr>
          </w:p>
        </w:tc>
        <w:tc>
          <w:tcPr>
            <w:tcW w:w="1356" w:type="dxa"/>
            <w:vAlign w:val="center"/>
          </w:tcPr>
          <w:p w14:paraId="5C0F0C12">
            <w:pPr>
              <w:pStyle w:val="51"/>
              <w:jc w:val="center"/>
              <w:rPr>
                <w:rFonts w:hint="eastAsia" w:cs="宋体"/>
                <w:sz w:val="21"/>
                <w:szCs w:val="21"/>
              </w:rPr>
            </w:pPr>
          </w:p>
        </w:tc>
        <w:tc>
          <w:tcPr>
            <w:tcW w:w="816" w:type="dxa"/>
            <w:vAlign w:val="center"/>
          </w:tcPr>
          <w:p w14:paraId="484EED19">
            <w:pPr>
              <w:pStyle w:val="51"/>
              <w:jc w:val="center"/>
              <w:rPr>
                <w:rFonts w:hint="eastAsia" w:cs="宋体"/>
                <w:sz w:val="21"/>
                <w:szCs w:val="21"/>
              </w:rPr>
            </w:pPr>
          </w:p>
        </w:tc>
      </w:tr>
      <w:tr w14:paraId="61CF95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460BAD25">
            <w:pPr>
              <w:pStyle w:val="51"/>
              <w:jc w:val="center"/>
              <w:rPr>
                <w:rFonts w:hint="eastAsia" w:cs="宋体"/>
                <w:sz w:val="21"/>
                <w:szCs w:val="21"/>
              </w:rPr>
            </w:pPr>
            <w:bookmarkStart w:id="704" w:name="_Toc99533296"/>
            <w:bookmarkStart w:id="705" w:name="_Toc100090788"/>
            <w:r>
              <w:rPr>
                <w:rFonts w:hint="eastAsia" w:cs="宋体"/>
                <w:sz w:val="21"/>
                <w:szCs w:val="21"/>
              </w:rPr>
              <w:t>5</w:t>
            </w:r>
            <w:bookmarkEnd w:id="704"/>
            <w:bookmarkEnd w:id="705"/>
          </w:p>
        </w:tc>
        <w:tc>
          <w:tcPr>
            <w:tcW w:w="1267" w:type="dxa"/>
            <w:vAlign w:val="center"/>
          </w:tcPr>
          <w:p w14:paraId="48FE4A45">
            <w:pPr>
              <w:pStyle w:val="51"/>
              <w:jc w:val="center"/>
              <w:rPr>
                <w:rFonts w:hint="eastAsia" w:cs="宋体"/>
                <w:sz w:val="21"/>
                <w:szCs w:val="21"/>
              </w:rPr>
            </w:pPr>
          </w:p>
        </w:tc>
        <w:tc>
          <w:tcPr>
            <w:tcW w:w="1296" w:type="dxa"/>
            <w:tcBorders>
              <w:right w:val="single" w:color="auto" w:sz="4" w:space="0"/>
            </w:tcBorders>
            <w:vAlign w:val="center"/>
          </w:tcPr>
          <w:p w14:paraId="5E740D22">
            <w:pPr>
              <w:pStyle w:val="51"/>
              <w:jc w:val="center"/>
              <w:rPr>
                <w:rFonts w:hint="eastAsia" w:cs="宋体"/>
                <w:sz w:val="21"/>
                <w:szCs w:val="21"/>
              </w:rPr>
            </w:pPr>
          </w:p>
        </w:tc>
        <w:tc>
          <w:tcPr>
            <w:tcW w:w="1080" w:type="dxa"/>
            <w:tcBorders>
              <w:left w:val="single" w:color="auto" w:sz="4" w:space="0"/>
            </w:tcBorders>
            <w:vAlign w:val="center"/>
          </w:tcPr>
          <w:p w14:paraId="2528C9EA">
            <w:pPr>
              <w:pStyle w:val="51"/>
              <w:jc w:val="center"/>
              <w:rPr>
                <w:rFonts w:hint="eastAsia" w:cs="宋体"/>
                <w:sz w:val="21"/>
                <w:szCs w:val="21"/>
              </w:rPr>
            </w:pPr>
          </w:p>
        </w:tc>
        <w:tc>
          <w:tcPr>
            <w:tcW w:w="804" w:type="dxa"/>
            <w:tcBorders>
              <w:left w:val="single" w:color="auto" w:sz="4" w:space="0"/>
            </w:tcBorders>
            <w:vAlign w:val="center"/>
          </w:tcPr>
          <w:p w14:paraId="28D6D373">
            <w:pPr>
              <w:pStyle w:val="51"/>
              <w:jc w:val="center"/>
              <w:rPr>
                <w:rFonts w:hint="eastAsia" w:cs="宋体"/>
                <w:sz w:val="21"/>
                <w:szCs w:val="21"/>
              </w:rPr>
            </w:pPr>
          </w:p>
        </w:tc>
        <w:tc>
          <w:tcPr>
            <w:tcW w:w="1860" w:type="dxa"/>
            <w:vAlign w:val="center"/>
          </w:tcPr>
          <w:p w14:paraId="547ABA84">
            <w:pPr>
              <w:pStyle w:val="51"/>
              <w:jc w:val="center"/>
              <w:rPr>
                <w:rFonts w:hint="eastAsia" w:cs="宋体"/>
                <w:sz w:val="21"/>
                <w:szCs w:val="21"/>
              </w:rPr>
            </w:pPr>
          </w:p>
        </w:tc>
        <w:tc>
          <w:tcPr>
            <w:tcW w:w="1356" w:type="dxa"/>
            <w:vAlign w:val="center"/>
          </w:tcPr>
          <w:p w14:paraId="03524EB2">
            <w:pPr>
              <w:pStyle w:val="51"/>
              <w:jc w:val="center"/>
              <w:rPr>
                <w:rFonts w:hint="eastAsia" w:cs="宋体"/>
                <w:sz w:val="21"/>
                <w:szCs w:val="21"/>
              </w:rPr>
            </w:pPr>
          </w:p>
        </w:tc>
        <w:tc>
          <w:tcPr>
            <w:tcW w:w="816" w:type="dxa"/>
            <w:vAlign w:val="center"/>
          </w:tcPr>
          <w:p w14:paraId="07A1B5FE">
            <w:pPr>
              <w:pStyle w:val="51"/>
              <w:jc w:val="center"/>
              <w:rPr>
                <w:rFonts w:hint="eastAsia" w:cs="宋体"/>
                <w:sz w:val="21"/>
                <w:szCs w:val="21"/>
              </w:rPr>
            </w:pPr>
          </w:p>
        </w:tc>
      </w:tr>
      <w:tr w14:paraId="341F50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3946659">
            <w:pPr>
              <w:pStyle w:val="51"/>
              <w:jc w:val="center"/>
              <w:rPr>
                <w:rFonts w:hint="eastAsia" w:cs="宋体"/>
                <w:sz w:val="21"/>
                <w:szCs w:val="21"/>
              </w:rPr>
            </w:pPr>
            <w:bookmarkStart w:id="706" w:name="_Toc99533297"/>
            <w:bookmarkStart w:id="707" w:name="_Toc100090789"/>
            <w:r>
              <w:rPr>
                <w:rFonts w:hint="eastAsia" w:cs="宋体"/>
                <w:sz w:val="21"/>
                <w:szCs w:val="21"/>
              </w:rPr>
              <w:t>6</w:t>
            </w:r>
            <w:bookmarkEnd w:id="706"/>
            <w:bookmarkEnd w:id="707"/>
          </w:p>
        </w:tc>
        <w:tc>
          <w:tcPr>
            <w:tcW w:w="1267" w:type="dxa"/>
            <w:vAlign w:val="center"/>
          </w:tcPr>
          <w:p w14:paraId="1F27662F">
            <w:pPr>
              <w:pStyle w:val="51"/>
              <w:jc w:val="center"/>
              <w:rPr>
                <w:rFonts w:hint="eastAsia" w:cs="宋体"/>
                <w:sz w:val="21"/>
                <w:szCs w:val="21"/>
              </w:rPr>
            </w:pPr>
          </w:p>
        </w:tc>
        <w:tc>
          <w:tcPr>
            <w:tcW w:w="1296" w:type="dxa"/>
            <w:tcBorders>
              <w:right w:val="single" w:color="auto" w:sz="4" w:space="0"/>
            </w:tcBorders>
            <w:vAlign w:val="center"/>
          </w:tcPr>
          <w:p w14:paraId="4587EAAC">
            <w:pPr>
              <w:pStyle w:val="51"/>
              <w:jc w:val="center"/>
              <w:rPr>
                <w:rFonts w:hint="eastAsia" w:cs="宋体"/>
                <w:sz w:val="21"/>
                <w:szCs w:val="21"/>
              </w:rPr>
            </w:pPr>
          </w:p>
        </w:tc>
        <w:tc>
          <w:tcPr>
            <w:tcW w:w="1080" w:type="dxa"/>
            <w:tcBorders>
              <w:left w:val="single" w:color="auto" w:sz="4" w:space="0"/>
            </w:tcBorders>
            <w:vAlign w:val="center"/>
          </w:tcPr>
          <w:p w14:paraId="0A429AE9">
            <w:pPr>
              <w:pStyle w:val="51"/>
              <w:jc w:val="center"/>
              <w:rPr>
                <w:rFonts w:hint="eastAsia" w:cs="宋体"/>
                <w:sz w:val="21"/>
                <w:szCs w:val="21"/>
              </w:rPr>
            </w:pPr>
          </w:p>
        </w:tc>
        <w:tc>
          <w:tcPr>
            <w:tcW w:w="804" w:type="dxa"/>
            <w:tcBorders>
              <w:left w:val="single" w:color="auto" w:sz="4" w:space="0"/>
            </w:tcBorders>
            <w:vAlign w:val="center"/>
          </w:tcPr>
          <w:p w14:paraId="383D88A1">
            <w:pPr>
              <w:pStyle w:val="51"/>
              <w:jc w:val="center"/>
              <w:rPr>
                <w:rFonts w:hint="eastAsia" w:cs="宋体"/>
                <w:sz w:val="21"/>
                <w:szCs w:val="21"/>
              </w:rPr>
            </w:pPr>
          </w:p>
        </w:tc>
        <w:tc>
          <w:tcPr>
            <w:tcW w:w="1860" w:type="dxa"/>
            <w:vAlign w:val="center"/>
          </w:tcPr>
          <w:p w14:paraId="2BAF53DE">
            <w:pPr>
              <w:pStyle w:val="51"/>
              <w:jc w:val="center"/>
              <w:rPr>
                <w:rFonts w:hint="eastAsia" w:cs="宋体"/>
                <w:sz w:val="21"/>
                <w:szCs w:val="21"/>
              </w:rPr>
            </w:pPr>
          </w:p>
        </w:tc>
        <w:tc>
          <w:tcPr>
            <w:tcW w:w="1356" w:type="dxa"/>
            <w:vAlign w:val="center"/>
          </w:tcPr>
          <w:p w14:paraId="00313B27">
            <w:pPr>
              <w:pStyle w:val="51"/>
              <w:jc w:val="center"/>
              <w:rPr>
                <w:rFonts w:hint="eastAsia" w:cs="宋体"/>
                <w:sz w:val="21"/>
                <w:szCs w:val="21"/>
              </w:rPr>
            </w:pPr>
          </w:p>
        </w:tc>
        <w:tc>
          <w:tcPr>
            <w:tcW w:w="816" w:type="dxa"/>
            <w:vAlign w:val="center"/>
          </w:tcPr>
          <w:p w14:paraId="7BB6EFED">
            <w:pPr>
              <w:pStyle w:val="51"/>
              <w:jc w:val="center"/>
              <w:rPr>
                <w:rFonts w:hint="eastAsia" w:cs="宋体"/>
                <w:sz w:val="21"/>
                <w:szCs w:val="21"/>
              </w:rPr>
            </w:pPr>
          </w:p>
        </w:tc>
      </w:tr>
      <w:tr w14:paraId="07ED3E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0511186">
            <w:pPr>
              <w:pStyle w:val="51"/>
              <w:jc w:val="center"/>
              <w:rPr>
                <w:rFonts w:hint="eastAsia" w:cs="宋体"/>
                <w:sz w:val="21"/>
                <w:szCs w:val="21"/>
              </w:rPr>
            </w:pPr>
            <w:bookmarkStart w:id="708" w:name="_Toc100090790"/>
            <w:bookmarkStart w:id="709" w:name="_Toc99533298"/>
            <w:r>
              <w:rPr>
                <w:rFonts w:hint="eastAsia" w:cs="宋体"/>
                <w:sz w:val="21"/>
                <w:szCs w:val="21"/>
              </w:rPr>
              <w:t>7</w:t>
            </w:r>
            <w:bookmarkEnd w:id="708"/>
            <w:bookmarkEnd w:id="709"/>
          </w:p>
        </w:tc>
        <w:tc>
          <w:tcPr>
            <w:tcW w:w="1267" w:type="dxa"/>
            <w:vAlign w:val="center"/>
          </w:tcPr>
          <w:p w14:paraId="311A02DE">
            <w:pPr>
              <w:pStyle w:val="51"/>
              <w:jc w:val="center"/>
              <w:rPr>
                <w:rFonts w:hint="eastAsia" w:cs="宋体"/>
                <w:sz w:val="21"/>
                <w:szCs w:val="21"/>
              </w:rPr>
            </w:pPr>
          </w:p>
        </w:tc>
        <w:tc>
          <w:tcPr>
            <w:tcW w:w="1296" w:type="dxa"/>
            <w:tcBorders>
              <w:right w:val="single" w:color="auto" w:sz="4" w:space="0"/>
            </w:tcBorders>
            <w:vAlign w:val="center"/>
          </w:tcPr>
          <w:p w14:paraId="4DECD989">
            <w:pPr>
              <w:pStyle w:val="51"/>
              <w:jc w:val="center"/>
              <w:rPr>
                <w:rFonts w:hint="eastAsia" w:cs="宋体"/>
                <w:sz w:val="21"/>
                <w:szCs w:val="21"/>
              </w:rPr>
            </w:pPr>
          </w:p>
        </w:tc>
        <w:tc>
          <w:tcPr>
            <w:tcW w:w="1080" w:type="dxa"/>
            <w:tcBorders>
              <w:left w:val="single" w:color="auto" w:sz="4" w:space="0"/>
            </w:tcBorders>
            <w:vAlign w:val="center"/>
          </w:tcPr>
          <w:p w14:paraId="12624346">
            <w:pPr>
              <w:pStyle w:val="51"/>
              <w:jc w:val="center"/>
              <w:rPr>
                <w:rFonts w:hint="eastAsia" w:cs="宋体"/>
                <w:sz w:val="21"/>
                <w:szCs w:val="21"/>
              </w:rPr>
            </w:pPr>
          </w:p>
        </w:tc>
        <w:tc>
          <w:tcPr>
            <w:tcW w:w="804" w:type="dxa"/>
            <w:tcBorders>
              <w:left w:val="single" w:color="auto" w:sz="4" w:space="0"/>
            </w:tcBorders>
            <w:vAlign w:val="center"/>
          </w:tcPr>
          <w:p w14:paraId="5EBB9A7C">
            <w:pPr>
              <w:pStyle w:val="51"/>
              <w:jc w:val="center"/>
              <w:rPr>
                <w:rFonts w:hint="eastAsia" w:cs="宋体"/>
                <w:sz w:val="21"/>
                <w:szCs w:val="21"/>
              </w:rPr>
            </w:pPr>
          </w:p>
        </w:tc>
        <w:tc>
          <w:tcPr>
            <w:tcW w:w="1860" w:type="dxa"/>
            <w:vAlign w:val="center"/>
          </w:tcPr>
          <w:p w14:paraId="5E2280E1">
            <w:pPr>
              <w:pStyle w:val="51"/>
              <w:jc w:val="center"/>
              <w:rPr>
                <w:rFonts w:hint="eastAsia" w:cs="宋体"/>
                <w:sz w:val="21"/>
                <w:szCs w:val="21"/>
              </w:rPr>
            </w:pPr>
          </w:p>
        </w:tc>
        <w:tc>
          <w:tcPr>
            <w:tcW w:w="1356" w:type="dxa"/>
            <w:vAlign w:val="center"/>
          </w:tcPr>
          <w:p w14:paraId="6CB71EEA">
            <w:pPr>
              <w:pStyle w:val="51"/>
              <w:jc w:val="center"/>
              <w:rPr>
                <w:rFonts w:hint="eastAsia" w:cs="宋体"/>
                <w:sz w:val="21"/>
                <w:szCs w:val="21"/>
              </w:rPr>
            </w:pPr>
          </w:p>
        </w:tc>
        <w:tc>
          <w:tcPr>
            <w:tcW w:w="816" w:type="dxa"/>
            <w:vAlign w:val="center"/>
          </w:tcPr>
          <w:p w14:paraId="4829D56B">
            <w:pPr>
              <w:pStyle w:val="51"/>
              <w:jc w:val="center"/>
              <w:rPr>
                <w:rFonts w:hint="eastAsia" w:cs="宋体"/>
                <w:sz w:val="21"/>
                <w:szCs w:val="21"/>
              </w:rPr>
            </w:pPr>
          </w:p>
        </w:tc>
      </w:tr>
      <w:tr w14:paraId="10FE6A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387F796">
            <w:pPr>
              <w:pStyle w:val="51"/>
              <w:jc w:val="center"/>
              <w:rPr>
                <w:rFonts w:hint="eastAsia" w:cs="宋体"/>
                <w:sz w:val="21"/>
                <w:szCs w:val="21"/>
              </w:rPr>
            </w:pPr>
            <w:bookmarkStart w:id="710" w:name="_Toc100090791"/>
            <w:bookmarkStart w:id="711" w:name="_Toc99533299"/>
            <w:r>
              <w:rPr>
                <w:rFonts w:hint="eastAsia" w:cs="宋体"/>
                <w:sz w:val="21"/>
                <w:szCs w:val="21"/>
              </w:rPr>
              <w:t>8</w:t>
            </w:r>
            <w:bookmarkEnd w:id="710"/>
            <w:bookmarkEnd w:id="711"/>
          </w:p>
        </w:tc>
        <w:tc>
          <w:tcPr>
            <w:tcW w:w="1267" w:type="dxa"/>
            <w:vAlign w:val="center"/>
          </w:tcPr>
          <w:p w14:paraId="0231F436">
            <w:pPr>
              <w:pStyle w:val="51"/>
              <w:jc w:val="center"/>
              <w:rPr>
                <w:rFonts w:hint="eastAsia" w:cs="宋体"/>
                <w:sz w:val="21"/>
                <w:szCs w:val="21"/>
              </w:rPr>
            </w:pPr>
          </w:p>
        </w:tc>
        <w:tc>
          <w:tcPr>
            <w:tcW w:w="1296" w:type="dxa"/>
            <w:tcBorders>
              <w:right w:val="single" w:color="auto" w:sz="4" w:space="0"/>
            </w:tcBorders>
            <w:vAlign w:val="center"/>
          </w:tcPr>
          <w:p w14:paraId="5172705E">
            <w:pPr>
              <w:pStyle w:val="51"/>
              <w:jc w:val="center"/>
              <w:rPr>
                <w:rFonts w:hint="eastAsia" w:cs="宋体"/>
                <w:sz w:val="21"/>
                <w:szCs w:val="21"/>
              </w:rPr>
            </w:pPr>
          </w:p>
        </w:tc>
        <w:tc>
          <w:tcPr>
            <w:tcW w:w="1080" w:type="dxa"/>
            <w:tcBorders>
              <w:left w:val="single" w:color="auto" w:sz="4" w:space="0"/>
            </w:tcBorders>
            <w:vAlign w:val="center"/>
          </w:tcPr>
          <w:p w14:paraId="2E4D9B32">
            <w:pPr>
              <w:pStyle w:val="51"/>
              <w:jc w:val="center"/>
              <w:rPr>
                <w:rFonts w:hint="eastAsia" w:cs="宋体"/>
                <w:sz w:val="21"/>
                <w:szCs w:val="21"/>
              </w:rPr>
            </w:pPr>
          </w:p>
        </w:tc>
        <w:tc>
          <w:tcPr>
            <w:tcW w:w="804" w:type="dxa"/>
            <w:tcBorders>
              <w:left w:val="single" w:color="auto" w:sz="4" w:space="0"/>
            </w:tcBorders>
            <w:vAlign w:val="center"/>
          </w:tcPr>
          <w:p w14:paraId="72479DDC">
            <w:pPr>
              <w:pStyle w:val="51"/>
              <w:jc w:val="center"/>
              <w:rPr>
                <w:rFonts w:hint="eastAsia" w:cs="宋体"/>
                <w:sz w:val="21"/>
                <w:szCs w:val="21"/>
              </w:rPr>
            </w:pPr>
          </w:p>
        </w:tc>
        <w:tc>
          <w:tcPr>
            <w:tcW w:w="1860" w:type="dxa"/>
            <w:vAlign w:val="center"/>
          </w:tcPr>
          <w:p w14:paraId="407FF2D0">
            <w:pPr>
              <w:pStyle w:val="51"/>
              <w:jc w:val="center"/>
              <w:rPr>
                <w:rFonts w:hint="eastAsia" w:cs="宋体"/>
                <w:sz w:val="21"/>
                <w:szCs w:val="21"/>
              </w:rPr>
            </w:pPr>
          </w:p>
        </w:tc>
        <w:tc>
          <w:tcPr>
            <w:tcW w:w="1356" w:type="dxa"/>
            <w:vAlign w:val="center"/>
          </w:tcPr>
          <w:p w14:paraId="0792F300">
            <w:pPr>
              <w:pStyle w:val="51"/>
              <w:jc w:val="center"/>
              <w:rPr>
                <w:rFonts w:hint="eastAsia" w:cs="宋体"/>
                <w:sz w:val="21"/>
                <w:szCs w:val="21"/>
              </w:rPr>
            </w:pPr>
          </w:p>
        </w:tc>
        <w:tc>
          <w:tcPr>
            <w:tcW w:w="816" w:type="dxa"/>
            <w:vAlign w:val="center"/>
          </w:tcPr>
          <w:p w14:paraId="2B810DE2">
            <w:pPr>
              <w:pStyle w:val="51"/>
              <w:jc w:val="center"/>
              <w:rPr>
                <w:rFonts w:hint="eastAsia" w:cs="宋体"/>
                <w:sz w:val="21"/>
                <w:szCs w:val="21"/>
              </w:rPr>
            </w:pPr>
          </w:p>
        </w:tc>
      </w:tr>
      <w:tr w14:paraId="4A7B67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B486A59">
            <w:pPr>
              <w:pStyle w:val="51"/>
              <w:jc w:val="center"/>
              <w:rPr>
                <w:rFonts w:hint="eastAsia" w:cs="宋体"/>
                <w:sz w:val="21"/>
                <w:szCs w:val="21"/>
              </w:rPr>
            </w:pPr>
            <w:bookmarkStart w:id="712" w:name="_Toc99533300"/>
            <w:bookmarkStart w:id="713" w:name="_Toc100090792"/>
            <w:r>
              <w:rPr>
                <w:rFonts w:hint="eastAsia" w:cs="宋体"/>
                <w:sz w:val="21"/>
                <w:szCs w:val="21"/>
              </w:rPr>
              <w:t>9</w:t>
            </w:r>
            <w:bookmarkEnd w:id="712"/>
            <w:bookmarkEnd w:id="713"/>
          </w:p>
        </w:tc>
        <w:tc>
          <w:tcPr>
            <w:tcW w:w="1267" w:type="dxa"/>
            <w:vAlign w:val="center"/>
          </w:tcPr>
          <w:p w14:paraId="7424947F">
            <w:pPr>
              <w:pStyle w:val="51"/>
              <w:jc w:val="center"/>
              <w:rPr>
                <w:rFonts w:hint="eastAsia" w:cs="宋体"/>
                <w:sz w:val="21"/>
                <w:szCs w:val="21"/>
              </w:rPr>
            </w:pPr>
          </w:p>
        </w:tc>
        <w:tc>
          <w:tcPr>
            <w:tcW w:w="1296" w:type="dxa"/>
            <w:tcBorders>
              <w:right w:val="single" w:color="auto" w:sz="4" w:space="0"/>
            </w:tcBorders>
            <w:vAlign w:val="center"/>
          </w:tcPr>
          <w:p w14:paraId="3A61C6DF">
            <w:pPr>
              <w:pStyle w:val="51"/>
              <w:jc w:val="center"/>
              <w:rPr>
                <w:rFonts w:hint="eastAsia" w:cs="宋体"/>
                <w:sz w:val="21"/>
                <w:szCs w:val="21"/>
              </w:rPr>
            </w:pPr>
          </w:p>
        </w:tc>
        <w:tc>
          <w:tcPr>
            <w:tcW w:w="1080" w:type="dxa"/>
            <w:tcBorders>
              <w:left w:val="single" w:color="auto" w:sz="4" w:space="0"/>
            </w:tcBorders>
            <w:vAlign w:val="center"/>
          </w:tcPr>
          <w:p w14:paraId="541720DE">
            <w:pPr>
              <w:pStyle w:val="51"/>
              <w:jc w:val="center"/>
              <w:rPr>
                <w:rFonts w:hint="eastAsia" w:cs="宋体"/>
                <w:sz w:val="21"/>
                <w:szCs w:val="21"/>
              </w:rPr>
            </w:pPr>
          </w:p>
        </w:tc>
        <w:tc>
          <w:tcPr>
            <w:tcW w:w="804" w:type="dxa"/>
            <w:tcBorders>
              <w:left w:val="single" w:color="auto" w:sz="4" w:space="0"/>
            </w:tcBorders>
            <w:vAlign w:val="center"/>
          </w:tcPr>
          <w:p w14:paraId="1654C5E9">
            <w:pPr>
              <w:pStyle w:val="51"/>
              <w:jc w:val="center"/>
              <w:rPr>
                <w:rFonts w:hint="eastAsia" w:cs="宋体"/>
                <w:sz w:val="21"/>
                <w:szCs w:val="21"/>
              </w:rPr>
            </w:pPr>
          </w:p>
        </w:tc>
        <w:tc>
          <w:tcPr>
            <w:tcW w:w="1860" w:type="dxa"/>
            <w:vAlign w:val="center"/>
          </w:tcPr>
          <w:p w14:paraId="4D392647">
            <w:pPr>
              <w:pStyle w:val="51"/>
              <w:jc w:val="center"/>
              <w:rPr>
                <w:rFonts w:hint="eastAsia" w:cs="宋体"/>
                <w:sz w:val="21"/>
                <w:szCs w:val="21"/>
              </w:rPr>
            </w:pPr>
          </w:p>
        </w:tc>
        <w:tc>
          <w:tcPr>
            <w:tcW w:w="1356" w:type="dxa"/>
            <w:vAlign w:val="center"/>
          </w:tcPr>
          <w:p w14:paraId="247E5932">
            <w:pPr>
              <w:pStyle w:val="51"/>
              <w:jc w:val="center"/>
              <w:rPr>
                <w:rFonts w:hint="eastAsia" w:cs="宋体"/>
                <w:sz w:val="21"/>
                <w:szCs w:val="21"/>
              </w:rPr>
            </w:pPr>
          </w:p>
        </w:tc>
        <w:tc>
          <w:tcPr>
            <w:tcW w:w="816" w:type="dxa"/>
            <w:vAlign w:val="center"/>
          </w:tcPr>
          <w:p w14:paraId="1E30A01E">
            <w:pPr>
              <w:pStyle w:val="51"/>
              <w:jc w:val="center"/>
              <w:rPr>
                <w:rFonts w:hint="eastAsia" w:cs="宋体"/>
                <w:sz w:val="21"/>
                <w:szCs w:val="21"/>
              </w:rPr>
            </w:pPr>
          </w:p>
        </w:tc>
      </w:tr>
      <w:tr w14:paraId="0BEA66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7B35FA76">
            <w:pPr>
              <w:pStyle w:val="51"/>
              <w:jc w:val="center"/>
              <w:rPr>
                <w:rFonts w:hint="eastAsia" w:cs="宋体"/>
                <w:sz w:val="21"/>
                <w:szCs w:val="21"/>
              </w:rPr>
            </w:pPr>
            <w:bookmarkStart w:id="714" w:name="_Toc99533301"/>
            <w:bookmarkStart w:id="715" w:name="_Toc100090793"/>
            <w:r>
              <w:rPr>
                <w:rFonts w:hint="eastAsia" w:cs="宋体"/>
                <w:sz w:val="21"/>
                <w:szCs w:val="21"/>
              </w:rPr>
              <w:t>10</w:t>
            </w:r>
            <w:bookmarkEnd w:id="714"/>
            <w:bookmarkEnd w:id="715"/>
          </w:p>
        </w:tc>
        <w:tc>
          <w:tcPr>
            <w:tcW w:w="1267" w:type="dxa"/>
            <w:vAlign w:val="center"/>
          </w:tcPr>
          <w:p w14:paraId="60D681BE">
            <w:pPr>
              <w:pStyle w:val="51"/>
              <w:jc w:val="center"/>
              <w:rPr>
                <w:rFonts w:hint="eastAsia" w:cs="宋体"/>
                <w:sz w:val="21"/>
                <w:szCs w:val="21"/>
              </w:rPr>
            </w:pPr>
          </w:p>
        </w:tc>
        <w:tc>
          <w:tcPr>
            <w:tcW w:w="1296" w:type="dxa"/>
            <w:tcBorders>
              <w:right w:val="single" w:color="auto" w:sz="4" w:space="0"/>
            </w:tcBorders>
            <w:vAlign w:val="center"/>
          </w:tcPr>
          <w:p w14:paraId="203C400D">
            <w:pPr>
              <w:pStyle w:val="51"/>
              <w:jc w:val="center"/>
              <w:rPr>
                <w:rFonts w:hint="eastAsia" w:cs="宋体"/>
                <w:sz w:val="21"/>
                <w:szCs w:val="21"/>
              </w:rPr>
            </w:pPr>
          </w:p>
        </w:tc>
        <w:tc>
          <w:tcPr>
            <w:tcW w:w="1080" w:type="dxa"/>
            <w:tcBorders>
              <w:left w:val="single" w:color="auto" w:sz="4" w:space="0"/>
            </w:tcBorders>
            <w:vAlign w:val="center"/>
          </w:tcPr>
          <w:p w14:paraId="4271E706">
            <w:pPr>
              <w:pStyle w:val="51"/>
              <w:jc w:val="center"/>
              <w:rPr>
                <w:rFonts w:hint="eastAsia" w:cs="宋体"/>
                <w:sz w:val="21"/>
                <w:szCs w:val="21"/>
              </w:rPr>
            </w:pPr>
          </w:p>
        </w:tc>
        <w:tc>
          <w:tcPr>
            <w:tcW w:w="804" w:type="dxa"/>
            <w:tcBorders>
              <w:left w:val="single" w:color="auto" w:sz="4" w:space="0"/>
            </w:tcBorders>
            <w:vAlign w:val="center"/>
          </w:tcPr>
          <w:p w14:paraId="26B8A2C7">
            <w:pPr>
              <w:pStyle w:val="51"/>
              <w:jc w:val="center"/>
              <w:rPr>
                <w:rFonts w:hint="eastAsia" w:cs="宋体"/>
                <w:sz w:val="21"/>
                <w:szCs w:val="21"/>
              </w:rPr>
            </w:pPr>
          </w:p>
        </w:tc>
        <w:tc>
          <w:tcPr>
            <w:tcW w:w="1860" w:type="dxa"/>
            <w:vAlign w:val="center"/>
          </w:tcPr>
          <w:p w14:paraId="14497EB8">
            <w:pPr>
              <w:pStyle w:val="51"/>
              <w:jc w:val="center"/>
              <w:rPr>
                <w:rFonts w:hint="eastAsia" w:cs="宋体"/>
                <w:sz w:val="21"/>
                <w:szCs w:val="21"/>
              </w:rPr>
            </w:pPr>
          </w:p>
        </w:tc>
        <w:tc>
          <w:tcPr>
            <w:tcW w:w="1356" w:type="dxa"/>
            <w:vAlign w:val="center"/>
          </w:tcPr>
          <w:p w14:paraId="628F04D3">
            <w:pPr>
              <w:pStyle w:val="51"/>
              <w:jc w:val="center"/>
              <w:rPr>
                <w:rFonts w:hint="eastAsia" w:cs="宋体"/>
                <w:sz w:val="21"/>
                <w:szCs w:val="21"/>
              </w:rPr>
            </w:pPr>
          </w:p>
        </w:tc>
        <w:tc>
          <w:tcPr>
            <w:tcW w:w="816" w:type="dxa"/>
            <w:vAlign w:val="center"/>
          </w:tcPr>
          <w:p w14:paraId="23B90465">
            <w:pPr>
              <w:pStyle w:val="51"/>
              <w:jc w:val="center"/>
              <w:rPr>
                <w:rFonts w:hint="eastAsia" w:cs="宋体"/>
                <w:sz w:val="21"/>
                <w:szCs w:val="21"/>
              </w:rPr>
            </w:pPr>
          </w:p>
        </w:tc>
      </w:tr>
    </w:tbl>
    <w:p w14:paraId="3A5F34ED">
      <w:pPr>
        <w:rPr>
          <w:rFonts w:hint="eastAsia"/>
        </w:rPr>
      </w:pPr>
    </w:p>
    <w:p w14:paraId="717E3ABE">
      <w:pPr>
        <w:rPr>
          <w:rFonts w:hint="eastAsia" w:cs="仿宋_GB2312"/>
          <w:sz w:val="21"/>
          <w:szCs w:val="21"/>
        </w:rPr>
      </w:pPr>
      <w:r>
        <w:rPr>
          <w:rFonts w:hint="eastAsia" w:cs="仿宋_GB2312"/>
          <w:sz w:val="21"/>
          <w:szCs w:val="21"/>
        </w:rPr>
        <w:t>注：按招标文件要求在本表后附相关人员证书。</w:t>
      </w:r>
    </w:p>
    <w:p w14:paraId="12A07247">
      <w:pPr>
        <w:ind w:firstLine="420" w:firstLineChars="200"/>
        <w:rPr>
          <w:rFonts w:hint="eastAsia" w:cs="仿宋_GB2312"/>
          <w:sz w:val="21"/>
          <w:szCs w:val="21"/>
        </w:rPr>
      </w:pPr>
    </w:p>
    <w:p w14:paraId="304CCCF5">
      <w:pPr>
        <w:ind w:firstLine="420" w:firstLineChars="200"/>
        <w:rPr>
          <w:rFonts w:hint="eastAsia" w:cs="仿宋_GB2312"/>
          <w:sz w:val="21"/>
          <w:szCs w:val="21"/>
        </w:rPr>
      </w:pPr>
      <w:r>
        <w:rPr>
          <w:rFonts w:hint="eastAsia" w:cs="仿宋_GB2312"/>
          <w:sz w:val="21"/>
          <w:szCs w:val="21"/>
        </w:rPr>
        <w:t xml:space="preserve">说明： </w:t>
      </w:r>
    </w:p>
    <w:p w14:paraId="0D5FB191">
      <w:pPr>
        <w:ind w:firstLine="420" w:firstLineChars="200"/>
        <w:rPr>
          <w:rFonts w:hint="eastAsia" w:cs="仿宋_GB2312"/>
          <w:sz w:val="21"/>
          <w:szCs w:val="21"/>
        </w:rPr>
      </w:pPr>
      <w:r>
        <w:rPr>
          <w:rFonts w:hint="eastAsia" w:cs="仿宋_GB2312"/>
          <w:sz w:val="21"/>
          <w:szCs w:val="21"/>
        </w:rPr>
        <w:t xml:space="preserve">1.“在团队中职务（岗位）”栏应包括但不限于：项目负责人、项目联系人、项目服务人员或技术人员等。 </w:t>
      </w:r>
    </w:p>
    <w:p w14:paraId="2B2BC3FF">
      <w:pPr>
        <w:ind w:firstLine="420" w:firstLineChars="200"/>
        <w:rPr>
          <w:rFonts w:hint="eastAsia"/>
        </w:rPr>
      </w:pPr>
      <w:r>
        <w:rPr>
          <w:rFonts w:hint="eastAsia" w:cs="仿宋_GB2312"/>
          <w:sz w:val="21"/>
          <w:szCs w:val="21"/>
        </w:rPr>
        <w:t>2.如投标人中标，须按本表项目组成人员操作，不得随意更换。</w:t>
      </w:r>
      <w:r>
        <w:br w:type="page"/>
      </w:r>
    </w:p>
    <w:p w14:paraId="490AC994">
      <w:pPr>
        <w:pStyle w:val="4"/>
        <w:spacing w:before="100" w:after="100" w:line="360" w:lineRule="auto"/>
        <w:ind w:left="420" w:hanging="420"/>
        <w:jc w:val="center"/>
        <w:rPr>
          <w:rFonts w:hint="eastAsia"/>
        </w:rPr>
      </w:pPr>
      <w:bookmarkStart w:id="716" w:name="_Toc3121"/>
      <w:bookmarkStart w:id="717" w:name="_Toc5387"/>
      <w:r>
        <w:rPr>
          <w:rFonts w:hint="eastAsia"/>
        </w:rPr>
        <w:t>九、技术响应偏离表</w:t>
      </w:r>
      <w:bookmarkEnd w:id="716"/>
      <w:bookmarkEnd w:id="717"/>
    </w:p>
    <w:p w14:paraId="3DE41898">
      <w:pPr>
        <w:rPr>
          <w:rFonts w:hint="eastAsia" w:cs="仿宋_GB2312"/>
          <w:szCs w:val="24"/>
        </w:rPr>
      </w:pPr>
      <w:r>
        <w:rPr>
          <w:rFonts w:hint="eastAsia" w:cs="仿宋_GB2312"/>
          <w:szCs w:val="24"/>
        </w:rPr>
        <w:t xml:space="preserve">项目名称：                                         </w:t>
      </w:r>
    </w:p>
    <w:p w14:paraId="72905349">
      <w:pPr>
        <w:rPr>
          <w:rFonts w:hint="eastAsia" w:cs="仿宋_GB2312"/>
          <w:szCs w:val="24"/>
        </w:rPr>
      </w:pPr>
      <w:r>
        <w:rPr>
          <w:rFonts w:hint="eastAsia" w:cs="仿宋_GB2312"/>
          <w:szCs w:val="24"/>
        </w:rPr>
        <w:t>项目编号</w:t>
      </w:r>
      <w:r>
        <w:rPr>
          <w:rFonts w:hint="eastAsia"/>
          <w:bCs/>
          <w:szCs w:val="21"/>
        </w:rPr>
        <w:t>/</w:t>
      </w:r>
      <w:r>
        <w:rPr>
          <w:rFonts w:hint="eastAsia"/>
          <w:bCs/>
          <w:szCs w:val="21"/>
          <w:lang w:val="zh-CN"/>
        </w:rPr>
        <w:t>包号</w:t>
      </w:r>
      <w:r>
        <w:rPr>
          <w:rFonts w:hint="eastAsia" w:cs="仿宋_GB2312"/>
          <w:szCs w:val="24"/>
        </w:rPr>
        <w:t xml:space="preserve">：         </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1"/>
        <w:gridCol w:w="1976"/>
        <w:gridCol w:w="1758"/>
        <w:gridCol w:w="2157"/>
        <w:gridCol w:w="1937"/>
      </w:tblGrid>
      <w:tr w14:paraId="379E7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6" w:type="pct"/>
            <w:vAlign w:val="center"/>
          </w:tcPr>
          <w:p w14:paraId="25D81015">
            <w:pPr>
              <w:pStyle w:val="51"/>
              <w:jc w:val="center"/>
              <w:rPr>
                <w:rFonts w:hint="eastAsia" w:cs="宋体"/>
                <w:sz w:val="21"/>
                <w:szCs w:val="21"/>
              </w:rPr>
            </w:pPr>
            <w:r>
              <w:rPr>
                <w:rFonts w:hint="eastAsia" w:cs="宋体"/>
                <w:sz w:val="21"/>
                <w:szCs w:val="21"/>
              </w:rPr>
              <w:t>序号</w:t>
            </w:r>
          </w:p>
        </w:tc>
        <w:tc>
          <w:tcPr>
            <w:tcW w:w="1159" w:type="pct"/>
            <w:vAlign w:val="center"/>
          </w:tcPr>
          <w:p w14:paraId="6CEDB325">
            <w:pPr>
              <w:pStyle w:val="51"/>
              <w:jc w:val="center"/>
              <w:rPr>
                <w:rFonts w:hint="eastAsia" w:cs="宋体"/>
                <w:sz w:val="21"/>
                <w:szCs w:val="21"/>
              </w:rPr>
            </w:pPr>
            <w:r>
              <w:rPr>
                <w:rFonts w:hint="eastAsia" w:cs="宋体"/>
                <w:sz w:val="21"/>
                <w:szCs w:val="21"/>
              </w:rPr>
              <w:t>招标文件技术</w:t>
            </w:r>
          </w:p>
          <w:p w14:paraId="75FE7126">
            <w:pPr>
              <w:pStyle w:val="51"/>
              <w:jc w:val="center"/>
              <w:rPr>
                <w:rFonts w:hint="eastAsia" w:cs="宋体"/>
                <w:sz w:val="21"/>
                <w:szCs w:val="21"/>
              </w:rPr>
            </w:pPr>
            <w:r>
              <w:rPr>
                <w:rFonts w:hint="eastAsia" w:cs="宋体"/>
                <w:sz w:val="21"/>
                <w:szCs w:val="21"/>
              </w:rPr>
              <w:t>要求条款</w:t>
            </w:r>
          </w:p>
        </w:tc>
        <w:tc>
          <w:tcPr>
            <w:tcW w:w="1031" w:type="pct"/>
            <w:vAlign w:val="center"/>
          </w:tcPr>
          <w:p w14:paraId="3D47AF6C">
            <w:pPr>
              <w:pStyle w:val="51"/>
              <w:jc w:val="center"/>
              <w:rPr>
                <w:rFonts w:hint="eastAsia" w:cs="宋体"/>
                <w:sz w:val="21"/>
                <w:szCs w:val="21"/>
              </w:rPr>
            </w:pPr>
            <w:r>
              <w:rPr>
                <w:rFonts w:hint="eastAsia" w:cs="宋体"/>
                <w:sz w:val="21"/>
                <w:szCs w:val="21"/>
              </w:rPr>
              <w:t>投标文件内容</w:t>
            </w:r>
          </w:p>
          <w:p w14:paraId="02219C61">
            <w:pPr>
              <w:pStyle w:val="51"/>
              <w:jc w:val="center"/>
              <w:rPr>
                <w:rFonts w:hint="eastAsia" w:cs="宋体"/>
                <w:sz w:val="21"/>
                <w:szCs w:val="21"/>
              </w:rPr>
            </w:pPr>
            <w:r>
              <w:rPr>
                <w:rFonts w:hint="eastAsia" w:cs="宋体"/>
                <w:sz w:val="21"/>
                <w:szCs w:val="21"/>
              </w:rPr>
              <w:t>对应简述</w:t>
            </w:r>
          </w:p>
        </w:tc>
        <w:tc>
          <w:tcPr>
            <w:tcW w:w="1265" w:type="pct"/>
            <w:vAlign w:val="center"/>
          </w:tcPr>
          <w:p w14:paraId="5E78D60E">
            <w:pPr>
              <w:pStyle w:val="51"/>
              <w:jc w:val="center"/>
              <w:rPr>
                <w:rFonts w:hint="eastAsia" w:cs="宋体"/>
                <w:sz w:val="21"/>
                <w:szCs w:val="21"/>
              </w:rPr>
            </w:pPr>
            <w:r>
              <w:rPr>
                <w:rFonts w:hint="eastAsia" w:cs="宋体"/>
                <w:sz w:val="21"/>
                <w:szCs w:val="21"/>
              </w:rPr>
              <w:t>响应情况</w:t>
            </w:r>
          </w:p>
        </w:tc>
        <w:tc>
          <w:tcPr>
            <w:tcW w:w="1136" w:type="pct"/>
            <w:vAlign w:val="center"/>
          </w:tcPr>
          <w:p w14:paraId="5CB8C65B">
            <w:pPr>
              <w:pStyle w:val="51"/>
              <w:jc w:val="center"/>
              <w:rPr>
                <w:rFonts w:hint="eastAsia" w:cs="宋体"/>
                <w:sz w:val="21"/>
                <w:szCs w:val="21"/>
              </w:rPr>
            </w:pPr>
            <w:r>
              <w:rPr>
                <w:rFonts w:hint="eastAsia" w:cs="宋体"/>
                <w:sz w:val="21"/>
                <w:szCs w:val="21"/>
              </w:rPr>
              <w:t>证明资料及索引</w:t>
            </w:r>
          </w:p>
        </w:tc>
      </w:tr>
      <w:tr w14:paraId="54957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6" w:type="pct"/>
            <w:vAlign w:val="center"/>
          </w:tcPr>
          <w:p w14:paraId="556634FB">
            <w:pPr>
              <w:pStyle w:val="51"/>
              <w:jc w:val="center"/>
              <w:rPr>
                <w:rFonts w:hint="eastAsia" w:cs="宋体"/>
                <w:sz w:val="21"/>
                <w:szCs w:val="21"/>
              </w:rPr>
            </w:pPr>
            <w:r>
              <w:rPr>
                <w:rFonts w:hint="eastAsia" w:cs="宋体"/>
                <w:sz w:val="21"/>
                <w:szCs w:val="21"/>
              </w:rPr>
              <w:t>1</w:t>
            </w:r>
          </w:p>
        </w:tc>
        <w:tc>
          <w:tcPr>
            <w:tcW w:w="1159" w:type="pct"/>
            <w:vAlign w:val="center"/>
          </w:tcPr>
          <w:p w14:paraId="4D0B6EA7">
            <w:pPr>
              <w:pStyle w:val="51"/>
              <w:jc w:val="center"/>
              <w:rPr>
                <w:rFonts w:hint="eastAsia" w:cs="宋体"/>
                <w:sz w:val="21"/>
                <w:szCs w:val="21"/>
              </w:rPr>
            </w:pPr>
            <w:r>
              <w:rPr>
                <w:rFonts w:hint="eastAsia" w:cs="宋体"/>
                <w:sz w:val="21"/>
                <w:szCs w:val="21"/>
              </w:rPr>
              <w:t>********</w:t>
            </w:r>
          </w:p>
        </w:tc>
        <w:tc>
          <w:tcPr>
            <w:tcW w:w="1031" w:type="pct"/>
            <w:vAlign w:val="center"/>
          </w:tcPr>
          <w:p w14:paraId="4AA0E4F8">
            <w:pPr>
              <w:pStyle w:val="51"/>
              <w:jc w:val="center"/>
              <w:rPr>
                <w:rFonts w:hint="eastAsia" w:cs="宋体"/>
                <w:sz w:val="21"/>
                <w:szCs w:val="21"/>
              </w:rPr>
            </w:pPr>
            <w:r>
              <w:rPr>
                <w:rFonts w:hint="eastAsia" w:cs="宋体"/>
                <w:sz w:val="21"/>
                <w:szCs w:val="21"/>
              </w:rPr>
              <w:t>******</w:t>
            </w:r>
          </w:p>
        </w:tc>
        <w:tc>
          <w:tcPr>
            <w:tcW w:w="1265" w:type="pct"/>
            <w:vAlign w:val="center"/>
          </w:tcPr>
          <w:p w14:paraId="197CD1F1">
            <w:pPr>
              <w:pStyle w:val="51"/>
              <w:jc w:val="center"/>
              <w:rPr>
                <w:rFonts w:hint="eastAsia" w:cs="宋体"/>
                <w:sz w:val="21"/>
                <w:szCs w:val="21"/>
              </w:rPr>
            </w:pPr>
            <w:r>
              <w:rPr>
                <w:rFonts w:hint="eastAsia" w:cs="宋体"/>
                <w:sz w:val="21"/>
                <w:szCs w:val="21"/>
              </w:rPr>
              <w:t>响应/正偏离/负偏离</w:t>
            </w:r>
          </w:p>
        </w:tc>
        <w:tc>
          <w:tcPr>
            <w:tcW w:w="1136" w:type="pct"/>
            <w:vAlign w:val="center"/>
          </w:tcPr>
          <w:p w14:paraId="648EC7D7">
            <w:pPr>
              <w:pStyle w:val="51"/>
              <w:jc w:val="center"/>
              <w:rPr>
                <w:rFonts w:hint="eastAsia" w:cs="宋体"/>
                <w:sz w:val="21"/>
                <w:szCs w:val="21"/>
              </w:rPr>
            </w:pPr>
          </w:p>
        </w:tc>
      </w:tr>
      <w:tr w14:paraId="0E5F1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6" w:type="pct"/>
            <w:vAlign w:val="center"/>
          </w:tcPr>
          <w:p w14:paraId="04741B0D">
            <w:pPr>
              <w:pStyle w:val="51"/>
              <w:jc w:val="center"/>
              <w:rPr>
                <w:rFonts w:hint="eastAsia" w:cs="宋体"/>
                <w:sz w:val="21"/>
                <w:szCs w:val="21"/>
              </w:rPr>
            </w:pPr>
            <w:r>
              <w:rPr>
                <w:rFonts w:hint="eastAsia" w:cs="宋体"/>
                <w:sz w:val="21"/>
                <w:szCs w:val="21"/>
              </w:rPr>
              <w:t>2</w:t>
            </w:r>
          </w:p>
        </w:tc>
        <w:tc>
          <w:tcPr>
            <w:tcW w:w="1159" w:type="pct"/>
            <w:vAlign w:val="center"/>
          </w:tcPr>
          <w:p w14:paraId="753E744C">
            <w:pPr>
              <w:pStyle w:val="51"/>
              <w:jc w:val="center"/>
              <w:rPr>
                <w:rFonts w:hint="eastAsia" w:cs="宋体"/>
                <w:sz w:val="21"/>
                <w:szCs w:val="21"/>
              </w:rPr>
            </w:pPr>
            <w:r>
              <w:rPr>
                <w:rFonts w:hint="eastAsia" w:cs="宋体"/>
                <w:sz w:val="21"/>
                <w:szCs w:val="21"/>
              </w:rPr>
              <w:t>********</w:t>
            </w:r>
          </w:p>
        </w:tc>
        <w:tc>
          <w:tcPr>
            <w:tcW w:w="1031" w:type="pct"/>
            <w:vAlign w:val="center"/>
          </w:tcPr>
          <w:p w14:paraId="780078BF">
            <w:pPr>
              <w:pStyle w:val="51"/>
              <w:jc w:val="center"/>
              <w:rPr>
                <w:rFonts w:hint="eastAsia" w:cs="宋体"/>
                <w:sz w:val="21"/>
                <w:szCs w:val="21"/>
              </w:rPr>
            </w:pPr>
            <w:r>
              <w:rPr>
                <w:rFonts w:hint="eastAsia" w:cs="宋体"/>
                <w:sz w:val="21"/>
                <w:szCs w:val="21"/>
              </w:rPr>
              <w:t>******</w:t>
            </w:r>
          </w:p>
        </w:tc>
        <w:tc>
          <w:tcPr>
            <w:tcW w:w="1265" w:type="pct"/>
            <w:vAlign w:val="center"/>
          </w:tcPr>
          <w:p w14:paraId="45254261">
            <w:pPr>
              <w:pStyle w:val="51"/>
              <w:jc w:val="center"/>
              <w:rPr>
                <w:rFonts w:hint="eastAsia" w:cs="宋体"/>
                <w:sz w:val="21"/>
                <w:szCs w:val="21"/>
              </w:rPr>
            </w:pPr>
            <w:r>
              <w:rPr>
                <w:rFonts w:hint="eastAsia" w:cs="宋体"/>
                <w:sz w:val="21"/>
                <w:szCs w:val="21"/>
              </w:rPr>
              <w:t>响应/正偏离/负偏离</w:t>
            </w:r>
          </w:p>
        </w:tc>
        <w:tc>
          <w:tcPr>
            <w:tcW w:w="1136" w:type="pct"/>
            <w:vAlign w:val="center"/>
          </w:tcPr>
          <w:p w14:paraId="41705AFB">
            <w:pPr>
              <w:pStyle w:val="51"/>
              <w:jc w:val="center"/>
              <w:rPr>
                <w:rFonts w:hint="eastAsia" w:cs="宋体"/>
                <w:sz w:val="21"/>
                <w:szCs w:val="21"/>
              </w:rPr>
            </w:pPr>
          </w:p>
        </w:tc>
      </w:tr>
      <w:tr w14:paraId="6D2A1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vAlign w:val="center"/>
          </w:tcPr>
          <w:p w14:paraId="71FDD0A3">
            <w:pPr>
              <w:pStyle w:val="51"/>
              <w:jc w:val="center"/>
              <w:rPr>
                <w:rFonts w:hint="eastAsia" w:cs="宋体"/>
                <w:sz w:val="21"/>
                <w:szCs w:val="21"/>
              </w:rPr>
            </w:pPr>
            <w:r>
              <w:rPr>
                <w:rFonts w:hint="eastAsia" w:cs="宋体"/>
                <w:sz w:val="21"/>
                <w:szCs w:val="21"/>
              </w:rPr>
              <w:t>3</w:t>
            </w:r>
          </w:p>
        </w:tc>
        <w:tc>
          <w:tcPr>
            <w:tcW w:w="1159" w:type="pct"/>
            <w:vAlign w:val="center"/>
          </w:tcPr>
          <w:p w14:paraId="3139E751">
            <w:pPr>
              <w:pStyle w:val="51"/>
              <w:jc w:val="center"/>
              <w:rPr>
                <w:rFonts w:hint="eastAsia" w:cs="宋体"/>
                <w:sz w:val="21"/>
                <w:szCs w:val="21"/>
              </w:rPr>
            </w:pPr>
            <w:r>
              <w:rPr>
                <w:rFonts w:hint="eastAsia" w:cs="宋体"/>
                <w:sz w:val="21"/>
                <w:szCs w:val="21"/>
              </w:rPr>
              <w:t>********</w:t>
            </w:r>
          </w:p>
        </w:tc>
        <w:tc>
          <w:tcPr>
            <w:tcW w:w="1031" w:type="pct"/>
            <w:vAlign w:val="center"/>
          </w:tcPr>
          <w:p w14:paraId="156BC9B2">
            <w:pPr>
              <w:pStyle w:val="51"/>
              <w:jc w:val="center"/>
              <w:rPr>
                <w:rFonts w:hint="eastAsia" w:cs="宋体"/>
                <w:sz w:val="21"/>
                <w:szCs w:val="21"/>
              </w:rPr>
            </w:pPr>
            <w:r>
              <w:rPr>
                <w:rFonts w:hint="eastAsia" w:cs="宋体"/>
                <w:sz w:val="21"/>
                <w:szCs w:val="21"/>
              </w:rPr>
              <w:t>******</w:t>
            </w:r>
          </w:p>
        </w:tc>
        <w:tc>
          <w:tcPr>
            <w:tcW w:w="1265" w:type="pct"/>
            <w:vAlign w:val="center"/>
          </w:tcPr>
          <w:p w14:paraId="63257F23">
            <w:pPr>
              <w:pStyle w:val="51"/>
              <w:jc w:val="center"/>
              <w:rPr>
                <w:rFonts w:hint="eastAsia" w:cs="宋体"/>
                <w:sz w:val="21"/>
                <w:szCs w:val="21"/>
              </w:rPr>
            </w:pPr>
            <w:r>
              <w:rPr>
                <w:rFonts w:hint="eastAsia" w:cs="宋体"/>
                <w:sz w:val="21"/>
                <w:szCs w:val="21"/>
              </w:rPr>
              <w:t>响应/正偏离/负偏离</w:t>
            </w:r>
          </w:p>
        </w:tc>
        <w:tc>
          <w:tcPr>
            <w:tcW w:w="1136" w:type="pct"/>
            <w:vAlign w:val="center"/>
          </w:tcPr>
          <w:p w14:paraId="308B5AE0">
            <w:pPr>
              <w:pStyle w:val="51"/>
              <w:jc w:val="center"/>
              <w:rPr>
                <w:rFonts w:hint="eastAsia" w:cs="宋体"/>
                <w:sz w:val="21"/>
                <w:szCs w:val="21"/>
              </w:rPr>
            </w:pPr>
          </w:p>
        </w:tc>
      </w:tr>
      <w:tr w14:paraId="26670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vAlign w:val="center"/>
          </w:tcPr>
          <w:p w14:paraId="02090BAB">
            <w:pPr>
              <w:pStyle w:val="51"/>
              <w:jc w:val="center"/>
              <w:rPr>
                <w:rFonts w:hint="eastAsia" w:cs="宋体"/>
                <w:sz w:val="21"/>
                <w:szCs w:val="21"/>
              </w:rPr>
            </w:pPr>
          </w:p>
        </w:tc>
        <w:tc>
          <w:tcPr>
            <w:tcW w:w="1159" w:type="pct"/>
            <w:vAlign w:val="center"/>
          </w:tcPr>
          <w:p w14:paraId="30114A35">
            <w:pPr>
              <w:pStyle w:val="51"/>
              <w:jc w:val="center"/>
              <w:rPr>
                <w:rFonts w:hint="eastAsia" w:cs="宋体"/>
                <w:sz w:val="21"/>
                <w:szCs w:val="21"/>
              </w:rPr>
            </w:pPr>
          </w:p>
        </w:tc>
        <w:tc>
          <w:tcPr>
            <w:tcW w:w="1031" w:type="pct"/>
            <w:vAlign w:val="center"/>
          </w:tcPr>
          <w:p w14:paraId="225897BE">
            <w:pPr>
              <w:pStyle w:val="51"/>
              <w:jc w:val="center"/>
              <w:rPr>
                <w:rFonts w:hint="eastAsia" w:cs="宋体"/>
                <w:sz w:val="21"/>
                <w:szCs w:val="21"/>
              </w:rPr>
            </w:pPr>
          </w:p>
        </w:tc>
        <w:tc>
          <w:tcPr>
            <w:tcW w:w="1265" w:type="pct"/>
            <w:vAlign w:val="center"/>
          </w:tcPr>
          <w:p w14:paraId="3BC21F41">
            <w:pPr>
              <w:pStyle w:val="51"/>
              <w:jc w:val="center"/>
              <w:rPr>
                <w:rFonts w:hint="eastAsia" w:cs="宋体"/>
                <w:sz w:val="21"/>
                <w:szCs w:val="21"/>
              </w:rPr>
            </w:pPr>
          </w:p>
        </w:tc>
        <w:tc>
          <w:tcPr>
            <w:tcW w:w="1136" w:type="pct"/>
            <w:vAlign w:val="center"/>
          </w:tcPr>
          <w:p w14:paraId="2135C22E">
            <w:pPr>
              <w:pStyle w:val="51"/>
              <w:jc w:val="center"/>
              <w:rPr>
                <w:rFonts w:hint="eastAsia" w:cs="宋体"/>
                <w:sz w:val="21"/>
                <w:szCs w:val="21"/>
              </w:rPr>
            </w:pPr>
          </w:p>
        </w:tc>
      </w:tr>
      <w:tr w14:paraId="7FF3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vAlign w:val="center"/>
          </w:tcPr>
          <w:p w14:paraId="5AD2B160">
            <w:pPr>
              <w:pStyle w:val="51"/>
              <w:jc w:val="center"/>
              <w:rPr>
                <w:rFonts w:hint="eastAsia" w:cs="宋体"/>
                <w:sz w:val="21"/>
                <w:szCs w:val="21"/>
              </w:rPr>
            </w:pPr>
          </w:p>
        </w:tc>
        <w:tc>
          <w:tcPr>
            <w:tcW w:w="1159" w:type="pct"/>
            <w:vAlign w:val="center"/>
          </w:tcPr>
          <w:p w14:paraId="5FEB9E2B">
            <w:pPr>
              <w:pStyle w:val="51"/>
              <w:jc w:val="center"/>
              <w:rPr>
                <w:rFonts w:hint="eastAsia" w:cs="宋体"/>
                <w:sz w:val="21"/>
                <w:szCs w:val="21"/>
              </w:rPr>
            </w:pPr>
          </w:p>
        </w:tc>
        <w:tc>
          <w:tcPr>
            <w:tcW w:w="1031" w:type="pct"/>
            <w:vAlign w:val="center"/>
          </w:tcPr>
          <w:p w14:paraId="6D1FBFD8">
            <w:pPr>
              <w:pStyle w:val="51"/>
              <w:jc w:val="center"/>
              <w:rPr>
                <w:rFonts w:hint="eastAsia" w:cs="宋体"/>
                <w:sz w:val="21"/>
                <w:szCs w:val="21"/>
              </w:rPr>
            </w:pPr>
          </w:p>
        </w:tc>
        <w:tc>
          <w:tcPr>
            <w:tcW w:w="1265" w:type="pct"/>
            <w:vAlign w:val="center"/>
          </w:tcPr>
          <w:p w14:paraId="760FB4B5">
            <w:pPr>
              <w:pStyle w:val="51"/>
              <w:jc w:val="center"/>
              <w:rPr>
                <w:rFonts w:hint="eastAsia" w:cs="宋体"/>
                <w:sz w:val="21"/>
                <w:szCs w:val="21"/>
              </w:rPr>
            </w:pPr>
          </w:p>
        </w:tc>
        <w:tc>
          <w:tcPr>
            <w:tcW w:w="1136" w:type="pct"/>
            <w:vAlign w:val="center"/>
          </w:tcPr>
          <w:p w14:paraId="53946BAE">
            <w:pPr>
              <w:pStyle w:val="51"/>
              <w:jc w:val="center"/>
              <w:rPr>
                <w:rFonts w:hint="eastAsia" w:cs="宋体"/>
                <w:sz w:val="21"/>
                <w:szCs w:val="21"/>
              </w:rPr>
            </w:pPr>
          </w:p>
        </w:tc>
      </w:tr>
      <w:tr w14:paraId="2664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vAlign w:val="center"/>
          </w:tcPr>
          <w:p w14:paraId="468BE488">
            <w:pPr>
              <w:pStyle w:val="51"/>
              <w:jc w:val="center"/>
              <w:rPr>
                <w:rFonts w:hint="eastAsia" w:cs="宋体"/>
                <w:sz w:val="21"/>
                <w:szCs w:val="21"/>
              </w:rPr>
            </w:pPr>
          </w:p>
        </w:tc>
        <w:tc>
          <w:tcPr>
            <w:tcW w:w="1159" w:type="pct"/>
            <w:vAlign w:val="center"/>
          </w:tcPr>
          <w:p w14:paraId="7FCB1FBA">
            <w:pPr>
              <w:pStyle w:val="51"/>
              <w:jc w:val="center"/>
              <w:rPr>
                <w:rFonts w:hint="eastAsia" w:cs="宋体"/>
                <w:sz w:val="21"/>
                <w:szCs w:val="21"/>
              </w:rPr>
            </w:pPr>
          </w:p>
        </w:tc>
        <w:tc>
          <w:tcPr>
            <w:tcW w:w="1031" w:type="pct"/>
            <w:vAlign w:val="center"/>
          </w:tcPr>
          <w:p w14:paraId="2E8D191C">
            <w:pPr>
              <w:pStyle w:val="51"/>
              <w:jc w:val="center"/>
              <w:rPr>
                <w:rFonts w:hint="eastAsia" w:cs="宋体"/>
                <w:sz w:val="21"/>
                <w:szCs w:val="21"/>
              </w:rPr>
            </w:pPr>
          </w:p>
        </w:tc>
        <w:tc>
          <w:tcPr>
            <w:tcW w:w="1265" w:type="pct"/>
            <w:vAlign w:val="center"/>
          </w:tcPr>
          <w:p w14:paraId="7609086E">
            <w:pPr>
              <w:pStyle w:val="51"/>
              <w:jc w:val="center"/>
              <w:rPr>
                <w:rFonts w:hint="eastAsia" w:cs="宋体"/>
                <w:sz w:val="21"/>
                <w:szCs w:val="21"/>
              </w:rPr>
            </w:pPr>
          </w:p>
        </w:tc>
        <w:tc>
          <w:tcPr>
            <w:tcW w:w="1136" w:type="pct"/>
            <w:vAlign w:val="center"/>
          </w:tcPr>
          <w:p w14:paraId="53956C2E">
            <w:pPr>
              <w:pStyle w:val="51"/>
              <w:jc w:val="center"/>
              <w:rPr>
                <w:rFonts w:hint="eastAsia" w:cs="宋体"/>
                <w:sz w:val="21"/>
                <w:szCs w:val="21"/>
              </w:rPr>
            </w:pPr>
          </w:p>
        </w:tc>
      </w:tr>
      <w:tr w14:paraId="73D12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6" w:type="pct"/>
            <w:vAlign w:val="center"/>
          </w:tcPr>
          <w:p w14:paraId="65DD35E4">
            <w:pPr>
              <w:pStyle w:val="51"/>
              <w:jc w:val="center"/>
              <w:rPr>
                <w:rFonts w:hint="eastAsia" w:cs="宋体"/>
                <w:sz w:val="21"/>
                <w:szCs w:val="21"/>
              </w:rPr>
            </w:pPr>
          </w:p>
        </w:tc>
        <w:tc>
          <w:tcPr>
            <w:tcW w:w="1159" w:type="pct"/>
            <w:vAlign w:val="center"/>
          </w:tcPr>
          <w:p w14:paraId="726959E5">
            <w:pPr>
              <w:pStyle w:val="51"/>
              <w:jc w:val="center"/>
              <w:rPr>
                <w:rFonts w:hint="eastAsia" w:cs="宋体"/>
                <w:sz w:val="21"/>
                <w:szCs w:val="21"/>
              </w:rPr>
            </w:pPr>
          </w:p>
        </w:tc>
        <w:tc>
          <w:tcPr>
            <w:tcW w:w="1031" w:type="pct"/>
            <w:vAlign w:val="center"/>
          </w:tcPr>
          <w:p w14:paraId="4EAA9FE0">
            <w:pPr>
              <w:pStyle w:val="51"/>
              <w:jc w:val="center"/>
              <w:rPr>
                <w:rFonts w:hint="eastAsia" w:cs="宋体"/>
                <w:sz w:val="21"/>
                <w:szCs w:val="21"/>
              </w:rPr>
            </w:pPr>
          </w:p>
        </w:tc>
        <w:tc>
          <w:tcPr>
            <w:tcW w:w="1265" w:type="pct"/>
            <w:vAlign w:val="center"/>
          </w:tcPr>
          <w:p w14:paraId="02C42D9E">
            <w:pPr>
              <w:pStyle w:val="51"/>
              <w:jc w:val="center"/>
              <w:rPr>
                <w:rFonts w:hint="eastAsia" w:cs="宋体"/>
                <w:sz w:val="21"/>
                <w:szCs w:val="21"/>
              </w:rPr>
            </w:pPr>
          </w:p>
        </w:tc>
        <w:tc>
          <w:tcPr>
            <w:tcW w:w="1136" w:type="pct"/>
            <w:vAlign w:val="center"/>
          </w:tcPr>
          <w:p w14:paraId="3B16C6B0">
            <w:pPr>
              <w:pStyle w:val="51"/>
              <w:jc w:val="center"/>
              <w:rPr>
                <w:rFonts w:hint="eastAsia" w:cs="宋体"/>
                <w:sz w:val="21"/>
                <w:szCs w:val="21"/>
              </w:rPr>
            </w:pPr>
          </w:p>
        </w:tc>
      </w:tr>
      <w:tr w14:paraId="02E52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6" w:type="pct"/>
            <w:vAlign w:val="center"/>
          </w:tcPr>
          <w:p w14:paraId="390FB00E">
            <w:pPr>
              <w:pStyle w:val="51"/>
              <w:jc w:val="center"/>
              <w:rPr>
                <w:rFonts w:hint="eastAsia" w:cs="宋体"/>
                <w:sz w:val="21"/>
                <w:szCs w:val="21"/>
              </w:rPr>
            </w:pPr>
            <w:r>
              <w:rPr>
                <w:rFonts w:hint="eastAsia" w:cs="宋体"/>
                <w:sz w:val="21"/>
                <w:szCs w:val="21"/>
              </w:rPr>
              <w:t>……</w:t>
            </w:r>
          </w:p>
        </w:tc>
        <w:tc>
          <w:tcPr>
            <w:tcW w:w="1159" w:type="pct"/>
            <w:vAlign w:val="center"/>
          </w:tcPr>
          <w:p w14:paraId="29E1E806">
            <w:pPr>
              <w:pStyle w:val="51"/>
              <w:jc w:val="center"/>
              <w:rPr>
                <w:rFonts w:hint="eastAsia" w:cs="宋体"/>
                <w:sz w:val="21"/>
                <w:szCs w:val="21"/>
              </w:rPr>
            </w:pPr>
            <w:r>
              <w:rPr>
                <w:rFonts w:hint="eastAsia" w:cs="宋体"/>
                <w:sz w:val="21"/>
                <w:szCs w:val="21"/>
              </w:rPr>
              <w:t>…………</w:t>
            </w:r>
          </w:p>
        </w:tc>
        <w:tc>
          <w:tcPr>
            <w:tcW w:w="1031" w:type="pct"/>
            <w:vAlign w:val="center"/>
          </w:tcPr>
          <w:p w14:paraId="5A8EE6F9">
            <w:pPr>
              <w:pStyle w:val="51"/>
              <w:jc w:val="center"/>
              <w:rPr>
                <w:rFonts w:hint="eastAsia" w:cs="宋体"/>
                <w:sz w:val="21"/>
                <w:szCs w:val="21"/>
              </w:rPr>
            </w:pPr>
            <w:r>
              <w:rPr>
                <w:rFonts w:hint="eastAsia" w:cs="宋体"/>
                <w:sz w:val="21"/>
                <w:szCs w:val="21"/>
              </w:rPr>
              <w:t>………………</w:t>
            </w:r>
          </w:p>
        </w:tc>
        <w:tc>
          <w:tcPr>
            <w:tcW w:w="1265" w:type="pct"/>
            <w:vAlign w:val="center"/>
          </w:tcPr>
          <w:p w14:paraId="373FD286">
            <w:pPr>
              <w:pStyle w:val="51"/>
              <w:jc w:val="center"/>
              <w:rPr>
                <w:rFonts w:hint="eastAsia" w:cs="宋体"/>
                <w:sz w:val="21"/>
                <w:szCs w:val="21"/>
              </w:rPr>
            </w:pPr>
            <w:r>
              <w:rPr>
                <w:rFonts w:hint="eastAsia" w:cs="宋体"/>
                <w:sz w:val="21"/>
                <w:szCs w:val="21"/>
              </w:rPr>
              <w:t>…………</w:t>
            </w:r>
          </w:p>
        </w:tc>
        <w:tc>
          <w:tcPr>
            <w:tcW w:w="1136" w:type="pct"/>
            <w:vAlign w:val="center"/>
          </w:tcPr>
          <w:p w14:paraId="267C2005">
            <w:pPr>
              <w:pStyle w:val="51"/>
              <w:jc w:val="center"/>
              <w:rPr>
                <w:rFonts w:hint="eastAsia" w:cs="宋体"/>
                <w:sz w:val="21"/>
                <w:szCs w:val="21"/>
              </w:rPr>
            </w:pPr>
          </w:p>
        </w:tc>
      </w:tr>
    </w:tbl>
    <w:p w14:paraId="2B60DC0E">
      <w:pPr>
        <w:ind w:firstLine="480" w:firstLineChars="200"/>
        <w:rPr>
          <w:rFonts w:hint="eastAsia" w:cs="仿宋_GB2312"/>
          <w:szCs w:val="24"/>
        </w:rPr>
      </w:pPr>
    </w:p>
    <w:p w14:paraId="3DE6CBE5">
      <w:pPr>
        <w:ind w:firstLine="480" w:firstLineChars="200"/>
        <w:rPr>
          <w:rFonts w:hint="eastAsia" w:cs="仿宋_GB2312"/>
          <w:szCs w:val="24"/>
        </w:rPr>
      </w:pPr>
      <w:r>
        <w:rPr>
          <w:rFonts w:hint="eastAsia" w:cs="仿宋_GB2312"/>
          <w:szCs w:val="24"/>
        </w:rPr>
        <w:t>投标人名称（</w:t>
      </w:r>
      <w:r>
        <w:rPr>
          <w:rFonts w:hint="eastAsia" w:cs="宋体"/>
          <w:kern w:val="0"/>
          <w:szCs w:val="24"/>
        </w:rPr>
        <w:t>公章</w:t>
      </w:r>
      <w:r>
        <w:rPr>
          <w:rFonts w:hint="eastAsia" w:cs="宋体"/>
          <w:kern w:val="0"/>
          <w:lang w:val="zh-CN"/>
        </w:rPr>
        <w:t>)</w:t>
      </w:r>
      <w:r>
        <w:rPr>
          <w:rFonts w:hint="eastAsia" w:cs="仿宋_GB2312"/>
          <w:szCs w:val="24"/>
        </w:rPr>
        <w:t>：</w:t>
      </w:r>
    </w:p>
    <w:p w14:paraId="5A28F39F">
      <w:pPr>
        <w:ind w:firstLine="420"/>
        <w:rPr>
          <w:rFonts w:hint="eastAsia" w:cs="仿宋_GB2312"/>
          <w:szCs w:val="24"/>
        </w:rPr>
      </w:pPr>
      <w:r>
        <w:rPr>
          <w:rFonts w:hint="eastAsia" w:cs="仿宋_GB2312"/>
          <w:szCs w:val="24"/>
        </w:rPr>
        <w:t>日      期：</w:t>
      </w:r>
    </w:p>
    <w:p w14:paraId="7016F606">
      <w:pPr>
        <w:ind w:firstLine="420"/>
        <w:rPr>
          <w:rFonts w:hint="eastAsia" w:cs="仿宋_GB2312"/>
          <w:szCs w:val="24"/>
        </w:rPr>
      </w:pPr>
    </w:p>
    <w:p w14:paraId="3BE92729">
      <w:pPr>
        <w:ind w:firstLine="420" w:firstLineChars="200"/>
        <w:rPr>
          <w:rFonts w:hint="eastAsia" w:cs="仿宋_GB2312"/>
          <w:szCs w:val="24"/>
        </w:rPr>
      </w:pPr>
      <w:r>
        <w:rPr>
          <w:rFonts w:hint="eastAsia" w:cs="仿宋_GB2312"/>
          <w:sz w:val="21"/>
          <w:szCs w:val="21"/>
        </w:rPr>
        <w:t>注：投标人应按照招标文件“第三章 采购需求”中的技术要求填写：</w:t>
      </w:r>
    </w:p>
    <w:p w14:paraId="7A9027C8">
      <w:pPr>
        <w:ind w:firstLine="420" w:firstLineChars="200"/>
        <w:rPr>
          <w:rFonts w:hint="eastAsia" w:cs="仿宋_GB2312"/>
          <w:sz w:val="21"/>
          <w:szCs w:val="21"/>
        </w:rPr>
      </w:pPr>
      <w:r>
        <w:rPr>
          <w:rFonts w:hint="eastAsia" w:cs="仿宋_GB2312"/>
          <w:sz w:val="21"/>
          <w:szCs w:val="21"/>
        </w:rPr>
        <w:t xml:space="preserve">1.“招标文件技术要求条款”栏应详细列明招标文件中的要求。 </w:t>
      </w:r>
    </w:p>
    <w:p w14:paraId="07532656">
      <w:pPr>
        <w:ind w:firstLine="420" w:firstLineChars="200"/>
        <w:rPr>
          <w:rFonts w:hint="eastAsia" w:cs="仿宋_GB2312"/>
          <w:sz w:val="21"/>
          <w:szCs w:val="21"/>
        </w:rPr>
      </w:pPr>
      <w:r>
        <w:rPr>
          <w:rFonts w:hint="eastAsia" w:cs="仿宋_GB2312"/>
          <w:sz w:val="21"/>
          <w:szCs w:val="21"/>
        </w:rPr>
        <w:t>2.“投标文件内容对应简述”栏填写投标人对招标文件提出的技术要求作出的明确响应，并列明具体响应数值或内容，只注明符合、满足等无具体内容表述的，将视为未实质性满足招标文件要求</w:t>
      </w:r>
      <w:r>
        <w:rPr>
          <w:rFonts w:cs="仿宋_GB2312"/>
          <w:sz w:val="21"/>
          <w:szCs w:val="21"/>
        </w:rPr>
        <w:t>，</w:t>
      </w:r>
      <w:r>
        <w:rPr>
          <w:rFonts w:hint="eastAsia" w:cs="仿宋_GB2312"/>
          <w:b/>
          <w:bCs/>
          <w:sz w:val="21"/>
          <w:szCs w:val="21"/>
        </w:rPr>
        <w:t>投标</w:t>
      </w:r>
      <w:r>
        <w:rPr>
          <w:rFonts w:cs="仿宋_GB2312"/>
          <w:b/>
          <w:bCs/>
          <w:sz w:val="21"/>
          <w:szCs w:val="21"/>
        </w:rPr>
        <w:t>无效</w:t>
      </w:r>
      <w:r>
        <w:rPr>
          <w:rFonts w:hint="eastAsia" w:cs="仿宋_GB2312"/>
          <w:sz w:val="21"/>
          <w:szCs w:val="21"/>
        </w:rPr>
        <w:t xml:space="preserve">。 </w:t>
      </w:r>
    </w:p>
    <w:p w14:paraId="1BF25C54">
      <w:pPr>
        <w:ind w:firstLine="420" w:firstLineChars="200"/>
        <w:rPr>
          <w:rFonts w:hint="eastAsia" w:cs="仿宋_GB2312"/>
          <w:sz w:val="21"/>
          <w:szCs w:val="21"/>
        </w:rPr>
      </w:pPr>
      <w:r>
        <w:rPr>
          <w:rFonts w:hint="eastAsia" w:cs="仿宋_GB2312"/>
          <w:sz w:val="21"/>
          <w:szCs w:val="21"/>
        </w:rPr>
        <w:t xml:space="preserve">3.“响应情况”栏应据实填写“响应”、“正偏离”或“负偏离”。 </w:t>
      </w:r>
    </w:p>
    <w:p w14:paraId="3BCCC700">
      <w:pPr>
        <w:ind w:firstLine="420" w:firstLineChars="200"/>
        <w:rPr>
          <w:rFonts w:hint="eastAsia" w:cs="仿宋_GB2312"/>
          <w:sz w:val="21"/>
          <w:szCs w:val="21"/>
        </w:rPr>
      </w:pPr>
      <w:r>
        <w:rPr>
          <w:rFonts w:hint="eastAsia" w:cs="仿宋_GB2312"/>
          <w:sz w:val="21"/>
          <w:szCs w:val="21"/>
        </w:rPr>
        <w:t>4.“证明资料及索引”栏可填写证明资料的具体内容及索引。</w:t>
      </w:r>
    </w:p>
    <w:p w14:paraId="39FB2597">
      <w:pPr>
        <w:ind w:firstLine="420"/>
        <w:rPr>
          <w:rFonts w:hint="eastAsia" w:cs="仿宋_GB2312"/>
          <w:szCs w:val="24"/>
        </w:rPr>
      </w:pPr>
      <w:r>
        <w:rPr>
          <w:rFonts w:hint="eastAsia" w:cs="仿宋_GB2312"/>
          <w:sz w:val="21"/>
          <w:szCs w:val="21"/>
        </w:rPr>
        <w:t>5.对招标文件中的所有技术要求，除本表所列明的所有偏离外，均视作供应商</w:t>
      </w:r>
      <w:r>
        <w:rPr>
          <w:rFonts w:cs="仿宋_GB2312"/>
          <w:sz w:val="21"/>
          <w:szCs w:val="21"/>
        </w:rPr>
        <w:t>已对之理解和响应。此表中若无任何文字说明，内容为空白的，</w:t>
      </w:r>
      <w:r>
        <w:rPr>
          <w:rFonts w:cs="仿宋_GB2312"/>
          <w:b/>
          <w:bCs/>
          <w:sz w:val="21"/>
          <w:szCs w:val="21"/>
        </w:rPr>
        <w:t>投标无效</w:t>
      </w:r>
      <w:r>
        <w:rPr>
          <w:rFonts w:cs="仿宋_GB2312"/>
          <w:sz w:val="21"/>
          <w:szCs w:val="21"/>
        </w:rPr>
        <w:t>。</w:t>
      </w:r>
    </w:p>
    <w:p w14:paraId="72DDDC7B">
      <w:pPr>
        <w:ind w:firstLine="420"/>
        <w:rPr>
          <w:rFonts w:hint="eastAsia" w:cs="仿宋_GB2312"/>
          <w:szCs w:val="24"/>
        </w:rPr>
      </w:pPr>
      <w:r>
        <w:rPr>
          <w:rFonts w:cs="仿宋_GB2312"/>
          <w:szCs w:val="24"/>
        </w:rPr>
        <w:br w:type="page"/>
      </w:r>
    </w:p>
    <w:p w14:paraId="44605797">
      <w:pPr>
        <w:pStyle w:val="4"/>
        <w:spacing w:before="100" w:after="100" w:line="360" w:lineRule="auto"/>
        <w:ind w:left="420" w:hanging="420"/>
        <w:jc w:val="center"/>
        <w:rPr>
          <w:rFonts w:hint="eastAsia"/>
        </w:rPr>
      </w:pPr>
      <w:bookmarkStart w:id="718" w:name="_Toc24401"/>
      <w:bookmarkStart w:id="719" w:name="_Toc28036"/>
      <w:r>
        <w:rPr>
          <w:rFonts w:hint="eastAsia"/>
        </w:rPr>
        <w:t>十、技术方案</w:t>
      </w:r>
      <w:bookmarkEnd w:id="718"/>
      <w:bookmarkEnd w:id="719"/>
    </w:p>
    <w:p w14:paraId="3F0D0DE7">
      <w:pPr>
        <w:pStyle w:val="39"/>
        <w:rPr>
          <w:rFonts w:hint="eastAsia"/>
        </w:rPr>
      </w:pPr>
      <w:r>
        <w:rPr>
          <w:rFonts w:hint="eastAsia"/>
        </w:rPr>
        <w:t>投标人应按照招标文件的要求，提供详细的服务方案，包括文字描述或图表显示。格式自拟。</w:t>
      </w:r>
    </w:p>
    <w:p w14:paraId="72DB2CC8">
      <w:pPr>
        <w:pStyle w:val="39"/>
        <w:rPr>
          <w:rFonts w:hint="eastAsia"/>
        </w:rPr>
      </w:pPr>
      <w:r>
        <w:br w:type="page"/>
      </w:r>
    </w:p>
    <w:p w14:paraId="5D51FB00">
      <w:pPr>
        <w:ind w:firstLine="420"/>
        <w:rPr>
          <w:rFonts w:hint="eastAsia" w:cs="仿宋_GB2312"/>
          <w:sz w:val="21"/>
          <w:szCs w:val="21"/>
        </w:rPr>
      </w:pPr>
    </w:p>
    <w:p w14:paraId="2D172311">
      <w:pPr>
        <w:pStyle w:val="4"/>
        <w:spacing w:before="100" w:after="100" w:line="360" w:lineRule="auto"/>
        <w:ind w:left="420" w:hanging="420"/>
        <w:jc w:val="center"/>
        <w:rPr>
          <w:rFonts w:hint="eastAsia"/>
        </w:rPr>
      </w:pPr>
      <w:bookmarkStart w:id="720" w:name="_Toc8606"/>
      <w:bookmarkStart w:id="721" w:name="_Toc22006"/>
      <w:r>
        <w:rPr>
          <w:rFonts w:hint="eastAsia"/>
        </w:rPr>
        <w:t>十一、其他文件</w:t>
      </w:r>
      <w:bookmarkEnd w:id="720"/>
      <w:bookmarkEnd w:id="721"/>
    </w:p>
    <w:p w14:paraId="6BA90483">
      <w:pPr>
        <w:pStyle w:val="39"/>
        <w:ind w:firstLine="0"/>
        <w:rPr>
          <w:rFonts w:hint="eastAsia"/>
          <w:b/>
          <w:bCs/>
          <w:szCs w:val="24"/>
        </w:rPr>
      </w:pPr>
      <w:r>
        <w:rPr>
          <w:rFonts w:hint="eastAsia"/>
          <w:b/>
          <w:bCs/>
          <w:szCs w:val="24"/>
        </w:rPr>
        <w:t>（</w:t>
      </w:r>
      <w:r>
        <w:rPr>
          <w:rFonts w:hint="eastAsia"/>
          <w:b/>
          <w:bCs/>
          <w:szCs w:val="24"/>
          <w:lang w:val="en-US"/>
        </w:rPr>
        <w:t>一）</w:t>
      </w:r>
      <w:r>
        <w:rPr>
          <w:rFonts w:hint="eastAsia"/>
          <w:b/>
          <w:bCs/>
          <w:szCs w:val="24"/>
        </w:rPr>
        <w:t>招标文件要求提供的其它商务、技术资料和证明材料；</w:t>
      </w:r>
    </w:p>
    <w:p w14:paraId="4E1EFE6A">
      <w:pPr>
        <w:pStyle w:val="39"/>
        <w:rPr>
          <w:rFonts w:hint="eastAsia"/>
          <w:szCs w:val="24"/>
          <w:lang w:val="en-US"/>
        </w:rPr>
      </w:pPr>
      <w:r>
        <w:rPr>
          <w:rFonts w:hint="eastAsia"/>
          <w:szCs w:val="24"/>
          <w:lang w:val="en-US"/>
        </w:rPr>
        <w:t>1.1供应商信息采集表</w:t>
      </w:r>
    </w:p>
    <w:tbl>
      <w:tblPr>
        <w:tblStyle w:val="32"/>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7F9F9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161306D8">
            <w:pPr>
              <w:widowControl/>
              <w:jc w:val="center"/>
              <w:rPr>
                <w:rFonts w:hint="eastAsia" w:cs="宋体"/>
                <w:szCs w:val="24"/>
              </w:rPr>
            </w:pPr>
            <w:r>
              <w:rPr>
                <w:rFonts w:hint="eastAsia" w:cs="宋体"/>
                <w:kern w:val="0"/>
                <w:szCs w:val="24"/>
                <w:lang w:bidi="ar"/>
              </w:rPr>
              <w:t>供应商名称</w:t>
            </w:r>
          </w:p>
        </w:tc>
        <w:tc>
          <w:tcPr>
            <w:tcW w:w="2841" w:type="dxa"/>
            <w:vAlign w:val="center"/>
          </w:tcPr>
          <w:p w14:paraId="72FA5A3E">
            <w:pPr>
              <w:widowControl/>
              <w:jc w:val="center"/>
              <w:rPr>
                <w:rFonts w:hint="eastAsia" w:cs="宋体"/>
                <w:szCs w:val="24"/>
              </w:rPr>
            </w:pPr>
            <w:r>
              <w:rPr>
                <w:rFonts w:hint="eastAsia" w:cs="宋体"/>
                <w:kern w:val="0"/>
                <w:szCs w:val="24"/>
                <w:lang w:bidi="ar"/>
              </w:rPr>
              <w:t>供应商实际控制人性别</w:t>
            </w:r>
          </w:p>
        </w:tc>
        <w:tc>
          <w:tcPr>
            <w:tcW w:w="2743" w:type="dxa"/>
            <w:vAlign w:val="center"/>
          </w:tcPr>
          <w:p w14:paraId="0964EB32">
            <w:pPr>
              <w:widowControl/>
              <w:jc w:val="center"/>
              <w:rPr>
                <w:rFonts w:hint="eastAsia" w:cs="宋体"/>
                <w:szCs w:val="24"/>
              </w:rPr>
            </w:pPr>
            <w:r>
              <w:rPr>
                <w:rFonts w:hint="eastAsia" w:cs="宋体"/>
                <w:kern w:val="0"/>
                <w:szCs w:val="24"/>
                <w:lang w:bidi="ar"/>
              </w:rPr>
              <w:t>外商投资类型</w:t>
            </w:r>
          </w:p>
        </w:tc>
      </w:tr>
      <w:tr w14:paraId="13063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920625F">
            <w:pPr>
              <w:pStyle w:val="39"/>
              <w:rPr>
                <w:rFonts w:hint="eastAsia" w:cs="宋体"/>
                <w:szCs w:val="24"/>
                <w:lang w:val="en-US"/>
              </w:rPr>
            </w:pPr>
          </w:p>
        </w:tc>
        <w:tc>
          <w:tcPr>
            <w:tcW w:w="2841" w:type="dxa"/>
          </w:tcPr>
          <w:p w14:paraId="5A6A95AD">
            <w:pPr>
              <w:pStyle w:val="39"/>
              <w:rPr>
                <w:rFonts w:hint="eastAsia" w:cs="宋体"/>
                <w:szCs w:val="24"/>
                <w:lang w:val="en-US"/>
              </w:rPr>
            </w:pPr>
          </w:p>
        </w:tc>
        <w:tc>
          <w:tcPr>
            <w:tcW w:w="2743" w:type="dxa"/>
          </w:tcPr>
          <w:p w14:paraId="45FCEC68">
            <w:pPr>
              <w:pStyle w:val="39"/>
              <w:rPr>
                <w:rFonts w:hint="eastAsia" w:cs="宋体"/>
                <w:szCs w:val="24"/>
                <w:lang w:val="en-US"/>
              </w:rPr>
            </w:pPr>
          </w:p>
        </w:tc>
      </w:tr>
      <w:tr w14:paraId="5D710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7017752C">
            <w:pPr>
              <w:pStyle w:val="39"/>
              <w:rPr>
                <w:rFonts w:hint="eastAsia" w:cs="宋体"/>
                <w:szCs w:val="24"/>
                <w:lang w:val="en-US"/>
              </w:rPr>
            </w:pPr>
          </w:p>
        </w:tc>
        <w:tc>
          <w:tcPr>
            <w:tcW w:w="2841" w:type="dxa"/>
          </w:tcPr>
          <w:p w14:paraId="4EF6FED0">
            <w:pPr>
              <w:pStyle w:val="39"/>
              <w:rPr>
                <w:rFonts w:hint="eastAsia" w:cs="宋体"/>
                <w:szCs w:val="24"/>
                <w:lang w:val="en-US"/>
              </w:rPr>
            </w:pPr>
          </w:p>
        </w:tc>
        <w:tc>
          <w:tcPr>
            <w:tcW w:w="2743" w:type="dxa"/>
          </w:tcPr>
          <w:p w14:paraId="749A45B4">
            <w:pPr>
              <w:pStyle w:val="39"/>
              <w:rPr>
                <w:rFonts w:hint="eastAsia" w:cs="宋体"/>
                <w:szCs w:val="24"/>
                <w:lang w:val="en-US"/>
              </w:rPr>
            </w:pPr>
          </w:p>
        </w:tc>
      </w:tr>
      <w:tr w14:paraId="0ED22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54965C34">
            <w:pPr>
              <w:pStyle w:val="39"/>
              <w:rPr>
                <w:rFonts w:hint="eastAsia" w:cs="宋体"/>
                <w:szCs w:val="24"/>
                <w:lang w:val="en-US"/>
              </w:rPr>
            </w:pPr>
          </w:p>
        </w:tc>
        <w:tc>
          <w:tcPr>
            <w:tcW w:w="2841" w:type="dxa"/>
          </w:tcPr>
          <w:p w14:paraId="275C1CF2">
            <w:pPr>
              <w:pStyle w:val="39"/>
              <w:rPr>
                <w:rFonts w:hint="eastAsia" w:cs="宋体"/>
                <w:szCs w:val="24"/>
                <w:lang w:val="en-US"/>
              </w:rPr>
            </w:pPr>
          </w:p>
        </w:tc>
        <w:tc>
          <w:tcPr>
            <w:tcW w:w="2743" w:type="dxa"/>
          </w:tcPr>
          <w:p w14:paraId="13CF3287">
            <w:pPr>
              <w:pStyle w:val="39"/>
              <w:rPr>
                <w:rFonts w:hint="eastAsia" w:cs="宋体"/>
                <w:szCs w:val="24"/>
                <w:lang w:val="en-US"/>
              </w:rPr>
            </w:pPr>
          </w:p>
        </w:tc>
      </w:tr>
      <w:tr w14:paraId="64C5F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FC3B84E">
            <w:pPr>
              <w:pStyle w:val="39"/>
              <w:rPr>
                <w:rFonts w:hint="eastAsia" w:cs="宋体"/>
                <w:szCs w:val="24"/>
                <w:lang w:val="en-US"/>
              </w:rPr>
            </w:pPr>
          </w:p>
        </w:tc>
        <w:tc>
          <w:tcPr>
            <w:tcW w:w="2841" w:type="dxa"/>
          </w:tcPr>
          <w:p w14:paraId="02825584">
            <w:pPr>
              <w:pStyle w:val="39"/>
              <w:rPr>
                <w:rFonts w:hint="eastAsia" w:cs="宋体"/>
                <w:szCs w:val="24"/>
                <w:lang w:val="en-US"/>
              </w:rPr>
            </w:pPr>
          </w:p>
        </w:tc>
        <w:tc>
          <w:tcPr>
            <w:tcW w:w="2743" w:type="dxa"/>
          </w:tcPr>
          <w:p w14:paraId="5D175FE0">
            <w:pPr>
              <w:pStyle w:val="39"/>
              <w:rPr>
                <w:rFonts w:hint="eastAsia" w:cs="宋体"/>
                <w:szCs w:val="24"/>
                <w:lang w:val="en-US"/>
              </w:rPr>
            </w:pPr>
          </w:p>
        </w:tc>
      </w:tr>
    </w:tbl>
    <w:p w14:paraId="19227338">
      <w:pPr>
        <w:widowControl/>
        <w:rPr>
          <w:rFonts w:hint="eastAsia" w:cs="宋体"/>
          <w:sz w:val="21"/>
          <w:szCs w:val="21"/>
        </w:rPr>
      </w:pPr>
      <w:r>
        <w:rPr>
          <w:rFonts w:hint="eastAsia" w:cs="宋体"/>
          <w:kern w:val="0"/>
          <w:sz w:val="21"/>
          <w:szCs w:val="21"/>
          <w:lang w:bidi="ar"/>
        </w:rPr>
        <w:t xml:space="preserve">注：1.供应商如为联合体，则应填写联合体各成员信息。 </w:t>
      </w:r>
    </w:p>
    <w:p w14:paraId="59AADB5F">
      <w:pPr>
        <w:widowControl/>
        <w:ind w:firstLine="420" w:firstLineChars="200"/>
        <w:rPr>
          <w:rFonts w:hint="eastAsia" w:cs="宋体"/>
          <w:kern w:val="0"/>
          <w:sz w:val="21"/>
          <w:szCs w:val="21"/>
          <w:lang w:bidi="ar"/>
        </w:rPr>
      </w:pPr>
      <w:r>
        <w:rPr>
          <w:rFonts w:hint="eastAsia" w:cs="宋体"/>
          <w:kern w:val="0"/>
          <w:sz w:val="21"/>
          <w:szCs w:val="21"/>
          <w:lang w:bidi="ar"/>
        </w:rPr>
        <w:t>2.“供应商实际控制人性别”按供应商实际控制人性别划分请填写“男”或“女”，指拥有供应商 51%以上绝对所有权的性别；绝对所有权拥有者可以是一个人，也可以是多人合计计算。</w:t>
      </w:r>
    </w:p>
    <w:p w14:paraId="0AAEB5EA">
      <w:pPr>
        <w:pStyle w:val="39"/>
        <w:ind w:firstLine="420" w:firstLineChars="200"/>
        <w:rPr>
          <w:rFonts w:hint="eastAsia"/>
          <w:sz w:val="21"/>
          <w:szCs w:val="21"/>
        </w:rPr>
      </w:pPr>
      <w:r>
        <w:rPr>
          <w:rFonts w:hint="eastAsia" w:cs="宋体"/>
          <w:kern w:val="0"/>
          <w:sz w:val="21"/>
          <w:szCs w:val="21"/>
          <w:lang w:val="en-US" w:bidi="ar"/>
        </w:rPr>
        <w:t>3.“外商投资类型”请填写“外商单独投资”、“外商部分投资”或“内资”。</w:t>
      </w:r>
    </w:p>
    <w:p w14:paraId="6B8582C9">
      <w:pPr>
        <w:pStyle w:val="39"/>
        <w:rPr>
          <w:rFonts w:hint="eastAsia"/>
          <w:sz w:val="28"/>
          <w:szCs w:val="28"/>
          <w:lang w:val="en-US"/>
        </w:rPr>
      </w:pPr>
    </w:p>
    <w:p w14:paraId="7BF73C5F">
      <w:pPr>
        <w:pStyle w:val="39"/>
        <w:rPr>
          <w:rFonts w:hint="eastAsia"/>
          <w:szCs w:val="24"/>
          <w:lang w:val="en-US"/>
        </w:rPr>
      </w:pPr>
      <w:r>
        <w:rPr>
          <w:rFonts w:hint="eastAsia"/>
          <w:szCs w:val="24"/>
          <w:lang w:val="en-US"/>
        </w:rPr>
        <w:t>1.2其它商务、技术资料和证明材料</w:t>
      </w:r>
    </w:p>
    <w:p w14:paraId="56D40351">
      <w:pPr>
        <w:pStyle w:val="39"/>
        <w:ind w:firstLine="0"/>
        <w:rPr>
          <w:rFonts w:hint="eastAsia"/>
          <w:b/>
          <w:bCs/>
          <w:szCs w:val="24"/>
        </w:rPr>
      </w:pPr>
    </w:p>
    <w:p w14:paraId="1E902F8B">
      <w:pPr>
        <w:pStyle w:val="39"/>
        <w:ind w:firstLine="0"/>
        <w:rPr>
          <w:rFonts w:hint="eastAsia"/>
          <w:b/>
          <w:bCs/>
          <w:szCs w:val="24"/>
        </w:rPr>
      </w:pPr>
      <w:r>
        <w:rPr>
          <w:rFonts w:hint="eastAsia"/>
          <w:b/>
          <w:bCs/>
          <w:szCs w:val="24"/>
        </w:rPr>
        <w:t>（</w:t>
      </w:r>
      <w:r>
        <w:rPr>
          <w:rFonts w:hint="eastAsia"/>
          <w:b/>
          <w:bCs/>
          <w:szCs w:val="24"/>
          <w:lang w:val="en-US"/>
        </w:rPr>
        <w:t>二）</w:t>
      </w:r>
      <w:r>
        <w:rPr>
          <w:rFonts w:hint="eastAsia"/>
          <w:b/>
          <w:bCs/>
          <w:szCs w:val="24"/>
        </w:rPr>
        <w:t>投标人认为需要提供的其它商务、技术资料和说明。</w:t>
      </w:r>
    </w:p>
    <w:p w14:paraId="1C7C974E">
      <w:pPr>
        <w:pStyle w:val="39"/>
        <w:rPr>
          <w:rFonts w:hint="eastAsia"/>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B2C1F531-84E2-403C-BBF2-CFC42C9F0BEC}"/>
  </w:font>
  <w:font w:name="Arial">
    <w:panose1 w:val="020B0604020202020204"/>
    <w:charset w:val="01"/>
    <w:family w:val="swiss"/>
    <w:pitch w:val="default"/>
    <w:sig w:usb0="E0002EFF" w:usb1="C000785B" w:usb2="00000009" w:usb3="00000000" w:csb0="400001FF" w:csb1="FFFF0000"/>
    <w:embedRegular r:id="rId2" w:fontKey="{333E778E-550F-4AD5-B5CB-80E787205C64}"/>
  </w:font>
  <w:font w:name="黑体">
    <w:panose1 w:val="02010609060101010101"/>
    <w:charset w:val="86"/>
    <w:family w:val="auto"/>
    <w:pitch w:val="default"/>
    <w:sig w:usb0="800002BF" w:usb1="38CF7CFA" w:usb2="00000016" w:usb3="00000000" w:csb0="00040001" w:csb1="00000000"/>
    <w:embedRegular r:id="rId3" w:fontKey="{79B59216-0F18-4E1C-BB92-CDFFAEB87645}"/>
  </w:font>
  <w:font w:name="Courier New">
    <w:panose1 w:val="02070309020205020404"/>
    <w:charset w:val="01"/>
    <w:family w:val="modern"/>
    <w:pitch w:val="default"/>
    <w:sig w:usb0="E0002EFF" w:usb1="C0007843" w:usb2="00000009" w:usb3="00000000" w:csb0="400001FF" w:csb1="FFFF0000"/>
    <w:embedRegular r:id="rId4" w:fontKey="{936745D1-078A-43F4-89EC-570ACB9A2D8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D8AD6314-FB22-47D9-A099-7BD736AB4A5C}"/>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embedRegular r:id="rId6" w:fontKey="{285FE16F-AEFE-4B72-9AD2-C9C608FCA98D}"/>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10" w:usb3="00000000" w:csb0="00040000" w:csb1="00000000"/>
    <w:embedRegular r:id="rId7" w:fontKey="{521D35A0-D94C-4C74-B6D8-CF3050B7B46D}"/>
  </w:font>
  <w:font w:name="华文楷体">
    <w:panose1 w:val="02010600040101010101"/>
    <w:charset w:val="86"/>
    <w:family w:val="auto"/>
    <w:pitch w:val="default"/>
    <w:sig w:usb0="00000287" w:usb1="080F0000" w:usb2="00000000" w:usb3="00000000" w:csb0="0004009F" w:csb1="DFD70000"/>
  </w:font>
  <w:font w:name="方正黑体简体">
    <w:panose1 w:val="02000000000000000000"/>
    <w:charset w:val="86"/>
    <w:family w:val="auto"/>
    <w:pitch w:val="default"/>
    <w:sig w:usb0="A00002BF" w:usb1="184F6CFA" w:usb2="00000012" w:usb3="00000000" w:csb0="00040001" w:csb1="00000000"/>
    <w:embedRegular r:id="rId8" w:fontKey="{D6A60D36-253C-483E-8A38-6CCD717EA773}"/>
  </w:font>
  <w:font w:name="方正小标宋简体">
    <w:panose1 w:val="02000000000000000000"/>
    <w:charset w:val="86"/>
    <w:family w:val="auto"/>
    <w:pitch w:val="default"/>
    <w:sig w:usb0="00000001" w:usb1="08000000" w:usb2="00000000" w:usb3="00000000" w:csb0="00040000" w:csb1="00000000"/>
    <w:embedRegular r:id="rId9" w:fontKey="{365A84DA-C8EB-4BD6-A710-A9900EE174D4}"/>
  </w:font>
  <w:font w:name="方正楷体简体">
    <w:panose1 w:val="02000000000000000000"/>
    <w:charset w:val="86"/>
    <w:family w:val="auto"/>
    <w:pitch w:val="default"/>
    <w:sig w:usb0="A00002BF" w:usb1="184F6CFA" w:usb2="00000012" w:usb3="00000000" w:csb0="00040001" w:csb1="00000000"/>
    <w:embedRegular r:id="rId10" w:fontKey="{AAA15A72-A56C-4D04-B8CE-13AF48A60B3B}"/>
  </w:font>
  <w:font w:name="方正仿宋简体">
    <w:panose1 w:val="02000000000000000000"/>
    <w:charset w:val="86"/>
    <w:family w:val="auto"/>
    <w:pitch w:val="default"/>
    <w:sig w:usb0="A00002BF" w:usb1="184F6CFA" w:usb2="00000012" w:usb3="00000000" w:csb0="00040001" w:csb1="00000000"/>
    <w:embedRegular r:id="rId11" w:fontKey="{4C91D92F-C520-4FD6-8BDA-EA90390342A9}"/>
  </w:font>
  <w:font w:name="Cambria Math">
    <w:panose1 w:val="02040503050406030204"/>
    <w:charset w:val="00"/>
    <w:family w:val="roman"/>
    <w:pitch w:val="default"/>
    <w:sig w:usb0="E00006FF" w:usb1="420024FF" w:usb2="02000000" w:usb3="00000000" w:csb0="2000019F" w:csb1="00000000"/>
    <w:embedRegular r:id="rId12" w:fontKey="{7D69C827-C0BA-403F-8514-8535208EDD6C}"/>
  </w:font>
  <w:font w:name="Tahoma">
    <w:panose1 w:val="020B0604030504040204"/>
    <w:charset w:val="00"/>
    <w:family w:val="swiss"/>
    <w:pitch w:val="default"/>
    <w:sig w:usb0="E1002EFF" w:usb1="C000605B" w:usb2="00000029" w:usb3="00000000" w:csb0="200101FF" w:csb1="20280000"/>
    <w:embedRegular r:id="rId13" w:fontKey="{CFA35645-7E0A-4957-8002-D3334BE442E3}"/>
  </w:font>
  <w:font w:name="方正小标宋_GBK">
    <w:panose1 w:val="02000000000000000000"/>
    <w:charset w:val="86"/>
    <w:family w:val="script"/>
    <w:pitch w:val="default"/>
    <w:sig w:usb0="A00002BF" w:usb1="38CF7CFA" w:usb2="00082016" w:usb3="00000000" w:csb0="00040001" w:csb1="00000000"/>
    <w:embedRegular r:id="rId14" w:fontKey="{4DD172FF-E69C-444A-8BA2-E36D7CA03681}"/>
  </w:font>
  <w:font w:name="微软雅黑">
    <w:panose1 w:val="020B0503020204020204"/>
    <w:charset w:val="86"/>
    <w:family w:val="swiss"/>
    <w:pitch w:val="default"/>
    <w:sig w:usb0="80000287" w:usb1="2ACF3C50" w:usb2="00000016" w:usb3="00000000" w:csb0="0004001F" w:csb1="00000000"/>
    <w:embedRegular r:id="rId15" w:fontKey="{FCC82EAD-9403-43B9-AB60-110FD1B55AA7}"/>
  </w:font>
  <w:font w:name="DejaVuSans">
    <w:altName w:val="Segoe Print"/>
    <w:panose1 w:val="00000000000000000000"/>
    <w:charset w:val="00"/>
    <w:family w:val="auto"/>
    <w:pitch w:val="default"/>
    <w:sig w:usb0="00000000" w:usb1="00000000" w:usb2="00000000" w:usb3="00000000" w:csb0="00000000" w:csb1="00000000"/>
    <w:embedRegular r:id="rId16" w:fontKey="{F6C568C2-72AA-4523-9293-10C161DC360D}"/>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47940">
    <w:pPr>
      <w:pStyle w:val="21"/>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446588C">
                          <w:pPr>
                            <w:pStyle w:val="21"/>
                            <w:rPr>
                              <w:rFonts w:hint="eastAsia"/>
                            </w:rPr>
                          </w:pPr>
                          <w:r>
                            <w:fldChar w:fldCharType="begin"/>
                          </w:r>
                          <w:r>
                            <w:instrText xml:space="preserve"> PAGE  \* MERGEFORMAT </w:instrText>
                          </w:r>
                          <w:r>
                            <w:fldChar w:fldCharType="separate"/>
                          </w:r>
                          <w:r>
                            <w:t>- 1 -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3446588C">
                    <w:pPr>
                      <w:pStyle w:val="21"/>
                      <w:rPr>
                        <w:rFonts w:hint="eastAsia"/>
                      </w:rPr>
                    </w:pPr>
                    <w:r>
                      <w:fldChar w:fldCharType="begin"/>
                    </w:r>
                    <w:r>
                      <w:instrText xml:space="preserve"> PAGE  \* MERGEFORMAT </w:instrText>
                    </w:r>
                    <w:r>
                      <w:fldChar w:fldCharType="separate"/>
                    </w:r>
                    <w:r>
                      <w:t>- 1 -</w:t>
                    </w:r>
                    <w:r>
                      <w:fldChar w:fldCharType="end"/>
                    </w:r>
                  </w:p>
                </w:txbxContent>
              </v:textbox>
            </v:shape>
          </w:pict>
        </mc:Fallback>
      </mc:AlternateContent>
    </w: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7273"/>
                            <w:showingPlcHdr/>
                          </w:sdtPr>
                          <w:sdtContent>
                            <w:p w14:paraId="1A4B6CAC">
                              <w:pPr>
                                <w:pStyle w:val="21"/>
                                <w:jc w:val="center"/>
                                <w:rPr>
                                  <w:rFonts w:hint="eastAsia"/>
                                </w:rPr>
                              </w:pPr>
                              <w:r>
                                <w:rPr>
                                  <w:rFonts w:hint="eastAsia"/>
                                </w:rPr>
                                <w:t xml:space="preserve">     </w:t>
                              </w:r>
                            </w:p>
                          </w:sdtContent>
                        </w:sdt>
                        <w:p w14:paraId="5A94C997">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sdt>
                    <w:sdtPr>
                      <w:id w:val="147467273"/>
                      <w:showingPlcHdr/>
                    </w:sdtPr>
                    <w:sdtContent>
                      <w:p w14:paraId="1A4B6CAC">
                        <w:pPr>
                          <w:pStyle w:val="21"/>
                          <w:jc w:val="center"/>
                          <w:rPr>
                            <w:rFonts w:hint="eastAsia"/>
                          </w:rPr>
                        </w:pPr>
                        <w:r>
                          <w:rPr>
                            <w:rFonts w:hint="eastAsia"/>
                          </w:rPr>
                          <w:t xml:space="preserve">     </w:t>
                        </w:r>
                      </w:p>
                    </w:sdtContent>
                  </w:sdt>
                  <w:p w14:paraId="5A94C997">
                    <w:pPr>
                      <w:rPr>
                        <w:rFonts w:hint="eastAsia"/>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9F697">
    <w:pPr>
      <w:pStyle w:val="21"/>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886861">
                          <w:pPr>
                            <w:pStyle w:val="21"/>
                            <w:rPr>
                              <w:rFonts w:hint="eastAsia"/>
                            </w:rPr>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2B886861">
                    <w:pPr>
                      <w:pStyle w:val="21"/>
                      <w:rPr>
                        <w:rFonts w:hint="eastAsia"/>
                      </w:rPr>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1B00A0">
    <w:pPr>
      <w:pStyle w:val="21"/>
      <w:jc w:val="center"/>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7B4F4135">
                              <w:pPr>
                                <w:pStyle w:val="21"/>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2A858B3C">
                          <w:pPr>
                            <w:rPr>
                              <w:rFonts w:hint="eastAsia"/>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sdt>
                    <w:sdtPr>
                      <w:id w:val="-178428888"/>
                    </w:sdtPr>
                    <w:sdtContent>
                      <w:p w14:paraId="7B4F4135">
                        <w:pPr>
                          <w:pStyle w:val="21"/>
                          <w:jc w:val="center"/>
                          <w:rPr>
                            <w:rFonts w:hint="eastAsia"/>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2A858B3C">
                    <w:pPr>
                      <w:rPr>
                        <w:rFonts w:hint="eastAsia"/>
                      </w:rPr>
                    </w:pPr>
                  </w:p>
                </w:txbxContent>
              </v:textbox>
            </v:shape>
          </w:pict>
        </mc:Fallback>
      </mc:AlternateContent>
    </w:r>
  </w:p>
  <w:p w14:paraId="4FF3D862">
    <w:pPr>
      <w:pStyle w:val="21"/>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25C43E">
    <w:pPr>
      <w:pStyle w:val="22"/>
      <w:jc w:val="right"/>
      <w:rPr>
        <w:rFonts w:hint="eastAsia"/>
      </w:rPr>
    </w:pPr>
    <w:r>
      <w:rPr>
        <w:rFonts w:hint="eastAsia"/>
      </w:rPr>
      <w:t>兵团政府采购项目公开招标文件示范文本（服务）-2026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96A00E">
    <w:pPr>
      <w:pStyle w:val="22"/>
      <w:rPr>
        <w:rFonts w:hint="eastAsia"/>
      </w:rPr>
    </w:pPr>
    <w:r>
      <w:rPr>
        <w:rFonts w:hint="eastAsia"/>
        <w:sz w:val="24"/>
        <w:szCs w:val="24"/>
      </w:rPr>
      <w:t xml:space="preserve">                                    </w:t>
    </w:r>
    <w:r>
      <w:rPr>
        <w:rFonts w:hint="eastAsia"/>
      </w:rPr>
      <w:t>兵团政府采购项目公开招标文件示范文本（服务）</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C070575"/>
    <w:multiLevelType w:val="singleLevel"/>
    <w:tmpl w:val="9C070575"/>
    <w:lvl w:ilvl="0" w:tentative="0">
      <w:start w:val="1"/>
      <w:numFmt w:val="decimal"/>
      <w:pStyle w:val="8"/>
      <w:lvlText w:val="%1."/>
      <w:lvlJc w:val="left"/>
      <w:pPr>
        <w:tabs>
          <w:tab w:val="left" w:pos="780"/>
        </w:tabs>
        <w:ind w:left="780" w:hanging="360"/>
      </w:pPr>
    </w:lvl>
  </w:abstractNum>
  <w:abstractNum w:abstractNumId="1">
    <w:nsid w:val="C61E11BA"/>
    <w:multiLevelType w:val="singleLevel"/>
    <w:tmpl w:val="C61E11BA"/>
    <w:lvl w:ilvl="0" w:tentative="0">
      <w:start w:val="5"/>
      <w:numFmt w:val="chineseCounting"/>
      <w:suff w:val="nothing"/>
      <w:lvlText w:val="（%1）"/>
      <w:lvlJc w:val="left"/>
      <w:rPr>
        <w:rFonts w:hint="eastAsia"/>
      </w:rPr>
    </w:lvl>
  </w:abstractNum>
  <w:abstractNum w:abstractNumId="2">
    <w:nsid w:val="1C761375"/>
    <w:multiLevelType w:val="multilevel"/>
    <w:tmpl w:val="1C761375"/>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39770BD"/>
    <w:multiLevelType w:val="singleLevel"/>
    <w:tmpl w:val="239770BD"/>
    <w:lvl w:ilvl="0" w:tentative="0">
      <w:start w:val="1"/>
      <w:numFmt w:val="decimal"/>
      <w:suff w:val="nothing"/>
      <w:lvlText w:val="%1、"/>
      <w:lvlJc w:val="left"/>
    </w:lvl>
  </w:abstractNum>
  <w:abstractNum w:abstractNumId="4">
    <w:nsid w:val="447B6378"/>
    <w:multiLevelType w:val="multilevel"/>
    <w:tmpl w:val="447B6378"/>
    <w:lvl w:ilvl="0" w:tentative="0">
      <w:start w:val="1"/>
      <w:numFmt w:val="decimal"/>
      <w:pStyle w:val="41"/>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70DBD2DE"/>
    <w:multiLevelType w:val="singleLevel"/>
    <w:tmpl w:val="70DBD2DE"/>
    <w:lvl w:ilvl="0" w:tentative="0">
      <w:start w:val="2"/>
      <w:numFmt w:val="decimal"/>
      <w:suff w:val="space"/>
      <w:lvlText w:val="%1."/>
      <w:lvlJc w:val="left"/>
    </w:lvl>
  </w:abstractNum>
  <w:abstractNum w:abstractNumId="6">
    <w:nsid w:val="75504026"/>
    <w:multiLevelType w:val="multilevel"/>
    <w:tmpl w:val="75504026"/>
    <w:lvl w:ilvl="0" w:tentative="0">
      <w:start w:val="1"/>
      <w:numFmt w:val="decimal"/>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4"/>
  </w:num>
  <w:num w:numId="3">
    <w:abstractNumId w:val="3"/>
  </w:num>
  <w:num w:numId="4">
    <w:abstractNumId w:val="5"/>
  </w:num>
  <w:num w:numId="5">
    <w:abstractNumId w:val="2"/>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6600"/>
    <w:rsid w:val="00160E9C"/>
    <w:rsid w:val="00172190"/>
    <w:rsid w:val="00172A27"/>
    <w:rsid w:val="00173480"/>
    <w:rsid w:val="00181988"/>
    <w:rsid w:val="00182557"/>
    <w:rsid w:val="0018304A"/>
    <w:rsid w:val="001904E9"/>
    <w:rsid w:val="001A77DE"/>
    <w:rsid w:val="001B36EC"/>
    <w:rsid w:val="001D6A4E"/>
    <w:rsid w:val="001D7B23"/>
    <w:rsid w:val="001E2F56"/>
    <w:rsid w:val="002062E6"/>
    <w:rsid w:val="00207131"/>
    <w:rsid w:val="0022214D"/>
    <w:rsid w:val="00223585"/>
    <w:rsid w:val="002235CA"/>
    <w:rsid w:val="002317DB"/>
    <w:rsid w:val="00232245"/>
    <w:rsid w:val="0023265E"/>
    <w:rsid w:val="00235B5A"/>
    <w:rsid w:val="00251060"/>
    <w:rsid w:val="002514A3"/>
    <w:rsid w:val="00256B32"/>
    <w:rsid w:val="00256D01"/>
    <w:rsid w:val="002706F2"/>
    <w:rsid w:val="00271135"/>
    <w:rsid w:val="00285E30"/>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188"/>
    <w:rsid w:val="0035643C"/>
    <w:rsid w:val="00366226"/>
    <w:rsid w:val="003746B0"/>
    <w:rsid w:val="00374A6B"/>
    <w:rsid w:val="00383E1C"/>
    <w:rsid w:val="0039029A"/>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C3A"/>
    <w:rsid w:val="004851CA"/>
    <w:rsid w:val="0048656E"/>
    <w:rsid w:val="00493221"/>
    <w:rsid w:val="004A302C"/>
    <w:rsid w:val="004B539D"/>
    <w:rsid w:val="004C1FA1"/>
    <w:rsid w:val="004C3DCC"/>
    <w:rsid w:val="004E0BF9"/>
    <w:rsid w:val="004E0CF9"/>
    <w:rsid w:val="004F3FDD"/>
    <w:rsid w:val="004F46AB"/>
    <w:rsid w:val="00501A4A"/>
    <w:rsid w:val="00501E05"/>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3484"/>
    <w:rsid w:val="007B5C1A"/>
    <w:rsid w:val="007C03A0"/>
    <w:rsid w:val="007C2BEF"/>
    <w:rsid w:val="007D3D77"/>
    <w:rsid w:val="007E157B"/>
    <w:rsid w:val="007E2EF7"/>
    <w:rsid w:val="007E4818"/>
    <w:rsid w:val="007E4B30"/>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67FFD"/>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395C"/>
    <w:rsid w:val="008D56A5"/>
    <w:rsid w:val="008E1546"/>
    <w:rsid w:val="008E189F"/>
    <w:rsid w:val="008E24ED"/>
    <w:rsid w:val="008E40FE"/>
    <w:rsid w:val="008E57AC"/>
    <w:rsid w:val="008E6D3B"/>
    <w:rsid w:val="00906396"/>
    <w:rsid w:val="0090770A"/>
    <w:rsid w:val="00916E4D"/>
    <w:rsid w:val="00917A63"/>
    <w:rsid w:val="00923C36"/>
    <w:rsid w:val="00924B8E"/>
    <w:rsid w:val="00930024"/>
    <w:rsid w:val="009344DE"/>
    <w:rsid w:val="009357E5"/>
    <w:rsid w:val="00936087"/>
    <w:rsid w:val="00945D17"/>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271A"/>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31D1"/>
    <w:rsid w:val="00E17AA0"/>
    <w:rsid w:val="00E2655B"/>
    <w:rsid w:val="00E311AB"/>
    <w:rsid w:val="00E358BF"/>
    <w:rsid w:val="00E36EC8"/>
    <w:rsid w:val="00E4620C"/>
    <w:rsid w:val="00E51146"/>
    <w:rsid w:val="00E512A9"/>
    <w:rsid w:val="00E51355"/>
    <w:rsid w:val="00E54AF9"/>
    <w:rsid w:val="00E5624E"/>
    <w:rsid w:val="00E601D4"/>
    <w:rsid w:val="00E64C88"/>
    <w:rsid w:val="00E7179D"/>
    <w:rsid w:val="00E74832"/>
    <w:rsid w:val="00E81B04"/>
    <w:rsid w:val="00E820C5"/>
    <w:rsid w:val="00E87550"/>
    <w:rsid w:val="00E9413F"/>
    <w:rsid w:val="00E973D2"/>
    <w:rsid w:val="00EC7C64"/>
    <w:rsid w:val="00ED00D6"/>
    <w:rsid w:val="00EE26DC"/>
    <w:rsid w:val="00EE3FF1"/>
    <w:rsid w:val="00EE5816"/>
    <w:rsid w:val="00EF3D7E"/>
    <w:rsid w:val="00F03292"/>
    <w:rsid w:val="00F0565C"/>
    <w:rsid w:val="00F121AE"/>
    <w:rsid w:val="00F15852"/>
    <w:rsid w:val="00F23F4B"/>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3E61E2"/>
    <w:rsid w:val="014F4893"/>
    <w:rsid w:val="01541EA9"/>
    <w:rsid w:val="01580C56"/>
    <w:rsid w:val="016515E8"/>
    <w:rsid w:val="01781929"/>
    <w:rsid w:val="01877B89"/>
    <w:rsid w:val="019E3125"/>
    <w:rsid w:val="01D0068D"/>
    <w:rsid w:val="01D775B9"/>
    <w:rsid w:val="02026E30"/>
    <w:rsid w:val="020B6A0C"/>
    <w:rsid w:val="02132174"/>
    <w:rsid w:val="02186A33"/>
    <w:rsid w:val="0224187C"/>
    <w:rsid w:val="023130F5"/>
    <w:rsid w:val="024737BC"/>
    <w:rsid w:val="024C2B81"/>
    <w:rsid w:val="028604AE"/>
    <w:rsid w:val="029D33DC"/>
    <w:rsid w:val="02AD3196"/>
    <w:rsid w:val="02AE1145"/>
    <w:rsid w:val="02C44E0D"/>
    <w:rsid w:val="02DA63DE"/>
    <w:rsid w:val="02ED7EC0"/>
    <w:rsid w:val="03200295"/>
    <w:rsid w:val="035E2B6B"/>
    <w:rsid w:val="0361440A"/>
    <w:rsid w:val="03636F13"/>
    <w:rsid w:val="036D7252"/>
    <w:rsid w:val="03773C2D"/>
    <w:rsid w:val="03922815"/>
    <w:rsid w:val="03C350C4"/>
    <w:rsid w:val="03E2554B"/>
    <w:rsid w:val="03EA08A3"/>
    <w:rsid w:val="03F51722"/>
    <w:rsid w:val="03F62DA4"/>
    <w:rsid w:val="04066E90"/>
    <w:rsid w:val="04500CE7"/>
    <w:rsid w:val="045126D0"/>
    <w:rsid w:val="045D72C7"/>
    <w:rsid w:val="047A5783"/>
    <w:rsid w:val="04820ADC"/>
    <w:rsid w:val="0487418D"/>
    <w:rsid w:val="04893C18"/>
    <w:rsid w:val="04B14F1D"/>
    <w:rsid w:val="04C17856"/>
    <w:rsid w:val="04F01EE9"/>
    <w:rsid w:val="04F574FF"/>
    <w:rsid w:val="04F72882"/>
    <w:rsid w:val="04FF212C"/>
    <w:rsid w:val="05235E1B"/>
    <w:rsid w:val="052D0A47"/>
    <w:rsid w:val="052E656D"/>
    <w:rsid w:val="053E0EA6"/>
    <w:rsid w:val="053E47A5"/>
    <w:rsid w:val="053F247C"/>
    <w:rsid w:val="05595CE0"/>
    <w:rsid w:val="057C377D"/>
    <w:rsid w:val="05812B41"/>
    <w:rsid w:val="05816FE5"/>
    <w:rsid w:val="05AA653C"/>
    <w:rsid w:val="05C72C4A"/>
    <w:rsid w:val="05CB2336"/>
    <w:rsid w:val="05D15877"/>
    <w:rsid w:val="05D215EF"/>
    <w:rsid w:val="05D2339D"/>
    <w:rsid w:val="05D37841"/>
    <w:rsid w:val="05DB04A3"/>
    <w:rsid w:val="05E530D0"/>
    <w:rsid w:val="06127C3D"/>
    <w:rsid w:val="061A4B24"/>
    <w:rsid w:val="06231E4A"/>
    <w:rsid w:val="06253E14"/>
    <w:rsid w:val="0633208D"/>
    <w:rsid w:val="0636544B"/>
    <w:rsid w:val="06587D46"/>
    <w:rsid w:val="067032E2"/>
    <w:rsid w:val="067E3A29"/>
    <w:rsid w:val="06856661"/>
    <w:rsid w:val="069114AA"/>
    <w:rsid w:val="06AE7966"/>
    <w:rsid w:val="06B07B82"/>
    <w:rsid w:val="06DD649D"/>
    <w:rsid w:val="06EC66E0"/>
    <w:rsid w:val="06F04422"/>
    <w:rsid w:val="07020C1A"/>
    <w:rsid w:val="0709089A"/>
    <w:rsid w:val="071C5217"/>
    <w:rsid w:val="071D4AEC"/>
    <w:rsid w:val="07210A39"/>
    <w:rsid w:val="072242D3"/>
    <w:rsid w:val="072440CC"/>
    <w:rsid w:val="072C25C9"/>
    <w:rsid w:val="0737795B"/>
    <w:rsid w:val="073E518E"/>
    <w:rsid w:val="073F4A62"/>
    <w:rsid w:val="07442078"/>
    <w:rsid w:val="076C53FA"/>
    <w:rsid w:val="076D22AC"/>
    <w:rsid w:val="0784404A"/>
    <w:rsid w:val="078608E3"/>
    <w:rsid w:val="07941252"/>
    <w:rsid w:val="07A25DD3"/>
    <w:rsid w:val="07A64AE1"/>
    <w:rsid w:val="07B55348"/>
    <w:rsid w:val="07EA70C4"/>
    <w:rsid w:val="07F0083A"/>
    <w:rsid w:val="07FE32F6"/>
    <w:rsid w:val="08687FE8"/>
    <w:rsid w:val="08935065"/>
    <w:rsid w:val="08997D8A"/>
    <w:rsid w:val="08A76D63"/>
    <w:rsid w:val="08AD2074"/>
    <w:rsid w:val="08BB45BC"/>
    <w:rsid w:val="08C6368D"/>
    <w:rsid w:val="08D306C7"/>
    <w:rsid w:val="08D538D0"/>
    <w:rsid w:val="08D77648"/>
    <w:rsid w:val="08E04023"/>
    <w:rsid w:val="08EE4992"/>
    <w:rsid w:val="09077801"/>
    <w:rsid w:val="091C32AD"/>
    <w:rsid w:val="09212671"/>
    <w:rsid w:val="0926010A"/>
    <w:rsid w:val="09664528"/>
    <w:rsid w:val="09970B85"/>
    <w:rsid w:val="09975029"/>
    <w:rsid w:val="09AC1C5B"/>
    <w:rsid w:val="09AD03A9"/>
    <w:rsid w:val="09CE174C"/>
    <w:rsid w:val="09E613EC"/>
    <w:rsid w:val="09EA6F07"/>
    <w:rsid w:val="09F23B8C"/>
    <w:rsid w:val="09FE29B2"/>
    <w:rsid w:val="0A1C108A"/>
    <w:rsid w:val="0A2148F3"/>
    <w:rsid w:val="0A391C3C"/>
    <w:rsid w:val="0A3D172D"/>
    <w:rsid w:val="0A3E680D"/>
    <w:rsid w:val="0A831432"/>
    <w:rsid w:val="0A9B6453"/>
    <w:rsid w:val="0AAB338B"/>
    <w:rsid w:val="0AAF1EFF"/>
    <w:rsid w:val="0ABF0394"/>
    <w:rsid w:val="0AD84599"/>
    <w:rsid w:val="0B05734A"/>
    <w:rsid w:val="0B0E131B"/>
    <w:rsid w:val="0B115FB9"/>
    <w:rsid w:val="0B1A381C"/>
    <w:rsid w:val="0B352404"/>
    <w:rsid w:val="0B386398"/>
    <w:rsid w:val="0B536D2E"/>
    <w:rsid w:val="0B5C2086"/>
    <w:rsid w:val="0B6727D9"/>
    <w:rsid w:val="0B674587"/>
    <w:rsid w:val="0B6B4077"/>
    <w:rsid w:val="0B6E5916"/>
    <w:rsid w:val="0B745622"/>
    <w:rsid w:val="0B76679F"/>
    <w:rsid w:val="0B7F5D75"/>
    <w:rsid w:val="0BB24C22"/>
    <w:rsid w:val="0BE45BD8"/>
    <w:rsid w:val="0BF202F5"/>
    <w:rsid w:val="0BFE313E"/>
    <w:rsid w:val="0C02649C"/>
    <w:rsid w:val="0C0A3890"/>
    <w:rsid w:val="0C1E6205"/>
    <w:rsid w:val="0C211F30"/>
    <w:rsid w:val="0C28640C"/>
    <w:rsid w:val="0C3C5A14"/>
    <w:rsid w:val="0C41302A"/>
    <w:rsid w:val="0C5A4DAC"/>
    <w:rsid w:val="0C874EE1"/>
    <w:rsid w:val="0C8A677F"/>
    <w:rsid w:val="0CAA0BCF"/>
    <w:rsid w:val="0CB74E42"/>
    <w:rsid w:val="0CC04897"/>
    <w:rsid w:val="0CD520F0"/>
    <w:rsid w:val="0CD67C16"/>
    <w:rsid w:val="0CD81BE1"/>
    <w:rsid w:val="0D0C53E6"/>
    <w:rsid w:val="0D1C7D1F"/>
    <w:rsid w:val="0D2210AE"/>
    <w:rsid w:val="0D2766C4"/>
    <w:rsid w:val="0D607D00"/>
    <w:rsid w:val="0D6B6E82"/>
    <w:rsid w:val="0D9D0734"/>
    <w:rsid w:val="0DA90E87"/>
    <w:rsid w:val="0DAF0B93"/>
    <w:rsid w:val="0DB241E0"/>
    <w:rsid w:val="0DB74AC1"/>
    <w:rsid w:val="0DC12F25"/>
    <w:rsid w:val="0DC14423"/>
    <w:rsid w:val="0DC83A03"/>
    <w:rsid w:val="0DCD1019"/>
    <w:rsid w:val="0DE10B00"/>
    <w:rsid w:val="0DEF71E2"/>
    <w:rsid w:val="0E0D58BA"/>
    <w:rsid w:val="0E0F1632"/>
    <w:rsid w:val="0E342E47"/>
    <w:rsid w:val="0E460DCC"/>
    <w:rsid w:val="0E464928"/>
    <w:rsid w:val="0E651252"/>
    <w:rsid w:val="0E653000"/>
    <w:rsid w:val="0E6D45AA"/>
    <w:rsid w:val="0E72396F"/>
    <w:rsid w:val="0E796AAB"/>
    <w:rsid w:val="0E7C0027"/>
    <w:rsid w:val="0E7F6315"/>
    <w:rsid w:val="0E92317E"/>
    <w:rsid w:val="0E9543D1"/>
    <w:rsid w:val="0EA33B28"/>
    <w:rsid w:val="0EB36461"/>
    <w:rsid w:val="0EB45D35"/>
    <w:rsid w:val="0EBD75FE"/>
    <w:rsid w:val="0EC817E1"/>
    <w:rsid w:val="0ECA5559"/>
    <w:rsid w:val="0ED53B2A"/>
    <w:rsid w:val="0EF600FC"/>
    <w:rsid w:val="0F096081"/>
    <w:rsid w:val="0F1B5913"/>
    <w:rsid w:val="0F2442A2"/>
    <w:rsid w:val="0F3D21CF"/>
    <w:rsid w:val="0F4C0664"/>
    <w:rsid w:val="0F4E71D9"/>
    <w:rsid w:val="0F5A5835"/>
    <w:rsid w:val="0F9D4A1B"/>
    <w:rsid w:val="0FA638D0"/>
    <w:rsid w:val="0FAB538A"/>
    <w:rsid w:val="0FD33C3D"/>
    <w:rsid w:val="0FE8213B"/>
    <w:rsid w:val="0FF52AA9"/>
    <w:rsid w:val="10047D52"/>
    <w:rsid w:val="10150A56"/>
    <w:rsid w:val="10240C99"/>
    <w:rsid w:val="102723E9"/>
    <w:rsid w:val="102B64CB"/>
    <w:rsid w:val="107439CE"/>
    <w:rsid w:val="1090632E"/>
    <w:rsid w:val="109220A6"/>
    <w:rsid w:val="109B71AD"/>
    <w:rsid w:val="109E78EF"/>
    <w:rsid w:val="10A92DD3"/>
    <w:rsid w:val="10A95A14"/>
    <w:rsid w:val="10AF4A06"/>
    <w:rsid w:val="10BD54A5"/>
    <w:rsid w:val="10C55FD8"/>
    <w:rsid w:val="10C85AC8"/>
    <w:rsid w:val="10D51700"/>
    <w:rsid w:val="11036B00"/>
    <w:rsid w:val="11082369"/>
    <w:rsid w:val="11357D2A"/>
    <w:rsid w:val="113849FC"/>
    <w:rsid w:val="113A4C18"/>
    <w:rsid w:val="113D2012"/>
    <w:rsid w:val="11457119"/>
    <w:rsid w:val="1147614B"/>
    <w:rsid w:val="116E48C1"/>
    <w:rsid w:val="11785740"/>
    <w:rsid w:val="11845E93"/>
    <w:rsid w:val="11867E5D"/>
    <w:rsid w:val="11A2456B"/>
    <w:rsid w:val="11AA7A96"/>
    <w:rsid w:val="11AE5258"/>
    <w:rsid w:val="11B12A00"/>
    <w:rsid w:val="11B30526"/>
    <w:rsid w:val="11DA1F57"/>
    <w:rsid w:val="11DF30C9"/>
    <w:rsid w:val="11FA6155"/>
    <w:rsid w:val="12130FC5"/>
    <w:rsid w:val="12371157"/>
    <w:rsid w:val="12483364"/>
    <w:rsid w:val="127001C5"/>
    <w:rsid w:val="12771554"/>
    <w:rsid w:val="127759F8"/>
    <w:rsid w:val="127A0C92"/>
    <w:rsid w:val="127F48AC"/>
    <w:rsid w:val="129E4D32"/>
    <w:rsid w:val="12AD766B"/>
    <w:rsid w:val="12B91B6C"/>
    <w:rsid w:val="12BA7692"/>
    <w:rsid w:val="12BC165D"/>
    <w:rsid w:val="12CC5D44"/>
    <w:rsid w:val="12DE7825"/>
    <w:rsid w:val="12E3308D"/>
    <w:rsid w:val="12EF558E"/>
    <w:rsid w:val="13021765"/>
    <w:rsid w:val="13037AFF"/>
    <w:rsid w:val="13453400"/>
    <w:rsid w:val="13456351"/>
    <w:rsid w:val="134C0C32"/>
    <w:rsid w:val="137B79E1"/>
    <w:rsid w:val="137D0DEC"/>
    <w:rsid w:val="13833F28"/>
    <w:rsid w:val="13A03104"/>
    <w:rsid w:val="13E470BD"/>
    <w:rsid w:val="13E62E35"/>
    <w:rsid w:val="14065285"/>
    <w:rsid w:val="14223741"/>
    <w:rsid w:val="143F42F3"/>
    <w:rsid w:val="144731A8"/>
    <w:rsid w:val="14492F91"/>
    <w:rsid w:val="1457788F"/>
    <w:rsid w:val="14717C9A"/>
    <w:rsid w:val="147F2942"/>
    <w:rsid w:val="14960551"/>
    <w:rsid w:val="14AF7789"/>
    <w:rsid w:val="14BF5434"/>
    <w:rsid w:val="14BF71E2"/>
    <w:rsid w:val="14D50D33"/>
    <w:rsid w:val="14EF1875"/>
    <w:rsid w:val="14F50E56"/>
    <w:rsid w:val="150B1D24"/>
    <w:rsid w:val="151E65FF"/>
    <w:rsid w:val="152030DE"/>
    <w:rsid w:val="1537321C"/>
    <w:rsid w:val="154020D1"/>
    <w:rsid w:val="15681628"/>
    <w:rsid w:val="159D7523"/>
    <w:rsid w:val="15A840F3"/>
    <w:rsid w:val="15C9656A"/>
    <w:rsid w:val="15FB249C"/>
    <w:rsid w:val="15FF3D3A"/>
    <w:rsid w:val="1602382A"/>
    <w:rsid w:val="16565924"/>
    <w:rsid w:val="16640041"/>
    <w:rsid w:val="16646293"/>
    <w:rsid w:val="16685D83"/>
    <w:rsid w:val="167C182F"/>
    <w:rsid w:val="167D1103"/>
    <w:rsid w:val="167D2FDD"/>
    <w:rsid w:val="168B406D"/>
    <w:rsid w:val="168E1562"/>
    <w:rsid w:val="169052DA"/>
    <w:rsid w:val="16AE5760"/>
    <w:rsid w:val="16AE750E"/>
    <w:rsid w:val="16B40FC8"/>
    <w:rsid w:val="16BE3BF5"/>
    <w:rsid w:val="16C46D32"/>
    <w:rsid w:val="16D84122"/>
    <w:rsid w:val="16E1737A"/>
    <w:rsid w:val="16E3540A"/>
    <w:rsid w:val="16E442B3"/>
    <w:rsid w:val="16F81875"/>
    <w:rsid w:val="1711641B"/>
    <w:rsid w:val="1719707D"/>
    <w:rsid w:val="17215F32"/>
    <w:rsid w:val="172872C1"/>
    <w:rsid w:val="17457E73"/>
    <w:rsid w:val="174C1201"/>
    <w:rsid w:val="174F6F43"/>
    <w:rsid w:val="176821F4"/>
    <w:rsid w:val="17710C68"/>
    <w:rsid w:val="177C760C"/>
    <w:rsid w:val="177E1C86"/>
    <w:rsid w:val="179B7A92"/>
    <w:rsid w:val="17AD77C6"/>
    <w:rsid w:val="17B71E1E"/>
    <w:rsid w:val="17CB7119"/>
    <w:rsid w:val="17D2722C"/>
    <w:rsid w:val="17FB49D5"/>
    <w:rsid w:val="18041ADC"/>
    <w:rsid w:val="181B1D9C"/>
    <w:rsid w:val="18253800"/>
    <w:rsid w:val="182E6B59"/>
    <w:rsid w:val="187C5B16"/>
    <w:rsid w:val="189246B5"/>
    <w:rsid w:val="18A706B9"/>
    <w:rsid w:val="18C272A1"/>
    <w:rsid w:val="18CB43A7"/>
    <w:rsid w:val="18DA283C"/>
    <w:rsid w:val="18F733EE"/>
    <w:rsid w:val="18F90F15"/>
    <w:rsid w:val="19063E8D"/>
    <w:rsid w:val="19197809"/>
    <w:rsid w:val="192D6E10"/>
    <w:rsid w:val="1934019F"/>
    <w:rsid w:val="19373862"/>
    <w:rsid w:val="19520625"/>
    <w:rsid w:val="19526877"/>
    <w:rsid w:val="195E2798"/>
    <w:rsid w:val="19D2300F"/>
    <w:rsid w:val="1A0214BE"/>
    <w:rsid w:val="1A08264E"/>
    <w:rsid w:val="1A0E5C74"/>
    <w:rsid w:val="1A197394"/>
    <w:rsid w:val="1A352420"/>
    <w:rsid w:val="1A512FD2"/>
    <w:rsid w:val="1A5D54D3"/>
    <w:rsid w:val="1A5F124B"/>
    <w:rsid w:val="1A6124EF"/>
    <w:rsid w:val="1A710493"/>
    <w:rsid w:val="1A8352CB"/>
    <w:rsid w:val="1AB33908"/>
    <w:rsid w:val="1ADA2FC8"/>
    <w:rsid w:val="1AE259D8"/>
    <w:rsid w:val="1AE35507"/>
    <w:rsid w:val="1AEB2ADF"/>
    <w:rsid w:val="1B3E3557"/>
    <w:rsid w:val="1B636B19"/>
    <w:rsid w:val="1B6805D3"/>
    <w:rsid w:val="1B7E1468"/>
    <w:rsid w:val="1B825739"/>
    <w:rsid w:val="1B83540D"/>
    <w:rsid w:val="1B9D13D0"/>
    <w:rsid w:val="1BA85854"/>
    <w:rsid w:val="1BC17CE4"/>
    <w:rsid w:val="1BCC0B62"/>
    <w:rsid w:val="1BDD4B1E"/>
    <w:rsid w:val="1BE718C7"/>
    <w:rsid w:val="1C146065"/>
    <w:rsid w:val="1C4032FE"/>
    <w:rsid w:val="1C406E5A"/>
    <w:rsid w:val="1C495921"/>
    <w:rsid w:val="1C744D56"/>
    <w:rsid w:val="1C7A6810"/>
    <w:rsid w:val="1C7B7E93"/>
    <w:rsid w:val="1C9C6787"/>
    <w:rsid w:val="1CA05B4B"/>
    <w:rsid w:val="1CA90EA4"/>
    <w:rsid w:val="1CAA6093"/>
    <w:rsid w:val="1CBF0268"/>
    <w:rsid w:val="1CD770EC"/>
    <w:rsid w:val="1CE43C8A"/>
    <w:rsid w:val="1D183933"/>
    <w:rsid w:val="1D1B3B0E"/>
    <w:rsid w:val="1D210A3A"/>
    <w:rsid w:val="1D214EDE"/>
    <w:rsid w:val="1D4A4435"/>
    <w:rsid w:val="1D524C10"/>
    <w:rsid w:val="1D61177E"/>
    <w:rsid w:val="1D7E7C3A"/>
    <w:rsid w:val="1D86436A"/>
    <w:rsid w:val="1D8D4321"/>
    <w:rsid w:val="1D9C27B6"/>
    <w:rsid w:val="1DAA4ED3"/>
    <w:rsid w:val="1DC53ABB"/>
    <w:rsid w:val="1DC835AB"/>
    <w:rsid w:val="1DE2466D"/>
    <w:rsid w:val="1E206F43"/>
    <w:rsid w:val="1E2F7187"/>
    <w:rsid w:val="1E340C41"/>
    <w:rsid w:val="1E401394"/>
    <w:rsid w:val="1E4E3AB1"/>
    <w:rsid w:val="1E51534F"/>
    <w:rsid w:val="1E5310C7"/>
    <w:rsid w:val="1E6908EA"/>
    <w:rsid w:val="1E766B63"/>
    <w:rsid w:val="1E9B2A6E"/>
    <w:rsid w:val="1EAC07D7"/>
    <w:rsid w:val="1EBA1146"/>
    <w:rsid w:val="1EC45B21"/>
    <w:rsid w:val="1EC73863"/>
    <w:rsid w:val="1ED63AA6"/>
    <w:rsid w:val="1EDF295B"/>
    <w:rsid w:val="1F046865"/>
    <w:rsid w:val="1F0A70F1"/>
    <w:rsid w:val="1F130856"/>
    <w:rsid w:val="1F1D16D5"/>
    <w:rsid w:val="1F4536E0"/>
    <w:rsid w:val="1F525822"/>
    <w:rsid w:val="1F58270D"/>
    <w:rsid w:val="1F5D7D23"/>
    <w:rsid w:val="1F5F1CED"/>
    <w:rsid w:val="1F7237CF"/>
    <w:rsid w:val="1F770DE5"/>
    <w:rsid w:val="1F8D0609"/>
    <w:rsid w:val="1FA96FA3"/>
    <w:rsid w:val="1FB82BC8"/>
    <w:rsid w:val="1FE31481"/>
    <w:rsid w:val="1FF468DA"/>
    <w:rsid w:val="200B6E05"/>
    <w:rsid w:val="200F101E"/>
    <w:rsid w:val="200F54C2"/>
    <w:rsid w:val="201B5C14"/>
    <w:rsid w:val="202D1DEC"/>
    <w:rsid w:val="2039253E"/>
    <w:rsid w:val="204607B7"/>
    <w:rsid w:val="204A02A8"/>
    <w:rsid w:val="204D7D98"/>
    <w:rsid w:val="205331F0"/>
    <w:rsid w:val="20690166"/>
    <w:rsid w:val="207B2DC6"/>
    <w:rsid w:val="20803CC9"/>
    <w:rsid w:val="209239FD"/>
    <w:rsid w:val="20B47E17"/>
    <w:rsid w:val="20B83B8F"/>
    <w:rsid w:val="20DA3F99"/>
    <w:rsid w:val="20E71F9A"/>
    <w:rsid w:val="20E97AC1"/>
    <w:rsid w:val="20EA2A65"/>
    <w:rsid w:val="20EF2BFD"/>
    <w:rsid w:val="210112AE"/>
    <w:rsid w:val="212F12B7"/>
    <w:rsid w:val="214E2A84"/>
    <w:rsid w:val="21817CF9"/>
    <w:rsid w:val="21884BA0"/>
    <w:rsid w:val="219519F6"/>
    <w:rsid w:val="2197576F"/>
    <w:rsid w:val="219E6AFD"/>
    <w:rsid w:val="21A659B2"/>
    <w:rsid w:val="21B55BF5"/>
    <w:rsid w:val="21DE15EF"/>
    <w:rsid w:val="22105521"/>
    <w:rsid w:val="2217240B"/>
    <w:rsid w:val="222039B6"/>
    <w:rsid w:val="2228094B"/>
    <w:rsid w:val="222B5EB7"/>
    <w:rsid w:val="224A27E1"/>
    <w:rsid w:val="227635D6"/>
    <w:rsid w:val="22794E74"/>
    <w:rsid w:val="22AF6B26"/>
    <w:rsid w:val="22BB723B"/>
    <w:rsid w:val="22C87E24"/>
    <w:rsid w:val="22C95DFC"/>
    <w:rsid w:val="22EE06E2"/>
    <w:rsid w:val="22F84FC6"/>
    <w:rsid w:val="22FD3CF7"/>
    <w:rsid w:val="23172886"/>
    <w:rsid w:val="23250B58"/>
    <w:rsid w:val="23411E36"/>
    <w:rsid w:val="234D0B5D"/>
    <w:rsid w:val="235C6C70"/>
    <w:rsid w:val="23614286"/>
    <w:rsid w:val="23CC5B62"/>
    <w:rsid w:val="23CD510E"/>
    <w:rsid w:val="23F816D9"/>
    <w:rsid w:val="24170DE9"/>
    <w:rsid w:val="243472A5"/>
    <w:rsid w:val="2440076D"/>
    <w:rsid w:val="24A563F4"/>
    <w:rsid w:val="24B228BF"/>
    <w:rsid w:val="24C15199"/>
    <w:rsid w:val="24CE288D"/>
    <w:rsid w:val="24EF7670"/>
    <w:rsid w:val="24F46A34"/>
    <w:rsid w:val="25034EC9"/>
    <w:rsid w:val="251946ED"/>
    <w:rsid w:val="255D319E"/>
    <w:rsid w:val="25777D91"/>
    <w:rsid w:val="25781413"/>
    <w:rsid w:val="257858B7"/>
    <w:rsid w:val="257E5B91"/>
    <w:rsid w:val="258506D6"/>
    <w:rsid w:val="258B383C"/>
    <w:rsid w:val="259455FA"/>
    <w:rsid w:val="259719F3"/>
    <w:rsid w:val="25AB17E9"/>
    <w:rsid w:val="25AD5EB4"/>
    <w:rsid w:val="25BF5294"/>
    <w:rsid w:val="25C2759F"/>
    <w:rsid w:val="25C63DCF"/>
    <w:rsid w:val="25C74149"/>
    <w:rsid w:val="25C859CD"/>
    <w:rsid w:val="25DC7BF4"/>
    <w:rsid w:val="25DE267C"/>
    <w:rsid w:val="25E46AA9"/>
    <w:rsid w:val="25E66CC5"/>
    <w:rsid w:val="25FA62CC"/>
    <w:rsid w:val="26143832"/>
    <w:rsid w:val="262275D1"/>
    <w:rsid w:val="263712CE"/>
    <w:rsid w:val="264B4D7A"/>
    <w:rsid w:val="264D6D44"/>
    <w:rsid w:val="26644EA7"/>
    <w:rsid w:val="266A3452"/>
    <w:rsid w:val="26977FBF"/>
    <w:rsid w:val="26AF355A"/>
    <w:rsid w:val="26B50445"/>
    <w:rsid w:val="26CD1C32"/>
    <w:rsid w:val="26DA55FB"/>
    <w:rsid w:val="26DC11F6"/>
    <w:rsid w:val="26EC191F"/>
    <w:rsid w:val="26F251F5"/>
    <w:rsid w:val="270C62B7"/>
    <w:rsid w:val="271E5FEA"/>
    <w:rsid w:val="272F7095"/>
    <w:rsid w:val="276B56D3"/>
    <w:rsid w:val="276E687B"/>
    <w:rsid w:val="277125BE"/>
    <w:rsid w:val="27802801"/>
    <w:rsid w:val="278A123C"/>
    <w:rsid w:val="279F537D"/>
    <w:rsid w:val="27CB7F20"/>
    <w:rsid w:val="27D52B4D"/>
    <w:rsid w:val="27D843EB"/>
    <w:rsid w:val="27EE00B2"/>
    <w:rsid w:val="27FC457D"/>
    <w:rsid w:val="2802590C"/>
    <w:rsid w:val="280451E0"/>
    <w:rsid w:val="280E7BD2"/>
    <w:rsid w:val="28153891"/>
    <w:rsid w:val="28177609"/>
    <w:rsid w:val="281C077C"/>
    <w:rsid w:val="28245427"/>
    <w:rsid w:val="28247630"/>
    <w:rsid w:val="282615FA"/>
    <w:rsid w:val="283E4B96"/>
    <w:rsid w:val="28414686"/>
    <w:rsid w:val="2849353B"/>
    <w:rsid w:val="284D6B87"/>
    <w:rsid w:val="28550131"/>
    <w:rsid w:val="28612632"/>
    <w:rsid w:val="286D6F11"/>
    <w:rsid w:val="28757E8C"/>
    <w:rsid w:val="287E4F92"/>
    <w:rsid w:val="28887BBF"/>
    <w:rsid w:val="28AB1AFF"/>
    <w:rsid w:val="28CB21A2"/>
    <w:rsid w:val="28D472A8"/>
    <w:rsid w:val="28E62B38"/>
    <w:rsid w:val="28F96D0F"/>
    <w:rsid w:val="290B7A2E"/>
    <w:rsid w:val="292A6EC8"/>
    <w:rsid w:val="293B10D5"/>
    <w:rsid w:val="2944442E"/>
    <w:rsid w:val="294550C5"/>
    <w:rsid w:val="29493E9D"/>
    <w:rsid w:val="294D2BB7"/>
    <w:rsid w:val="294F2293"/>
    <w:rsid w:val="29606D8E"/>
    <w:rsid w:val="2964062C"/>
    <w:rsid w:val="29787C34"/>
    <w:rsid w:val="29927747"/>
    <w:rsid w:val="299B43C7"/>
    <w:rsid w:val="29A749BD"/>
    <w:rsid w:val="29C9048F"/>
    <w:rsid w:val="29CB06AB"/>
    <w:rsid w:val="2A0108B7"/>
    <w:rsid w:val="2A04596B"/>
    <w:rsid w:val="2A0E67EA"/>
    <w:rsid w:val="2A133E00"/>
    <w:rsid w:val="2A1536D4"/>
    <w:rsid w:val="2A1A0CEB"/>
    <w:rsid w:val="2A202079"/>
    <w:rsid w:val="2A30050E"/>
    <w:rsid w:val="2A3B6D1B"/>
    <w:rsid w:val="2A411154"/>
    <w:rsid w:val="2A506E02"/>
    <w:rsid w:val="2A526D38"/>
    <w:rsid w:val="2A88659C"/>
    <w:rsid w:val="2A954815"/>
    <w:rsid w:val="2AD0584D"/>
    <w:rsid w:val="2AEE4B12"/>
    <w:rsid w:val="2AFE685E"/>
    <w:rsid w:val="2B027774"/>
    <w:rsid w:val="2B0D0850"/>
    <w:rsid w:val="2B116592"/>
    <w:rsid w:val="2B122D8D"/>
    <w:rsid w:val="2B193698"/>
    <w:rsid w:val="2B1C4F36"/>
    <w:rsid w:val="2B2160A9"/>
    <w:rsid w:val="2B3202B6"/>
    <w:rsid w:val="2B361B54"/>
    <w:rsid w:val="2B367DA6"/>
    <w:rsid w:val="2B400C25"/>
    <w:rsid w:val="2B4714A0"/>
    <w:rsid w:val="2B606BD1"/>
    <w:rsid w:val="2B6C5576"/>
    <w:rsid w:val="2B717030"/>
    <w:rsid w:val="2B74267D"/>
    <w:rsid w:val="2B93739B"/>
    <w:rsid w:val="2B994370"/>
    <w:rsid w:val="2BA50A88"/>
    <w:rsid w:val="2BB60EE7"/>
    <w:rsid w:val="2BC034DB"/>
    <w:rsid w:val="2BD819BD"/>
    <w:rsid w:val="2BEF4305"/>
    <w:rsid w:val="2C077995"/>
    <w:rsid w:val="2C235EB7"/>
    <w:rsid w:val="2C2B5431"/>
    <w:rsid w:val="2C3C763E"/>
    <w:rsid w:val="2C610E53"/>
    <w:rsid w:val="2C646B95"/>
    <w:rsid w:val="2C6646BB"/>
    <w:rsid w:val="2C83526D"/>
    <w:rsid w:val="2C9A0B92"/>
    <w:rsid w:val="2C9F3729"/>
    <w:rsid w:val="2CB73169"/>
    <w:rsid w:val="2CE47D2A"/>
    <w:rsid w:val="2CED0939"/>
    <w:rsid w:val="2CED6B8B"/>
    <w:rsid w:val="2CF27CFD"/>
    <w:rsid w:val="2CFA3055"/>
    <w:rsid w:val="2D012636"/>
    <w:rsid w:val="2D016C6B"/>
    <w:rsid w:val="2D0B5263"/>
    <w:rsid w:val="2D0D2D89"/>
    <w:rsid w:val="2D2B1461"/>
    <w:rsid w:val="2D2D1B91"/>
    <w:rsid w:val="2D404F0C"/>
    <w:rsid w:val="2D5B3AF4"/>
    <w:rsid w:val="2D8D7A26"/>
    <w:rsid w:val="2DA2135E"/>
    <w:rsid w:val="2DB9081B"/>
    <w:rsid w:val="2DCB70CE"/>
    <w:rsid w:val="2DCE2518"/>
    <w:rsid w:val="2DD218DC"/>
    <w:rsid w:val="2DDB69E3"/>
    <w:rsid w:val="2DEF7457"/>
    <w:rsid w:val="2E045F3A"/>
    <w:rsid w:val="2E093AD9"/>
    <w:rsid w:val="2E1B451A"/>
    <w:rsid w:val="2E2A34C6"/>
    <w:rsid w:val="2E426A62"/>
    <w:rsid w:val="2E6C48D9"/>
    <w:rsid w:val="2E786928"/>
    <w:rsid w:val="2E8F4F19"/>
    <w:rsid w:val="2EA63495"/>
    <w:rsid w:val="2EB57234"/>
    <w:rsid w:val="2ED7364E"/>
    <w:rsid w:val="2EF35FAE"/>
    <w:rsid w:val="2EFA6A37"/>
    <w:rsid w:val="2F167CA6"/>
    <w:rsid w:val="2F196260"/>
    <w:rsid w:val="2F1A353B"/>
    <w:rsid w:val="2F452CAE"/>
    <w:rsid w:val="2F542EF1"/>
    <w:rsid w:val="2F5D70AC"/>
    <w:rsid w:val="2F8B61E7"/>
    <w:rsid w:val="2F954527"/>
    <w:rsid w:val="2FA36C75"/>
    <w:rsid w:val="2FA84FEB"/>
    <w:rsid w:val="2FBE036A"/>
    <w:rsid w:val="302428C3"/>
    <w:rsid w:val="30297EDA"/>
    <w:rsid w:val="302C5C1C"/>
    <w:rsid w:val="303074BA"/>
    <w:rsid w:val="30405223"/>
    <w:rsid w:val="306929CC"/>
    <w:rsid w:val="306B405E"/>
    <w:rsid w:val="306C7DC6"/>
    <w:rsid w:val="307F1BC0"/>
    <w:rsid w:val="30832D34"/>
    <w:rsid w:val="30872E52"/>
    <w:rsid w:val="308C4B30"/>
    <w:rsid w:val="30A75681"/>
    <w:rsid w:val="30C714A1"/>
    <w:rsid w:val="30F41419"/>
    <w:rsid w:val="30FC114A"/>
    <w:rsid w:val="310D77FB"/>
    <w:rsid w:val="310E0E7D"/>
    <w:rsid w:val="314A68DF"/>
    <w:rsid w:val="31523460"/>
    <w:rsid w:val="315620B8"/>
    <w:rsid w:val="316311C9"/>
    <w:rsid w:val="317F1D7B"/>
    <w:rsid w:val="31841AC8"/>
    <w:rsid w:val="31A737AC"/>
    <w:rsid w:val="31A87524"/>
    <w:rsid w:val="31B00187"/>
    <w:rsid w:val="31CB6D6E"/>
    <w:rsid w:val="31D200FD"/>
    <w:rsid w:val="31E64732"/>
    <w:rsid w:val="31EA5447"/>
    <w:rsid w:val="32140715"/>
    <w:rsid w:val="32230959"/>
    <w:rsid w:val="324059AE"/>
    <w:rsid w:val="326351F9"/>
    <w:rsid w:val="327D078A"/>
    <w:rsid w:val="3284589B"/>
    <w:rsid w:val="32933D30"/>
    <w:rsid w:val="32B31CDC"/>
    <w:rsid w:val="32C75788"/>
    <w:rsid w:val="32CC7242"/>
    <w:rsid w:val="32E165BD"/>
    <w:rsid w:val="32FA3DAF"/>
    <w:rsid w:val="334F40FB"/>
    <w:rsid w:val="33641229"/>
    <w:rsid w:val="337B243F"/>
    <w:rsid w:val="338673F1"/>
    <w:rsid w:val="339D48A3"/>
    <w:rsid w:val="33BF2903"/>
    <w:rsid w:val="33CF6FEA"/>
    <w:rsid w:val="33EA3E24"/>
    <w:rsid w:val="33F64577"/>
    <w:rsid w:val="33FB1B8D"/>
    <w:rsid w:val="34056568"/>
    <w:rsid w:val="34525525"/>
    <w:rsid w:val="346040E6"/>
    <w:rsid w:val="34945B3E"/>
    <w:rsid w:val="34A0589E"/>
    <w:rsid w:val="34A67F96"/>
    <w:rsid w:val="34B0508B"/>
    <w:rsid w:val="34B1049E"/>
    <w:rsid w:val="34DF440A"/>
    <w:rsid w:val="34E502E4"/>
    <w:rsid w:val="34F605A6"/>
    <w:rsid w:val="350031D3"/>
    <w:rsid w:val="350A581B"/>
    <w:rsid w:val="352275ED"/>
    <w:rsid w:val="352E7D40"/>
    <w:rsid w:val="35426A60"/>
    <w:rsid w:val="35571045"/>
    <w:rsid w:val="35586B6B"/>
    <w:rsid w:val="355A1520"/>
    <w:rsid w:val="355E7319"/>
    <w:rsid w:val="35690D78"/>
    <w:rsid w:val="35CE6E2D"/>
    <w:rsid w:val="35DB7EC8"/>
    <w:rsid w:val="35EE2046"/>
    <w:rsid w:val="35F41640"/>
    <w:rsid w:val="362A0508"/>
    <w:rsid w:val="36394BEF"/>
    <w:rsid w:val="364652E8"/>
    <w:rsid w:val="36603F29"/>
    <w:rsid w:val="36653C36"/>
    <w:rsid w:val="366A4DA8"/>
    <w:rsid w:val="36897924"/>
    <w:rsid w:val="369116D0"/>
    <w:rsid w:val="36941E25"/>
    <w:rsid w:val="3699568D"/>
    <w:rsid w:val="369F7E9A"/>
    <w:rsid w:val="36B67FED"/>
    <w:rsid w:val="36C46BAE"/>
    <w:rsid w:val="36CC15BF"/>
    <w:rsid w:val="36D3294D"/>
    <w:rsid w:val="370E607B"/>
    <w:rsid w:val="37112969"/>
    <w:rsid w:val="37180CA8"/>
    <w:rsid w:val="372907BF"/>
    <w:rsid w:val="37294C63"/>
    <w:rsid w:val="373830F8"/>
    <w:rsid w:val="374D6BA3"/>
    <w:rsid w:val="375647D6"/>
    <w:rsid w:val="377A726D"/>
    <w:rsid w:val="377E4FAF"/>
    <w:rsid w:val="37893954"/>
    <w:rsid w:val="37971BCD"/>
    <w:rsid w:val="37A75B88"/>
    <w:rsid w:val="37D921E5"/>
    <w:rsid w:val="37DD10EA"/>
    <w:rsid w:val="37EE75F4"/>
    <w:rsid w:val="37F92887"/>
    <w:rsid w:val="37FC2378"/>
    <w:rsid w:val="380C2A2C"/>
    <w:rsid w:val="384B3FA8"/>
    <w:rsid w:val="3854528C"/>
    <w:rsid w:val="38565141"/>
    <w:rsid w:val="38602906"/>
    <w:rsid w:val="389F176C"/>
    <w:rsid w:val="38A00F55"/>
    <w:rsid w:val="38B95B73"/>
    <w:rsid w:val="38C509BB"/>
    <w:rsid w:val="38CF183A"/>
    <w:rsid w:val="38E30E42"/>
    <w:rsid w:val="38EF5A38"/>
    <w:rsid w:val="38F33028"/>
    <w:rsid w:val="39036257"/>
    <w:rsid w:val="390F1199"/>
    <w:rsid w:val="39367F12"/>
    <w:rsid w:val="394538AA"/>
    <w:rsid w:val="39495149"/>
    <w:rsid w:val="394D5E49"/>
    <w:rsid w:val="39553AED"/>
    <w:rsid w:val="3986014B"/>
    <w:rsid w:val="39993E51"/>
    <w:rsid w:val="39AD02F7"/>
    <w:rsid w:val="39B5458C"/>
    <w:rsid w:val="39B60304"/>
    <w:rsid w:val="39DA2245"/>
    <w:rsid w:val="39DA3FF3"/>
    <w:rsid w:val="39DF3CFF"/>
    <w:rsid w:val="39E81075"/>
    <w:rsid w:val="39F71049"/>
    <w:rsid w:val="3A013C75"/>
    <w:rsid w:val="3A12378C"/>
    <w:rsid w:val="3A2B6F44"/>
    <w:rsid w:val="3A322081"/>
    <w:rsid w:val="3A331955"/>
    <w:rsid w:val="3A361B71"/>
    <w:rsid w:val="3A456E52"/>
    <w:rsid w:val="3A463AB7"/>
    <w:rsid w:val="3A4B6C9E"/>
    <w:rsid w:val="3A631110"/>
    <w:rsid w:val="3A7C32FC"/>
    <w:rsid w:val="3A854074"/>
    <w:rsid w:val="3AC70A1B"/>
    <w:rsid w:val="3AD66EB0"/>
    <w:rsid w:val="3AEA64B7"/>
    <w:rsid w:val="3AF92B9E"/>
    <w:rsid w:val="3AFA0DF0"/>
    <w:rsid w:val="3B236ECD"/>
    <w:rsid w:val="3B337E5E"/>
    <w:rsid w:val="3B343BD6"/>
    <w:rsid w:val="3B3C653D"/>
    <w:rsid w:val="3B497682"/>
    <w:rsid w:val="3B49769C"/>
    <w:rsid w:val="3B53405D"/>
    <w:rsid w:val="3B691AD2"/>
    <w:rsid w:val="3B6E533A"/>
    <w:rsid w:val="3B7F0C6A"/>
    <w:rsid w:val="3B7F30A4"/>
    <w:rsid w:val="3B8561E0"/>
    <w:rsid w:val="3B8B1A48"/>
    <w:rsid w:val="3B9A415A"/>
    <w:rsid w:val="3BA2244B"/>
    <w:rsid w:val="3BB07701"/>
    <w:rsid w:val="3BB2349B"/>
    <w:rsid w:val="3BB865B6"/>
    <w:rsid w:val="3BBF7944"/>
    <w:rsid w:val="3BC82C9D"/>
    <w:rsid w:val="3BEE1F9C"/>
    <w:rsid w:val="3C0D4B53"/>
    <w:rsid w:val="3C2105FF"/>
    <w:rsid w:val="3C372D23"/>
    <w:rsid w:val="3C447E49"/>
    <w:rsid w:val="3C4B380F"/>
    <w:rsid w:val="3C4F6F1A"/>
    <w:rsid w:val="3C511E12"/>
    <w:rsid w:val="3C5B6911"/>
    <w:rsid w:val="3C5F2ED5"/>
    <w:rsid w:val="3C97441D"/>
    <w:rsid w:val="3CA408E8"/>
    <w:rsid w:val="3CA64660"/>
    <w:rsid w:val="3CBD0327"/>
    <w:rsid w:val="3CC14C1F"/>
    <w:rsid w:val="3CD0758C"/>
    <w:rsid w:val="3CD11A7A"/>
    <w:rsid w:val="3CDE6FFD"/>
    <w:rsid w:val="3CE55188"/>
    <w:rsid w:val="3CF56BC9"/>
    <w:rsid w:val="3D0A4BEF"/>
    <w:rsid w:val="3D1F37E4"/>
    <w:rsid w:val="3D211F38"/>
    <w:rsid w:val="3D235CB1"/>
    <w:rsid w:val="3D31113A"/>
    <w:rsid w:val="3D37175C"/>
    <w:rsid w:val="3D695DB9"/>
    <w:rsid w:val="3D762284"/>
    <w:rsid w:val="3D7D3613"/>
    <w:rsid w:val="3D864BBD"/>
    <w:rsid w:val="3DDD67A7"/>
    <w:rsid w:val="3DE23DBE"/>
    <w:rsid w:val="3E09294E"/>
    <w:rsid w:val="3E1A70B4"/>
    <w:rsid w:val="3E330175"/>
    <w:rsid w:val="3E655E3A"/>
    <w:rsid w:val="3E667746"/>
    <w:rsid w:val="3E885B96"/>
    <w:rsid w:val="3E8E35FE"/>
    <w:rsid w:val="3EB43064"/>
    <w:rsid w:val="3EB92D70"/>
    <w:rsid w:val="3EBA7B5C"/>
    <w:rsid w:val="3EBD4B88"/>
    <w:rsid w:val="3ECD4126"/>
    <w:rsid w:val="3EF1250A"/>
    <w:rsid w:val="3F0C66A8"/>
    <w:rsid w:val="3F163D1F"/>
    <w:rsid w:val="3F281CA4"/>
    <w:rsid w:val="3F2B709E"/>
    <w:rsid w:val="3F4500E9"/>
    <w:rsid w:val="3F450160"/>
    <w:rsid w:val="3F4C14EF"/>
    <w:rsid w:val="3F692622"/>
    <w:rsid w:val="3F7153F9"/>
    <w:rsid w:val="3F720A50"/>
    <w:rsid w:val="3F917849"/>
    <w:rsid w:val="3F9B0612"/>
    <w:rsid w:val="3F9D1D4A"/>
    <w:rsid w:val="3FA241A2"/>
    <w:rsid w:val="3FAA4467"/>
    <w:rsid w:val="3FAC01DF"/>
    <w:rsid w:val="3FB4343D"/>
    <w:rsid w:val="3FD85478"/>
    <w:rsid w:val="40155D85"/>
    <w:rsid w:val="403A57EB"/>
    <w:rsid w:val="404B3E9C"/>
    <w:rsid w:val="4061546E"/>
    <w:rsid w:val="4079067E"/>
    <w:rsid w:val="4093139F"/>
    <w:rsid w:val="409343AF"/>
    <w:rsid w:val="409A0980"/>
    <w:rsid w:val="40AC655D"/>
    <w:rsid w:val="40BE01CA"/>
    <w:rsid w:val="40D75730"/>
    <w:rsid w:val="40E63BC5"/>
    <w:rsid w:val="40FA4F7A"/>
    <w:rsid w:val="41362456"/>
    <w:rsid w:val="413C37E5"/>
    <w:rsid w:val="41487F61"/>
    <w:rsid w:val="414A5F02"/>
    <w:rsid w:val="415648A7"/>
    <w:rsid w:val="415A71E1"/>
    <w:rsid w:val="41630D72"/>
    <w:rsid w:val="416D399E"/>
    <w:rsid w:val="419B675D"/>
    <w:rsid w:val="419F484B"/>
    <w:rsid w:val="41AA69A0"/>
    <w:rsid w:val="41B15F81"/>
    <w:rsid w:val="41C31810"/>
    <w:rsid w:val="41E225DE"/>
    <w:rsid w:val="41F8595E"/>
    <w:rsid w:val="420C600C"/>
    <w:rsid w:val="42100EF9"/>
    <w:rsid w:val="4214206C"/>
    <w:rsid w:val="421B164C"/>
    <w:rsid w:val="422246E7"/>
    <w:rsid w:val="422B5D33"/>
    <w:rsid w:val="42312D26"/>
    <w:rsid w:val="42454372"/>
    <w:rsid w:val="42473223"/>
    <w:rsid w:val="42573796"/>
    <w:rsid w:val="426E5C20"/>
    <w:rsid w:val="42786A9F"/>
    <w:rsid w:val="428561C6"/>
    <w:rsid w:val="428B67D2"/>
    <w:rsid w:val="428E0070"/>
    <w:rsid w:val="42943344"/>
    <w:rsid w:val="42975177"/>
    <w:rsid w:val="42C615B8"/>
    <w:rsid w:val="42D77C69"/>
    <w:rsid w:val="42FC322C"/>
    <w:rsid w:val="43046BE3"/>
    <w:rsid w:val="43171E14"/>
    <w:rsid w:val="4329542D"/>
    <w:rsid w:val="43484F88"/>
    <w:rsid w:val="435C1F1C"/>
    <w:rsid w:val="437216C9"/>
    <w:rsid w:val="4385588B"/>
    <w:rsid w:val="4387343D"/>
    <w:rsid w:val="43882D11"/>
    <w:rsid w:val="43884ABF"/>
    <w:rsid w:val="43911BC6"/>
    <w:rsid w:val="43972F54"/>
    <w:rsid w:val="439E42E3"/>
    <w:rsid w:val="43A124B3"/>
    <w:rsid w:val="43A538C3"/>
    <w:rsid w:val="43BB4E95"/>
    <w:rsid w:val="43C55D14"/>
    <w:rsid w:val="43D85A47"/>
    <w:rsid w:val="43DE0B83"/>
    <w:rsid w:val="43E97C54"/>
    <w:rsid w:val="43F839F3"/>
    <w:rsid w:val="44022AC4"/>
    <w:rsid w:val="44044A8E"/>
    <w:rsid w:val="44236B1E"/>
    <w:rsid w:val="44244662"/>
    <w:rsid w:val="444158E6"/>
    <w:rsid w:val="44564BBE"/>
    <w:rsid w:val="44641089"/>
    <w:rsid w:val="446948F1"/>
    <w:rsid w:val="44C11AA6"/>
    <w:rsid w:val="44D04970"/>
    <w:rsid w:val="44D426B2"/>
    <w:rsid w:val="44E346A3"/>
    <w:rsid w:val="44E67CEF"/>
    <w:rsid w:val="44EE4DF6"/>
    <w:rsid w:val="44F3240C"/>
    <w:rsid w:val="45110AAC"/>
    <w:rsid w:val="45123CB8"/>
    <w:rsid w:val="451A208F"/>
    <w:rsid w:val="45220F6C"/>
    <w:rsid w:val="45350C77"/>
    <w:rsid w:val="45415D40"/>
    <w:rsid w:val="45435142"/>
    <w:rsid w:val="45451DF1"/>
    <w:rsid w:val="45490111"/>
    <w:rsid w:val="455530C7"/>
    <w:rsid w:val="45570447"/>
    <w:rsid w:val="4565330A"/>
    <w:rsid w:val="45682DFA"/>
    <w:rsid w:val="45723C79"/>
    <w:rsid w:val="457378F7"/>
    <w:rsid w:val="45DB537A"/>
    <w:rsid w:val="45DE130F"/>
    <w:rsid w:val="45E00BE3"/>
    <w:rsid w:val="45EF3280"/>
    <w:rsid w:val="45F43872"/>
    <w:rsid w:val="460D5750"/>
    <w:rsid w:val="46113492"/>
    <w:rsid w:val="461B3AA5"/>
    <w:rsid w:val="462C5BD6"/>
    <w:rsid w:val="462E5DF2"/>
    <w:rsid w:val="46362EF9"/>
    <w:rsid w:val="464C0026"/>
    <w:rsid w:val="46590D6C"/>
    <w:rsid w:val="465E4A23"/>
    <w:rsid w:val="4672304E"/>
    <w:rsid w:val="46843C64"/>
    <w:rsid w:val="469F45FA"/>
    <w:rsid w:val="46A460B4"/>
    <w:rsid w:val="46AF05B5"/>
    <w:rsid w:val="46D30747"/>
    <w:rsid w:val="46E14C12"/>
    <w:rsid w:val="470D3C59"/>
    <w:rsid w:val="472B1462"/>
    <w:rsid w:val="473B0E1B"/>
    <w:rsid w:val="473F27FF"/>
    <w:rsid w:val="476017C6"/>
    <w:rsid w:val="476B0980"/>
    <w:rsid w:val="47745A86"/>
    <w:rsid w:val="477A0BC3"/>
    <w:rsid w:val="47811F51"/>
    <w:rsid w:val="47833F1C"/>
    <w:rsid w:val="478E2D76"/>
    <w:rsid w:val="47A65E5C"/>
    <w:rsid w:val="47AB6FCE"/>
    <w:rsid w:val="47B71E17"/>
    <w:rsid w:val="47E67FE2"/>
    <w:rsid w:val="47F0014A"/>
    <w:rsid w:val="481903DC"/>
    <w:rsid w:val="486C0E54"/>
    <w:rsid w:val="48740AF8"/>
    <w:rsid w:val="487B247F"/>
    <w:rsid w:val="48907EB9"/>
    <w:rsid w:val="48A04659"/>
    <w:rsid w:val="48B56357"/>
    <w:rsid w:val="48B955C2"/>
    <w:rsid w:val="48B9571B"/>
    <w:rsid w:val="48BA396D"/>
    <w:rsid w:val="48F30C2D"/>
    <w:rsid w:val="48F86243"/>
    <w:rsid w:val="490177EE"/>
    <w:rsid w:val="49025314"/>
    <w:rsid w:val="490270C2"/>
    <w:rsid w:val="490D6193"/>
    <w:rsid w:val="490E1F0B"/>
    <w:rsid w:val="492B090F"/>
    <w:rsid w:val="4932003B"/>
    <w:rsid w:val="49382AE4"/>
    <w:rsid w:val="49417BEA"/>
    <w:rsid w:val="4968786D"/>
    <w:rsid w:val="496F0BFB"/>
    <w:rsid w:val="49734B65"/>
    <w:rsid w:val="49843F7B"/>
    <w:rsid w:val="498E0956"/>
    <w:rsid w:val="49911DC2"/>
    <w:rsid w:val="499A718B"/>
    <w:rsid w:val="49B52386"/>
    <w:rsid w:val="49DF11B1"/>
    <w:rsid w:val="49EC3FFA"/>
    <w:rsid w:val="49F72751"/>
    <w:rsid w:val="4A1B668D"/>
    <w:rsid w:val="4A1E3C56"/>
    <w:rsid w:val="4A1E617D"/>
    <w:rsid w:val="4A280647"/>
    <w:rsid w:val="4A3B69AF"/>
    <w:rsid w:val="4A421E6C"/>
    <w:rsid w:val="4A6F1AE3"/>
    <w:rsid w:val="4A730023"/>
    <w:rsid w:val="4A8833F8"/>
    <w:rsid w:val="4A8A619F"/>
    <w:rsid w:val="4AA2290B"/>
    <w:rsid w:val="4AD46AF0"/>
    <w:rsid w:val="4ADF76BB"/>
    <w:rsid w:val="4AE1272C"/>
    <w:rsid w:val="4AF64A04"/>
    <w:rsid w:val="4B125FF6"/>
    <w:rsid w:val="4B2B2900"/>
    <w:rsid w:val="4B3F45FD"/>
    <w:rsid w:val="4B4614E8"/>
    <w:rsid w:val="4B6C4CC7"/>
    <w:rsid w:val="4B7D0C82"/>
    <w:rsid w:val="4B8057E5"/>
    <w:rsid w:val="4B893ACB"/>
    <w:rsid w:val="4B8B339F"/>
    <w:rsid w:val="4B92472D"/>
    <w:rsid w:val="4BA97CC9"/>
    <w:rsid w:val="4BD016F9"/>
    <w:rsid w:val="4BF47196"/>
    <w:rsid w:val="4C0575F5"/>
    <w:rsid w:val="4C0D46FC"/>
    <w:rsid w:val="4C231829"/>
    <w:rsid w:val="4C2B503E"/>
    <w:rsid w:val="4C312198"/>
    <w:rsid w:val="4C3253A4"/>
    <w:rsid w:val="4C481290"/>
    <w:rsid w:val="4C5C4D3B"/>
    <w:rsid w:val="4C63273B"/>
    <w:rsid w:val="4C787DC7"/>
    <w:rsid w:val="4C8449BE"/>
    <w:rsid w:val="4C987D10"/>
    <w:rsid w:val="4CA94424"/>
    <w:rsid w:val="4CAA3CF8"/>
    <w:rsid w:val="4CBE77A4"/>
    <w:rsid w:val="4CC56D84"/>
    <w:rsid w:val="4CD62D3F"/>
    <w:rsid w:val="4CE0771A"/>
    <w:rsid w:val="4CF051AC"/>
    <w:rsid w:val="4D057181"/>
    <w:rsid w:val="4D0C050F"/>
    <w:rsid w:val="4D275349"/>
    <w:rsid w:val="4D331F40"/>
    <w:rsid w:val="4D3B0DF4"/>
    <w:rsid w:val="4D7F6F33"/>
    <w:rsid w:val="4D8409ED"/>
    <w:rsid w:val="4D9549A9"/>
    <w:rsid w:val="4D9D16E6"/>
    <w:rsid w:val="4DB017E2"/>
    <w:rsid w:val="4DB82445"/>
    <w:rsid w:val="4DC25072"/>
    <w:rsid w:val="4DC96400"/>
    <w:rsid w:val="4DE106CB"/>
    <w:rsid w:val="4DEB281B"/>
    <w:rsid w:val="4E10402F"/>
    <w:rsid w:val="4E121B55"/>
    <w:rsid w:val="4E2B2C17"/>
    <w:rsid w:val="4E505C68"/>
    <w:rsid w:val="4E573A0C"/>
    <w:rsid w:val="4E5C1022"/>
    <w:rsid w:val="4E760336"/>
    <w:rsid w:val="4E7C16C5"/>
    <w:rsid w:val="4EAC6FD6"/>
    <w:rsid w:val="4EB250E6"/>
    <w:rsid w:val="4EBE1CDD"/>
    <w:rsid w:val="4EC05A55"/>
    <w:rsid w:val="4ECA0682"/>
    <w:rsid w:val="4ECD0674"/>
    <w:rsid w:val="4EE47996"/>
    <w:rsid w:val="4EE74D90"/>
    <w:rsid w:val="4EEF633A"/>
    <w:rsid w:val="4EFB083B"/>
    <w:rsid w:val="4F1D6A04"/>
    <w:rsid w:val="4F2935FA"/>
    <w:rsid w:val="4F436D2D"/>
    <w:rsid w:val="4F495A4B"/>
    <w:rsid w:val="4F587A3C"/>
    <w:rsid w:val="4F6C6BDA"/>
    <w:rsid w:val="4F7E394E"/>
    <w:rsid w:val="4F7F2029"/>
    <w:rsid w:val="4F870321"/>
    <w:rsid w:val="4F9071D6"/>
    <w:rsid w:val="4F9547EC"/>
    <w:rsid w:val="4FE6773D"/>
    <w:rsid w:val="4FF43AC5"/>
    <w:rsid w:val="4FF77255"/>
    <w:rsid w:val="4FFE4A87"/>
    <w:rsid w:val="50000824"/>
    <w:rsid w:val="50106568"/>
    <w:rsid w:val="501222E0"/>
    <w:rsid w:val="501F0559"/>
    <w:rsid w:val="5023629C"/>
    <w:rsid w:val="503A5393"/>
    <w:rsid w:val="503F29AA"/>
    <w:rsid w:val="5043249A"/>
    <w:rsid w:val="505521CD"/>
    <w:rsid w:val="50827466"/>
    <w:rsid w:val="50A078EC"/>
    <w:rsid w:val="50B679A2"/>
    <w:rsid w:val="50D21A70"/>
    <w:rsid w:val="50D457E8"/>
    <w:rsid w:val="50D75B0C"/>
    <w:rsid w:val="50FB4B23"/>
    <w:rsid w:val="51163F32"/>
    <w:rsid w:val="51183927"/>
    <w:rsid w:val="51226553"/>
    <w:rsid w:val="514E7348"/>
    <w:rsid w:val="51516E38"/>
    <w:rsid w:val="5180327A"/>
    <w:rsid w:val="519A433C"/>
    <w:rsid w:val="51AE366B"/>
    <w:rsid w:val="51D823BF"/>
    <w:rsid w:val="51DF0427"/>
    <w:rsid w:val="51E67581"/>
    <w:rsid w:val="51F83758"/>
    <w:rsid w:val="520B3E30"/>
    <w:rsid w:val="521A547C"/>
    <w:rsid w:val="521F6F37"/>
    <w:rsid w:val="5246001F"/>
    <w:rsid w:val="52972F71"/>
    <w:rsid w:val="529F5E1B"/>
    <w:rsid w:val="52B0193D"/>
    <w:rsid w:val="52B633F7"/>
    <w:rsid w:val="52BC29D7"/>
    <w:rsid w:val="52C8312A"/>
    <w:rsid w:val="52DB5A27"/>
    <w:rsid w:val="52DD4E28"/>
    <w:rsid w:val="52DE4AD3"/>
    <w:rsid w:val="52E70521"/>
    <w:rsid w:val="52FB52AE"/>
    <w:rsid w:val="52FE08FA"/>
    <w:rsid w:val="531F04EC"/>
    <w:rsid w:val="532145E9"/>
    <w:rsid w:val="53220A8C"/>
    <w:rsid w:val="532E2213"/>
    <w:rsid w:val="533026AA"/>
    <w:rsid w:val="53487DC7"/>
    <w:rsid w:val="534C78B7"/>
    <w:rsid w:val="534D3630"/>
    <w:rsid w:val="53807561"/>
    <w:rsid w:val="5382152B"/>
    <w:rsid w:val="538708F0"/>
    <w:rsid w:val="538E7D0E"/>
    <w:rsid w:val="53A56FC8"/>
    <w:rsid w:val="53B4545D"/>
    <w:rsid w:val="53B8319F"/>
    <w:rsid w:val="53DF24DA"/>
    <w:rsid w:val="53F65A75"/>
    <w:rsid w:val="53FB308C"/>
    <w:rsid w:val="5416466D"/>
    <w:rsid w:val="541A1764"/>
    <w:rsid w:val="542F214A"/>
    <w:rsid w:val="54302D35"/>
    <w:rsid w:val="54316AAD"/>
    <w:rsid w:val="543640C4"/>
    <w:rsid w:val="543A3BB4"/>
    <w:rsid w:val="54640C31"/>
    <w:rsid w:val="54661645"/>
    <w:rsid w:val="547F3CBD"/>
    <w:rsid w:val="54AA0D3A"/>
    <w:rsid w:val="54AB6860"/>
    <w:rsid w:val="54BB2F47"/>
    <w:rsid w:val="54BE216E"/>
    <w:rsid w:val="54BF40B9"/>
    <w:rsid w:val="54D73AF9"/>
    <w:rsid w:val="54D933CD"/>
    <w:rsid w:val="54DF37FA"/>
    <w:rsid w:val="550D2661"/>
    <w:rsid w:val="550F3292"/>
    <w:rsid w:val="552A3C28"/>
    <w:rsid w:val="55563AD1"/>
    <w:rsid w:val="555D2250"/>
    <w:rsid w:val="558722C8"/>
    <w:rsid w:val="55AC6D33"/>
    <w:rsid w:val="55AD03B6"/>
    <w:rsid w:val="55BD221A"/>
    <w:rsid w:val="55C027DF"/>
    <w:rsid w:val="55CE2806"/>
    <w:rsid w:val="55D63DB0"/>
    <w:rsid w:val="55DB3175"/>
    <w:rsid w:val="55EE4C56"/>
    <w:rsid w:val="55F61D5C"/>
    <w:rsid w:val="56051FA0"/>
    <w:rsid w:val="56222B52"/>
    <w:rsid w:val="562A1B91"/>
    <w:rsid w:val="562B40FC"/>
    <w:rsid w:val="562B5B9A"/>
    <w:rsid w:val="56331D5B"/>
    <w:rsid w:val="5637484F"/>
    <w:rsid w:val="5640122A"/>
    <w:rsid w:val="56570A4D"/>
    <w:rsid w:val="565E627F"/>
    <w:rsid w:val="56867F50"/>
    <w:rsid w:val="568A7075"/>
    <w:rsid w:val="56AB7BA5"/>
    <w:rsid w:val="56AF3861"/>
    <w:rsid w:val="56B85264"/>
    <w:rsid w:val="56CA56C3"/>
    <w:rsid w:val="56CF0F2B"/>
    <w:rsid w:val="56DC53F6"/>
    <w:rsid w:val="56F55B47"/>
    <w:rsid w:val="571406EC"/>
    <w:rsid w:val="5714693E"/>
    <w:rsid w:val="573A37A0"/>
    <w:rsid w:val="573F67D1"/>
    <w:rsid w:val="575C2093"/>
    <w:rsid w:val="576D604E"/>
    <w:rsid w:val="57706229"/>
    <w:rsid w:val="578C2978"/>
    <w:rsid w:val="57BE4AFC"/>
    <w:rsid w:val="57C17BF5"/>
    <w:rsid w:val="57C2639A"/>
    <w:rsid w:val="57CE11E3"/>
    <w:rsid w:val="57CF2865"/>
    <w:rsid w:val="57E07028"/>
    <w:rsid w:val="57E207EA"/>
    <w:rsid w:val="57EC78BB"/>
    <w:rsid w:val="57F549C2"/>
    <w:rsid w:val="580764A3"/>
    <w:rsid w:val="58260F8E"/>
    <w:rsid w:val="582C5F09"/>
    <w:rsid w:val="586C6306"/>
    <w:rsid w:val="58737694"/>
    <w:rsid w:val="587F072F"/>
    <w:rsid w:val="58BA1767"/>
    <w:rsid w:val="59215342"/>
    <w:rsid w:val="5928001D"/>
    <w:rsid w:val="592941F7"/>
    <w:rsid w:val="592A3C50"/>
    <w:rsid w:val="594026BD"/>
    <w:rsid w:val="59460076"/>
    <w:rsid w:val="59515D8A"/>
    <w:rsid w:val="595C637A"/>
    <w:rsid w:val="5960477C"/>
    <w:rsid w:val="596B66F6"/>
    <w:rsid w:val="596C2A61"/>
    <w:rsid w:val="596F6178"/>
    <w:rsid w:val="597E2795"/>
    <w:rsid w:val="59A5674B"/>
    <w:rsid w:val="59AD4E28"/>
    <w:rsid w:val="59BD150F"/>
    <w:rsid w:val="59BE0DE3"/>
    <w:rsid w:val="59C53F20"/>
    <w:rsid w:val="59D535F0"/>
    <w:rsid w:val="5A0228E9"/>
    <w:rsid w:val="5A146C55"/>
    <w:rsid w:val="5A151F73"/>
    <w:rsid w:val="5A582FE6"/>
    <w:rsid w:val="5AA77AC9"/>
    <w:rsid w:val="5AA91A93"/>
    <w:rsid w:val="5ABE4B07"/>
    <w:rsid w:val="5AC266B1"/>
    <w:rsid w:val="5AEE74A6"/>
    <w:rsid w:val="5AFA409D"/>
    <w:rsid w:val="5AFA5E4B"/>
    <w:rsid w:val="5B307ABF"/>
    <w:rsid w:val="5B321A89"/>
    <w:rsid w:val="5B32273E"/>
    <w:rsid w:val="5B353327"/>
    <w:rsid w:val="5B386973"/>
    <w:rsid w:val="5B4602DF"/>
    <w:rsid w:val="5B4A6DD2"/>
    <w:rsid w:val="5B55545B"/>
    <w:rsid w:val="5B57329D"/>
    <w:rsid w:val="5B6F6839"/>
    <w:rsid w:val="5B751975"/>
    <w:rsid w:val="5B765E19"/>
    <w:rsid w:val="5B8147BE"/>
    <w:rsid w:val="5B920779"/>
    <w:rsid w:val="5B977B3E"/>
    <w:rsid w:val="5BAB5397"/>
    <w:rsid w:val="5BB74B2C"/>
    <w:rsid w:val="5BBB382C"/>
    <w:rsid w:val="5BCC1E57"/>
    <w:rsid w:val="5BD41E6E"/>
    <w:rsid w:val="5BEA2363"/>
    <w:rsid w:val="5BEA5EBF"/>
    <w:rsid w:val="5BF64864"/>
    <w:rsid w:val="5C2C64D8"/>
    <w:rsid w:val="5C3A6E47"/>
    <w:rsid w:val="5C3B1922"/>
    <w:rsid w:val="5C537F09"/>
    <w:rsid w:val="5C5477DD"/>
    <w:rsid w:val="5C5E2B95"/>
    <w:rsid w:val="5C9A5B38"/>
    <w:rsid w:val="5C9C18B0"/>
    <w:rsid w:val="5CA17B70"/>
    <w:rsid w:val="5CA40764"/>
    <w:rsid w:val="5CAB5170"/>
    <w:rsid w:val="5CBB0E30"/>
    <w:rsid w:val="5CBD5382"/>
    <w:rsid w:val="5CD32DF8"/>
    <w:rsid w:val="5CE62B2B"/>
    <w:rsid w:val="5D052D27"/>
    <w:rsid w:val="5D0C07A2"/>
    <w:rsid w:val="5D290C69"/>
    <w:rsid w:val="5DA0717E"/>
    <w:rsid w:val="5DB42C29"/>
    <w:rsid w:val="5DBD1FCA"/>
    <w:rsid w:val="5DD15589"/>
    <w:rsid w:val="5DEF65CC"/>
    <w:rsid w:val="5E192A8C"/>
    <w:rsid w:val="5E1C432A"/>
    <w:rsid w:val="5E257683"/>
    <w:rsid w:val="5E282CCF"/>
    <w:rsid w:val="5E4D0988"/>
    <w:rsid w:val="5E510478"/>
    <w:rsid w:val="5E714676"/>
    <w:rsid w:val="5E8425FB"/>
    <w:rsid w:val="5E8C6F99"/>
    <w:rsid w:val="5E8E347A"/>
    <w:rsid w:val="5ECC365E"/>
    <w:rsid w:val="5ECF75EF"/>
    <w:rsid w:val="5ED54C05"/>
    <w:rsid w:val="5EF2352E"/>
    <w:rsid w:val="5EF57055"/>
    <w:rsid w:val="5EF763C6"/>
    <w:rsid w:val="5F08322C"/>
    <w:rsid w:val="5F261904"/>
    <w:rsid w:val="5F4E6765"/>
    <w:rsid w:val="5F5D7160"/>
    <w:rsid w:val="5F7206A6"/>
    <w:rsid w:val="5F7408C2"/>
    <w:rsid w:val="5F887EC9"/>
    <w:rsid w:val="5F893C41"/>
    <w:rsid w:val="5F8B79B9"/>
    <w:rsid w:val="5FB23198"/>
    <w:rsid w:val="5FD70E51"/>
    <w:rsid w:val="5FEF7F48"/>
    <w:rsid w:val="5FF217E7"/>
    <w:rsid w:val="5FF27A39"/>
    <w:rsid w:val="5FF76DFD"/>
    <w:rsid w:val="5FFE1F39"/>
    <w:rsid w:val="60060FEE"/>
    <w:rsid w:val="602A0F80"/>
    <w:rsid w:val="60462E90"/>
    <w:rsid w:val="60536729"/>
    <w:rsid w:val="606A0493"/>
    <w:rsid w:val="608368E3"/>
    <w:rsid w:val="608F7035"/>
    <w:rsid w:val="60A30D33"/>
    <w:rsid w:val="60A96349"/>
    <w:rsid w:val="60C2740B"/>
    <w:rsid w:val="60D64C64"/>
    <w:rsid w:val="60D94755"/>
    <w:rsid w:val="60F021CA"/>
    <w:rsid w:val="611834CF"/>
    <w:rsid w:val="61530A39"/>
    <w:rsid w:val="61637D56"/>
    <w:rsid w:val="6183303E"/>
    <w:rsid w:val="61923281"/>
    <w:rsid w:val="61AC3CD1"/>
    <w:rsid w:val="61B054B5"/>
    <w:rsid w:val="61B2269F"/>
    <w:rsid w:val="61FA4982"/>
    <w:rsid w:val="61FE695C"/>
    <w:rsid w:val="621912AD"/>
    <w:rsid w:val="621C6FEF"/>
    <w:rsid w:val="623076A4"/>
    <w:rsid w:val="62326812"/>
    <w:rsid w:val="62392C11"/>
    <w:rsid w:val="62571DD5"/>
    <w:rsid w:val="625B7377"/>
    <w:rsid w:val="6278019C"/>
    <w:rsid w:val="6285420B"/>
    <w:rsid w:val="628C1A7E"/>
    <w:rsid w:val="629B7F14"/>
    <w:rsid w:val="62A96AD4"/>
    <w:rsid w:val="62B2525D"/>
    <w:rsid w:val="62B66AFB"/>
    <w:rsid w:val="62C0797A"/>
    <w:rsid w:val="62FB09B2"/>
    <w:rsid w:val="62FB4E56"/>
    <w:rsid w:val="62FE04A2"/>
    <w:rsid w:val="631D29EB"/>
    <w:rsid w:val="633C6169"/>
    <w:rsid w:val="63500CFE"/>
    <w:rsid w:val="637A3FCD"/>
    <w:rsid w:val="63822EAD"/>
    <w:rsid w:val="63B70D7D"/>
    <w:rsid w:val="63D23E09"/>
    <w:rsid w:val="63E234B7"/>
    <w:rsid w:val="63F773CC"/>
    <w:rsid w:val="64047D3A"/>
    <w:rsid w:val="64300F47"/>
    <w:rsid w:val="64483336"/>
    <w:rsid w:val="644F0FB6"/>
    <w:rsid w:val="645E38EF"/>
    <w:rsid w:val="646C600B"/>
    <w:rsid w:val="64942E6C"/>
    <w:rsid w:val="64AC6408"/>
    <w:rsid w:val="64AE53F9"/>
    <w:rsid w:val="64D63485"/>
    <w:rsid w:val="6500647B"/>
    <w:rsid w:val="65085608"/>
    <w:rsid w:val="65091AAC"/>
    <w:rsid w:val="65110961"/>
    <w:rsid w:val="6518767F"/>
    <w:rsid w:val="65237AC1"/>
    <w:rsid w:val="653603C7"/>
    <w:rsid w:val="65362175"/>
    <w:rsid w:val="656767D3"/>
    <w:rsid w:val="65801643"/>
    <w:rsid w:val="6598698C"/>
    <w:rsid w:val="65A13CC9"/>
    <w:rsid w:val="65E120E1"/>
    <w:rsid w:val="660A74A2"/>
    <w:rsid w:val="660D737A"/>
    <w:rsid w:val="661A38C3"/>
    <w:rsid w:val="661E2CB4"/>
    <w:rsid w:val="6632293D"/>
    <w:rsid w:val="664E603D"/>
    <w:rsid w:val="665135D2"/>
    <w:rsid w:val="666F1DE3"/>
    <w:rsid w:val="66725C36"/>
    <w:rsid w:val="66A870A3"/>
    <w:rsid w:val="66AC748B"/>
    <w:rsid w:val="66AD46B9"/>
    <w:rsid w:val="66C1550E"/>
    <w:rsid w:val="66C739CD"/>
    <w:rsid w:val="66CD4D5B"/>
    <w:rsid w:val="66DD6797"/>
    <w:rsid w:val="66F66060"/>
    <w:rsid w:val="66F67E0E"/>
    <w:rsid w:val="670818F0"/>
    <w:rsid w:val="671D183F"/>
    <w:rsid w:val="67293782"/>
    <w:rsid w:val="673646AF"/>
    <w:rsid w:val="675114E9"/>
    <w:rsid w:val="675863D3"/>
    <w:rsid w:val="679703E1"/>
    <w:rsid w:val="67A17496"/>
    <w:rsid w:val="67A965FC"/>
    <w:rsid w:val="67D839B8"/>
    <w:rsid w:val="68182006"/>
    <w:rsid w:val="681C1AF7"/>
    <w:rsid w:val="683926A8"/>
    <w:rsid w:val="685272C6"/>
    <w:rsid w:val="68537CAF"/>
    <w:rsid w:val="685F3791"/>
    <w:rsid w:val="68725BBA"/>
    <w:rsid w:val="68757459"/>
    <w:rsid w:val="687A4A6F"/>
    <w:rsid w:val="688C5099"/>
    <w:rsid w:val="68953657"/>
    <w:rsid w:val="68B735CD"/>
    <w:rsid w:val="68C1444C"/>
    <w:rsid w:val="68E51EE8"/>
    <w:rsid w:val="68EA5751"/>
    <w:rsid w:val="68F570FB"/>
    <w:rsid w:val="691C2678"/>
    <w:rsid w:val="69227DA0"/>
    <w:rsid w:val="69285A99"/>
    <w:rsid w:val="69456E2B"/>
    <w:rsid w:val="69531548"/>
    <w:rsid w:val="696F3EA8"/>
    <w:rsid w:val="69731BEA"/>
    <w:rsid w:val="69765236"/>
    <w:rsid w:val="69790883"/>
    <w:rsid w:val="697A2F79"/>
    <w:rsid w:val="69935DE8"/>
    <w:rsid w:val="69A47FF6"/>
    <w:rsid w:val="69A87C65"/>
    <w:rsid w:val="69EE301F"/>
    <w:rsid w:val="69FA19C4"/>
    <w:rsid w:val="69FB1963"/>
    <w:rsid w:val="6A5D1F52"/>
    <w:rsid w:val="6A7C062B"/>
    <w:rsid w:val="6AA25BA0"/>
    <w:rsid w:val="6AA3205B"/>
    <w:rsid w:val="6AAB0F10"/>
    <w:rsid w:val="6AAD2EDA"/>
    <w:rsid w:val="6AB8548E"/>
    <w:rsid w:val="6ABC577D"/>
    <w:rsid w:val="6ACD70D8"/>
    <w:rsid w:val="6AE12B83"/>
    <w:rsid w:val="6AE42367"/>
    <w:rsid w:val="6AFE7291"/>
    <w:rsid w:val="6B054AC4"/>
    <w:rsid w:val="6B106FC5"/>
    <w:rsid w:val="6B225676"/>
    <w:rsid w:val="6B3A462E"/>
    <w:rsid w:val="6B422808"/>
    <w:rsid w:val="6B474C31"/>
    <w:rsid w:val="6B476E8A"/>
    <w:rsid w:val="6B4B5217"/>
    <w:rsid w:val="6B680BAF"/>
    <w:rsid w:val="6B8A1717"/>
    <w:rsid w:val="6B8C6F93"/>
    <w:rsid w:val="6B97340A"/>
    <w:rsid w:val="6BC56001"/>
    <w:rsid w:val="6BCC7390"/>
    <w:rsid w:val="6BD36970"/>
    <w:rsid w:val="6BD526E8"/>
    <w:rsid w:val="6C092392"/>
    <w:rsid w:val="6C17069E"/>
    <w:rsid w:val="6C2225DD"/>
    <w:rsid w:val="6C2830FF"/>
    <w:rsid w:val="6C5850C7"/>
    <w:rsid w:val="6C6B0957"/>
    <w:rsid w:val="6C832144"/>
    <w:rsid w:val="6C89702F"/>
    <w:rsid w:val="6C9C18EB"/>
    <w:rsid w:val="6CCD7863"/>
    <w:rsid w:val="6CD504C6"/>
    <w:rsid w:val="6CD52274"/>
    <w:rsid w:val="6CDD364E"/>
    <w:rsid w:val="6CF155F0"/>
    <w:rsid w:val="6CF46B9E"/>
    <w:rsid w:val="6CF92406"/>
    <w:rsid w:val="6CFC3CA5"/>
    <w:rsid w:val="6D147240"/>
    <w:rsid w:val="6D196605"/>
    <w:rsid w:val="6D21370B"/>
    <w:rsid w:val="6D3B18E0"/>
    <w:rsid w:val="6D3B18E9"/>
    <w:rsid w:val="6D57537F"/>
    <w:rsid w:val="6D6C42DF"/>
    <w:rsid w:val="6D77332B"/>
    <w:rsid w:val="6D800432"/>
    <w:rsid w:val="6D940381"/>
    <w:rsid w:val="6D9C3AFC"/>
    <w:rsid w:val="6DAC1227"/>
    <w:rsid w:val="6DBB76BC"/>
    <w:rsid w:val="6DD469CF"/>
    <w:rsid w:val="6E22773B"/>
    <w:rsid w:val="6E25722B"/>
    <w:rsid w:val="6E2A4841"/>
    <w:rsid w:val="6E443B55"/>
    <w:rsid w:val="6E4E0530"/>
    <w:rsid w:val="6E5B2C4D"/>
    <w:rsid w:val="6E5F44EB"/>
    <w:rsid w:val="6E6164B5"/>
    <w:rsid w:val="6E6236E7"/>
    <w:rsid w:val="6E6935BC"/>
    <w:rsid w:val="6E91041D"/>
    <w:rsid w:val="6E9F4B86"/>
    <w:rsid w:val="6EB02F99"/>
    <w:rsid w:val="6EB8556A"/>
    <w:rsid w:val="6EBC36EB"/>
    <w:rsid w:val="6EDC5B3C"/>
    <w:rsid w:val="6EDE1649"/>
    <w:rsid w:val="6EEE586F"/>
    <w:rsid w:val="6F064E06"/>
    <w:rsid w:val="6F094457"/>
    <w:rsid w:val="6F155FCF"/>
    <w:rsid w:val="6F176B74"/>
    <w:rsid w:val="6F360C58"/>
    <w:rsid w:val="6F636421"/>
    <w:rsid w:val="6F6B5112"/>
    <w:rsid w:val="6F6E6EC3"/>
    <w:rsid w:val="6F7264A0"/>
    <w:rsid w:val="6F765F90"/>
    <w:rsid w:val="6F9401C4"/>
    <w:rsid w:val="6FB915A7"/>
    <w:rsid w:val="6FBD3BBF"/>
    <w:rsid w:val="6FC14D32"/>
    <w:rsid w:val="6FCD1928"/>
    <w:rsid w:val="6FD902CD"/>
    <w:rsid w:val="6FDE58E3"/>
    <w:rsid w:val="6FE61F3E"/>
    <w:rsid w:val="6FF9428D"/>
    <w:rsid w:val="70161521"/>
    <w:rsid w:val="702F613F"/>
    <w:rsid w:val="703244E4"/>
    <w:rsid w:val="705636CC"/>
    <w:rsid w:val="70D31B19"/>
    <w:rsid w:val="70FD0CB3"/>
    <w:rsid w:val="711E0B5E"/>
    <w:rsid w:val="712A5284"/>
    <w:rsid w:val="7130216F"/>
    <w:rsid w:val="713C4FB8"/>
    <w:rsid w:val="71687AE4"/>
    <w:rsid w:val="718F158B"/>
    <w:rsid w:val="71A004FF"/>
    <w:rsid w:val="71C50B09"/>
    <w:rsid w:val="71C8684B"/>
    <w:rsid w:val="71DC40A5"/>
    <w:rsid w:val="71E03B95"/>
    <w:rsid w:val="71E116BB"/>
    <w:rsid w:val="71F615DC"/>
    <w:rsid w:val="71FE04BF"/>
    <w:rsid w:val="720F7FD6"/>
    <w:rsid w:val="72121874"/>
    <w:rsid w:val="7229553C"/>
    <w:rsid w:val="72323CC5"/>
    <w:rsid w:val="724B2077"/>
    <w:rsid w:val="72691DDC"/>
    <w:rsid w:val="726F4F19"/>
    <w:rsid w:val="726F7FB0"/>
    <w:rsid w:val="72A46970"/>
    <w:rsid w:val="72B50B7E"/>
    <w:rsid w:val="72BB015E"/>
    <w:rsid w:val="72C139C6"/>
    <w:rsid w:val="72C62D8B"/>
    <w:rsid w:val="72D57833"/>
    <w:rsid w:val="72DC25AE"/>
    <w:rsid w:val="72FC49FE"/>
    <w:rsid w:val="731723DB"/>
    <w:rsid w:val="732E0930"/>
    <w:rsid w:val="73335F46"/>
    <w:rsid w:val="73373C88"/>
    <w:rsid w:val="733E4E7F"/>
    <w:rsid w:val="7358775B"/>
    <w:rsid w:val="735C7C30"/>
    <w:rsid w:val="73634FBB"/>
    <w:rsid w:val="73661E78"/>
    <w:rsid w:val="73697BBA"/>
    <w:rsid w:val="73775E2C"/>
    <w:rsid w:val="738A025C"/>
    <w:rsid w:val="73B61051"/>
    <w:rsid w:val="73BB6668"/>
    <w:rsid w:val="73C365CB"/>
    <w:rsid w:val="73E95EE8"/>
    <w:rsid w:val="73EA4857"/>
    <w:rsid w:val="73F6144E"/>
    <w:rsid w:val="73F97190"/>
    <w:rsid w:val="74085625"/>
    <w:rsid w:val="74185868"/>
    <w:rsid w:val="742023C5"/>
    <w:rsid w:val="744C3764"/>
    <w:rsid w:val="744E13C7"/>
    <w:rsid w:val="74534AF2"/>
    <w:rsid w:val="74766D79"/>
    <w:rsid w:val="747E57F8"/>
    <w:rsid w:val="748D1686"/>
    <w:rsid w:val="74F040EF"/>
    <w:rsid w:val="751122B7"/>
    <w:rsid w:val="75157FF9"/>
    <w:rsid w:val="75360DBC"/>
    <w:rsid w:val="75387844"/>
    <w:rsid w:val="756920F3"/>
    <w:rsid w:val="756B5E6B"/>
    <w:rsid w:val="756D0E75"/>
    <w:rsid w:val="756D573F"/>
    <w:rsid w:val="75866801"/>
    <w:rsid w:val="758807CB"/>
    <w:rsid w:val="759F78C3"/>
    <w:rsid w:val="75BA64AB"/>
    <w:rsid w:val="75E35A02"/>
    <w:rsid w:val="75EA3234"/>
    <w:rsid w:val="760B7DD2"/>
    <w:rsid w:val="762027B2"/>
    <w:rsid w:val="7630676D"/>
    <w:rsid w:val="76312C11"/>
    <w:rsid w:val="763224E5"/>
    <w:rsid w:val="76361FD5"/>
    <w:rsid w:val="76505878"/>
    <w:rsid w:val="767945B8"/>
    <w:rsid w:val="76794AF8"/>
    <w:rsid w:val="76850C08"/>
    <w:rsid w:val="76AE1106"/>
    <w:rsid w:val="76BB24DB"/>
    <w:rsid w:val="76C84BF7"/>
    <w:rsid w:val="76D11CFE"/>
    <w:rsid w:val="76D67314"/>
    <w:rsid w:val="76FC6DDC"/>
    <w:rsid w:val="772E2227"/>
    <w:rsid w:val="77302EC9"/>
    <w:rsid w:val="7731279D"/>
    <w:rsid w:val="77533CC6"/>
    <w:rsid w:val="775748F9"/>
    <w:rsid w:val="7760252B"/>
    <w:rsid w:val="776058DA"/>
    <w:rsid w:val="77626DFA"/>
    <w:rsid w:val="777032C5"/>
    <w:rsid w:val="777803CC"/>
    <w:rsid w:val="777D1E86"/>
    <w:rsid w:val="779276DF"/>
    <w:rsid w:val="77B70517"/>
    <w:rsid w:val="77D04F98"/>
    <w:rsid w:val="77E043E3"/>
    <w:rsid w:val="77F40160"/>
    <w:rsid w:val="78342545"/>
    <w:rsid w:val="78412EB3"/>
    <w:rsid w:val="78463590"/>
    <w:rsid w:val="785030F6"/>
    <w:rsid w:val="78550E5C"/>
    <w:rsid w:val="78632E2A"/>
    <w:rsid w:val="78654DF4"/>
    <w:rsid w:val="787B0173"/>
    <w:rsid w:val="787D0429"/>
    <w:rsid w:val="78B24F5D"/>
    <w:rsid w:val="78EF46BD"/>
    <w:rsid w:val="790740FD"/>
    <w:rsid w:val="791660EE"/>
    <w:rsid w:val="791D122B"/>
    <w:rsid w:val="791F31F5"/>
    <w:rsid w:val="79265756"/>
    <w:rsid w:val="793F5645"/>
    <w:rsid w:val="79425135"/>
    <w:rsid w:val="794511BD"/>
    <w:rsid w:val="794A5D98"/>
    <w:rsid w:val="794C38BE"/>
    <w:rsid w:val="794E7636"/>
    <w:rsid w:val="79892D64"/>
    <w:rsid w:val="798E037A"/>
    <w:rsid w:val="79960FDD"/>
    <w:rsid w:val="79997202"/>
    <w:rsid w:val="799E680F"/>
    <w:rsid w:val="79AE52BD"/>
    <w:rsid w:val="79E855ED"/>
    <w:rsid w:val="79FD003C"/>
    <w:rsid w:val="79FF5F21"/>
    <w:rsid w:val="7A1B3962"/>
    <w:rsid w:val="7A2111EE"/>
    <w:rsid w:val="7A2F56B9"/>
    <w:rsid w:val="7A6D48C0"/>
    <w:rsid w:val="7A7268AA"/>
    <w:rsid w:val="7A765096"/>
    <w:rsid w:val="7A924929"/>
    <w:rsid w:val="7A974046"/>
    <w:rsid w:val="7AAD65DE"/>
    <w:rsid w:val="7AC53928"/>
    <w:rsid w:val="7AC878BC"/>
    <w:rsid w:val="7ACA7190"/>
    <w:rsid w:val="7AEF309B"/>
    <w:rsid w:val="7AFD2AA0"/>
    <w:rsid w:val="7AFD57B8"/>
    <w:rsid w:val="7AFF1FD8"/>
    <w:rsid w:val="7B007056"/>
    <w:rsid w:val="7B02692A"/>
    <w:rsid w:val="7B2368A0"/>
    <w:rsid w:val="7B705F89"/>
    <w:rsid w:val="7B735A7A"/>
    <w:rsid w:val="7B887EC5"/>
    <w:rsid w:val="7B914152"/>
    <w:rsid w:val="7BAE0860"/>
    <w:rsid w:val="7BB17EFC"/>
    <w:rsid w:val="7BC60184"/>
    <w:rsid w:val="7BD5403F"/>
    <w:rsid w:val="7BE349AD"/>
    <w:rsid w:val="7BE73A8B"/>
    <w:rsid w:val="7BEC3136"/>
    <w:rsid w:val="7BF471EA"/>
    <w:rsid w:val="7C011556"/>
    <w:rsid w:val="7C18217D"/>
    <w:rsid w:val="7C3C40BE"/>
    <w:rsid w:val="7C507B69"/>
    <w:rsid w:val="7C596A1E"/>
    <w:rsid w:val="7C5E2286"/>
    <w:rsid w:val="7C701FB9"/>
    <w:rsid w:val="7C817D22"/>
    <w:rsid w:val="7CD24A22"/>
    <w:rsid w:val="7CEA1D6C"/>
    <w:rsid w:val="7CF95D03"/>
    <w:rsid w:val="7D0C3A90"/>
    <w:rsid w:val="7D0E5A5A"/>
    <w:rsid w:val="7D360B0D"/>
    <w:rsid w:val="7D406A1E"/>
    <w:rsid w:val="7D494CE4"/>
    <w:rsid w:val="7D637428"/>
    <w:rsid w:val="7D717D97"/>
    <w:rsid w:val="7D7653AD"/>
    <w:rsid w:val="7D823D52"/>
    <w:rsid w:val="7D851A94"/>
    <w:rsid w:val="7D8E1E41"/>
    <w:rsid w:val="7D9121E7"/>
    <w:rsid w:val="7D965A4F"/>
    <w:rsid w:val="7DC73E5B"/>
    <w:rsid w:val="7DCB56F9"/>
    <w:rsid w:val="7DF34C50"/>
    <w:rsid w:val="7E0D00F2"/>
    <w:rsid w:val="7E105802"/>
    <w:rsid w:val="7E1A21DD"/>
    <w:rsid w:val="7E4234E1"/>
    <w:rsid w:val="7E486D4A"/>
    <w:rsid w:val="7E5F22E5"/>
    <w:rsid w:val="7E7C7B82"/>
    <w:rsid w:val="7E960CC1"/>
    <w:rsid w:val="7E9D210A"/>
    <w:rsid w:val="7EA36676"/>
    <w:rsid w:val="7EAD12A3"/>
    <w:rsid w:val="7EB702F4"/>
    <w:rsid w:val="7ED625A7"/>
    <w:rsid w:val="7EDA196C"/>
    <w:rsid w:val="7EE56707"/>
    <w:rsid w:val="7EED715E"/>
    <w:rsid w:val="7EF42A2E"/>
    <w:rsid w:val="7EF46ED2"/>
    <w:rsid w:val="7EFD7F37"/>
    <w:rsid w:val="7F2271E4"/>
    <w:rsid w:val="7F2D7CEE"/>
    <w:rsid w:val="7F313C82"/>
    <w:rsid w:val="7F4A61E1"/>
    <w:rsid w:val="7F596D35"/>
    <w:rsid w:val="7F967F89"/>
    <w:rsid w:val="7F9935D5"/>
    <w:rsid w:val="7FA51F7A"/>
    <w:rsid w:val="7FB073FA"/>
    <w:rsid w:val="7FB328E9"/>
    <w:rsid w:val="7FD30895"/>
    <w:rsid w:val="7FDD1714"/>
    <w:rsid w:val="7FE231CE"/>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3">
    <w:name w:val="heading 1"/>
    <w:basedOn w:val="1"/>
    <w:next w:val="1"/>
    <w:link w:val="40"/>
    <w:autoRedefine/>
    <w:qFormat/>
    <w:uiPriority w:val="9"/>
    <w:pPr>
      <w:keepNext/>
      <w:keepLines/>
      <w:spacing w:before="340" w:after="330" w:line="578" w:lineRule="auto"/>
      <w:jc w:val="center"/>
      <w:outlineLvl w:val="0"/>
    </w:pPr>
    <w:rPr>
      <w:rFonts w:eastAsia="黑体"/>
      <w:b/>
      <w:bCs/>
      <w:kern w:val="44"/>
      <w:sz w:val="44"/>
      <w:szCs w:val="44"/>
    </w:rPr>
  </w:style>
  <w:style w:type="paragraph" w:styleId="4">
    <w:name w:val="heading 2"/>
    <w:basedOn w:val="1"/>
    <w:next w:val="1"/>
    <w:link w:val="44"/>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5">
    <w:name w:val="heading 3"/>
    <w:basedOn w:val="1"/>
    <w:next w:val="1"/>
    <w:link w:val="47"/>
    <w:autoRedefine/>
    <w:unhideWhenUsed/>
    <w:qFormat/>
    <w:uiPriority w:val="9"/>
    <w:pPr>
      <w:keepNext/>
      <w:keepLines/>
      <w:spacing w:before="260" w:after="260" w:line="416" w:lineRule="auto"/>
      <w:outlineLvl w:val="2"/>
    </w:pPr>
    <w:rPr>
      <w:b/>
      <w:bCs/>
      <w:sz w:val="30"/>
      <w:szCs w:val="32"/>
    </w:rPr>
  </w:style>
  <w:style w:type="paragraph" w:styleId="6">
    <w:name w:val="heading 4"/>
    <w:basedOn w:val="1"/>
    <w:next w:val="1"/>
    <w:link w:val="48"/>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7">
    <w:name w:val="heading 5"/>
    <w:basedOn w:val="8"/>
    <w:next w:val="9"/>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49"/>
    <w:autoRedefine/>
    <w:qFormat/>
    <w:uiPriority w:val="99"/>
    <w:pPr>
      <w:spacing w:after="120" w:line="240" w:lineRule="auto"/>
      <w:jc w:val="both"/>
    </w:pPr>
    <w:rPr>
      <w:rFonts w:eastAsiaTheme="minorEastAsia"/>
      <w:sz w:val="21"/>
      <w:szCs w:val="24"/>
    </w:rPr>
  </w:style>
  <w:style w:type="paragraph" w:styleId="8">
    <w:name w:val="List Number 2"/>
    <w:basedOn w:val="1"/>
    <w:autoRedefine/>
    <w:semiHidden/>
    <w:unhideWhenUsed/>
    <w:qFormat/>
    <w:uiPriority w:val="99"/>
    <w:pPr>
      <w:numPr>
        <w:ilvl w:val="0"/>
        <w:numId w:val="1"/>
      </w:numPr>
    </w:pPr>
  </w:style>
  <w:style w:type="paragraph" w:styleId="9">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10">
    <w:name w:val="toc 7"/>
    <w:basedOn w:val="1"/>
    <w:next w:val="1"/>
    <w:autoRedefine/>
    <w:unhideWhenUsed/>
    <w:qFormat/>
    <w:uiPriority w:val="39"/>
    <w:pPr>
      <w:ind w:left="1440"/>
    </w:pPr>
    <w:rPr>
      <w:rFonts w:asciiTheme="minorHAnsi" w:eastAsiaTheme="minorHAnsi"/>
      <w:sz w:val="18"/>
      <w:szCs w:val="18"/>
    </w:rPr>
  </w:style>
  <w:style w:type="paragraph" w:styleId="11">
    <w:name w:val="Normal Indent"/>
    <w:basedOn w:val="1"/>
    <w:next w:val="12"/>
    <w:autoRedefine/>
    <w:unhideWhenUsed/>
    <w:qFormat/>
    <w:uiPriority w:val="0"/>
    <w:pPr>
      <w:ind w:firstLine="420" w:firstLineChars="200"/>
    </w:pPr>
    <w:rPr>
      <w:rFonts w:ascii="Calibri" w:hAnsi="Calibri"/>
    </w:rPr>
  </w:style>
  <w:style w:type="paragraph" w:styleId="12">
    <w:name w:val="toa heading"/>
    <w:basedOn w:val="1"/>
    <w:next w:val="1"/>
    <w:qFormat/>
    <w:uiPriority w:val="0"/>
    <w:pPr>
      <w:spacing w:before="120"/>
    </w:pPr>
    <w:rPr>
      <w:rFonts w:ascii="Cambria" w:hAnsi="Cambria"/>
      <w:sz w:val="24"/>
    </w:rPr>
  </w:style>
  <w:style w:type="paragraph" w:styleId="13">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4">
    <w:name w:val="annotation text"/>
    <w:basedOn w:val="1"/>
    <w:link w:val="45"/>
    <w:autoRedefine/>
    <w:qFormat/>
    <w:uiPriority w:val="0"/>
    <w:pPr>
      <w:spacing w:line="240" w:lineRule="auto"/>
    </w:pPr>
    <w:rPr>
      <w:rFonts w:eastAsiaTheme="minorEastAsia"/>
      <w:sz w:val="21"/>
      <w:szCs w:val="24"/>
    </w:rPr>
  </w:style>
  <w:style w:type="paragraph" w:styleId="15">
    <w:name w:val="Body Text Indent"/>
    <w:basedOn w:val="1"/>
    <w:next w:val="16"/>
    <w:autoRedefine/>
    <w:unhideWhenUsed/>
    <w:qFormat/>
    <w:uiPriority w:val="0"/>
    <w:pPr>
      <w:ind w:firstLine="630"/>
    </w:pPr>
    <w:rPr>
      <w:rFonts w:eastAsia="仿宋_GB2312"/>
      <w:kern w:val="0"/>
      <w:sz w:val="32"/>
      <w:szCs w:val="20"/>
    </w:rPr>
  </w:style>
  <w:style w:type="paragraph" w:styleId="16">
    <w:name w:val="envelope return"/>
    <w:basedOn w:val="1"/>
    <w:next w:val="1"/>
    <w:qFormat/>
    <w:uiPriority w:val="0"/>
    <w:pPr>
      <w:snapToGrid w:val="0"/>
    </w:pPr>
    <w:rPr>
      <w:rFonts w:ascii="Arial" w:hAnsi="Arial"/>
    </w:rPr>
  </w:style>
  <w:style w:type="paragraph" w:styleId="17">
    <w:name w:val="toc 5"/>
    <w:basedOn w:val="1"/>
    <w:next w:val="1"/>
    <w:autoRedefine/>
    <w:unhideWhenUsed/>
    <w:qFormat/>
    <w:uiPriority w:val="39"/>
    <w:pPr>
      <w:ind w:left="960"/>
    </w:pPr>
    <w:rPr>
      <w:rFonts w:asciiTheme="minorHAnsi" w:eastAsiaTheme="minorHAnsi"/>
      <w:sz w:val="18"/>
      <w:szCs w:val="18"/>
    </w:rPr>
  </w:style>
  <w:style w:type="paragraph" w:styleId="18">
    <w:name w:val="toc 3"/>
    <w:basedOn w:val="1"/>
    <w:next w:val="1"/>
    <w:autoRedefine/>
    <w:unhideWhenUsed/>
    <w:qFormat/>
    <w:uiPriority w:val="39"/>
    <w:pPr>
      <w:ind w:left="480"/>
    </w:pPr>
    <w:rPr>
      <w:rFonts w:asciiTheme="minorHAnsi" w:eastAsiaTheme="minorHAnsi"/>
      <w:i/>
      <w:iCs/>
      <w:sz w:val="20"/>
      <w:szCs w:val="20"/>
    </w:rPr>
  </w:style>
  <w:style w:type="paragraph" w:styleId="19">
    <w:name w:val="Plain Text"/>
    <w:basedOn w:val="1"/>
    <w:autoRedefine/>
    <w:unhideWhenUsed/>
    <w:qFormat/>
    <w:uiPriority w:val="0"/>
    <w:rPr>
      <w:rFonts w:hAnsi="Courier New"/>
      <w:kern w:val="0"/>
      <w:sz w:val="20"/>
      <w:szCs w:val="20"/>
    </w:rPr>
  </w:style>
  <w:style w:type="paragraph" w:styleId="20">
    <w:name w:val="toc 8"/>
    <w:basedOn w:val="1"/>
    <w:next w:val="1"/>
    <w:autoRedefine/>
    <w:unhideWhenUsed/>
    <w:qFormat/>
    <w:uiPriority w:val="39"/>
    <w:pPr>
      <w:ind w:left="1680"/>
    </w:pPr>
    <w:rPr>
      <w:rFonts w:asciiTheme="minorHAnsi" w:eastAsiaTheme="minorHAnsi"/>
      <w:sz w:val="18"/>
      <w:szCs w:val="18"/>
    </w:rPr>
  </w:style>
  <w:style w:type="paragraph" w:styleId="21">
    <w:name w:val="footer"/>
    <w:basedOn w:val="1"/>
    <w:link w:val="43"/>
    <w:autoRedefine/>
    <w:unhideWhenUsed/>
    <w:qFormat/>
    <w:uiPriority w:val="99"/>
    <w:pPr>
      <w:tabs>
        <w:tab w:val="center" w:pos="4153"/>
        <w:tab w:val="right" w:pos="8306"/>
      </w:tabs>
      <w:snapToGrid w:val="0"/>
      <w:spacing w:line="240" w:lineRule="auto"/>
    </w:pPr>
    <w:rPr>
      <w:sz w:val="18"/>
      <w:szCs w:val="18"/>
    </w:rPr>
  </w:style>
  <w:style w:type="paragraph" w:styleId="22">
    <w:name w:val="header"/>
    <w:basedOn w:val="1"/>
    <w:link w:val="42"/>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4">
    <w:name w:val="toc 4"/>
    <w:basedOn w:val="1"/>
    <w:next w:val="1"/>
    <w:autoRedefine/>
    <w:unhideWhenUsed/>
    <w:qFormat/>
    <w:uiPriority w:val="39"/>
    <w:pPr>
      <w:ind w:left="720"/>
    </w:pPr>
    <w:rPr>
      <w:rFonts w:asciiTheme="minorHAnsi" w:eastAsiaTheme="minorHAnsi"/>
      <w:sz w:val="18"/>
      <w:szCs w:val="18"/>
    </w:rPr>
  </w:style>
  <w:style w:type="paragraph" w:styleId="25">
    <w:name w:val="footnote text"/>
    <w:basedOn w:val="1"/>
    <w:qFormat/>
    <w:uiPriority w:val="0"/>
    <w:pPr>
      <w:widowControl/>
    </w:pPr>
    <w:rPr>
      <w:kern w:val="0"/>
      <w:sz w:val="20"/>
      <w:szCs w:val="20"/>
      <w:lang w:val="de-DE"/>
    </w:rPr>
  </w:style>
  <w:style w:type="paragraph" w:styleId="26">
    <w:name w:val="toc 6"/>
    <w:basedOn w:val="1"/>
    <w:next w:val="1"/>
    <w:autoRedefine/>
    <w:unhideWhenUsed/>
    <w:qFormat/>
    <w:uiPriority w:val="39"/>
    <w:pPr>
      <w:ind w:left="1200"/>
    </w:pPr>
    <w:rPr>
      <w:rFonts w:asciiTheme="minorHAnsi" w:eastAsiaTheme="minorHAnsi"/>
      <w:sz w:val="18"/>
      <w:szCs w:val="18"/>
    </w:rPr>
  </w:style>
  <w:style w:type="paragraph" w:styleId="27">
    <w:name w:val="toc 2"/>
    <w:basedOn w:val="1"/>
    <w:next w:val="1"/>
    <w:autoRedefine/>
    <w:unhideWhenUsed/>
    <w:qFormat/>
    <w:uiPriority w:val="39"/>
    <w:pPr>
      <w:ind w:left="240"/>
    </w:pPr>
    <w:rPr>
      <w:rFonts w:asciiTheme="minorHAnsi" w:eastAsiaTheme="minorHAnsi"/>
      <w:smallCaps/>
      <w:sz w:val="20"/>
      <w:szCs w:val="20"/>
    </w:rPr>
  </w:style>
  <w:style w:type="paragraph" w:styleId="28">
    <w:name w:val="toc 9"/>
    <w:basedOn w:val="1"/>
    <w:next w:val="1"/>
    <w:autoRedefine/>
    <w:unhideWhenUsed/>
    <w:qFormat/>
    <w:uiPriority w:val="39"/>
    <w:pPr>
      <w:ind w:left="1920"/>
    </w:pPr>
    <w:rPr>
      <w:rFonts w:asciiTheme="minorHAnsi" w:eastAsiaTheme="minorHAnsi"/>
      <w:sz w:val="18"/>
      <w:szCs w:val="18"/>
    </w:rPr>
  </w:style>
  <w:style w:type="paragraph" w:styleId="29">
    <w:name w:val="annotation subject"/>
    <w:basedOn w:val="14"/>
    <w:next w:val="14"/>
    <w:link w:val="53"/>
    <w:autoRedefine/>
    <w:semiHidden/>
    <w:unhideWhenUsed/>
    <w:qFormat/>
    <w:uiPriority w:val="99"/>
    <w:pPr>
      <w:spacing w:line="360" w:lineRule="auto"/>
    </w:pPr>
    <w:rPr>
      <w:rFonts w:eastAsia="宋体"/>
      <w:b/>
      <w:bCs/>
      <w:sz w:val="24"/>
      <w:szCs w:val="22"/>
    </w:rPr>
  </w:style>
  <w:style w:type="paragraph" w:styleId="30">
    <w:name w:val="Body Text First Indent 2"/>
    <w:basedOn w:val="15"/>
    <w:next w:val="1"/>
    <w:autoRedefine/>
    <w:qFormat/>
    <w:uiPriority w:val="0"/>
    <w:pPr>
      <w:spacing w:after="120" w:line="240" w:lineRule="auto"/>
      <w:ind w:left="420" w:leftChars="200" w:firstLine="420" w:firstLineChars="200"/>
    </w:pPr>
    <w:rPr>
      <w:rFonts w:ascii="Times New Roman" w:eastAsia="宋体"/>
      <w:sz w:val="21"/>
      <w:szCs w:val="24"/>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b/>
      <w:bCs/>
    </w:rPr>
  </w:style>
  <w:style w:type="character" w:styleId="35">
    <w:name w:val="Hyperlink"/>
    <w:basedOn w:val="33"/>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3"/>
    <w:autoRedefine/>
    <w:qFormat/>
    <w:uiPriority w:val="0"/>
    <w:rPr>
      <w:sz w:val="21"/>
      <w:szCs w:val="21"/>
    </w:rPr>
  </w:style>
  <w:style w:type="character" w:styleId="37">
    <w:name w:val="HTML Sample"/>
    <w:basedOn w:val="33"/>
    <w:semiHidden/>
    <w:unhideWhenUsed/>
    <w:qFormat/>
    <w:uiPriority w:val="99"/>
    <w:rPr>
      <w:rFonts w:ascii="Courier New" w:hAnsi="Courier New"/>
    </w:rPr>
  </w:style>
  <w:style w:type="paragraph" w:customStyle="1" w:styleId="3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9">
    <w:name w:val="正文缩进2"/>
    <w:basedOn w:val="1"/>
    <w:autoRedefine/>
    <w:qFormat/>
    <w:uiPriority w:val="0"/>
    <w:pPr>
      <w:wordWrap w:val="0"/>
      <w:ind w:firstLine="480"/>
    </w:pPr>
    <w:rPr>
      <w:iCs/>
      <w:shd w:val="clear" w:color="auto" w:fill="FFFFFF" w:themeFill="background1"/>
      <w:lang w:val="zh-CN"/>
    </w:rPr>
  </w:style>
  <w:style w:type="character" w:customStyle="1" w:styleId="40">
    <w:name w:val="标题 1 字符"/>
    <w:basedOn w:val="33"/>
    <w:link w:val="3"/>
    <w:autoRedefine/>
    <w:qFormat/>
    <w:uiPriority w:val="9"/>
    <w:rPr>
      <w:rFonts w:eastAsia="黑体"/>
      <w:b/>
      <w:bCs/>
      <w:kern w:val="44"/>
      <w:sz w:val="44"/>
      <w:szCs w:val="44"/>
    </w:rPr>
  </w:style>
  <w:style w:type="paragraph" w:styleId="41">
    <w:name w:val="List Paragraph"/>
    <w:basedOn w:val="1"/>
    <w:autoRedefine/>
    <w:qFormat/>
    <w:uiPriority w:val="34"/>
    <w:pPr>
      <w:numPr>
        <w:ilvl w:val="0"/>
        <w:numId w:val="2"/>
      </w:numPr>
    </w:pPr>
  </w:style>
  <w:style w:type="character" w:customStyle="1" w:styleId="42">
    <w:name w:val="页眉 字符"/>
    <w:basedOn w:val="33"/>
    <w:link w:val="22"/>
    <w:autoRedefine/>
    <w:qFormat/>
    <w:uiPriority w:val="99"/>
    <w:rPr>
      <w:rFonts w:eastAsia="宋体"/>
      <w:sz w:val="18"/>
      <w:szCs w:val="18"/>
    </w:rPr>
  </w:style>
  <w:style w:type="character" w:customStyle="1" w:styleId="43">
    <w:name w:val="页脚 字符"/>
    <w:basedOn w:val="33"/>
    <w:link w:val="21"/>
    <w:autoRedefine/>
    <w:qFormat/>
    <w:uiPriority w:val="99"/>
    <w:rPr>
      <w:rFonts w:eastAsia="宋体"/>
      <w:sz w:val="18"/>
      <w:szCs w:val="18"/>
    </w:rPr>
  </w:style>
  <w:style w:type="character" w:customStyle="1" w:styleId="44">
    <w:name w:val="标题 2 字符"/>
    <w:basedOn w:val="33"/>
    <w:link w:val="4"/>
    <w:autoRedefine/>
    <w:qFormat/>
    <w:uiPriority w:val="0"/>
    <w:rPr>
      <w:rFonts w:eastAsia="宋体" w:asciiTheme="majorHAnsi" w:hAnsiTheme="majorHAnsi" w:cstheme="majorBidi"/>
      <w:b/>
      <w:bCs/>
      <w:sz w:val="32"/>
      <w:szCs w:val="32"/>
    </w:rPr>
  </w:style>
  <w:style w:type="character" w:customStyle="1" w:styleId="45">
    <w:name w:val="批注文字 字符"/>
    <w:basedOn w:val="33"/>
    <w:link w:val="14"/>
    <w:autoRedefine/>
    <w:qFormat/>
    <w:uiPriority w:val="0"/>
    <w:rPr>
      <w:szCs w:val="24"/>
    </w:rPr>
  </w:style>
  <w:style w:type="paragraph" w:customStyle="1" w:styleId="46">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7">
    <w:name w:val="标题 3 字符"/>
    <w:basedOn w:val="33"/>
    <w:link w:val="5"/>
    <w:autoRedefine/>
    <w:qFormat/>
    <w:uiPriority w:val="9"/>
    <w:rPr>
      <w:rFonts w:eastAsia="宋体"/>
      <w:b/>
      <w:bCs/>
      <w:sz w:val="30"/>
      <w:szCs w:val="32"/>
    </w:rPr>
  </w:style>
  <w:style w:type="character" w:customStyle="1" w:styleId="48">
    <w:name w:val="标题 4 字符"/>
    <w:basedOn w:val="33"/>
    <w:link w:val="6"/>
    <w:autoRedefine/>
    <w:qFormat/>
    <w:uiPriority w:val="9"/>
    <w:rPr>
      <w:rFonts w:eastAsia="宋体" w:asciiTheme="majorHAnsi" w:hAnsiTheme="majorHAnsi" w:cstheme="majorBidi"/>
      <w:b/>
      <w:bCs/>
      <w:sz w:val="28"/>
      <w:szCs w:val="28"/>
    </w:rPr>
  </w:style>
  <w:style w:type="character" w:customStyle="1" w:styleId="49">
    <w:name w:val="正文文本 字符"/>
    <w:basedOn w:val="33"/>
    <w:link w:val="2"/>
    <w:autoRedefine/>
    <w:qFormat/>
    <w:uiPriority w:val="99"/>
    <w:rPr>
      <w:szCs w:val="24"/>
    </w:rPr>
  </w:style>
  <w:style w:type="paragraph" w:customStyle="1" w:styleId="50">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1">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2">
    <w:name w:val="未处理的提及1"/>
    <w:basedOn w:val="33"/>
    <w:autoRedefine/>
    <w:semiHidden/>
    <w:unhideWhenUsed/>
    <w:qFormat/>
    <w:uiPriority w:val="99"/>
    <w:rPr>
      <w:color w:val="605E5C"/>
      <w:shd w:val="clear" w:color="auto" w:fill="E1DFDD"/>
    </w:rPr>
  </w:style>
  <w:style w:type="character" w:customStyle="1" w:styleId="53">
    <w:name w:val="批注主题 字符"/>
    <w:basedOn w:val="45"/>
    <w:link w:val="29"/>
    <w:autoRedefine/>
    <w:semiHidden/>
    <w:qFormat/>
    <w:uiPriority w:val="99"/>
    <w:rPr>
      <w:rFonts w:ascii="宋体" w:hAnsi="宋体" w:cstheme="minorBidi"/>
      <w:b/>
      <w:bCs/>
      <w:kern w:val="2"/>
      <w:sz w:val="24"/>
      <w:szCs w:val="22"/>
    </w:rPr>
  </w:style>
  <w:style w:type="character" w:customStyle="1" w:styleId="54">
    <w:name w:val="未处理的提及2"/>
    <w:basedOn w:val="33"/>
    <w:autoRedefine/>
    <w:semiHidden/>
    <w:unhideWhenUsed/>
    <w:qFormat/>
    <w:uiPriority w:val="99"/>
    <w:rPr>
      <w:color w:val="605E5C"/>
      <w:shd w:val="clear" w:color="auto" w:fill="E1DFDD"/>
    </w:rPr>
  </w:style>
  <w:style w:type="paragraph" w:customStyle="1" w:styleId="55">
    <w:name w:val="正文_2"/>
    <w:autoRedefine/>
    <w:qFormat/>
    <w:uiPriority w:val="0"/>
    <w:pPr>
      <w:widowControl w:val="0"/>
      <w:jc w:val="both"/>
    </w:pPr>
    <w:rPr>
      <w:rFonts w:ascii="Calibri" w:hAnsi="Calibri" w:eastAsia="宋体" w:cs="Times New Roman"/>
      <w:lang w:val="en-US" w:eastAsia="zh-CN" w:bidi="ar-SA"/>
    </w:rPr>
  </w:style>
  <w:style w:type="paragraph" w:customStyle="1" w:styleId="56">
    <w:name w:val="正文1"/>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7">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9">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0">
    <w:name w:val="Normal Indent1"/>
    <w:basedOn w:val="1"/>
    <w:autoRedefine/>
    <w:qFormat/>
    <w:uiPriority w:val="0"/>
    <w:pPr>
      <w:ind w:firstLine="420" w:firstLineChars="200"/>
    </w:pPr>
  </w:style>
  <w:style w:type="paragraph" w:customStyle="1" w:styleId="61">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2">
    <w:name w:val="Normal_22"/>
    <w:autoRedefine/>
    <w:qFormat/>
    <w:uiPriority w:val="0"/>
    <w:rPr>
      <w:rFonts w:ascii="Times New Roman" w:hAnsi="Times New Roman" w:eastAsia="Times New Roman" w:cs="Times New Roman"/>
      <w:sz w:val="24"/>
      <w:szCs w:val="24"/>
      <w:lang w:val="en-US" w:eastAsia="zh-CN" w:bidi="ar-SA"/>
    </w:rPr>
  </w:style>
  <w:style w:type="paragraph" w:customStyle="1" w:styleId="63">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_0_0_0 Char"/>
    <w:link w:val="65"/>
    <w:autoRedefine/>
    <w:qFormat/>
    <w:locked/>
    <w:uiPriority w:val="0"/>
    <w:rPr>
      <w:rFonts w:ascii="Calibri" w:hAnsi="Calibri" w:cs="Calibri"/>
      <w:kern w:val="2"/>
      <w:sz w:val="28"/>
      <w:szCs w:val="22"/>
      <w:lang w:val="en-US" w:eastAsia="zh-CN" w:bidi="ar-SA"/>
    </w:rPr>
  </w:style>
  <w:style w:type="paragraph" w:customStyle="1" w:styleId="65">
    <w:name w:val="正文_0_0_0_0_0"/>
    <w:link w:val="64"/>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6">
    <w:name w:val="正文文本_0_1"/>
    <w:basedOn w:val="67"/>
    <w:autoRedefine/>
    <w:qFormat/>
    <w:uiPriority w:val="99"/>
    <w:pPr>
      <w:spacing w:after="120"/>
    </w:pPr>
    <w:rPr>
      <w:kern w:val="0"/>
      <w:sz w:val="24"/>
      <w:szCs w:val="20"/>
    </w:rPr>
  </w:style>
  <w:style w:type="paragraph" w:customStyle="1" w:styleId="67">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Table Paragraph_1"/>
    <w:basedOn w:val="67"/>
    <w:autoRedefine/>
    <w:qFormat/>
    <w:uiPriority w:val="0"/>
    <w:pPr>
      <w:jc w:val="left"/>
    </w:pPr>
    <w:rPr>
      <w:kern w:val="0"/>
      <w:sz w:val="22"/>
      <w:lang w:eastAsia="en-US"/>
    </w:rPr>
  </w:style>
  <w:style w:type="paragraph" w:customStyle="1" w:styleId="6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正文11"/>
    <w:autoRedefine/>
    <w:qFormat/>
    <w:uiPriority w:val="0"/>
    <w:pPr>
      <w:widowControl w:val="0"/>
      <w:jc w:val="both"/>
    </w:pPr>
    <w:rPr>
      <w:rFonts w:ascii="Calibri" w:hAnsi="Calibri" w:eastAsia="宋体" w:cs="Times New Roman"/>
      <w:lang w:val="en-US" w:eastAsia="zh-CN" w:bidi="ar-SA"/>
    </w:rPr>
  </w:style>
  <w:style w:type="paragraph" w:customStyle="1" w:styleId="71">
    <w:name w:val="列出段落1"/>
    <w:basedOn w:val="1"/>
    <w:autoRedefine/>
    <w:qFormat/>
    <w:uiPriority w:val="0"/>
    <w:pPr>
      <w:ind w:firstLine="420" w:firstLineChars="200"/>
    </w:pPr>
    <w:rPr>
      <w:szCs w:val="21"/>
    </w:rPr>
  </w:style>
  <w:style w:type="paragraph" w:customStyle="1" w:styleId="72">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3">
    <w:name w:val="正文2"/>
    <w:basedOn w:val="1"/>
    <w:qFormat/>
    <w:uiPriority w:val="0"/>
    <w:pPr>
      <w:spacing w:before="156"/>
      <w:ind w:firstLine="510" w:firstLineChars="200"/>
    </w:pPr>
    <w:rPr>
      <w:szCs w:val="20"/>
    </w:rPr>
  </w:style>
  <w:style w:type="paragraph" w:customStyle="1" w:styleId="74">
    <w:name w:val="Char Char Char Char Char Char Char1 Char"/>
    <w:basedOn w:val="1"/>
    <w:autoRedefine/>
    <w:qFormat/>
    <w:uiPriority w:val="0"/>
    <w:rPr>
      <w:rFonts w:ascii="Arial" w:hAnsi="Arial" w:cs="Arial"/>
    </w:rPr>
  </w:style>
  <w:style w:type="paragraph" w:customStyle="1" w:styleId="75">
    <w:name w:val="正文缩进2格"/>
    <w:basedOn w:val="1"/>
    <w:qFormat/>
    <w:uiPriority w:val="0"/>
    <w:pPr>
      <w:spacing w:line="600" w:lineRule="exact"/>
      <w:ind w:firstLine="639" w:firstLineChars="206"/>
    </w:pPr>
    <w:rPr>
      <w:rFonts w:ascii="仿宋_GB2312" w:eastAsia="仿宋_GB2312"/>
      <w:kern w:val="0"/>
      <w:sz w:val="31"/>
      <w:szCs w:val="20"/>
    </w:rPr>
  </w:style>
  <w:style w:type="paragraph" w:customStyle="1" w:styleId="76">
    <w:name w:val="Normal_3"/>
    <w:qFormat/>
    <w:uiPriority w:val="0"/>
    <w:rPr>
      <w:rFonts w:ascii="黑体" w:hAnsi="黑体" w:eastAsia="黑体" w:cs="Times New Roman"/>
      <w:b/>
      <w:sz w:val="32"/>
      <w:szCs w:val="24"/>
      <w:lang w:val="en-US" w:eastAsia="zh-CN" w:bidi="ar-SA"/>
    </w:rPr>
  </w:style>
  <w:style w:type="paragraph" w:customStyle="1" w:styleId="77">
    <w:name w:val="Normal_2"/>
    <w:qFormat/>
    <w:uiPriority w:val="0"/>
    <w:rPr>
      <w:rFonts w:ascii="Times New Roman" w:hAnsi="Times New Roman" w:eastAsia="Times New Roman" w:cs="Times New Roman"/>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122</Pages>
  <Words>4994</Words>
  <Characters>5758</Characters>
  <Lines>2268</Lines>
  <Paragraphs>1842</Paragraphs>
  <TotalTime>21</TotalTime>
  <ScaleCrop>false</ScaleCrop>
  <LinksUpToDate>false</LinksUpToDate>
  <CharactersWithSpaces>6360</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起酥咩咩</cp:lastModifiedBy>
  <cp:lastPrinted>2024-12-28T09:34:00Z</cp:lastPrinted>
  <dcterms:modified xsi:type="dcterms:W3CDTF">2026-06-16T12:34:11Z</dcterms:modified>
  <cp:revision>428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844BD8A0AC3B43569E6352FD503140B1_13</vt:lpwstr>
  </property>
  <property fmtid="{D5CDD505-2E9C-101B-9397-08002B2CF9AE}" pid="4" name="KSOTemplateDocerSaveRecord">
    <vt:lpwstr>eyJoZGlkIjoiMDU1ZmVkNDM3YWE3YjEyMDBmZjhkNWM4MTBhOTMyZDYiLCJ1c2VySWQiOiIxOTk4NTg5NTUifQ==</vt:lpwstr>
  </property>
</Properties>
</file>