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935F6">
      <w:pPr>
        <w:rPr>
          <w:rFonts w:hint="eastAsia"/>
          <w:lang w:val="en-US" w:eastAsia="zh-CN"/>
        </w:rPr>
      </w:pPr>
      <w:r>
        <w:rPr>
          <w:rFonts w:hint="eastAsia"/>
          <w:lang w:val="en-US" w:eastAsia="zh-CN"/>
        </w:rPr>
        <w:t xml:space="preserve">    </w:t>
      </w:r>
    </w:p>
    <w:p w14:paraId="2390B31F">
      <w:pPr>
        <w:rPr>
          <w:rFonts w:hint="default" w:ascii="Gabriola" w:hAnsi="Gabriola" w:cs="Gabriola" w:eastAsiaTheme="minorEastAsia"/>
          <w:b/>
          <w:bCs/>
          <w:color w:val="000000" w:themeColor="text1"/>
          <w:sz w:val="24"/>
          <w:szCs w:val="32"/>
          <w:highlight w:val="none"/>
          <w14:textFill>
            <w14:solidFill>
              <w14:schemeClr w14:val="tx1"/>
            </w14:solidFill>
          </w14:textFill>
        </w:rPr>
      </w:pPr>
    </w:p>
    <w:p w14:paraId="066D5E09">
      <w:pPr>
        <w:rPr>
          <w:rFonts w:hint="eastAsia" w:asciiTheme="minorEastAsia" w:hAnsiTheme="minorEastAsia" w:eastAsiaTheme="minorEastAsia" w:cstheme="minorEastAsia"/>
          <w:b/>
          <w:bCs/>
          <w:sz w:val="28"/>
          <w:szCs w:val="28"/>
          <w:highlight w:val="none"/>
          <w:lang w:val="en-US" w:eastAsia="zh-CN"/>
        </w:rPr>
      </w:pP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p>
    <w:p w14:paraId="7F769DE5">
      <w:pPr>
        <w:jc w:val="center"/>
        <w:rPr>
          <w:rFonts w:hint="eastAsia" w:asciiTheme="minorEastAsia" w:hAnsiTheme="minorEastAsia" w:eastAsiaTheme="minorEastAsia" w:cstheme="minorEastAsia"/>
          <w:b/>
          <w:bCs/>
          <w:sz w:val="36"/>
          <w:szCs w:val="36"/>
          <w:highlight w:val="none"/>
          <w:lang w:val="en-US" w:eastAsia="zh-CN"/>
        </w:rPr>
      </w:pPr>
      <w:r>
        <w:rPr>
          <w:rFonts w:hint="eastAsia" w:ascii="宋体" w:hAnsi="宋体" w:cs="宋体"/>
          <w:b/>
          <w:bCs/>
          <w:color w:val="000000" w:themeColor="text1"/>
          <w:sz w:val="40"/>
          <w:szCs w:val="40"/>
          <w:highlight w:val="none"/>
          <w:lang w:val="en-US" w:eastAsia="zh-CN"/>
          <w14:textFill>
            <w14:solidFill>
              <w14:schemeClr w14:val="tx1"/>
            </w14:solidFill>
          </w14:textFill>
        </w:rPr>
        <w:t>电子警察、卡口、测速、视频监控系统日常维护单位采购</w:t>
      </w:r>
    </w:p>
    <w:p w14:paraId="41F5E703">
      <w:pPr>
        <w:jc w:val="center"/>
        <w:rPr>
          <w:rFonts w:hint="eastAsia"/>
          <w:highlight w:val="none"/>
        </w:rPr>
      </w:pPr>
    </w:p>
    <w:p w14:paraId="2CF83A9D">
      <w:pPr>
        <w:pStyle w:val="52"/>
        <w:spacing w:before="0" w:after="0" w:line="800" w:lineRule="exact"/>
        <w:rPr>
          <w:rFonts w:hint="eastAsia" w:asciiTheme="minorEastAsia" w:hAnsiTheme="minorEastAsia" w:eastAsiaTheme="minorEastAsia" w:cstheme="minorEastAsia"/>
          <w:sz w:val="52"/>
          <w:szCs w:val="52"/>
          <w:highlight w:val="none"/>
        </w:rPr>
      </w:pPr>
    </w:p>
    <w:p w14:paraId="56F62170">
      <w:pPr>
        <w:rPr>
          <w:rFonts w:hint="eastAsia" w:asciiTheme="minorEastAsia" w:hAnsiTheme="minorEastAsia" w:eastAsiaTheme="minorEastAsia" w:cstheme="minorEastAsia"/>
          <w:highlight w:val="none"/>
        </w:rPr>
      </w:pPr>
    </w:p>
    <w:p w14:paraId="5E7E2B89">
      <w:pPr>
        <w:tabs>
          <w:tab w:val="left" w:pos="800"/>
          <w:tab w:val="center" w:pos="4677"/>
          <w:tab w:val="center" w:pos="4706"/>
          <w:tab w:val="left" w:pos="7900"/>
          <w:tab w:val="left" w:pos="8565"/>
        </w:tabs>
        <w:spacing w:line="360" w:lineRule="auto"/>
        <w:jc w:val="center"/>
        <w:rPr>
          <w:rFonts w:hint="eastAsia" w:asciiTheme="minorEastAsia" w:hAnsiTheme="minorEastAsia" w:eastAsiaTheme="minorEastAsia" w:cstheme="minorEastAsia"/>
          <w:b/>
          <w:bCs w:val="0"/>
          <w:sz w:val="72"/>
          <w:szCs w:val="72"/>
          <w:highlight w:val="none"/>
        </w:rPr>
      </w:pPr>
      <w:r>
        <w:rPr>
          <w:rFonts w:hint="eastAsia" w:asciiTheme="minorEastAsia" w:hAnsiTheme="minorEastAsia" w:eastAsiaTheme="minorEastAsia" w:cstheme="minorEastAsia"/>
          <w:b/>
          <w:bCs w:val="0"/>
          <w:sz w:val="72"/>
          <w:szCs w:val="72"/>
          <w:highlight w:val="none"/>
          <w:lang w:eastAsia="zh-CN"/>
        </w:rPr>
        <w:t>磋</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lang w:eastAsia="zh-CN"/>
        </w:rPr>
        <w:t>商</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rPr>
        <w:t>文</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rPr>
        <w:t>件</w:t>
      </w:r>
    </w:p>
    <w:p w14:paraId="7390932E">
      <w:pPr>
        <w:rPr>
          <w:rFonts w:hint="eastAsia"/>
        </w:rPr>
      </w:pPr>
    </w:p>
    <w:p w14:paraId="1EFC0FC0">
      <w:pPr>
        <w:tabs>
          <w:tab w:val="left" w:pos="800"/>
          <w:tab w:val="center" w:pos="4677"/>
          <w:tab w:val="left" w:pos="7900"/>
        </w:tabs>
        <w:spacing w:line="360" w:lineRule="auto"/>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 xml:space="preserve">  </w:t>
      </w:r>
    </w:p>
    <w:p w14:paraId="4702E682">
      <w:pPr>
        <w:tabs>
          <w:tab w:val="left" w:pos="800"/>
          <w:tab w:val="center" w:pos="4677"/>
          <w:tab w:val="left" w:pos="7900"/>
        </w:tabs>
        <w:spacing w:line="360" w:lineRule="auto"/>
        <w:jc w:val="cente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1407812026CCS00094</w:t>
      </w:r>
    </w:p>
    <w:p w14:paraId="581C52B6">
      <w:pPr>
        <w:pStyle w:val="52"/>
        <w:rPr>
          <w:rFonts w:hint="eastAsia" w:asciiTheme="minorEastAsia" w:hAnsiTheme="minorEastAsia" w:eastAsiaTheme="minorEastAsia" w:cstheme="minorEastAsia"/>
          <w:color w:val="auto"/>
          <w:highlight w:val="none"/>
        </w:rPr>
      </w:pPr>
    </w:p>
    <w:p w14:paraId="68EEB661">
      <w:pPr>
        <w:rPr>
          <w:rFonts w:hint="eastAsia" w:asciiTheme="minorEastAsia" w:hAnsiTheme="minorEastAsia" w:eastAsiaTheme="minorEastAsia" w:cstheme="minorEastAsia"/>
          <w:color w:val="auto"/>
          <w:highlight w:val="none"/>
        </w:rPr>
      </w:pPr>
    </w:p>
    <w:p w14:paraId="70CB9741">
      <w:pPr>
        <w:pStyle w:val="15"/>
        <w:rPr>
          <w:rFonts w:hint="eastAsia" w:asciiTheme="minorEastAsia" w:hAnsiTheme="minorEastAsia" w:eastAsiaTheme="minorEastAsia" w:cstheme="minorEastAsia"/>
          <w:color w:val="auto"/>
          <w:highlight w:val="none"/>
        </w:rPr>
      </w:pPr>
    </w:p>
    <w:p w14:paraId="52827E24">
      <w:pPr>
        <w:pStyle w:val="15"/>
        <w:rPr>
          <w:rFonts w:hint="eastAsia" w:asciiTheme="minorEastAsia" w:hAnsiTheme="minorEastAsia" w:eastAsiaTheme="minorEastAsia" w:cstheme="minorEastAsia"/>
          <w:color w:val="auto"/>
          <w:highlight w:val="none"/>
        </w:rPr>
      </w:pPr>
    </w:p>
    <w:p w14:paraId="656046F3">
      <w:pPr>
        <w:pStyle w:val="15"/>
        <w:ind w:left="0" w:leftChars="0" w:firstLine="0" w:firstLineChars="0"/>
        <w:rPr>
          <w:rFonts w:hint="eastAsia" w:asciiTheme="minorEastAsia" w:hAnsiTheme="minorEastAsia" w:eastAsiaTheme="minorEastAsia" w:cstheme="minorEastAsia"/>
          <w:color w:val="auto"/>
          <w:highlight w:val="none"/>
        </w:rPr>
      </w:pPr>
    </w:p>
    <w:p w14:paraId="7C938826">
      <w:pPr>
        <w:pStyle w:val="15"/>
        <w:rPr>
          <w:rFonts w:hint="eastAsia" w:asciiTheme="minorEastAsia" w:hAnsiTheme="minorEastAsia" w:eastAsiaTheme="minorEastAsia" w:cstheme="minorEastAsia"/>
          <w:color w:val="auto"/>
          <w:highlight w:val="none"/>
        </w:rPr>
      </w:pPr>
    </w:p>
    <w:p w14:paraId="0ED015EB">
      <w:pPr>
        <w:tabs>
          <w:tab w:val="left" w:pos="720"/>
        </w:tabs>
        <w:snapToGrid w:val="0"/>
        <w:spacing w:line="720" w:lineRule="exact"/>
        <w:rPr>
          <w:rFonts w:hint="eastAsia" w:asciiTheme="minorEastAsia" w:hAnsiTheme="minorEastAsia" w:eastAsiaTheme="minorEastAsia" w:cstheme="minorEastAsia"/>
          <w:b/>
          <w:bCs/>
          <w:color w:val="auto"/>
          <w:spacing w:val="20"/>
          <w:sz w:val="28"/>
          <w:szCs w:val="32"/>
          <w:highlight w:val="none"/>
        </w:rPr>
      </w:pPr>
    </w:p>
    <w:p w14:paraId="5DC7E36F">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u w:val="single"/>
          <w:lang w:val="en-US" w:eastAsia="zh-CN"/>
        </w:rPr>
        <w:t xml:space="preserve"> 介休市公安局交通管理大队</w:t>
      </w:r>
      <w:r>
        <w:rPr>
          <w:rFonts w:hint="eastAsia" w:asciiTheme="minorEastAsia" w:hAnsiTheme="minorEastAsia" w:eastAsiaTheme="minorEastAsia" w:cstheme="minorEastAsia"/>
          <w:b/>
          <w:bCs/>
          <w:color w:val="auto"/>
          <w:sz w:val="32"/>
          <w:highlight w:val="none"/>
          <w:u w:val="single"/>
          <w:lang w:val="en-US" w:eastAsia="zh-CN"/>
        </w:rPr>
        <w:t xml:space="preserve">  </w:t>
      </w:r>
      <w:r>
        <w:rPr>
          <w:rFonts w:hint="eastAsia" w:asciiTheme="minorEastAsia" w:hAnsiTheme="minorEastAsia" w:eastAsiaTheme="minorEastAsia" w:cstheme="minorEastAsia"/>
          <w:b/>
          <w:bCs/>
          <w:color w:val="auto"/>
          <w:sz w:val="32"/>
          <w:highlight w:val="none"/>
          <w:u w:val="single"/>
        </w:rPr>
        <w:t xml:space="preserve"> (盖章) </w:t>
      </w:r>
    </w:p>
    <w:p w14:paraId="550F80B5">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color w:val="auto"/>
          <w:sz w:val="32"/>
          <w:highlight w:val="none"/>
          <w:lang w:eastAsia="zh-CN"/>
        </w:rPr>
      </w:pPr>
    </w:p>
    <w:p w14:paraId="09AD45D3">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sz w:val="32"/>
          <w:highlight w:val="none"/>
          <w:lang w:eastAsia="zh-CN"/>
        </w:rPr>
      </w:pPr>
    </w:p>
    <w:p w14:paraId="1A81E3C3">
      <w:pPr>
        <w:pStyle w:val="15"/>
        <w:rPr>
          <w:rFonts w:hint="eastAsia" w:asciiTheme="minorEastAsia" w:hAnsiTheme="minorEastAsia" w:eastAsiaTheme="minorEastAsia" w:cstheme="minorEastAsia"/>
          <w:highlight w:val="none"/>
          <w:lang w:eastAsia="zh-CN"/>
        </w:rPr>
      </w:pPr>
    </w:p>
    <w:p w14:paraId="601C5A25">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sz w:val="32"/>
          <w:highlight w:val="none"/>
        </w:rPr>
      </w:pPr>
      <w:r>
        <w:rPr>
          <w:rFonts w:hint="eastAsia" w:asciiTheme="minorEastAsia" w:hAnsiTheme="minorEastAsia" w:eastAsiaTheme="minorEastAsia" w:cstheme="minorEastAsia"/>
          <w:b/>
          <w:bCs/>
          <w:sz w:val="32"/>
          <w:highlight w:val="none"/>
          <w:lang w:eastAsia="zh-CN"/>
        </w:rPr>
        <w:t>采购</w:t>
      </w:r>
      <w:r>
        <w:rPr>
          <w:rFonts w:hint="eastAsia" w:asciiTheme="minorEastAsia" w:hAnsiTheme="minorEastAsia" w:eastAsiaTheme="minorEastAsia" w:cstheme="minorEastAsia"/>
          <w:b/>
          <w:bCs/>
          <w:sz w:val="32"/>
          <w:highlight w:val="none"/>
        </w:rPr>
        <w:t>代理机构：</w:t>
      </w:r>
      <w:r>
        <w:rPr>
          <w:rFonts w:hint="eastAsia" w:asciiTheme="minorEastAsia" w:hAnsiTheme="minorEastAsia" w:eastAsiaTheme="minorEastAsia" w:cstheme="minorEastAsia"/>
          <w:b/>
          <w:bCs/>
          <w:sz w:val="32"/>
          <w:szCs w:val="32"/>
          <w:highlight w:val="none"/>
          <w:u w:val="single"/>
          <w:lang w:val="en-US" w:eastAsia="zh-CN"/>
        </w:rPr>
        <w:t xml:space="preserve"> </w:t>
      </w:r>
      <w:r>
        <w:rPr>
          <w:rFonts w:hint="eastAsia" w:asciiTheme="minorEastAsia" w:hAnsiTheme="minorEastAsia" w:eastAsiaTheme="minorEastAsia" w:cstheme="minorEastAsia"/>
          <w:b/>
          <w:bCs/>
          <w:sz w:val="32"/>
          <w:highlight w:val="none"/>
          <w:u w:val="single"/>
          <w:lang w:eastAsia="zh-CN"/>
        </w:rPr>
        <w:t>山西诺薇项目管理有限公司</w:t>
      </w:r>
      <w:r>
        <w:rPr>
          <w:rFonts w:hint="eastAsia" w:asciiTheme="minorEastAsia" w:hAnsiTheme="minorEastAsia" w:eastAsiaTheme="minorEastAsia" w:cstheme="minorEastAsia"/>
          <w:b/>
          <w:bCs/>
          <w:sz w:val="32"/>
          <w:highlight w:val="none"/>
          <w:u w:val="single"/>
          <w:lang w:val="en-US" w:eastAsia="zh-CN"/>
        </w:rPr>
        <w:t xml:space="preserve">     </w:t>
      </w:r>
      <w:r>
        <w:rPr>
          <w:rFonts w:hint="eastAsia" w:asciiTheme="minorEastAsia" w:hAnsiTheme="minorEastAsia" w:eastAsiaTheme="minorEastAsia" w:cstheme="minorEastAsia"/>
          <w:b/>
          <w:bCs/>
          <w:sz w:val="32"/>
          <w:highlight w:val="none"/>
          <w:u w:val="single"/>
        </w:rPr>
        <w:t xml:space="preserve"> (盖章) </w:t>
      </w:r>
    </w:p>
    <w:p w14:paraId="1DD2B00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32"/>
          <w:highlight w:val="none"/>
        </w:rPr>
      </w:pPr>
    </w:p>
    <w:p w14:paraId="1412D8C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32"/>
          <w:highlight w:val="none"/>
        </w:rPr>
      </w:pPr>
    </w:p>
    <w:p w14:paraId="47D8B702">
      <w:pPr>
        <w:pStyle w:val="15"/>
        <w:jc w:val="center"/>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32"/>
          <w:highlight w:val="none"/>
          <w:lang w:eastAsia="zh-CN"/>
          <w14:textFill>
            <w14:solidFill>
              <w14:schemeClr w14:val="tx1"/>
            </w14:solidFill>
          </w14:textFill>
        </w:rPr>
        <w:t>〇二</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月</w:t>
      </w:r>
    </w:p>
    <w:p w14:paraId="71F7F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36"/>
          <w:szCs w:val="36"/>
          <w:highlight w:val="none"/>
        </w:rPr>
      </w:pPr>
    </w:p>
    <w:p w14:paraId="69984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sz w:val="36"/>
          <w:szCs w:val="36"/>
          <w:highlight w:val="none"/>
          <w:lang w:val="en-US" w:eastAsia="zh-CN"/>
        </w:rPr>
        <w:sectPr>
          <w:headerReference r:id="rId4" w:type="first"/>
          <w:footerReference r:id="rId6" w:type="first"/>
          <w:headerReference r:id="rId3" w:type="default"/>
          <w:footerReference r:id="rId5" w:type="default"/>
          <w:pgSz w:w="11905" w:h="16838"/>
          <w:pgMar w:top="1417" w:right="1134" w:bottom="1417" w:left="1134"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14:paraId="4DA14F0E">
      <w:pPr>
        <w:keepNext w:val="0"/>
        <w:keepLines w:val="0"/>
        <w:pageBreakBefore w:val="0"/>
        <w:widowControl w:val="0"/>
        <w:kinsoku/>
        <w:wordWrap/>
        <w:overflowPunct/>
        <w:topLinePunct w:val="0"/>
        <w:autoSpaceDE/>
        <w:autoSpaceDN/>
        <w:bidi w:val="0"/>
        <w:adjustRightInd/>
        <w:snapToGrid/>
        <w:spacing w:line="240" w:lineRule="auto"/>
        <w:ind w:firstLine="4698" w:firstLineChars="1300"/>
        <w:jc w:val="both"/>
        <w:textAlignment w:val="auto"/>
        <w:rPr>
          <w:rFonts w:hint="eastAsia" w:asciiTheme="minorEastAsia" w:hAnsiTheme="minorEastAsia" w:eastAsiaTheme="minorEastAsia" w:cstheme="minorEastAsia"/>
          <w:b/>
          <w:sz w:val="36"/>
          <w:szCs w:val="36"/>
          <w:highlight w:val="none"/>
        </w:rPr>
      </w:pPr>
    </w:p>
    <w:p w14:paraId="5C42824D">
      <w:pPr>
        <w:keepNext w:val="0"/>
        <w:keepLines w:val="0"/>
        <w:pageBreakBefore w:val="0"/>
        <w:widowControl w:val="0"/>
        <w:kinsoku/>
        <w:wordWrap/>
        <w:overflowPunct/>
        <w:topLinePunct w:val="0"/>
        <w:autoSpaceDE/>
        <w:autoSpaceDN/>
        <w:bidi w:val="0"/>
        <w:adjustRightInd/>
        <w:snapToGrid/>
        <w:spacing w:line="240" w:lineRule="auto"/>
        <w:ind w:firstLine="4698" w:firstLineChars="1300"/>
        <w:jc w:val="both"/>
        <w:textAlignment w:val="auto"/>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目  录</w:t>
      </w:r>
    </w:p>
    <w:p w14:paraId="7212F1A7">
      <w:pPr>
        <w:pStyle w:val="2"/>
        <w:rPr>
          <w:rFonts w:hint="eastAsia"/>
        </w:rPr>
      </w:pPr>
    </w:p>
    <w:p w14:paraId="3D1683C1">
      <w:pPr>
        <w:rPr>
          <w:rFonts w:hint="eastAsia"/>
        </w:rPr>
      </w:pPr>
    </w:p>
    <w:p w14:paraId="639B6463">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4"/>
          <w:szCs w:val="24"/>
          <w:highlight w:val="none"/>
        </w:rPr>
        <w:fldChar w:fldCharType="begin"/>
      </w:r>
      <w:r>
        <w:rPr>
          <w:rFonts w:hint="eastAsia" w:asciiTheme="minorEastAsia" w:hAnsiTheme="minorEastAsia" w:eastAsiaTheme="minorEastAsia" w:cstheme="minorEastAsia"/>
          <w:b/>
          <w:sz w:val="24"/>
          <w:szCs w:val="24"/>
          <w:highlight w:val="none"/>
        </w:rPr>
        <w:instrText xml:space="preserve">TOC \o "1-2" \f \h \u </w:instrText>
      </w:r>
      <w:r>
        <w:rPr>
          <w:rFonts w:hint="eastAsia" w:asciiTheme="minorEastAsia" w:hAnsiTheme="minorEastAsia" w:eastAsiaTheme="minorEastAsia" w:cstheme="minorEastAsia"/>
          <w:b/>
          <w:sz w:val="24"/>
          <w:szCs w:val="24"/>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_Toc12848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kern w:val="0"/>
          <w:sz w:val="28"/>
          <w:szCs w:val="28"/>
          <w:highlight w:val="none"/>
        </w:rPr>
        <w:t>第一</w:t>
      </w:r>
      <w:r>
        <w:rPr>
          <w:rFonts w:hint="eastAsia" w:asciiTheme="minorEastAsia" w:hAnsiTheme="minorEastAsia" w:eastAsiaTheme="minorEastAsia" w:cstheme="minorEastAsia"/>
          <w:kern w:val="0"/>
          <w:sz w:val="28"/>
          <w:szCs w:val="28"/>
          <w:highlight w:val="none"/>
          <w:lang w:eastAsia="zh-CN"/>
        </w:rPr>
        <w:t>部分</w:t>
      </w:r>
      <w:r>
        <w:rPr>
          <w:rFonts w:hint="eastAsia" w:asciiTheme="minorEastAsia" w:hAnsiTheme="minorEastAsia" w:eastAsiaTheme="minorEastAsia" w:cstheme="minorEastAsia"/>
          <w:kern w:val="0"/>
          <w:sz w:val="28"/>
          <w:szCs w:val="28"/>
          <w:highlight w:val="none"/>
        </w:rPr>
        <w:t xml:space="preserve"> </w:t>
      </w:r>
      <w:r>
        <w:rPr>
          <w:rFonts w:hint="eastAsia" w:asciiTheme="minorEastAsia" w:hAnsiTheme="minorEastAsia" w:eastAsiaTheme="minorEastAsia" w:cstheme="minorEastAsia"/>
          <w:kern w:val="0"/>
          <w:sz w:val="28"/>
          <w:szCs w:val="28"/>
          <w:highlight w:val="none"/>
          <w:lang w:eastAsia="zh-CN"/>
        </w:rPr>
        <w:t>磋商</w:t>
      </w:r>
      <w:r>
        <w:rPr>
          <w:rFonts w:hint="eastAsia" w:asciiTheme="minorEastAsia" w:hAnsiTheme="minorEastAsia" w:eastAsiaTheme="minorEastAsia" w:cstheme="minorEastAsia"/>
          <w:kern w:val="0"/>
          <w:sz w:val="28"/>
          <w:szCs w:val="28"/>
          <w:highlight w:val="none"/>
        </w:rPr>
        <w:t>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p>
    <w:p w14:paraId="0E8FB4EC">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_Toc6530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第二</w:t>
      </w:r>
      <w:r>
        <w:rPr>
          <w:rFonts w:hint="eastAsia" w:asciiTheme="minorEastAsia" w:hAnsiTheme="minorEastAsia" w:eastAsiaTheme="minorEastAsia" w:cstheme="minorEastAsia"/>
          <w:bCs/>
          <w:sz w:val="28"/>
          <w:szCs w:val="28"/>
          <w:highlight w:val="none"/>
          <w:lang w:eastAsia="zh-CN"/>
        </w:rPr>
        <w:t>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eastAsia="zh-CN"/>
        </w:rPr>
        <w:t>供应商</w:t>
      </w:r>
      <w:r>
        <w:rPr>
          <w:rFonts w:hint="eastAsia" w:asciiTheme="minorEastAsia" w:hAnsiTheme="minorEastAsia" w:eastAsiaTheme="minorEastAsia" w:cstheme="minorEastAsia"/>
          <w:bCs/>
          <w:sz w:val="28"/>
          <w:szCs w:val="28"/>
          <w:highlight w:val="none"/>
        </w:rPr>
        <w:t>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fldChar w:fldCharType="end"/>
      </w:r>
    </w:p>
    <w:p w14:paraId="6542C3DF">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_Toc538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lang w:val="en-US" w:eastAsia="zh-CN"/>
        </w:rPr>
        <w:t xml:space="preserve">第三部分 </w:t>
      </w:r>
      <w:r>
        <w:rPr>
          <w:rFonts w:hint="eastAsia" w:asciiTheme="minorEastAsia" w:hAnsiTheme="minorEastAsia" w:eastAsiaTheme="minorEastAsia" w:cstheme="minorEastAsia"/>
          <w:bCs/>
          <w:sz w:val="28"/>
          <w:szCs w:val="28"/>
          <w:highlight w:val="none"/>
          <w:lang w:eastAsia="zh-CN"/>
        </w:rPr>
        <w:t>评标标准和评标办法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1</w:t>
      </w:r>
    </w:p>
    <w:p w14:paraId="2FB64E79">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_Toc31028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四部分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val="en-US" w:eastAsia="zh-CN"/>
        </w:rPr>
        <w:t>商务、技术</w:t>
      </w:r>
      <w:r>
        <w:rPr>
          <w:rFonts w:hint="eastAsia" w:asciiTheme="minorEastAsia" w:hAnsiTheme="minorEastAsia" w:eastAsiaTheme="minorEastAsia" w:cstheme="minorEastAsia"/>
          <w:bCs/>
          <w:sz w:val="28"/>
          <w:szCs w:val="28"/>
          <w:highlight w:val="none"/>
          <w:lang w:eastAsia="zh-CN"/>
        </w:rPr>
        <w:t>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6</w:t>
      </w:r>
    </w:p>
    <w:p w14:paraId="4E2B0754">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_Toc21799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五部分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val="en-US" w:eastAsia="zh-CN"/>
        </w:rPr>
        <w:t>采购合同</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7</w:t>
      </w:r>
    </w:p>
    <w:p w14:paraId="0B197445">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_Toc29892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六部分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eastAsia="zh-CN"/>
        </w:rPr>
        <w:t>响应文件</w:t>
      </w:r>
      <w:r>
        <w:rPr>
          <w:rFonts w:hint="eastAsia" w:asciiTheme="minorEastAsia" w:hAnsiTheme="minorEastAsia" w:eastAsiaTheme="minorEastAsia" w:cstheme="minorEastAsia"/>
          <w:bCs/>
          <w:sz w:val="28"/>
          <w:szCs w:val="28"/>
          <w:highlight w:val="none"/>
        </w:rPr>
        <w:t>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9</w:t>
      </w:r>
    </w:p>
    <w:p w14:paraId="30C9CB72">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600" w:lineRule="exact"/>
        <w:textAlignment w:val="auto"/>
        <w:rPr>
          <w:rFonts w:hint="eastAsia" w:asciiTheme="minorEastAsia" w:hAnsiTheme="minorEastAsia" w:eastAsiaTheme="minorEastAsia" w:cstheme="minorEastAsia"/>
          <w:sz w:val="24"/>
          <w:szCs w:val="24"/>
          <w:highlight w:val="none"/>
        </w:rPr>
      </w:pPr>
    </w:p>
    <w:p w14:paraId="419A086F">
      <w:pPr>
        <w:keepNext w:val="0"/>
        <w:keepLines w:val="0"/>
        <w:pageBreakBefore w:val="0"/>
        <w:widowControl w:val="0"/>
        <w:tabs>
          <w:tab w:val="left" w:pos="5713"/>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eastAsia="zh-CN"/>
        </w:rPr>
        <w:tab/>
      </w:r>
    </w:p>
    <w:p w14:paraId="1C055D4A">
      <w:pPr>
        <w:ind w:firstLine="2570" w:firstLineChars="800"/>
        <w:rPr>
          <w:rFonts w:hint="eastAsia" w:asciiTheme="minorEastAsia" w:hAnsiTheme="minorEastAsia" w:eastAsiaTheme="minorEastAsia" w:cstheme="minorEastAsia"/>
          <w:b/>
          <w:bCs/>
          <w:sz w:val="32"/>
          <w:szCs w:val="32"/>
          <w:highlight w:val="none"/>
          <w:lang w:val="en-US" w:eastAsia="zh-CN"/>
        </w:rPr>
      </w:pPr>
    </w:p>
    <w:p w14:paraId="6FBE0267">
      <w:pPr>
        <w:ind w:firstLine="2570" w:firstLineChars="800"/>
        <w:rPr>
          <w:rFonts w:hint="eastAsia" w:asciiTheme="minorEastAsia" w:hAnsiTheme="minorEastAsia" w:eastAsiaTheme="minorEastAsia" w:cstheme="minorEastAsia"/>
          <w:b/>
          <w:bCs/>
          <w:sz w:val="32"/>
          <w:szCs w:val="32"/>
          <w:highlight w:val="none"/>
          <w:lang w:val="en-US" w:eastAsia="zh-CN"/>
        </w:rPr>
      </w:pPr>
    </w:p>
    <w:p w14:paraId="1A99A2AB">
      <w:pPr>
        <w:ind w:firstLine="2570" w:firstLineChars="800"/>
        <w:rPr>
          <w:rFonts w:hint="eastAsia" w:asciiTheme="minorEastAsia" w:hAnsiTheme="minorEastAsia" w:eastAsiaTheme="minorEastAsia" w:cstheme="minorEastAsia"/>
          <w:b/>
          <w:bCs/>
          <w:sz w:val="32"/>
          <w:szCs w:val="32"/>
          <w:highlight w:val="none"/>
          <w:lang w:val="en-US" w:eastAsia="zh-CN"/>
        </w:rPr>
      </w:pPr>
    </w:p>
    <w:p w14:paraId="2A083EF2">
      <w:pPr>
        <w:ind w:firstLine="2570" w:firstLineChars="800"/>
        <w:rPr>
          <w:rFonts w:hint="eastAsia" w:asciiTheme="minorEastAsia" w:hAnsiTheme="minorEastAsia" w:eastAsiaTheme="minorEastAsia" w:cstheme="minorEastAsia"/>
          <w:b/>
          <w:bCs/>
          <w:sz w:val="32"/>
          <w:szCs w:val="32"/>
          <w:highlight w:val="none"/>
          <w:lang w:val="en-US" w:eastAsia="zh-CN"/>
        </w:rPr>
      </w:pPr>
    </w:p>
    <w:p w14:paraId="4B4C31B1">
      <w:pPr>
        <w:ind w:firstLine="2570" w:firstLineChars="800"/>
        <w:rPr>
          <w:rFonts w:hint="eastAsia" w:asciiTheme="minorEastAsia" w:hAnsiTheme="minorEastAsia" w:eastAsiaTheme="minorEastAsia" w:cstheme="minorEastAsia"/>
          <w:b/>
          <w:bCs/>
          <w:sz w:val="32"/>
          <w:szCs w:val="32"/>
          <w:highlight w:val="none"/>
          <w:lang w:val="en-US" w:eastAsia="zh-CN"/>
        </w:rPr>
      </w:pPr>
    </w:p>
    <w:p w14:paraId="7A33549F">
      <w:pPr>
        <w:ind w:firstLine="2570" w:firstLineChars="800"/>
        <w:rPr>
          <w:rFonts w:hint="eastAsia" w:asciiTheme="minorEastAsia" w:hAnsiTheme="minorEastAsia" w:eastAsiaTheme="minorEastAsia" w:cstheme="minorEastAsia"/>
          <w:b/>
          <w:bCs/>
          <w:sz w:val="32"/>
          <w:szCs w:val="32"/>
          <w:highlight w:val="none"/>
          <w:lang w:val="en-US" w:eastAsia="zh-CN"/>
        </w:rPr>
      </w:pPr>
    </w:p>
    <w:p w14:paraId="64503CDA">
      <w:pPr>
        <w:ind w:firstLine="2570" w:firstLineChars="800"/>
        <w:rPr>
          <w:rFonts w:hint="eastAsia" w:asciiTheme="minorEastAsia" w:hAnsiTheme="minorEastAsia" w:eastAsiaTheme="minorEastAsia" w:cstheme="minorEastAsia"/>
          <w:b/>
          <w:bCs/>
          <w:sz w:val="32"/>
          <w:szCs w:val="32"/>
          <w:highlight w:val="none"/>
          <w:lang w:val="en-US" w:eastAsia="zh-CN"/>
        </w:rPr>
      </w:pPr>
    </w:p>
    <w:p w14:paraId="3AA4D1E1">
      <w:pPr>
        <w:ind w:firstLine="2570" w:firstLineChars="800"/>
        <w:rPr>
          <w:rFonts w:hint="eastAsia" w:asciiTheme="minorEastAsia" w:hAnsiTheme="minorEastAsia" w:eastAsiaTheme="minorEastAsia" w:cstheme="minorEastAsia"/>
          <w:b/>
          <w:bCs/>
          <w:sz w:val="32"/>
          <w:szCs w:val="32"/>
          <w:highlight w:val="none"/>
          <w:lang w:val="en-US" w:eastAsia="zh-CN"/>
        </w:rPr>
      </w:pPr>
    </w:p>
    <w:p w14:paraId="6A9EA895">
      <w:pPr>
        <w:ind w:firstLine="2570" w:firstLineChars="800"/>
        <w:rPr>
          <w:rFonts w:hint="eastAsia" w:asciiTheme="minorEastAsia" w:hAnsiTheme="minorEastAsia" w:eastAsiaTheme="minorEastAsia" w:cstheme="minorEastAsia"/>
          <w:b/>
          <w:bCs/>
          <w:sz w:val="32"/>
          <w:szCs w:val="32"/>
          <w:highlight w:val="none"/>
          <w:lang w:val="en-US" w:eastAsia="zh-CN"/>
        </w:rPr>
      </w:pPr>
    </w:p>
    <w:p w14:paraId="43E99886">
      <w:pPr>
        <w:ind w:firstLine="2570" w:firstLineChars="800"/>
        <w:rPr>
          <w:rFonts w:hint="eastAsia" w:asciiTheme="minorEastAsia" w:hAnsiTheme="minorEastAsia" w:eastAsiaTheme="minorEastAsia" w:cstheme="minorEastAsia"/>
          <w:b/>
          <w:bCs/>
          <w:sz w:val="32"/>
          <w:szCs w:val="32"/>
          <w:highlight w:val="none"/>
          <w:lang w:val="en-US" w:eastAsia="zh-CN"/>
        </w:rPr>
      </w:pPr>
    </w:p>
    <w:p w14:paraId="606E96AC">
      <w:pPr>
        <w:ind w:firstLine="2570" w:firstLineChars="800"/>
        <w:rPr>
          <w:rFonts w:hint="eastAsia" w:asciiTheme="minorEastAsia" w:hAnsiTheme="minorEastAsia" w:eastAsiaTheme="minorEastAsia" w:cstheme="minorEastAsia"/>
          <w:b/>
          <w:bCs/>
          <w:sz w:val="32"/>
          <w:szCs w:val="32"/>
          <w:highlight w:val="none"/>
          <w:lang w:val="en-US" w:eastAsia="zh-CN"/>
        </w:rPr>
      </w:pPr>
    </w:p>
    <w:p w14:paraId="7D96316C">
      <w:pPr>
        <w:ind w:firstLine="2570" w:firstLineChars="800"/>
        <w:rPr>
          <w:rFonts w:hint="eastAsia" w:asciiTheme="minorEastAsia" w:hAnsiTheme="minorEastAsia" w:eastAsiaTheme="minorEastAsia" w:cstheme="minorEastAsia"/>
          <w:b/>
          <w:bCs/>
          <w:sz w:val="32"/>
          <w:szCs w:val="32"/>
          <w:highlight w:val="none"/>
          <w:lang w:val="en-US" w:eastAsia="zh-CN"/>
        </w:rPr>
      </w:pPr>
    </w:p>
    <w:p w14:paraId="62424D04">
      <w:pPr>
        <w:ind w:firstLine="2570" w:firstLineChars="800"/>
        <w:rPr>
          <w:rFonts w:hint="eastAsia" w:asciiTheme="minorEastAsia" w:hAnsiTheme="minorEastAsia" w:eastAsiaTheme="minorEastAsia" w:cstheme="minorEastAsia"/>
          <w:b/>
          <w:bCs/>
          <w:sz w:val="32"/>
          <w:szCs w:val="32"/>
          <w:highlight w:val="none"/>
          <w:lang w:val="en-US" w:eastAsia="zh-CN"/>
        </w:rPr>
      </w:pPr>
    </w:p>
    <w:p w14:paraId="36BC9A88">
      <w:pPr>
        <w:ind w:firstLine="2570" w:firstLineChars="800"/>
        <w:rPr>
          <w:rFonts w:hint="eastAsia" w:asciiTheme="minorEastAsia" w:hAnsiTheme="minorEastAsia" w:eastAsiaTheme="minorEastAsia" w:cstheme="minorEastAsia"/>
          <w:b/>
          <w:bCs/>
          <w:sz w:val="32"/>
          <w:szCs w:val="32"/>
          <w:highlight w:val="none"/>
          <w:lang w:val="en-US" w:eastAsia="zh-CN"/>
        </w:rPr>
      </w:pPr>
    </w:p>
    <w:p w14:paraId="09FED577">
      <w:pPr>
        <w:ind w:firstLine="2570" w:firstLineChars="800"/>
        <w:rPr>
          <w:rFonts w:hint="eastAsia" w:asciiTheme="minorEastAsia" w:hAnsiTheme="minorEastAsia" w:eastAsiaTheme="minorEastAsia" w:cstheme="minorEastAsia"/>
          <w:b/>
          <w:bCs/>
          <w:sz w:val="32"/>
          <w:szCs w:val="32"/>
          <w:highlight w:val="none"/>
          <w:lang w:val="en-US" w:eastAsia="zh-CN"/>
        </w:rPr>
      </w:pPr>
    </w:p>
    <w:p w14:paraId="6D707203">
      <w:pPr>
        <w:ind w:firstLine="2891" w:firstLineChars="900"/>
        <w:rPr>
          <w:rFonts w:hint="eastAsia" w:asciiTheme="minorEastAsia" w:hAnsiTheme="minorEastAsia" w:eastAsiaTheme="minorEastAsia" w:cstheme="minorEastAsia"/>
          <w:b/>
          <w:bCs/>
          <w:sz w:val="32"/>
          <w:szCs w:val="32"/>
          <w:highlight w:val="none"/>
          <w:lang w:val="en-US" w:eastAsia="zh-CN"/>
        </w:rPr>
      </w:pPr>
    </w:p>
    <w:p w14:paraId="40F15244">
      <w:pPr>
        <w:pStyle w:val="73"/>
        <w:rPr>
          <w:rFonts w:hint="eastAsia"/>
          <w:lang w:val="en-US" w:eastAsia="zh-CN"/>
        </w:rPr>
      </w:pPr>
    </w:p>
    <w:p w14:paraId="18C4B5D4">
      <w:pPr>
        <w:ind w:firstLine="3213" w:firstLineChars="100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第一部分    磋商公告</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14:paraId="7739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top"/>
          </w:tcPr>
          <w:p w14:paraId="65499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项目概况</w:t>
            </w:r>
          </w:p>
          <w:p w14:paraId="600BB078">
            <w:pPr>
              <w:pStyle w:val="15"/>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电子警察、卡口、测速、视频监控系统日常维护单位采购的潜在供应商应在山西政府采购平台（https://login.sxzfcg.zcygov.cn/user-login/#/login）线上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文件，并于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6月15日15点00分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（北京时间）前提交响应文件。</w:t>
            </w:r>
          </w:p>
        </w:tc>
      </w:tr>
    </w:tbl>
    <w:p w14:paraId="3419A8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一、项目基本情况</w:t>
      </w:r>
    </w:p>
    <w:p w14:paraId="0305860C">
      <w:pPr>
        <w:keepNext w:val="0"/>
        <w:keepLines w:val="0"/>
        <w:pageBreakBefore w:val="0"/>
        <w:widowControl w:val="0"/>
        <w:tabs>
          <w:tab w:val="left" w:pos="800"/>
          <w:tab w:val="center" w:pos="4677"/>
          <w:tab w:val="left" w:pos="7900"/>
        </w:tabs>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Theme="minorEastAsia" w:hAnsiTheme="minorEastAsia" w:eastAsiaTheme="minorEastAsia" w:cstheme="minorEastAsia"/>
          <w:b w:val="0"/>
          <w:bCs w:val="0"/>
          <w:color w:val="FF0000"/>
          <w:kern w:val="2"/>
          <w:sz w:val="24"/>
          <w:szCs w:val="24"/>
          <w:highlight w:val="none"/>
          <w:lang w:val="en-US" w:eastAsia="zh-CN" w:bidi="ar-SA"/>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项目编号：1407812026CCS00094</w:t>
      </w:r>
    </w:p>
    <w:p w14:paraId="4E43AAA4">
      <w:pPr>
        <w:tabs>
          <w:tab w:val="left" w:pos="800"/>
          <w:tab w:val="center" w:pos="4677"/>
          <w:tab w:val="left" w:pos="7900"/>
        </w:tabs>
        <w:spacing w:line="360" w:lineRule="auto"/>
        <w:ind w:firstLine="480" w:firstLineChars="20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项目名称：</w:t>
      </w:r>
      <w:r>
        <w:rPr>
          <w:rFonts w:hint="eastAsia" w:asciiTheme="minorEastAsia" w:hAnsiTheme="minorEastAsia" w:eastAsiaTheme="minorEastAsia" w:cstheme="minorEastAsia"/>
          <w:color w:val="auto"/>
          <w:sz w:val="24"/>
          <w:szCs w:val="24"/>
          <w:highlight w:val="none"/>
          <w:lang w:val="en-US" w:eastAsia="zh-CN"/>
        </w:rPr>
        <w:t>电子警察、卡口、测速、视频监控系统日常维护单位采购</w:t>
      </w:r>
    </w:p>
    <w:p w14:paraId="50B9F0B1">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采购方式：竞争性磋商</w:t>
      </w:r>
    </w:p>
    <w:p w14:paraId="7CD5A7FF">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预算金额：941274.96元/年</w:t>
      </w:r>
    </w:p>
    <w:p w14:paraId="60139C77">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r>
        <w:rPr>
          <w:rFonts w:hint="eastAsia" w:ascii="宋体" w:hAnsi="宋体" w:cs="宋体"/>
          <w:color w:val="auto"/>
          <w:kern w:val="0"/>
          <w:sz w:val="24"/>
          <w:szCs w:val="24"/>
          <w:highlight w:val="none"/>
          <w:lang w:val="en-US" w:eastAsia="zh-CN" w:bidi="ar-SA"/>
        </w:rPr>
        <w:t>主要服务内容为对介休市内所有交通卡口抓拍机、闪光灯、终端服务器、违停球机、流量抓拍、信号灯检测器、雷达等设备</w:t>
      </w:r>
      <w:r>
        <w:rPr>
          <w:rFonts w:hint="eastAsia" w:asciiTheme="minorEastAsia" w:hAnsiTheme="minorEastAsia" w:eastAsiaTheme="minorEastAsia" w:cstheme="minorEastAsia"/>
          <w:color w:val="auto"/>
          <w:sz w:val="24"/>
          <w:szCs w:val="24"/>
          <w:highlight w:val="none"/>
          <w:lang w:val="en-US" w:eastAsia="zh-CN"/>
        </w:rPr>
        <w:t>进行日常维护</w:t>
      </w:r>
      <w:r>
        <w:rPr>
          <w:rFonts w:hint="eastAsia" w:ascii="宋体" w:hAnsi="宋体" w:cs="宋体"/>
          <w:color w:val="auto"/>
          <w:kern w:val="0"/>
          <w:sz w:val="24"/>
          <w:szCs w:val="24"/>
          <w:highlight w:val="none"/>
          <w:lang w:val="en-US" w:eastAsia="zh-CN" w:bidi="ar-SA"/>
        </w:rPr>
        <w:t>，项目预算：</w:t>
      </w:r>
      <w:r>
        <w:rPr>
          <w:rFonts w:hint="eastAsia" w:asciiTheme="minorEastAsia" w:hAnsiTheme="minorEastAsia" w:eastAsiaTheme="minorEastAsia" w:cstheme="minorEastAsia"/>
          <w:b w:val="0"/>
          <w:bCs w:val="0"/>
          <w:color w:val="auto"/>
          <w:sz w:val="24"/>
          <w:szCs w:val="24"/>
          <w:highlight w:val="none"/>
          <w:lang w:val="en-US" w:eastAsia="zh-CN"/>
        </w:rPr>
        <w:t>941274.96元/年，</w:t>
      </w:r>
      <w:r>
        <w:rPr>
          <w:rFonts w:hint="eastAsia" w:ascii="宋体" w:hAnsi="宋体" w:eastAsia="宋体" w:cs="宋体"/>
          <w:color w:val="auto"/>
          <w:kern w:val="0"/>
          <w:sz w:val="24"/>
          <w:szCs w:val="24"/>
          <w:highlight w:val="none"/>
          <w:lang w:val="en-US" w:eastAsia="zh-CN" w:bidi="ar-SA"/>
        </w:rPr>
        <w:t>具体报价范围、采购范围及所应达到的具体要求，以本项目磋商文件中商务、技术和服务的相应规定为准。</w:t>
      </w:r>
    </w:p>
    <w:p w14:paraId="322EE9F1">
      <w:pPr>
        <w:pageBreakBefore w:val="0"/>
        <w:shd w:val="clear"/>
        <w:kinsoku/>
        <w:autoSpaceDE w:val="0"/>
        <w:autoSpaceDN w:val="0"/>
        <w:bidi w:val="0"/>
        <w:adjustRightInd w:val="0"/>
        <w:spacing w:line="360" w:lineRule="auto"/>
        <w:ind w:firstLine="480"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合同履行期限：3年</w:t>
      </w:r>
    </w:p>
    <w:p w14:paraId="1C898262">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本项目不接受联合体。</w:t>
      </w:r>
    </w:p>
    <w:p w14:paraId="52B694D4">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二、申请人的资格要求：</w:t>
      </w:r>
    </w:p>
    <w:p w14:paraId="094CC423">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3C8E0E09">
      <w:pPr>
        <w:pageBreakBefore w:val="0"/>
        <w:widowControl/>
        <w:kinsoku/>
        <w:overflowPunct/>
        <w:bidi w:val="0"/>
        <w:adjustRightInd w:val="0"/>
        <w:snapToGri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2.落实政府采购政策需满足的资格要求：</w:t>
      </w:r>
      <w:r>
        <w:rPr>
          <w:rFonts w:hint="eastAsia" w:ascii="宋体" w:hAnsi="宋体" w:cs="宋体"/>
          <w:kern w:val="0"/>
          <w:sz w:val="24"/>
          <w:szCs w:val="24"/>
          <w:highlight w:val="none"/>
          <w:lang w:val="en-US" w:eastAsia="zh-CN"/>
        </w:rPr>
        <w:t>面向</w:t>
      </w:r>
      <w:r>
        <w:rPr>
          <w:rFonts w:hint="eastAsia" w:ascii="宋体" w:hAnsi="宋体" w:eastAsia="宋体" w:cs="宋体"/>
          <w:color w:val="auto"/>
          <w:kern w:val="0"/>
          <w:sz w:val="24"/>
          <w:szCs w:val="24"/>
          <w:highlight w:val="none"/>
        </w:rPr>
        <w:t>中小企业/小微企业</w:t>
      </w:r>
      <w:r>
        <w:rPr>
          <w:rFonts w:hint="eastAsia" w:ascii="宋体" w:hAnsi="宋体" w:cs="宋体"/>
          <w:kern w:val="0"/>
          <w:sz w:val="24"/>
          <w:szCs w:val="24"/>
          <w:highlight w:val="none"/>
          <w:lang w:val="en-US" w:eastAsia="zh-CN"/>
        </w:rPr>
        <w:t>采购；</w:t>
      </w:r>
    </w:p>
    <w:p w14:paraId="67FC4908">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r>
        <w:rPr>
          <w:rFonts w:hint="eastAsia" w:ascii="宋体" w:hAnsi="宋体" w:cs="宋体"/>
          <w:color w:val="auto"/>
          <w:kern w:val="0"/>
          <w:sz w:val="24"/>
          <w:szCs w:val="24"/>
          <w:highlight w:val="none"/>
          <w:lang w:val="en-US" w:eastAsia="zh-CN" w:bidi="ar-SA"/>
        </w:rPr>
        <w:t>无。</w:t>
      </w:r>
    </w:p>
    <w:p w14:paraId="5B12FA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三、获取采购文件</w:t>
      </w:r>
    </w:p>
    <w:p w14:paraId="30FA2633">
      <w:pPr>
        <w:pageBreakBefore w:val="0"/>
        <w:kinsoku/>
        <w:overflowPunct/>
        <w:bidi w:val="0"/>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rPr>
        <w:t>1、时间：</w:t>
      </w:r>
      <w:bookmarkStart w:id="0" w:name="PO_3000000035_PM008"/>
      <w:bookmarkStart w:id="1" w:name="PO_3000000035_PM009"/>
      <w:r>
        <w:rPr>
          <w:rFonts w:hint="eastAsia" w:ascii="宋体" w:hAnsi="宋体" w:cs="宋体"/>
          <w:color w:val="000000" w:themeColor="text1"/>
          <w:kern w:val="0"/>
          <w:sz w:val="24"/>
          <w:szCs w:val="24"/>
          <w:highlight w:val="none"/>
          <w:lang w:eastAsia="zh-CN"/>
          <w14:textFill>
            <w14:solidFill>
              <w14:schemeClr w14:val="tx1"/>
            </w14:solidFill>
          </w14:textFill>
        </w:rPr>
        <w:t>2026</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月</w:t>
      </w:r>
      <w:bookmarkEnd w:id="0"/>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日00时00分00秒至</w:t>
      </w:r>
      <w:r>
        <w:rPr>
          <w:rFonts w:hint="eastAsia" w:ascii="宋体" w:hAnsi="宋体" w:cs="宋体"/>
          <w:color w:val="000000" w:themeColor="text1"/>
          <w:kern w:val="0"/>
          <w:sz w:val="24"/>
          <w:szCs w:val="24"/>
          <w:highlight w:val="none"/>
          <w:lang w:eastAsia="zh-CN"/>
          <w14:textFill>
            <w14:solidFill>
              <w14:schemeClr w14:val="tx1"/>
            </w14:solidFill>
          </w14:textFill>
        </w:rPr>
        <w:t>2026</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日</w:t>
      </w:r>
      <w:r>
        <w:rPr>
          <w:rFonts w:hint="eastAsia" w:ascii="宋体" w:hAnsi="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kern w:val="0"/>
          <w:sz w:val="24"/>
          <w:szCs w:val="24"/>
          <w:highlight w:val="none"/>
          <w14:textFill>
            <w14:solidFill>
              <w14:schemeClr w14:val="tx1"/>
            </w14:solidFill>
          </w14:textFill>
        </w:rPr>
        <w:t>时</w:t>
      </w:r>
      <w:r>
        <w:rPr>
          <w:rFonts w:hint="eastAsia" w:ascii="宋体" w:hAnsi="宋体" w:cs="宋体"/>
          <w:color w:val="000000" w:themeColor="text1"/>
          <w:kern w:val="0"/>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cs="宋体"/>
          <w:color w:val="000000" w:themeColor="text1"/>
          <w:kern w:val="0"/>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kern w:val="0"/>
          <w:sz w:val="24"/>
          <w:szCs w:val="24"/>
          <w:highlight w:val="none"/>
          <w14:textFill>
            <w14:solidFill>
              <w14:schemeClr w14:val="tx1"/>
            </w14:solidFill>
          </w14:textFill>
        </w:rPr>
        <w:t>秒</w:t>
      </w:r>
      <w:r>
        <w:rPr>
          <w:rFonts w:hint="eastAsia" w:ascii="宋体" w:hAnsi="宋体" w:eastAsia="宋体" w:cs="宋体"/>
          <w:color w:val="auto"/>
          <w:kern w:val="0"/>
          <w:sz w:val="24"/>
          <w:szCs w:val="24"/>
          <w:highlight w:val="none"/>
        </w:rPr>
        <w:t xml:space="preserve"> </w:t>
      </w:r>
      <w:bookmarkEnd w:id="1"/>
      <w:r>
        <w:rPr>
          <w:rFonts w:hint="eastAsia" w:ascii="宋体" w:hAnsi="宋体" w:eastAsia="宋体" w:cs="宋体"/>
          <w:color w:val="000000" w:themeColor="text1"/>
          <w:kern w:val="0"/>
          <w:sz w:val="24"/>
          <w:szCs w:val="24"/>
          <w14:textFill>
            <w14:solidFill>
              <w14:schemeClr w14:val="tx1"/>
            </w14:solidFill>
          </w14:textFill>
        </w:rPr>
        <w:t>（北京时间，法定节假日除外）；</w:t>
      </w:r>
    </w:p>
    <w:p w14:paraId="726F07CB">
      <w:pPr>
        <w:pageBreakBefore w:val="0"/>
        <w:kinsoku/>
        <w:overflowPunct/>
        <w:bidi w:val="0"/>
        <w:snapToGrid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地点：</w:t>
      </w:r>
      <w:bookmarkStart w:id="2" w:name="PO_3000000035_PM012"/>
      <w:r>
        <w:rPr>
          <w:rFonts w:hint="eastAsia" w:ascii="宋体" w:hAnsi="宋体" w:eastAsia="宋体" w:cs="宋体"/>
          <w:kern w:val="0"/>
          <w:sz w:val="24"/>
          <w:szCs w:val="24"/>
        </w:rPr>
        <w:t>山西政府采购平台-政采云平台(https://1ogin. sxzfcg.zcygov.cn/user-1ogin/#/login)线上获取</w:t>
      </w:r>
      <w:bookmarkEnd w:id="2"/>
      <w:r>
        <w:rPr>
          <w:rFonts w:hint="eastAsia" w:ascii="宋体" w:hAnsi="宋体" w:eastAsia="宋体" w:cs="宋体"/>
          <w:kern w:val="0"/>
          <w:sz w:val="24"/>
          <w:szCs w:val="24"/>
        </w:rPr>
        <w:t>；</w:t>
      </w:r>
    </w:p>
    <w:p w14:paraId="23671943">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kern w:val="0"/>
          <w:sz w:val="24"/>
          <w:szCs w:val="24"/>
        </w:rPr>
        <w:t>3、方式：政采云平台线上获取</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不接受现场报名</w:t>
      </w:r>
      <w:r>
        <w:rPr>
          <w:rFonts w:hint="eastAsia" w:ascii="宋体" w:hAnsi="宋体" w:eastAsia="宋体" w:cs="宋体"/>
          <w:color w:val="000000"/>
          <w:kern w:val="0"/>
          <w:sz w:val="24"/>
          <w:szCs w:val="24"/>
        </w:rPr>
        <w:t>。</w:t>
      </w:r>
    </w:p>
    <w:p w14:paraId="068838B8">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凡有意参加</w:t>
      </w:r>
      <w:r>
        <w:rPr>
          <w:rFonts w:hint="eastAsia" w:ascii="宋体" w:hAnsi="宋体" w:cs="宋体"/>
          <w:color w:val="000000"/>
          <w:kern w:val="0"/>
          <w:sz w:val="24"/>
          <w:szCs w:val="24"/>
          <w:lang w:val="en-US" w:eastAsia="zh-CN"/>
        </w:rPr>
        <w:t>磋商</w:t>
      </w:r>
      <w:r>
        <w:rPr>
          <w:rFonts w:hint="eastAsia" w:ascii="宋体" w:hAnsi="宋体" w:eastAsia="宋体" w:cs="宋体"/>
          <w:color w:val="000000"/>
          <w:kern w:val="0"/>
          <w:sz w:val="24"/>
          <w:szCs w:val="24"/>
        </w:rPr>
        <w:t>的</w:t>
      </w:r>
      <w:r>
        <w:rPr>
          <w:rFonts w:hint="eastAsia" w:ascii="宋体" w:hAnsi="宋体" w:cs="宋体"/>
          <w:color w:val="000000"/>
          <w:kern w:val="0"/>
          <w:sz w:val="24"/>
          <w:szCs w:val="24"/>
          <w:lang w:eastAsia="zh-CN"/>
        </w:rPr>
        <w:t>供应商</w:t>
      </w:r>
      <w:r>
        <w:rPr>
          <w:rFonts w:hint="eastAsia" w:ascii="宋体" w:hAnsi="宋体" w:eastAsia="宋体" w:cs="宋体"/>
          <w:color w:val="000000"/>
          <w:kern w:val="0"/>
          <w:sz w:val="24"/>
          <w:szCs w:val="24"/>
        </w:rPr>
        <w:t>，请按照以下步骤免费获取</w:t>
      </w:r>
      <w:r>
        <w:rPr>
          <w:rFonts w:hint="eastAsia" w:ascii="宋体" w:hAnsi="宋体" w:cs="宋体"/>
          <w:color w:val="000000"/>
          <w:kern w:val="0"/>
          <w:sz w:val="24"/>
          <w:szCs w:val="24"/>
          <w:lang w:eastAsia="zh-CN"/>
        </w:rPr>
        <w:t>磋商文件</w:t>
      </w:r>
      <w:r>
        <w:rPr>
          <w:rFonts w:hint="eastAsia" w:ascii="宋体" w:hAnsi="宋体" w:eastAsia="宋体" w:cs="宋体"/>
          <w:color w:val="000000"/>
          <w:kern w:val="0"/>
          <w:sz w:val="24"/>
          <w:szCs w:val="24"/>
        </w:rPr>
        <w:t>:</w:t>
      </w:r>
    </w:p>
    <w:p w14:paraId="1DDCC98F">
      <w:pPr>
        <w:pageBreakBefore w:val="0"/>
        <w:kinsoku/>
        <w:wordWrap w:val="0"/>
        <w:overflowPunct/>
        <w:autoSpaceDE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（1）在中国政府采购网山西分网完成注册，已完成注册的请跳过此步骤;</w:t>
      </w:r>
    </w:p>
    <w:p w14:paraId="0D662468">
      <w:pPr>
        <w:pageBreakBefore w:val="0"/>
        <w:kinsoku/>
        <w:wordWrap w:val="0"/>
        <w:overflowPunct/>
        <w:autoSpaceDE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（2）请于</w:t>
      </w:r>
      <w:r>
        <w:rPr>
          <w:rFonts w:hint="eastAsia" w:ascii="宋体" w:hAnsi="宋体" w:cs="宋体"/>
          <w:sz w:val="24"/>
          <w:szCs w:val="24"/>
          <w:lang w:eastAsia="zh-CN"/>
        </w:rPr>
        <w:t>磋商文件</w:t>
      </w:r>
      <w:r>
        <w:rPr>
          <w:rFonts w:hint="eastAsia" w:ascii="宋体" w:hAnsi="宋体" w:eastAsia="宋体" w:cs="宋体"/>
          <w:sz w:val="24"/>
          <w:szCs w:val="24"/>
        </w:rPr>
        <w:t>获取截止时间前(北京时间，下同)，进入山西政府采购平台(https://login.sxzfcg.zcygov.cn/user-1ogin/#/1ogin)在网上获取</w:t>
      </w:r>
      <w:r>
        <w:rPr>
          <w:rFonts w:hint="eastAsia" w:ascii="宋体" w:hAnsi="宋体" w:cs="宋体"/>
          <w:sz w:val="24"/>
          <w:szCs w:val="24"/>
          <w:lang w:eastAsia="zh-CN"/>
        </w:rPr>
        <w:t>磋商文件</w:t>
      </w:r>
      <w:r>
        <w:rPr>
          <w:rFonts w:hint="eastAsia" w:ascii="宋体" w:hAnsi="宋体" w:eastAsia="宋体" w:cs="宋体"/>
          <w:sz w:val="24"/>
          <w:szCs w:val="24"/>
        </w:rPr>
        <w:t>；</w:t>
      </w:r>
    </w:p>
    <w:p w14:paraId="29BB85A1">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4、售价：0元</w:t>
      </w:r>
    </w:p>
    <w:p w14:paraId="2BAB72EB">
      <w:pPr>
        <w:pageBreakBefore w:val="0"/>
        <w:kinsoku/>
        <w:overflowPunct/>
        <w:bidi w:val="0"/>
        <w:snapToGrid w:val="0"/>
        <w:spacing w:line="360" w:lineRule="auto"/>
        <w:rPr>
          <w:rFonts w:hint="eastAsia" w:ascii="宋体" w:hAnsi="宋体" w:eastAsia="宋体" w:cs="宋体"/>
          <w:b/>
          <w:bCs/>
          <w:color w:val="auto"/>
          <w:kern w:val="0"/>
          <w:sz w:val="24"/>
          <w:szCs w:val="24"/>
        </w:rPr>
      </w:pPr>
      <w:bookmarkStart w:id="3" w:name="_Toc35393634"/>
      <w:bookmarkStart w:id="4" w:name="_Toc28359094"/>
      <w:bookmarkStart w:id="5" w:name="_Toc35393803"/>
      <w:bookmarkStart w:id="6" w:name="_Toc28359017"/>
      <w:r>
        <w:rPr>
          <w:rFonts w:hint="eastAsia" w:ascii="宋体" w:hAnsi="宋体" w:eastAsia="宋体" w:cs="宋体"/>
          <w:b/>
          <w:bCs/>
          <w:color w:val="auto"/>
          <w:kern w:val="0"/>
          <w:sz w:val="24"/>
          <w:szCs w:val="24"/>
          <w:lang w:val="en-US" w:eastAsia="zh-CN" w:bidi="ar-SA"/>
        </w:rPr>
        <w:t>四、响应文件提交、</w:t>
      </w:r>
      <w:r>
        <w:rPr>
          <w:rFonts w:hint="eastAsia" w:ascii="宋体" w:hAnsi="宋体" w:cs="宋体"/>
          <w:b/>
          <w:bCs/>
          <w:color w:val="auto"/>
          <w:kern w:val="0"/>
          <w:sz w:val="24"/>
          <w:szCs w:val="24"/>
          <w:lang w:val="en-US" w:eastAsia="zh-CN" w:bidi="ar-SA"/>
        </w:rPr>
        <w:t>开启</w:t>
      </w:r>
      <w:r>
        <w:rPr>
          <w:rFonts w:hint="eastAsia" w:ascii="宋体" w:hAnsi="宋体" w:eastAsia="宋体" w:cs="宋体"/>
          <w:b/>
          <w:bCs/>
          <w:color w:val="auto"/>
          <w:kern w:val="0"/>
          <w:sz w:val="24"/>
          <w:szCs w:val="24"/>
          <w:lang w:val="en-US" w:eastAsia="zh-CN" w:bidi="ar-SA"/>
        </w:rPr>
        <w:t>时间和地点</w:t>
      </w:r>
    </w:p>
    <w:p w14:paraId="53C6303E">
      <w:pPr>
        <w:pageBreakBefore w:val="0"/>
        <w:kinsoku/>
        <w:overflowPunct/>
        <w:bidi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截止</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highlight w:val="none"/>
        </w:rPr>
        <w:t>：</w:t>
      </w:r>
      <w:r>
        <w:rPr>
          <w:rFonts w:hint="eastAsia" w:ascii="宋体" w:hAnsi="宋体" w:cs="宋体"/>
          <w:b w:val="0"/>
          <w:bCs w:val="0"/>
          <w:color w:val="auto"/>
          <w:kern w:val="0"/>
          <w:sz w:val="24"/>
          <w:szCs w:val="24"/>
          <w:highlight w:val="none"/>
          <w:lang w:val="en-US" w:eastAsia="zh-CN" w:bidi="ar-SA"/>
        </w:rPr>
        <w:t>2026年6月15日15：00：00</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（北京时间）</w:t>
      </w:r>
    </w:p>
    <w:p w14:paraId="3B21D428">
      <w:pPr>
        <w:pageBreakBefore w:val="0"/>
        <w:kinsoku/>
        <w:overflowPunct/>
        <w:bidi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电子文件递交</w:t>
      </w:r>
      <w:r>
        <w:rPr>
          <w:rFonts w:hint="eastAsia" w:ascii="宋体" w:hAnsi="宋体" w:eastAsia="宋体" w:cs="宋体"/>
          <w:color w:val="000000" w:themeColor="text1"/>
          <w:sz w:val="24"/>
          <w:szCs w:val="24"/>
          <w14:textFill>
            <w14:solidFill>
              <w14:schemeClr w14:val="tx1"/>
            </w14:solidFill>
          </w14:textFill>
        </w:rPr>
        <w:t>地点：</w:t>
      </w:r>
      <w:bookmarkStart w:id="7" w:name="PO_3000000035_PM017"/>
      <w:r>
        <w:rPr>
          <w:rFonts w:hint="eastAsia" w:ascii="宋体" w:hAnsi="宋体" w:eastAsia="宋体" w:cs="宋体"/>
          <w:color w:val="000000" w:themeColor="text1"/>
          <w:sz w:val="24"/>
          <w:szCs w:val="24"/>
          <w14:textFill>
            <w14:solidFill>
              <w14:schemeClr w14:val="tx1"/>
            </w14:solidFill>
          </w14:textFill>
        </w:rPr>
        <w:t>政采云客户端</w:t>
      </w:r>
      <w:bookmarkEnd w:id="7"/>
    </w:p>
    <w:p w14:paraId="2099E61A">
      <w:pPr>
        <w:pageBreakBefore w:val="0"/>
        <w:kinsoku/>
        <w:overflowPunct/>
        <w:bidi w:val="0"/>
        <w:snapToGrid w:val="0"/>
        <w:spacing w:line="360" w:lineRule="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五</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w:t>
      </w:r>
      <w:r>
        <w:rPr>
          <w:rFonts w:hint="eastAsia" w:ascii="宋体" w:hAnsi="宋体" w:cs="宋体"/>
          <w:b/>
          <w:bCs/>
          <w:color w:val="000000" w:themeColor="text1"/>
          <w:kern w:val="0"/>
          <w:sz w:val="24"/>
          <w:szCs w:val="24"/>
          <w:lang w:val="en-US" w:eastAsia="zh-CN" w:bidi="ar-SA"/>
          <w14:textFill>
            <w14:solidFill>
              <w14:schemeClr w14:val="tx1"/>
            </w14:solidFill>
          </w14:textFill>
        </w:rPr>
        <w:t>开启</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时间和地点</w:t>
      </w:r>
    </w:p>
    <w:p w14:paraId="7EB54B62">
      <w:pPr>
        <w:pageBreakBefore w:val="0"/>
        <w:kinsoku/>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themeColor="text1"/>
          <w:kern w:val="0"/>
          <w:sz w:val="24"/>
          <w:szCs w:val="24"/>
          <w14:textFill>
            <w14:solidFill>
              <w14:schemeClr w14:val="tx1"/>
            </w14:solidFill>
          </w14:textFill>
        </w:rPr>
        <w:t>1、时间：</w:t>
      </w:r>
      <w:r>
        <w:rPr>
          <w:rFonts w:hint="eastAsia" w:ascii="宋体" w:hAnsi="宋体" w:cs="宋体"/>
          <w:b w:val="0"/>
          <w:bCs w:val="0"/>
          <w:color w:val="auto"/>
          <w:kern w:val="0"/>
          <w:sz w:val="24"/>
          <w:szCs w:val="24"/>
          <w:highlight w:val="none"/>
          <w:lang w:val="en-US" w:eastAsia="zh-CN" w:bidi="ar-SA"/>
        </w:rPr>
        <w:t>2026年6月15日15：00：00</w:t>
      </w:r>
      <w:r>
        <w:rPr>
          <w:rFonts w:hint="eastAsia" w:ascii="宋体" w:hAnsi="宋体" w:eastAsia="宋体" w:cs="宋体"/>
          <w:b w:val="0"/>
          <w:bCs w:val="0"/>
          <w:color w:val="auto"/>
          <w:kern w:val="0"/>
          <w:sz w:val="24"/>
          <w:szCs w:val="24"/>
          <w:highlight w:val="none"/>
          <w:lang w:val="en-US" w:eastAsia="zh-CN" w:bidi="ar-SA"/>
        </w:rPr>
        <w:t>（北京时间）</w:t>
      </w:r>
    </w:p>
    <w:p w14:paraId="153F51CD">
      <w:pPr>
        <w:pageBreakBefore w:val="0"/>
        <w:kinsoku/>
        <w:overflowPunct/>
        <w:bidi w:val="0"/>
        <w:snapToGrid w:val="0"/>
        <w:spacing w:line="360" w:lineRule="auto"/>
        <w:ind w:firstLine="480" w:firstLineChars="200"/>
        <w:rPr>
          <w:rFonts w:hint="default" w:ascii="宋体" w:hAnsi="宋体" w:eastAsia="宋体" w:cs="宋体"/>
          <w:b/>
          <w:bCs/>
          <w:color w:val="000000"/>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2、地点：政采云客户端</w:t>
      </w:r>
    </w:p>
    <w:p w14:paraId="213394FD">
      <w:pPr>
        <w:pageBreakBefore w:val="0"/>
        <w:kinsoku/>
        <w:overflowPunct/>
        <w:bidi w:val="0"/>
        <w:snapToGrid w:val="0"/>
        <w:spacing w:line="360" w:lineRule="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、公告期限</w:t>
      </w:r>
    </w:p>
    <w:p w14:paraId="433F1D38">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自本公告发布之日起5个工作日。</w:t>
      </w:r>
      <w:bookmarkEnd w:id="3"/>
      <w:bookmarkEnd w:id="4"/>
      <w:bookmarkEnd w:id="5"/>
      <w:bookmarkEnd w:id="6"/>
      <w:bookmarkStart w:id="8" w:name="_Toc35393635"/>
      <w:bookmarkStart w:id="9" w:name="_Toc35393804"/>
    </w:p>
    <w:p w14:paraId="4C668277">
      <w:pPr>
        <w:pageBreakBefore w:val="0"/>
        <w:kinsoku/>
        <w:overflowPunct/>
        <w:bidi w:val="0"/>
        <w:snapToGrid w:val="0"/>
        <w:spacing w:line="360" w:lineRule="auto"/>
        <w:ind w:left="723" w:hanging="723" w:hangingChars="300"/>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、其他补充事宜</w:t>
      </w:r>
      <w:bookmarkEnd w:id="8"/>
      <w:bookmarkEnd w:id="9"/>
    </w:p>
    <w:p w14:paraId="6377CF09">
      <w:pPr>
        <w:pageBreakBefore w:val="0"/>
        <w:kinsoku/>
        <w:overflowPunct/>
        <w:bidi w:val="0"/>
        <w:snapToGrid w:val="0"/>
        <w:spacing w:line="360" w:lineRule="auto"/>
        <w:ind w:left="723" w:hanging="720" w:hanging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、电子</w:t>
      </w:r>
      <w:r>
        <w:rPr>
          <w:rFonts w:hint="eastAsia" w:ascii="宋体" w:hAnsi="宋体" w:cs="宋体"/>
          <w:color w:val="000000"/>
          <w:sz w:val="24"/>
          <w:szCs w:val="24"/>
          <w:highlight w:val="none"/>
          <w:lang w:eastAsia="zh-CN"/>
        </w:rPr>
        <w:t>响应文件</w:t>
      </w:r>
      <w:r>
        <w:rPr>
          <w:rFonts w:hint="eastAsia" w:ascii="宋体" w:hAnsi="宋体" w:eastAsia="宋体" w:cs="宋体"/>
          <w:color w:val="000000"/>
          <w:sz w:val="24"/>
          <w:szCs w:val="24"/>
          <w:highlight w:val="none"/>
        </w:rPr>
        <w:t>递交及格式要求：</w:t>
      </w:r>
    </w:p>
    <w:p w14:paraId="0A0BFF1C">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递交截止时间前在政采云平台投标客户端(http://www.ccgp-shanxi.gov.cn/sxCategory15/sxCategory202/sxCategory20201/327. html)完成递交(上传)，如有疑问，可致电技术交换热线400-881-7190，递交截止时间前未完成</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上传的，视为撤回</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自行承担责任。</w:t>
      </w:r>
    </w:p>
    <w:p w14:paraId="6FBFAD7D">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远程开标、远程解密（供应商无需到达开评标现场）；解密设备及网络环境由供应商自行准备，确保线上招标活动顺利进行</w:t>
      </w:r>
    </w:p>
    <w:p w14:paraId="3CD61C5B">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、根据山西省财政厅关于政府采购供应商注册登记有关事项的通知，参加本项目的供应商须在山西省政府采购网办理供应商入驻。</w:t>
      </w:r>
    </w:p>
    <w:p w14:paraId="466CED59">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iCs w:val="0"/>
          <w:sz w:val="24"/>
          <w:szCs w:val="24"/>
          <w:highlight w:val="none"/>
        </w:rPr>
        <w:t>针对本项目的质疑需一次性提出，多次提出将不予受理。</w:t>
      </w:r>
    </w:p>
    <w:p w14:paraId="6C4EE0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、凡对本次采购提出询问，请按以下方式联系。</w:t>
      </w:r>
    </w:p>
    <w:p w14:paraId="340A9F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1.采购人信息</w:t>
      </w:r>
    </w:p>
    <w:p w14:paraId="3BDA6E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名    称：</w:t>
      </w:r>
      <w:r>
        <w:rPr>
          <w:rFonts w:hint="eastAsia" w:asciiTheme="minorEastAsia" w:hAnsiTheme="minorEastAsia" w:eastAsiaTheme="minorEastAsia" w:cstheme="minorEastAsia"/>
          <w:sz w:val="24"/>
          <w:szCs w:val="24"/>
          <w:highlight w:val="none"/>
          <w:lang w:eastAsia="zh-CN"/>
        </w:rPr>
        <w:t>介休市公安局交通管理大队</w:t>
      </w:r>
    </w:p>
    <w:p w14:paraId="497B42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介休市定阳西路315号</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w:t>
      </w:r>
    </w:p>
    <w:p w14:paraId="40301620">
      <w:pPr>
        <w:spacing w:line="520" w:lineRule="exact"/>
        <w:ind w:firstLine="480" w:firstLineChars="20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宋先生</w:t>
      </w:r>
    </w:p>
    <w:p w14:paraId="06B6E4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联系方式：</w:t>
      </w:r>
      <w:r>
        <w:rPr>
          <w:rFonts w:hint="eastAsia" w:ascii="宋体" w:hAnsi="宋体" w:cs="宋体"/>
          <w:smallCaps w:val="0"/>
          <w:color w:val="000000" w:themeColor="text1"/>
          <w:spacing w:val="0"/>
          <w:sz w:val="24"/>
          <w:szCs w:val="24"/>
          <w:highlight w:val="none"/>
          <w:lang w:eastAsia="zh-CN"/>
          <w14:textFill>
            <w14:solidFill>
              <w14:schemeClr w14:val="tx1"/>
            </w14:solidFill>
          </w14:textFill>
        </w:rPr>
        <w:t>0354-7215910</w:t>
      </w:r>
    </w:p>
    <w:p w14:paraId="3584460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2.采购代理机构信息</w:t>
      </w:r>
    </w:p>
    <w:p w14:paraId="3E86FDA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名    称：</w:t>
      </w:r>
      <w:r>
        <w:rPr>
          <w:rFonts w:hint="eastAsia" w:asciiTheme="minorEastAsia" w:hAnsiTheme="minorEastAsia" w:eastAsiaTheme="minorEastAsia" w:cstheme="minorEastAsia"/>
          <w:b w:val="0"/>
          <w:bCs w:val="0"/>
          <w:sz w:val="24"/>
          <w:szCs w:val="24"/>
          <w:highlight w:val="none"/>
          <w:lang w:eastAsia="zh-CN"/>
        </w:rPr>
        <w:t>山西诺薇项目管理有限公司</w:t>
      </w:r>
      <w:r>
        <w:rPr>
          <w:rFonts w:hint="eastAsia" w:asciiTheme="minorEastAsia" w:hAnsiTheme="minorEastAsia" w:eastAsiaTheme="minorEastAsia" w:cstheme="minorEastAsia"/>
          <w:b w:val="0"/>
          <w:bCs w:val="0"/>
          <w:sz w:val="24"/>
          <w:szCs w:val="24"/>
          <w:highlight w:val="none"/>
        </w:rPr>
        <w:t xml:space="preserve"> 　　　　</w:t>
      </w:r>
    </w:p>
    <w:p w14:paraId="049AFD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地　　址：</w:t>
      </w:r>
      <w:r>
        <w:rPr>
          <w:rFonts w:hint="eastAsia" w:asciiTheme="minorEastAsia" w:hAnsiTheme="minorEastAsia" w:eastAsiaTheme="minorEastAsia" w:cstheme="minorEastAsia"/>
          <w:b w:val="0"/>
          <w:bCs w:val="0"/>
          <w:sz w:val="24"/>
          <w:szCs w:val="24"/>
          <w:highlight w:val="none"/>
          <w:lang w:eastAsia="zh-CN"/>
        </w:rPr>
        <w:t>介休市裕康嘉苑二期B区临街商铺16号商铺</w:t>
      </w:r>
      <w:r>
        <w:rPr>
          <w:rFonts w:hint="eastAsia" w:asciiTheme="minorEastAsia" w:hAnsiTheme="minorEastAsia" w:eastAsiaTheme="minorEastAsia" w:cstheme="minorEastAsia"/>
          <w:b w:val="0"/>
          <w:bCs w:val="0"/>
          <w:sz w:val="24"/>
          <w:szCs w:val="24"/>
          <w:highlight w:val="none"/>
        </w:rPr>
        <w:t>　　　　　　　　　　　　</w:t>
      </w:r>
    </w:p>
    <w:p w14:paraId="0B6956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联系方式：</w:t>
      </w:r>
      <w:r>
        <w:rPr>
          <w:rFonts w:hint="eastAsia" w:asciiTheme="minorEastAsia" w:hAnsiTheme="minorEastAsia" w:eastAsiaTheme="minorEastAsia" w:cstheme="minorEastAsia"/>
          <w:b w:val="0"/>
          <w:bCs w:val="0"/>
          <w:sz w:val="24"/>
          <w:szCs w:val="24"/>
          <w:highlight w:val="none"/>
          <w:lang w:eastAsia="zh-CN"/>
        </w:rPr>
        <w:t>0354-7384666</w:t>
      </w:r>
      <w:r>
        <w:rPr>
          <w:rFonts w:hint="eastAsia" w:asciiTheme="minorEastAsia" w:hAnsiTheme="minorEastAsia" w:eastAsiaTheme="minorEastAsia" w:cstheme="minorEastAsia"/>
          <w:b w:val="0"/>
          <w:bCs w:val="0"/>
          <w:sz w:val="24"/>
          <w:szCs w:val="24"/>
          <w:highlight w:val="none"/>
        </w:rPr>
        <w:t>　　　　　　　　　　　　</w:t>
      </w:r>
    </w:p>
    <w:p w14:paraId="251927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3.项目联系方式</w:t>
      </w:r>
    </w:p>
    <w:p w14:paraId="217B2B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项目联系人：</w:t>
      </w:r>
      <w:r>
        <w:rPr>
          <w:rFonts w:hint="eastAsia" w:asciiTheme="minorEastAsia" w:hAnsiTheme="minorEastAsia" w:eastAsiaTheme="minorEastAsia" w:cstheme="minorEastAsia"/>
          <w:b w:val="0"/>
          <w:bCs w:val="0"/>
          <w:sz w:val="24"/>
          <w:szCs w:val="24"/>
          <w:highlight w:val="none"/>
          <w:lang w:val="en-US" w:eastAsia="zh-CN"/>
        </w:rPr>
        <w:t>王先生</w:t>
      </w:r>
    </w:p>
    <w:p w14:paraId="2DD1EB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电　  话：</w:t>
      </w:r>
      <w:r>
        <w:rPr>
          <w:rFonts w:hint="eastAsia" w:asciiTheme="minorEastAsia" w:hAnsiTheme="minorEastAsia" w:eastAsiaTheme="minorEastAsia" w:cstheme="minorEastAsia"/>
          <w:b w:val="0"/>
          <w:bCs w:val="0"/>
          <w:sz w:val="24"/>
          <w:szCs w:val="24"/>
          <w:highlight w:val="none"/>
          <w:lang w:eastAsia="zh-CN"/>
        </w:rPr>
        <w:t>0354-7384666</w:t>
      </w:r>
    </w:p>
    <w:p w14:paraId="6CCF5AF5">
      <w:pPr>
        <w:pStyle w:val="73"/>
        <w:ind w:left="0" w:leftChars="0" w:firstLine="0" w:firstLineChars="0"/>
        <w:rPr>
          <w:rFonts w:hint="eastAsia" w:asciiTheme="minorEastAsia" w:hAnsiTheme="minorEastAsia" w:eastAsiaTheme="minorEastAsia" w:cstheme="minorEastAsia"/>
          <w:highlight w:val="none"/>
          <w:lang w:val="en-US" w:eastAsia="zh-CN"/>
        </w:rPr>
      </w:pPr>
    </w:p>
    <w:p w14:paraId="465F4BB6">
      <w:pPr>
        <w:pStyle w:val="73"/>
        <w:ind w:left="0" w:leftChars="0" w:firstLine="0" w:firstLineChars="0"/>
        <w:rPr>
          <w:rFonts w:hint="eastAsia" w:asciiTheme="minorEastAsia" w:hAnsiTheme="minorEastAsia" w:eastAsiaTheme="minorEastAsia" w:cstheme="minorEastAsia"/>
          <w:highlight w:val="none"/>
          <w:lang w:val="en-US" w:eastAsia="zh-CN"/>
        </w:rPr>
      </w:pPr>
    </w:p>
    <w:p w14:paraId="2F833F6B">
      <w:pPr>
        <w:pStyle w:val="73"/>
        <w:ind w:left="0" w:leftChars="0" w:firstLine="0" w:firstLineChars="0"/>
        <w:rPr>
          <w:rFonts w:hint="eastAsia" w:asciiTheme="minorEastAsia" w:hAnsiTheme="minorEastAsia" w:eastAsiaTheme="minorEastAsia" w:cstheme="minorEastAsia"/>
          <w:highlight w:val="none"/>
          <w:lang w:val="en-US" w:eastAsia="zh-CN"/>
        </w:rPr>
      </w:pPr>
    </w:p>
    <w:p w14:paraId="75CCDEF2">
      <w:pPr>
        <w:pStyle w:val="73"/>
        <w:ind w:left="0" w:leftChars="0" w:firstLine="0" w:firstLineChars="0"/>
        <w:rPr>
          <w:rFonts w:hint="eastAsia" w:asciiTheme="minorEastAsia" w:hAnsiTheme="minorEastAsia" w:eastAsiaTheme="minorEastAsia" w:cstheme="minorEastAsia"/>
          <w:highlight w:val="none"/>
          <w:lang w:val="en-US" w:eastAsia="zh-CN"/>
        </w:rPr>
      </w:pPr>
    </w:p>
    <w:p w14:paraId="4E6DB09C">
      <w:pPr>
        <w:pStyle w:val="73"/>
        <w:ind w:left="0" w:leftChars="0" w:firstLine="0" w:firstLineChars="0"/>
        <w:rPr>
          <w:rFonts w:hint="eastAsia" w:asciiTheme="minorEastAsia" w:hAnsiTheme="minorEastAsia" w:eastAsiaTheme="minorEastAsia" w:cstheme="minorEastAsia"/>
          <w:highlight w:val="none"/>
          <w:lang w:val="en-US" w:eastAsia="zh-CN"/>
        </w:rPr>
      </w:pPr>
    </w:p>
    <w:p w14:paraId="0A8DFEDB">
      <w:pPr>
        <w:pStyle w:val="73"/>
        <w:ind w:left="0" w:leftChars="0" w:firstLine="0" w:firstLineChars="0"/>
        <w:rPr>
          <w:rFonts w:hint="eastAsia" w:asciiTheme="minorEastAsia" w:hAnsiTheme="minorEastAsia" w:eastAsiaTheme="minorEastAsia" w:cstheme="minorEastAsia"/>
          <w:highlight w:val="none"/>
          <w:lang w:val="en-US" w:eastAsia="zh-CN"/>
        </w:rPr>
      </w:pPr>
    </w:p>
    <w:p w14:paraId="0DA18BA5">
      <w:pPr>
        <w:pStyle w:val="73"/>
        <w:ind w:left="0" w:leftChars="0" w:firstLine="0" w:firstLineChars="0"/>
        <w:rPr>
          <w:rFonts w:hint="eastAsia" w:asciiTheme="minorEastAsia" w:hAnsiTheme="minorEastAsia" w:eastAsiaTheme="minorEastAsia" w:cstheme="minorEastAsia"/>
          <w:highlight w:val="none"/>
          <w:lang w:val="en-US" w:eastAsia="zh-CN"/>
        </w:rPr>
      </w:pPr>
    </w:p>
    <w:p w14:paraId="72E42A51">
      <w:pPr>
        <w:pStyle w:val="73"/>
        <w:ind w:left="0" w:leftChars="0" w:firstLine="0" w:firstLineChars="0"/>
        <w:rPr>
          <w:rFonts w:hint="eastAsia" w:asciiTheme="minorEastAsia" w:hAnsiTheme="minorEastAsia" w:eastAsiaTheme="minorEastAsia" w:cstheme="minorEastAsia"/>
          <w:highlight w:val="none"/>
          <w:lang w:val="en-US" w:eastAsia="zh-CN"/>
        </w:rPr>
      </w:pPr>
    </w:p>
    <w:p w14:paraId="09282296">
      <w:pPr>
        <w:pStyle w:val="73"/>
        <w:ind w:left="0" w:leftChars="0" w:firstLine="0" w:firstLineChars="0"/>
        <w:rPr>
          <w:rFonts w:hint="eastAsia" w:asciiTheme="minorEastAsia" w:hAnsiTheme="minorEastAsia" w:eastAsiaTheme="minorEastAsia" w:cstheme="minorEastAsia"/>
          <w:highlight w:val="none"/>
          <w:lang w:val="en-US" w:eastAsia="zh-CN"/>
        </w:rPr>
      </w:pPr>
    </w:p>
    <w:p w14:paraId="139EB7EF">
      <w:pPr>
        <w:pStyle w:val="73"/>
        <w:ind w:left="0" w:leftChars="0" w:firstLine="0" w:firstLineChars="0"/>
        <w:rPr>
          <w:rFonts w:hint="eastAsia" w:asciiTheme="minorEastAsia" w:hAnsiTheme="minorEastAsia" w:eastAsiaTheme="minorEastAsia" w:cstheme="minorEastAsia"/>
          <w:highlight w:val="none"/>
          <w:lang w:val="en-US" w:eastAsia="zh-CN"/>
        </w:rPr>
      </w:pPr>
    </w:p>
    <w:p w14:paraId="19F09962">
      <w:pPr>
        <w:pStyle w:val="73"/>
        <w:ind w:left="0" w:leftChars="0" w:firstLine="0" w:firstLineChars="0"/>
        <w:rPr>
          <w:rFonts w:hint="eastAsia" w:asciiTheme="minorEastAsia" w:hAnsiTheme="minorEastAsia" w:eastAsiaTheme="minorEastAsia" w:cstheme="minorEastAsia"/>
          <w:highlight w:val="none"/>
          <w:lang w:val="en-US" w:eastAsia="zh-CN"/>
        </w:rPr>
      </w:pPr>
    </w:p>
    <w:p w14:paraId="2EA181C2">
      <w:pPr>
        <w:pStyle w:val="73"/>
        <w:ind w:left="0" w:leftChars="0" w:firstLine="0" w:firstLineChars="0"/>
        <w:rPr>
          <w:rFonts w:hint="eastAsia" w:asciiTheme="minorEastAsia" w:hAnsiTheme="minorEastAsia" w:eastAsiaTheme="minorEastAsia" w:cstheme="minorEastAsia"/>
          <w:highlight w:val="none"/>
          <w:lang w:val="en-US" w:eastAsia="zh-CN"/>
        </w:rPr>
      </w:pPr>
    </w:p>
    <w:p w14:paraId="0B0B466E">
      <w:pPr>
        <w:pStyle w:val="73"/>
        <w:ind w:left="0" w:leftChars="0" w:firstLine="0" w:firstLineChars="0"/>
        <w:rPr>
          <w:rFonts w:hint="eastAsia" w:asciiTheme="minorEastAsia" w:hAnsiTheme="minorEastAsia" w:eastAsiaTheme="minorEastAsia" w:cstheme="minorEastAsia"/>
          <w:highlight w:val="none"/>
          <w:lang w:val="en-US" w:eastAsia="zh-CN"/>
        </w:rPr>
      </w:pPr>
    </w:p>
    <w:p w14:paraId="43F92F42">
      <w:pPr>
        <w:pStyle w:val="73"/>
        <w:ind w:left="0" w:leftChars="0" w:firstLine="0" w:firstLineChars="0"/>
        <w:rPr>
          <w:rFonts w:hint="eastAsia" w:asciiTheme="minorEastAsia" w:hAnsiTheme="minorEastAsia" w:eastAsiaTheme="minorEastAsia" w:cstheme="minorEastAsia"/>
          <w:highlight w:val="none"/>
          <w:lang w:val="en-US" w:eastAsia="zh-CN"/>
        </w:rPr>
      </w:pPr>
    </w:p>
    <w:p w14:paraId="73C12B1A">
      <w:pPr>
        <w:pStyle w:val="73"/>
        <w:ind w:left="0" w:leftChars="0" w:firstLine="0" w:firstLineChars="0"/>
        <w:rPr>
          <w:rFonts w:hint="eastAsia" w:asciiTheme="minorEastAsia" w:hAnsiTheme="minorEastAsia" w:eastAsiaTheme="minorEastAsia" w:cstheme="minorEastAsia"/>
          <w:highlight w:val="none"/>
          <w:lang w:val="en-US" w:eastAsia="zh-CN"/>
        </w:rPr>
      </w:pPr>
    </w:p>
    <w:p w14:paraId="4AA6F8BD">
      <w:pPr>
        <w:pStyle w:val="73"/>
        <w:ind w:left="0" w:leftChars="0" w:firstLine="0" w:firstLineChars="0"/>
        <w:rPr>
          <w:rFonts w:hint="eastAsia" w:asciiTheme="minorEastAsia" w:hAnsiTheme="minorEastAsia" w:eastAsiaTheme="minorEastAsia" w:cstheme="minorEastAsia"/>
          <w:highlight w:val="none"/>
          <w:lang w:val="en-US" w:eastAsia="zh-CN"/>
        </w:rPr>
      </w:pPr>
    </w:p>
    <w:p w14:paraId="6287D864">
      <w:pPr>
        <w:pStyle w:val="73"/>
        <w:ind w:left="0" w:leftChars="0" w:firstLine="0" w:firstLineChars="0"/>
        <w:rPr>
          <w:rFonts w:hint="eastAsia" w:asciiTheme="minorEastAsia" w:hAnsiTheme="minorEastAsia" w:eastAsiaTheme="minorEastAsia" w:cstheme="minorEastAsia"/>
          <w:highlight w:val="none"/>
          <w:lang w:val="en-US" w:eastAsia="zh-CN"/>
        </w:rPr>
      </w:pPr>
    </w:p>
    <w:p w14:paraId="1F79B3D0">
      <w:pPr>
        <w:pStyle w:val="73"/>
        <w:ind w:left="0" w:leftChars="0" w:firstLine="0" w:firstLineChars="0"/>
        <w:rPr>
          <w:rFonts w:hint="eastAsia" w:asciiTheme="minorEastAsia" w:hAnsiTheme="minorEastAsia" w:eastAsiaTheme="minorEastAsia" w:cstheme="minorEastAsia"/>
          <w:highlight w:val="none"/>
          <w:lang w:val="en-US" w:eastAsia="zh-CN"/>
        </w:rPr>
      </w:pPr>
    </w:p>
    <w:p w14:paraId="5E7C8A6E">
      <w:pPr>
        <w:pStyle w:val="73"/>
        <w:ind w:left="0" w:leftChars="0" w:firstLine="0" w:firstLineChars="0"/>
        <w:rPr>
          <w:rFonts w:hint="default" w:asciiTheme="minorEastAsia" w:hAnsiTheme="minorEastAsia" w:eastAsiaTheme="minorEastAsia" w:cstheme="minorEastAsia"/>
          <w:highlight w:val="none"/>
          <w:lang w:val="en-US" w:eastAsia="zh-CN"/>
        </w:rPr>
      </w:pPr>
    </w:p>
    <w:p w14:paraId="71668AF1">
      <w:pPr>
        <w:pStyle w:val="73"/>
        <w:ind w:left="0" w:leftChars="0" w:firstLine="0" w:firstLineChars="0"/>
        <w:rPr>
          <w:rFonts w:hint="default" w:asciiTheme="minorEastAsia" w:hAnsiTheme="minorEastAsia" w:eastAsiaTheme="minorEastAsia" w:cstheme="minorEastAsia"/>
          <w:highlight w:val="none"/>
          <w:lang w:val="en-US" w:eastAsia="zh-CN"/>
        </w:rPr>
      </w:pPr>
    </w:p>
    <w:p w14:paraId="6B34FFDD">
      <w:pPr>
        <w:rPr>
          <w:rFonts w:hint="default" w:asciiTheme="minorEastAsia" w:hAnsiTheme="minorEastAsia" w:eastAsiaTheme="minorEastAsia" w:cstheme="minorEastAsia"/>
          <w:highlight w:val="none"/>
          <w:lang w:val="en-US" w:eastAsia="zh-CN"/>
        </w:rPr>
      </w:pPr>
      <w:r>
        <w:rPr>
          <w:rFonts w:hint="default" w:asciiTheme="minorEastAsia" w:hAnsiTheme="minorEastAsia" w:eastAsiaTheme="minorEastAsia" w:cstheme="minorEastAsia"/>
          <w:highlight w:val="none"/>
          <w:lang w:val="en-US" w:eastAsia="zh-CN"/>
        </w:rPr>
        <w:br w:type="page"/>
      </w:r>
    </w:p>
    <w:p w14:paraId="1C99925A">
      <w:pPr>
        <w:widowControl w:val="0"/>
        <w:numPr>
          <w:ilvl w:val="0"/>
          <w:numId w:val="1"/>
        </w:numPr>
        <w:pBdr>
          <w:top w:val="none" w:color="auto" w:sz="0" w:space="1"/>
          <w:left w:val="none" w:color="auto" w:sz="0" w:space="4"/>
          <w:bottom w:val="none" w:color="auto" w:sz="0" w:space="1"/>
          <w:right w:val="none" w:color="auto" w:sz="0" w:space="4"/>
          <w:between w:val="none" w:color="auto" w:sz="0" w:space="0"/>
        </w:pBdr>
        <w:ind w:left="2730" w:leftChars="0"/>
        <w:jc w:val="both"/>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b/>
          <w:bCs/>
          <w:sz w:val="32"/>
          <w:szCs w:val="32"/>
          <w:highlight w:val="none"/>
          <w:lang w:val="en-US" w:eastAsia="zh-CN"/>
        </w:rPr>
        <w:t>供应商须知</w:t>
      </w:r>
    </w:p>
    <w:p w14:paraId="4E0066DB">
      <w:pPr>
        <w:pStyle w:val="2"/>
        <w:numPr>
          <w:ilvl w:val="0"/>
          <w:numId w:val="0"/>
        </w:numPr>
        <w:jc w:val="center"/>
        <w:rPr>
          <w:rFonts w:hint="default"/>
          <w:sz w:val="24"/>
          <w:szCs w:val="24"/>
          <w:lang w:val="en-US"/>
        </w:rPr>
      </w:pPr>
      <w:r>
        <w:rPr>
          <w:rFonts w:hint="eastAsia" w:asciiTheme="minorEastAsia" w:hAnsiTheme="minorEastAsia" w:eastAsiaTheme="minorEastAsia" w:cstheme="minorEastAsia"/>
          <w:b/>
          <w:bCs/>
          <w:sz w:val="24"/>
          <w:szCs w:val="24"/>
          <w:highlight w:val="none"/>
          <w:lang w:val="en-US" w:eastAsia="zh-CN"/>
        </w:rPr>
        <w:t>供应商须知前附表</w:t>
      </w:r>
    </w:p>
    <w:p w14:paraId="5AE03AC8">
      <w:pPr>
        <w:pStyle w:val="2"/>
        <w:numPr>
          <w:ilvl w:val="0"/>
          <w:numId w:val="0"/>
        </w:numPr>
        <w:ind w:left="2730" w:leftChars="0"/>
        <w:jc w:val="both"/>
        <w:rPr>
          <w:rFonts w:hint="eastAsia"/>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17"/>
        <w:gridCol w:w="6083"/>
      </w:tblGrid>
      <w:tr w14:paraId="5D40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30C792D">
            <w:pPr>
              <w:autoSpaceDE w:val="0"/>
              <w:autoSpaceDN w:val="0"/>
              <w:adjustRightInd w:val="0"/>
              <w:spacing w:line="360" w:lineRule="auto"/>
              <w:jc w:val="center"/>
              <w:outlineLvl w:val="9"/>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rPr>
              <w:t>序号</w:t>
            </w:r>
          </w:p>
        </w:tc>
        <w:tc>
          <w:tcPr>
            <w:tcW w:w="2417" w:type="dxa"/>
            <w:vAlign w:val="center"/>
          </w:tcPr>
          <w:p w14:paraId="35812356">
            <w:pPr>
              <w:autoSpaceDE w:val="0"/>
              <w:autoSpaceDN w:val="0"/>
              <w:adjustRightInd w:val="0"/>
              <w:spacing w:line="360" w:lineRule="auto"/>
              <w:jc w:val="center"/>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lang w:eastAsia="zh-CN"/>
              </w:rPr>
              <w:t>内容</w:t>
            </w:r>
          </w:p>
        </w:tc>
        <w:tc>
          <w:tcPr>
            <w:tcW w:w="6083" w:type="dxa"/>
            <w:vAlign w:val="center"/>
          </w:tcPr>
          <w:p w14:paraId="3DC7A1CC">
            <w:pPr>
              <w:autoSpaceDE w:val="0"/>
              <w:autoSpaceDN w:val="0"/>
              <w:adjustRightInd w:val="0"/>
              <w:spacing w:line="360" w:lineRule="auto"/>
              <w:jc w:val="center"/>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rPr>
              <w:t>说明与要求</w:t>
            </w:r>
          </w:p>
        </w:tc>
      </w:tr>
      <w:tr w14:paraId="6089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2C7CE1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p>
        </w:tc>
        <w:tc>
          <w:tcPr>
            <w:tcW w:w="2417" w:type="dxa"/>
            <w:vAlign w:val="center"/>
          </w:tcPr>
          <w:p w14:paraId="0F21811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zh-CN"/>
              </w:rPr>
              <w:t>采购人</w:t>
            </w:r>
          </w:p>
        </w:tc>
        <w:tc>
          <w:tcPr>
            <w:tcW w:w="6083" w:type="dxa"/>
            <w:vAlign w:val="center"/>
          </w:tcPr>
          <w:p w14:paraId="2C1AFEB0">
            <w:pPr>
              <w:spacing w:line="360" w:lineRule="auto"/>
              <w:ind w:leftChars="-9" w:hanging="19" w:hangingChars="8"/>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名    称：介休市公安局交通管理大队</w:t>
            </w:r>
          </w:p>
          <w:p w14:paraId="53E88A48">
            <w:pPr>
              <w:spacing w:line="360" w:lineRule="auto"/>
              <w:ind w:leftChars="-9" w:hanging="19" w:hangingChars="8"/>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介休市定阳西路315号</w:t>
            </w:r>
          </w:p>
          <w:p w14:paraId="12167DE9">
            <w:pPr>
              <w:spacing w:line="360" w:lineRule="auto"/>
              <w:ind w:leftChars="-9" w:hanging="19" w:hangingChars="8"/>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联 系 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宋先生</w:t>
            </w:r>
          </w:p>
          <w:p w14:paraId="4458FED9">
            <w:pPr>
              <w:spacing w:line="360" w:lineRule="auto"/>
              <w:ind w:leftChars="-9" w:hanging="19" w:hangingChars="8"/>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联系方式：0354-7215910</w:t>
            </w:r>
          </w:p>
        </w:tc>
      </w:tr>
      <w:tr w14:paraId="5AE7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503D4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417" w:type="dxa"/>
            <w:vAlign w:val="center"/>
          </w:tcPr>
          <w:p w14:paraId="20C829E5">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采购代理机构</w:t>
            </w:r>
          </w:p>
        </w:tc>
        <w:tc>
          <w:tcPr>
            <w:tcW w:w="6083" w:type="dxa"/>
            <w:vAlign w:val="center"/>
          </w:tcPr>
          <w:p w14:paraId="518C770E">
            <w:pPr>
              <w:spacing w:line="360" w:lineRule="auto"/>
              <w:ind w:leftChars="-9" w:hanging="19" w:hangingChars="8"/>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采购代理机构：山西诺薇项目管理有限公司</w:t>
            </w:r>
          </w:p>
          <w:p w14:paraId="609C8DCC">
            <w:pPr>
              <w:spacing w:line="360" w:lineRule="auto"/>
              <w:ind w:leftChars="-9" w:hanging="19" w:hangingChars="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color w:val="000000"/>
                <w:sz w:val="24"/>
                <w:szCs w:val="24"/>
              </w:rPr>
              <w:t>地址：</w:t>
            </w:r>
            <w:r>
              <w:rPr>
                <w:rFonts w:hint="eastAsia" w:asciiTheme="minorEastAsia" w:hAnsiTheme="minorEastAsia" w:eastAsiaTheme="minorEastAsia" w:cstheme="minorEastAsia"/>
                <w:b w:val="0"/>
                <w:color w:val="000000"/>
                <w:sz w:val="24"/>
                <w:szCs w:val="24"/>
                <w:lang w:eastAsia="zh-CN"/>
              </w:rPr>
              <w:t>介休市裕康嘉苑二期B区临街商铺16号商铺</w:t>
            </w:r>
          </w:p>
          <w:p w14:paraId="71C2214E">
            <w:pPr>
              <w:spacing w:line="360" w:lineRule="auto"/>
              <w:ind w:leftChars="-9" w:hanging="19" w:hangingChars="8"/>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代理机构联系人：</w:t>
            </w:r>
            <w:r>
              <w:rPr>
                <w:rFonts w:hint="eastAsia" w:asciiTheme="minorEastAsia" w:hAnsiTheme="minorEastAsia" w:eastAsiaTheme="minorEastAsia" w:cstheme="minorEastAsia"/>
                <w:i w:val="0"/>
                <w:iCs w:val="0"/>
                <w:sz w:val="24"/>
                <w:szCs w:val="24"/>
                <w:u w:val="none"/>
                <w:lang w:val="en-US" w:eastAsia="zh-CN"/>
              </w:rPr>
              <w:t>王先生</w:t>
            </w:r>
          </w:p>
          <w:p w14:paraId="16387CB2">
            <w:pPr>
              <w:spacing w:line="360" w:lineRule="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sz w:val="24"/>
                <w:szCs w:val="24"/>
                <w:highlight w:val="none"/>
                <w:lang w:eastAsia="zh-CN"/>
              </w:rPr>
              <w:t>联系电话：0354-7384666</w:t>
            </w:r>
          </w:p>
        </w:tc>
      </w:tr>
      <w:tr w14:paraId="2E79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vAlign w:val="center"/>
          </w:tcPr>
          <w:p w14:paraId="4F8147D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2417" w:type="dxa"/>
            <w:vAlign w:val="center"/>
          </w:tcPr>
          <w:p w14:paraId="0E86DC86">
            <w:pPr>
              <w:spacing w:line="360" w:lineRule="auto"/>
              <w:jc w:val="center"/>
              <w:rPr>
                <w:rFonts w:hint="eastAsia" w:asciiTheme="minorEastAsia" w:hAnsiTheme="minorEastAsia" w:eastAsiaTheme="minorEastAsia" w:cstheme="minorEastAsia"/>
                <w:sz w:val="24"/>
                <w:szCs w:val="24"/>
                <w:highlight w:val="yellow"/>
                <w:lang w:val="en-US" w:eastAsia="zh-CN"/>
              </w:rPr>
            </w:pPr>
          </w:p>
          <w:p w14:paraId="4A9F22A4">
            <w:pPr>
              <w:spacing w:line="360" w:lineRule="auto"/>
              <w:jc w:val="center"/>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项目名称</w:t>
            </w:r>
          </w:p>
          <w:p w14:paraId="57C4E194">
            <w:pPr>
              <w:spacing w:line="360" w:lineRule="auto"/>
              <w:jc w:val="both"/>
              <w:rPr>
                <w:rFonts w:hint="eastAsia" w:asciiTheme="minorEastAsia" w:hAnsiTheme="minorEastAsia" w:eastAsiaTheme="minorEastAsia" w:cstheme="minorEastAsia"/>
                <w:sz w:val="24"/>
                <w:szCs w:val="24"/>
                <w:highlight w:val="yellow"/>
                <w:lang w:val="en-US" w:eastAsia="zh-CN"/>
              </w:rPr>
            </w:pPr>
          </w:p>
        </w:tc>
        <w:tc>
          <w:tcPr>
            <w:tcW w:w="6083" w:type="dxa"/>
            <w:vAlign w:val="center"/>
          </w:tcPr>
          <w:p w14:paraId="20CBBE96">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电子警察、卡口、测速、视频监控系统日常维护单位采购</w:t>
            </w:r>
          </w:p>
        </w:tc>
      </w:tr>
      <w:tr w14:paraId="626D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10C39B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2417" w:type="dxa"/>
            <w:vAlign w:val="center"/>
          </w:tcPr>
          <w:p w14:paraId="405CA92F">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资金来源</w:t>
            </w:r>
          </w:p>
        </w:tc>
        <w:tc>
          <w:tcPr>
            <w:tcW w:w="6083" w:type="dxa"/>
            <w:vAlign w:val="center"/>
          </w:tcPr>
          <w:p w14:paraId="240A62F5">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财政</w:t>
            </w:r>
            <w:r>
              <w:rPr>
                <w:rFonts w:hint="eastAsia" w:asciiTheme="minorEastAsia" w:hAnsiTheme="minorEastAsia" w:eastAsiaTheme="minorEastAsia" w:cstheme="minorEastAsia"/>
                <w:sz w:val="24"/>
                <w:szCs w:val="24"/>
                <w:highlight w:val="none"/>
                <w:lang w:val="en-US" w:eastAsia="zh-CN"/>
              </w:rPr>
              <w:t>资金</w:t>
            </w:r>
          </w:p>
        </w:tc>
      </w:tr>
      <w:tr w14:paraId="0829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82" w:type="dxa"/>
            <w:vAlign w:val="center"/>
          </w:tcPr>
          <w:p w14:paraId="6D1DF94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417" w:type="dxa"/>
            <w:vAlign w:val="center"/>
          </w:tcPr>
          <w:p w14:paraId="377B348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项目预算</w:t>
            </w:r>
          </w:p>
        </w:tc>
        <w:tc>
          <w:tcPr>
            <w:tcW w:w="6083" w:type="dxa"/>
            <w:vAlign w:val="center"/>
          </w:tcPr>
          <w:p w14:paraId="7B08BDB3">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941274.96元/年</w:t>
            </w:r>
          </w:p>
        </w:tc>
      </w:tr>
      <w:tr w14:paraId="2617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29FDA6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417" w:type="dxa"/>
            <w:vAlign w:val="center"/>
          </w:tcPr>
          <w:p w14:paraId="7C5718C3">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采购</w:t>
            </w:r>
            <w:r>
              <w:rPr>
                <w:rFonts w:hint="eastAsia" w:asciiTheme="minorEastAsia" w:hAnsiTheme="minorEastAsia" w:eastAsiaTheme="minorEastAsia" w:cstheme="minorEastAsia"/>
                <w:kern w:val="0"/>
                <w:sz w:val="24"/>
                <w:szCs w:val="24"/>
                <w:highlight w:val="none"/>
              </w:rPr>
              <w:t>范围</w:t>
            </w:r>
          </w:p>
        </w:tc>
        <w:tc>
          <w:tcPr>
            <w:tcW w:w="6083" w:type="dxa"/>
            <w:vAlign w:val="center"/>
          </w:tcPr>
          <w:p w14:paraId="3FD2528B">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rPr>
              <w:t>具体报价范围、采购范围及所应达到的具体要求，以本项目</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文件中商务、技术和服务的相应规定为准。</w:t>
            </w:r>
          </w:p>
        </w:tc>
      </w:tr>
      <w:tr w14:paraId="2CDA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E665D8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2417" w:type="dxa"/>
            <w:vAlign w:val="center"/>
          </w:tcPr>
          <w:p w14:paraId="0A419821">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采购</w:t>
            </w:r>
            <w:r>
              <w:rPr>
                <w:rFonts w:hint="eastAsia" w:asciiTheme="minorEastAsia" w:hAnsiTheme="minorEastAsia" w:eastAsiaTheme="minorEastAsia" w:cstheme="minorEastAsia"/>
                <w:kern w:val="0"/>
                <w:sz w:val="24"/>
                <w:szCs w:val="24"/>
                <w:highlight w:val="none"/>
              </w:rPr>
              <w:t>方式</w:t>
            </w:r>
          </w:p>
        </w:tc>
        <w:tc>
          <w:tcPr>
            <w:tcW w:w="6083" w:type="dxa"/>
            <w:vAlign w:val="center"/>
          </w:tcPr>
          <w:p w14:paraId="25C1B9E5">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竞争性磋商</w:t>
            </w:r>
          </w:p>
        </w:tc>
      </w:tr>
      <w:tr w14:paraId="7269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DD10FF9">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417" w:type="dxa"/>
            <w:vAlign w:val="center"/>
          </w:tcPr>
          <w:p w14:paraId="3EB7FD90">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合同履行期限</w:t>
            </w:r>
          </w:p>
        </w:tc>
        <w:tc>
          <w:tcPr>
            <w:tcW w:w="6083" w:type="dxa"/>
            <w:vAlign w:val="center"/>
          </w:tcPr>
          <w:p w14:paraId="7934924D">
            <w:pPr>
              <w:pageBreakBefore w:val="0"/>
              <w:kinsoku/>
              <w:autoSpaceDE w:val="0"/>
              <w:autoSpaceDN w:val="0"/>
              <w:bidi w:val="0"/>
              <w:adjustRightInd w:val="0"/>
              <w:spacing w:line="360" w:lineRule="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3年</w:t>
            </w:r>
          </w:p>
        </w:tc>
      </w:tr>
      <w:tr w14:paraId="36B5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D2C168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2417" w:type="dxa"/>
            <w:vAlign w:val="center"/>
          </w:tcPr>
          <w:p w14:paraId="14AA4D4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质量</w:t>
            </w:r>
            <w:r>
              <w:rPr>
                <w:rFonts w:hint="eastAsia" w:asciiTheme="minorEastAsia" w:hAnsiTheme="minorEastAsia" w:eastAsiaTheme="minorEastAsia" w:cstheme="minorEastAsia"/>
                <w:sz w:val="24"/>
                <w:szCs w:val="24"/>
                <w:highlight w:val="none"/>
                <w:lang w:eastAsia="zh-CN"/>
              </w:rPr>
              <w:t>标准</w:t>
            </w:r>
          </w:p>
        </w:tc>
        <w:tc>
          <w:tcPr>
            <w:tcW w:w="6083" w:type="dxa"/>
            <w:vAlign w:val="center"/>
          </w:tcPr>
          <w:p w14:paraId="346539CF">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sz w:val="24"/>
                <w:szCs w:val="24"/>
                <w:lang w:val="en-US" w:eastAsia="zh-CN"/>
              </w:rPr>
              <w:t>符合国家相关行业合格标准</w:t>
            </w:r>
          </w:p>
        </w:tc>
      </w:tr>
      <w:tr w14:paraId="5CE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82" w:type="dxa"/>
            <w:vAlign w:val="center"/>
          </w:tcPr>
          <w:p w14:paraId="2D9D577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417" w:type="dxa"/>
            <w:vAlign w:val="center"/>
          </w:tcPr>
          <w:p w14:paraId="3C6D37F2">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应具备的</w:t>
            </w:r>
          </w:p>
          <w:p w14:paraId="6D86CD9B">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资格要求</w:t>
            </w:r>
          </w:p>
        </w:tc>
        <w:tc>
          <w:tcPr>
            <w:tcW w:w="6083" w:type="dxa"/>
            <w:vAlign w:val="center"/>
          </w:tcPr>
          <w:p w14:paraId="0FD64AED">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满足《中华人民共和国政府采购法》第二十二条规定；</w:t>
            </w:r>
          </w:p>
          <w:p w14:paraId="633D3913">
            <w:pPr>
              <w:spacing w:line="360" w:lineRule="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落实政府采购政策需满足的资格要求：</w:t>
            </w:r>
            <w:r>
              <w:rPr>
                <w:rFonts w:hint="eastAsia" w:ascii="宋体" w:hAnsi="宋体" w:cs="宋体"/>
                <w:kern w:val="0"/>
                <w:sz w:val="24"/>
                <w:szCs w:val="24"/>
                <w:highlight w:val="none"/>
                <w:lang w:val="en-US" w:eastAsia="zh-CN"/>
              </w:rPr>
              <w:t>面向</w:t>
            </w:r>
            <w:r>
              <w:rPr>
                <w:rFonts w:hint="eastAsia" w:ascii="宋体" w:hAnsi="宋体" w:eastAsia="宋体" w:cs="宋体"/>
                <w:color w:val="auto"/>
                <w:kern w:val="0"/>
                <w:sz w:val="24"/>
                <w:szCs w:val="24"/>
                <w:highlight w:val="none"/>
              </w:rPr>
              <w:t>中小企业/小微企业</w:t>
            </w:r>
            <w:r>
              <w:rPr>
                <w:rFonts w:hint="eastAsia" w:ascii="宋体" w:hAnsi="宋体" w:cs="宋体"/>
                <w:kern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val="en-US" w:eastAsia="zh-CN"/>
              </w:rPr>
              <w:t>；</w:t>
            </w:r>
          </w:p>
          <w:p w14:paraId="725A9336">
            <w:pPr>
              <w:pageBreakBefore w:val="0"/>
              <w:widowControl/>
              <w:kinsoku/>
              <w:overflowPunct/>
              <w:bidi w:val="0"/>
              <w:adjustRightInd w:val="0"/>
              <w:snapToGrid w:val="0"/>
              <w:spacing w:line="360" w:lineRule="auto"/>
              <w:jc w:val="left"/>
              <w:rPr>
                <w:rFonts w:hint="default"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本项目的特定资格要求：无</w:t>
            </w:r>
            <w:r>
              <w:rPr>
                <w:rFonts w:hint="eastAsia" w:ascii="宋体" w:hAnsi="宋体" w:cs="宋体"/>
                <w:color w:val="auto"/>
                <w:kern w:val="0"/>
                <w:sz w:val="24"/>
                <w:szCs w:val="24"/>
                <w:highlight w:val="none"/>
                <w:lang w:val="en-US" w:eastAsia="zh-CN" w:bidi="ar-SA"/>
              </w:rPr>
              <w:t>。</w:t>
            </w:r>
          </w:p>
        </w:tc>
      </w:tr>
      <w:tr w14:paraId="0012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6DCAEF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417" w:type="dxa"/>
            <w:vAlign w:val="center"/>
          </w:tcPr>
          <w:p w14:paraId="60CFBA9A">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联合体投标</w:t>
            </w:r>
          </w:p>
        </w:tc>
        <w:tc>
          <w:tcPr>
            <w:tcW w:w="6083" w:type="dxa"/>
            <w:vAlign w:val="center"/>
          </w:tcPr>
          <w:p w14:paraId="002C21B8">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本项目不接受联合体投标</w:t>
            </w:r>
          </w:p>
        </w:tc>
      </w:tr>
      <w:tr w14:paraId="3C8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A39B71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417" w:type="dxa"/>
            <w:vAlign w:val="center"/>
          </w:tcPr>
          <w:p w14:paraId="3D9CDB2C">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保证金</w:t>
            </w:r>
          </w:p>
        </w:tc>
        <w:tc>
          <w:tcPr>
            <w:tcW w:w="6083" w:type="dxa"/>
            <w:vAlign w:val="center"/>
          </w:tcPr>
          <w:p w14:paraId="17D1F4A8">
            <w:pPr>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CN" w:eastAsia="zh-CN"/>
              </w:rPr>
              <w:t>磋商保证金的金额</w:t>
            </w:r>
            <w:r>
              <w:rPr>
                <w:rFonts w:hint="eastAsia" w:asciiTheme="minorEastAsia" w:hAnsiTheme="minorEastAsia" w:eastAsiaTheme="minorEastAsia" w:cstheme="minorEastAsia"/>
                <w:sz w:val="24"/>
                <w:szCs w:val="24"/>
                <w:highlight w:val="none"/>
                <w:lang w:val="en-US" w:eastAsia="zh-CN"/>
              </w:rPr>
              <w:t>：9000元整。</w:t>
            </w:r>
          </w:p>
          <w:p w14:paraId="1160D567">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2.磋商保证金的形式：</w:t>
            </w:r>
          </w:p>
          <w:p w14:paraId="5DD9F413">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lang w:val="zh-CN" w:eastAsia="zh-CN"/>
              </w:rPr>
              <w:t>保证金应当以支票、汇票、本票或者金融机构、担保机构出具的保函等非现金形式提交，响应文件中需装订磋商保证金凭证及其基本账户转出的证明</w:t>
            </w:r>
            <w:r>
              <w:rPr>
                <w:rFonts w:hint="eastAsia" w:asciiTheme="minorEastAsia" w:hAnsiTheme="minorEastAsia" w:eastAsiaTheme="minorEastAsia" w:cstheme="minorEastAsia"/>
                <w:sz w:val="24"/>
                <w:szCs w:val="24"/>
                <w:highlight w:val="none"/>
                <w:lang w:val="en-US" w:eastAsia="zh-CN"/>
              </w:rPr>
              <w:t>文件。</w:t>
            </w:r>
          </w:p>
          <w:p w14:paraId="471EB98A">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zh-CN" w:eastAsia="zh-CN"/>
              </w:rPr>
              <w:t>指定账户：</w:t>
            </w:r>
          </w:p>
          <w:p w14:paraId="1FCACB4B">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开户单位：山西诺薇项目管理有限公司</w:t>
            </w:r>
          </w:p>
          <w:p w14:paraId="47E31D13">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w:t>
            </w:r>
            <w:r>
              <w:rPr>
                <w:rFonts w:hint="eastAsia" w:asciiTheme="minorEastAsia" w:hAnsiTheme="minorEastAsia" w:eastAsiaTheme="minorEastAsia" w:cstheme="minorEastAsia"/>
                <w:sz w:val="24"/>
                <w:szCs w:val="24"/>
                <w:highlight w:val="none"/>
                <w:lang w:val="en-US" w:eastAsia="zh-CN"/>
              </w:rPr>
              <w:t>359143010300000026985</w:t>
            </w:r>
          </w:p>
          <w:p w14:paraId="4E748CCA">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行号：402176100588</w:t>
            </w:r>
          </w:p>
          <w:p w14:paraId="2929F0CD">
            <w:pPr>
              <w:spacing w:line="360" w:lineRule="auto"/>
              <w:ind w:firstLine="240" w:firstLineChars="1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开户银行：山西介休农村商业银行股份有限公司绵山路支行</w:t>
            </w:r>
          </w:p>
          <w:p w14:paraId="4BE8423D">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CN" w:eastAsia="zh-CN"/>
              </w:rPr>
              <w:t>磋商保证金到账截止时间：</w:t>
            </w:r>
            <w:r>
              <w:rPr>
                <w:rFonts w:hint="eastAsia" w:asciiTheme="minorEastAsia" w:hAnsiTheme="minorEastAsia" w:eastAsiaTheme="minorEastAsia" w:cstheme="minorEastAsia"/>
                <w:sz w:val="24"/>
                <w:szCs w:val="24"/>
                <w:highlight w:val="none"/>
                <w:lang w:val="en-US" w:eastAsia="zh-CN"/>
              </w:rPr>
              <w:t>磋商截止前</w:t>
            </w:r>
          </w:p>
          <w:p w14:paraId="3FFA3BA5">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5.注意事项：</w:t>
            </w:r>
          </w:p>
          <w:p w14:paraId="1F99077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1、磋商保证金必须从供应商的基本账户转出；</w:t>
            </w:r>
          </w:p>
          <w:p w14:paraId="1F0FBB4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2、供应商缴纳磋商保证金时，应在汇款凭证上注明“项目名称（可简写）”。</w:t>
            </w:r>
          </w:p>
          <w:p w14:paraId="13712874">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3、选择汇款的供应商须向银行核实磋商保证金到账，以免因为未到账影响投标。</w:t>
            </w:r>
          </w:p>
          <w:p w14:paraId="46A84344">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保证金缴纳应符合上述要求，否则按废标处理。</w:t>
            </w:r>
          </w:p>
          <w:p w14:paraId="748EFD27">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CN" w:eastAsia="zh-CN"/>
              </w:rPr>
              <w:t>.磋商保证金的有效期与磋商有效期一致。</w:t>
            </w:r>
          </w:p>
          <w:p w14:paraId="78CAAA39">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5.供应商为联合体的，可以由联合体中的一方或者多方共同交纳磋商保证金，其交纳的保证金对联合体各方均具有约束力。</w:t>
            </w:r>
          </w:p>
          <w:p w14:paraId="3693FD43">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zh-CN" w:eastAsia="zh-CN"/>
              </w:rPr>
              <w:t>磋商保证金的退还：</w:t>
            </w:r>
          </w:p>
          <w:p w14:paraId="35879F69">
            <w:pPr>
              <w:spacing w:line="360" w:lineRule="auto"/>
              <w:ind w:firstLine="240" w:firstLineChars="100"/>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 1 \* GB3 \* MERGEFORMAT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CN" w:eastAsia="zh-CN"/>
              </w:rPr>
              <w:t>①</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zh-CN" w:eastAsia="zh-CN"/>
              </w:rPr>
              <w:t>成交通知书发出之日起5个工作日内退还未成交供应商的磋商保证金；</w:t>
            </w:r>
          </w:p>
          <w:p w14:paraId="10B7A31B">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 2 \* GB3 \* MERGEFORMAT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CN" w:eastAsia="zh-CN"/>
              </w:rPr>
              <w:t>②</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zh-CN" w:eastAsia="zh-CN"/>
              </w:rPr>
              <w:t>采购合同签订之日起5个工作日内退还成交供应商的磋商保证金。</w:t>
            </w:r>
          </w:p>
        </w:tc>
      </w:tr>
      <w:tr w14:paraId="01C7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4152E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2417" w:type="dxa"/>
            <w:vAlign w:val="center"/>
          </w:tcPr>
          <w:p w14:paraId="4BBA8EF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不予退还磋商保证金的情形</w:t>
            </w:r>
          </w:p>
        </w:tc>
        <w:tc>
          <w:tcPr>
            <w:tcW w:w="6083" w:type="dxa"/>
            <w:vAlign w:val="center"/>
          </w:tcPr>
          <w:p w14:paraId="4BA4D212">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1.供应商在提交响应文件截止时间后撤回响应文件的；</w:t>
            </w:r>
          </w:p>
          <w:p w14:paraId="76D3F7B4">
            <w:pPr>
              <w:spacing w:line="360" w:lineRule="auto"/>
              <w:rPr>
                <w:rFonts w:hint="eastAsia" w:asciiTheme="minorEastAsia" w:hAnsiTheme="minorEastAsia" w:eastAsiaTheme="minorEastAsia" w:cstheme="minorEastAsia"/>
                <w:b w:val="0"/>
                <w:bCs w:val="0"/>
                <w:kern w:val="0"/>
                <w:sz w:val="24"/>
                <w:szCs w:val="24"/>
                <w:highlight w:val="none"/>
                <w:lang w:val="zh-CN"/>
              </w:rPr>
            </w:pPr>
            <w:r>
              <w:rPr>
                <w:rFonts w:hint="eastAsia" w:asciiTheme="minorEastAsia" w:hAnsiTheme="minorEastAsia" w:eastAsiaTheme="minorEastAsia" w:cstheme="minorEastAsia"/>
                <w:b w:val="0"/>
                <w:bCs w:val="0"/>
                <w:kern w:val="0"/>
                <w:sz w:val="24"/>
                <w:szCs w:val="24"/>
                <w:highlight w:val="none"/>
                <w:lang w:val="en-US" w:eastAsia="zh-CN"/>
              </w:rPr>
              <w:t>2.供应商在响应文件中提供虚假材料的；</w:t>
            </w:r>
          </w:p>
          <w:p w14:paraId="7A98C256">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3.除因不可抗力或磋商文件认可的情形以外，成交供应商不与采购人签订合同的；</w:t>
            </w:r>
          </w:p>
          <w:p w14:paraId="07B854F7">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4.供应商与采购人、其他供应商或者采购代理机构恶意串通的；</w:t>
            </w:r>
          </w:p>
          <w:p w14:paraId="4C4344F8">
            <w:pPr>
              <w:spacing w:line="360" w:lineRule="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5.磋商文件规定的其他情形。</w:t>
            </w:r>
          </w:p>
        </w:tc>
      </w:tr>
      <w:tr w14:paraId="45B9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C0BB92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2417" w:type="dxa"/>
            <w:vAlign w:val="center"/>
          </w:tcPr>
          <w:p w14:paraId="16D8F6FB">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现场</w:t>
            </w:r>
            <w:r>
              <w:rPr>
                <w:rFonts w:hint="eastAsia" w:asciiTheme="minorEastAsia" w:hAnsiTheme="minorEastAsia" w:eastAsiaTheme="minorEastAsia" w:cstheme="minorEastAsia"/>
                <w:sz w:val="24"/>
                <w:szCs w:val="24"/>
                <w:highlight w:val="none"/>
                <w:lang w:eastAsia="zh-CN"/>
              </w:rPr>
              <w:t>考察</w:t>
            </w:r>
          </w:p>
        </w:tc>
        <w:tc>
          <w:tcPr>
            <w:tcW w:w="6083" w:type="dxa"/>
            <w:vAlign w:val="center"/>
          </w:tcPr>
          <w:p w14:paraId="4EDB53CA">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不组织，</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自行</w:t>
            </w:r>
            <w:r>
              <w:rPr>
                <w:rFonts w:hint="eastAsia" w:asciiTheme="minorEastAsia" w:hAnsiTheme="minorEastAsia" w:eastAsiaTheme="minorEastAsia" w:cstheme="minorEastAsia"/>
                <w:sz w:val="24"/>
                <w:szCs w:val="24"/>
                <w:highlight w:val="none"/>
                <w:lang w:eastAsia="zh-CN"/>
              </w:rPr>
              <w:t>考察</w:t>
            </w:r>
            <w:r>
              <w:rPr>
                <w:rFonts w:hint="eastAsia" w:asciiTheme="minorEastAsia" w:hAnsiTheme="minorEastAsia" w:eastAsiaTheme="minorEastAsia" w:cstheme="minorEastAsia"/>
                <w:sz w:val="24"/>
                <w:szCs w:val="24"/>
                <w:highlight w:val="none"/>
              </w:rPr>
              <w:t>，风险自负。</w:t>
            </w:r>
          </w:p>
        </w:tc>
      </w:tr>
      <w:tr w14:paraId="566F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919C9C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2417" w:type="dxa"/>
            <w:vAlign w:val="center"/>
          </w:tcPr>
          <w:p w14:paraId="2F04B270">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磋商前答疑会</w:t>
            </w:r>
          </w:p>
        </w:tc>
        <w:tc>
          <w:tcPr>
            <w:tcW w:w="6083" w:type="dxa"/>
            <w:vAlign w:val="center"/>
          </w:tcPr>
          <w:p w14:paraId="37686CF8">
            <w:pPr>
              <w:pStyle w:val="19"/>
              <w:topLinePunct/>
              <w:spacing w:after="0"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不召开</w:t>
            </w:r>
          </w:p>
        </w:tc>
      </w:tr>
      <w:tr w14:paraId="4823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11FB87">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16</w:t>
            </w:r>
          </w:p>
        </w:tc>
        <w:tc>
          <w:tcPr>
            <w:tcW w:w="2417" w:type="dxa"/>
            <w:vAlign w:val="center"/>
          </w:tcPr>
          <w:p w14:paraId="34C5B6AC">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分包</w:t>
            </w:r>
          </w:p>
        </w:tc>
        <w:tc>
          <w:tcPr>
            <w:tcW w:w="6083" w:type="dxa"/>
            <w:vAlign w:val="center"/>
          </w:tcPr>
          <w:p w14:paraId="25F8CC27">
            <w:pPr>
              <w:spacing w:line="360" w:lineRule="auto"/>
              <w:rPr>
                <w:rFonts w:hint="eastAsia" w:asciiTheme="minorEastAsia" w:hAnsiTheme="minorEastAsia" w:eastAsiaTheme="minorEastAsia" w:cstheme="minorEastAsia"/>
                <w:b/>
                <w:bCs/>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lang w:eastAsia="zh-CN"/>
              </w:rPr>
              <w:t>不允许</w:t>
            </w:r>
          </w:p>
        </w:tc>
      </w:tr>
      <w:tr w14:paraId="426B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1781C43">
            <w:pPr>
              <w:autoSpaceDE w:val="0"/>
              <w:autoSpaceDN w:val="0"/>
              <w:adjustRightInd w:val="0"/>
              <w:spacing w:line="360" w:lineRule="auto"/>
              <w:jc w:val="center"/>
              <w:outlineLvl w:val="9"/>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17</w:t>
            </w:r>
          </w:p>
        </w:tc>
        <w:tc>
          <w:tcPr>
            <w:tcW w:w="2417" w:type="dxa"/>
            <w:vAlign w:val="center"/>
          </w:tcPr>
          <w:p w14:paraId="6626065B">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有效期</w:t>
            </w:r>
          </w:p>
        </w:tc>
        <w:tc>
          <w:tcPr>
            <w:tcW w:w="6083" w:type="dxa"/>
            <w:vAlign w:val="center"/>
          </w:tcPr>
          <w:p w14:paraId="30796510">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从提交</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文件的截止之日起算</w:t>
            </w:r>
            <w:r>
              <w:rPr>
                <w:rFonts w:hint="eastAsia" w:asciiTheme="minorEastAsia" w:hAnsiTheme="minorEastAsia" w:eastAsiaTheme="minorEastAsia" w:cstheme="minorEastAsia"/>
                <w:sz w:val="24"/>
                <w:szCs w:val="24"/>
                <w:highlight w:val="none"/>
                <w:lang w:val="en-US" w:eastAsia="zh-CN"/>
              </w:rPr>
              <w:t>45</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历天</w:t>
            </w:r>
          </w:p>
        </w:tc>
      </w:tr>
      <w:tr w14:paraId="66B6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2CFCD4">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18</w:t>
            </w:r>
          </w:p>
        </w:tc>
        <w:tc>
          <w:tcPr>
            <w:tcW w:w="2417" w:type="dxa"/>
            <w:vAlign w:val="center"/>
          </w:tcPr>
          <w:p w14:paraId="59B2FA38">
            <w:pPr>
              <w:autoSpaceDE w:val="0"/>
              <w:autoSpaceDN w:val="0"/>
              <w:adjustRightIn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履约保证金</w:t>
            </w:r>
          </w:p>
        </w:tc>
        <w:tc>
          <w:tcPr>
            <w:tcW w:w="6083" w:type="dxa"/>
            <w:vAlign w:val="center"/>
          </w:tcPr>
          <w:p w14:paraId="0FCE0A19">
            <w:pPr>
              <w:autoSpaceDE w:val="0"/>
              <w:autoSpaceDN w:val="0"/>
              <w:adjustRightInd w:val="0"/>
              <w:spacing w:line="360" w:lineRule="auto"/>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另行约定</w:t>
            </w:r>
          </w:p>
        </w:tc>
      </w:tr>
      <w:tr w14:paraId="4A46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FF6F820">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19</w:t>
            </w:r>
          </w:p>
        </w:tc>
        <w:tc>
          <w:tcPr>
            <w:tcW w:w="2417" w:type="dxa"/>
            <w:vAlign w:val="center"/>
          </w:tcPr>
          <w:p w14:paraId="13C7C1C0">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最高限价</w:t>
            </w:r>
          </w:p>
        </w:tc>
        <w:tc>
          <w:tcPr>
            <w:tcW w:w="6083" w:type="dxa"/>
            <w:vAlign w:val="center"/>
          </w:tcPr>
          <w:p w14:paraId="011C2B1E">
            <w:pPr>
              <w:autoSpaceDE w:val="0"/>
              <w:autoSpaceDN w:val="0"/>
              <w:adjustRightInd w:val="0"/>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1.最高限价为：</w:t>
            </w:r>
            <w:r>
              <w:rPr>
                <w:rFonts w:hint="eastAsia" w:asciiTheme="minorEastAsia" w:hAnsiTheme="minorEastAsia" w:eastAsiaTheme="minorEastAsia" w:cstheme="minorEastAsia"/>
                <w:b w:val="0"/>
                <w:bCs w:val="0"/>
                <w:color w:val="auto"/>
                <w:sz w:val="24"/>
                <w:szCs w:val="24"/>
                <w:highlight w:val="none"/>
                <w:lang w:val="en-US" w:eastAsia="zh-CN"/>
              </w:rPr>
              <w:t>941274.96元/年</w:t>
            </w:r>
          </w:p>
          <w:p w14:paraId="4BF4470B">
            <w:pPr>
              <w:autoSpaceDE w:val="0"/>
              <w:autoSpaceDN w:val="0"/>
              <w:adjustRightInd w:val="0"/>
              <w:spacing w:line="360" w:lineRule="auto"/>
              <w:jc w:val="left"/>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2.供应商磋商报价超过最高限价时响应无效。</w:t>
            </w:r>
          </w:p>
        </w:tc>
      </w:tr>
      <w:tr w14:paraId="250F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468BD2A">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20</w:t>
            </w:r>
          </w:p>
        </w:tc>
        <w:tc>
          <w:tcPr>
            <w:tcW w:w="2417" w:type="dxa"/>
            <w:vAlign w:val="center"/>
          </w:tcPr>
          <w:p w14:paraId="533DA43E">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编制</w:t>
            </w:r>
          </w:p>
        </w:tc>
        <w:tc>
          <w:tcPr>
            <w:tcW w:w="6083" w:type="dxa"/>
            <w:vAlign w:val="center"/>
          </w:tcPr>
          <w:p w14:paraId="3C6EAB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电子响应文件：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供应商应使用政采云系统的响应文件编制工具，按照操作手册编制电子响应文件，并使用数字证书（CA）按照磋商文件规定签字、签章。同时使用数字证书（CA）对响应文件进行加密。</w:t>
            </w:r>
          </w:p>
        </w:tc>
      </w:tr>
      <w:tr w14:paraId="4509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11CB5EF">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21</w:t>
            </w:r>
          </w:p>
        </w:tc>
        <w:tc>
          <w:tcPr>
            <w:tcW w:w="2417" w:type="dxa"/>
            <w:vAlign w:val="center"/>
          </w:tcPr>
          <w:p w14:paraId="29951065">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封套上写明</w:t>
            </w:r>
          </w:p>
        </w:tc>
        <w:tc>
          <w:tcPr>
            <w:tcW w:w="6083" w:type="dxa"/>
            <w:vAlign w:val="center"/>
          </w:tcPr>
          <w:p w14:paraId="445BE42C">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bidi="ar-SA"/>
              </w:rPr>
              <w:t>/</w:t>
            </w:r>
          </w:p>
        </w:tc>
      </w:tr>
      <w:tr w14:paraId="45D5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A69002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22</w:t>
            </w:r>
          </w:p>
        </w:tc>
        <w:tc>
          <w:tcPr>
            <w:tcW w:w="2417" w:type="dxa"/>
            <w:vAlign w:val="center"/>
          </w:tcPr>
          <w:p w14:paraId="48733F3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是否退还响应文件</w:t>
            </w:r>
          </w:p>
        </w:tc>
        <w:tc>
          <w:tcPr>
            <w:tcW w:w="6083" w:type="dxa"/>
            <w:vAlign w:val="center"/>
          </w:tcPr>
          <w:p w14:paraId="63FDB2E9">
            <w:pPr>
              <w:spacing w:line="360" w:lineRule="auto"/>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rPr>
              <w:t>否</w:t>
            </w:r>
          </w:p>
        </w:tc>
      </w:tr>
      <w:tr w14:paraId="05F9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FDD4BC2">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23</w:t>
            </w:r>
          </w:p>
        </w:tc>
        <w:tc>
          <w:tcPr>
            <w:tcW w:w="2417" w:type="dxa"/>
            <w:vAlign w:val="center"/>
          </w:tcPr>
          <w:p w14:paraId="4B921356">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 xml:space="preserve">文件递交截止时间 </w:t>
            </w:r>
          </w:p>
        </w:tc>
        <w:tc>
          <w:tcPr>
            <w:tcW w:w="6083" w:type="dxa"/>
            <w:vAlign w:val="center"/>
          </w:tcPr>
          <w:p w14:paraId="1060AC62">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6月15日15时00分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5ABB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EC4BB8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24</w:t>
            </w:r>
          </w:p>
        </w:tc>
        <w:tc>
          <w:tcPr>
            <w:tcW w:w="2417" w:type="dxa"/>
            <w:vAlign w:val="center"/>
          </w:tcPr>
          <w:p w14:paraId="1C762CA9">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纸质</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文件递交地点</w:t>
            </w:r>
          </w:p>
        </w:tc>
        <w:tc>
          <w:tcPr>
            <w:tcW w:w="6083" w:type="dxa"/>
            <w:vAlign w:val="center"/>
          </w:tcPr>
          <w:p w14:paraId="546EFBCB">
            <w:pPr>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r>
      <w:tr w14:paraId="176C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C7269D7">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25</w:t>
            </w:r>
          </w:p>
        </w:tc>
        <w:tc>
          <w:tcPr>
            <w:tcW w:w="2417" w:type="dxa"/>
            <w:vAlign w:val="center"/>
          </w:tcPr>
          <w:p w14:paraId="4545F759">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开启、</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解密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时间</w:t>
            </w:r>
          </w:p>
        </w:tc>
        <w:tc>
          <w:tcPr>
            <w:tcW w:w="6083" w:type="dxa"/>
            <w:vAlign w:val="center"/>
          </w:tcPr>
          <w:p w14:paraId="4EFF2BF8">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6月15日15时00分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3ACC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C73259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0070C0"/>
                <w:kern w:val="0"/>
                <w:sz w:val="24"/>
                <w:szCs w:val="24"/>
                <w:highlight w:val="none"/>
                <w:lang w:val="en-US" w:eastAsia="zh-CN" w:bidi="ar-SA"/>
              </w:rPr>
            </w:pPr>
            <w:r>
              <w:rPr>
                <w:rFonts w:hint="eastAsia" w:asciiTheme="minorEastAsia" w:hAnsiTheme="minorEastAsia" w:eastAsiaTheme="minorEastAsia" w:cstheme="minorEastAsia"/>
                <w:b w:val="0"/>
                <w:bCs w:val="0"/>
                <w:color w:val="0070C0"/>
                <w:kern w:val="0"/>
                <w:sz w:val="24"/>
                <w:szCs w:val="24"/>
                <w:highlight w:val="none"/>
                <w:lang w:val="en-US" w:eastAsia="zh-CN"/>
              </w:rPr>
              <w:t>26</w:t>
            </w:r>
          </w:p>
        </w:tc>
        <w:tc>
          <w:tcPr>
            <w:tcW w:w="2417" w:type="dxa"/>
            <w:vAlign w:val="center"/>
          </w:tcPr>
          <w:p w14:paraId="2C01132D">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开启、</w:t>
            </w:r>
            <w:r>
              <w:rPr>
                <w:rFonts w:hint="eastAsia" w:asciiTheme="minorEastAsia" w:hAnsiTheme="minorEastAsia" w:eastAsiaTheme="minorEastAsia" w:cstheme="minorEastAsia"/>
                <w:color w:val="auto"/>
                <w:kern w:val="0"/>
                <w:sz w:val="24"/>
                <w:szCs w:val="24"/>
                <w:highlight w:val="none"/>
                <w:lang w:val="en-US" w:eastAsia="zh-CN"/>
              </w:rPr>
              <w:t>解密</w:t>
            </w:r>
            <w:r>
              <w:rPr>
                <w:rFonts w:hint="eastAsia" w:asciiTheme="minorEastAsia" w:hAnsiTheme="minorEastAsia" w:eastAsiaTheme="minorEastAsia" w:cstheme="minorEastAsia"/>
                <w:color w:val="auto"/>
                <w:kern w:val="0"/>
                <w:sz w:val="24"/>
                <w:szCs w:val="24"/>
                <w:highlight w:val="none"/>
              </w:rPr>
              <w:t>地点</w:t>
            </w:r>
          </w:p>
        </w:tc>
        <w:tc>
          <w:tcPr>
            <w:tcW w:w="6083" w:type="dxa"/>
            <w:vAlign w:val="center"/>
          </w:tcPr>
          <w:p w14:paraId="7A7EC9B7">
            <w:pPr>
              <w:spacing w:line="360" w:lineRule="auto"/>
              <w:rPr>
                <w:rFonts w:hint="default" w:asciiTheme="minorEastAsia" w:hAnsiTheme="minorEastAsia" w:eastAsiaTheme="minorEastAsia" w:cstheme="minorEastAsia"/>
                <w:b/>
                <w:bCs/>
                <w:color w:val="auto"/>
                <w:kern w:val="0"/>
                <w:sz w:val="24"/>
                <w:szCs w:val="24"/>
                <w:highlight w:val="none"/>
                <w:u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政采云客户端</w:t>
            </w:r>
          </w:p>
        </w:tc>
      </w:tr>
      <w:tr w14:paraId="6315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D722E9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27</w:t>
            </w:r>
          </w:p>
        </w:tc>
        <w:tc>
          <w:tcPr>
            <w:tcW w:w="2417" w:type="dxa"/>
            <w:vAlign w:val="center"/>
          </w:tcPr>
          <w:p w14:paraId="3E81136C">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磋商小组的组建</w:t>
            </w:r>
          </w:p>
        </w:tc>
        <w:tc>
          <w:tcPr>
            <w:tcW w:w="6083" w:type="dxa"/>
            <w:vAlign w:val="center"/>
          </w:tcPr>
          <w:p w14:paraId="59F10DAA">
            <w:pPr>
              <w:autoSpaceDE w:val="0"/>
              <w:autoSpaceDN w:val="0"/>
              <w:adjustRightInd w:val="0"/>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磋商小组构成：3人，其中甲方代表1人。</w:t>
            </w:r>
          </w:p>
          <w:p w14:paraId="0CEE145E">
            <w:pPr>
              <w:autoSpaceDE w:val="0"/>
              <w:autoSpaceDN w:val="0"/>
              <w:adjustRightInd w:val="0"/>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评审专家确定方式：山西省政府采购评审专家库中随机抽取。</w:t>
            </w:r>
          </w:p>
        </w:tc>
      </w:tr>
      <w:tr w14:paraId="0191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219E63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28</w:t>
            </w:r>
          </w:p>
        </w:tc>
        <w:tc>
          <w:tcPr>
            <w:tcW w:w="2417" w:type="dxa"/>
            <w:vAlign w:val="center"/>
          </w:tcPr>
          <w:p w14:paraId="5620F1E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评审程序及方法</w:t>
            </w:r>
          </w:p>
        </w:tc>
        <w:tc>
          <w:tcPr>
            <w:tcW w:w="6083" w:type="dxa"/>
            <w:vAlign w:val="center"/>
          </w:tcPr>
          <w:p w14:paraId="481D5D02">
            <w:pPr>
              <w:autoSpaceDE w:val="0"/>
              <w:autoSpaceDN w:val="0"/>
              <w:adjustRightInd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1.一轮磋商与二轮报价</w:t>
            </w:r>
          </w:p>
          <w:p w14:paraId="2EF4F20A">
            <w:pPr>
              <w:autoSpaceDE w:val="0"/>
              <w:autoSpaceDN w:val="0"/>
              <w:adjustRightInd w:val="0"/>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2.综合评分法</w:t>
            </w:r>
          </w:p>
        </w:tc>
      </w:tr>
      <w:tr w14:paraId="6F02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CAF1F92">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29</w:t>
            </w:r>
          </w:p>
        </w:tc>
        <w:tc>
          <w:tcPr>
            <w:tcW w:w="2417" w:type="dxa"/>
            <w:vAlign w:val="center"/>
          </w:tcPr>
          <w:p w14:paraId="37777C73">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是否授权磋商小组确定成交供应商</w:t>
            </w:r>
          </w:p>
        </w:tc>
        <w:tc>
          <w:tcPr>
            <w:tcW w:w="6083" w:type="dxa"/>
            <w:vAlign w:val="center"/>
          </w:tcPr>
          <w:p w14:paraId="43007CF1">
            <w:pPr>
              <w:autoSpaceDE w:val="0"/>
              <w:autoSpaceDN w:val="0"/>
              <w:adjustRightInd w:val="0"/>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是</w:t>
            </w:r>
          </w:p>
        </w:tc>
      </w:tr>
      <w:tr w14:paraId="476F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072A89D">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30</w:t>
            </w:r>
          </w:p>
        </w:tc>
        <w:tc>
          <w:tcPr>
            <w:tcW w:w="2417" w:type="dxa"/>
            <w:vAlign w:val="center"/>
          </w:tcPr>
          <w:p w14:paraId="28FA90E9">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rPr>
              <w:t>成交结果公示</w:t>
            </w:r>
          </w:p>
        </w:tc>
        <w:tc>
          <w:tcPr>
            <w:tcW w:w="6083" w:type="dxa"/>
            <w:vAlign w:val="center"/>
          </w:tcPr>
          <w:p w14:paraId="649F2653">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媒介：《山西政府采购网》</w:t>
            </w:r>
          </w:p>
          <w:p w14:paraId="5ED2BA6E">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zh-CN" w:eastAsia="zh-CN"/>
              </w:rPr>
              <w:t>公示期：</w:t>
            </w:r>
            <w:r>
              <w:rPr>
                <w:rFonts w:hint="eastAsia" w:asciiTheme="minorEastAsia" w:hAnsiTheme="minorEastAsia" w:eastAsiaTheme="minorEastAsia" w:cstheme="minorEastAsia"/>
                <w:sz w:val="24"/>
                <w:szCs w:val="24"/>
                <w:highlight w:val="none"/>
                <w:lang w:val="en-US" w:eastAsia="zh-CN"/>
              </w:rPr>
              <w:t>1个工作日</w:t>
            </w:r>
          </w:p>
        </w:tc>
      </w:tr>
      <w:tr w14:paraId="1579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CF93E2E">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31</w:t>
            </w:r>
          </w:p>
        </w:tc>
        <w:tc>
          <w:tcPr>
            <w:tcW w:w="2417" w:type="dxa"/>
            <w:vAlign w:val="center"/>
          </w:tcPr>
          <w:p w14:paraId="131711A3">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信用信息查询</w:t>
            </w:r>
          </w:p>
        </w:tc>
        <w:tc>
          <w:tcPr>
            <w:tcW w:w="6083" w:type="dxa"/>
            <w:vAlign w:val="center"/>
          </w:tcPr>
          <w:p w14:paraId="403100DA">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1.“信用中国”网站（www.creditchina.gov.cn）（查询内容为失信被执行人、重大税收违法失信主体、政府采购严重违法失信名单记录情况）；</w:t>
            </w:r>
          </w:p>
          <w:p w14:paraId="28266C16">
            <w:pPr>
              <w:autoSpaceDE w:val="0"/>
              <w:autoSpaceDN w:val="0"/>
              <w:adjustRightInd w:val="0"/>
              <w:spacing w:line="360" w:lineRule="auto"/>
              <w:jc w:val="left"/>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2.采购人或采购代理机构有权对所有供应商进行相关内容的查询，查询后供应商如</w:t>
            </w:r>
            <w:r>
              <w:rPr>
                <w:rFonts w:hint="eastAsia" w:asciiTheme="minorEastAsia" w:hAnsiTheme="minorEastAsia" w:eastAsiaTheme="minorEastAsia" w:cstheme="minorEastAsia"/>
                <w:kern w:val="0"/>
                <w:sz w:val="24"/>
                <w:szCs w:val="24"/>
                <w:highlight w:val="none"/>
                <w:lang w:val="zh-CN"/>
              </w:rPr>
              <w:t>存在</w:t>
            </w:r>
            <w:r>
              <w:rPr>
                <w:rFonts w:hint="eastAsia" w:asciiTheme="minorEastAsia" w:hAnsiTheme="minorEastAsia" w:eastAsiaTheme="minorEastAsia" w:cstheme="minorEastAsia"/>
                <w:kern w:val="0"/>
                <w:sz w:val="24"/>
                <w:szCs w:val="24"/>
                <w:highlight w:val="none"/>
                <w:lang w:val="zh-CN" w:eastAsia="zh-CN"/>
              </w:rPr>
              <w:t>严重违法失信行为的，留存证据并</w:t>
            </w:r>
            <w:r>
              <w:rPr>
                <w:rFonts w:hint="eastAsia" w:asciiTheme="minorEastAsia" w:hAnsiTheme="minorEastAsia" w:eastAsiaTheme="minorEastAsia" w:cstheme="minorEastAsia"/>
                <w:kern w:val="0"/>
                <w:sz w:val="24"/>
                <w:szCs w:val="24"/>
                <w:highlight w:val="none"/>
                <w:lang w:val="zh-CN"/>
              </w:rPr>
              <w:t>做无效报价处理</w:t>
            </w:r>
            <w:r>
              <w:rPr>
                <w:rFonts w:hint="eastAsia" w:asciiTheme="minorEastAsia" w:hAnsiTheme="minorEastAsia" w:eastAsiaTheme="minorEastAsia" w:cstheme="minorEastAsia"/>
                <w:kern w:val="0"/>
                <w:sz w:val="24"/>
                <w:szCs w:val="24"/>
                <w:highlight w:val="none"/>
                <w:lang w:val="zh-CN" w:eastAsia="zh-CN"/>
              </w:rPr>
              <w:t>。</w:t>
            </w:r>
          </w:p>
        </w:tc>
      </w:tr>
      <w:tr w14:paraId="1178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22E1CDD3">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32</w:t>
            </w:r>
          </w:p>
        </w:tc>
        <w:tc>
          <w:tcPr>
            <w:tcW w:w="2417" w:type="dxa"/>
            <w:vAlign w:val="center"/>
          </w:tcPr>
          <w:p w14:paraId="17B2F295">
            <w:pPr>
              <w:spacing w:line="36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采购代理服务费</w:t>
            </w:r>
          </w:p>
        </w:tc>
        <w:tc>
          <w:tcPr>
            <w:tcW w:w="6083" w:type="dxa"/>
            <w:vAlign w:val="center"/>
          </w:tcPr>
          <w:p w14:paraId="0255B7F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标准：参照国家发展计划委员会颁布的计价格[2002]1980号《招标代理服务收费管理办法》文件、国家发改委办公厅颁布的发改办价格［2003］857号《国家发改委办公厅关于招标代理服务收费有关问题的通知》规定计取，以成交金额为计费基数计算。</w:t>
            </w:r>
          </w:p>
          <w:p w14:paraId="13C5074E">
            <w:pPr>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 xml:space="preserve">支付方式：由成交供应商在收到成交通知书时向采购代理机构一次性支付。   </w:t>
            </w:r>
          </w:p>
        </w:tc>
      </w:tr>
      <w:tr w14:paraId="329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0DBA9D7">
            <w:pPr>
              <w:autoSpaceDE w:val="0"/>
              <w:autoSpaceDN w:val="0"/>
              <w:adjustRightInd w:val="0"/>
              <w:spacing w:line="360" w:lineRule="auto"/>
              <w:jc w:val="center"/>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33</w:t>
            </w:r>
          </w:p>
        </w:tc>
        <w:tc>
          <w:tcPr>
            <w:tcW w:w="2417" w:type="dxa"/>
            <w:vAlign w:val="center"/>
          </w:tcPr>
          <w:p w14:paraId="406EEE44">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rPr>
            </w:pPr>
            <w:r>
              <w:rPr>
                <w:rFonts w:hint="eastAsia" w:ascii="宋体" w:hAnsi="宋体" w:cs="宋体"/>
                <w:spacing w:val="0"/>
                <w:sz w:val="24"/>
                <w:szCs w:val="24"/>
                <w:lang w:eastAsia="zh-CN"/>
              </w:rPr>
              <w:t>响应文件</w:t>
            </w:r>
            <w:r>
              <w:rPr>
                <w:rFonts w:hint="eastAsia" w:ascii="宋体" w:hAnsi="宋体" w:eastAsia="宋体" w:cs="宋体"/>
                <w:spacing w:val="0"/>
                <w:sz w:val="24"/>
                <w:szCs w:val="24"/>
              </w:rPr>
              <w:t>编制及递交</w:t>
            </w:r>
          </w:p>
        </w:tc>
        <w:tc>
          <w:tcPr>
            <w:tcW w:w="6083" w:type="dxa"/>
            <w:vAlign w:val="center"/>
          </w:tcPr>
          <w:p w14:paraId="25BCE229">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lang w:val="en-US" w:eastAsia="zh-CN"/>
              </w:rPr>
              <w:t>1.</w:t>
            </w:r>
            <w:r>
              <w:rPr>
                <w:rStyle w:val="390"/>
                <w:rFonts w:hint="eastAsia" w:ascii="宋体" w:hAnsi="宋体" w:cs="宋体"/>
                <w:spacing w:val="0"/>
                <w:sz w:val="24"/>
                <w:szCs w:val="24"/>
                <w:lang w:val="en-US" w:eastAsia="zh-CN"/>
              </w:rPr>
              <w:t>供应商</w:t>
            </w:r>
            <w:r>
              <w:rPr>
                <w:rStyle w:val="390"/>
                <w:rFonts w:hint="eastAsia" w:ascii="宋体" w:hAnsi="宋体" w:eastAsia="宋体" w:cs="宋体"/>
                <w:spacing w:val="0"/>
                <w:sz w:val="24"/>
                <w:szCs w:val="24"/>
              </w:rPr>
              <w:t>在</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投标客户端去制作</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rPr>
              <w:t>编制</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，同步生成一个加密文件，一个备份文件。</w:t>
            </w:r>
          </w:p>
          <w:p w14:paraId="4F93A597">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lang w:val="en-US" w:eastAsia="zh-CN"/>
              </w:rPr>
              <w:t>2.</w:t>
            </w:r>
            <w:r>
              <w:rPr>
                <w:rStyle w:val="390"/>
                <w:rFonts w:hint="eastAsia" w:ascii="宋体" w:hAnsi="宋体" w:eastAsia="宋体" w:cs="宋体"/>
                <w:spacing w:val="0"/>
                <w:sz w:val="24"/>
                <w:szCs w:val="24"/>
              </w:rPr>
              <w:t>电子</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所附各类证件、证书、证明</w:t>
            </w:r>
            <w:r>
              <w:rPr>
                <w:rStyle w:val="390"/>
                <w:rFonts w:hint="eastAsia" w:ascii="宋体" w:hAnsi="宋体" w:eastAsia="宋体" w:cs="宋体"/>
                <w:spacing w:val="0"/>
                <w:sz w:val="24"/>
                <w:szCs w:val="24"/>
                <w:lang w:val="en-US" w:eastAsia="zh-CN"/>
              </w:rPr>
              <w:t>材料</w:t>
            </w:r>
            <w:r>
              <w:rPr>
                <w:rStyle w:val="390"/>
                <w:rFonts w:hint="eastAsia" w:ascii="宋体" w:hAnsi="宋体" w:eastAsia="宋体" w:cs="宋体"/>
                <w:spacing w:val="0"/>
                <w:sz w:val="24"/>
                <w:szCs w:val="24"/>
              </w:rPr>
              <w:t>采用原件扫描件。</w:t>
            </w:r>
          </w:p>
          <w:p w14:paraId="4162C124">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rPr>
              <w:t>3.</w:t>
            </w:r>
            <w:r>
              <w:rPr>
                <w:rStyle w:val="390"/>
                <w:rFonts w:hint="eastAsia" w:ascii="宋体" w:hAnsi="宋体" w:cs="宋体"/>
                <w:spacing w:val="0"/>
                <w:sz w:val="24"/>
                <w:szCs w:val="24"/>
                <w:lang w:val="en-US" w:eastAsia="zh-CN"/>
              </w:rPr>
              <w:t>供应商</w:t>
            </w:r>
            <w:r>
              <w:rPr>
                <w:rStyle w:val="390"/>
                <w:rFonts w:hint="eastAsia" w:ascii="宋体" w:hAnsi="宋体" w:eastAsia="宋体" w:cs="宋体"/>
                <w:spacing w:val="0"/>
                <w:sz w:val="24"/>
                <w:szCs w:val="24"/>
              </w:rPr>
              <w:t>应在</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递交截止时间前，将符合上述要求的</w:t>
            </w:r>
            <w:r>
              <w:rPr>
                <w:rStyle w:val="390"/>
                <w:rFonts w:hint="eastAsia" w:ascii="宋体" w:hAnsi="宋体" w:eastAsia="宋体" w:cs="宋体"/>
                <w:spacing w:val="0"/>
                <w:sz w:val="24"/>
                <w:szCs w:val="24"/>
                <w:lang w:val="en-US" w:eastAsia="zh-CN"/>
              </w:rPr>
              <w:t>jmbs</w:t>
            </w:r>
            <w:r>
              <w:rPr>
                <w:rStyle w:val="390"/>
                <w:rFonts w:hint="eastAsia" w:ascii="宋体" w:hAnsi="宋体" w:eastAsia="宋体" w:cs="宋体"/>
                <w:spacing w:val="0"/>
                <w:sz w:val="24"/>
                <w:szCs w:val="24"/>
              </w:rPr>
              <w:t>格式</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lang w:val="en-US" w:eastAsia="zh-CN"/>
              </w:rPr>
              <w:t>加密</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rPr>
              <w:t>电子</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上传至</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w:t>
            </w:r>
          </w:p>
          <w:p w14:paraId="555BD702">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eastAsia="宋体" w:asciiTheme="minorEastAsia" w:hAnsiTheme="minorEastAsia" w:cstheme="minorEastAsia"/>
                <w:sz w:val="24"/>
                <w:szCs w:val="24"/>
                <w:highlight w:val="none"/>
                <w:lang w:val="en-US" w:eastAsia="zh-CN"/>
              </w:rPr>
            </w:pPr>
            <w:r>
              <w:rPr>
                <w:rStyle w:val="390"/>
                <w:rFonts w:hint="eastAsia" w:ascii="宋体" w:hAnsi="宋体" w:eastAsia="宋体" w:cs="宋体"/>
                <w:spacing w:val="0"/>
                <w:sz w:val="24"/>
                <w:szCs w:val="24"/>
              </w:rPr>
              <w:t>4.</w:t>
            </w:r>
            <w:r>
              <w:rPr>
                <w:rStyle w:val="390"/>
                <w:rFonts w:hint="eastAsia" w:ascii="宋体" w:hAnsi="宋体" w:cs="宋体"/>
                <w:spacing w:val="0"/>
                <w:sz w:val="24"/>
                <w:szCs w:val="24"/>
                <w:lang w:val="en-US" w:eastAsia="zh-CN"/>
              </w:rPr>
              <w:t>磋商</w:t>
            </w:r>
            <w:r>
              <w:rPr>
                <w:rStyle w:val="390"/>
                <w:rFonts w:hint="eastAsia" w:ascii="宋体" w:hAnsi="宋体" w:eastAsia="宋体" w:cs="宋体"/>
                <w:spacing w:val="0"/>
                <w:sz w:val="24"/>
                <w:szCs w:val="24"/>
                <w:lang w:eastAsia="zh-CN"/>
              </w:rPr>
              <w:t>截止</w:t>
            </w:r>
            <w:r>
              <w:rPr>
                <w:rStyle w:val="390"/>
                <w:rFonts w:hint="eastAsia" w:ascii="宋体" w:hAnsi="宋体" w:eastAsia="宋体" w:cs="宋体"/>
                <w:spacing w:val="0"/>
                <w:sz w:val="24"/>
                <w:szCs w:val="24"/>
              </w:rPr>
              <w:t>时间后，</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投标客户端无法接受</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w:t>
            </w:r>
          </w:p>
        </w:tc>
      </w:tr>
      <w:tr w14:paraId="4B0F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E1B69C8">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34</w:t>
            </w:r>
          </w:p>
        </w:tc>
        <w:tc>
          <w:tcPr>
            <w:tcW w:w="2417" w:type="dxa"/>
            <w:vAlign w:val="center"/>
          </w:tcPr>
          <w:p w14:paraId="08040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电子响应文件解密</w:t>
            </w:r>
          </w:p>
        </w:tc>
        <w:tc>
          <w:tcPr>
            <w:tcW w:w="6083" w:type="dxa"/>
            <w:vAlign w:val="center"/>
          </w:tcPr>
          <w:p w14:paraId="4FA922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1、在磋商文件规定的响应文件开启时间后，采购代理机构会在政采云系统发出解密指令，供应商在收到解密指令后，须使用加密响应文件时所使用的数字证书（CA）对已递交（上传）的电子响应文件进行解密。</w:t>
            </w:r>
          </w:p>
          <w:p w14:paraId="25660D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2、电子响应文件解密时间：30分钟</w:t>
            </w:r>
          </w:p>
          <w:p w14:paraId="6E13CA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3、电子响应文件解密流程：使用用户名密码或电子CA登录政采云系统→项目采购→开标评标→找到对应项目→解密→输入CA密码→开始下载→解密完成。</w:t>
            </w:r>
          </w:p>
          <w:p w14:paraId="62A3A5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4、因供应商原因造成响应文件未解密的，视为撤销其响应文件，包括以下情形：</w:t>
            </w:r>
          </w:p>
          <w:p w14:paraId="48B8CC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（1)供应商未在规定时间内解密响应文件的；</w:t>
            </w:r>
          </w:p>
          <w:p w14:paraId="1F5CC6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（2)供应商使用非本次磋商加密用CA数字证书解密的；</w:t>
            </w:r>
          </w:p>
          <w:p w14:paraId="67313F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90"/>
                <w:rFonts w:hint="eastAsia" w:ascii="宋体" w:hAnsi="宋体" w:eastAsia="宋体" w:cs="宋体"/>
                <w:b/>
                <w:bCs/>
                <w:color w:val="000000"/>
                <w:spacing w:val="0"/>
                <w:sz w:val="24"/>
                <w:szCs w:val="24"/>
                <w:highlight w:val="non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（3)供应商使用的CA数字证书属于注销或无效或损坏的。</w:t>
            </w:r>
          </w:p>
        </w:tc>
      </w:tr>
      <w:tr w14:paraId="247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2CAA8C1">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bookmarkStart w:id="10" w:name="_Toc352761930"/>
            <w:bookmarkStart w:id="11" w:name="_Toc14247"/>
            <w:bookmarkStart w:id="12" w:name="_Toc12808"/>
            <w:bookmarkStart w:id="13" w:name="_Toc493575820"/>
            <w:bookmarkStart w:id="14" w:name="_Toc10884"/>
            <w:bookmarkStart w:id="15" w:name="_Toc6040"/>
            <w:bookmarkStart w:id="16" w:name="_Toc26794"/>
            <w:bookmarkStart w:id="17" w:name="_Toc424378685"/>
            <w:r>
              <w:rPr>
                <w:rFonts w:hint="eastAsia" w:asciiTheme="minorEastAsia" w:hAnsiTheme="minorEastAsia" w:eastAsiaTheme="minorEastAsia" w:cstheme="minorEastAsia"/>
                <w:color w:val="auto"/>
                <w:kern w:val="0"/>
                <w:sz w:val="24"/>
                <w:szCs w:val="24"/>
                <w:highlight w:val="none"/>
                <w:lang w:val="en-US" w:eastAsia="zh-CN"/>
              </w:rPr>
              <w:t>35</w:t>
            </w:r>
          </w:p>
        </w:tc>
        <w:tc>
          <w:tcPr>
            <w:tcW w:w="2417" w:type="dxa"/>
            <w:vAlign w:val="center"/>
          </w:tcPr>
          <w:p w14:paraId="47DED0C6">
            <w:pPr>
              <w:spacing w:line="360" w:lineRule="auto"/>
              <w:jc w:val="center"/>
              <w:rPr>
                <w:rFonts w:hint="eastAsia" w:ascii="宋体" w:hAnsi="宋体" w:eastAsia="宋体" w:cs="宋体"/>
                <w:spacing w:val="0"/>
                <w:sz w:val="24"/>
                <w:szCs w:val="24"/>
                <w:highlight w:val="none"/>
              </w:rPr>
            </w:pPr>
            <w:r>
              <w:rPr>
                <w:rFonts w:hint="eastAsia" w:ascii="宋体" w:hAnsi="宋体" w:eastAsia="宋体" w:cs="宋体"/>
                <w:color w:val="auto"/>
                <w:spacing w:val="-11"/>
                <w:sz w:val="24"/>
                <w:szCs w:val="24"/>
                <w:highlight w:val="none"/>
                <w:lang w:val="en-US" w:eastAsia="zh-CN"/>
              </w:rPr>
              <w:t>本项目所属行业</w:t>
            </w:r>
          </w:p>
        </w:tc>
        <w:tc>
          <w:tcPr>
            <w:tcW w:w="6083" w:type="dxa"/>
            <w:vAlign w:val="center"/>
          </w:tcPr>
          <w:p w14:paraId="2DBE9AF4">
            <w:pPr>
              <w:spacing w:line="360" w:lineRule="auto"/>
              <w:jc w:val="left"/>
              <w:rPr>
                <w:rStyle w:val="390"/>
                <w:rFonts w:hint="default" w:ascii="宋体" w:hAnsi="宋体" w:eastAsia="宋体" w:cs="宋体"/>
                <w:spacing w:val="0"/>
                <w:sz w:val="24"/>
                <w:szCs w:val="24"/>
                <w:highlight w:val="none"/>
                <w:lang w:val="en-US" w:eastAsia="zh-CN"/>
              </w:rPr>
            </w:pPr>
            <w:r>
              <w:rPr>
                <w:rStyle w:val="390"/>
                <w:rFonts w:hint="eastAsia" w:ascii="宋体" w:hAnsi="宋体" w:cs="宋体"/>
                <w:spacing w:val="0"/>
                <w:sz w:val="24"/>
                <w:szCs w:val="24"/>
                <w:highlight w:val="none"/>
                <w:lang w:val="en-US" w:eastAsia="zh-CN"/>
              </w:rPr>
              <w:t>其他未</w:t>
            </w:r>
            <w:bookmarkStart w:id="110" w:name="_GoBack"/>
            <w:bookmarkEnd w:id="110"/>
            <w:r>
              <w:rPr>
                <w:rStyle w:val="390"/>
                <w:rFonts w:hint="eastAsia" w:ascii="宋体" w:hAnsi="宋体" w:cs="宋体"/>
                <w:spacing w:val="0"/>
                <w:sz w:val="24"/>
                <w:szCs w:val="24"/>
                <w:highlight w:val="none"/>
                <w:lang w:val="en-US" w:eastAsia="zh-CN"/>
              </w:rPr>
              <w:t>列明行业</w:t>
            </w:r>
          </w:p>
        </w:tc>
      </w:tr>
    </w:tbl>
    <w:p w14:paraId="3F1E6D24">
      <w:pPr>
        <w:rPr>
          <w:rFonts w:hint="eastAsia" w:asciiTheme="minorEastAsia" w:hAnsiTheme="minorEastAsia" w:eastAsiaTheme="minorEastAsia" w:cstheme="minorEastAsia"/>
          <w:spacing w:val="10"/>
          <w:sz w:val="24"/>
          <w:szCs w:val="24"/>
          <w:highlight w:val="none"/>
          <w:lang w:eastAsia="zh-CN"/>
        </w:rPr>
      </w:pPr>
    </w:p>
    <w:p w14:paraId="6105E8CD">
      <w:pPr>
        <w:rPr>
          <w:rFonts w:hint="eastAsia" w:asciiTheme="minorEastAsia" w:hAnsiTheme="minorEastAsia" w:eastAsiaTheme="minorEastAsia" w:cstheme="minorEastAsia"/>
          <w:spacing w:val="10"/>
          <w:sz w:val="24"/>
          <w:szCs w:val="24"/>
          <w:highlight w:val="none"/>
          <w:lang w:eastAsia="zh-CN"/>
        </w:rPr>
      </w:pPr>
    </w:p>
    <w:p w14:paraId="6F283EA6">
      <w:pPr>
        <w:rPr>
          <w:rFonts w:hint="eastAsia" w:asciiTheme="minorEastAsia" w:hAnsiTheme="minorEastAsia" w:eastAsiaTheme="minorEastAsia" w:cstheme="minorEastAsia"/>
          <w:spacing w:val="10"/>
          <w:sz w:val="24"/>
          <w:szCs w:val="24"/>
          <w:highlight w:val="none"/>
          <w:lang w:eastAsia="zh-CN"/>
        </w:rPr>
      </w:pPr>
    </w:p>
    <w:p w14:paraId="489F3C77">
      <w:pPr>
        <w:rPr>
          <w:rFonts w:hint="eastAsia" w:asciiTheme="minorEastAsia" w:hAnsiTheme="minorEastAsia" w:eastAsiaTheme="minorEastAsia" w:cstheme="minorEastAsia"/>
          <w:spacing w:val="10"/>
          <w:sz w:val="24"/>
          <w:szCs w:val="24"/>
          <w:highlight w:val="none"/>
          <w:lang w:eastAsia="zh-CN"/>
        </w:rPr>
      </w:pPr>
    </w:p>
    <w:p w14:paraId="50B6EACE">
      <w:pPr>
        <w:rPr>
          <w:rFonts w:hint="eastAsia" w:asciiTheme="minorEastAsia" w:hAnsiTheme="minorEastAsia" w:eastAsiaTheme="minorEastAsia" w:cstheme="minorEastAsia"/>
          <w:spacing w:val="10"/>
          <w:sz w:val="24"/>
          <w:szCs w:val="24"/>
          <w:highlight w:val="none"/>
          <w:lang w:eastAsia="zh-CN"/>
        </w:rPr>
      </w:pPr>
    </w:p>
    <w:p w14:paraId="625512DF">
      <w:pPr>
        <w:rPr>
          <w:rFonts w:hint="eastAsia" w:asciiTheme="minorEastAsia" w:hAnsiTheme="minorEastAsia" w:eastAsiaTheme="minorEastAsia" w:cstheme="minorEastAsia"/>
          <w:b/>
          <w:bCs/>
          <w:spacing w:val="10"/>
          <w:sz w:val="24"/>
          <w:szCs w:val="24"/>
          <w:highlight w:val="none"/>
          <w:lang w:eastAsia="zh-CN"/>
        </w:rPr>
      </w:pPr>
    </w:p>
    <w:p w14:paraId="50DDBF8C">
      <w:pPr>
        <w:rPr>
          <w:rFonts w:hint="eastAsia" w:asciiTheme="minorEastAsia" w:hAnsiTheme="minorEastAsia" w:eastAsiaTheme="minorEastAsia" w:cstheme="minorEastAsia"/>
          <w:b/>
          <w:bCs/>
          <w:spacing w:val="10"/>
          <w:sz w:val="24"/>
          <w:szCs w:val="24"/>
          <w:highlight w:val="none"/>
          <w:lang w:eastAsia="zh-CN"/>
        </w:rPr>
      </w:pPr>
      <w:r>
        <w:rPr>
          <w:rFonts w:hint="eastAsia" w:asciiTheme="minorEastAsia" w:hAnsiTheme="minorEastAsia" w:eastAsiaTheme="minorEastAsia" w:cstheme="minorEastAsia"/>
          <w:b/>
          <w:bCs/>
          <w:spacing w:val="10"/>
          <w:sz w:val="24"/>
          <w:szCs w:val="24"/>
          <w:highlight w:val="none"/>
          <w:lang w:eastAsia="zh-CN"/>
        </w:rPr>
        <w:br w:type="page"/>
      </w:r>
    </w:p>
    <w:p w14:paraId="1E785DAF">
      <w:pPr>
        <w:jc w:val="center"/>
        <w:rPr>
          <w:rFonts w:hint="eastAsia" w:asciiTheme="minorEastAsia" w:hAnsiTheme="minorEastAsia" w:eastAsiaTheme="minorEastAsia" w:cstheme="minorEastAsia"/>
          <w:b/>
          <w:bCs/>
          <w:spacing w:val="10"/>
          <w:sz w:val="24"/>
          <w:szCs w:val="24"/>
          <w:highlight w:val="none"/>
        </w:rPr>
      </w:pPr>
      <w:r>
        <w:rPr>
          <w:rFonts w:hint="eastAsia" w:asciiTheme="minorEastAsia" w:hAnsiTheme="minorEastAsia" w:eastAsiaTheme="minorEastAsia" w:cstheme="minorEastAsia"/>
          <w:b/>
          <w:bCs/>
          <w:spacing w:val="10"/>
          <w:sz w:val="24"/>
          <w:szCs w:val="24"/>
          <w:highlight w:val="none"/>
          <w:lang w:eastAsia="zh-CN"/>
        </w:rPr>
        <w:t>一、</w:t>
      </w:r>
      <w:r>
        <w:rPr>
          <w:rFonts w:hint="eastAsia" w:asciiTheme="minorEastAsia" w:hAnsiTheme="minorEastAsia" w:eastAsiaTheme="minorEastAsia" w:cstheme="minorEastAsia"/>
          <w:b/>
          <w:bCs/>
          <w:spacing w:val="10"/>
          <w:sz w:val="24"/>
          <w:szCs w:val="24"/>
          <w:highlight w:val="none"/>
        </w:rPr>
        <w:t>总则</w:t>
      </w:r>
      <w:bookmarkEnd w:id="10"/>
      <w:bookmarkEnd w:id="11"/>
      <w:bookmarkEnd w:id="12"/>
      <w:bookmarkEnd w:id="13"/>
      <w:bookmarkEnd w:id="14"/>
      <w:bookmarkEnd w:id="15"/>
      <w:bookmarkEnd w:id="16"/>
      <w:bookmarkEnd w:id="17"/>
    </w:p>
    <w:p w14:paraId="51D3B78D">
      <w:pPr>
        <w:pStyle w:val="286"/>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firstLineChars="0"/>
        <w:textAlignment w:val="auto"/>
        <w:outlineLvl w:val="9"/>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适用范围</w:t>
      </w:r>
    </w:p>
    <w:p w14:paraId="0B8465D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sz w:val="24"/>
          <w:szCs w:val="24"/>
          <w:highlight w:val="none"/>
        </w:rPr>
        <w:t>本</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文件仅适用于本次竞争性磋商活动。</w:t>
      </w:r>
    </w:p>
    <w:p w14:paraId="7B02C47C">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定义</w:t>
      </w:r>
    </w:p>
    <w:p w14:paraId="207327A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“采购人”指本次竞争性磋商活动的采购单位。</w:t>
      </w:r>
    </w:p>
    <w:p w14:paraId="77D1A40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“采购代理机构”指组织本次竞争性磋商活动的执行机构。</w:t>
      </w:r>
    </w:p>
    <w:p w14:paraId="06E69F0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“供应商”指符合本磋商文件的规定和要求，受邀请获得磋商文件参加磋商，并向采购代理机构提交响应文件的供应商。</w:t>
      </w:r>
    </w:p>
    <w:p w14:paraId="72E243D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 “货物”指供应商按磋商文件的规定，须向采购人提供的各种形态和种类的物品及其它有关技术资料和材料。</w:t>
      </w:r>
    </w:p>
    <w:p w14:paraId="7E19F04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 “服务”指磋商文件规定的供应商须向采购人提供的服务和应当履行的承诺和义务。</w:t>
      </w:r>
    </w:p>
    <w:p w14:paraId="009FB35B">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 “工程”指本磋商文件所述建设工程。</w:t>
      </w:r>
    </w:p>
    <w:p w14:paraId="7C5C12C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 xml:space="preserve"> 本</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文件各部分规定的期间以时、日、月、年计算。期间开始的时和日，不计算在期间内。</w:t>
      </w:r>
    </w:p>
    <w:p w14:paraId="22A5C750">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合格供应商的资格条件</w:t>
      </w:r>
    </w:p>
    <w:p w14:paraId="78512EB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具有本项目生产、制造、供应及/或实施能力，符合、承认并承诺履行本</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各项规定的国内供应商。</w:t>
      </w:r>
    </w:p>
    <w:p w14:paraId="6332891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3.2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必须是已在中国境内依法登记注册，并持有符合法律法规规定的有效证件的供应商。</w:t>
      </w:r>
    </w:p>
    <w:p w14:paraId="7A57B7D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 具备《中华人民共和国政府采购法》第二十二条第一款规定的条件和本项目所需的特定资格条件及有关法律、法规关于供应商的规定，有能力提供</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采购货物/服务</w:t>
      </w:r>
      <w:r>
        <w:rPr>
          <w:rFonts w:hint="eastAsia" w:asciiTheme="minorEastAsia" w:hAnsiTheme="minorEastAsia" w:eastAsia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的供应商。并按照《中华人民共和国政府采购法实施条例》第十七条的规定，提供资格证明文件，具体提供的材料详见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须知前附表的要求。</w:t>
      </w:r>
    </w:p>
    <w:p w14:paraId="4D8769A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B3956B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 本次</w:t>
      </w:r>
      <w:r>
        <w:rPr>
          <w:rFonts w:hint="eastAsia" w:asciiTheme="minorEastAsia" w:hAnsiTheme="minorEastAsia" w:eastAsiaTheme="minorEastAsia" w:cstheme="minorEastAsia"/>
          <w:sz w:val="24"/>
          <w:szCs w:val="24"/>
          <w:highlight w:val="none"/>
          <w:lang w:eastAsia="zh-CN"/>
        </w:rPr>
        <w:t>采购</w:t>
      </w:r>
      <w:r>
        <w:rPr>
          <w:rFonts w:hint="eastAsia" w:asciiTheme="minorEastAsia" w:hAnsiTheme="minorEastAsia" w:eastAsiaTheme="minorEastAsia" w:cstheme="minorEastAsia"/>
          <w:sz w:val="24"/>
          <w:szCs w:val="24"/>
          <w:highlight w:val="none"/>
        </w:rPr>
        <w:t>是否允许由两个或两个以上供应商组成一个联合体以一个</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身份共同参加</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p>
    <w:p w14:paraId="651316DE">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联合体各方均应当符合《政府采购法》第二十二条规定的条件，联合体各方均应按照本部分3.3条的要求提供相关材料。</w:t>
      </w:r>
    </w:p>
    <w:p w14:paraId="6BB2924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本项目的特殊要求规定</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特定资格条件的，联合体各方的同类资质按照资质等级较低的确定联合体资质等级。联合体各方不得再单独参加或者与其他供应商另外组成联合体参加本项目同一包的</w:t>
      </w:r>
      <w:r>
        <w:rPr>
          <w:rFonts w:hint="eastAsia" w:asciiTheme="minorEastAsia" w:hAnsiTheme="minorEastAsia" w:eastAsiaTheme="minorEastAsia" w:cstheme="minorEastAsia"/>
          <w:sz w:val="24"/>
          <w:szCs w:val="24"/>
          <w:highlight w:val="none"/>
          <w:lang w:eastAsia="zh-CN"/>
        </w:rPr>
        <w:t>报价</w:t>
      </w:r>
      <w:r>
        <w:rPr>
          <w:rFonts w:hint="eastAsia" w:asciiTheme="minorEastAsia" w:hAnsiTheme="minorEastAsia" w:eastAsiaTheme="minorEastAsia" w:cstheme="minorEastAsia"/>
          <w:sz w:val="24"/>
          <w:szCs w:val="24"/>
          <w:highlight w:val="none"/>
        </w:rPr>
        <w:t>。</w:t>
      </w:r>
    </w:p>
    <w:p w14:paraId="7E72C41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 联合体各方之间应当签订联合</w:t>
      </w:r>
      <w:r>
        <w:rPr>
          <w:rFonts w:hint="eastAsia" w:asciiTheme="minorEastAsia" w:hAnsiTheme="minorEastAsia" w:eastAsiaTheme="minorEastAsia" w:cstheme="minorEastAsia"/>
          <w:sz w:val="24"/>
          <w:szCs w:val="24"/>
          <w:highlight w:val="none"/>
          <w:lang w:eastAsia="zh-CN"/>
        </w:rPr>
        <w:t>体</w:t>
      </w:r>
      <w:r>
        <w:rPr>
          <w:rFonts w:hint="eastAsia" w:asciiTheme="minorEastAsia" w:hAnsiTheme="minorEastAsia" w:eastAsiaTheme="minorEastAsia" w:cstheme="minorEastAsia"/>
          <w:sz w:val="24"/>
          <w:szCs w:val="24"/>
          <w:highlight w:val="none"/>
        </w:rPr>
        <w:t>协议</w:t>
      </w:r>
      <w:r>
        <w:rPr>
          <w:rFonts w:hint="eastAsia" w:asciiTheme="minorEastAsia" w:hAnsiTheme="minorEastAsia" w:eastAsiaTheme="minorEastAsia" w:cstheme="minorEastAsia"/>
          <w:sz w:val="24"/>
          <w:szCs w:val="24"/>
          <w:highlight w:val="none"/>
          <w:lang w:eastAsia="zh-CN"/>
        </w:rPr>
        <w:t>书</w:t>
      </w:r>
      <w:r>
        <w:rPr>
          <w:rFonts w:hint="eastAsia" w:asciiTheme="minorEastAsia" w:hAnsiTheme="minorEastAsia" w:eastAsiaTheme="minorEastAsia" w:cstheme="minorEastAsia"/>
          <w:sz w:val="24"/>
          <w:szCs w:val="24"/>
          <w:highlight w:val="none"/>
        </w:rPr>
        <w:t>，明确约定联合体各方承担的工作和相应的责任，并将联合</w:t>
      </w:r>
      <w:r>
        <w:rPr>
          <w:rFonts w:hint="eastAsia" w:asciiTheme="minorEastAsia" w:hAnsiTheme="minorEastAsia" w:eastAsiaTheme="minorEastAsia" w:cstheme="minorEastAsia"/>
          <w:sz w:val="24"/>
          <w:szCs w:val="24"/>
          <w:highlight w:val="none"/>
          <w:lang w:eastAsia="zh-CN"/>
        </w:rPr>
        <w:t>体</w:t>
      </w:r>
      <w:r>
        <w:rPr>
          <w:rFonts w:hint="eastAsia" w:asciiTheme="minorEastAsia" w:hAnsiTheme="minorEastAsia" w:eastAsiaTheme="minorEastAsia" w:cstheme="minorEastAsia"/>
          <w:sz w:val="24"/>
          <w:szCs w:val="24"/>
          <w:highlight w:val="none"/>
        </w:rPr>
        <w:t>协议</w:t>
      </w:r>
      <w:r>
        <w:rPr>
          <w:rFonts w:hint="eastAsia" w:asciiTheme="minorEastAsia" w:hAnsiTheme="minorEastAsia" w:eastAsiaTheme="minorEastAsia" w:cstheme="minorEastAsia"/>
          <w:sz w:val="24"/>
          <w:szCs w:val="24"/>
          <w:highlight w:val="none"/>
          <w:lang w:eastAsia="zh-CN"/>
        </w:rPr>
        <w:t>书</w:t>
      </w:r>
      <w:r>
        <w:rPr>
          <w:rFonts w:hint="eastAsia" w:asciiTheme="minorEastAsia" w:hAnsiTheme="minorEastAsia" w:eastAsiaTheme="minorEastAsia" w:cstheme="minorEastAsia"/>
          <w:sz w:val="24"/>
          <w:szCs w:val="24"/>
          <w:highlight w:val="none"/>
        </w:rPr>
        <w:t>连同</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文件一并提交。</w:t>
      </w:r>
    </w:p>
    <w:p w14:paraId="2A065CDD">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4</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竞争性磋商费用</w:t>
      </w:r>
    </w:p>
    <w:p w14:paraId="071A73A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供应商应当承担参与本次磋商活动发生的相关费用，采购代理机构和采购人在任何情况下均无义务和责任承担这些费用。</w:t>
      </w:r>
    </w:p>
    <w:p w14:paraId="12B79707">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5</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通知</w:t>
      </w:r>
    </w:p>
    <w:p w14:paraId="6CDB6CC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与本项目有关的通知，采购代理机构将以书面(包括书面材料、信函、传真、电子邮件等，下同)或以在本次竞争性磋商公告刊登的媒体上发布公告的形式送达所有已登记并领取了磋商文件的供应商，联系方式以供应商的登记为准。因登记有误或传真线路故障导致通知延迟送达或无法送达，采购代理机构将不承担责任。</w:t>
      </w:r>
    </w:p>
    <w:p w14:paraId="6574E10A">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jc w:val="center"/>
        <w:textAlignment w:val="auto"/>
        <w:outlineLvl w:val="1"/>
        <w:rPr>
          <w:rFonts w:hint="eastAsia" w:asciiTheme="minorEastAsia" w:hAnsiTheme="minorEastAsia" w:eastAsiaTheme="minorEastAsia" w:cstheme="minorEastAsia"/>
          <w:b/>
          <w:spacing w:val="10"/>
          <w:sz w:val="24"/>
          <w:szCs w:val="24"/>
          <w:highlight w:val="none"/>
        </w:rPr>
      </w:pPr>
      <w:bookmarkStart w:id="18" w:name="_Toc424555842"/>
      <w:bookmarkStart w:id="19" w:name="_Toc5650"/>
      <w:bookmarkStart w:id="20" w:name="_Toc10365"/>
      <w:r>
        <w:rPr>
          <w:rFonts w:hint="eastAsia" w:asciiTheme="minorEastAsia" w:hAnsiTheme="minorEastAsia" w:eastAsiaTheme="minorEastAsia" w:cstheme="minorEastAsia"/>
          <w:b/>
          <w:spacing w:val="10"/>
          <w:sz w:val="24"/>
          <w:szCs w:val="24"/>
          <w:highlight w:val="none"/>
        </w:rPr>
        <w:t>二、磋商文件</w:t>
      </w:r>
      <w:bookmarkEnd w:id="18"/>
      <w:bookmarkEnd w:id="19"/>
      <w:bookmarkEnd w:id="20"/>
    </w:p>
    <w:p w14:paraId="744D7453">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6</w:t>
      </w:r>
      <w:r>
        <w:rPr>
          <w:rFonts w:hint="eastAsia" w:asciiTheme="minorEastAsia" w:hAnsiTheme="minorEastAsia" w:eastAsiaTheme="minorEastAsia" w:cstheme="minorEastAsia"/>
          <w:b/>
          <w:spacing w:val="10"/>
          <w:sz w:val="24"/>
          <w:szCs w:val="24"/>
          <w:highlight w:val="none"/>
          <w:lang w:eastAsia="zh-CN"/>
        </w:rPr>
        <w:t>、磋商</w:t>
      </w:r>
      <w:r>
        <w:rPr>
          <w:rFonts w:hint="eastAsia" w:asciiTheme="minorEastAsia" w:hAnsiTheme="minorEastAsia" w:eastAsiaTheme="minorEastAsia" w:cstheme="minorEastAsia"/>
          <w:b/>
          <w:spacing w:val="10"/>
          <w:sz w:val="24"/>
          <w:szCs w:val="24"/>
          <w:highlight w:val="none"/>
        </w:rPr>
        <w:t>文件的内容</w:t>
      </w:r>
    </w:p>
    <w:p w14:paraId="603A520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6.1 </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文件由下列八部分内容组成：</w:t>
      </w:r>
    </w:p>
    <w:p w14:paraId="6684DD4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_Toc12848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磋商公告</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788B0E4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_Toc6530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供应商须知</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629799A3">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_Toc538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评标标准和评标办法</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2CF4D413">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_Toc31028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商务、技术需求</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5D26F26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_Toc21799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采购合同</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425C2691">
      <w:pPr>
        <w:pStyle w:val="286"/>
        <w:pageBreakBefore w:val="0"/>
        <w:widowControl w:val="0"/>
        <w:kinsoku/>
        <w:wordWrap/>
        <w:overflowPunct/>
        <w:topLinePunct w:val="0"/>
        <w:autoSpaceDE/>
        <w:autoSpaceDN/>
        <w:bidi w:val="0"/>
        <w:snapToGrid w:val="0"/>
        <w:spacing w:before="0" w:after="0" w:line="360" w:lineRule="auto"/>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_Toc29892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响应文件格式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end"/>
      </w:r>
    </w:p>
    <w:p w14:paraId="565630B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6.2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中落实政府采购政策的相关要求详见</w:t>
      </w:r>
      <w:r>
        <w:rPr>
          <w:rFonts w:hint="eastAsia" w:asciiTheme="minorEastAsia" w:hAnsiTheme="minorEastAsia" w:eastAsiaTheme="minorEastAsia" w:cstheme="minorEastAsia"/>
          <w:sz w:val="24"/>
          <w:szCs w:val="24"/>
          <w:highlight w:val="none"/>
          <w:lang w:eastAsia="zh-CN"/>
        </w:rPr>
        <w:t>供应商须知</w:t>
      </w:r>
      <w:r>
        <w:rPr>
          <w:rFonts w:hint="eastAsia" w:asciiTheme="minorEastAsia" w:hAnsiTheme="minorEastAsia" w:eastAsiaTheme="minorEastAsia" w:cstheme="minorEastAsia"/>
          <w:sz w:val="24"/>
          <w:szCs w:val="24"/>
          <w:highlight w:val="none"/>
        </w:rPr>
        <w:t>前附表的规定。</w:t>
      </w:r>
    </w:p>
    <w:p w14:paraId="189F533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w:t>
      </w:r>
      <w:r>
        <w:rPr>
          <w:rFonts w:hint="eastAsia" w:asciiTheme="minorEastAsia" w:hAnsiTheme="minorEastAsia" w:eastAsiaTheme="minorEastAsia" w:cstheme="minorEastAsia"/>
          <w:sz w:val="24"/>
          <w:szCs w:val="24"/>
          <w:highlight w:val="none"/>
          <w:lang w:val="en-US" w:eastAsia="zh-CN"/>
        </w:rPr>
        <w:t xml:space="preserve"> 供应商信用信息查询渠道及截止时点、信用信息查询记录和证据留存的具体方式、信用信息的使用规则等</w:t>
      </w:r>
      <w:r>
        <w:rPr>
          <w:rFonts w:hint="eastAsia" w:asciiTheme="minorEastAsia" w:hAnsiTheme="minorEastAsia" w:eastAsiaTheme="minorEastAsia" w:cstheme="minorEastAsia"/>
          <w:sz w:val="24"/>
          <w:szCs w:val="24"/>
          <w:highlight w:val="none"/>
        </w:rPr>
        <w:t>的相关要求详见</w:t>
      </w:r>
      <w:r>
        <w:rPr>
          <w:rFonts w:hint="eastAsia" w:asciiTheme="minorEastAsia" w:hAnsiTheme="minorEastAsia" w:eastAsiaTheme="minorEastAsia" w:cstheme="minorEastAsia"/>
          <w:sz w:val="24"/>
          <w:szCs w:val="24"/>
          <w:highlight w:val="none"/>
          <w:lang w:eastAsia="zh-CN"/>
        </w:rPr>
        <w:t>供应商须知</w:t>
      </w:r>
      <w:r>
        <w:rPr>
          <w:rFonts w:hint="eastAsia" w:asciiTheme="minorEastAsia" w:hAnsiTheme="minorEastAsia" w:eastAsiaTheme="minorEastAsia" w:cstheme="minorEastAsia"/>
          <w:sz w:val="24"/>
          <w:szCs w:val="24"/>
          <w:highlight w:val="none"/>
        </w:rPr>
        <w:t>前附表的规定。</w:t>
      </w:r>
    </w:p>
    <w:p w14:paraId="4BFB44D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除非特殊要求，</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不单独提供</w:t>
      </w:r>
      <w:r>
        <w:rPr>
          <w:rFonts w:hint="eastAsia" w:asciiTheme="minorEastAsia" w:hAnsiTheme="minorEastAsia" w:eastAsiaTheme="minorEastAsia" w:cstheme="minorEastAsia"/>
          <w:sz w:val="24"/>
          <w:szCs w:val="24"/>
          <w:highlight w:val="none"/>
          <w:lang w:eastAsia="zh-CN"/>
        </w:rPr>
        <w:t>采购</w:t>
      </w:r>
      <w:r>
        <w:rPr>
          <w:rFonts w:hint="eastAsia" w:asciiTheme="minorEastAsia" w:hAnsiTheme="minorEastAsia" w:eastAsiaTheme="minorEastAsia" w:cstheme="minorEastAsia"/>
          <w:sz w:val="24"/>
          <w:szCs w:val="24"/>
          <w:highlight w:val="none"/>
        </w:rPr>
        <w:t>项目使用地的自然环境、气候条件、公用设施情况，</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被视为熟悉上述与履行合同有关的一切情况。</w:t>
      </w:r>
    </w:p>
    <w:p w14:paraId="3E0773B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6.5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的解释权归</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所有。当对一个问题有多种解释时以</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解释为准。</w:t>
      </w:r>
    </w:p>
    <w:p w14:paraId="303BBF2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未作须知明示，而又有法律、法规规定的，</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将依据法律法规的规定进行解释。</w:t>
      </w:r>
    </w:p>
    <w:p w14:paraId="395DCBA4">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7</w:t>
      </w:r>
      <w:r>
        <w:rPr>
          <w:rFonts w:hint="eastAsia" w:asciiTheme="minorEastAsia" w:hAnsiTheme="minorEastAsia" w:eastAsiaTheme="minorEastAsia" w:cstheme="minorEastAsia"/>
          <w:b/>
          <w:spacing w:val="10"/>
          <w:sz w:val="24"/>
          <w:szCs w:val="24"/>
          <w:highlight w:val="none"/>
          <w:lang w:eastAsia="zh-CN"/>
        </w:rPr>
        <w:t>、磋商文件</w:t>
      </w:r>
      <w:r>
        <w:rPr>
          <w:rFonts w:hint="eastAsia" w:asciiTheme="minorEastAsia" w:hAnsiTheme="minorEastAsia" w:eastAsiaTheme="minorEastAsia" w:cstheme="minorEastAsia"/>
          <w:b/>
          <w:spacing w:val="10"/>
          <w:sz w:val="24"/>
          <w:szCs w:val="24"/>
          <w:highlight w:val="none"/>
        </w:rPr>
        <w:t>的澄清和修改</w:t>
      </w:r>
    </w:p>
    <w:p w14:paraId="74BE9DE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 xml:space="preserve"> 提交首次响应文件截止之日前，采购人、</w:t>
      </w:r>
      <w:r>
        <w:rPr>
          <w:rFonts w:hint="eastAsia" w:asciiTheme="minorEastAsia" w:hAnsiTheme="minorEastAsia" w:eastAsiaTheme="minorEastAsia" w:cstheme="minorEastAsia"/>
          <w:sz w:val="24"/>
          <w:szCs w:val="24"/>
          <w:highlight w:val="none"/>
          <w:lang w:eastAsia="zh-CN"/>
        </w:rPr>
        <w:t>采购代理机构或者磋商小组</w:t>
      </w:r>
      <w:r>
        <w:rPr>
          <w:rFonts w:hint="eastAsia" w:asciiTheme="minorEastAsia" w:hAnsiTheme="minorEastAsia" w:eastAsiaTheme="minorEastAsia" w:cstheme="minorEastAsia"/>
          <w:sz w:val="24"/>
          <w:szCs w:val="24"/>
          <w:highlight w:val="none"/>
        </w:rPr>
        <w:t>可以对已发出的</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进行必要的澄清或者修改，澄清或者修改的内容</w:t>
      </w:r>
      <w:r>
        <w:rPr>
          <w:rFonts w:hint="eastAsia" w:asciiTheme="minorEastAsia" w:hAnsiTheme="minorEastAsia" w:eastAsiaTheme="minorEastAsia" w:cstheme="minorEastAsia"/>
          <w:sz w:val="24"/>
          <w:szCs w:val="24"/>
          <w:highlight w:val="none"/>
          <w:lang w:eastAsia="zh-CN"/>
        </w:rPr>
        <w:t>作</w:t>
      </w: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的组成部分。</w:t>
      </w:r>
    </w:p>
    <w:p w14:paraId="7216FAD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澄清或者修改的内容可能影响</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文件编制的，</w:t>
      </w:r>
      <w:r>
        <w:rPr>
          <w:rFonts w:hint="eastAsia" w:asciiTheme="minorEastAsia" w:hAnsiTheme="minorEastAsia" w:eastAsiaTheme="minorEastAsia" w:cstheme="minorEastAsia"/>
          <w:sz w:val="24"/>
          <w:szCs w:val="24"/>
          <w:highlight w:val="none"/>
          <w:lang w:eastAsia="zh-CN"/>
        </w:rPr>
        <w:t>采购人、采购代理机构应当在</w:t>
      </w:r>
      <w:r>
        <w:rPr>
          <w:rFonts w:hint="eastAsia" w:asciiTheme="minorEastAsia" w:hAnsiTheme="minorEastAsia" w:eastAsiaTheme="minorEastAsia" w:cstheme="minorEastAsia"/>
          <w:sz w:val="24"/>
          <w:szCs w:val="24"/>
          <w:highlight w:val="none"/>
          <w:lang w:val="en-US" w:eastAsia="zh-CN"/>
        </w:rPr>
        <w:t>提交首次响应文件截止时间</w:t>
      </w:r>
      <w:r>
        <w:rPr>
          <w:rFonts w:hint="eastAsia" w:asciiTheme="minorEastAsia" w:hAnsiTheme="minorEastAsia" w:eastAsiaTheme="minorEastAsia" w:cstheme="minorEastAsia"/>
          <w:sz w:val="24"/>
          <w:szCs w:val="24"/>
          <w:highlight w:val="none"/>
        </w:rPr>
        <w:t>至少5日前，以书面形式通知所有获取</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；不足5日的，</w:t>
      </w:r>
      <w:r>
        <w:rPr>
          <w:rFonts w:hint="eastAsia" w:asciiTheme="minorEastAsia" w:hAnsiTheme="minorEastAsia" w:eastAsiaTheme="minorEastAsia" w:cstheme="minorEastAsia"/>
          <w:sz w:val="24"/>
          <w:szCs w:val="24"/>
          <w:highlight w:val="none"/>
          <w:lang w:eastAsia="zh-CN"/>
        </w:rPr>
        <w:t>采购人、采购代理机构应当</w:t>
      </w:r>
      <w:r>
        <w:rPr>
          <w:rFonts w:hint="eastAsia" w:asciiTheme="minorEastAsia" w:hAnsiTheme="minorEastAsia" w:eastAsiaTheme="minorEastAsia" w:cstheme="minorEastAsia"/>
          <w:sz w:val="24"/>
          <w:szCs w:val="24"/>
          <w:highlight w:val="none"/>
        </w:rPr>
        <w:t>顺延提交</w:t>
      </w:r>
      <w:r>
        <w:rPr>
          <w:rFonts w:hint="eastAsia" w:asciiTheme="minorEastAsia" w:hAnsiTheme="minorEastAsia" w:eastAsiaTheme="minorEastAsia" w:cstheme="minorEastAsia"/>
          <w:sz w:val="24"/>
          <w:szCs w:val="24"/>
          <w:highlight w:val="none"/>
          <w:lang w:val="en-US" w:eastAsia="zh-CN"/>
        </w:rPr>
        <w:t>首次响应文件</w:t>
      </w:r>
      <w:r>
        <w:rPr>
          <w:rFonts w:hint="eastAsia" w:asciiTheme="minorEastAsia" w:hAnsiTheme="minorEastAsia" w:eastAsiaTheme="minorEastAsia" w:cstheme="minorEastAsia"/>
          <w:sz w:val="24"/>
          <w:szCs w:val="24"/>
          <w:highlight w:val="none"/>
        </w:rPr>
        <w:t>截止时间。</w:t>
      </w:r>
    </w:p>
    <w:p w14:paraId="3F16EB6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有疑问，可要求澄清，按</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中载明的地址以书面形式通知到</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将视情况确定采用适当方式予以澄清或以书面形式予以答复，并认为必要时，将不标明查询来源的书面答复发给已获取</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的所有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w:t>
      </w:r>
    </w:p>
    <w:p w14:paraId="06A3FC5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7.4 </w:t>
      </w:r>
      <w:r>
        <w:rPr>
          <w:rFonts w:hint="eastAsia" w:asciiTheme="minorEastAsia" w:hAnsiTheme="minorEastAsia" w:eastAsiaTheme="minorEastAsia" w:cstheme="minorEastAsia"/>
          <w:sz w:val="24"/>
          <w:szCs w:val="24"/>
          <w:highlight w:val="none"/>
          <w:lang w:eastAsia="zh-CN"/>
        </w:rPr>
        <w:t>采购人、采购代理机构可以视采购项目的具体情况，组织供应商进行现场考察或召开磋商前答疑会，但不得单独或分别组织只有一个供应商参加的现场考察和答疑会。</w:t>
      </w:r>
    </w:p>
    <w:p w14:paraId="5D5E085D">
      <w:pPr>
        <w:pStyle w:val="3"/>
        <w:pageBreakBefore w:val="0"/>
        <w:widowControl w:val="0"/>
        <w:numPr>
          <w:ilvl w:val="0"/>
          <w:numId w:val="0"/>
        </w:numPr>
        <w:kinsoku/>
        <w:wordWrap/>
        <w:overflowPunct/>
        <w:topLinePunct w:val="0"/>
        <w:autoSpaceDE/>
        <w:autoSpaceDN/>
        <w:bidi w:val="0"/>
        <w:spacing w:before="0" w:after="0" w:line="360" w:lineRule="auto"/>
        <w:jc w:val="center"/>
        <w:rPr>
          <w:rFonts w:hint="eastAsia" w:asciiTheme="minorEastAsia" w:hAnsiTheme="minorEastAsia" w:eastAsiaTheme="minorEastAsia" w:cstheme="minorEastAsia"/>
          <w:spacing w:val="10"/>
          <w:sz w:val="24"/>
          <w:szCs w:val="24"/>
          <w:highlight w:val="none"/>
        </w:rPr>
      </w:pPr>
      <w:bookmarkStart w:id="21" w:name="_Toc424378687"/>
      <w:bookmarkStart w:id="22" w:name="_Toc352761932"/>
      <w:bookmarkStart w:id="23" w:name="_Toc10803"/>
      <w:bookmarkStart w:id="24" w:name="_Toc28439"/>
      <w:bookmarkStart w:id="25" w:name="_Toc1060"/>
      <w:bookmarkStart w:id="26" w:name="_Toc10830"/>
      <w:bookmarkStart w:id="27" w:name="_Toc493575822"/>
      <w:bookmarkStart w:id="28" w:name="_Toc11346"/>
      <w:r>
        <w:rPr>
          <w:rFonts w:hint="eastAsia" w:asciiTheme="minorEastAsia" w:hAnsiTheme="minorEastAsia" w:eastAsiaTheme="minorEastAsia" w:cstheme="minorEastAsia"/>
          <w:spacing w:val="10"/>
          <w:sz w:val="24"/>
          <w:szCs w:val="24"/>
          <w:highlight w:val="none"/>
        </w:rPr>
        <w:t>三、</w:t>
      </w:r>
      <w:r>
        <w:rPr>
          <w:rFonts w:hint="eastAsia" w:asciiTheme="minorEastAsia" w:hAnsiTheme="minorEastAsia" w:eastAsiaTheme="minorEastAsia" w:cstheme="minorEastAsia"/>
          <w:spacing w:val="10"/>
          <w:sz w:val="24"/>
          <w:szCs w:val="24"/>
          <w:highlight w:val="none"/>
          <w:lang w:eastAsia="zh-CN"/>
        </w:rPr>
        <w:t>响应</w:t>
      </w:r>
      <w:r>
        <w:rPr>
          <w:rFonts w:hint="eastAsia" w:asciiTheme="minorEastAsia" w:hAnsiTheme="minorEastAsia" w:eastAsiaTheme="minorEastAsia" w:cstheme="minorEastAsia"/>
          <w:spacing w:val="10"/>
          <w:sz w:val="24"/>
          <w:szCs w:val="24"/>
          <w:highlight w:val="none"/>
        </w:rPr>
        <w:t>文件</w:t>
      </w:r>
      <w:bookmarkEnd w:id="21"/>
      <w:bookmarkEnd w:id="22"/>
      <w:bookmarkEnd w:id="23"/>
      <w:bookmarkEnd w:id="24"/>
      <w:bookmarkEnd w:id="25"/>
      <w:bookmarkEnd w:id="26"/>
      <w:bookmarkEnd w:id="27"/>
      <w:bookmarkEnd w:id="28"/>
    </w:p>
    <w:p w14:paraId="073B305A">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8</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的语言和计量单位</w:t>
      </w:r>
    </w:p>
    <w:p w14:paraId="2F2B9A3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8.1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提交的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（包括技术文件和资料、图纸中的说明）以及</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与</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就有关</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的所有来往函电均应使用中文简体字。外文资料必须提供中文译文，并保持与原文一致，否则，产生的不利后果由</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承担。</w:t>
      </w:r>
    </w:p>
    <w:p w14:paraId="094E88D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8.2 </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所使用的计量单位，必须使用国家法定计量单位。</w:t>
      </w:r>
    </w:p>
    <w:p w14:paraId="55F4FC27">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9</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的组成及相关要求</w:t>
      </w:r>
    </w:p>
    <w:p w14:paraId="5DC20FE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9.1 </w:t>
      </w:r>
      <w:r>
        <w:rPr>
          <w:rFonts w:hint="eastAsia" w:asciiTheme="minorEastAsia" w:hAnsiTheme="minorEastAsia" w:eastAsiaTheme="minorEastAsia" w:cstheme="minorEastAsia"/>
          <w:snapToGrid w:val="0"/>
          <w:kern w:val="0"/>
          <w:sz w:val="24"/>
          <w:szCs w:val="24"/>
        </w:rPr>
        <w:t>响应文件分为商务部分和技术部分。响应文件所有内容须装订为一册，</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的份数按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须知前附表的规定提交。</w:t>
      </w:r>
    </w:p>
    <w:p w14:paraId="2D6421B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kern w:val="0"/>
          <w:sz w:val="24"/>
          <w:szCs w:val="24"/>
        </w:rPr>
        <w:t>本次磋商，</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应按本磋商文件要求提交商务、技术部分内容和需要</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自行编写的其他文件，</w:t>
      </w:r>
      <w:r>
        <w:rPr>
          <w:rFonts w:hint="eastAsia" w:asciiTheme="minorEastAsia" w:hAnsiTheme="minorEastAsia" w:eastAsiaTheme="minorEastAsia" w:cstheme="minorEastAsia"/>
          <w:b/>
          <w:snapToGrid w:val="0"/>
          <w:kern w:val="0"/>
          <w:sz w:val="24"/>
          <w:szCs w:val="24"/>
        </w:rPr>
        <w:t>其中加</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b/>
          <w:snapToGrid w:val="0"/>
          <w:kern w:val="0"/>
          <w:sz w:val="24"/>
          <w:szCs w:val="24"/>
        </w:rPr>
        <w:t>项目若有缺失或无效，将导致</w:t>
      </w:r>
      <w:r>
        <w:rPr>
          <w:rFonts w:hint="eastAsia" w:asciiTheme="minorEastAsia" w:hAnsiTheme="minorEastAsia" w:eastAsiaTheme="minorEastAsia" w:cstheme="minorEastAsia"/>
          <w:b/>
          <w:snapToGrid w:val="0"/>
          <w:kern w:val="0"/>
          <w:sz w:val="24"/>
          <w:szCs w:val="24"/>
          <w:lang w:eastAsia="zh-CN"/>
        </w:rPr>
        <w:t>响应</w:t>
      </w:r>
      <w:r>
        <w:rPr>
          <w:rFonts w:hint="eastAsia" w:asciiTheme="minorEastAsia" w:hAnsiTheme="minorEastAsia" w:eastAsiaTheme="minorEastAsia" w:cstheme="minorEastAsia"/>
          <w:b/>
          <w:snapToGrid w:val="0"/>
          <w:kern w:val="0"/>
          <w:sz w:val="24"/>
          <w:szCs w:val="24"/>
        </w:rPr>
        <w:t>被拒绝</w:t>
      </w:r>
      <w:r>
        <w:rPr>
          <w:rFonts w:hint="eastAsia" w:asciiTheme="minorEastAsia" w:hAnsiTheme="minorEastAsia" w:eastAsiaTheme="minorEastAsia" w:cstheme="minorEastAsia"/>
          <w:b/>
          <w:snapToGrid w:val="0"/>
          <w:kern w:val="0"/>
          <w:sz w:val="24"/>
          <w:szCs w:val="24"/>
          <w:lang w:eastAsia="zh-CN"/>
        </w:rPr>
        <w:t>。</w:t>
      </w:r>
    </w:p>
    <w:p w14:paraId="6929FBA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9.2 </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lang w:val="en-US" w:eastAsia="zh-CN"/>
        </w:rPr>
        <w:t>的内容</w:t>
      </w:r>
    </w:p>
    <w:p w14:paraId="4688317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（1）商务部分：</w:t>
      </w:r>
    </w:p>
    <w:p w14:paraId="4B6F6E1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*磋商函(见‘响应文件格式’)；</w:t>
      </w:r>
    </w:p>
    <w:p w14:paraId="7143199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*法定代表人身份证明书(见‘响应文件格式’)；</w:t>
      </w:r>
    </w:p>
    <w:p w14:paraId="121F77D1">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snapToGrid w:val="0"/>
          <w:kern w:val="0"/>
          <w:sz w:val="24"/>
          <w:szCs w:val="24"/>
        </w:rPr>
        <w:t>法定代表人授权委托书(见‘响应文件格式’)；</w:t>
      </w:r>
    </w:p>
    <w:p w14:paraId="0A0901D8">
      <w:pPr>
        <w:widowControl/>
        <w:wordWrap w:val="0"/>
        <w:snapToGrid w:val="0"/>
        <w:spacing w:line="360" w:lineRule="auto"/>
        <w:ind w:firstLine="482" w:firstLineChars="200"/>
        <w:jc w:val="left"/>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供应商具有独立承担民事责任的能力承诺函</w:t>
      </w:r>
      <w:r>
        <w:rPr>
          <w:rFonts w:hint="eastAsia" w:ascii="宋体" w:hAnsi="宋体" w:cs="宋体"/>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2C40B044">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供应商具有良好的商业信誉和健全的财务会计制度的承诺函</w:t>
      </w:r>
      <w:r>
        <w:rPr>
          <w:rFonts w:hint="eastAsia" w:ascii="宋体" w:hAnsi="宋体" w:cs="宋体"/>
          <w:snapToGrid w:val="0"/>
          <w:kern w:val="0"/>
          <w:sz w:val="24"/>
        </w:rPr>
        <w:t>(见‘响应文件格式’)</w:t>
      </w:r>
      <w:r>
        <w:rPr>
          <w:rFonts w:hint="eastAsia" w:ascii="宋体" w:hAnsi="宋体" w:cs="宋体"/>
          <w:color w:val="000000" w:themeColor="text1"/>
          <w:kern w:val="0"/>
          <w:sz w:val="24"/>
          <w14:textFill>
            <w14:solidFill>
              <w14:schemeClr w14:val="tx1"/>
            </w14:solidFill>
          </w14:textFill>
        </w:rPr>
        <w:t>；</w:t>
      </w:r>
    </w:p>
    <w:p w14:paraId="1CFC4D00">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lang w:eastAsia="zh-CN"/>
          <w14:textFill>
            <w14:solidFill>
              <w14:schemeClr w14:val="tx1"/>
            </w14:solidFill>
          </w14:textFill>
        </w:rPr>
        <w:t>供应商依法缴纳税收和社会保障资金的承诺函</w:t>
      </w:r>
      <w:r>
        <w:rPr>
          <w:rFonts w:hint="eastAsia" w:ascii="宋体" w:hAnsi="宋体" w:cs="宋体"/>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24701C8B">
      <w:pPr>
        <w:overflowPunct w:val="0"/>
        <w:topLinePunct/>
        <w:autoSpaceDN w:val="0"/>
        <w:adjustRightInd w:val="0"/>
        <w:snapToGrid w:val="0"/>
        <w:spacing w:line="360" w:lineRule="auto"/>
        <w:ind w:firstLine="480" w:firstLineChars="200"/>
        <w:rPr>
          <w:rFonts w:ascii="宋体" w:hAnsi="宋体" w:cs="宋体"/>
          <w:kern w:val="0"/>
          <w:sz w:val="24"/>
        </w:rPr>
      </w:pPr>
      <w:r>
        <w:rPr>
          <w:rFonts w:hint="eastAsia" w:ascii="宋体" w:hAnsi="宋体" w:cs="宋体"/>
          <w:snapToGrid w:val="0"/>
          <w:kern w:val="0"/>
          <w:sz w:val="24"/>
        </w:rPr>
        <w:t>*供应商履行合同能力的承诺</w:t>
      </w:r>
      <w:r>
        <w:rPr>
          <w:rFonts w:hint="eastAsia" w:ascii="宋体" w:hAnsi="宋体" w:cs="宋体"/>
          <w:snapToGrid w:val="0"/>
          <w:kern w:val="0"/>
          <w:sz w:val="24"/>
          <w:lang w:val="en-US" w:eastAsia="zh-CN"/>
        </w:rPr>
        <w:t>函</w:t>
      </w:r>
      <w:r>
        <w:rPr>
          <w:rFonts w:hint="eastAsia" w:ascii="宋体" w:hAnsi="宋体" w:cs="宋体"/>
          <w:snapToGrid w:val="0"/>
          <w:kern w:val="0"/>
          <w:sz w:val="24"/>
        </w:rPr>
        <w:t>(见‘响应文件格式’)；</w:t>
      </w:r>
    </w:p>
    <w:p w14:paraId="30533821">
      <w:pPr>
        <w:pStyle w:val="3"/>
        <w:spacing w:before="0" w:after="0" w:line="360" w:lineRule="auto"/>
        <w:ind w:firstLine="480" w:firstLineChars="200"/>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*供应商近三年无重大违法记录的承诺函(见‘响应文件格式’)；</w:t>
      </w:r>
    </w:p>
    <w:p w14:paraId="33CD767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eastAsia="zh-CN"/>
        </w:rPr>
        <w:t>磋商保证金凭证；</w:t>
      </w:r>
    </w:p>
    <w:p w14:paraId="4606DBD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近三年同类项目案例及相关证明资料</w:t>
      </w:r>
      <w:r>
        <w:rPr>
          <w:rFonts w:hint="eastAsia" w:asciiTheme="minorEastAsia" w:hAnsiTheme="minorEastAsia" w:eastAsiaTheme="minorEastAsia" w:cstheme="minorEastAsia"/>
          <w:snapToGrid w:val="0"/>
          <w:kern w:val="0"/>
          <w:sz w:val="24"/>
          <w:szCs w:val="24"/>
        </w:rPr>
        <w:t>(见‘响应文件格式’)</w:t>
      </w:r>
      <w:r>
        <w:rPr>
          <w:rFonts w:hint="eastAsia" w:asciiTheme="minorEastAsia" w:hAnsiTheme="minorEastAsia" w:eastAsiaTheme="minorEastAsia" w:cstheme="minorEastAsia"/>
          <w:snapToGrid w:val="0"/>
          <w:kern w:val="0"/>
          <w:sz w:val="24"/>
          <w:szCs w:val="24"/>
          <w:lang w:val="en-US" w:eastAsia="zh-CN"/>
        </w:rPr>
        <w:t>（复印件须加盖供应商公章）</w:t>
      </w:r>
    </w:p>
    <w:p w14:paraId="4DD84A4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供应商基本情况</w:t>
      </w:r>
      <w:r>
        <w:rPr>
          <w:rFonts w:hint="eastAsia" w:asciiTheme="minorEastAsia" w:hAnsiTheme="minorEastAsia" w:eastAsiaTheme="minorEastAsia" w:cstheme="minorEastAsia"/>
          <w:snapToGrid w:val="0"/>
          <w:kern w:val="0"/>
          <w:sz w:val="24"/>
          <w:szCs w:val="24"/>
        </w:rPr>
        <w:t>(见‘响应文件格式’)；</w:t>
      </w:r>
    </w:p>
    <w:p w14:paraId="4EECB78A">
      <w:pPr>
        <w:overflowPunct w:val="0"/>
        <w:topLinePunct/>
        <w:autoSpaceDN w:val="0"/>
        <w:adjustRightInd w:val="0"/>
        <w:snapToGrid w:val="0"/>
        <w:spacing w:line="360" w:lineRule="auto"/>
        <w:ind w:left="479" w:leftChars="228" w:firstLine="0" w:firstLineChars="0"/>
        <w:rPr>
          <w:rFonts w:hint="eastAsia" w:asciiTheme="minorEastAsia" w:hAnsiTheme="minorEastAsia" w:eastAsiaTheme="minorEastAsia" w:cstheme="minorEastAsia"/>
          <w:snapToGrid w:val="0"/>
          <w:kern w:val="0"/>
          <w:sz w:val="24"/>
          <w:szCs w:val="24"/>
        </w:rPr>
      </w:pPr>
      <w:r>
        <w:rPr>
          <w:rFonts w:hint="eastAsia" w:ascii="宋体" w:hAnsi="宋体" w:eastAsia="宋体" w:cs="宋体"/>
          <w:kern w:val="0"/>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2C45EC0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需要提供的其他商务材料；</w:t>
      </w:r>
    </w:p>
    <w:p w14:paraId="4849A17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（2）技术部分：</w:t>
      </w:r>
    </w:p>
    <w:p w14:paraId="53BC9CD8">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*磋商报价一览表(见“响应文件格式”)；</w:t>
      </w:r>
    </w:p>
    <w:p w14:paraId="418F8443">
      <w:pPr>
        <w:overflowPunct w:val="0"/>
        <w:topLinePunct/>
        <w:autoSpaceDN w:val="0"/>
        <w:adjustRightInd w:val="0"/>
        <w:snapToGrid w:val="0"/>
        <w:spacing w:line="360" w:lineRule="auto"/>
        <w:ind w:firstLine="480" w:firstLineChars="200"/>
        <w:rPr>
          <w:rFonts w:hint="eastAsia" w:ascii="宋体" w:hAnsi="宋体" w:cs="宋体"/>
          <w:color w:val="000000"/>
          <w:sz w:val="24"/>
          <w:lang w:val="en-US" w:eastAsia="zh-CN"/>
        </w:rPr>
      </w:pPr>
      <w:r>
        <w:rPr>
          <w:rFonts w:hint="eastAsia" w:ascii="宋体" w:hAnsi="宋体" w:eastAsia="宋体" w:cs="宋体"/>
          <w:snapToGrid w:val="0"/>
          <w:color w:val="000000"/>
          <w:kern w:val="0"/>
          <w:sz w:val="24"/>
        </w:rPr>
        <w:t>*</w:t>
      </w:r>
      <w:r>
        <w:rPr>
          <w:rFonts w:hint="eastAsia" w:ascii="宋体" w:hAnsi="宋体" w:cs="宋体"/>
          <w:color w:val="000000"/>
          <w:sz w:val="24"/>
          <w:lang w:val="en-US" w:eastAsia="zh-CN"/>
        </w:rPr>
        <w:t>商务技术偏离表</w:t>
      </w:r>
    </w:p>
    <w:p w14:paraId="083C8988">
      <w:pPr>
        <w:overflowPunct w:val="0"/>
        <w:topLinePunct/>
        <w:autoSpaceDN w:val="0"/>
        <w:adjustRightInd w:val="0"/>
        <w:snapToGrid w:val="0"/>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实施方案；</w:t>
      </w:r>
    </w:p>
    <w:p w14:paraId="51F68C4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宋体" w:hAnsi="宋体" w:eastAsia="宋体" w:cs="宋体"/>
          <w:snapToGrid w:val="0"/>
          <w:kern w:val="0"/>
          <w:sz w:val="24"/>
        </w:rPr>
        <w:t>供应商认为需要提供的其他技术材料。</w:t>
      </w:r>
    </w:p>
    <w:p w14:paraId="7D99B8E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为方便评审，供应商在编制响应文件时需对商务技术要求中的内容做对应表述，未做对应表述或有缺失，导致响应文件被误读或查找不到，其责任由供应商承担。</w:t>
      </w:r>
    </w:p>
    <w:p w14:paraId="5A4C0DC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 磋商保证金</w:t>
      </w:r>
    </w:p>
    <w:p w14:paraId="651FA63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9.3.1 本项目是否要求供应商提交保证金及要求供应商应提交的磋商保证金金额详见供应商须知前附表的相关规定。</w:t>
      </w:r>
    </w:p>
    <w:p w14:paraId="3F3CACF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9.3.2 磋商保证金提交方式详见供应商须知前附表的相关规定。   </w:t>
      </w:r>
    </w:p>
    <w:p w14:paraId="3BC9DEB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9.3.3 未按上述要求提交磋商保证金</w:t>
      </w:r>
      <w:r>
        <w:rPr>
          <w:rFonts w:hint="eastAsia" w:ascii="宋体" w:hAnsi="宋体" w:eastAsia="宋体" w:cs="宋体"/>
          <w:b w:val="0"/>
          <w:bCs w:val="0"/>
          <w:smallCaps w:val="0"/>
          <w:color w:val="auto"/>
          <w:spacing w:val="0"/>
          <w:kern w:val="0"/>
          <w:sz w:val="24"/>
          <w:szCs w:val="24"/>
          <w:lang w:val="en-US" w:eastAsia="zh-CN"/>
        </w:rPr>
        <w:t>凭证</w:t>
      </w:r>
      <w:r>
        <w:rPr>
          <w:rFonts w:hint="eastAsia" w:asciiTheme="minorEastAsia" w:hAnsiTheme="minorEastAsia" w:eastAsiaTheme="minorEastAsia" w:cstheme="minorEastAsia"/>
          <w:sz w:val="24"/>
          <w:szCs w:val="24"/>
          <w:highlight w:val="none"/>
          <w:lang w:val="en-US" w:eastAsia="zh-CN"/>
        </w:rPr>
        <w:t>或提交的磋商保证金金额不足的，其响应无效。</w:t>
      </w:r>
      <w:r>
        <w:rPr>
          <w:rFonts w:hint="eastAsia" w:ascii="宋体" w:hAnsi="宋体" w:cs="宋体"/>
          <w:b w:val="0"/>
          <w:bCs w:val="0"/>
          <w:smallCaps w:val="0"/>
          <w:color w:val="auto"/>
          <w:spacing w:val="0"/>
          <w:kern w:val="0"/>
          <w:sz w:val="24"/>
          <w:szCs w:val="24"/>
          <w:lang w:val="en-US" w:eastAsia="zh-CN"/>
        </w:rPr>
        <w:t>磋商</w:t>
      </w:r>
      <w:r>
        <w:rPr>
          <w:rFonts w:hint="eastAsia" w:ascii="宋体" w:hAnsi="宋体" w:eastAsia="宋体" w:cs="宋体"/>
          <w:b w:val="0"/>
          <w:bCs w:val="0"/>
          <w:smallCaps w:val="0"/>
          <w:color w:val="auto"/>
          <w:spacing w:val="0"/>
          <w:kern w:val="0"/>
          <w:sz w:val="24"/>
          <w:szCs w:val="24"/>
          <w:lang w:val="en-US" w:eastAsia="zh-CN"/>
        </w:rPr>
        <w:t>保证金凭证包含</w:t>
      </w:r>
      <w:r>
        <w:rPr>
          <w:rFonts w:hint="eastAsia" w:ascii="宋体" w:hAnsi="宋体" w:cs="宋体"/>
          <w:b w:val="0"/>
          <w:bCs w:val="0"/>
          <w:smallCaps w:val="0"/>
          <w:color w:val="auto"/>
          <w:spacing w:val="0"/>
          <w:kern w:val="0"/>
          <w:sz w:val="24"/>
          <w:szCs w:val="24"/>
          <w:lang w:val="en-US" w:eastAsia="zh-CN"/>
        </w:rPr>
        <w:t>供应商</w:t>
      </w:r>
      <w:r>
        <w:rPr>
          <w:rFonts w:hint="eastAsia" w:ascii="宋体" w:hAnsi="宋体" w:eastAsia="宋体" w:cs="宋体"/>
          <w:b w:val="0"/>
          <w:bCs w:val="0"/>
          <w:smallCaps w:val="0"/>
          <w:color w:val="auto"/>
          <w:spacing w:val="0"/>
          <w:kern w:val="0"/>
          <w:sz w:val="24"/>
          <w:szCs w:val="24"/>
          <w:lang w:val="en-US" w:eastAsia="zh-CN"/>
        </w:rPr>
        <w:t>保证金缴款凭证及其</w:t>
      </w:r>
      <w:r>
        <w:rPr>
          <w:rFonts w:hint="eastAsia" w:ascii="宋体" w:hAnsi="宋体" w:eastAsia="宋体" w:cs="宋体"/>
          <w:smallCaps w:val="0"/>
          <w:color w:val="auto"/>
          <w:spacing w:val="0"/>
          <w:sz w:val="24"/>
          <w:szCs w:val="24"/>
          <w:lang w:val="en-US" w:eastAsia="zh-CN"/>
        </w:rPr>
        <w:t>基本存款账户开户许可证或基本存款账户信息材料。</w:t>
      </w:r>
    </w:p>
    <w:p w14:paraId="0580C40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9.3.4 磋商保证金的退还详见供应商须知前附表的相关规定。</w:t>
      </w:r>
    </w:p>
    <w:p w14:paraId="4C5269C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9.3.5 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7601C22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9.3.6 不予退还磋商保证金的情形详见供应商须知前附表的相关规定。</w:t>
      </w:r>
    </w:p>
    <w:p w14:paraId="59C8C47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9.4 磋商报价</w:t>
      </w:r>
    </w:p>
    <w:p w14:paraId="64BD6D83">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rPr>
      </w:pPr>
      <w:r>
        <w:rPr>
          <w:rFonts w:hint="eastAsia" w:asciiTheme="minorEastAsia" w:hAnsiTheme="minorEastAsia" w:eastAsiaTheme="minorEastAsia" w:cstheme="minorEastAsia"/>
          <w:sz w:val="24"/>
          <w:szCs w:val="24"/>
          <w:highlight w:val="none"/>
          <w:lang w:val="en-US" w:eastAsia="zh-CN"/>
        </w:rPr>
        <w:t xml:space="preserve">9.4.1 </w:t>
      </w:r>
      <w:r>
        <w:rPr>
          <w:rFonts w:hint="eastAsia" w:asciiTheme="minorEastAsia" w:hAnsiTheme="minorEastAsia" w:eastAsiaTheme="minorEastAsia" w:cstheme="minorEastAsia"/>
          <w:b w:val="0"/>
          <w:bCs w:val="0"/>
          <w:kern w:val="0"/>
          <w:sz w:val="24"/>
          <w:szCs w:val="24"/>
          <w:highlight w:val="none"/>
          <w:lang w:val="zh-CN"/>
        </w:rPr>
        <w:t>磋商所使用的货币为人民币。本项目磋商报价不得超过最高限价，否则响应无效。</w:t>
      </w:r>
    </w:p>
    <w:p w14:paraId="232A09EA">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eastAsia="zh-CN"/>
        </w:rPr>
      </w:pPr>
      <w:r>
        <w:rPr>
          <w:rFonts w:hint="eastAsia" w:asciiTheme="minorEastAsia" w:hAnsiTheme="minorEastAsia" w:eastAsiaTheme="minorEastAsia" w:cstheme="minorEastAsia"/>
          <w:b w:val="0"/>
          <w:bCs w:val="0"/>
          <w:kern w:val="0"/>
          <w:sz w:val="24"/>
          <w:szCs w:val="24"/>
          <w:highlight w:val="none"/>
          <w:lang w:val="en-US" w:eastAsia="zh-CN"/>
        </w:rPr>
        <w:t>9.4.2</w:t>
      </w:r>
      <w:r>
        <w:rPr>
          <w:rFonts w:hint="eastAsia" w:asciiTheme="minorEastAsia" w:hAnsiTheme="minorEastAsia" w:eastAsiaTheme="minorEastAsia" w:cstheme="minorEastAsia"/>
          <w:color w:val="auto"/>
          <w:sz w:val="24"/>
          <w:szCs w:val="24"/>
          <w:highlight w:val="none"/>
          <w:lang w:val="zh-CN"/>
        </w:rPr>
        <w:t>本项目的磋商报价采用“总价”方式，只要投报了一个确定数额的总价，无论分项价格是否全部填报了相应的金额或免费字样，报价均被视为已经包含了但并不限于各项购买货物/服务</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lang w:val="zh-CN"/>
        </w:rPr>
        <w:t>及其运送、安装、调试、验收、保险、税金和相关服务等的全部费用。在其它情况下，由于分项报价填报不完整、不清楚或存在其它任何失误，所导致的任何不利后果均应当由供应商自行承担。</w:t>
      </w:r>
    </w:p>
    <w:p w14:paraId="1723E17F">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eastAsia="zh-CN"/>
        </w:rPr>
      </w:pPr>
      <w:r>
        <w:rPr>
          <w:rFonts w:hint="eastAsia" w:asciiTheme="minorEastAsia" w:hAnsiTheme="minorEastAsia" w:eastAsiaTheme="minorEastAsia" w:cstheme="minorEastAsia"/>
          <w:b w:val="0"/>
          <w:bCs w:val="0"/>
          <w:kern w:val="0"/>
          <w:sz w:val="24"/>
          <w:szCs w:val="24"/>
          <w:highlight w:val="none"/>
          <w:lang w:val="en-US" w:eastAsia="zh-CN"/>
        </w:rPr>
        <w:t>9.4.3</w:t>
      </w:r>
      <w:r>
        <w:rPr>
          <w:rFonts w:hint="eastAsia" w:asciiTheme="minorEastAsia" w:hAnsiTheme="minorEastAsia" w:eastAsiaTheme="minorEastAsia" w:cstheme="minorEastAsia"/>
          <w:b w:val="0"/>
          <w:bCs w:val="0"/>
          <w:kern w:val="0"/>
          <w:sz w:val="24"/>
          <w:szCs w:val="24"/>
          <w:highlight w:val="none"/>
          <w:lang w:val="zh-CN" w:eastAsia="zh-CN"/>
        </w:rPr>
        <w:t>供应商报出的总价为货物/服务</w:t>
      </w:r>
      <w:r>
        <w:rPr>
          <w:rFonts w:hint="eastAsia" w:asciiTheme="minorEastAsia" w:hAnsiTheme="minorEastAsia" w:eastAsiaTheme="minorEastAsia" w:cstheme="minorEastAsia"/>
          <w:b w:val="0"/>
          <w:bCs w:val="0"/>
          <w:kern w:val="0"/>
          <w:sz w:val="24"/>
          <w:szCs w:val="24"/>
          <w:highlight w:val="none"/>
          <w:lang w:val="en-US" w:eastAsia="zh-CN"/>
        </w:rPr>
        <w:t>/工程</w:t>
      </w:r>
      <w:r>
        <w:rPr>
          <w:rFonts w:hint="eastAsia" w:asciiTheme="minorEastAsia" w:hAnsiTheme="minorEastAsia" w:eastAsiaTheme="minorEastAsia" w:cstheme="minorEastAsia"/>
          <w:b w:val="0"/>
          <w:bCs w:val="0"/>
          <w:kern w:val="0"/>
          <w:sz w:val="24"/>
          <w:szCs w:val="24"/>
          <w:highlight w:val="none"/>
          <w:lang w:val="zh-CN" w:eastAsia="zh-CN"/>
        </w:rPr>
        <w:t>全部完成交付的最终价格。</w:t>
      </w:r>
    </w:p>
    <w:p w14:paraId="0B468CA8">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9.4.4本次磋商不接受可选择或可调整的报价。</w:t>
      </w:r>
    </w:p>
    <w:p w14:paraId="4EF93E8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9.4.5</w:t>
      </w:r>
      <w:r>
        <w:rPr>
          <w:rFonts w:hint="eastAsia" w:asciiTheme="minorEastAsia" w:hAnsiTheme="minorEastAsia" w:eastAsiaTheme="minorEastAsia" w:cstheme="minorEastAsia"/>
          <w:b w:val="0"/>
          <w:bCs w:val="0"/>
          <w:kern w:val="0"/>
          <w:sz w:val="24"/>
          <w:szCs w:val="24"/>
          <w:highlight w:val="none"/>
          <w:lang w:val="zh-CN"/>
        </w:rPr>
        <w:t>.最低磋商报价不是授予合同的保证</w:t>
      </w:r>
      <w:r>
        <w:rPr>
          <w:rFonts w:hint="eastAsia" w:asciiTheme="minorEastAsia" w:hAnsiTheme="minorEastAsia" w:eastAsiaTheme="minorEastAsia" w:cstheme="minorEastAsia"/>
          <w:sz w:val="24"/>
          <w:szCs w:val="24"/>
          <w:highlight w:val="none"/>
          <w:lang w:val="en-US" w:eastAsia="zh-CN"/>
        </w:rPr>
        <w:t>。</w:t>
      </w:r>
    </w:p>
    <w:p w14:paraId="4D86CF5A">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10</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内容填写说明</w:t>
      </w:r>
    </w:p>
    <w:p w14:paraId="0B83E671">
      <w:pPr>
        <w:spacing w:line="360" w:lineRule="auto"/>
        <w:ind w:firstLine="602"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10</w:t>
      </w:r>
      <w:r>
        <w:rPr>
          <w:rFonts w:hint="eastAsia" w:asciiTheme="minorEastAsia" w:hAnsiTheme="minorEastAsia" w:eastAsiaTheme="minorEastAsia" w:cstheme="minorEastAsia"/>
          <w:b/>
          <w:color w:val="auto"/>
          <w:sz w:val="24"/>
          <w:szCs w:val="24"/>
        </w:rPr>
        <w:t>.1响应文件应使用电子交易平台提供的响应文件制作软件，按本磋商文件第</w:t>
      </w:r>
      <w:r>
        <w:rPr>
          <w:rFonts w:hint="eastAsia" w:asciiTheme="minorEastAsia" w:hAnsiTheme="minorEastAsia" w:eastAsiaTheme="minorEastAsia" w:cstheme="minorEastAsia"/>
          <w:b/>
          <w:color w:val="auto"/>
          <w:sz w:val="24"/>
          <w:szCs w:val="24"/>
          <w:lang w:eastAsia="zh-CN"/>
        </w:rPr>
        <w:t>六</w:t>
      </w:r>
      <w:r>
        <w:rPr>
          <w:rFonts w:hint="eastAsia" w:asciiTheme="minorEastAsia" w:hAnsiTheme="minorEastAsia" w:eastAsiaTheme="minorEastAsia" w:cstheme="minorEastAsia"/>
          <w:b/>
          <w:color w:val="auto"/>
          <w:sz w:val="24"/>
          <w:szCs w:val="24"/>
        </w:rPr>
        <w:t>部分“的要求进行编制，如有必要，可以增加附页，作为响应文件的组成部分。</w:t>
      </w:r>
    </w:p>
    <w:p w14:paraId="6FDB5744">
      <w:pPr>
        <w:spacing w:line="360" w:lineRule="auto"/>
        <w:ind w:firstLine="602" w:firstLineChars="250"/>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10</w:t>
      </w:r>
      <w:r>
        <w:rPr>
          <w:rFonts w:hint="eastAsia" w:asciiTheme="minorEastAsia" w:hAnsiTheme="minorEastAsia" w:eastAsiaTheme="minorEastAsia" w:cstheme="minorEastAsia"/>
          <w:b/>
          <w:color w:val="auto"/>
          <w:sz w:val="24"/>
          <w:szCs w:val="24"/>
        </w:rPr>
        <w:t>.2电子交易平台为供应商提供在线或离线编辑和制作响应文件的功能，主要包括文件的导入、文件内容编辑、版式文件转换、文件生成、校验以及加密等功能。具体的电子响应文件制作软件的使用说明详见该电子交易平台上的相关说明或电话咨询电子交易平台</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400-881-7190</w:t>
      </w:r>
      <w:r>
        <w:rPr>
          <w:rFonts w:hint="eastAsia" w:asciiTheme="minorEastAsia" w:hAnsiTheme="minorEastAsia" w:eastAsiaTheme="minorEastAsia" w:cstheme="minorEastAsia"/>
          <w:b/>
          <w:color w:val="auto"/>
          <w:sz w:val="24"/>
          <w:szCs w:val="24"/>
          <w:lang w:eastAsia="zh-CN"/>
        </w:rPr>
        <w:t>）。</w:t>
      </w:r>
    </w:p>
    <w:p w14:paraId="229B2979">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.3供应商应详细阅读磋商文件的全部内容。响应文件须对磋商文件中的内容做出实质性和完整性的响应。</w:t>
      </w:r>
    </w:p>
    <w:p w14:paraId="149A629B">
      <w:pPr>
        <w:spacing w:line="360" w:lineRule="auto"/>
        <w:ind w:firstLine="600"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4供应商照搬照抄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w:t>
      </w:r>
      <w:r>
        <w:rPr>
          <w:rFonts w:hint="eastAsia" w:asciiTheme="minorEastAsia" w:hAnsiTheme="minorEastAsia" w:eastAsiaTheme="minorEastAsia" w:cstheme="minorEastAsia"/>
          <w:b/>
          <w:color w:val="auto"/>
          <w:sz w:val="24"/>
          <w:szCs w:val="24"/>
        </w:rPr>
        <w:t>磋商小组有权作无效报价处理。</w:t>
      </w:r>
    </w:p>
    <w:p w14:paraId="42101445">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.5响应文件应严格按照磋商文件第</w:t>
      </w: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部分的要求提交，并按规定的统一格式逐项填写，不准有空项。</w:t>
      </w:r>
    </w:p>
    <w:p w14:paraId="7CDEE3A1">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.6开标一览表为在第一轮公开报价仪式上报价的内容，要求按格式统一填写，不得自行增减内容。</w:t>
      </w:r>
    </w:p>
    <w:p w14:paraId="2920A654">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.7供应商必须保证响应文件所提供的全部资料真实可靠，并接受磋商小组对其中任何资料进一步审查的要求。</w:t>
      </w:r>
    </w:p>
    <w:p w14:paraId="2E23A899">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.8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3BE331CA">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.9供应商之间不得相互串通报价，不得妨碍其他供应商的公平竞争，不得损害采购单位或者其他供应商的合法权益。</w:t>
      </w:r>
    </w:p>
    <w:p w14:paraId="676DD703">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.10响应文件按不同章节编制并分别加盖电子签章、上传至电子交易平台。</w:t>
      </w:r>
    </w:p>
    <w:p w14:paraId="646D5B25">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11</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的有效期限</w:t>
      </w:r>
    </w:p>
    <w:p w14:paraId="72D647C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的有效期</w:t>
      </w:r>
      <w:r>
        <w:rPr>
          <w:rFonts w:hint="eastAsia" w:asciiTheme="minorEastAsia" w:hAnsiTheme="minorEastAsia" w:eastAsiaTheme="minorEastAsia" w:cstheme="minorEastAsia"/>
          <w:sz w:val="24"/>
          <w:szCs w:val="24"/>
          <w:highlight w:val="none"/>
          <w:lang w:eastAsia="zh-CN"/>
        </w:rPr>
        <w:t>详</w:t>
      </w:r>
      <w:r>
        <w:rPr>
          <w:rFonts w:hint="eastAsia" w:asciiTheme="minorEastAsia" w:hAnsiTheme="minorEastAsia" w:eastAsiaTheme="minorEastAsia" w:cstheme="minorEastAsia"/>
          <w:sz w:val="24"/>
          <w:szCs w:val="24"/>
          <w:highlight w:val="none"/>
        </w:rPr>
        <w:t>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p>
    <w:p w14:paraId="5F0AA8AA">
      <w:pPr>
        <w:pageBreakBefore w:val="0"/>
        <w:widowControl w:val="0"/>
        <w:numPr>
          <w:ilvl w:val="0"/>
          <w:numId w:val="2"/>
        </w:numPr>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的签署</w:t>
      </w:r>
    </w:p>
    <w:p w14:paraId="44A69F9E">
      <w:pPr>
        <w:pageBreakBefore w:val="0"/>
        <w:widowControl w:val="0"/>
        <w:numPr>
          <w:ilvl w:val="0"/>
          <w:numId w:val="0"/>
        </w:numPr>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val="0"/>
          <w:bCs/>
          <w:sz w:val="24"/>
          <w:szCs w:val="24"/>
          <w:highlight w:val="none"/>
          <w:lang w:val="en-US" w:eastAsia="zh-CN"/>
        </w:rPr>
        <w:t>12.1</w:t>
      </w:r>
      <w:r>
        <w:rPr>
          <w:rFonts w:hint="eastAsia" w:asciiTheme="minorEastAsia" w:hAnsiTheme="minorEastAsia" w:eastAsiaTheme="minorEastAsia" w:cstheme="minorEastAsia"/>
          <w:sz w:val="24"/>
          <w:szCs w:val="24"/>
          <w:lang w:val="en-US" w:eastAsia="zh-CN"/>
        </w:rPr>
        <w:t>响应文件的签署、盖章要求详见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bookmarkStart w:id="29" w:name="_Toc635"/>
      <w:bookmarkStart w:id="30" w:name="_Toc493575823"/>
      <w:bookmarkStart w:id="31" w:name="_Toc11196"/>
      <w:bookmarkStart w:id="32" w:name="_Toc424378688"/>
      <w:bookmarkStart w:id="33" w:name="_Toc7685"/>
      <w:bookmarkStart w:id="34" w:name="_Toc26251"/>
      <w:bookmarkStart w:id="35" w:name="_Toc32474"/>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napToGrid w:val="0"/>
          <w:kern w:val="0"/>
          <w:sz w:val="24"/>
          <w:szCs w:val="24"/>
        </w:rPr>
        <w:t>组成响应文件的各项文件均应遵守本条。</w:t>
      </w:r>
    </w:p>
    <w:p w14:paraId="1E08F6B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在响应文件及相关文件的签订、履行、通知等事项的书面文件中的“单位盖章”、“印章”、“公章”等处均仅指与当事人名称全称相一致的标准公章，不得使用其它（如带有“专用章”等字样）的印章。</w:t>
      </w:r>
    </w:p>
    <w:p w14:paraId="6A2E4165">
      <w:pPr>
        <w:tabs>
          <w:tab w:val="left" w:pos="567"/>
        </w:tabs>
        <w:overflowPunct w:val="0"/>
        <w:topLinePunct/>
        <w:autoSpaceDN w:val="0"/>
        <w:adjustRightInd w:val="0"/>
        <w:snapToGrid w:val="0"/>
        <w:spacing w:line="360" w:lineRule="auto"/>
        <w:ind w:firstLine="480" w:firstLineChars="200"/>
        <w:rPr>
          <w:rFonts w:hint="default"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应按照磋商文件要求，在响应文件的封面下方以及磋商文件要求的其他位置填写</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全称并加盖公章，同时在该处法定代表人或</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w:t>
      </w:r>
      <w:r>
        <w:rPr>
          <w:rFonts w:hint="eastAsia" w:asciiTheme="minorEastAsia" w:hAnsiTheme="minorEastAsia" w:eastAsiaTheme="minorEastAsia" w:cstheme="minorEastAsia"/>
          <w:snapToGrid w:val="0"/>
          <w:kern w:val="0"/>
          <w:sz w:val="24"/>
          <w:szCs w:val="24"/>
          <w:lang w:eastAsia="zh-CN"/>
        </w:rPr>
        <w:t>签字</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否则其响应文件将被视为无效响应。</w:t>
      </w:r>
    </w:p>
    <w:p w14:paraId="15626A7C">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须注意：为合理节约采购评审成本，提倡诚实信用的投标行为，特别要求</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应本着诚信精神，以审慎的态度明确、清楚地披露各项内容。</w:t>
      </w:r>
    </w:p>
    <w:p w14:paraId="6F50479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应按本磋商文件所要求的响应文件的份数提交响应文件。</w:t>
      </w:r>
    </w:p>
    <w:p w14:paraId="1F567EEA">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w:t>
      </w:r>
      <w:r>
        <w:rPr>
          <w:rFonts w:hint="eastAsia" w:asciiTheme="minorEastAsia" w:hAnsiTheme="minorEastAsia" w:eastAsiaTheme="minorEastAsia" w:cstheme="minorEastAsia"/>
          <w:snapToGrid w:val="0"/>
          <w:kern w:val="0"/>
          <w:sz w:val="24"/>
          <w:szCs w:val="24"/>
        </w:rPr>
        <w:t>应保证</w:t>
      </w:r>
      <w:r>
        <w:rPr>
          <w:rFonts w:hint="eastAsia" w:asciiTheme="minorEastAsia" w:hAnsiTheme="minorEastAsia" w:eastAsiaTheme="minorEastAsia" w:cstheme="minorEastAsia"/>
          <w:color w:val="auto"/>
          <w:kern w:val="0"/>
          <w:sz w:val="24"/>
          <w:szCs w:val="24"/>
          <w:highlight w:val="none"/>
          <w:lang w:val="en-US" w:eastAsia="zh-CN"/>
        </w:rPr>
        <w:t>电子响应文件与纸质响应文件</w:t>
      </w:r>
      <w:r>
        <w:rPr>
          <w:rFonts w:hint="eastAsia" w:asciiTheme="minorEastAsia" w:hAnsiTheme="minorEastAsia" w:eastAsiaTheme="minorEastAsia" w:cstheme="minorEastAsia"/>
          <w:snapToGrid w:val="0"/>
          <w:kern w:val="0"/>
          <w:sz w:val="24"/>
          <w:szCs w:val="24"/>
        </w:rPr>
        <w:t>内容严格一致</w:t>
      </w:r>
      <w:r>
        <w:rPr>
          <w:rFonts w:hint="eastAsia" w:asciiTheme="minorEastAsia" w:hAnsiTheme="minorEastAsia" w:eastAsiaTheme="minorEastAsia" w:cstheme="minorEastAsia"/>
          <w:snapToGrid w:val="0"/>
          <w:kern w:val="0"/>
          <w:sz w:val="24"/>
          <w:szCs w:val="24"/>
          <w:lang w:eastAsia="zh-CN"/>
        </w:rPr>
        <w:t>；</w:t>
      </w:r>
    </w:p>
    <w:p w14:paraId="3E9B903A">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应保证响应文件副本与正本内容严格一致；</w:t>
      </w:r>
    </w:p>
    <w:p w14:paraId="0544951D">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对本磋商文件第六部分“响应文件格式”中提供格式的资料，必须按照样表格式要求在指定位置加盖与</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全称相一致的标准公章并经法定代表人或</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代表签字，否则按</w:t>
      </w:r>
      <w:r>
        <w:rPr>
          <w:rFonts w:hint="eastAsia" w:asciiTheme="minorEastAsia" w:hAnsiTheme="minorEastAsia" w:eastAsiaTheme="minorEastAsia" w:cstheme="minorEastAsia"/>
          <w:snapToGrid w:val="0"/>
          <w:kern w:val="0"/>
          <w:sz w:val="24"/>
          <w:szCs w:val="24"/>
          <w:lang w:eastAsia="zh-CN"/>
        </w:rPr>
        <w:t>响应</w:t>
      </w:r>
      <w:r>
        <w:rPr>
          <w:rFonts w:hint="eastAsia" w:asciiTheme="minorEastAsia" w:hAnsiTheme="minorEastAsia" w:eastAsiaTheme="minorEastAsia" w:cstheme="minorEastAsia"/>
          <w:snapToGrid w:val="0"/>
          <w:kern w:val="0"/>
          <w:sz w:val="24"/>
          <w:szCs w:val="24"/>
        </w:rPr>
        <w:t>无效处理。</w:t>
      </w:r>
    </w:p>
    <w:p w14:paraId="6B42BCF1">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rPr>
        <w:t>响应文件应字迹清楚、内容齐全、不得涂改或增删。如有修改和增删，必须有</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公章及法定代表人或其授权的</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代表签字。</w:t>
      </w:r>
    </w:p>
    <w:p w14:paraId="1D6E767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rPr>
        <w:t>因响应文件字迹潦草或表达不清所引起的不利后果由</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承担。</w:t>
      </w:r>
    </w:p>
    <w:p w14:paraId="330A57F1">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outlineLvl w:val="1"/>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rPr>
        <w:t>四、</w:t>
      </w:r>
      <w:r>
        <w:rPr>
          <w:rFonts w:hint="eastAsia" w:asciiTheme="minorEastAsia" w:hAnsiTheme="minorEastAsia" w:eastAsiaTheme="minorEastAsia" w:cstheme="minorEastAsia"/>
          <w:spacing w:val="10"/>
          <w:sz w:val="24"/>
          <w:szCs w:val="24"/>
          <w:highlight w:val="none"/>
          <w:lang w:eastAsia="zh-CN"/>
        </w:rPr>
        <w:t>响应文件</w:t>
      </w:r>
      <w:r>
        <w:rPr>
          <w:rFonts w:hint="eastAsia" w:asciiTheme="minorEastAsia" w:hAnsiTheme="minorEastAsia" w:eastAsiaTheme="minorEastAsia" w:cstheme="minorEastAsia"/>
          <w:spacing w:val="10"/>
          <w:sz w:val="24"/>
          <w:szCs w:val="24"/>
          <w:highlight w:val="none"/>
        </w:rPr>
        <w:t>的递交</w:t>
      </w:r>
      <w:bookmarkEnd w:id="29"/>
      <w:bookmarkEnd w:id="30"/>
      <w:bookmarkEnd w:id="31"/>
      <w:bookmarkEnd w:id="32"/>
      <w:bookmarkEnd w:id="33"/>
      <w:bookmarkEnd w:id="34"/>
      <w:bookmarkEnd w:id="35"/>
    </w:p>
    <w:p w14:paraId="7D61F996">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13</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的密封及标记</w:t>
      </w:r>
    </w:p>
    <w:p w14:paraId="6E4A161B">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13.1 </w:t>
      </w:r>
      <w:r>
        <w:rPr>
          <w:rFonts w:hint="eastAsia" w:asciiTheme="minorEastAsia" w:hAnsiTheme="minorEastAsia" w:eastAsiaTheme="minorEastAsia" w:cstheme="minorEastAsia"/>
          <w:sz w:val="24"/>
          <w:szCs w:val="24"/>
          <w:highlight w:val="none"/>
          <w:lang w:eastAsia="zh-CN"/>
        </w:rPr>
        <w:t>响应文件的</w:t>
      </w:r>
      <w:r>
        <w:rPr>
          <w:rFonts w:hint="eastAsia" w:asciiTheme="minorEastAsia" w:hAnsiTheme="minorEastAsia" w:eastAsiaTheme="minorEastAsia" w:cstheme="minorEastAsia"/>
          <w:sz w:val="24"/>
          <w:szCs w:val="24"/>
          <w:highlight w:val="none"/>
        </w:rPr>
        <w:t>密封</w:t>
      </w:r>
      <w:r>
        <w:rPr>
          <w:rFonts w:hint="eastAsia" w:asciiTheme="minorEastAsia" w:hAnsiTheme="minorEastAsia" w:eastAsiaTheme="minorEastAsia" w:cstheme="minorEastAsia"/>
          <w:sz w:val="24"/>
          <w:szCs w:val="24"/>
          <w:highlight w:val="none"/>
          <w:lang w:eastAsia="zh-CN"/>
        </w:rPr>
        <w:t>要求详</w:t>
      </w:r>
      <w:r>
        <w:rPr>
          <w:rFonts w:hint="eastAsia" w:asciiTheme="minorEastAsia" w:hAnsiTheme="minorEastAsia" w:eastAsiaTheme="minorEastAsia" w:cstheme="minorEastAsia"/>
          <w:sz w:val="24"/>
          <w:szCs w:val="24"/>
          <w:highlight w:val="none"/>
        </w:rPr>
        <w:t>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r>
        <w:rPr>
          <w:rFonts w:hint="eastAsia" w:asciiTheme="minorEastAsia" w:hAnsiTheme="minorEastAsia" w:eastAsiaTheme="minorEastAsia" w:cstheme="minorEastAsia"/>
          <w:sz w:val="24"/>
          <w:szCs w:val="24"/>
          <w:highlight w:val="none"/>
          <w:lang w:eastAsia="zh-CN"/>
        </w:rPr>
        <w:t>。</w:t>
      </w:r>
    </w:p>
    <w:p w14:paraId="217DDBC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如果</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未对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进行密封、盖章的，将做</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无效处理。</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对由此带来的问题和后果概不承担任何责任。</w:t>
      </w:r>
    </w:p>
    <w:p w14:paraId="3D10D0D1">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14</w:t>
      </w:r>
      <w:r>
        <w:rPr>
          <w:rFonts w:hint="eastAsia" w:asciiTheme="minorEastAsia" w:hAnsiTheme="minorEastAsia" w:eastAsiaTheme="minorEastAsia" w:cstheme="minorEastAsia"/>
          <w:b/>
          <w:sz w:val="24"/>
          <w:szCs w:val="24"/>
          <w:highlight w:val="none"/>
          <w:lang w:eastAsia="zh-CN"/>
        </w:rPr>
        <w:t>、递交截止时间</w:t>
      </w:r>
    </w:p>
    <w:p w14:paraId="7C49F35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14.1 </w:t>
      </w:r>
      <w:r>
        <w:rPr>
          <w:rFonts w:hint="eastAsia" w:asciiTheme="minorEastAsia" w:hAnsiTheme="minorEastAsia" w:eastAsiaTheme="minorEastAsia" w:cstheme="minorEastAsia"/>
          <w:color w:val="auto"/>
          <w:sz w:val="24"/>
          <w:szCs w:val="24"/>
        </w:rPr>
        <w:t>供应商应根据竞争性磋商文件及交易平台的要求对</w:t>
      </w:r>
      <w:r>
        <w:rPr>
          <w:rFonts w:hint="eastAsia" w:asciiTheme="minorEastAsia" w:hAnsiTheme="minorEastAsia" w:eastAsiaTheme="minorEastAsia" w:cstheme="minorEastAsia"/>
          <w:color w:val="auto"/>
          <w:sz w:val="24"/>
          <w:szCs w:val="24"/>
          <w:lang w:val="en-US" w:eastAsia="zh-CN"/>
        </w:rPr>
        <w:t>电子版</w:t>
      </w:r>
      <w:r>
        <w:rPr>
          <w:rFonts w:hint="eastAsia" w:asciiTheme="minorEastAsia" w:hAnsiTheme="minorEastAsia" w:eastAsiaTheme="minorEastAsia" w:cstheme="minorEastAsia"/>
          <w:color w:val="auto"/>
          <w:sz w:val="24"/>
          <w:szCs w:val="24"/>
        </w:rPr>
        <w:t>响应文件进行电子签章并加密。供应商未按规定加密的响应文件，电子交易平台</w:t>
      </w:r>
      <w:r>
        <w:rPr>
          <w:rFonts w:hint="eastAsia" w:asciiTheme="minorEastAsia" w:hAnsiTheme="minorEastAsia" w:eastAsiaTheme="minorEastAsia" w:cstheme="minorEastAsia"/>
          <w:b/>
          <w:color w:val="auto"/>
          <w:sz w:val="24"/>
          <w:szCs w:val="24"/>
        </w:rPr>
        <w:t>拒收</w:t>
      </w:r>
      <w:r>
        <w:rPr>
          <w:rFonts w:hint="eastAsia" w:asciiTheme="minorEastAsia" w:hAnsiTheme="minorEastAsia" w:eastAsiaTheme="minorEastAsia" w:cstheme="minorEastAsia"/>
          <w:color w:val="auto"/>
          <w:sz w:val="24"/>
          <w:szCs w:val="24"/>
        </w:rPr>
        <w:t>并提示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lang w:val="en-US" w:eastAsia="zh-CN"/>
        </w:rPr>
        <w:t>纸质版</w:t>
      </w:r>
      <w:r>
        <w:rPr>
          <w:rFonts w:hint="eastAsia" w:asciiTheme="minorEastAsia" w:hAnsiTheme="minorEastAsia" w:eastAsiaTheme="minorEastAsia" w:cstheme="minorEastAsia"/>
          <w:sz w:val="24"/>
          <w:szCs w:val="24"/>
          <w:highlight w:val="none"/>
        </w:rPr>
        <w:t>须按照</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中规定的</w:t>
      </w:r>
      <w:r>
        <w:rPr>
          <w:rFonts w:hint="eastAsia" w:asciiTheme="minorEastAsia" w:hAnsiTheme="minorEastAsia" w:eastAsiaTheme="minorEastAsia" w:cstheme="minorEastAsia"/>
          <w:sz w:val="24"/>
          <w:szCs w:val="24"/>
          <w:highlight w:val="none"/>
          <w:lang w:eastAsia="zh-CN"/>
        </w:rPr>
        <w:t>递交截止</w:t>
      </w:r>
      <w:r>
        <w:rPr>
          <w:rFonts w:hint="eastAsia" w:asciiTheme="minorEastAsia" w:hAnsiTheme="minorEastAsia" w:eastAsiaTheme="minorEastAsia" w:cstheme="minorEastAsia"/>
          <w:sz w:val="24"/>
          <w:szCs w:val="24"/>
          <w:highlight w:val="none"/>
        </w:rPr>
        <w:t>时间、地点送达。在</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截止时间后送达的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将拒绝接收。</w:t>
      </w:r>
    </w:p>
    <w:p w14:paraId="38356CF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14.2 </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根据本须知的规定，通过修改</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或自行决定延长</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截止日期的，采购人和</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受</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截止日期制约的所有权利和义务均延长至新的截止日期。</w:t>
      </w:r>
    </w:p>
    <w:p w14:paraId="08363024">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15</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的补充、修改和撤回</w:t>
      </w:r>
    </w:p>
    <w:p w14:paraId="1CF6BB4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15.1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可以在</w:t>
      </w:r>
      <w:r>
        <w:rPr>
          <w:rFonts w:hint="eastAsia" w:asciiTheme="minorEastAsia" w:hAnsiTheme="minorEastAsia" w:eastAsiaTheme="minorEastAsia" w:cstheme="minorEastAsia"/>
          <w:sz w:val="24"/>
          <w:szCs w:val="24"/>
          <w:highlight w:val="none"/>
          <w:lang w:eastAsia="zh-CN"/>
        </w:rPr>
        <w:t>递交截止时间</w:t>
      </w:r>
      <w:r>
        <w:rPr>
          <w:rFonts w:hint="eastAsia" w:asciiTheme="minorEastAsia" w:hAnsiTheme="minorEastAsia" w:eastAsiaTheme="minorEastAsia" w:cstheme="minorEastAsia"/>
          <w:sz w:val="24"/>
          <w:szCs w:val="24"/>
          <w:highlight w:val="none"/>
        </w:rPr>
        <w:t>前，对所递交的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进行补充、修改或者撤回，并以书面形式通知</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，否则（相关补充、修改或者撤回）无效。补充、修改</w:t>
      </w:r>
      <w:r>
        <w:rPr>
          <w:rFonts w:hint="eastAsia" w:asciiTheme="minorEastAsia" w:hAnsiTheme="minorEastAsia" w:eastAsiaTheme="minorEastAsia" w:cstheme="minorEastAsia"/>
          <w:sz w:val="24"/>
          <w:szCs w:val="24"/>
          <w:highlight w:val="none"/>
          <w:lang w:eastAsia="zh-CN"/>
        </w:rPr>
        <w:t>的内容作为响应文件的组成部分。</w:t>
      </w:r>
      <w:r>
        <w:rPr>
          <w:rFonts w:hint="eastAsia" w:asciiTheme="minorEastAsia" w:hAnsiTheme="minorEastAsia" w:eastAsiaTheme="minorEastAsia" w:cstheme="minorEastAsia"/>
          <w:sz w:val="24"/>
          <w:szCs w:val="24"/>
          <w:highlight w:val="none"/>
        </w:rPr>
        <w:t>补充、修改</w:t>
      </w:r>
      <w:r>
        <w:rPr>
          <w:rFonts w:hint="eastAsia" w:asciiTheme="minorEastAsia" w:hAnsiTheme="minorEastAsia" w:eastAsiaTheme="minorEastAsia" w:cstheme="minorEastAsia"/>
          <w:sz w:val="24"/>
          <w:szCs w:val="24"/>
          <w:highlight w:val="none"/>
          <w:lang w:eastAsia="zh-CN"/>
        </w:rPr>
        <w:t>的内容与响应文件不一致的，以</w:t>
      </w:r>
      <w:r>
        <w:rPr>
          <w:rFonts w:hint="eastAsia" w:asciiTheme="minorEastAsia" w:hAnsiTheme="minorEastAsia" w:eastAsiaTheme="minorEastAsia" w:cstheme="minorEastAsia"/>
          <w:sz w:val="24"/>
          <w:szCs w:val="24"/>
          <w:highlight w:val="none"/>
        </w:rPr>
        <w:t>补充、修改</w:t>
      </w:r>
      <w:r>
        <w:rPr>
          <w:rFonts w:hint="eastAsia" w:asciiTheme="minorEastAsia" w:hAnsiTheme="minorEastAsia" w:eastAsiaTheme="minorEastAsia" w:cstheme="minorEastAsia"/>
          <w:sz w:val="24"/>
          <w:szCs w:val="24"/>
          <w:highlight w:val="none"/>
          <w:lang w:eastAsia="zh-CN"/>
        </w:rPr>
        <w:t>的内容为准。</w:t>
      </w:r>
    </w:p>
    <w:p w14:paraId="1DB4DBB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15.2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撤回</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的要求应由</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法定代表人或</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代表签署，补充、修改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的书面材料，应当按照</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要求签署、盖章、密封后，在</w:t>
      </w:r>
      <w:r>
        <w:rPr>
          <w:rFonts w:hint="eastAsia" w:asciiTheme="minorEastAsia" w:hAnsiTheme="minorEastAsia" w:eastAsiaTheme="minorEastAsia" w:cstheme="minorEastAsia"/>
          <w:sz w:val="24"/>
          <w:szCs w:val="24"/>
          <w:highlight w:val="none"/>
          <w:lang w:eastAsia="zh-CN"/>
        </w:rPr>
        <w:t>递交截止时间</w:t>
      </w:r>
      <w:r>
        <w:rPr>
          <w:rFonts w:hint="eastAsia" w:asciiTheme="minorEastAsia" w:hAnsiTheme="minorEastAsia" w:eastAsiaTheme="minorEastAsia" w:cstheme="minorEastAsia"/>
          <w:sz w:val="24"/>
          <w:szCs w:val="24"/>
          <w:highlight w:val="none"/>
        </w:rPr>
        <w:t>前送达</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，作为</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的组成部分，同时应在封套上标明“修改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(并注明项目编号)”和“</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时启封”字样。</w:t>
      </w:r>
    </w:p>
    <w:p w14:paraId="0D5BCBAC">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 在</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要求的</w:t>
      </w:r>
      <w:r>
        <w:rPr>
          <w:rFonts w:hint="eastAsia" w:asciiTheme="minorEastAsia" w:hAnsiTheme="minorEastAsia" w:eastAsiaTheme="minorEastAsia" w:cstheme="minorEastAsia"/>
          <w:sz w:val="24"/>
          <w:szCs w:val="24"/>
          <w:highlight w:val="none"/>
          <w:lang w:eastAsia="zh-CN"/>
        </w:rPr>
        <w:t>响应文件递交</w:t>
      </w:r>
      <w:r>
        <w:rPr>
          <w:rFonts w:hint="eastAsia" w:asciiTheme="minorEastAsia" w:hAnsiTheme="minorEastAsia" w:eastAsiaTheme="minorEastAsia" w:cstheme="minorEastAsia"/>
          <w:sz w:val="24"/>
          <w:szCs w:val="24"/>
          <w:highlight w:val="none"/>
        </w:rPr>
        <w:t>截止时间之后，</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不得对其</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进行补充、修改或撤回。</w:t>
      </w:r>
    </w:p>
    <w:p w14:paraId="0E182A4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spacing w:val="10"/>
          <w:sz w:val="24"/>
          <w:szCs w:val="24"/>
          <w:highlight w:val="none"/>
          <w:lang w:eastAsia="zh-CN"/>
        </w:rPr>
      </w:pPr>
      <w:bookmarkStart w:id="36" w:name="_Toc24287"/>
      <w:bookmarkStart w:id="37" w:name="_Toc493575824"/>
      <w:bookmarkStart w:id="38" w:name="_Toc2621"/>
      <w:bookmarkStart w:id="39" w:name="_Toc22793"/>
      <w:bookmarkStart w:id="40" w:name="_Toc352761934"/>
      <w:bookmarkStart w:id="41" w:name="_Toc29809"/>
      <w:bookmarkStart w:id="42" w:name="_Toc424378689"/>
      <w:bookmarkStart w:id="43" w:name="_Toc31651"/>
      <w:r>
        <w:rPr>
          <w:rFonts w:hint="eastAsia" w:asciiTheme="minorEastAsia" w:hAnsiTheme="minorEastAsia" w:eastAsiaTheme="minorEastAsia" w:cstheme="minorEastAsia"/>
          <w:spacing w:val="10"/>
          <w:sz w:val="24"/>
          <w:szCs w:val="24"/>
          <w:highlight w:val="none"/>
        </w:rPr>
        <w:t>五、</w:t>
      </w:r>
      <w:bookmarkEnd w:id="36"/>
      <w:bookmarkEnd w:id="37"/>
      <w:bookmarkEnd w:id="38"/>
      <w:bookmarkEnd w:id="39"/>
      <w:bookmarkEnd w:id="40"/>
      <w:bookmarkEnd w:id="41"/>
      <w:bookmarkEnd w:id="42"/>
      <w:r>
        <w:rPr>
          <w:rFonts w:hint="eastAsia" w:asciiTheme="minorEastAsia" w:hAnsiTheme="minorEastAsia" w:eastAsiaTheme="minorEastAsia" w:cstheme="minorEastAsia"/>
          <w:spacing w:val="10"/>
          <w:sz w:val="24"/>
          <w:szCs w:val="24"/>
          <w:highlight w:val="none"/>
          <w:lang w:eastAsia="zh-CN"/>
        </w:rPr>
        <w:t>开启</w:t>
      </w:r>
      <w:bookmarkEnd w:id="43"/>
    </w:p>
    <w:p w14:paraId="087DDED8">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16</w:t>
      </w:r>
      <w:r>
        <w:rPr>
          <w:rFonts w:hint="eastAsia" w:asciiTheme="minorEastAsia" w:hAnsiTheme="minorEastAsia" w:eastAsiaTheme="minorEastAsia" w:cstheme="minorEastAsia"/>
          <w:b/>
          <w:sz w:val="24"/>
          <w:szCs w:val="24"/>
          <w:highlight w:val="none"/>
          <w:lang w:eastAsia="zh-CN"/>
        </w:rPr>
        <w:t>、开启</w:t>
      </w:r>
      <w:r>
        <w:rPr>
          <w:rFonts w:hint="eastAsia" w:asciiTheme="minorEastAsia" w:hAnsiTheme="minorEastAsia" w:eastAsiaTheme="minorEastAsia" w:cstheme="minorEastAsia"/>
          <w:b/>
          <w:sz w:val="24"/>
          <w:szCs w:val="24"/>
          <w:highlight w:val="none"/>
        </w:rPr>
        <w:t>及其有关事项</w:t>
      </w:r>
    </w:p>
    <w:p w14:paraId="5DBAABF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文件规定的时间、地点主持</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活动，邀请</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参加。</w:t>
      </w:r>
      <w:r>
        <w:rPr>
          <w:rFonts w:hint="eastAsia" w:asciiTheme="minorEastAsia" w:hAnsiTheme="minorEastAsia" w:eastAsiaTheme="minorEastAsia" w:cstheme="minorEastAsia"/>
          <w:sz w:val="24"/>
          <w:szCs w:val="24"/>
          <w:highlight w:val="none"/>
          <w:lang w:eastAsia="zh-CN"/>
        </w:rPr>
        <w:t>磋商小组</w:t>
      </w:r>
      <w:r>
        <w:rPr>
          <w:rFonts w:hint="eastAsia" w:asciiTheme="minorEastAsia" w:hAnsiTheme="minorEastAsia" w:eastAsiaTheme="minorEastAsia" w:cstheme="minorEastAsia"/>
          <w:sz w:val="24"/>
          <w:szCs w:val="24"/>
          <w:highlight w:val="none"/>
        </w:rPr>
        <w:t>不得参加</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活动。</w:t>
      </w:r>
    </w:p>
    <w:p w14:paraId="75818B6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 参加</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代表在线签到。开标前半小时，供应商利用CA锁在线进行签到；</w:t>
      </w:r>
    </w:p>
    <w:p w14:paraId="37A5035D">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不足三家的，不得</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lang w:val="en-US" w:eastAsia="zh-CN"/>
        </w:rPr>
        <w:t>和解密</w:t>
      </w:r>
      <w:r>
        <w:rPr>
          <w:rFonts w:hint="eastAsia" w:asciiTheme="minorEastAsia" w:hAnsiTheme="minorEastAsia" w:eastAsiaTheme="minorEastAsia" w:cstheme="minorEastAsia"/>
          <w:sz w:val="24"/>
          <w:szCs w:val="24"/>
          <w:highlight w:val="none"/>
        </w:rPr>
        <w:t>。</w:t>
      </w:r>
    </w:p>
    <w:p w14:paraId="46060922">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16.4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采购代理机构在响应文件开启时间，发出响应文件解密指令。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开启</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时间截止开始进入解密环节，供应商应在开始解密时间起半个小时内在线进行电子响应文件的解密操作，未在规定时间内解密，其报价视为无效；</w:t>
      </w:r>
    </w:p>
    <w:p w14:paraId="4010CB1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16.5</w:t>
      </w:r>
      <w:r>
        <w:rPr>
          <w:rFonts w:hint="eastAsia" w:asciiTheme="minorEastAsia" w:hAnsiTheme="minorEastAsia" w:eastAsiaTheme="minorEastAsia" w:cstheme="minorEastAsia"/>
          <w:color w:val="000000" w:themeColor="text1"/>
          <w:sz w:val="24"/>
          <w:szCs w:val="24"/>
          <w14:textFill>
            <w14:solidFill>
              <w14:schemeClr w14:val="tx1"/>
            </w14:solidFill>
          </w14:textFill>
        </w:rPr>
        <w:t>第一轮报价。解密全部完成后或解密时间截止时，电子交易平台自动显示供应商名称、标段名称、报价、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项目负责人</w:t>
      </w:r>
      <w:r>
        <w:rPr>
          <w:rFonts w:hint="eastAsia" w:asciiTheme="minorEastAsia" w:hAnsiTheme="minorEastAsia" w:eastAsiaTheme="minorEastAsia" w:cstheme="minorEastAsia"/>
          <w:color w:val="000000" w:themeColor="text1"/>
          <w:sz w:val="24"/>
          <w:szCs w:val="24"/>
          <w14:textFill>
            <w14:solidFill>
              <w14:schemeClr w14:val="tx1"/>
            </w14:solidFill>
          </w14:textFill>
        </w:rPr>
        <w:t>等磋商文件所确定的内容；</w:t>
      </w:r>
    </w:p>
    <w:p w14:paraId="4135977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第一轮报价结束，招标代理在政府采购电子交易系统自动生成第一轮报价记录</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p>
    <w:p w14:paraId="5A85DE44">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bookmarkStart w:id="44" w:name="_Toc493575825"/>
      <w:bookmarkStart w:id="45" w:name="_Toc352761935"/>
      <w:bookmarkStart w:id="46" w:name="_Toc15893"/>
      <w:bookmarkStart w:id="47" w:name="_Toc6774"/>
      <w:bookmarkStart w:id="48" w:name="_Toc11921"/>
      <w:bookmarkStart w:id="49" w:name="_Toc32285"/>
      <w:bookmarkStart w:id="50" w:name="_Toc424378690"/>
      <w:bookmarkStart w:id="51" w:name="_Toc15547"/>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程序和要求</w:t>
      </w:r>
      <w:bookmarkEnd w:id="44"/>
      <w:bookmarkEnd w:id="45"/>
      <w:bookmarkEnd w:id="46"/>
      <w:bookmarkEnd w:id="47"/>
      <w:bookmarkEnd w:id="48"/>
      <w:bookmarkEnd w:id="49"/>
      <w:bookmarkEnd w:id="50"/>
      <w:bookmarkEnd w:id="51"/>
    </w:p>
    <w:p w14:paraId="23A959B9">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18. 组建磋商小组</w:t>
      </w:r>
    </w:p>
    <w:p w14:paraId="5E663FD6">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18.1采购代理机构根据有关法律法规和本磋商文件的规定，结合本采购项目的特点组建磋商小组，对具备实质性磋商响应的响应文件进行评估和比较。磋商小组评审专家从采购评审专家库随机抽取。由采购人代表和评审专家共3人组成，其中经济、技术等方面的专家不少于三分之二。</w:t>
      </w:r>
    </w:p>
    <w:p w14:paraId="3A0E4EE9">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1D12EF44">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19. 审核</w:t>
      </w:r>
    </w:p>
    <w:p w14:paraId="0158D38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19.1开标后，磋商小组将审查各供应商响应文件是否符合磋商文件的基本要求：内容是否完整、资格证明文件是否齐全、文件签署是否齐全及验证磋商保证金。</w:t>
      </w:r>
    </w:p>
    <w:p w14:paraId="7F93B47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19.2审核时，磋商小组要审核每份响应文件的有效性、完整性和响应程度：</w:t>
      </w:r>
    </w:p>
    <w:p w14:paraId="1DB9BF0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资格性审查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：审查内容详见“第三部分评标标准和评标办法”</w:t>
      </w:r>
    </w:p>
    <w:p w14:paraId="56B33DD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符合性审查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：审查内容详见“第三部分评标标准和评标办法”</w:t>
      </w:r>
    </w:p>
    <w:p w14:paraId="51578E74">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19.3磋商小组各评审专家在资格性、符合性审核之后，对符合要求的供应商进行详细评审。</w:t>
      </w:r>
    </w:p>
    <w:p w14:paraId="4B3FE40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FFFF4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19.5磋商</w:t>
      </w:r>
    </w:p>
    <w:p w14:paraId="7A63D18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磋商小组按照各供应商签到顺序，与各供应商在交易平台上分别进行商务、技术谈判。具体步骤为：</w:t>
      </w:r>
    </w:p>
    <w:p w14:paraId="62405FA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（1）磋商小组专家依据谈判要点，结合专家审核意见和供应商技术陈述情况，与供应商进行商务、技术谈判；</w:t>
      </w:r>
    </w:p>
    <w:p w14:paraId="4DE840F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（2）商务、技术谈判后，供应商根据磋商小组要求，对原报价技术参数进行修正，并做相应承诺。</w:t>
      </w:r>
    </w:p>
    <w:p w14:paraId="4D1E02D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（3）对磋商文件作出的实质性变动是磋商文件的有效组成部分，磋商小组应当及时通知所有参加磋商的供应商。</w:t>
      </w:r>
    </w:p>
    <w:p w14:paraId="1B199244">
      <w:pPr>
        <w:widowControl/>
        <w:snapToGrid w:val="0"/>
        <w:spacing w:line="360" w:lineRule="auto"/>
        <w:ind w:firstLine="480" w:firstLineChars="200"/>
        <w:jc w:val="left"/>
        <w:rPr>
          <w:rFonts w:hAnsi="宋体"/>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19.6</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文件能够详细列明采购标的的技术要求、服务要求等的，</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结束后，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小组应当</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向</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所有实质性响应</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文件要求</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的供应商</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开启第二次报价通知，并要求其</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在规定时间内</w:t>
      </w:r>
      <w:r>
        <w:rPr>
          <w:rFonts w:hint="eastAsia" w:hAnsi="宋体"/>
          <w:color w:val="000000" w:themeColor="text1"/>
          <w:kern w:val="0"/>
          <w:sz w:val="24"/>
          <w14:textFill>
            <w14:solidFill>
              <w14:schemeClr w14:val="tx1"/>
            </w14:solidFill>
          </w14:textFill>
        </w:rPr>
        <w:t>在山西政采云平台投标客户端（http://www.ccgp-shanxi.gov.cn）完成第二轮报价（最终报价）递交（上传）</w:t>
      </w:r>
      <w:r>
        <w:rPr>
          <w:rFonts w:hint="eastAsia" w:hAnsi="宋体"/>
          <w:color w:val="000000" w:themeColor="text1"/>
          <w:kern w:val="0"/>
          <w:sz w:val="24"/>
          <w:lang w:eastAsia="zh-CN"/>
          <w14:textFill>
            <w14:solidFill>
              <w14:schemeClr w14:val="tx1"/>
            </w14:solidFill>
          </w14:textFill>
        </w:rPr>
        <w:t>，</w:t>
      </w:r>
      <w:r>
        <w:rPr>
          <w:rFonts w:hint="eastAsia" w:hAnsi="宋体"/>
          <w:color w:val="000000" w:themeColor="text1"/>
          <w:kern w:val="0"/>
          <w:sz w:val="24"/>
          <w14:textFill>
            <w14:solidFill>
              <w14:schemeClr w14:val="tx1"/>
            </w14:solidFill>
          </w14:textFill>
        </w:rPr>
        <w:t>递交截止时间前未完成最后报价文件上传的，视为放弃最后报价，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其第一次报价将作为该供应商的最终报价，</w:t>
      </w:r>
      <w:r>
        <w:rPr>
          <w:rFonts w:hint="eastAsia" w:hAnsi="宋体"/>
          <w:color w:val="000000" w:themeColor="text1"/>
          <w:kern w:val="0"/>
          <w:sz w:val="24"/>
          <w14:textFill>
            <w14:solidFill>
              <w14:schemeClr w14:val="tx1"/>
            </w14:solidFill>
          </w14:textFill>
        </w:rPr>
        <w:t>供应商自行承担责任。</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提交</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报价的供应商不得少于3家。</w:t>
      </w:r>
      <w:r>
        <w:rPr>
          <w:rFonts w:hAnsi="宋体"/>
          <w:color w:val="000000" w:themeColor="text1"/>
          <w:kern w:val="0"/>
          <w:sz w:val="24"/>
          <w14:textFill>
            <w14:solidFill>
              <w14:schemeClr w14:val="tx1"/>
            </w14:solidFill>
          </w14:textFill>
        </w:rPr>
        <w:t>第二轮报价即最终报价为不公开报价，不再向任何供应商公布报价情况。</w:t>
      </w:r>
    </w:p>
    <w:p w14:paraId="0AA678EE">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5D8A536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19.8已提交响应文件的供应商，在提交最后报价之前，可以根据磋商情况退出磋商。采购人、采购代理机构应当退还退出磋商的供应商的磋商保证金。</w:t>
      </w:r>
    </w:p>
    <w:p w14:paraId="6475C85C">
      <w:pPr>
        <w:pStyle w:val="2"/>
        <w:ind w:firstLine="480" w:firstLineChars="200"/>
        <w:jc w:val="both"/>
        <w:rPr>
          <w:rFonts w:hint="default"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t>19.9磋商报价以二次报价为评标依据。</w:t>
      </w:r>
    </w:p>
    <w:p w14:paraId="4AF5E421">
      <w:pPr>
        <w:widowControl/>
        <w:tabs>
          <w:tab w:val="left" w:pos="0"/>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b/>
          <w:color w:val="000000" w:themeColor="text1"/>
          <w:spacing w:val="10"/>
          <w:kern w:val="0"/>
          <w:sz w:val="24"/>
          <w:szCs w:val="24"/>
          <w14:textFill>
            <w14:solidFill>
              <w14:schemeClr w14:val="tx1"/>
            </w14:solidFill>
          </w14:textFill>
        </w:rPr>
        <w:t>. 报价的澄清</w:t>
      </w:r>
    </w:p>
    <w:p w14:paraId="678E9014">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.1 磋商小组有权要求</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中含义不明确、对同类问题表述不一致或者有明显文字和计算错误等内容作必要的澄清、说明或者补正。该要求应当采用书面形式,并由磋商小组专家共同签字。</w:t>
      </w:r>
    </w:p>
    <w:p w14:paraId="33A583E5">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 xml:space="preserve">.2 </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必须按照磋商小组通知的内容和时间做出书面答复，该答复经法定代表人或</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代表的签字认可，将作为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内容的一部分。澄清、说明或者补正不得超出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的范围或者改变</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的实质性内容。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拒不按照要求对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进行澄清、说明或者补正的，磋商小组可拒绝该报价。</w:t>
      </w:r>
    </w:p>
    <w:p w14:paraId="2B6DD9E4">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 xml:space="preserve">.3 </w:t>
      </w:r>
      <w:r>
        <w:rPr>
          <w:rFonts w:hint="eastAsia" w:asciiTheme="minorEastAsia" w:hAnsiTheme="minorEastAsia" w:eastAsiaTheme="minorEastAsia" w:cstheme="minorEastAsia"/>
          <w:b w:val="0"/>
          <w:bCs w:val="0"/>
          <w:color w:val="000000" w:themeColor="text1"/>
          <w:spacing w:val="10"/>
          <w:kern w:val="0"/>
          <w:sz w:val="24"/>
          <w:szCs w:val="24"/>
          <w:lang w:val="en-US" w:eastAsia="zh-CN"/>
          <w14:textFill>
            <w14:solidFill>
              <w14:schemeClr w14:val="tx1"/>
            </w14:solidFill>
          </w14:textFill>
        </w:rPr>
        <w:t>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42150DA">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政府采购评审中出现下列情形之一的，评审委员会应当启动异常低价投标（响应）审查程序：</w:t>
      </w:r>
    </w:p>
    <w:p w14:paraId="54879C85">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4C2FEE4B">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353D6B3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）投标（响应）报价低于采购项目最高限价45%的，即投标（响应）报价&lt;采购项目最高限价×45%；</w:t>
      </w:r>
    </w:p>
    <w:p w14:paraId="1021941B">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）评审委员会基于专业判断，认为供应商报价过低，有可能影响产品质量或者不能诚信履约的其他情形。</w:t>
      </w:r>
    </w:p>
    <w:p w14:paraId="25E38543">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采购人可以结合具体项目实际情况，提高上述第1项至第3项中启动异常低价投标（响应）审查的数值标准，但是最高不得超过65%。</w:t>
      </w:r>
    </w:p>
    <w:p w14:paraId="2191DE7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相关法律法规对供应商报价有规定的，从其规定。</w:t>
      </w:r>
    </w:p>
    <w:p w14:paraId="437FC58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21.3.6</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评审委员会启动异常低价投标（响应）审查后，属于</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30分钟。其中，属于</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第3项情形，供应商已随投标（响应）文件一并提交相关书面说明及必要的证明材料的，在评审现场可不再重复提交。</w:t>
      </w:r>
    </w:p>
    <w:p w14:paraId="2E13A533">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w:t>
      </w:r>
    </w:p>
    <w:p w14:paraId="3E1D8C5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0C08E6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综合评分法，是指响应文件满足磋商文件全部实质性要求且按评审因素的量化指标评审得分最高的供应商为成交候选供应商的评审方法。</w:t>
      </w:r>
    </w:p>
    <w:p w14:paraId="6FB7680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12805E1B">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14:textFill>
            <w14:solidFill>
              <w14:schemeClr w14:val="tx1"/>
            </w14:solidFill>
          </w14:textFill>
        </w:rPr>
        <w:t>确定成交供应商</w:t>
      </w:r>
    </w:p>
    <w:p w14:paraId="40537DD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.1磋商小组应当根据综合评分情况，按照评审得分由高到低顺序</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确定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排名第一的供应商为成交供应商。评审得分相同的，按照最后报价由低到高的顺序推荐。评审得分且最后报价相同的，按照技术指标优劣顺序推荐。</w:t>
      </w:r>
    </w:p>
    <w:p w14:paraId="2EF51E44">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.2实质上没有响应磋商文件要求的响应文件将被拒绝。如发现供应商有下列情况之一的，其响应文件将被拒绝，为无效响应：</w:t>
      </w:r>
    </w:p>
    <w:p w14:paraId="165B46F5">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（1）供应商未提交保证金或金额不足或保证金形式不符合竞争性磋商文件要求的；</w:t>
      </w:r>
    </w:p>
    <w:p w14:paraId="40E4CEF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（2）供应商不符合本须知第3条要求的；</w:t>
      </w:r>
    </w:p>
    <w:p w14:paraId="7383A4D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（3）供应商未提供本须知</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.2条规定的资格证明文件或提供的资格证明文件不符合磋商文件要求的；</w:t>
      </w:r>
    </w:p>
    <w:p w14:paraId="0DF69520">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（4）响应文件无法定代表人签字，或签字人无法定代表人有效授权书的；</w:t>
      </w:r>
    </w:p>
    <w:p w14:paraId="2AA0561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（5）响应有效期不足的；</w:t>
      </w:r>
    </w:p>
    <w:p w14:paraId="6489319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（6）未按照磋商文件规定进行签署、盖章的；</w:t>
      </w:r>
    </w:p>
    <w:p w14:paraId="7D86FE8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（7）响应文件的技术响应与事实不符或虚假响应的；</w:t>
      </w:r>
    </w:p>
    <w:p w14:paraId="1295D32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（8）响应文件不满足磋商文件中标注“*”号的商务条款及技术条款要求；</w:t>
      </w:r>
    </w:p>
    <w:p w14:paraId="3491355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（9）报价超出政府采购预算的；</w:t>
      </w:r>
    </w:p>
    <w:p w14:paraId="3E7254E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（10）投标报价明显低于服务成本价有降低服务标准的；</w:t>
      </w:r>
    </w:p>
    <w:p w14:paraId="7DC3F8F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（11）响应文件符合竞争性磋商文件中规定响应被拒绝的其他条款。</w:t>
      </w:r>
    </w:p>
    <w:p w14:paraId="798CE2C3">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评审复核</w:t>
      </w:r>
    </w:p>
    <w:p w14:paraId="3D0C75B2">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1D61D86E">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.1评审结果汇总完成后，除下列情形外，任何人不得修改评审结果：</w:t>
      </w:r>
    </w:p>
    <w:p w14:paraId="64A0563A">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A、分值汇总计算错误的；</w:t>
      </w:r>
    </w:p>
    <w:p w14:paraId="33420291">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B、分项评分超出评分标准范围的；</w:t>
      </w:r>
    </w:p>
    <w:p w14:paraId="1DE5C744">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C、磋商小组对客观评审因素评分不一致的；</w:t>
      </w:r>
    </w:p>
    <w:p w14:paraId="47AA5AE7">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D、经磋商小组认定评分畸高、畸低的；</w:t>
      </w:r>
    </w:p>
    <w:p w14:paraId="4D30256F">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5FAA5280">
      <w:pPr>
        <w:widowControl/>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评标过程保密</w:t>
      </w:r>
    </w:p>
    <w:p w14:paraId="73B72085">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.1采购人、集采机构要采取必要措施，保证磋商在严格保密的情况下进行。除采购人代表、磋商现场组织人员外，采购人的其他工作人员以及与磋商工作无关的人员不得进入磋商现场。</w:t>
      </w:r>
    </w:p>
    <w:p w14:paraId="43C5C0A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.2有关人员对磋商情况以及在磋商过程中获悉的国家秘密、商业秘密负有保密责任；任何人不得透露与磋商有关的其他磋商供应商的技术资料、价格和其他信息。</w:t>
      </w:r>
    </w:p>
    <w:p w14:paraId="7113EABA">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 磋商结束后，参与评审磋商的所有人员不得带走磋商现场的任何资料。</w:t>
      </w:r>
    </w:p>
    <w:p w14:paraId="050779BE">
      <w:pPr>
        <w:widowControl/>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关于供应商非实质性磋商响应滞后发现的处理规则</w:t>
      </w:r>
    </w:p>
    <w:p w14:paraId="4E1495ED">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7C40D066">
      <w:pPr>
        <w:widowControl/>
        <w:numPr>
          <w:ilvl w:val="0"/>
          <w:numId w:val="0"/>
        </w:numPr>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采购项目终止或取消</w:t>
      </w:r>
    </w:p>
    <w:p w14:paraId="2E91907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.1出现下列情形之一的，采购人或者采购代理机构应当终止竞争性磋商采购活动，发布项目终止公告并说明原因，重新开展采购活动：</w:t>
      </w:r>
    </w:p>
    <w:p w14:paraId="11707C5D">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（一）因情况变化，不再符合规定的竞争性磋商采购方式适用情形的；</w:t>
      </w:r>
    </w:p>
    <w:p w14:paraId="11F0059A">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（二）出现影响采购公正的违法、违规行为的；</w:t>
      </w:r>
    </w:p>
    <w:p w14:paraId="2F7B19A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（三）在采购过程中符合要求的供应商或者报价未超过采购预算的供应商不足3家的。</w:t>
      </w:r>
    </w:p>
    <w:p w14:paraId="6CB7C26E">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.2在采购活动中因重大变故，采购任务取消的，采购人或者采购代理机构应当终止采购活动，通知所有参加采购活动的供应商，并将项目实施情况和采购任务取消原因报送本级主管部门。</w:t>
      </w:r>
    </w:p>
    <w:p w14:paraId="7589BA90">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.3项目终止磋商后，磋商小组应做出书面报告，代理机构将在财政部门指定的媒体上发布项目终止公告。</w:t>
      </w:r>
    </w:p>
    <w:p w14:paraId="2566243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 如本项目属于市场竞争不充分的科研项目，以及需要扶持的科技成果转化项目，符合竞争要求的提交最后报价的磋商供应商可以是2家，而不被终止。</w:t>
      </w:r>
    </w:p>
    <w:p w14:paraId="3029DEF5">
      <w:pPr>
        <w:pStyle w:val="36"/>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D0D7728">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bookmarkStart w:id="52" w:name="_Toc4817"/>
      <w:bookmarkStart w:id="53" w:name="_Toc24772"/>
      <w:bookmarkStart w:id="54" w:name="_Toc22314"/>
      <w:bookmarkStart w:id="55" w:name="_Toc493575826"/>
      <w:bookmarkStart w:id="56" w:name="_Toc685"/>
      <w:bookmarkStart w:id="57" w:name="_Toc424378691"/>
      <w:bookmarkStart w:id="58" w:name="_Toc6282"/>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七、签订合同</w:t>
      </w:r>
      <w:bookmarkEnd w:id="52"/>
      <w:bookmarkEnd w:id="53"/>
      <w:bookmarkEnd w:id="54"/>
      <w:bookmarkEnd w:id="55"/>
      <w:bookmarkEnd w:id="56"/>
      <w:bookmarkEnd w:id="57"/>
      <w:bookmarkEnd w:id="58"/>
    </w:p>
    <w:p w14:paraId="313B18AC">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27、成交通知</w:t>
      </w:r>
    </w:p>
    <w:p w14:paraId="63497C8A">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7F21F84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27.2 采购代理机构对未成交的供应商不作未成交原因的解释。</w:t>
      </w:r>
    </w:p>
    <w:p w14:paraId="6E9C3FE9">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27.3 成交通知书是合同的组成部分。</w:t>
      </w:r>
    </w:p>
    <w:p w14:paraId="6146E65B">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14:textFill>
            <w14:solidFill>
              <w14:schemeClr w14:val="tx1"/>
            </w14:solidFill>
          </w14:textFill>
        </w:rPr>
        <w:t>. 成交服务费</w:t>
      </w:r>
    </w:p>
    <w:p w14:paraId="04334D82">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28.1本次磋商按国家有关规定收取成交服务费。</w:t>
      </w:r>
    </w:p>
    <w:p w14:paraId="759F0113">
      <w:pPr>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照国家发展计划委员会颁布的计价格[2002]1980号《招标代理服务收费管理办法》文件、国家发改委办公厅颁布的发改办价格［2003］857号《国家发改委办公厅关于招标代理服务收费有关问题的通知》规定计取，以成交金额为计费基数计算。</w:t>
      </w:r>
    </w:p>
    <w:p w14:paraId="0383A617">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29、签订合同</w:t>
      </w:r>
    </w:p>
    <w:p w14:paraId="1468E2C4">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59" w:name="_Toc493575827"/>
      <w:bookmarkStart w:id="60" w:name="_Toc6023"/>
      <w:bookmarkStart w:id="61" w:name="_Toc424378692"/>
      <w:bookmarkStart w:id="62" w:name="_Toc27397"/>
      <w:bookmarkStart w:id="63" w:name="_Toc421716587"/>
      <w:bookmarkStart w:id="64" w:name="_Toc8346"/>
      <w:bookmarkStart w:id="65" w:name="_Toc7493"/>
      <w:bookmarkStart w:id="66" w:name="_Toc26837"/>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.1成交供应商应（在系统中自行下载）成交通知书30日内与采购人签订政府采购合同。</w:t>
      </w:r>
    </w:p>
    <w:p w14:paraId="3F418823">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.2成交供应商应按照磋商文件、响应文件及评审过程中的有关澄清、说明或者补正文件的内容与采购人签订合同。成交供应商不得再与采购人签订背离合同实质性内容的其它协议或声明。</w:t>
      </w:r>
    </w:p>
    <w:p w14:paraId="1436C816">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.3在合同履行中，采购人如需追加与合同标的相同的货物，在不改变合同其他条款的前提下，成交供应商可与采购人协商签订补充合同，但所有补充合同的采购金额不得超过原合同金额的百分之十。</w:t>
      </w:r>
    </w:p>
    <w:p w14:paraId="7EC0A95C">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.4成交供应商一旦成交，成交供应商不得转包、分包，亦不得将合同全部及任何权利、义务向第三方转让，除符合《政府采购促进中小企业发展暂行办法》相关规定外，其他情形将被视为严重违约。</w:t>
      </w:r>
    </w:p>
    <w:p w14:paraId="3D650F5F">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.5违反2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.1条、2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.2条的规定，给对方造成损失的，应承担赔偿责任。 </w:t>
      </w:r>
    </w:p>
    <w:p w14:paraId="0277FD3E">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.6采购人与成交供应商应当自合同或补充合同签订之日起五日内，在山西政府采购网和政府采购电子交易系统进行合同公示。</w:t>
      </w:r>
    </w:p>
    <w:p w14:paraId="63BB00DE">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.7成交供应商拒绝签订采购合同的，采购人可以按照《政府采购竞争性磋商采购方式管理暂行办法》第二十</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九</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条第二款规定的原则确定其他供应商作为成交供应商并签订采购合同，也可以重新开展采购活动。拒绝签订采购合同的成交供应商不得参加对该项目重新开展的采购活动。</w:t>
      </w:r>
    </w:p>
    <w:bookmarkEnd w:id="59"/>
    <w:bookmarkEnd w:id="60"/>
    <w:bookmarkEnd w:id="61"/>
    <w:bookmarkEnd w:id="62"/>
    <w:bookmarkEnd w:id="63"/>
    <w:bookmarkEnd w:id="64"/>
    <w:bookmarkEnd w:id="65"/>
    <w:bookmarkEnd w:id="66"/>
    <w:p w14:paraId="2C319B5B">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1"/>
        <w:rPr>
          <w:rFonts w:hint="eastAsia" w:asciiTheme="minorEastAsia" w:hAnsiTheme="minorEastAsia" w:eastAsiaTheme="minorEastAsia" w:cstheme="minorEastAsia"/>
          <w:spacing w:val="10"/>
          <w:sz w:val="24"/>
          <w:szCs w:val="24"/>
          <w:highlight w:val="none"/>
        </w:rPr>
      </w:pPr>
      <w:bookmarkStart w:id="67" w:name="_Toc424378693"/>
      <w:bookmarkStart w:id="68" w:name="_Toc18540"/>
      <w:bookmarkStart w:id="69" w:name="_Toc493575828"/>
      <w:bookmarkStart w:id="70" w:name="_Toc421716588"/>
      <w:bookmarkStart w:id="71" w:name="_Toc2451"/>
      <w:bookmarkStart w:id="72" w:name="_Toc28310"/>
      <w:bookmarkStart w:id="73" w:name="_Toc451"/>
      <w:bookmarkStart w:id="74" w:name="_Toc21577"/>
      <w:r>
        <w:rPr>
          <w:rFonts w:hint="eastAsia" w:asciiTheme="minorEastAsia" w:hAnsiTheme="minorEastAsia" w:eastAsiaTheme="minorEastAsia" w:cstheme="minorEastAsia"/>
          <w:spacing w:val="10"/>
          <w:sz w:val="24"/>
          <w:szCs w:val="24"/>
          <w:highlight w:val="none"/>
          <w:lang w:val="en-US" w:eastAsia="zh-CN"/>
        </w:rPr>
        <w:t>八</w:t>
      </w:r>
      <w:r>
        <w:rPr>
          <w:rFonts w:hint="eastAsia" w:asciiTheme="minorEastAsia" w:hAnsiTheme="minorEastAsia" w:eastAsiaTheme="minorEastAsia" w:cstheme="minorEastAsia"/>
          <w:spacing w:val="10"/>
          <w:sz w:val="24"/>
          <w:szCs w:val="24"/>
          <w:highlight w:val="none"/>
          <w:lang w:eastAsia="zh-CN"/>
        </w:rPr>
        <w:t>、</w:t>
      </w:r>
      <w:r>
        <w:rPr>
          <w:rFonts w:hint="eastAsia" w:asciiTheme="minorEastAsia" w:hAnsiTheme="minorEastAsia" w:eastAsiaTheme="minorEastAsia" w:cstheme="minorEastAsia"/>
          <w:spacing w:val="10"/>
          <w:sz w:val="24"/>
          <w:szCs w:val="24"/>
          <w:highlight w:val="none"/>
        </w:rPr>
        <w:t>保密和披露</w:t>
      </w:r>
      <w:bookmarkEnd w:id="67"/>
      <w:bookmarkEnd w:id="68"/>
      <w:bookmarkEnd w:id="69"/>
      <w:bookmarkEnd w:id="70"/>
      <w:bookmarkEnd w:id="71"/>
      <w:bookmarkEnd w:id="72"/>
      <w:bookmarkEnd w:id="73"/>
      <w:bookmarkEnd w:id="74"/>
    </w:p>
    <w:p w14:paraId="497B81B6">
      <w:pPr>
        <w:pageBreakBefore w:val="0"/>
        <w:widowControl w:val="0"/>
        <w:numPr>
          <w:ilvl w:val="0"/>
          <w:numId w:val="0"/>
        </w:numPr>
        <w:kinsoku/>
        <w:wordWrap/>
        <w:overflowPunct/>
        <w:topLinePunct w:val="0"/>
        <w:autoSpaceDE/>
        <w:autoSpaceDN/>
        <w:bidi w:val="0"/>
        <w:spacing w:line="360" w:lineRule="auto"/>
        <w:ind w:firstLine="482" w:firstLineChars="200"/>
        <w:jc w:val="both"/>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30</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保密</w:t>
      </w:r>
    </w:p>
    <w:p w14:paraId="3B22F27E">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供应商自领取磋商文件之日起，须承诺承担本磋商项目下的保密义务，不得将因本次磋商获得的信息向第三人外传。</w:t>
      </w:r>
    </w:p>
    <w:p w14:paraId="1D240264">
      <w:pPr>
        <w:pageBreakBefore w:val="0"/>
        <w:widowControl w:val="0"/>
        <w:numPr>
          <w:ilvl w:val="0"/>
          <w:numId w:val="0"/>
        </w:numPr>
        <w:kinsoku/>
        <w:wordWrap/>
        <w:overflowPunct/>
        <w:topLinePunct w:val="0"/>
        <w:autoSpaceDE/>
        <w:autoSpaceDN/>
        <w:bidi w:val="0"/>
        <w:spacing w:line="360" w:lineRule="auto"/>
        <w:ind w:firstLine="482" w:firstLineChars="200"/>
        <w:jc w:val="both"/>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31</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披露</w:t>
      </w:r>
    </w:p>
    <w:p w14:paraId="20FA1C97">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31.1 采购代理机构有权将供应商提供的所有资料向有关政府部门或评审文件的有关人员披露。</w:t>
      </w:r>
    </w:p>
    <w:p w14:paraId="1725C93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31.2 在采购代理机构认为适当时或国家机关调查、审查、审计时以及其他符合法律法规规定的情形下，采购代理机构无须事先征求供应商同意即可披露关于采购过程、合同文本、签署情况的资料、供应商的名称及地址、响应文件的有关信息以及补充条款等，但必须在合理的必要范围内。对任何已经公布过的内容或与之内容相同的资料，以及供应商已经泄露或公开的，无须再承担保密责任。</w:t>
      </w:r>
    </w:p>
    <w:p w14:paraId="33A39E5C">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contextualSpacing/>
        <w:jc w:val="center"/>
        <w:textAlignment w:val="auto"/>
        <w:rPr>
          <w:rFonts w:hint="eastAsia" w:asciiTheme="minorEastAsia" w:hAnsiTheme="minorEastAsia" w:eastAsiaTheme="minorEastAsia" w:cstheme="minorEastAsia"/>
          <w:spacing w:val="10"/>
          <w:sz w:val="24"/>
          <w:szCs w:val="24"/>
          <w:highlight w:val="none"/>
        </w:rPr>
      </w:pPr>
      <w:bookmarkStart w:id="75" w:name="_Toc12662"/>
      <w:bookmarkStart w:id="76" w:name="_Toc24446"/>
      <w:bookmarkStart w:id="77" w:name="_Toc12693"/>
      <w:bookmarkStart w:id="78" w:name="_Toc30875"/>
      <w:bookmarkStart w:id="79" w:name="_Toc24070"/>
      <w:bookmarkStart w:id="80" w:name="_Toc493575829"/>
      <w:r>
        <w:rPr>
          <w:rFonts w:hint="eastAsia" w:asciiTheme="minorEastAsia" w:hAnsiTheme="minorEastAsia" w:eastAsiaTheme="minorEastAsia" w:cstheme="minorEastAsia"/>
          <w:spacing w:val="10"/>
          <w:sz w:val="24"/>
          <w:szCs w:val="24"/>
          <w:highlight w:val="none"/>
          <w:lang w:val="en-US" w:eastAsia="zh-CN"/>
        </w:rPr>
        <w:t>九</w:t>
      </w:r>
      <w:r>
        <w:rPr>
          <w:rFonts w:hint="eastAsia" w:asciiTheme="minorEastAsia" w:hAnsiTheme="minorEastAsia" w:eastAsiaTheme="minorEastAsia" w:cstheme="minorEastAsia"/>
          <w:spacing w:val="10"/>
          <w:sz w:val="24"/>
          <w:szCs w:val="24"/>
          <w:highlight w:val="none"/>
        </w:rPr>
        <w:t>、询问和质疑</w:t>
      </w:r>
      <w:bookmarkEnd w:id="75"/>
      <w:bookmarkEnd w:id="76"/>
      <w:bookmarkEnd w:id="77"/>
      <w:bookmarkEnd w:id="78"/>
      <w:bookmarkEnd w:id="79"/>
      <w:bookmarkEnd w:id="80"/>
    </w:p>
    <w:p w14:paraId="70D33CFF">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32</w:t>
      </w: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b/>
          <w:snapToGrid w:val="0"/>
          <w:kern w:val="0"/>
          <w:sz w:val="24"/>
          <w:szCs w:val="24"/>
          <w:lang w:eastAsia="zh-CN"/>
        </w:rPr>
        <w:t>供应商</w:t>
      </w:r>
      <w:r>
        <w:rPr>
          <w:rFonts w:hint="eastAsia" w:asciiTheme="minorEastAsia" w:hAnsiTheme="minorEastAsia" w:eastAsiaTheme="minorEastAsia" w:cstheme="minorEastAsia"/>
          <w:b/>
          <w:snapToGrid w:val="0"/>
          <w:kern w:val="0"/>
          <w:sz w:val="24"/>
          <w:szCs w:val="24"/>
        </w:rPr>
        <w:t>有权就招标事宜提出询问和质疑</w:t>
      </w:r>
    </w:p>
    <w:p w14:paraId="1D2B218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程序受到严格的内部监督，以确保授予合同过程的公平公正。</w:t>
      </w:r>
    </w:p>
    <w:p w14:paraId="1C18F23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.2</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对磋商文件条款或技术、商务参数有异议的，应当在</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前通过澄清或修改程序提出。</w:t>
      </w:r>
    </w:p>
    <w:p w14:paraId="308F69C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.3</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对采购事项有疑问的，可以向采购代理机构（或采购人）提出询问。</w:t>
      </w:r>
    </w:p>
    <w:p w14:paraId="3A2C195F">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.4</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认为其投标未获公平评审或采购过程和成交结果使自己的合法权益受到损害的，应当在知道或者应知其权益受到损害之日起7个工作日内提出质疑。</w:t>
      </w:r>
    </w:p>
    <w:p w14:paraId="5E4364E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.5质疑应当以书面形式向采购代理机构（或采购人）提出，经法定代表人签字并加盖公章。</w:t>
      </w:r>
    </w:p>
    <w:p w14:paraId="6A31A74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.6质疑书应当包括以下主要内容：被质疑项目名称、项目编号、包号、</w:t>
      </w:r>
      <w:r>
        <w:rPr>
          <w:rFonts w:hint="eastAsia" w:asciiTheme="minorEastAsia" w:hAnsiTheme="minorEastAsia" w:eastAsiaTheme="minorEastAsia" w:cstheme="minorEastAsia"/>
          <w:snapToGrid w:val="0"/>
          <w:kern w:val="0"/>
          <w:sz w:val="24"/>
          <w:szCs w:val="24"/>
          <w:lang w:eastAsia="zh-CN"/>
        </w:rPr>
        <w:t xml:space="preserve">磋商公告 </w:t>
      </w:r>
      <w:r>
        <w:rPr>
          <w:rFonts w:hint="eastAsia" w:asciiTheme="minorEastAsia" w:hAnsiTheme="minorEastAsia" w:eastAsiaTheme="minorEastAsia" w:cstheme="minorEastAsia"/>
          <w:snapToGrid w:val="0"/>
          <w:kern w:val="0"/>
          <w:sz w:val="24"/>
          <w:szCs w:val="24"/>
        </w:rPr>
        <w:t>发布时间、质疑事项、法律依据（具体条款）、质疑人全称、法定代表人签字、盖章、有效联系方式（包括手机、传真号码）。</w:t>
      </w:r>
    </w:p>
    <w:p w14:paraId="62899D2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.7质疑应按照“谁主张、谁举证”的原则，质疑书应当附相关证明材料。质疑材料应为简体中文，一式二份，并当面办理接收手续。</w:t>
      </w:r>
    </w:p>
    <w:p w14:paraId="31B0A96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.8有下列情形之一的，属于无效质疑，采购代理机构（或采购人）可不予受理：</w:t>
      </w:r>
    </w:p>
    <w:p w14:paraId="74605B42">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（1）未在有效期限内提出质疑的；</w:t>
      </w:r>
    </w:p>
    <w:p w14:paraId="71DA8B1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（2）质疑未以书面形式提出的；</w:t>
      </w:r>
    </w:p>
    <w:p w14:paraId="4864E33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（3）所提交材料未明示属于质疑材料的；</w:t>
      </w:r>
    </w:p>
    <w:p w14:paraId="18EF912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（4）质疑书没有法定代表人签署本人姓名并加盖单位公章的；质疑书由参加采购项目的授权代表签署本人姓名，但没有法定代表人特别授权的；</w:t>
      </w:r>
    </w:p>
    <w:p w14:paraId="3C92687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（5）质疑书未提供有效联系人或联系方式的；</w:t>
      </w:r>
    </w:p>
    <w:p w14:paraId="31021D1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（6）质疑事项已经进入投诉或者行政复议或者诉讼程序的；</w:t>
      </w:r>
    </w:p>
    <w:p w14:paraId="662CF0D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（7）质疑书未附相关证明材料，被视为无有效证据支持的。</w:t>
      </w:r>
    </w:p>
    <w:p w14:paraId="6DF3F21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（8）</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对磋商文件条款或技术参数有异议，未在</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前通过澄清或修改程序提出，并且</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已经参与投标，而于</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后对磋商文件提出质疑的；</w:t>
      </w:r>
    </w:p>
    <w:p w14:paraId="669C994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（9）在提出本次质疑前半年内连续三次质疑而无事实依据的；</w:t>
      </w:r>
    </w:p>
    <w:p w14:paraId="245C7D2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（10）其它不符合受理条件的情形。</w:t>
      </w:r>
    </w:p>
    <w:p w14:paraId="570B74D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.9采购代理机构（或采购人）将在收到书面质疑后7个工作日内审查质疑事项，做出答复或相关处理决定，并以书面形式通知质疑</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和其他有关</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，但答复的内容不涉及商业秘密。</w:t>
      </w:r>
    </w:p>
    <w:p w14:paraId="067AB8E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.10质疑</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对采购代理机构（或采购人）的答复不满意以及采购代理机构（或采购人）未在规定的时间内做出答复的，可以在答复期满后15个工作日内向相关部门投诉。</w:t>
      </w:r>
    </w:p>
    <w:p w14:paraId="22BDD073">
      <w:pPr>
        <w:overflowPunct w:val="0"/>
        <w:topLinePunct/>
        <w:autoSpaceDN w:val="0"/>
        <w:adjustRightInd w:val="0"/>
        <w:snapToGrid w:val="0"/>
        <w:spacing w:line="360" w:lineRule="auto"/>
        <w:ind w:firstLine="3614" w:firstLineChars="1500"/>
        <w:jc w:val="both"/>
        <w:outlineLvl w:val="1"/>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lang w:eastAsia="zh-CN"/>
        </w:rPr>
        <w:t>十、</w:t>
      </w:r>
      <w:r>
        <w:rPr>
          <w:rFonts w:hint="eastAsia" w:asciiTheme="minorEastAsia" w:hAnsiTheme="minorEastAsia" w:eastAsiaTheme="minorEastAsia" w:cstheme="minorEastAsia"/>
          <w:b/>
          <w:bCs/>
          <w:snapToGrid w:val="0"/>
          <w:kern w:val="0"/>
          <w:sz w:val="24"/>
          <w:szCs w:val="24"/>
        </w:rPr>
        <w:t>公平竞争和诚实信用</w:t>
      </w:r>
    </w:p>
    <w:p w14:paraId="5E9FB06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33.1</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之间串通投标等。</w:t>
      </w:r>
    </w:p>
    <w:p w14:paraId="2640E21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33.2</w:t>
      </w:r>
      <w:r>
        <w:rPr>
          <w:rFonts w:hint="eastAsia" w:asciiTheme="minorEastAsia" w:hAnsiTheme="minorEastAsia" w:eastAsiaTheme="minorEastAsia" w:cstheme="minorEastAsia"/>
          <w:snapToGrid w:val="0"/>
          <w:kern w:val="0"/>
          <w:sz w:val="24"/>
          <w:szCs w:val="24"/>
        </w:rPr>
        <w:t>如果有证据表明</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在本招标项目的竞争中存在腐败、欺诈或其他严重违背公平竞争和诚实信用原则、扰乱政府采购正常秩序的行为，招标人将拒绝其投标，并将报告政府采购监管部门查处；中标后发现的， 中标人须参照《中华人民共和国消费者权益保护法》第55条之条文描述方式双倍赔偿采购人，且民事赔偿并不免除违法</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的行政与刑事责任。</w:t>
      </w:r>
    </w:p>
    <w:p w14:paraId="12E54E92">
      <w:pPr>
        <w:overflowPunct w:val="0"/>
        <w:topLinePunct/>
        <w:autoSpaceDN w:val="0"/>
        <w:adjustRightInd w:val="0"/>
        <w:snapToGrid w:val="0"/>
        <w:spacing w:line="360" w:lineRule="auto"/>
        <w:jc w:val="center"/>
        <w:outlineLvl w:val="1"/>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十</w:t>
      </w:r>
      <w:r>
        <w:rPr>
          <w:rFonts w:hint="eastAsia" w:asciiTheme="minorEastAsia" w:hAnsiTheme="minorEastAsia" w:eastAsiaTheme="minorEastAsia" w:cstheme="minorEastAsia"/>
          <w:b/>
          <w:bCs/>
          <w:snapToGrid w:val="0"/>
          <w:kern w:val="0"/>
          <w:sz w:val="24"/>
          <w:szCs w:val="24"/>
          <w:lang w:eastAsia="zh-CN"/>
        </w:rPr>
        <w:t>一</w:t>
      </w:r>
      <w:r>
        <w:rPr>
          <w:rFonts w:hint="eastAsia" w:asciiTheme="minorEastAsia" w:hAnsiTheme="minorEastAsia" w:eastAsiaTheme="minorEastAsia" w:cstheme="minorEastAsia"/>
          <w:b/>
          <w:bCs/>
          <w:snapToGrid w:val="0"/>
          <w:kern w:val="0"/>
          <w:sz w:val="24"/>
          <w:szCs w:val="24"/>
        </w:rPr>
        <w:t>、违约处罚</w:t>
      </w:r>
    </w:p>
    <w:p w14:paraId="3293E30F">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34</w:t>
      </w:r>
      <w:r>
        <w:rPr>
          <w:rFonts w:hint="eastAsia" w:asciiTheme="minorEastAsia" w:hAnsiTheme="minorEastAsia" w:eastAsiaTheme="minorEastAsia" w:cstheme="minorEastAsia"/>
          <w:b/>
          <w:snapToGrid w:val="0"/>
          <w:kern w:val="0"/>
          <w:sz w:val="24"/>
          <w:szCs w:val="24"/>
        </w:rPr>
        <w:t>.违约处罚</w:t>
      </w:r>
    </w:p>
    <w:p w14:paraId="2C7EB53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34</w:t>
      </w:r>
      <w:r>
        <w:rPr>
          <w:rFonts w:hint="eastAsia" w:asciiTheme="minorEastAsia" w:hAnsiTheme="minorEastAsia" w:eastAsiaTheme="minorEastAsia" w:cstheme="minorEastAsia"/>
          <w:snapToGrid w:val="0"/>
          <w:kern w:val="0"/>
          <w:sz w:val="24"/>
          <w:szCs w:val="24"/>
        </w:rPr>
        <w:t>.1发生下列情况之一，</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的磋商保证金将被没收，并可能被列入不良记录名单，</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今后参与同类采购项目的机会可能会受到影响：</w:t>
      </w:r>
    </w:p>
    <w:p w14:paraId="205177BF">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后在投标有效期内，</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撤回其投标；</w:t>
      </w:r>
    </w:p>
    <w:p w14:paraId="5E458B05">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在评标期间，</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企图影响采购机构或磋商小组的任何活动，将导致投标被拒绝，并由其承担相应的法律责任。</w:t>
      </w:r>
    </w:p>
    <w:p w14:paraId="5E4366D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（3）成交</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未按本磋商文件规定签约；</w:t>
      </w:r>
    </w:p>
    <w:p w14:paraId="519126E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（4）成交</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与采购人订立背离合同实质性内容的其它协议；</w:t>
      </w:r>
    </w:p>
    <w:p w14:paraId="28E5A3C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未按磋商文件规定和合同约定履行义务的。</w:t>
      </w:r>
    </w:p>
    <w:p w14:paraId="1DFE8152">
      <w:pPr>
        <w:rPr>
          <w:rFonts w:hint="eastAsia" w:asciiTheme="minorEastAsia" w:hAnsiTheme="minorEastAsia" w:eastAsiaTheme="minorEastAsia" w:cstheme="minorEastAsia"/>
          <w:highlight w:val="none"/>
          <w:lang w:eastAsia="zh-CN"/>
        </w:rPr>
      </w:pPr>
    </w:p>
    <w:p w14:paraId="1D6C3AAB">
      <w:pPr>
        <w:pStyle w:val="15"/>
        <w:ind w:left="0" w:leftChars="0" w:firstLine="3373" w:firstLineChars="1400"/>
        <w:rPr>
          <w:rFonts w:hint="default" w:asciiTheme="minorEastAsia" w:hAnsiTheme="minorEastAsia" w:eastAsiaTheme="minorEastAsia" w:cstheme="minorEastAsia"/>
          <w:b/>
          <w:bCs/>
          <w:snapToGrid w:val="0"/>
          <w:kern w:val="0"/>
          <w:sz w:val="24"/>
          <w:szCs w:val="24"/>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十二、政策性因素</w:t>
      </w:r>
    </w:p>
    <w:p w14:paraId="2B5FA90B">
      <w:pPr>
        <w:widowControl/>
        <w:snapToGrid w:val="0"/>
        <w:spacing w:line="300" w:lineRule="auto"/>
        <w:jc w:val="center"/>
        <w:outlineLvl w:val="1"/>
        <w:rPr>
          <w:rFonts w:hint="eastAsia"/>
          <w:b/>
          <w:bCs/>
          <w:color w:val="auto"/>
          <w:sz w:val="32"/>
          <w:szCs w:val="32"/>
          <w:highlight w:val="none"/>
          <w:lang w:val="en-US" w:eastAsia="zh-CN"/>
        </w:rPr>
      </w:pPr>
      <w:bookmarkStart w:id="81" w:name="_Toc21441"/>
      <w:bookmarkStart w:id="82" w:name="_Toc30279"/>
    </w:p>
    <w:p w14:paraId="106A6D38">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依据政府采购政策因素的相关规定，如果投标单位所提供的货物、服务、工程满足下述要求并经评标委员会全体成员集体认定通过，予以考虑执行。</w:t>
      </w:r>
    </w:p>
    <w:p w14:paraId="02ACC9B1">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.1 采购人拟采购产品为“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属于节能产品政府采购品目清单中以“★”标注的，为政府强制采购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须提供国家确定的认证机构出具的、处于有效期之内的节能产品认证证书，否则按无效投标处理；</w:t>
      </w:r>
    </w:p>
    <w:p w14:paraId="11FF28C3">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采购人拟采购产品属于节能产品政府采购品目清单范围中优先采购的产品（未以“★”标注的），</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如提供了国家确定的认证机构出具的、处于有效期之内的节能产品认证证书，根据本</w:t>
      </w:r>
      <w:r>
        <w:rPr>
          <w:rFonts w:hint="eastAsia" w:ascii="宋体" w:hAnsi="宋体" w:cs="宋体"/>
          <w:kern w:val="0"/>
          <w:sz w:val="24"/>
          <w:szCs w:val="24"/>
          <w:highlight w:val="none"/>
          <w:lang w:eastAsia="zh-CN"/>
        </w:rPr>
        <w:t>磋商文件</w:t>
      </w:r>
      <w:r>
        <w:rPr>
          <w:rFonts w:hint="eastAsia" w:ascii="宋体" w:hAnsi="宋体" w:eastAsia="宋体" w:cs="宋体"/>
          <w:kern w:val="0"/>
          <w:sz w:val="24"/>
          <w:szCs w:val="24"/>
          <w:highlight w:val="none"/>
        </w:rPr>
        <w:t>评分标准，给予加分处理。</w:t>
      </w:r>
    </w:p>
    <w:p w14:paraId="61F16CB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注：节能产品政府采购品目清单查询网站为中国政府采购网，文件名称为《关于印发节能产品政府采购品目清单的通知》；</w:t>
      </w:r>
    </w:p>
    <w:p w14:paraId="4DEB9CD3">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 采购人拟采购产品属于环境标志产品政府采购品目清单范围中的，为优先采购的产品，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如提供了国家确定的认证机构出具的、处于有效期之内的环境标志产品认证证书，根据本</w:t>
      </w:r>
      <w:r>
        <w:rPr>
          <w:rFonts w:hint="eastAsia" w:ascii="宋体" w:hAnsi="宋体" w:cs="宋体"/>
          <w:kern w:val="0"/>
          <w:sz w:val="24"/>
          <w:szCs w:val="24"/>
          <w:highlight w:val="none"/>
          <w:lang w:eastAsia="zh-CN"/>
        </w:rPr>
        <w:t>磋商文件</w:t>
      </w:r>
      <w:r>
        <w:rPr>
          <w:rFonts w:hint="eastAsia" w:ascii="宋体" w:hAnsi="宋体" w:eastAsia="宋体" w:cs="宋体"/>
          <w:kern w:val="0"/>
          <w:sz w:val="24"/>
          <w:szCs w:val="24"/>
          <w:highlight w:val="none"/>
        </w:rPr>
        <w:t>评分标准，给予加分处理。</w:t>
      </w:r>
    </w:p>
    <w:p w14:paraId="160D7CF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注：环境标志产品政府采购品目清单查询网站为中国政府采购网，文件名称为《关于印发环境标志产品政府采购品目清单的通知》。</w:t>
      </w:r>
    </w:p>
    <w:p w14:paraId="5007BA0F">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.3本项目所采购的计算机，必须预装正版操作系统软件产品，所采购的其它软件必须为正版软件，否则投标无效。</w:t>
      </w:r>
    </w:p>
    <w:p w14:paraId="2DCA4DC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.4采购货物中含信息安全产品，必须是列入财政部会同有关部门制定下发的《信息安全产品强制性认证目录》的产品，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须附中国信息安全认证中心按国家标准认证颁发的有效认证证书，否则投标无效。</w:t>
      </w:r>
    </w:p>
    <w:p w14:paraId="72C6AA6B">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.5采购货物中含信息安全产品，必须是列入财政部会同有关部门制定下发的《信息安全产品强制性认证目录》的产品，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须附中国信息安全认证中心按国家标准认证颁发的有效认证证书，否则报价无效。</w:t>
      </w:r>
    </w:p>
    <w:p w14:paraId="131FBFA9">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.6小型和微型企业的评审要求。</w:t>
      </w:r>
    </w:p>
    <w:p w14:paraId="7B23233B">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根据《山西省财政厅关于进一步加大政府采购支持中小企业力度助力扎实稳住经济的通知》（晋财购〔2022〕6号）的要求，各地、各部门要高位区间落实政府采购评审优惠措施，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因本项目为专门面向中小企业预留份额项目，故对于小型、微型企业，监狱企业，残疾人福利性单位在投标价格上不给予报价扣除。</w:t>
      </w:r>
      <w:r>
        <w:rPr>
          <w:rFonts w:hint="eastAsia" w:ascii="宋体" w:hAnsi="宋体" w:eastAsia="宋体" w:cs="宋体"/>
          <w:kern w:val="0"/>
          <w:sz w:val="24"/>
          <w:szCs w:val="24"/>
        </w:rPr>
        <w:t>（本项内容以</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提供的《中小企业声明函》为准，否则不予认可）</w:t>
      </w:r>
    </w:p>
    <w:p w14:paraId="6918EFC7">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注：1.参加政府采购活动的中小企业应当按规定在报价文件中提供《中小企业声明函》。若提供虚假材料谋取中标、成交的，按照《政府采购法》有关条款处理，并记入</w:t>
      </w:r>
      <w:r>
        <w:rPr>
          <w:rFonts w:hint="eastAsia" w:ascii="宋体" w:hAnsi="宋体" w:cs="宋体"/>
          <w:kern w:val="0"/>
          <w:sz w:val="24"/>
          <w:szCs w:val="24"/>
          <w:lang w:eastAsia="zh-CN"/>
        </w:rPr>
        <w:t>供应商</w:t>
      </w:r>
      <w:r>
        <w:rPr>
          <w:rFonts w:hint="eastAsia" w:ascii="宋体" w:hAnsi="宋体" w:eastAsia="宋体" w:cs="宋体"/>
          <w:kern w:val="0"/>
          <w:sz w:val="24"/>
          <w:szCs w:val="24"/>
        </w:rPr>
        <w:t>诚信档案。</w:t>
      </w:r>
    </w:p>
    <w:p w14:paraId="5A8D4F4B">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2.事业单位、团体组织等非企业性质的政府采购</w:t>
      </w:r>
      <w:r>
        <w:rPr>
          <w:rFonts w:hint="eastAsia" w:ascii="宋体" w:hAnsi="宋体" w:cs="宋体"/>
          <w:kern w:val="0"/>
          <w:sz w:val="24"/>
          <w:szCs w:val="24"/>
          <w:lang w:eastAsia="zh-CN"/>
        </w:rPr>
        <w:t>供应商</w:t>
      </w:r>
      <w:r>
        <w:rPr>
          <w:rFonts w:hint="eastAsia" w:ascii="宋体" w:hAnsi="宋体" w:eastAsia="宋体" w:cs="宋体"/>
          <w:kern w:val="0"/>
          <w:sz w:val="24"/>
          <w:szCs w:val="24"/>
        </w:rPr>
        <w:t>，不属于中小企业划型标准确定的中小企业，不得按《关于印发中小企业划型标准规定的通知》规定声明为中小微企业 ，也不适用《政府采购促进中小企业发展暂行办法》。</w:t>
      </w:r>
    </w:p>
    <w:p w14:paraId="258D07FA">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.7支持残疾人福利单位评审要求。</w:t>
      </w:r>
    </w:p>
    <w:p w14:paraId="6ACE3713">
      <w:pPr>
        <w:pageBreakBefore w:val="0"/>
        <w:widowControl/>
        <w:kinsoku/>
        <w:overflowPunct/>
        <w:bidi w:val="0"/>
        <w:snapToGri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宋体" w:hAnsi="宋体" w:eastAsia="宋体" w:cs="宋体"/>
          <w:color w:val="000000" w:themeColor="text1"/>
          <w:kern w:val="0"/>
          <w:sz w:val="24"/>
          <w:szCs w:val="24"/>
          <w14:textFill>
            <w14:solidFill>
              <w14:schemeClr w14:val="tx1"/>
            </w14:solidFill>
          </w14:textFill>
        </w:rPr>
        <w:t>。在本项目中满足采购需求、质量和货物相等的情况下，对属于残疾人福利性单位的货物价格给予6％的扣除，用扣除后的价格参与评审；</w:t>
      </w:r>
    </w:p>
    <w:p w14:paraId="5FAC7246">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注：残疾人福利性单位属于小型、微型企业的，不重复享受政策。</w:t>
      </w:r>
    </w:p>
    <w:p w14:paraId="1E267C72">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.8支持监狱企业发展评审要求。</w:t>
      </w:r>
    </w:p>
    <w:p w14:paraId="224A6EE5">
      <w:pPr>
        <w:pageBreakBefore w:val="0"/>
        <w:widowControl/>
        <w:kinsoku/>
        <w:overflowPunct/>
        <w:bidi w:val="0"/>
        <w:snapToGri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依据《财政部司法部关于政府采购支持监狱企业发展有关问题的通知》(财库〔2014〕68号)规定，监狱企业视同小型、</w:t>
      </w:r>
      <w:r>
        <w:rPr>
          <w:rFonts w:hint="eastAsia" w:ascii="宋体" w:hAnsi="宋体" w:eastAsia="宋体" w:cs="宋体"/>
          <w:color w:val="000000" w:themeColor="text1"/>
          <w:kern w:val="0"/>
          <w:sz w:val="24"/>
          <w:szCs w:val="24"/>
          <w14:textFill>
            <w14:solidFill>
              <w14:schemeClr w14:val="tx1"/>
            </w14:solidFill>
          </w14:textFill>
        </w:rPr>
        <w:t>微型企业，享受预留份额、评审中价格扣除等政府采购促进中小企业发展的政府采购政策。本项目</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属于监狱企业的，货物价格给6％的扣除，用扣除后的价格参与评审。</w:t>
      </w:r>
    </w:p>
    <w:p w14:paraId="49B3E7E9">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注：1.监狱企业又属于小型、微型企业的，不重复享受政策。</w:t>
      </w:r>
    </w:p>
    <w:p w14:paraId="13A785A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6F58631">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36.9采购</w:t>
      </w:r>
      <w:r>
        <w:rPr>
          <w:rFonts w:hint="eastAsia" w:ascii="宋体" w:hAnsi="宋体" w:eastAsia="宋体" w:cs="宋体"/>
          <w:kern w:val="0"/>
          <w:sz w:val="24"/>
          <w:szCs w:val="24"/>
        </w:rPr>
        <w:t>本国产品</w:t>
      </w:r>
      <w:r>
        <w:rPr>
          <w:rFonts w:hint="eastAsia" w:ascii="宋体" w:hAnsi="宋体" w:cs="宋体"/>
          <w:kern w:val="0"/>
          <w:sz w:val="24"/>
          <w:szCs w:val="24"/>
          <w:lang w:val="en-US" w:eastAsia="zh-CN"/>
        </w:rPr>
        <w:t>要求。</w:t>
      </w:r>
    </w:p>
    <w:p w14:paraId="2123D1E2">
      <w:pPr>
        <w:pageBreakBefore w:val="0"/>
        <w:widowControl/>
        <w:kinsoku/>
        <w:overflowPunct/>
        <w:bidi w:val="0"/>
        <w:snapToGrid w:val="0"/>
        <w:spacing w:line="360" w:lineRule="auto"/>
        <w:ind w:firstLine="480" w:firstLineChars="200"/>
        <w:jc w:val="left"/>
        <w:rPr>
          <w:rFonts w:hint="eastAsia"/>
          <w:lang w:val="en-US" w:eastAsia="zh-CN"/>
        </w:rPr>
      </w:pPr>
      <w:r>
        <w:rPr>
          <w:rFonts w:hint="eastAsia" w:ascii="宋体" w:hAnsi="宋体" w:eastAsia="宋体" w:cs="宋体"/>
          <w:kern w:val="0"/>
          <w:sz w:val="24"/>
          <w:szCs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bookmarkEnd w:id="81"/>
    <w:p w14:paraId="521D6127">
      <w:pPr>
        <w:widowControl/>
        <w:numPr>
          <w:ilvl w:val="0"/>
          <w:numId w:val="0"/>
        </w:numPr>
        <w:snapToGrid w:val="0"/>
        <w:spacing w:line="300" w:lineRule="auto"/>
        <w:ind w:left="2730" w:leftChars="0"/>
        <w:jc w:val="both"/>
        <w:outlineLvl w:val="1"/>
        <w:rPr>
          <w:rFonts w:hint="eastAsia"/>
          <w:b/>
          <w:bCs/>
          <w:color w:val="auto"/>
          <w:sz w:val="32"/>
          <w:szCs w:val="32"/>
          <w:lang w:val="en-US" w:eastAsia="zh-CN"/>
        </w:rPr>
      </w:pPr>
    </w:p>
    <w:p w14:paraId="09D253CF">
      <w:pPr>
        <w:pStyle w:val="14"/>
        <w:ind w:left="0" w:leftChars="0" w:firstLine="0" w:firstLineChars="0"/>
        <w:rPr>
          <w:rFonts w:hint="eastAsia"/>
          <w:b/>
          <w:bCs/>
          <w:color w:val="auto"/>
          <w:sz w:val="32"/>
          <w:szCs w:val="32"/>
          <w:lang w:val="en-US" w:eastAsia="zh-CN"/>
        </w:rPr>
      </w:pPr>
    </w:p>
    <w:p w14:paraId="11367580">
      <w:pPr>
        <w:rPr>
          <w:rFonts w:hint="eastAsia"/>
          <w:b/>
          <w:bCs/>
          <w:color w:val="auto"/>
          <w:sz w:val="32"/>
          <w:szCs w:val="32"/>
          <w:lang w:val="en-US" w:eastAsia="zh-CN"/>
        </w:rPr>
      </w:pPr>
    </w:p>
    <w:p w14:paraId="02CB6CB6">
      <w:pPr>
        <w:pStyle w:val="36"/>
        <w:rPr>
          <w:rFonts w:hint="eastAsia"/>
          <w:lang w:val="en-US" w:eastAsia="zh-CN"/>
        </w:rPr>
      </w:pPr>
    </w:p>
    <w:p w14:paraId="3400BF9C">
      <w:pPr>
        <w:rPr>
          <w:rFonts w:hint="eastAsia"/>
          <w:b/>
          <w:bCs/>
          <w:color w:val="auto"/>
          <w:sz w:val="32"/>
          <w:szCs w:val="32"/>
          <w:lang w:val="en-US" w:eastAsia="zh-CN"/>
        </w:rPr>
      </w:pPr>
    </w:p>
    <w:p w14:paraId="438182CB">
      <w:pPr>
        <w:widowControl/>
        <w:numPr>
          <w:ilvl w:val="0"/>
          <w:numId w:val="0"/>
        </w:numPr>
        <w:snapToGrid w:val="0"/>
        <w:spacing w:line="300" w:lineRule="auto"/>
        <w:ind w:firstLine="2249" w:firstLineChars="700"/>
        <w:jc w:val="both"/>
        <w:outlineLvl w:val="1"/>
        <w:rPr>
          <w:rFonts w:hint="eastAsia"/>
        </w:rPr>
      </w:pPr>
      <w:r>
        <w:rPr>
          <w:rFonts w:hint="eastAsia"/>
          <w:b/>
          <w:bCs/>
          <w:color w:val="auto"/>
          <w:sz w:val="32"/>
          <w:szCs w:val="32"/>
          <w:lang w:val="en-US" w:eastAsia="zh-CN"/>
        </w:rPr>
        <w:t xml:space="preserve">第三部分   </w:t>
      </w:r>
      <w:r>
        <w:rPr>
          <w:rFonts w:hint="eastAsia"/>
          <w:b/>
          <w:bCs/>
          <w:color w:val="auto"/>
          <w:sz w:val="32"/>
          <w:szCs w:val="32"/>
          <w:lang w:eastAsia="zh-CN"/>
        </w:rPr>
        <w:t>评标标准和评标办法</w:t>
      </w:r>
    </w:p>
    <w:p w14:paraId="78330FBE">
      <w:pPr>
        <w:widowControl/>
        <w:snapToGrid w:val="0"/>
        <w:spacing w:line="300" w:lineRule="auto"/>
        <w:outlineLvl w:val="1"/>
        <w:rPr>
          <w:rFonts w:hint="eastAsia" w:asciiTheme="minorEastAsia" w:hAnsiTheme="minorEastAsia" w:eastAsiaTheme="minorEastAsia" w:cstheme="minorEastAsia"/>
          <w:b/>
          <w:bCs/>
          <w:color w:val="auto"/>
          <w:sz w:val="24"/>
          <w:szCs w:val="24"/>
        </w:rPr>
      </w:pPr>
      <w:bookmarkStart w:id="83" w:name="_Toc27784"/>
      <w:r>
        <w:rPr>
          <w:rFonts w:hint="eastAsia" w:asciiTheme="minorEastAsia" w:hAnsiTheme="minorEastAsia" w:eastAsiaTheme="minorEastAsia" w:cstheme="minorEastAsia"/>
          <w:b/>
          <w:bCs/>
          <w:color w:val="auto"/>
          <w:sz w:val="24"/>
          <w:szCs w:val="24"/>
        </w:rPr>
        <w:t>一、磋商评审原则</w:t>
      </w:r>
      <w:bookmarkEnd w:id="83"/>
    </w:p>
    <w:p w14:paraId="0328A175">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磋商小组在评审时，依据磋商报价和各项商务技术等因素对供应商及其提供的响应文件进行综合评价，包括但不限于以下各项因素：</w:t>
      </w:r>
    </w:p>
    <w:p w14:paraId="315DD719">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磋商报价；</w:t>
      </w:r>
      <w:bookmarkStart w:id="84" w:name="_Toc19565"/>
    </w:p>
    <w:p w14:paraId="065A0926">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商务部分</w:t>
      </w:r>
      <w:r>
        <w:rPr>
          <w:rFonts w:hint="eastAsia" w:asciiTheme="minorEastAsia" w:hAnsiTheme="minorEastAsia" w:eastAsiaTheme="minorEastAsia" w:cstheme="minorEastAsia"/>
          <w:snapToGrid w:val="0"/>
          <w:kern w:val="0"/>
          <w:sz w:val="24"/>
          <w:szCs w:val="24"/>
        </w:rPr>
        <w:t>；</w:t>
      </w:r>
    </w:p>
    <w:p w14:paraId="3B24F6C4">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技术部分</w:t>
      </w:r>
      <w:r>
        <w:rPr>
          <w:rFonts w:hint="eastAsia" w:asciiTheme="minorEastAsia" w:hAnsiTheme="minorEastAsia" w:eastAsiaTheme="minorEastAsia" w:cstheme="minorEastAsia"/>
          <w:snapToGrid w:val="0"/>
          <w:kern w:val="0"/>
          <w:sz w:val="24"/>
          <w:szCs w:val="24"/>
        </w:rPr>
        <w:t>；</w:t>
      </w:r>
    </w:p>
    <w:p w14:paraId="3763D5AD">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供应商提供的其它内容和条件。</w:t>
      </w:r>
    </w:p>
    <w:p w14:paraId="6EFE3A3E">
      <w:pPr>
        <w:widowControl/>
        <w:snapToGrid w:val="0"/>
        <w:spacing w:line="300" w:lineRule="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二、磋商评审方法</w:t>
      </w:r>
      <w:bookmarkEnd w:id="84"/>
    </w:p>
    <w:p w14:paraId="226BC5FD">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磋商评审采用综合评分法。即在满足磋商文件实质性要求的前提下，按照磋商文件中规定的各项因素的量化指标进行综合评审，综合评分因素的主要因素为报价、商务和服务、技术以及对磋商文件的响应程度。每一供应商的最终得分为所有评委评分的算数平均值；按照得分最高的供应商为成交候选供应商的评审方法。综合评估法不保证报价最低的供应商成交。</w:t>
      </w:r>
    </w:p>
    <w:p w14:paraId="5CB24F6F">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1、评审的内容包括：资格性、符合性审查，商务评审，报价评审和技术评审。</w:t>
      </w:r>
    </w:p>
    <w:p w14:paraId="47FEE602">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2、磋商小组按照本办法，对响应文件进行独立打分。</w:t>
      </w:r>
    </w:p>
    <w:p w14:paraId="7F533ADB">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3、由磋商小组按照得分进行排序，确定得分排名第一名为成交供应商。若发生得分相同的情况，报价低者排名在前。</w:t>
      </w:r>
      <w:r>
        <w:rPr>
          <w:rFonts w:hint="eastAsia" w:asciiTheme="minorEastAsia" w:hAnsiTheme="minorEastAsia" w:eastAsiaTheme="minorEastAsia" w:cstheme="minorEastAsia"/>
          <w:snapToGrid w:val="0"/>
          <w:kern w:val="0"/>
          <w:sz w:val="24"/>
          <w:szCs w:val="24"/>
        </w:rPr>
        <w:t>得分且报价报价相同的，按</w:t>
      </w:r>
      <w:r>
        <w:rPr>
          <w:rFonts w:hint="eastAsia" w:asciiTheme="minorEastAsia" w:hAnsiTheme="minorEastAsia" w:eastAsiaTheme="minorEastAsia" w:cstheme="minorEastAsia"/>
          <w:snapToGrid w:val="0"/>
          <w:kern w:val="0"/>
          <w:sz w:val="24"/>
          <w:szCs w:val="24"/>
          <w:lang w:eastAsia="zh-CN"/>
        </w:rPr>
        <w:t>实施和服务</w:t>
      </w:r>
      <w:r>
        <w:rPr>
          <w:rFonts w:hint="eastAsia" w:asciiTheme="minorEastAsia" w:hAnsiTheme="minorEastAsia" w:eastAsiaTheme="minorEastAsia" w:cstheme="minorEastAsia"/>
          <w:snapToGrid w:val="0"/>
          <w:kern w:val="0"/>
          <w:sz w:val="24"/>
          <w:szCs w:val="24"/>
        </w:rPr>
        <w:t>方案优劣顺序排列</w:t>
      </w:r>
      <w:r>
        <w:rPr>
          <w:rFonts w:hint="eastAsia" w:asciiTheme="minorEastAsia" w:hAnsiTheme="minorEastAsia" w:eastAsiaTheme="minorEastAsia" w:cstheme="minorEastAsia"/>
          <w:snapToGrid w:val="0"/>
          <w:kern w:val="0"/>
          <w:sz w:val="24"/>
          <w:szCs w:val="24"/>
          <w:lang w:eastAsia="zh-CN"/>
        </w:rPr>
        <w:t>，</w:t>
      </w:r>
      <w:r>
        <w:rPr>
          <w:rFonts w:hint="eastAsia" w:asciiTheme="minorEastAsia" w:hAnsiTheme="minorEastAsia" w:eastAsiaTheme="minorEastAsia" w:cstheme="minorEastAsia"/>
          <w:color w:val="auto"/>
          <w:kern w:val="0"/>
          <w:sz w:val="24"/>
          <w:szCs w:val="24"/>
        </w:rPr>
        <w:t>如果第一名放弃成交，则由第二名成交，以此类推，如前三名全部放弃成交，则重新采购。</w:t>
      </w:r>
    </w:p>
    <w:p w14:paraId="5F8A0A64">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评分标准：</w:t>
      </w:r>
    </w:p>
    <w:p w14:paraId="39DFE12F">
      <w:pPr>
        <w:shd w:val="clear" w:color="auto" w:fill="FFFFFF"/>
        <w:autoSpaceDN w:val="0"/>
        <w:snapToGrid w:val="0"/>
        <w:spacing w:line="300" w:lineRule="auto"/>
        <w:ind w:firstLine="48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本次的评标方法采用综合评分方法，并严格按照评标方法进行综合评审，总分为1</w:t>
      </w:r>
      <w:r>
        <w:rPr>
          <w:rFonts w:hint="eastAsia" w:asciiTheme="minorEastAsia" w:hAnsiTheme="minorEastAsia" w:eastAsiaTheme="minorEastAsia" w:cstheme="minorEastAsia"/>
          <w:color w:val="auto"/>
          <w:kern w:val="0"/>
          <w:sz w:val="24"/>
          <w:szCs w:val="24"/>
          <w:lang w:val="en-US" w:eastAsia="zh-CN"/>
        </w:rPr>
        <w:t>00</w:t>
      </w:r>
      <w:r>
        <w:rPr>
          <w:rFonts w:hint="eastAsia" w:asciiTheme="minorEastAsia" w:hAnsiTheme="minorEastAsia" w:eastAsiaTheme="minorEastAsia" w:cstheme="minorEastAsia"/>
          <w:color w:val="auto"/>
          <w:kern w:val="0"/>
          <w:sz w:val="24"/>
          <w:szCs w:val="24"/>
        </w:rPr>
        <w:t>分。</w:t>
      </w:r>
    </w:p>
    <w:p w14:paraId="194B7D6D">
      <w:pPr>
        <w:adjustRightInd w:val="0"/>
        <w:snapToGrid w:val="0"/>
        <w:spacing w:line="480" w:lineRule="exact"/>
        <w:ind w:firstLine="236" w:firstLineChars="98"/>
        <w:rPr>
          <w:rFonts w:hint="eastAsia" w:asciiTheme="minorEastAsia" w:hAnsiTheme="minorEastAsia" w:eastAsiaTheme="minorEastAsia" w:cstheme="minorEastAsia"/>
          <w:b/>
          <w:color w:val="auto"/>
          <w:kern w:val="0"/>
          <w:sz w:val="24"/>
          <w:szCs w:val="24"/>
        </w:rPr>
      </w:pPr>
      <w:bookmarkStart w:id="85" w:name="_Toc17649"/>
      <w:r>
        <w:rPr>
          <w:rFonts w:hint="eastAsia" w:asciiTheme="minorEastAsia" w:hAnsiTheme="minorEastAsia" w:eastAsiaTheme="minorEastAsia" w:cstheme="minorEastAsia"/>
          <w:b/>
          <w:color w:val="auto"/>
          <w:kern w:val="0"/>
          <w:sz w:val="24"/>
          <w:szCs w:val="24"/>
        </w:rPr>
        <w:t>三、无效</w:t>
      </w:r>
      <w:r>
        <w:rPr>
          <w:rFonts w:hint="eastAsia" w:asciiTheme="minorEastAsia" w:hAnsiTheme="minorEastAsia" w:eastAsiaTheme="minorEastAsia" w:cstheme="minorEastAsia"/>
          <w:b/>
          <w:color w:val="auto"/>
          <w:kern w:val="0"/>
          <w:sz w:val="24"/>
          <w:szCs w:val="24"/>
          <w:lang w:val="en-US" w:eastAsia="zh-CN"/>
        </w:rPr>
        <w:t>磋商</w:t>
      </w:r>
      <w:r>
        <w:rPr>
          <w:rFonts w:hint="eastAsia" w:asciiTheme="minorEastAsia" w:hAnsiTheme="minorEastAsia" w:eastAsiaTheme="minorEastAsia" w:cstheme="minorEastAsia"/>
          <w:b/>
          <w:color w:val="auto"/>
          <w:kern w:val="0"/>
          <w:sz w:val="24"/>
          <w:szCs w:val="24"/>
        </w:rPr>
        <w:t>的情形</w:t>
      </w:r>
      <w:bookmarkEnd w:id="85"/>
    </w:p>
    <w:p w14:paraId="79AC9A02">
      <w:pPr>
        <w:adjustRightInd w:val="0"/>
        <w:snapToGrid w:val="0"/>
        <w:spacing w:line="480" w:lineRule="exact"/>
        <w:ind w:firstLine="600" w:firstLineChars="25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kern w:val="0"/>
          <w:sz w:val="24"/>
          <w:szCs w:val="24"/>
        </w:rPr>
        <w:t>1、应交未交</w:t>
      </w:r>
      <w:r>
        <w:rPr>
          <w:rFonts w:hint="eastAsia" w:asciiTheme="minorEastAsia" w:hAnsiTheme="minorEastAsia" w:eastAsiaTheme="minorEastAsia" w:cstheme="minorEastAsia"/>
          <w:color w:val="auto"/>
          <w:kern w:val="0"/>
          <w:sz w:val="24"/>
          <w:szCs w:val="24"/>
          <w:lang w:val="en-US" w:eastAsia="zh-CN"/>
        </w:rPr>
        <w:t>磋商</w:t>
      </w:r>
      <w:r>
        <w:rPr>
          <w:rFonts w:hint="eastAsia" w:asciiTheme="minorEastAsia" w:hAnsiTheme="minorEastAsia" w:eastAsiaTheme="minorEastAsia" w:cstheme="minorEastAsia"/>
          <w:color w:val="auto"/>
          <w:kern w:val="0"/>
          <w:sz w:val="24"/>
          <w:szCs w:val="24"/>
        </w:rPr>
        <w:t>保证金的；</w:t>
      </w:r>
    </w:p>
    <w:p w14:paraId="0FA51A98">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2、未按照磋商文件规定要求签署、盖章的；</w:t>
      </w:r>
    </w:p>
    <w:p w14:paraId="6BE98F20">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3、不具备磋商文件中规定资格要求的；</w:t>
      </w:r>
    </w:p>
    <w:p w14:paraId="2BA811EA">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4、不符合法律、法规规定和磋商文件中规定的其他实质性要求。</w:t>
      </w:r>
    </w:p>
    <w:p w14:paraId="1DA9D973">
      <w:pPr>
        <w:widowControl/>
        <w:snapToGrid w:val="0"/>
        <w:spacing w:line="300" w:lineRule="auto"/>
        <w:outlineLvl w:val="1"/>
        <w:rPr>
          <w:rFonts w:hint="eastAsia" w:asciiTheme="minorEastAsia" w:hAnsiTheme="minorEastAsia" w:eastAsiaTheme="minorEastAsia" w:cstheme="minorEastAsia"/>
          <w:b/>
          <w:bCs/>
          <w:color w:val="auto"/>
          <w:sz w:val="24"/>
          <w:szCs w:val="24"/>
        </w:rPr>
      </w:pPr>
      <w:bookmarkStart w:id="86" w:name="_Toc28357"/>
    </w:p>
    <w:p w14:paraId="1FA534C4">
      <w:pPr>
        <w:pStyle w:val="73"/>
        <w:rPr>
          <w:rFonts w:hint="eastAsia"/>
        </w:rPr>
      </w:pPr>
    </w:p>
    <w:p w14:paraId="1B1006E4">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3EAA6E5D">
      <w:pPr>
        <w:widowControl/>
        <w:snapToGrid w:val="0"/>
        <w:spacing w:line="300" w:lineRule="auto"/>
        <w:outlineLvl w:val="1"/>
        <w:rPr>
          <w:rFonts w:hint="eastAsia" w:asciiTheme="minorEastAsia" w:hAnsiTheme="minorEastAsia" w:eastAsiaTheme="minorEastAsia" w:cstheme="minorEastAsia"/>
          <w:b/>
          <w:bCs/>
          <w:color w:val="auto"/>
          <w:sz w:val="24"/>
          <w:szCs w:val="24"/>
        </w:rPr>
      </w:pPr>
    </w:p>
    <w:p w14:paraId="77F9A015">
      <w:pPr>
        <w:widowControl/>
        <w:snapToGrid w:val="0"/>
        <w:spacing w:line="300" w:lineRule="auto"/>
        <w:outlineLvl w:val="1"/>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1、资格审查</w:t>
      </w:r>
      <w:r>
        <w:rPr>
          <w:rFonts w:hint="eastAsia" w:asciiTheme="minorEastAsia" w:hAnsiTheme="minorEastAsia" w:eastAsiaTheme="minorEastAsia" w:cstheme="minorEastAsia"/>
          <w:b/>
          <w:bCs/>
          <w:color w:val="auto"/>
          <w:sz w:val="24"/>
          <w:szCs w:val="24"/>
          <w:lang w:eastAsia="zh-CN"/>
        </w:rPr>
        <w:t>表</w:t>
      </w:r>
      <w:bookmarkEnd w:id="86"/>
    </w:p>
    <w:tbl>
      <w:tblPr>
        <w:tblStyle w:val="56"/>
        <w:tblW w:w="9446" w:type="dxa"/>
        <w:jc w:val="center"/>
        <w:tblLayout w:type="autofit"/>
        <w:tblCellMar>
          <w:top w:w="0" w:type="dxa"/>
          <w:left w:w="108" w:type="dxa"/>
          <w:bottom w:w="0" w:type="dxa"/>
          <w:right w:w="108" w:type="dxa"/>
        </w:tblCellMar>
      </w:tblPr>
      <w:tblGrid>
        <w:gridCol w:w="749"/>
        <w:gridCol w:w="3414"/>
        <w:gridCol w:w="5283"/>
      </w:tblGrid>
      <w:tr w14:paraId="6E4E25DF">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7659772">
            <w:pPr>
              <w:widowControl/>
              <w:ind w:left="7" w:hanging="7" w:hangingChars="3"/>
              <w:jc w:val="center"/>
              <w:rPr>
                <w:rFonts w:asciiTheme="minorEastAsia" w:hAnsiTheme="minorEastAsia" w:eastAsiaTheme="minorEastAsia" w:cstheme="minorEastAsia"/>
                <w:sz w:val="24"/>
              </w:rPr>
            </w:pPr>
            <w:bookmarkStart w:id="87" w:name="_Toc16281"/>
            <w:r>
              <w:rPr>
                <w:rFonts w:hint="eastAsia" w:asciiTheme="minorEastAsia" w:hAnsiTheme="minorEastAsia" w:eastAsiaTheme="minorEastAsia" w:cstheme="minorEastAsia"/>
                <w:sz w:val="24"/>
              </w:rPr>
              <w:t>序号</w:t>
            </w:r>
          </w:p>
        </w:tc>
        <w:tc>
          <w:tcPr>
            <w:tcW w:w="3414" w:type="dxa"/>
            <w:tcBorders>
              <w:top w:val="single" w:color="auto" w:sz="4" w:space="0"/>
              <w:left w:val="single" w:color="auto" w:sz="4" w:space="0"/>
              <w:bottom w:val="single" w:color="auto" w:sz="4" w:space="0"/>
              <w:right w:val="single" w:color="auto" w:sz="4" w:space="0"/>
            </w:tcBorders>
            <w:vAlign w:val="center"/>
          </w:tcPr>
          <w:p w14:paraId="2E0D766B">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评审因素</w:t>
            </w:r>
          </w:p>
        </w:tc>
        <w:tc>
          <w:tcPr>
            <w:tcW w:w="5283" w:type="dxa"/>
            <w:tcBorders>
              <w:top w:val="single" w:color="auto" w:sz="4" w:space="0"/>
              <w:left w:val="single" w:color="auto" w:sz="4" w:space="0"/>
              <w:bottom w:val="single" w:color="auto" w:sz="4" w:space="0"/>
              <w:right w:val="single" w:color="auto" w:sz="4" w:space="0"/>
            </w:tcBorders>
            <w:vAlign w:val="center"/>
          </w:tcPr>
          <w:p w14:paraId="787F45A7">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标准</w:t>
            </w:r>
          </w:p>
        </w:tc>
      </w:tr>
      <w:tr w14:paraId="023FD70A">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4094768">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414" w:type="dxa"/>
            <w:tcBorders>
              <w:top w:val="single" w:color="auto" w:sz="4" w:space="0"/>
              <w:left w:val="single" w:color="auto" w:sz="4" w:space="0"/>
              <w:bottom w:val="single" w:color="auto" w:sz="4" w:space="0"/>
              <w:right w:val="single" w:color="auto" w:sz="4" w:space="0"/>
            </w:tcBorders>
            <w:vAlign w:val="center"/>
          </w:tcPr>
          <w:p w14:paraId="1CE925A0">
            <w:pPr>
              <w:widowControl/>
              <w:snapToGrid w:val="0"/>
              <w:spacing w:line="360" w:lineRule="auto"/>
              <w:jc w:val="center"/>
              <w:rPr>
                <w:rFonts w:asciiTheme="minorEastAsia" w:hAnsiTheme="minorEastAsia" w:eastAsiaTheme="minorEastAsia" w:cstheme="minorEastAsia"/>
                <w:sz w:val="24"/>
              </w:rPr>
            </w:pPr>
            <w:r>
              <w:rPr>
                <w:rFonts w:hint="eastAsia" w:ascii="宋体" w:hAnsi="宋体" w:cs="宋体"/>
                <w:kern w:val="0"/>
                <w:sz w:val="24"/>
              </w:rPr>
              <w:t>具有独立承担民事责任的能力</w:t>
            </w:r>
          </w:p>
        </w:tc>
        <w:tc>
          <w:tcPr>
            <w:tcW w:w="5283" w:type="dxa"/>
            <w:tcBorders>
              <w:top w:val="single" w:color="auto" w:sz="4" w:space="0"/>
              <w:left w:val="single" w:color="auto" w:sz="4" w:space="0"/>
              <w:bottom w:val="single" w:color="auto" w:sz="4" w:space="0"/>
              <w:right w:val="single" w:color="auto" w:sz="4" w:space="0"/>
            </w:tcBorders>
            <w:vAlign w:val="center"/>
          </w:tcPr>
          <w:p w14:paraId="5E3E910A">
            <w:pPr>
              <w:widowControl/>
              <w:snapToGrid w:val="0"/>
              <w:spacing w:line="360" w:lineRule="auto"/>
              <w:jc w:val="left"/>
              <w:rPr>
                <w:rFonts w:hint="eastAsia" w:ascii="宋体" w:hAnsi="宋体" w:cs="宋体"/>
                <w:kern w:val="0"/>
                <w:sz w:val="24"/>
                <w:highlight w:val="none"/>
                <w:lang w:eastAsia="zh-CN"/>
              </w:rPr>
            </w:pPr>
            <w:r>
              <w:rPr>
                <w:rFonts w:hint="eastAsia" w:ascii="宋体" w:hAnsi="宋体" w:cs="宋体"/>
                <w:kern w:val="0"/>
                <w:sz w:val="24"/>
                <w:highlight w:val="none"/>
                <w:lang w:eastAsia="zh-CN"/>
              </w:rPr>
              <w:t>提供供应商信用承诺书。</w:t>
            </w:r>
          </w:p>
          <w:p w14:paraId="7408DD99">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宋体" w:hAnsi="宋体" w:cs="宋体"/>
                <w:kern w:val="0"/>
                <w:sz w:val="24"/>
                <w:highlight w:val="none"/>
                <w:lang w:eastAsia="zh-CN"/>
              </w:rPr>
              <w:t>以上证明材料须符合要求、有效、完整。否则，响应无效。</w:t>
            </w:r>
          </w:p>
        </w:tc>
      </w:tr>
      <w:tr w14:paraId="0E68F385">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40C2B7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414" w:type="dxa"/>
            <w:tcBorders>
              <w:top w:val="single" w:color="auto" w:sz="4" w:space="0"/>
              <w:left w:val="single" w:color="auto" w:sz="4" w:space="0"/>
              <w:bottom w:val="single" w:color="auto" w:sz="4" w:space="0"/>
              <w:right w:val="single" w:color="auto" w:sz="4" w:space="0"/>
            </w:tcBorders>
            <w:vAlign w:val="center"/>
          </w:tcPr>
          <w:p w14:paraId="5B2A7D3D">
            <w:pPr>
              <w:widowControl/>
              <w:snapToGrid w:val="0"/>
              <w:spacing w:line="360" w:lineRule="auto"/>
              <w:jc w:val="center"/>
              <w:rPr>
                <w:rFonts w:asciiTheme="minorEastAsia" w:hAnsiTheme="minorEastAsia" w:eastAsiaTheme="minorEastAsia" w:cstheme="minorEastAsia"/>
                <w:b/>
                <w:bCs/>
                <w:sz w:val="24"/>
              </w:rPr>
            </w:pPr>
            <w:r>
              <w:rPr>
                <w:rFonts w:hint="eastAsia" w:ascii="宋体" w:hAnsi="宋体" w:cs="宋体"/>
                <w:kern w:val="0"/>
                <w:sz w:val="24"/>
              </w:rPr>
              <w:t>具有良好的商业信誉和健全的财务会计制度</w:t>
            </w:r>
          </w:p>
        </w:tc>
        <w:tc>
          <w:tcPr>
            <w:tcW w:w="5283" w:type="dxa"/>
            <w:tcBorders>
              <w:top w:val="single" w:color="auto" w:sz="4" w:space="0"/>
              <w:left w:val="single" w:color="auto" w:sz="4" w:space="0"/>
              <w:bottom w:val="single" w:color="auto" w:sz="4" w:space="0"/>
              <w:right w:val="single" w:color="auto" w:sz="4" w:space="0"/>
            </w:tcBorders>
            <w:vAlign w:val="center"/>
          </w:tcPr>
          <w:p w14:paraId="384C4E62">
            <w:pPr>
              <w:widowControl/>
              <w:snapToGrid w:val="0"/>
              <w:spacing w:line="360" w:lineRule="auto"/>
              <w:jc w:val="lef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提供供应商信用承诺书。</w:t>
            </w:r>
          </w:p>
          <w:p w14:paraId="692979EF">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宋体" w:hAnsi="宋体" w:cs="宋体"/>
                <w:color w:val="000000"/>
                <w:sz w:val="24"/>
                <w:highlight w:val="none"/>
                <w:lang w:eastAsia="zh-CN"/>
              </w:rPr>
              <w:t>以上证明材料须符合要求、有效、完整。否则，响应无效。</w:t>
            </w:r>
          </w:p>
        </w:tc>
      </w:tr>
      <w:tr w14:paraId="03D405EF">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3A4C7B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414" w:type="dxa"/>
            <w:tcBorders>
              <w:top w:val="single" w:color="auto" w:sz="4" w:space="0"/>
              <w:left w:val="single" w:color="auto" w:sz="4" w:space="0"/>
              <w:bottom w:val="single" w:color="auto" w:sz="4" w:space="0"/>
              <w:right w:val="single" w:color="auto" w:sz="4" w:space="0"/>
            </w:tcBorders>
            <w:vAlign w:val="center"/>
          </w:tcPr>
          <w:p w14:paraId="48C83E78">
            <w:pPr>
              <w:widowControl/>
              <w:snapToGrid w:val="0"/>
              <w:spacing w:line="360" w:lineRule="auto"/>
              <w:jc w:val="center"/>
              <w:rPr>
                <w:rFonts w:hint="eastAsia" w:ascii="宋体" w:hAnsi="宋体" w:cs="宋体"/>
                <w:kern w:val="0"/>
                <w:sz w:val="24"/>
                <w:lang w:eastAsia="zh-CN"/>
              </w:rPr>
            </w:pPr>
            <w:r>
              <w:rPr>
                <w:rFonts w:hint="eastAsia" w:ascii="宋体" w:hAnsi="宋体" w:cs="宋体"/>
                <w:kern w:val="0"/>
                <w:sz w:val="24"/>
                <w:lang w:eastAsia="zh-CN"/>
              </w:rPr>
              <w:t>有依法缴纳税收和社会保障资金的良好记录</w:t>
            </w:r>
          </w:p>
        </w:tc>
        <w:tc>
          <w:tcPr>
            <w:tcW w:w="5283" w:type="dxa"/>
            <w:tcBorders>
              <w:top w:val="single" w:color="auto" w:sz="4" w:space="0"/>
              <w:left w:val="single" w:color="auto" w:sz="4" w:space="0"/>
              <w:bottom w:val="single" w:color="auto" w:sz="4" w:space="0"/>
              <w:right w:val="single" w:color="auto" w:sz="4" w:space="0"/>
            </w:tcBorders>
            <w:vAlign w:val="center"/>
          </w:tcPr>
          <w:p w14:paraId="439C8069">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3CCE8BD7">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627A09A3">
        <w:tblPrEx>
          <w:tblCellMar>
            <w:top w:w="0" w:type="dxa"/>
            <w:left w:w="108" w:type="dxa"/>
            <w:bottom w:w="0" w:type="dxa"/>
            <w:right w:w="108" w:type="dxa"/>
          </w:tblCellMar>
        </w:tblPrEx>
        <w:trPr>
          <w:trHeight w:val="8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8DCC483">
            <w:pPr>
              <w:widowControl/>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p>
        </w:tc>
        <w:tc>
          <w:tcPr>
            <w:tcW w:w="3414" w:type="dxa"/>
            <w:tcBorders>
              <w:top w:val="single" w:color="auto" w:sz="4" w:space="0"/>
              <w:left w:val="single" w:color="auto" w:sz="4" w:space="0"/>
              <w:bottom w:val="single" w:color="auto" w:sz="4" w:space="0"/>
              <w:right w:val="single" w:color="auto" w:sz="4" w:space="0"/>
            </w:tcBorders>
            <w:vAlign w:val="center"/>
          </w:tcPr>
          <w:p w14:paraId="5F7E8F66">
            <w:pPr>
              <w:widowControl/>
              <w:snapToGrid w:val="0"/>
              <w:spacing w:line="360" w:lineRule="auto"/>
              <w:jc w:val="center"/>
              <w:rPr>
                <w:rFonts w:hint="eastAsia" w:ascii="宋体" w:hAnsi="宋体" w:cs="宋体"/>
                <w:kern w:val="0"/>
                <w:sz w:val="24"/>
                <w:lang w:eastAsia="zh-CN"/>
              </w:rPr>
            </w:pPr>
            <w:r>
              <w:rPr>
                <w:rFonts w:hint="eastAsia" w:ascii="宋体" w:hAnsi="宋体" w:cs="宋体"/>
                <w:kern w:val="0"/>
                <w:sz w:val="24"/>
                <w:lang w:eastAsia="zh-CN"/>
              </w:rPr>
              <w:t>具有履行合同所必需的设备和专业技术能力</w:t>
            </w:r>
          </w:p>
        </w:tc>
        <w:tc>
          <w:tcPr>
            <w:tcW w:w="5283" w:type="dxa"/>
            <w:tcBorders>
              <w:top w:val="single" w:color="auto" w:sz="4" w:space="0"/>
              <w:left w:val="single" w:color="auto" w:sz="4" w:space="0"/>
              <w:bottom w:val="single" w:color="auto" w:sz="4" w:space="0"/>
              <w:right w:val="single" w:color="auto" w:sz="4" w:space="0"/>
            </w:tcBorders>
            <w:vAlign w:val="center"/>
          </w:tcPr>
          <w:p w14:paraId="7820744F">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4153146B">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18F4AF1A">
        <w:tblPrEx>
          <w:tblCellMar>
            <w:top w:w="0" w:type="dxa"/>
            <w:left w:w="108" w:type="dxa"/>
            <w:bottom w:w="0" w:type="dxa"/>
            <w:right w:w="108" w:type="dxa"/>
          </w:tblCellMar>
        </w:tblPrEx>
        <w:trPr>
          <w:trHeight w:val="8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8B00F99">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3414" w:type="dxa"/>
            <w:tcBorders>
              <w:top w:val="single" w:color="auto" w:sz="4" w:space="0"/>
              <w:left w:val="single" w:color="auto" w:sz="4" w:space="0"/>
              <w:bottom w:val="single" w:color="auto" w:sz="4" w:space="0"/>
              <w:right w:val="single" w:color="auto" w:sz="4" w:space="0"/>
            </w:tcBorders>
            <w:vAlign w:val="center"/>
          </w:tcPr>
          <w:p w14:paraId="3A9524FB">
            <w:pPr>
              <w:widowControl/>
              <w:snapToGrid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4"/>
              </w:rPr>
              <w:t>参加本次政府采购活动前三年内，在经营活动中没有重大违法记录</w:t>
            </w:r>
          </w:p>
        </w:tc>
        <w:tc>
          <w:tcPr>
            <w:tcW w:w="5283" w:type="dxa"/>
            <w:tcBorders>
              <w:top w:val="single" w:color="auto" w:sz="4" w:space="0"/>
              <w:left w:val="single" w:color="auto" w:sz="4" w:space="0"/>
              <w:bottom w:val="single" w:color="auto" w:sz="4" w:space="0"/>
              <w:right w:val="single" w:color="auto" w:sz="4" w:space="0"/>
            </w:tcBorders>
            <w:vAlign w:val="center"/>
          </w:tcPr>
          <w:p w14:paraId="6CFE3627">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7D19887C">
            <w:pPr>
              <w:widowControl/>
              <w:snapToGrid w:val="0"/>
              <w:spacing w:line="360" w:lineRule="auto"/>
              <w:jc w:val="left"/>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2D12A622">
        <w:tblPrEx>
          <w:tblCellMar>
            <w:top w:w="0" w:type="dxa"/>
            <w:left w:w="108" w:type="dxa"/>
            <w:bottom w:w="0" w:type="dxa"/>
            <w:right w:w="108" w:type="dxa"/>
          </w:tblCellMar>
        </w:tblPrEx>
        <w:trPr>
          <w:trHeight w:val="567" w:hRule="atLeast"/>
          <w:jc w:val="center"/>
        </w:trPr>
        <w:tc>
          <w:tcPr>
            <w:tcW w:w="749" w:type="dxa"/>
            <w:tcBorders>
              <w:top w:val="nil"/>
              <w:left w:val="single" w:color="auto" w:sz="4" w:space="0"/>
              <w:bottom w:val="single" w:color="auto" w:sz="4" w:space="0"/>
              <w:right w:val="single" w:color="auto" w:sz="4" w:space="0"/>
            </w:tcBorders>
            <w:vAlign w:val="center"/>
          </w:tcPr>
          <w:p w14:paraId="4379A37F">
            <w:pPr>
              <w:widowControl/>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3414" w:type="dxa"/>
            <w:tcBorders>
              <w:top w:val="single" w:color="auto" w:sz="4" w:space="0"/>
              <w:left w:val="single" w:color="auto" w:sz="4" w:space="0"/>
              <w:bottom w:val="single" w:color="auto" w:sz="4" w:space="0"/>
              <w:right w:val="single" w:color="auto" w:sz="4" w:space="0"/>
            </w:tcBorders>
            <w:vAlign w:val="center"/>
          </w:tcPr>
          <w:p w14:paraId="30F5271B">
            <w:pPr>
              <w:widowControl/>
              <w:snapToGrid w:val="0"/>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中小企业声明函</w:t>
            </w:r>
          </w:p>
        </w:tc>
        <w:tc>
          <w:tcPr>
            <w:tcW w:w="5283" w:type="dxa"/>
            <w:tcBorders>
              <w:top w:val="nil"/>
              <w:left w:val="single" w:color="auto" w:sz="4" w:space="0"/>
              <w:bottom w:val="single" w:color="auto" w:sz="4" w:space="0"/>
              <w:right w:val="single" w:color="auto" w:sz="4" w:space="0"/>
            </w:tcBorders>
            <w:vAlign w:val="center"/>
          </w:tcPr>
          <w:p w14:paraId="4CF48885">
            <w:pPr>
              <w:pStyle w:val="73"/>
              <w:ind w:firstLine="0"/>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bidi="ar-SA"/>
              </w:rPr>
              <w:t>请根据要求单独上传《中小企业声明函》，格式以采购文件要求为准</w:t>
            </w:r>
          </w:p>
        </w:tc>
      </w:tr>
      <w:tr w14:paraId="4E3102F7">
        <w:tblPrEx>
          <w:tblCellMar>
            <w:top w:w="0" w:type="dxa"/>
            <w:left w:w="108" w:type="dxa"/>
            <w:bottom w:w="0" w:type="dxa"/>
            <w:right w:w="108" w:type="dxa"/>
          </w:tblCellMar>
        </w:tblPrEx>
        <w:trPr>
          <w:trHeight w:val="567" w:hRule="atLeast"/>
          <w:jc w:val="center"/>
        </w:trPr>
        <w:tc>
          <w:tcPr>
            <w:tcW w:w="749" w:type="dxa"/>
            <w:tcBorders>
              <w:top w:val="nil"/>
              <w:left w:val="single" w:color="auto" w:sz="4" w:space="0"/>
              <w:bottom w:val="single" w:color="auto" w:sz="4" w:space="0"/>
              <w:right w:val="single" w:color="auto" w:sz="4" w:space="0"/>
            </w:tcBorders>
            <w:vAlign w:val="center"/>
          </w:tcPr>
          <w:p w14:paraId="61A443BB">
            <w:pPr>
              <w:widowControl/>
              <w:snapToGrid w:val="0"/>
              <w:spacing w:line="360" w:lineRule="auto"/>
              <w:jc w:val="center"/>
              <w:rPr>
                <w:rFonts w:hint="eastAsia" w:asciiTheme="minorEastAsia" w:hAnsiTheme="minorEastAsia" w:eastAsiaTheme="minorEastAsia" w:cstheme="minorEastAsia"/>
                <w:sz w:val="24"/>
                <w:lang w:val="en-US" w:eastAsia="zh-CN"/>
              </w:rPr>
            </w:pPr>
          </w:p>
        </w:tc>
        <w:tc>
          <w:tcPr>
            <w:tcW w:w="8697" w:type="dxa"/>
            <w:gridSpan w:val="2"/>
            <w:tcBorders>
              <w:top w:val="nil"/>
              <w:left w:val="single" w:color="auto" w:sz="4" w:space="0"/>
              <w:bottom w:val="single" w:color="auto" w:sz="4" w:space="0"/>
              <w:right w:val="single" w:color="auto" w:sz="4" w:space="0"/>
            </w:tcBorders>
            <w:vAlign w:val="center"/>
          </w:tcPr>
          <w:p w14:paraId="0C9B471D">
            <w:pPr>
              <w:widowControl/>
              <w:snapToGrid w:val="0"/>
              <w:spacing w:line="360" w:lineRule="auto"/>
              <w:jc w:val="left"/>
              <w:rPr>
                <w:rFonts w:asciiTheme="minorEastAsia" w:hAnsiTheme="minorEastAsia" w:eastAsiaTheme="minorEastAsia" w:cstheme="minorEastAsia"/>
                <w:color w:val="000000"/>
                <w:sz w:val="24"/>
              </w:rPr>
            </w:pPr>
            <w:r>
              <w:rPr>
                <w:rFonts w:hint="eastAsia" w:ascii="宋体" w:hAnsi="宋体" w:cs="宋体"/>
                <w:kern w:val="0"/>
                <w:sz w:val="24"/>
              </w:rPr>
              <w:t>单位负责人为同一人或者存在直接控股、管理关系的不同供应商，不得参加同一合同项下的政府采购活动</w:t>
            </w:r>
          </w:p>
        </w:tc>
      </w:tr>
      <w:tr w14:paraId="20BCE308">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F40B99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c>
          <w:tcPr>
            <w:tcW w:w="8697" w:type="dxa"/>
            <w:gridSpan w:val="2"/>
            <w:tcBorders>
              <w:top w:val="single" w:color="auto" w:sz="4" w:space="0"/>
              <w:left w:val="single" w:color="auto" w:sz="4" w:space="0"/>
              <w:bottom w:val="single" w:color="auto" w:sz="4" w:space="0"/>
              <w:right w:val="single" w:color="auto" w:sz="4" w:space="0"/>
            </w:tcBorders>
            <w:vAlign w:val="center"/>
          </w:tcPr>
          <w:p w14:paraId="44C66F63">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1、提供的复印件不清晰、无法辨认的，后</w:t>
            </w:r>
            <w:r>
              <w:rPr>
                <w:rFonts w:asciiTheme="minorEastAsia" w:hAnsiTheme="minorEastAsia" w:eastAsiaTheme="minorEastAsia" w:cstheme="minorEastAsia"/>
                <w:sz w:val="24"/>
              </w:rPr>
              <w:t>果由供应商自行承担</w:t>
            </w:r>
            <w:r>
              <w:rPr>
                <w:rFonts w:hint="eastAsia" w:asciiTheme="minorEastAsia" w:hAnsiTheme="minorEastAsia" w:eastAsiaTheme="minorEastAsia" w:cstheme="minorEastAsia"/>
                <w:sz w:val="24"/>
              </w:rPr>
              <w:t>。</w:t>
            </w:r>
          </w:p>
          <w:p w14:paraId="78EF073F">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2、提供的内容不符合规定，该项内容视为无效。</w:t>
            </w:r>
          </w:p>
          <w:p w14:paraId="3EFF19E7">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3、资格审查内容若有一项未提供或达不到检查标准，将导致其磋商无效，且不允许在磋商截止时间后补正。</w:t>
            </w:r>
          </w:p>
          <w:p w14:paraId="3A2415DB">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4、上述表中所列内容如与本项目所属行业的相关规定有不符之处，以行业相关规定为准。</w:t>
            </w:r>
          </w:p>
        </w:tc>
      </w:tr>
    </w:tbl>
    <w:p w14:paraId="7F44A253">
      <w:pPr>
        <w:shd w:val="clear" w:color="auto" w:fill="FFFFFF"/>
        <w:autoSpaceDN w:val="0"/>
        <w:snapToGrid w:val="0"/>
        <w:spacing w:line="300" w:lineRule="auto"/>
        <w:jc w:val="both"/>
        <w:rPr>
          <w:rFonts w:hint="eastAsia" w:asciiTheme="minorEastAsia" w:hAnsiTheme="minorEastAsia" w:eastAsiaTheme="minorEastAsia" w:cstheme="minorEastAsia"/>
          <w:b/>
          <w:bCs/>
          <w:color w:val="auto"/>
          <w:sz w:val="24"/>
          <w:szCs w:val="24"/>
          <w:lang w:val="en-US" w:eastAsia="zh-CN"/>
        </w:rPr>
      </w:pPr>
    </w:p>
    <w:p w14:paraId="3DC81A51">
      <w:p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br w:type="page"/>
      </w:r>
    </w:p>
    <w:p w14:paraId="2E4A16BC">
      <w:pPr>
        <w:shd w:val="clear" w:color="auto" w:fill="FFFFFF"/>
        <w:autoSpaceDN w:val="0"/>
        <w:snapToGrid w:val="0"/>
        <w:spacing w:line="30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、符合性审查表</w:t>
      </w:r>
      <w:bookmarkEnd w:id="87"/>
    </w:p>
    <w:tbl>
      <w:tblPr>
        <w:tblStyle w:val="56"/>
        <w:tblW w:w="948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240"/>
        <w:gridCol w:w="4460"/>
      </w:tblGrid>
      <w:tr w14:paraId="3765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top"/>
          </w:tcPr>
          <w:p w14:paraId="55A44BDB">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4240" w:type="dxa"/>
            <w:tcBorders>
              <w:top w:val="single" w:color="auto" w:sz="4" w:space="0"/>
              <w:left w:val="single" w:color="auto" w:sz="4" w:space="0"/>
              <w:bottom w:val="single" w:color="auto" w:sz="4" w:space="0"/>
              <w:right w:val="single" w:color="auto" w:sz="4" w:space="0"/>
            </w:tcBorders>
            <w:noWrap w:val="0"/>
            <w:vAlign w:val="top"/>
          </w:tcPr>
          <w:p w14:paraId="5211D466">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w:t>
            </w:r>
          </w:p>
        </w:tc>
        <w:tc>
          <w:tcPr>
            <w:tcW w:w="4460" w:type="dxa"/>
            <w:tcBorders>
              <w:top w:val="single" w:color="auto" w:sz="4" w:space="0"/>
              <w:left w:val="single" w:color="auto" w:sz="4" w:space="0"/>
              <w:bottom w:val="single" w:color="auto" w:sz="4" w:space="0"/>
              <w:right w:val="single" w:color="auto" w:sz="4" w:space="0"/>
            </w:tcBorders>
            <w:noWrap w:val="0"/>
            <w:vAlign w:val="top"/>
          </w:tcPr>
          <w:p w14:paraId="3397A594">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标准</w:t>
            </w:r>
          </w:p>
        </w:tc>
      </w:tr>
      <w:tr w14:paraId="024A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FAB0165">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76BA3B8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6A91B9F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75C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AA35551">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17F08AF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lang w:eastAsia="zh-CN"/>
              </w:rPr>
              <w:t>响应文件的签署、盖章</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2B65511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3E5E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757EA41">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07B12383">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磋商保证金凭证</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7BC8246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1F6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C7A0920">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4D6D467E">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val="en-US" w:eastAsia="zh-CN"/>
              </w:rPr>
              <w:t>合同履行期限</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2741AEA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6DDD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13D2502">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1E1EAA49">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eastAsia="zh-CN"/>
              </w:rPr>
              <w:t>质量标准</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7C40323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94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0618FE9">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20EC11AD">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eastAsia="zh-CN"/>
              </w:rPr>
              <w:t>磋商报价</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3DFB3B3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AC0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5A1C7CA">
            <w:pPr>
              <w:adjustRightInd w:val="0"/>
              <w:snapToGrid w:val="0"/>
              <w:spacing w:line="48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25BE382F">
            <w:pPr>
              <w:adjustRightInd w:val="0"/>
              <w:snapToGrid w:val="0"/>
              <w:spacing w:line="48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磋商文件中规定的其他实质性要求等</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4367BC1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bl>
    <w:p w14:paraId="2AEFF994">
      <w:pPr>
        <w:adjustRightInd w:val="0"/>
        <w:snapToGrid w:val="0"/>
        <w:spacing w:line="480" w:lineRule="exact"/>
        <w:ind w:left="945" w:hanging="1080" w:hangingChars="4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说明：1、符合性检查的内容，经</w:t>
      </w:r>
      <w:r>
        <w:rPr>
          <w:rFonts w:hint="eastAsia" w:asciiTheme="minorEastAsia" w:hAnsiTheme="minorEastAsia" w:eastAsiaTheme="minorEastAsia" w:cstheme="minorEastAsia"/>
          <w:color w:val="auto"/>
          <w:kern w:val="0"/>
          <w:sz w:val="24"/>
          <w:szCs w:val="24"/>
          <w:lang w:val="en-US" w:eastAsia="zh-CN"/>
        </w:rPr>
        <w:t>磋商小组</w:t>
      </w:r>
      <w:r>
        <w:rPr>
          <w:rFonts w:hint="eastAsia" w:asciiTheme="minorEastAsia" w:hAnsiTheme="minorEastAsia" w:eastAsiaTheme="minorEastAsia" w:cstheme="minorEastAsia"/>
          <w:color w:val="auto"/>
          <w:kern w:val="0"/>
          <w:sz w:val="24"/>
          <w:szCs w:val="24"/>
        </w:rPr>
        <w:t>认定的存在重大偏离或保留，将导致</w:t>
      </w:r>
      <w:r>
        <w:rPr>
          <w:rFonts w:hint="eastAsia" w:asciiTheme="minorEastAsia" w:hAnsiTheme="minorEastAsia" w:eastAsiaTheme="minorEastAsia" w:cstheme="minorEastAsia"/>
          <w:color w:val="auto"/>
          <w:kern w:val="0"/>
          <w:sz w:val="24"/>
          <w:szCs w:val="24"/>
          <w:lang w:val="en-US" w:eastAsia="zh-CN"/>
        </w:rPr>
        <w:t>磋商</w:t>
      </w:r>
      <w:r>
        <w:rPr>
          <w:rFonts w:hint="eastAsia" w:asciiTheme="minorEastAsia" w:hAnsiTheme="minorEastAsia" w:eastAsiaTheme="minorEastAsia" w:cstheme="minorEastAsia"/>
          <w:color w:val="auto"/>
          <w:kern w:val="0"/>
          <w:sz w:val="24"/>
          <w:szCs w:val="24"/>
        </w:rPr>
        <w:t>无</w:t>
      </w:r>
    </w:p>
    <w:p w14:paraId="25ED42E0">
      <w:pPr>
        <w:adjustRightInd w:val="0"/>
        <w:snapToGrid w:val="0"/>
        <w:spacing w:line="4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效。</w:t>
      </w:r>
    </w:p>
    <w:p w14:paraId="2F8D9089">
      <w:pPr>
        <w:numPr>
          <w:ilvl w:val="0"/>
          <w:numId w:val="5"/>
        </w:numPr>
        <w:adjustRightInd w:val="0"/>
        <w:snapToGrid w:val="0"/>
        <w:spacing w:line="480" w:lineRule="exact"/>
        <w:ind w:leftChars="150"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审查时，对特殊情况的处理</w:t>
      </w:r>
      <w:r>
        <w:rPr>
          <w:rFonts w:hint="eastAsia" w:asciiTheme="minorEastAsia" w:hAnsiTheme="minorEastAsia" w:eastAsiaTheme="minorEastAsia" w:cstheme="minorEastAsia"/>
          <w:color w:val="auto"/>
          <w:kern w:val="0"/>
          <w:sz w:val="24"/>
          <w:szCs w:val="24"/>
          <w:lang w:val="en-US" w:eastAsia="zh-CN"/>
        </w:rPr>
        <w:t>磋商小组</w:t>
      </w:r>
      <w:r>
        <w:rPr>
          <w:rFonts w:hint="eastAsia" w:asciiTheme="minorEastAsia" w:hAnsiTheme="minorEastAsia" w:eastAsiaTheme="minorEastAsia" w:cstheme="minorEastAsia"/>
          <w:color w:val="auto"/>
          <w:kern w:val="0"/>
          <w:sz w:val="24"/>
          <w:szCs w:val="24"/>
        </w:rPr>
        <w:t>要遵循竞争性磋商文件第三部分供应商</w:t>
      </w:r>
    </w:p>
    <w:p w14:paraId="77F848AB">
      <w:pPr>
        <w:numPr>
          <w:ilvl w:val="0"/>
          <w:numId w:val="0"/>
        </w:numPr>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rPr>
        <w:t>须知第</w:t>
      </w:r>
      <w:r>
        <w:rPr>
          <w:rFonts w:hint="eastAsia" w:asciiTheme="minorEastAsia" w:hAnsiTheme="minorEastAsia" w:eastAsiaTheme="minorEastAsia" w:cstheme="minorEastAsia"/>
          <w:color w:val="auto"/>
          <w:kern w:val="0"/>
          <w:sz w:val="24"/>
          <w:szCs w:val="24"/>
          <w:lang w:val="en-US" w:eastAsia="zh-CN"/>
        </w:rPr>
        <w:t>19.4</w:t>
      </w:r>
      <w:r>
        <w:rPr>
          <w:rFonts w:hint="eastAsia" w:asciiTheme="minorEastAsia" w:hAnsiTheme="minorEastAsia" w:eastAsiaTheme="minorEastAsia" w:cstheme="minorEastAsia"/>
          <w:color w:val="auto"/>
          <w:kern w:val="0"/>
          <w:sz w:val="24"/>
          <w:szCs w:val="24"/>
        </w:rPr>
        <w:t>条规定的原则。</w:t>
      </w:r>
    </w:p>
    <w:p w14:paraId="4FC5C82E">
      <w:pPr>
        <w:widowControl/>
        <w:snapToGrid w:val="0"/>
        <w:spacing w:line="300" w:lineRule="auto"/>
        <w:outlineLvl w:val="1"/>
        <w:rPr>
          <w:rFonts w:hint="eastAsia" w:asciiTheme="minorEastAsia" w:hAnsiTheme="minorEastAsia" w:eastAsiaTheme="minorEastAsia" w:cstheme="minorEastAsia"/>
          <w:b/>
          <w:bCs/>
          <w:color w:val="auto"/>
          <w:sz w:val="24"/>
          <w:szCs w:val="24"/>
          <w:lang w:val="en-US" w:eastAsia="zh-CN"/>
        </w:rPr>
      </w:pPr>
    </w:p>
    <w:p w14:paraId="036D3831">
      <w:pPr>
        <w:widowControl/>
        <w:snapToGrid w:val="0"/>
        <w:spacing w:line="300" w:lineRule="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评分细则</w:t>
      </w:r>
    </w:p>
    <w:tbl>
      <w:tblPr>
        <w:tblStyle w:val="391"/>
        <w:tblW w:w="9647" w:type="dxa"/>
        <w:tblInd w:w="-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82"/>
        <w:gridCol w:w="1165"/>
      </w:tblGrid>
      <w:tr w14:paraId="3E18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482" w:type="dxa"/>
            <w:tcBorders>
              <w:top w:val="single" w:color="000000" w:sz="2" w:space="0"/>
              <w:bottom w:val="single" w:color="000000" w:sz="2" w:space="0"/>
              <w:right w:val="single" w:color="000000" w:sz="8" w:space="0"/>
            </w:tcBorders>
            <w:vAlign w:val="center"/>
          </w:tcPr>
          <w:p w14:paraId="57A66B94">
            <w:pPr>
              <w:pStyle w:val="397"/>
              <w:spacing w:before="68" w:line="220" w:lineRule="auto"/>
              <w:jc w:val="center"/>
              <w:rPr>
                <w:rFonts w:hint="eastAsia" w:ascii="宋体" w:hAnsi="宋体" w:eastAsia="宋体" w:cs="宋体"/>
                <w:b w:val="0"/>
                <w:bCs w:val="0"/>
                <w:sz w:val="24"/>
                <w:szCs w:val="24"/>
              </w:rPr>
            </w:pPr>
            <w:bookmarkStart w:id="88" w:name="_Toc31028"/>
            <w:r>
              <w:rPr>
                <w:rFonts w:hint="eastAsia" w:ascii="宋体" w:hAnsi="宋体" w:eastAsia="宋体" w:cs="宋体"/>
                <w:b/>
                <w:bCs/>
                <w:spacing w:val="-11"/>
                <w:sz w:val="24"/>
                <w:szCs w:val="24"/>
              </w:rPr>
              <w:t>评</w:t>
            </w:r>
            <w:r>
              <w:rPr>
                <w:rFonts w:hint="eastAsia" w:ascii="宋体" w:hAnsi="宋体" w:eastAsia="宋体" w:cs="宋体"/>
                <w:b/>
                <w:bCs/>
                <w:spacing w:val="18"/>
                <w:sz w:val="24"/>
                <w:szCs w:val="24"/>
              </w:rPr>
              <w:t xml:space="preserve"> </w:t>
            </w:r>
            <w:r>
              <w:rPr>
                <w:rFonts w:hint="eastAsia" w:ascii="宋体" w:hAnsi="宋体" w:eastAsia="宋体" w:cs="宋体"/>
                <w:b/>
                <w:bCs/>
                <w:spacing w:val="-11"/>
                <w:sz w:val="24"/>
                <w:szCs w:val="24"/>
              </w:rPr>
              <w:t>定</w:t>
            </w:r>
            <w:r>
              <w:rPr>
                <w:rFonts w:hint="eastAsia" w:ascii="宋体" w:hAnsi="宋体" w:eastAsia="宋体" w:cs="宋体"/>
                <w:b/>
                <w:bCs/>
                <w:spacing w:val="35"/>
                <w:sz w:val="24"/>
                <w:szCs w:val="24"/>
              </w:rPr>
              <w:t xml:space="preserve"> </w:t>
            </w:r>
            <w:r>
              <w:rPr>
                <w:rFonts w:hint="eastAsia" w:ascii="宋体" w:hAnsi="宋体" w:eastAsia="宋体" w:cs="宋体"/>
                <w:b/>
                <w:bCs/>
                <w:spacing w:val="-11"/>
                <w:sz w:val="24"/>
                <w:szCs w:val="24"/>
              </w:rPr>
              <w:t>内</w:t>
            </w:r>
            <w:r>
              <w:rPr>
                <w:rFonts w:hint="eastAsia" w:ascii="宋体" w:hAnsi="宋体" w:eastAsia="宋体" w:cs="宋体"/>
                <w:b/>
                <w:bCs/>
                <w:spacing w:val="9"/>
                <w:sz w:val="24"/>
                <w:szCs w:val="24"/>
              </w:rPr>
              <w:t xml:space="preserve"> </w:t>
            </w:r>
            <w:r>
              <w:rPr>
                <w:rFonts w:hint="eastAsia" w:ascii="宋体" w:hAnsi="宋体" w:eastAsia="宋体" w:cs="宋体"/>
                <w:b/>
                <w:bCs/>
                <w:spacing w:val="-11"/>
                <w:sz w:val="24"/>
                <w:szCs w:val="24"/>
              </w:rPr>
              <w:t>容 及</w:t>
            </w:r>
            <w:r>
              <w:rPr>
                <w:rFonts w:hint="eastAsia" w:ascii="宋体" w:hAnsi="宋体" w:eastAsia="宋体" w:cs="宋体"/>
                <w:b/>
                <w:bCs/>
                <w:spacing w:val="9"/>
                <w:sz w:val="24"/>
                <w:szCs w:val="24"/>
              </w:rPr>
              <w:t xml:space="preserve"> </w:t>
            </w:r>
            <w:r>
              <w:rPr>
                <w:rFonts w:hint="eastAsia" w:ascii="宋体" w:hAnsi="宋体" w:eastAsia="宋体" w:cs="宋体"/>
                <w:b/>
                <w:bCs/>
                <w:spacing w:val="-11"/>
                <w:sz w:val="24"/>
                <w:szCs w:val="24"/>
              </w:rPr>
              <w:t>标</w:t>
            </w:r>
            <w:r>
              <w:rPr>
                <w:rFonts w:hint="eastAsia" w:ascii="宋体" w:hAnsi="宋体" w:eastAsia="宋体" w:cs="宋体"/>
                <w:b/>
                <w:bCs/>
                <w:spacing w:val="11"/>
                <w:sz w:val="24"/>
                <w:szCs w:val="24"/>
              </w:rPr>
              <w:t xml:space="preserve"> </w:t>
            </w:r>
            <w:r>
              <w:rPr>
                <w:rFonts w:hint="eastAsia" w:ascii="宋体" w:hAnsi="宋体" w:eastAsia="宋体" w:cs="宋体"/>
                <w:b/>
                <w:bCs/>
                <w:spacing w:val="-11"/>
                <w:sz w:val="24"/>
                <w:szCs w:val="24"/>
              </w:rPr>
              <w:t>准</w:t>
            </w:r>
          </w:p>
        </w:tc>
        <w:tc>
          <w:tcPr>
            <w:tcW w:w="1165" w:type="dxa"/>
            <w:tcBorders>
              <w:top w:val="single" w:color="000000" w:sz="2" w:space="0"/>
              <w:left w:val="single" w:color="000000" w:sz="8" w:space="0"/>
              <w:right w:val="single" w:color="000000" w:sz="2" w:space="0"/>
            </w:tcBorders>
            <w:vAlign w:val="center"/>
          </w:tcPr>
          <w:p w14:paraId="69CEFB1B">
            <w:pPr>
              <w:pStyle w:val="397"/>
              <w:spacing w:before="68" w:line="220" w:lineRule="auto"/>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满分</w:t>
            </w:r>
          </w:p>
        </w:tc>
      </w:tr>
      <w:tr w14:paraId="4C3A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8482" w:type="dxa"/>
            <w:tcBorders>
              <w:top w:val="single" w:color="000000" w:sz="2" w:space="0"/>
              <w:bottom w:val="single" w:color="000000" w:sz="2" w:space="0"/>
              <w:right w:val="single" w:color="000000" w:sz="8" w:space="0"/>
            </w:tcBorders>
            <w:vAlign w:val="center"/>
          </w:tcPr>
          <w:p w14:paraId="7598961B">
            <w:pPr>
              <w:pStyle w:val="397"/>
              <w:spacing w:before="245" w:line="220" w:lineRule="auto"/>
              <w:jc w:val="both"/>
              <w:rPr>
                <w:rFonts w:hint="eastAsia" w:ascii="宋体" w:hAnsi="宋体" w:eastAsia="宋体" w:cs="宋体"/>
                <w:b w:val="0"/>
                <w:bCs w:val="0"/>
                <w:sz w:val="24"/>
                <w:szCs w:val="24"/>
              </w:rPr>
            </w:pPr>
            <w:r>
              <w:rPr>
                <w:rFonts w:hint="eastAsia" w:ascii="宋体" w:hAnsi="宋体" w:eastAsia="宋体" w:cs="宋体"/>
                <w:b/>
                <w:bCs/>
                <w:spacing w:val="-3"/>
                <w:sz w:val="24"/>
                <w:szCs w:val="24"/>
              </w:rPr>
              <w:t>一、商务部分（</w:t>
            </w:r>
            <w:r>
              <w:rPr>
                <w:rFonts w:hint="eastAsia" w:cs="宋体"/>
                <w:b/>
                <w:bCs/>
                <w:spacing w:val="-3"/>
                <w:sz w:val="24"/>
                <w:szCs w:val="24"/>
                <w:lang w:val="en-US" w:eastAsia="zh-CN"/>
              </w:rPr>
              <w:t>20</w:t>
            </w:r>
            <w:r>
              <w:rPr>
                <w:rFonts w:hint="eastAsia" w:ascii="宋体" w:hAnsi="宋体" w:eastAsia="宋体" w:cs="宋体"/>
                <w:b/>
                <w:bCs/>
                <w:spacing w:val="-3"/>
                <w:sz w:val="24"/>
                <w:szCs w:val="24"/>
              </w:rPr>
              <w:t>分值）</w:t>
            </w:r>
          </w:p>
        </w:tc>
        <w:tc>
          <w:tcPr>
            <w:tcW w:w="1165" w:type="dxa"/>
            <w:tcBorders>
              <w:top w:val="single" w:color="000000" w:sz="2" w:space="0"/>
              <w:left w:val="single" w:color="000000" w:sz="8" w:space="0"/>
              <w:right w:val="single" w:color="000000" w:sz="2" w:space="0"/>
            </w:tcBorders>
            <w:vAlign w:val="center"/>
          </w:tcPr>
          <w:p w14:paraId="2693779A">
            <w:pPr>
              <w:pStyle w:val="397"/>
              <w:spacing w:before="244" w:line="221" w:lineRule="auto"/>
              <w:jc w:val="center"/>
              <w:rPr>
                <w:rFonts w:hint="eastAsia" w:ascii="宋体" w:hAnsi="宋体" w:eastAsia="宋体" w:cs="宋体"/>
                <w:b w:val="0"/>
                <w:bCs w:val="0"/>
                <w:sz w:val="24"/>
                <w:szCs w:val="24"/>
              </w:rPr>
            </w:pPr>
            <w:r>
              <w:rPr>
                <w:rFonts w:hint="eastAsia" w:cs="宋体"/>
                <w:b w:val="0"/>
                <w:bCs w:val="0"/>
                <w:spacing w:val="11"/>
                <w:sz w:val="24"/>
                <w:szCs w:val="24"/>
                <w:lang w:val="en-US" w:eastAsia="zh-CN"/>
              </w:rPr>
              <w:t>20</w:t>
            </w:r>
            <w:r>
              <w:rPr>
                <w:rFonts w:hint="eastAsia" w:ascii="宋体" w:hAnsi="宋体" w:eastAsia="宋体" w:cs="宋体"/>
                <w:b w:val="0"/>
                <w:bCs w:val="0"/>
                <w:spacing w:val="-5"/>
                <w:sz w:val="24"/>
                <w:szCs w:val="24"/>
              </w:rPr>
              <w:t>分</w:t>
            </w:r>
          </w:p>
        </w:tc>
      </w:tr>
      <w:tr w14:paraId="70AD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482" w:type="dxa"/>
            <w:tcBorders>
              <w:top w:val="single" w:color="000000" w:sz="2" w:space="0"/>
              <w:bottom w:val="single" w:color="000000" w:sz="2" w:space="0"/>
              <w:right w:val="single" w:color="000000" w:sz="8" w:space="0"/>
            </w:tcBorders>
            <w:vAlign w:val="center"/>
          </w:tcPr>
          <w:p w14:paraId="17283A26">
            <w:pPr>
              <w:pStyle w:val="397"/>
              <w:spacing w:before="197" w:line="360" w:lineRule="auto"/>
              <w:ind w:right="87"/>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供应商近三年承担过类似项目，每一项业绩得</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分,累计最高得</w:t>
            </w:r>
            <w:r>
              <w:rPr>
                <w:rFonts w:hint="eastAsia" w:cs="宋体"/>
                <w:b w:val="0"/>
                <w:bCs w:val="0"/>
                <w:spacing w:val="-44"/>
                <w:sz w:val="24"/>
                <w:szCs w:val="24"/>
                <w:lang w:val="en-US" w:eastAsia="zh-CN"/>
              </w:rPr>
              <w:t xml:space="preserve">2 0  </w:t>
            </w:r>
            <w:r>
              <w:rPr>
                <w:rFonts w:hint="eastAsia" w:ascii="宋体" w:hAnsi="宋体" w:eastAsia="宋体" w:cs="宋体"/>
                <w:b w:val="0"/>
                <w:bCs w:val="0"/>
                <w:spacing w:val="-3"/>
                <w:sz w:val="24"/>
                <w:szCs w:val="24"/>
              </w:rPr>
              <w:t>分。附每项业绩合同复印件，合同必需提供合同首页、合同金额所在页、签字盖章页，否则不予计分。</w:t>
            </w:r>
          </w:p>
        </w:tc>
        <w:tc>
          <w:tcPr>
            <w:tcW w:w="1165" w:type="dxa"/>
            <w:tcBorders>
              <w:top w:val="single" w:color="000000" w:sz="2" w:space="0"/>
              <w:left w:val="single" w:color="000000" w:sz="8" w:space="0"/>
              <w:bottom w:val="single" w:color="000000" w:sz="2" w:space="0"/>
              <w:right w:val="single" w:color="000000" w:sz="2" w:space="0"/>
            </w:tcBorders>
            <w:vAlign w:val="center"/>
          </w:tcPr>
          <w:p w14:paraId="6DE71E84">
            <w:pPr>
              <w:pStyle w:val="397"/>
              <w:spacing w:before="68" w:line="198" w:lineRule="auto"/>
              <w:jc w:val="center"/>
              <w:rPr>
                <w:rFonts w:hint="eastAsia" w:ascii="宋体" w:hAnsi="宋体" w:eastAsia="宋体" w:cs="宋体"/>
                <w:b w:val="0"/>
                <w:bCs w:val="0"/>
                <w:sz w:val="24"/>
                <w:szCs w:val="24"/>
              </w:rPr>
            </w:pPr>
            <w:r>
              <w:rPr>
                <w:rFonts w:hint="eastAsia" w:cs="宋体"/>
                <w:b w:val="0"/>
                <w:bCs w:val="0"/>
                <w:spacing w:val="13"/>
                <w:sz w:val="24"/>
                <w:szCs w:val="24"/>
                <w:lang w:val="en-US" w:eastAsia="zh-CN"/>
              </w:rPr>
              <w:t>20</w:t>
            </w:r>
            <w:r>
              <w:rPr>
                <w:rFonts w:hint="eastAsia" w:ascii="宋体" w:hAnsi="宋体" w:eastAsia="宋体" w:cs="宋体"/>
                <w:b w:val="0"/>
                <w:bCs w:val="0"/>
                <w:spacing w:val="-10"/>
                <w:sz w:val="24"/>
                <w:szCs w:val="24"/>
              </w:rPr>
              <w:t>分</w:t>
            </w:r>
          </w:p>
        </w:tc>
      </w:tr>
      <w:tr w14:paraId="5C6D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482" w:type="dxa"/>
            <w:tcBorders>
              <w:top w:val="single" w:color="000000" w:sz="2" w:space="0"/>
              <w:bottom w:val="single" w:color="000000" w:sz="2" w:space="0"/>
              <w:right w:val="single" w:color="000000" w:sz="8" w:space="0"/>
            </w:tcBorders>
            <w:vAlign w:val="center"/>
          </w:tcPr>
          <w:p w14:paraId="78378143">
            <w:pPr>
              <w:pStyle w:val="397"/>
              <w:spacing w:before="299" w:line="219" w:lineRule="auto"/>
              <w:jc w:val="both"/>
              <w:rPr>
                <w:rFonts w:hint="eastAsia" w:ascii="宋体" w:hAnsi="宋体" w:eastAsia="宋体" w:cs="宋体"/>
                <w:b w:val="0"/>
                <w:bCs w:val="0"/>
                <w:sz w:val="24"/>
                <w:szCs w:val="24"/>
              </w:rPr>
            </w:pPr>
            <w:r>
              <w:rPr>
                <w:rFonts w:hint="eastAsia" w:ascii="宋体" w:hAnsi="宋体" w:eastAsia="宋体" w:cs="宋体"/>
                <w:b/>
                <w:bCs/>
                <w:spacing w:val="-2"/>
                <w:sz w:val="24"/>
                <w:szCs w:val="24"/>
              </w:rPr>
              <w:t>二、价格分（1</w:t>
            </w:r>
            <w:r>
              <w:rPr>
                <w:rFonts w:hint="eastAsia" w:cs="宋体"/>
                <w:b/>
                <w:bCs/>
                <w:spacing w:val="-2"/>
                <w:sz w:val="24"/>
                <w:szCs w:val="24"/>
                <w:lang w:val="en-US" w:eastAsia="zh-CN"/>
              </w:rPr>
              <w:t>0</w:t>
            </w:r>
            <w:r>
              <w:rPr>
                <w:rFonts w:hint="eastAsia" w:ascii="宋体" w:hAnsi="宋体" w:eastAsia="宋体" w:cs="宋体"/>
                <w:b/>
                <w:bCs/>
                <w:spacing w:val="-2"/>
                <w:sz w:val="24"/>
                <w:szCs w:val="24"/>
              </w:rPr>
              <w:t xml:space="preserve"> 分值）</w:t>
            </w:r>
          </w:p>
        </w:tc>
        <w:tc>
          <w:tcPr>
            <w:tcW w:w="1165" w:type="dxa"/>
            <w:tcBorders>
              <w:top w:val="single" w:color="000000" w:sz="2" w:space="0"/>
              <w:left w:val="single" w:color="000000" w:sz="8" w:space="0"/>
            </w:tcBorders>
            <w:vAlign w:val="center"/>
          </w:tcPr>
          <w:p w14:paraId="39D2EEEC">
            <w:pPr>
              <w:pStyle w:val="397"/>
              <w:spacing w:before="300" w:line="221" w:lineRule="auto"/>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1</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tc>
      </w:tr>
      <w:tr w14:paraId="6925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482" w:type="dxa"/>
            <w:tcBorders>
              <w:top w:val="single" w:color="000000" w:sz="2" w:space="0"/>
              <w:right w:val="single" w:color="000000" w:sz="8" w:space="0"/>
            </w:tcBorders>
            <w:vAlign w:val="center"/>
          </w:tcPr>
          <w:p w14:paraId="394C042E">
            <w:pPr>
              <w:pStyle w:val="397"/>
              <w:numPr>
                <w:ilvl w:val="0"/>
                <w:numId w:val="6"/>
              </w:numPr>
              <w:spacing w:before="140" w:line="360" w:lineRule="auto"/>
              <w:ind w:left="120" w:right="86" w:firstLine="13"/>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综合评分法中的价格分统一采用低价优先法计算，即满足</w:t>
            </w:r>
            <w:r>
              <w:rPr>
                <w:rFonts w:hint="eastAsia" w:cs="宋体"/>
                <w:b w:val="0"/>
                <w:bCs w:val="0"/>
                <w:spacing w:val="-4"/>
                <w:sz w:val="24"/>
                <w:szCs w:val="24"/>
                <w:lang w:val="en-US" w:eastAsia="zh-CN"/>
              </w:rPr>
              <w:t>磋商</w:t>
            </w:r>
            <w:r>
              <w:rPr>
                <w:rFonts w:hint="eastAsia" w:ascii="宋体" w:hAnsi="宋体" w:eastAsia="宋体" w:cs="宋体"/>
                <w:b w:val="0"/>
                <w:bCs w:val="0"/>
                <w:spacing w:val="-4"/>
                <w:sz w:val="24"/>
                <w:szCs w:val="24"/>
              </w:rPr>
              <w:t>文件要求</w:t>
            </w:r>
            <w:r>
              <w:rPr>
                <w:rFonts w:hint="eastAsia" w:ascii="宋体" w:hAnsi="宋体" w:eastAsia="宋体" w:cs="宋体"/>
                <w:b w:val="0"/>
                <w:bCs w:val="0"/>
                <w:spacing w:val="-5"/>
                <w:sz w:val="24"/>
                <w:szCs w:val="24"/>
              </w:rPr>
              <w:t>且价格最低的为基准价，其价格分为满分</w:t>
            </w:r>
            <w:r>
              <w:rPr>
                <w:rFonts w:hint="eastAsia" w:ascii="宋体" w:hAnsi="宋体" w:eastAsia="宋体" w:cs="宋体"/>
                <w:b w:val="0"/>
                <w:bCs w:val="0"/>
                <w:spacing w:val="-15"/>
                <w:sz w:val="24"/>
                <w:szCs w:val="24"/>
              </w:rPr>
              <w:t xml:space="preserve"> </w:t>
            </w:r>
            <w:r>
              <w:rPr>
                <w:rFonts w:hint="eastAsia" w:ascii="宋体" w:hAnsi="宋体" w:eastAsia="宋体" w:cs="宋体"/>
                <w:b w:val="0"/>
                <w:bCs w:val="0"/>
                <w:spacing w:val="-5"/>
                <w:sz w:val="24"/>
                <w:szCs w:val="24"/>
              </w:rPr>
              <w:t>1</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p w14:paraId="59EE4621">
            <w:pPr>
              <w:pStyle w:val="397"/>
              <w:spacing w:before="1" w:line="360" w:lineRule="auto"/>
              <w:ind w:left="120"/>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2、其他</w:t>
            </w:r>
            <w:r>
              <w:rPr>
                <w:rFonts w:hint="eastAsia" w:cs="宋体"/>
                <w:b w:val="0"/>
                <w:bCs w:val="0"/>
                <w:spacing w:val="-3"/>
                <w:sz w:val="24"/>
                <w:szCs w:val="24"/>
                <w:lang w:val="en-US" w:eastAsia="zh-CN"/>
              </w:rPr>
              <w:t>供应商</w:t>
            </w:r>
            <w:r>
              <w:rPr>
                <w:rFonts w:hint="eastAsia" w:ascii="宋体" w:hAnsi="宋体" w:eastAsia="宋体" w:cs="宋体"/>
                <w:b w:val="0"/>
                <w:bCs w:val="0"/>
                <w:spacing w:val="-3"/>
                <w:sz w:val="24"/>
                <w:szCs w:val="24"/>
              </w:rPr>
              <w:t>的报价得分计算公式如下：</w:t>
            </w:r>
          </w:p>
          <w:p w14:paraId="7E84ADF4">
            <w:pPr>
              <w:pStyle w:val="397"/>
              <w:spacing w:before="1" w:line="360" w:lineRule="auto"/>
              <w:ind w:left="120" w:right="480"/>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报价得分=（评标基准价／投标报价）</w:t>
            </w:r>
            <w:r>
              <w:rPr>
                <w:rFonts w:hint="eastAsia" w:ascii="宋体" w:hAnsi="宋体" w:eastAsia="宋体" w:cs="宋体"/>
                <w:b w:val="0"/>
                <w:bCs w:val="0"/>
                <w:spacing w:val="-68"/>
                <w:sz w:val="24"/>
                <w:szCs w:val="24"/>
              </w:rPr>
              <w:t xml:space="preserve"> </w:t>
            </w:r>
            <w:r>
              <w:rPr>
                <w:rFonts w:hint="eastAsia" w:ascii="宋体" w:hAnsi="宋体" w:eastAsia="宋体" w:cs="宋体"/>
                <w:b w:val="0"/>
                <w:bCs w:val="0"/>
                <w:spacing w:val="-4"/>
                <w:sz w:val="24"/>
                <w:szCs w:val="24"/>
              </w:rPr>
              <w:t>×1</w:t>
            </w:r>
            <w:r>
              <w:rPr>
                <w:rFonts w:hint="eastAsia" w:cs="宋体"/>
                <w:b w:val="0"/>
                <w:bCs w:val="0"/>
                <w:spacing w:val="-4"/>
                <w:sz w:val="24"/>
                <w:szCs w:val="24"/>
                <w:lang w:val="en-US" w:eastAsia="zh-CN"/>
              </w:rPr>
              <w:t>0</w:t>
            </w:r>
            <w:r>
              <w:rPr>
                <w:rFonts w:hint="eastAsia" w:ascii="宋体" w:hAnsi="宋体" w:eastAsia="宋体" w:cs="宋体"/>
                <w:b w:val="0"/>
                <w:bCs w:val="0"/>
                <w:spacing w:val="-4"/>
                <w:sz w:val="24"/>
                <w:szCs w:val="24"/>
              </w:rPr>
              <w:t>%×100；小数点后保留二位，</w:t>
            </w:r>
            <w:r>
              <w:rPr>
                <w:rFonts w:hint="eastAsia" w:ascii="宋体" w:hAnsi="宋体" w:eastAsia="宋体" w:cs="宋体"/>
                <w:b w:val="0"/>
                <w:bCs w:val="0"/>
                <w:spacing w:val="-5"/>
                <w:sz w:val="24"/>
                <w:szCs w:val="24"/>
              </w:rPr>
              <w:t>四舍</w:t>
            </w:r>
            <w:r>
              <w:rPr>
                <w:rFonts w:hint="eastAsia" w:cs="宋体"/>
                <w:b w:val="0"/>
                <w:bCs w:val="0"/>
                <w:spacing w:val="-5"/>
                <w:sz w:val="24"/>
                <w:szCs w:val="24"/>
                <w:lang w:val="en-US" w:eastAsia="zh-CN"/>
              </w:rPr>
              <w:t>五</w:t>
            </w:r>
            <w:r>
              <w:rPr>
                <w:rFonts w:hint="eastAsia" w:ascii="宋体" w:hAnsi="宋体" w:eastAsia="宋体" w:cs="宋体"/>
                <w:b w:val="0"/>
                <w:bCs w:val="0"/>
                <w:spacing w:val="-5"/>
                <w:sz w:val="24"/>
                <w:szCs w:val="24"/>
              </w:rPr>
              <w:t>入。</w:t>
            </w:r>
          </w:p>
        </w:tc>
        <w:tc>
          <w:tcPr>
            <w:tcW w:w="1165" w:type="dxa"/>
            <w:tcBorders>
              <w:top w:val="single" w:color="000000" w:sz="2" w:space="0"/>
              <w:left w:val="single" w:color="000000" w:sz="8" w:space="0"/>
              <w:right w:val="single" w:color="000000" w:sz="2" w:space="0"/>
            </w:tcBorders>
            <w:vAlign w:val="center"/>
          </w:tcPr>
          <w:p w14:paraId="2D5D5B77">
            <w:pPr>
              <w:spacing w:line="283" w:lineRule="auto"/>
              <w:jc w:val="center"/>
              <w:rPr>
                <w:rFonts w:hint="eastAsia" w:ascii="宋体" w:hAnsi="宋体" w:eastAsia="宋体" w:cs="宋体"/>
                <w:b w:val="0"/>
                <w:bCs w:val="0"/>
                <w:sz w:val="24"/>
                <w:szCs w:val="24"/>
              </w:rPr>
            </w:pPr>
          </w:p>
          <w:p w14:paraId="3970D407">
            <w:pPr>
              <w:spacing w:line="284" w:lineRule="auto"/>
              <w:jc w:val="center"/>
              <w:rPr>
                <w:rFonts w:hint="eastAsia" w:ascii="宋体" w:hAnsi="宋体" w:eastAsia="宋体" w:cs="宋体"/>
                <w:b w:val="0"/>
                <w:bCs w:val="0"/>
                <w:sz w:val="24"/>
                <w:szCs w:val="24"/>
              </w:rPr>
            </w:pPr>
          </w:p>
          <w:p w14:paraId="57A64E89">
            <w:pPr>
              <w:pStyle w:val="397"/>
              <w:spacing w:before="69" w:line="198" w:lineRule="auto"/>
              <w:ind w:left="129"/>
              <w:jc w:val="center"/>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1</w:t>
            </w:r>
            <w:r>
              <w:rPr>
                <w:rFonts w:hint="eastAsia" w:cs="宋体"/>
                <w:b w:val="0"/>
                <w:bCs w:val="0"/>
                <w:spacing w:val="3"/>
                <w:sz w:val="24"/>
                <w:szCs w:val="24"/>
                <w:lang w:val="en-US" w:eastAsia="zh-CN"/>
              </w:rPr>
              <w:t>0</w:t>
            </w:r>
            <w:r>
              <w:rPr>
                <w:rFonts w:hint="eastAsia" w:ascii="宋体" w:hAnsi="宋体" w:eastAsia="宋体" w:cs="宋体"/>
                <w:b w:val="0"/>
                <w:bCs w:val="0"/>
                <w:spacing w:val="13"/>
                <w:sz w:val="24"/>
                <w:szCs w:val="24"/>
              </w:rPr>
              <w:t xml:space="preserve"> </w:t>
            </w:r>
            <w:r>
              <w:rPr>
                <w:rFonts w:hint="eastAsia" w:ascii="宋体" w:hAnsi="宋体" w:eastAsia="宋体" w:cs="宋体"/>
                <w:b w:val="0"/>
                <w:bCs w:val="0"/>
                <w:spacing w:val="3"/>
                <w:sz w:val="24"/>
                <w:szCs w:val="24"/>
              </w:rPr>
              <w:t>分</w:t>
            </w:r>
          </w:p>
        </w:tc>
      </w:tr>
      <w:tr w14:paraId="40DC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482" w:type="dxa"/>
            <w:vAlign w:val="top"/>
          </w:tcPr>
          <w:p w14:paraId="60F6529F">
            <w:pPr>
              <w:pStyle w:val="397"/>
              <w:spacing w:before="157" w:line="220" w:lineRule="auto"/>
              <w:ind w:left="223"/>
              <w:rPr>
                <w:rFonts w:hint="eastAsia" w:ascii="宋体" w:hAnsi="宋体" w:eastAsia="宋体" w:cs="宋体"/>
                <w:b w:val="0"/>
                <w:bCs w:val="0"/>
                <w:sz w:val="24"/>
                <w:szCs w:val="24"/>
              </w:rPr>
            </w:pPr>
            <w:r>
              <w:rPr>
                <w:rFonts w:hint="eastAsia" w:ascii="宋体" w:hAnsi="宋体" w:eastAsia="宋体" w:cs="宋体"/>
                <w:b/>
                <w:bCs/>
                <w:sz w:val="24"/>
                <w:szCs w:val="24"/>
              </w:rPr>
              <w:t>三、技术部分（实施方案</w:t>
            </w:r>
            <w:r>
              <w:rPr>
                <w:rFonts w:hint="eastAsia" w:ascii="宋体" w:hAnsi="宋体" w:eastAsia="宋体" w:cs="宋体"/>
                <w:b/>
                <w:bCs/>
                <w:spacing w:val="-17"/>
                <w:sz w:val="24"/>
                <w:szCs w:val="24"/>
              </w:rPr>
              <w:t>）（</w:t>
            </w:r>
            <w:r>
              <w:rPr>
                <w:rFonts w:hint="eastAsia" w:ascii="宋体" w:hAnsi="宋体" w:eastAsia="宋体" w:cs="宋体"/>
                <w:b/>
                <w:bCs/>
                <w:sz w:val="24"/>
                <w:szCs w:val="24"/>
              </w:rPr>
              <w:t>7</w:t>
            </w:r>
            <w:r>
              <w:rPr>
                <w:rFonts w:hint="eastAsia" w:cs="宋体"/>
                <w:b/>
                <w:bCs/>
                <w:sz w:val="24"/>
                <w:szCs w:val="24"/>
                <w:lang w:val="en-US" w:eastAsia="zh-CN"/>
              </w:rPr>
              <w:t>0</w:t>
            </w:r>
            <w:r>
              <w:rPr>
                <w:rFonts w:hint="eastAsia" w:ascii="宋体" w:hAnsi="宋体" w:eastAsia="宋体" w:cs="宋体"/>
                <w:b/>
                <w:bCs/>
                <w:sz w:val="24"/>
                <w:szCs w:val="24"/>
              </w:rPr>
              <w:t>分）</w:t>
            </w:r>
          </w:p>
        </w:tc>
        <w:tc>
          <w:tcPr>
            <w:tcW w:w="1165" w:type="dxa"/>
            <w:vAlign w:val="top"/>
          </w:tcPr>
          <w:p w14:paraId="767A9838">
            <w:pPr>
              <w:pStyle w:val="397"/>
              <w:spacing w:before="157" w:line="221" w:lineRule="auto"/>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7</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tc>
      </w:tr>
    </w:tbl>
    <w:tbl>
      <w:tblPr>
        <w:tblStyle w:val="391"/>
        <w:tblpPr w:leftFromText="180" w:rightFromText="180" w:vertAnchor="text" w:horzAnchor="page" w:tblpXSpec="center" w:tblpY="20"/>
        <w:tblOverlap w:val="never"/>
        <w:tblW w:w="9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9"/>
        <w:gridCol w:w="1348"/>
        <w:gridCol w:w="5753"/>
        <w:gridCol w:w="1169"/>
      </w:tblGrid>
      <w:tr w14:paraId="04E6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jc w:val="center"/>
        </w:trPr>
        <w:tc>
          <w:tcPr>
            <w:tcW w:w="1359" w:type="dxa"/>
            <w:tcBorders>
              <w:left w:val="single" w:color="000000" w:sz="10" w:space="0"/>
              <w:right w:val="single" w:color="000000" w:sz="12" w:space="0"/>
            </w:tcBorders>
            <w:vAlign w:val="top"/>
          </w:tcPr>
          <w:p w14:paraId="35626A8E">
            <w:pPr>
              <w:pStyle w:val="397"/>
              <w:spacing w:before="197" w:line="360" w:lineRule="auto"/>
              <w:ind w:right="87"/>
              <w:jc w:val="both"/>
              <w:rPr>
                <w:rFonts w:hint="eastAsia" w:ascii="宋体" w:hAnsi="宋体" w:eastAsia="宋体" w:cs="宋体"/>
                <w:b w:val="0"/>
                <w:bCs w:val="0"/>
                <w:spacing w:val="-3"/>
                <w:sz w:val="24"/>
                <w:szCs w:val="24"/>
              </w:rPr>
            </w:pPr>
          </w:p>
          <w:p w14:paraId="49AABAAD">
            <w:pPr>
              <w:pStyle w:val="397"/>
              <w:spacing w:before="197" w:line="360" w:lineRule="auto"/>
              <w:ind w:right="87"/>
              <w:jc w:val="both"/>
              <w:rPr>
                <w:rFonts w:hint="eastAsia" w:ascii="宋体" w:hAnsi="宋体" w:eastAsia="宋体" w:cs="宋体"/>
                <w:b w:val="0"/>
                <w:bCs w:val="0"/>
                <w:spacing w:val="-3"/>
                <w:sz w:val="24"/>
                <w:szCs w:val="24"/>
              </w:rPr>
            </w:pPr>
          </w:p>
          <w:p w14:paraId="39BCDABA">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w:t>
            </w:r>
          </w:p>
        </w:tc>
        <w:tc>
          <w:tcPr>
            <w:tcW w:w="1348" w:type="dxa"/>
            <w:tcBorders>
              <w:left w:val="single" w:color="000000" w:sz="12" w:space="0"/>
              <w:right w:val="single" w:color="000000" w:sz="12" w:space="0"/>
            </w:tcBorders>
            <w:vAlign w:val="top"/>
          </w:tcPr>
          <w:p w14:paraId="48F76DFF">
            <w:pPr>
              <w:pStyle w:val="397"/>
              <w:spacing w:before="197" w:line="360" w:lineRule="auto"/>
              <w:ind w:right="87"/>
              <w:jc w:val="both"/>
              <w:rPr>
                <w:rFonts w:hint="eastAsia" w:ascii="宋体" w:hAnsi="宋体" w:eastAsia="宋体" w:cs="宋体"/>
                <w:b w:val="0"/>
                <w:bCs w:val="0"/>
                <w:spacing w:val="-3"/>
                <w:sz w:val="24"/>
                <w:szCs w:val="24"/>
              </w:rPr>
            </w:pPr>
          </w:p>
          <w:p w14:paraId="1A607BEB">
            <w:pPr>
              <w:pStyle w:val="397"/>
              <w:spacing w:before="197" w:line="360" w:lineRule="auto"/>
              <w:ind w:right="87"/>
              <w:jc w:val="both"/>
              <w:rPr>
                <w:rFonts w:hint="eastAsia" w:ascii="宋体" w:hAnsi="宋体" w:eastAsia="宋体" w:cs="宋体"/>
                <w:b w:val="0"/>
                <w:bCs w:val="0"/>
                <w:spacing w:val="-3"/>
                <w:sz w:val="24"/>
                <w:szCs w:val="24"/>
              </w:rPr>
            </w:pPr>
          </w:p>
          <w:p w14:paraId="76CA385F">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针对本项目的服务方案</w:t>
            </w:r>
          </w:p>
        </w:tc>
        <w:tc>
          <w:tcPr>
            <w:tcW w:w="5753" w:type="dxa"/>
            <w:tcBorders>
              <w:left w:val="single" w:color="000000" w:sz="12" w:space="0"/>
              <w:right w:val="single" w:color="000000" w:sz="12" w:space="0"/>
            </w:tcBorders>
            <w:vAlign w:val="top"/>
          </w:tcPr>
          <w:p w14:paraId="4941642B">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供应商按照本项目的实际需求，提供的具体服务方案，包括以下内容：</w:t>
            </w:r>
            <w:r>
              <w:rPr>
                <w:rFonts w:hint="eastAsia" w:cs="宋体"/>
                <w:b w:val="0"/>
                <w:bCs w:val="0"/>
                <w:spacing w:val="-3"/>
                <w:sz w:val="24"/>
                <w:szCs w:val="24"/>
                <w:lang w:val="en-US" w:eastAsia="zh-CN"/>
              </w:rPr>
              <w:t>①总体服务方案；②项目重点难点分析；③工作进度计划方案；④人员管理及相关制度方案；⑤与采购人的配合和协调方案；⑥安全保障及保密方案</w:t>
            </w:r>
            <w:r>
              <w:rPr>
                <w:rFonts w:hint="eastAsia" w:ascii="宋体" w:hAnsi="宋体" w:eastAsia="宋体" w:cs="宋体"/>
                <w:b w:val="0"/>
                <w:bCs w:val="0"/>
                <w:spacing w:val="-3"/>
                <w:sz w:val="24"/>
                <w:szCs w:val="24"/>
              </w:rPr>
              <w:t>。以上内容每有一项缺失的扣</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分，每项中每有1处存在内容缺陷扣</w:t>
            </w:r>
            <w:r>
              <w:rPr>
                <w:rFonts w:hint="eastAsia" w:cs="宋体"/>
                <w:b w:val="0"/>
                <w:bCs w:val="0"/>
                <w:spacing w:val="-3"/>
                <w:sz w:val="24"/>
                <w:szCs w:val="24"/>
                <w:lang w:val="en-US" w:eastAsia="zh-CN"/>
              </w:rPr>
              <w:t>1</w:t>
            </w:r>
            <w:r>
              <w:rPr>
                <w:rFonts w:hint="eastAsia" w:ascii="宋体" w:hAnsi="宋体" w:eastAsia="宋体" w:cs="宋体"/>
                <w:b w:val="0"/>
                <w:bCs w:val="0"/>
                <w:spacing w:val="-3"/>
                <w:sz w:val="24"/>
                <w:szCs w:val="24"/>
              </w:rPr>
              <w:t>分</w:t>
            </w:r>
            <w:r>
              <w:rPr>
                <w:rFonts w:hint="eastAsia" w:cs="宋体"/>
                <w:b w:val="0"/>
                <w:bCs w:val="0"/>
                <w:spacing w:val="-3"/>
                <w:sz w:val="24"/>
                <w:szCs w:val="24"/>
                <w:lang w:eastAsia="zh-CN"/>
              </w:rPr>
              <w:t>。</w:t>
            </w:r>
            <w:r>
              <w:rPr>
                <w:rFonts w:hint="eastAsia" w:ascii="宋体" w:hAnsi="宋体" w:eastAsia="宋体" w:cs="宋体"/>
                <w:b w:val="0"/>
                <w:bCs w:val="0"/>
                <w:spacing w:val="-3"/>
                <w:sz w:val="24"/>
                <w:szCs w:val="24"/>
              </w:rPr>
              <w:t>（缺陷是指内容不完整或缺少关键点；非专门针对本项目或不适用本项目 特性、套用其他项目内容；对同一问题前后表述矛盾；存在逻辑漏洞、科学原理或常识错误、简单敷衍；不利于本项目目标的实现），扣完为止，未提供不得分。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6F404973">
            <w:pPr>
              <w:pStyle w:val="397"/>
              <w:spacing w:before="197" w:line="360" w:lineRule="auto"/>
              <w:ind w:right="87"/>
              <w:jc w:val="both"/>
              <w:rPr>
                <w:rFonts w:hint="eastAsia" w:ascii="宋体" w:hAnsi="宋体" w:eastAsia="宋体" w:cs="宋体"/>
                <w:b w:val="0"/>
                <w:bCs w:val="0"/>
                <w:spacing w:val="-3"/>
                <w:sz w:val="24"/>
                <w:szCs w:val="24"/>
              </w:rPr>
            </w:pPr>
          </w:p>
          <w:p w14:paraId="35C0CB79">
            <w:pPr>
              <w:pStyle w:val="397"/>
              <w:spacing w:before="197" w:line="360" w:lineRule="auto"/>
              <w:ind w:right="87"/>
              <w:jc w:val="both"/>
              <w:rPr>
                <w:rFonts w:hint="eastAsia" w:ascii="宋体" w:hAnsi="宋体" w:eastAsia="宋体" w:cs="宋体"/>
                <w:b w:val="0"/>
                <w:bCs w:val="0"/>
                <w:spacing w:val="-3"/>
                <w:sz w:val="24"/>
                <w:szCs w:val="24"/>
              </w:rPr>
            </w:pPr>
          </w:p>
          <w:p w14:paraId="2A56F32E">
            <w:pPr>
              <w:pStyle w:val="397"/>
              <w:spacing w:before="197" w:line="360" w:lineRule="auto"/>
              <w:ind w:right="87"/>
              <w:jc w:val="both"/>
              <w:rPr>
                <w:rFonts w:hint="eastAsia" w:ascii="宋体" w:hAnsi="宋体" w:eastAsia="宋体" w:cs="宋体"/>
                <w:b w:val="0"/>
                <w:bCs w:val="0"/>
                <w:spacing w:val="-3"/>
                <w:sz w:val="24"/>
                <w:szCs w:val="24"/>
              </w:rPr>
            </w:pPr>
          </w:p>
          <w:p w14:paraId="35C6405F">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24</w:t>
            </w:r>
            <w:r>
              <w:rPr>
                <w:rFonts w:hint="eastAsia" w:ascii="宋体" w:hAnsi="宋体" w:eastAsia="宋体" w:cs="宋体"/>
                <w:b w:val="0"/>
                <w:bCs w:val="0"/>
                <w:spacing w:val="-3"/>
                <w:sz w:val="24"/>
                <w:szCs w:val="24"/>
              </w:rPr>
              <w:t>分</w:t>
            </w:r>
          </w:p>
        </w:tc>
      </w:tr>
      <w:tr w14:paraId="54E3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jc w:val="center"/>
        </w:trPr>
        <w:tc>
          <w:tcPr>
            <w:tcW w:w="1359" w:type="dxa"/>
            <w:tcBorders>
              <w:left w:val="single" w:color="000000" w:sz="10" w:space="0"/>
              <w:right w:val="single" w:color="000000" w:sz="12" w:space="0"/>
            </w:tcBorders>
            <w:vAlign w:val="top"/>
          </w:tcPr>
          <w:p w14:paraId="088C8D83">
            <w:pPr>
              <w:pStyle w:val="397"/>
              <w:spacing w:before="197" w:line="360" w:lineRule="auto"/>
              <w:ind w:right="87"/>
              <w:jc w:val="center"/>
              <w:rPr>
                <w:rFonts w:hint="eastAsia" w:ascii="宋体" w:hAnsi="宋体" w:eastAsia="宋体" w:cs="宋体"/>
                <w:b w:val="0"/>
                <w:bCs w:val="0"/>
                <w:spacing w:val="-3"/>
                <w:sz w:val="24"/>
                <w:szCs w:val="24"/>
              </w:rPr>
            </w:pPr>
          </w:p>
          <w:p w14:paraId="0192136A">
            <w:pPr>
              <w:pStyle w:val="397"/>
              <w:spacing w:before="197" w:line="360" w:lineRule="auto"/>
              <w:ind w:right="87"/>
              <w:jc w:val="both"/>
              <w:rPr>
                <w:rFonts w:hint="eastAsia" w:ascii="宋体" w:hAnsi="宋体" w:eastAsia="宋体" w:cs="宋体"/>
                <w:b w:val="0"/>
                <w:bCs w:val="0"/>
                <w:spacing w:val="-3"/>
                <w:sz w:val="24"/>
                <w:szCs w:val="24"/>
              </w:rPr>
            </w:pPr>
          </w:p>
          <w:p w14:paraId="2C5DCFC9">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2</w:t>
            </w:r>
          </w:p>
        </w:tc>
        <w:tc>
          <w:tcPr>
            <w:tcW w:w="1348" w:type="dxa"/>
            <w:tcBorders>
              <w:left w:val="single" w:color="000000" w:sz="12" w:space="0"/>
              <w:right w:val="single" w:color="000000" w:sz="12" w:space="0"/>
            </w:tcBorders>
            <w:vAlign w:val="top"/>
          </w:tcPr>
          <w:p w14:paraId="48FF5CB5">
            <w:pPr>
              <w:pStyle w:val="397"/>
              <w:spacing w:before="197" w:line="360" w:lineRule="auto"/>
              <w:ind w:right="87"/>
              <w:jc w:val="both"/>
              <w:rPr>
                <w:rFonts w:hint="eastAsia" w:cs="宋体"/>
                <w:b w:val="0"/>
                <w:bCs w:val="0"/>
                <w:spacing w:val="-3"/>
                <w:sz w:val="24"/>
                <w:szCs w:val="24"/>
                <w:lang w:val="en-US" w:eastAsia="zh-CN"/>
              </w:rPr>
            </w:pPr>
          </w:p>
          <w:p w14:paraId="199CDF33">
            <w:pPr>
              <w:pStyle w:val="397"/>
              <w:spacing w:before="197" w:line="360" w:lineRule="auto"/>
              <w:ind w:right="87"/>
              <w:jc w:val="both"/>
              <w:rPr>
                <w:rFonts w:hint="eastAsia" w:cs="宋体"/>
                <w:b w:val="0"/>
                <w:bCs w:val="0"/>
                <w:spacing w:val="-3"/>
                <w:sz w:val="24"/>
                <w:szCs w:val="24"/>
                <w:lang w:val="en-US" w:eastAsia="zh-CN"/>
              </w:rPr>
            </w:pPr>
          </w:p>
          <w:p w14:paraId="6ADB414F">
            <w:pPr>
              <w:pStyle w:val="397"/>
              <w:spacing w:before="197" w:line="360" w:lineRule="auto"/>
              <w:ind w:right="87"/>
              <w:jc w:val="both"/>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日常维护工作流程方案</w:t>
            </w:r>
          </w:p>
        </w:tc>
        <w:tc>
          <w:tcPr>
            <w:tcW w:w="5753" w:type="dxa"/>
            <w:tcBorders>
              <w:left w:val="single" w:color="000000" w:sz="12" w:space="0"/>
              <w:right w:val="single" w:color="000000" w:sz="12" w:space="0"/>
            </w:tcBorders>
            <w:vAlign w:val="top"/>
          </w:tcPr>
          <w:p w14:paraId="4B7FE518">
            <w:pPr>
              <w:pStyle w:val="397"/>
              <w:spacing w:before="197" w:line="360" w:lineRule="auto"/>
              <w:ind w:right="87"/>
              <w:jc w:val="both"/>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供应商按照本项目的实际需求，提供的具体日常维护工作流程方案，包括以下内容：①日常维护流程；②日常检查流程；③设施故障分析和排除工作流程；④系统调试流程；</w:t>
            </w:r>
            <w:r>
              <w:rPr>
                <w:rFonts w:hint="eastAsia" w:ascii="宋体" w:hAnsi="宋体" w:eastAsia="宋体" w:cs="宋体"/>
                <w:b w:val="0"/>
                <w:bCs w:val="0"/>
                <w:spacing w:val="-3"/>
                <w:sz w:val="24"/>
                <w:szCs w:val="24"/>
              </w:rPr>
              <w:t>以上内容每有一项缺失的扣</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分，每项中每有1处存在内容缺陷扣</w:t>
            </w:r>
            <w:r>
              <w:rPr>
                <w:rFonts w:hint="eastAsia" w:cs="宋体"/>
                <w:b w:val="0"/>
                <w:bCs w:val="0"/>
                <w:spacing w:val="-3"/>
                <w:sz w:val="24"/>
                <w:szCs w:val="24"/>
                <w:lang w:val="en-US" w:eastAsia="zh-CN"/>
              </w:rPr>
              <w:t>1</w:t>
            </w:r>
            <w:r>
              <w:rPr>
                <w:rFonts w:hint="eastAsia" w:ascii="宋体" w:hAnsi="宋体" w:eastAsia="宋体" w:cs="宋体"/>
                <w:b w:val="0"/>
                <w:bCs w:val="0"/>
                <w:spacing w:val="-3"/>
                <w:sz w:val="24"/>
                <w:szCs w:val="24"/>
              </w:rPr>
              <w:t>分</w:t>
            </w:r>
            <w:r>
              <w:rPr>
                <w:rFonts w:hint="eastAsia" w:cs="宋体"/>
                <w:b w:val="0"/>
                <w:bCs w:val="0"/>
                <w:spacing w:val="-3"/>
                <w:sz w:val="24"/>
                <w:szCs w:val="24"/>
                <w:lang w:eastAsia="zh-CN"/>
              </w:rPr>
              <w:t>。</w:t>
            </w:r>
            <w:r>
              <w:rPr>
                <w:rFonts w:hint="eastAsia" w:ascii="宋体" w:hAnsi="宋体" w:eastAsia="宋体" w:cs="宋体"/>
                <w:b w:val="0"/>
                <w:bCs w:val="0"/>
                <w:spacing w:val="-3"/>
                <w:sz w:val="24"/>
                <w:szCs w:val="24"/>
              </w:rPr>
              <w:t>（缺陷是指内容不完整或缺少关键点；非专门针对本项目或不适用本项目 特性、套用其他项目内容；对同一问题前后表述矛盾；存在逻辑漏洞、科学原理或常识错误、简单敷衍；不利于本项目目标的实现），扣完为止，未提供不得分。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3AEF7AEA">
            <w:pPr>
              <w:pStyle w:val="397"/>
              <w:spacing w:before="197" w:line="360" w:lineRule="auto"/>
              <w:ind w:right="87"/>
              <w:jc w:val="center"/>
              <w:rPr>
                <w:rFonts w:hint="eastAsia" w:cs="宋体"/>
                <w:b w:val="0"/>
                <w:bCs w:val="0"/>
                <w:spacing w:val="-3"/>
                <w:sz w:val="24"/>
                <w:szCs w:val="24"/>
                <w:lang w:val="en-US" w:eastAsia="zh-CN"/>
              </w:rPr>
            </w:pPr>
          </w:p>
          <w:p w14:paraId="32D135F8">
            <w:pPr>
              <w:pStyle w:val="397"/>
              <w:spacing w:before="197" w:line="360" w:lineRule="auto"/>
              <w:ind w:right="87"/>
              <w:jc w:val="center"/>
              <w:rPr>
                <w:rFonts w:hint="eastAsia" w:cs="宋体"/>
                <w:b w:val="0"/>
                <w:bCs w:val="0"/>
                <w:spacing w:val="-3"/>
                <w:sz w:val="24"/>
                <w:szCs w:val="24"/>
                <w:lang w:val="en-US" w:eastAsia="zh-CN"/>
              </w:rPr>
            </w:pPr>
          </w:p>
          <w:p w14:paraId="63446575">
            <w:pPr>
              <w:pStyle w:val="397"/>
              <w:spacing w:before="197" w:line="360" w:lineRule="auto"/>
              <w:ind w:right="87"/>
              <w:jc w:val="center"/>
              <w:rPr>
                <w:rFonts w:hint="eastAsia" w:cs="宋体"/>
                <w:b w:val="0"/>
                <w:bCs w:val="0"/>
                <w:spacing w:val="-3"/>
                <w:sz w:val="24"/>
                <w:szCs w:val="24"/>
                <w:lang w:val="en-US" w:eastAsia="zh-CN"/>
              </w:rPr>
            </w:pPr>
          </w:p>
          <w:p w14:paraId="5492F8A7">
            <w:pPr>
              <w:pStyle w:val="397"/>
              <w:spacing w:before="197" w:line="360" w:lineRule="auto"/>
              <w:ind w:right="87"/>
              <w:jc w:val="center"/>
              <w:rPr>
                <w:rFonts w:hint="default" w:cs="宋体"/>
                <w:b w:val="0"/>
                <w:bCs w:val="0"/>
                <w:spacing w:val="-3"/>
                <w:sz w:val="24"/>
                <w:szCs w:val="24"/>
                <w:lang w:val="en-US" w:eastAsia="zh-CN"/>
              </w:rPr>
            </w:pPr>
            <w:r>
              <w:rPr>
                <w:rFonts w:hint="eastAsia" w:cs="宋体"/>
                <w:b w:val="0"/>
                <w:bCs w:val="0"/>
                <w:spacing w:val="-3"/>
                <w:sz w:val="24"/>
                <w:szCs w:val="24"/>
                <w:lang w:val="en-US" w:eastAsia="zh-CN"/>
              </w:rPr>
              <w:t>16分</w:t>
            </w:r>
          </w:p>
        </w:tc>
      </w:tr>
      <w:tr w14:paraId="71B1D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0" w:hRule="atLeast"/>
          <w:jc w:val="center"/>
        </w:trPr>
        <w:tc>
          <w:tcPr>
            <w:tcW w:w="1359" w:type="dxa"/>
            <w:tcBorders>
              <w:left w:val="single" w:color="000000" w:sz="10" w:space="0"/>
              <w:right w:val="single" w:color="000000" w:sz="12" w:space="0"/>
            </w:tcBorders>
            <w:vAlign w:val="top"/>
          </w:tcPr>
          <w:p w14:paraId="12061565">
            <w:pPr>
              <w:pStyle w:val="397"/>
              <w:spacing w:before="197" w:line="360" w:lineRule="auto"/>
              <w:ind w:right="87"/>
              <w:jc w:val="center"/>
              <w:rPr>
                <w:rFonts w:hint="eastAsia" w:ascii="宋体" w:hAnsi="宋体" w:eastAsia="宋体" w:cs="宋体"/>
                <w:b w:val="0"/>
                <w:bCs w:val="0"/>
                <w:spacing w:val="-3"/>
                <w:sz w:val="24"/>
                <w:szCs w:val="24"/>
              </w:rPr>
            </w:pPr>
          </w:p>
          <w:p w14:paraId="30B12871">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3</w:t>
            </w:r>
          </w:p>
        </w:tc>
        <w:tc>
          <w:tcPr>
            <w:tcW w:w="1348" w:type="dxa"/>
            <w:tcBorders>
              <w:left w:val="single" w:color="000000" w:sz="12" w:space="0"/>
              <w:right w:val="single" w:color="000000" w:sz="12" w:space="0"/>
            </w:tcBorders>
            <w:vAlign w:val="top"/>
          </w:tcPr>
          <w:p w14:paraId="335BA648">
            <w:pPr>
              <w:pStyle w:val="397"/>
              <w:spacing w:before="197" w:line="360" w:lineRule="auto"/>
              <w:ind w:right="87"/>
              <w:jc w:val="both"/>
              <w:rPr>
                <w:rFonts w:hint="eastAsia" w:ascii="宋体" w:hAnsi="宋体" w:eastAsia="宋体" w:cs="宋体"/>
                <w:b w:val="0"/>
                <w:bCs w:val="0"/>
                <w:spacing w:val="-3"/>
                <w:sz w:val="24"/>
                <w:szCs w:val="24"/>
              </w:rPr>
            </w:pPr>
          </w:p>
          <w:p w14:paraId="745F1BCE">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主要人员配备</w:t>
            </w:r>
          </w:p>
        </w:tc>
        <w:tc>
          <w:tcPr>
            <w:tcW w:w="5753" w:type="dxa"/>
            <w:tcBorders>
              <w:left w:val="single" w:color="000000" w:sz="12" w:space="0"/>
              <w:right w:val="single" w:color="000000" w:sz="12" w:space="0"/>
            </w:tcBorders>
            <w:vAlign w:val="top"/>
          </w:tcPr>
          <w:p w14:paraId="4AF6F3FA">
            <w:pPr>
              <w:pStyle w:val="397"/>
              <w:spacing w:before="197" w:line="360" w:lineRule="auto"/>
              <w:ind w:right="87"/>
              <w:jc w:val="both"/>
              <w:rPr>
                <w:rFonts w:hint="default" w:ascii="宋体" w:hAnsi="宋体" w:eastAsia="宋体" w:cs="宋体"/>
                <w:b w:val="0"/>
                <w:bCs w:val="0"/>
                <w:spacing w:val="-3"/>
                <w:sz w:val="24"/>
                <w:szCs w:val="24"/>
                <w:lang w:val="en-US" w:eastAsia="zh-CN"/>
              </w:rPr>
            </w:pPr>
            <w:r>
              <w:rPr>
                <w:rFonts w:hint="eastAsia" w:ascii="宋体" w:hAnsi="宋体" w:eastAsia="宋体" w:cs="宋体"/>
                <w:b w:val="0"/>
                <w:bCs w:val="0"/>
                <w:spacing w:val="-3"/>
                <w:sz w:val="24"/>
                <w:szCs w:val="24"/>
                <w:lang w:val="en-US" w:eastAsia="zh-CN"/>
              </w:rPr>
              <w:t>根据供应商拟投入本项目的管理人员配备情况，</w:t>
            </w:r>
            <w:r>
              <w:rPr>
                <w:rFonts w:hint="eastAsia" w:cs="宋体"/>
                <w:b w:val="0"/>
                <w:bCs w:val="0"/>
                <w:spacing w:val="-3"/>
                <w:sz w:val="24"/>
                <w:szCs w:val="24"/>
                <w:lang w:val="en-US" w:eastAsia="zh-CN"/>
              </w:rPr>
              <w:t>包括以下内容：</w:t>
            </w:r>
            <w:r>
              <w:rPr>
                <w:rFonts w:hint="eastAsia" w:ascii="宋体" w:hAnsi="宋体" w:eastAsia="宋体" w:cs="宋体"/>
                <w:b w:val="0"/>
                <w:bCs w:val="0"/>
                <w:spacing w:val="-3"/>
                <w:sz w:val="24"/>
                <w:szCs w:val="24"/>
                <w:lang w:val="en-US" w:eastAsia="zh-CN"/>
              </w:rPr>
              <w:t>①项目管理人员配置清单；②项目人员的组织架构、职责分工；</w:t>
            </w:r>
            <w:r>
              <w:rPr>
                <w:rFonts w:hint="eastAsia" w:ascii="宋体" w:hAnsi="宋体" w:eastAsia="宋体" w:cs="宋体"/>
                <w:b w:val="0"/>
                <w:bCs w:val="0"/>
                <w:spacing w:val="-3"/>
                <w:sz w:val="24"/>
                <w:szCs w:val="24"/>
              </w:rPr>
              <w:t>以上内容每有一项缺失的扣</w:t>
            </w:r>
            <w:r>
              <w:rPr>
                <w:rFonts w:hint="eastAsia" w:ascii="宋体" w:hAnsi="宋体" w:eastAsia="宋体" w:cs="宋体"/>
                <w:b w:val="0"/>
                <w:bCs w:val="0"/>
                <w:spacing w:val="-3"/>
                <w:sz w:val="24"/>
                <w:szCs w:val="24"/>
                <w:lang w:val="en-US" w:eastAsia="zh-CN"/>
              </w:rPr>
              <w:t>3</w:t>
            </w:r>
            <w:r>
              <w:rPr>
                <w:rFonts w:hint="eastAsia" w:ascii="宋体" w:hAnsi="宋体" w:eastAsia="宋体" w:cs="宋体"/>
                <w:b w:val="0"/>
                <w:bCs w:val="0"/>
                <w:spacing w:val="-3"/>
                <w:sz w:val="24"/>
                <w:szCs w:val="24"/>
              </w:rPr>
              <w:t>分，每项中每有1处存在内容缺陷扣</w:t>
            </w:r>
            <w:r>
              <w:rPr>
                <w:rFonts w:hint="eastAsia" w:cs="宋体"/>
                <w:b w:val="0"/>
                <w:bCs w:val="0"/>
                <w:spacing w:val="-3"/>
                <w:sz w:val="24"/>
                <w:szCs w:val="24"/>
                <w:lang w:val="en-US" w:eastAsia="zh-CN"/>
              </w:rPr>
              <w:t>1</w:t>
            </w:r>
            <w:r>
              <w:rPr>
                <w:rFonts w:hint="eastAsia" w:ascii="宋体" w:hAnsi="宋体" w:eastAsia="宋体" w:cs="宋体"/>
                <w:b w:val="0"/>
                <w:bCs w:val="0"/>
                <w:spacing w:val="-3"/>
                <w:sz w:val="24"/>
                <w:szCs w:val="24"/>
              </w:rPr>
              <w:t>分</w:t>
            </w:r>
            <w:r>
              <w:rPr>
                <w:rFonts w:hint="eastAsia" w:cs="宋体"/>
                <w:b w:val="0"/>
                <w:bCs w:val="0"/>
                <w:spacing w:val="-3"/>
                <w:sz w:val="24"/>
                <w:szCs w:val="24"/>
                <w:lang w:eastAsia="zh-CN"/>
              </w:rPr>
              <w:t>。</w:t>
            </w:r>
            <w:r>
              <w:rPr>
                <w:rFonts w:hint="eastAsia" w:ascii="宋体" w:hAnsi="宋体" w:eastAsia="宋体" w:cs="宋体"/>
                <w:b w:val="0"/>
                <w:bCs w:val="0"/>
                <w:spacing w:val="-3"/>
                <w:sz w:val="24"/>
                <w:szCs w:val="24"/>
              </w:rPr>
              <w:t>（缺陷是指内容不完整或缺少关键点；非专门针对本项目或不适用本项目 特性、套用其他项目内容；对同一问题前后表述矛盾；存在逻辑漏洞、科学原理或常识错误、简单敷衍；不利于本项目目标的实现），扣完为止，未提供不得分。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106E43A9">
            <w:pPr>
              <w:pStyle w:val="397"/>
              <w:spacing w:before="197" w:line="360" w:lineRule="auto"/>
              <w:ind w:right="87"/>
              <w:jc w:val="center"/>
              <w:rPr>
                <w:rFonts w:hint="eastAsia" w:ascii="宋体" w:hAnsi="宋体" w:eastAsia="宋体" w:cs="宋体"/>
                <w:b w:val="0"/>
                <w:bCs w:val="0"/>
                <w:spacing w:val="-3"/>
                <w:sz w:val="24"/>
                <w:szCs w:val="24"/>
              </w:rPr>
            </w:pPr>
          </w:p>
          <w:p w14:paraId="5A2165F6">
            <w:pPr>
              <w:pStyle w:val="397"/>
              <w:spacing w:before="197" w:line="360" w:lineRule="auto"/>
              <w:ind w:right="87"/>
              <w:jc w:val="center"/>
              <w:rPr>
                <w:rFonts w:hint="eastAsia" w:cs="宋体"/>
                <w:b w:val="0"/>
                <w:bCs w:val="0"/>
                <w:spacing w:val="-3"/>
                <w:sz w:val="24"/>
                <w:szCs w:val="24"/>
                <w:lang w:val="en-US" w:eastAsia="zh-CN"/>
              </w:rPr>
            </w:pPr>
          </w:p>
          <w:p w14:paraId="5EB06F7F">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6</w:t>
            </w:r>
            <w:r>
              <w:rPr>
                <w:rFonts w:hint="eastAsia" w:ascii="宋体" w:hAnsi="宋体" w:eastAsia="宋体" w:cs="宋体"/>
                <w:b w:val="0"/>
                <w:bCs w:val="0"/>
                <w:spacing w:val="-3"/>
                <w:sz w:val="24"/>
                <w:szCs w:val="24"/>
              </w:rPr>
              <w:t>分</w:t>
            </w:r>
          </w:p>
        </w:tc>
      </w:tr>
      <w:tr w14:paraId="2A0C7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4" w:hRule="atLeast"/>
          <w:jc w:val="center"/>
        </w:trPr>
        <w:tc>
          <w:tcPr>
            <w:tcW w:w="1359" w:type="dxa"/>
            <w:tcBorders>
              <w:left w:val="single" w:color="000000" w:sz="10" w:space="0"/>
              <w:right w:val="single" w:color="000000" w:sz="12" w:space="0"/>
            </w:tcBorders>
            <w:vAlign w:val="top"/>
          </w:tcPr>
          <w:p w14:paraId="55B3B229">
            <w:pPr>
              <w:pStyle w:val="397"/>
              <w:spacing w:before="197" w:line="360" w:lineRule="auto"/>
              <w:ind w:right="87"/>
              <w:jc w:val="both"/>
              <w:rPr>
                <w:rFonts w:hint="eastAsia" w:ascii="宋体" w:hAnsi="宋体" w:eastAsia="宋体" w:cs="宋体"/>
                <w:b w:val="0"/>
                <w:bCs w:val="0"/>
                <w:spacing w:val="-3"/>
                <w:sz w:val="24"/>
                <w:szCs w:val="24"/>
              </w:rPr>
            </w:pPr>
          </w:p>
          <w:p w14:paraId="4E967C70">
            <w:pPr>
              <w:pStyle w:val="397"/>
              <w:spacing w:before="197" w:line="360" w:lineRule="auto"/>
              <w:ind w:right="87"/>
              <w:jc w:val="both"/>
              <w:rPr>
                <w:rFonts w:hint="eastAsia" w:ascii="宋体" w:hAnsi="宋体" w:eastAsia="宋体" w:cs="宋体"/>
                <w:b w:val="0"/>
                <w:bCs w:val="0"/>
                <w:spacing w:val="-3"/>
                <w:sz w:val="24"/>
                <w:szCs w:val="24"/>
              </w:rPr>
            </w:pPr>
          </w:p>
          <w:p w14:paraId="76A07DAB">
            <w:pPr>
              <w:pStyle w:val="397"/>
              <w:spacing w:before="197" w:line="360" w:lineRule="auto"/>
              <w:ind w:right="87"/>
              <w:jc w:val="both"/>
              <w:rPr>
                <w:rFonts w:hint="eastAsia" w:ascii="宋体" w:hAnsi="宋体" w:eastAsia="宋体" w:cs="宋体"/>
                <w:b w:val="0"/>
                <w:bCs w:val="0"/>
                <w:spacing w:val="-3"/>
                <w:sz w:val="24"/>
                <w:szCs w:val="24"/>
              </w:rPr>
            </w:pPr>
          </w:p>
          <w:p w14:paraId="677CFF65">
            <w:pPr>
              <w:pStyle w:val="397"/>
              <w:spacing w:before="197" w:line="360" w:lineRule="auto"/>
              <w:ind w:right="87"/>
              <w:jc w:val="center"/>
              <w:rPr>
                <w:rFonts w:hint="default"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4</w:t>
            </w:r>
          </w:p>
        </w:tc>
        <w:tc>
          <w:tcPr>
            <w:tcW w:w="1348" w:type="dxa"/>
            <w:tcBorders>
              <w:left w:val="single" w:color="000000" w:sz="12" w:space="0"/>
              <w:right w:val="single" w:color="000000" w:sz="12" w:space="0"/>
            </w:tcBorders>
            <w:vAlign w:val="top"/>
          </w:tcPr>
          <w:p w14:paraId="36311ECA">
            <w:pPr>
              <w:pStyle w:val="397"/>
              <w:spacing w:before="197" w:line="360" w:lineRule="auto"/>
              <w:ind w:right="87"/>
              <w:jc w:val="both"/>
              <w:rPr>
                <w:rFonts w:hint="eastAsia" w:ascii="宋体" w:hAnsi="宋体" w:eastAsia="宋体" w:cs="宋体"/>
                <w:b w:val="0"/>
                <w:bCs w:val="0"/>
                <w:spacing w:val="-3"/>
                <w:sz w:val="24"/>
                <w:szCs w:val="24"/>
              </w:rPr>
            </w:pPr>
          </w:p>
          <w:p w14:paraId="47C582F3">
            <w:pPr>
              <w:pStyle w:val="397"/>
              <w:spacing w:before="197" w:line="360" w:lineRule="auto"/>
              <w:ind w:right="87"/>
              <w:jc w:val="both"/>
              <w:rPr>
                <w:rFonts w:hint="eastAsia" w:ascii="宋体" w:hAnsi="宋体" w:eastAsia="宋体" w:cs="宋体"/>
                <w:b w:val="0"/>
                <w:bCs w:val="0"/>
                <w:spacing w:val="-3"/>
                <w:sz w:val="24"/>
                <w:szCs w:val="24"/>
              </w:rPr>
            </w:pPr>
          </w:p>
          <w:p w14:paraId="5E0C29A2">
            <w:pPr>
              <w:pStyle w:val="397"/>
              <w:spacing w:before="197" w:line="360" w:lineRule="auto"/>
              <w:ind w:right="87"/>
              <w:jc w:val="both"/>
              <w:rPr>
                <w:rFonts w:hint="eastAsia" w:ascii="宋体" w:hAnsi="宋体" w:eastAsia="宋体" w:cs="宋体"/>
                <w:b w:val="0"/>
                <w:bCs w:val="0"/>
                <w:spacing w:val="-3"/>
                <w:sz w:val="24"/>
                <w:szCs w:val="24"/>
              </w:rPr>
            </w:pPr>
          </w:p>
          <w:p w14:paraId="68BBED6E">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服务承诺</w:t>
            </w:r>
          </w:p>
        </w:tc>
        <w:tc>
          <w:tcPr>
            <w:tcW w:w="5753" w:type="dxa"/>
            <w:tcBorders>
              <w:left w:val="single" w:color="000000" w:sz="12" w:space="0"/>
              <w:right w:val="single" w:color="000000" w:sz="12" w:space="0"/>
            </w:tcBorders>
            <w:vAlign w:val="top"/>
          </w:tcPr>
          <w:p w14:paraId="4C5886B6">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服务承诺，包括以下内容：①服务</w:t>
            </w:r>
            <w:r>
              <w:rPr>
                <w:rFonts w:hint="eastAsia" w:cs="宋体"/>
                <w:b w:val="0"/>
                <w:bCs w:val="0"/>
                <w:spacing w:val="-3"/>
                <w:sz w:val="24"/>
                <w:szCs w:val="24"/>
                <w:lang w:val="en-US" w:eastAsia="zh-CN"/>
              </w:rPr>
              <w:t>响应时间</w:t>
            </w:r>
            <w:r>
              <w:rPr>
                <w:rFonts w:hint="eastAsia" w:ascii="宋体" w:hAnsi="宋体" w:eastAsia="宋体" w:cs="宋体"/>
                <w:b w:val="0"/>
                <w:bCs w:val="0"/>
                <w:spacing w:val="-3"/>
                <w:sz w:val="24"/>
                <w:szCs w:val="24"/>
              </w:rPr>
              <w:t>承诺方案；②服务质量保障承诺方案；③</w:t>
            </w:r>
            <w:r>
              <w:rPr>
                <w:rFonts w:hint="eastAsia" w:cs="宋体"/>
                <w:b w:val="0"/>
                <w:bCs w:val="0"/>
                <w:spacing w:val="-3"/>
                <w:sz w:val="24"/>
                <w:szCs w:val="24"/>
                <w:lang w:val="en-US" w:eastAsia="zh-CN"/>
              </w:rPr>
              <w:t>增值</w:t>
            </w:r>
            <w:r>
              <w:rPr>
                <w:rFonts w:hint="eastAsia" w:ascii="宋体" w:hAnsi="宋体" w:eastAsia="宋体" w:cs="宋体"/>
                <w:b w:val="0"/>
                <w:bCs w:val="0"/>
                <w:spacing w:val="-3"/>
                <w:sz w:val="24"/>
                <w:szCs w:val="24"/>
              </w:rPr>
              <w:t>服务承诺方案。；以上内容每有一项缺失的扣</w:t>
            </w:r>
            <w:r>
              <w:rPr>
                <w:rFonts w:hint="eastAsia" w:cs="宋体"/>
                <w:b w:val="0"/>
                <w:bCs w:val="0"/>
                <w:spacing w:val="-3"/>
                <w:sz w:val="24"/>
                <w:szCs w:val="24"/>
                <w:lang w:val="en-US" w:eastAsia="zh-CN"/>
              </w:rPr>
              <w:t>2</w:t>
            </w:r>
            <w:r>
              <w:rPr>
                <w:rFonts w:hint="eastAsia" w:ascii="宋体" w:hAnsi="宋体" w:eastAsia="宋体" w:cs="宋体"/>
                <w:b w:val="0"/>
                <w:bCs w:val="0"/>
                <w:spacing w:val="-3"/>
                <w:sz w:val="24"/>
                <w:szCs w:val="24"/>
              </w:rPr>
              <w:t>分，每项中每有1处存在内容缺陷扣1分（缺陷是指内容不完整或缺少关键点；非专门针对本项目或不适用本项目 特性、套用其他项目内容；对同一问题前后表述矛盾；存在逻辑漏洞、科学 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2F0C6002">
            <w:pPr>
              <w:pStyle w:val="397"/>
              <w:spacing w:before="197" w:line="360" w:lineRule="auto"/>
              <w:ind w:right="87"/>
              <w:jc w:val="both"/>
              <w:rPr>
                <w:rFonts w:hint="eastAsia" w:ascii="宋体" w:hAnsi="宋体" w:eastAsia="宋体" w:cs="宋体"/>
                <w:b w:val="0"/>
                <w:bCs w:val="0"/>
                <w:spacing w:val="-3"/>
                <w:sz w:val="24"/>
                <w:szCs w:val="24"/>
              </w:rPr>
            </w:pPr>
          </w:p>
          <w:p w14:paraId="5AF9137E">
            <w:pPr>
              <w:pStyle w:val="397"/>
              <w:spacing w:before="197" w:line="360" w:lineRule="auto"/>
              <w:ind w:right="87"/>
              <w:jc w:val="both"/>
              <w:rPr>
                <w:rFonts w:hint="eastAsia" w:ascii="宋体" w:hAnsi="宋体" w:eastAsia="宋体" w:cs="宋体"/>
                <w:b w:val="0"/>
                <w:bCs w:val="0"/>
                <w:spacing w:val="-3"/>
                <w:sz w:val="24"/>
                <w:szCs w:val="24"/>
              </w:rPr>
            </w:pPr>
          </w:p>
          <w:p w14:paraId="2E2F6C12">
            <w:pPr>
              <w:pStyle w:val="397"/>
              <w:spacing w:before="197" w:line="360" w:lineRule="auto"/>
              <w:ind w:right="87"/>
              <w:jc w:val="both"/>
              <w:rPr>
                <w:rFonts w:hint="eastAsia" w:ascii="宋体" w:hAnsi="宋体" w:eastAsia="宋体" w:cs="宋体"/>
                <w:b w:val="0"/>
                <w:bCs w:val="0"/>
                <w:spacing w:val="-3"/>
                <w:sz w:val="24"/>
                <w:szCs w:val="24"/>
              </w:rPr>
            </w:pPr>
          </w:p>
          <w:p w14:paraId="3E204DCA">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6</w:t>
            </w:r>
            <w:r>
              <w:rPr>
                <w:rFonts w:hint="eastAsia" w:ascii="宋体" w:hAnsi="宋体" w:eastAsia="宋体" w:cs="宋体"/>
                <w:b w:val="0"/>
                <w:bCs w:val="0"/>
                <w:spacing w:val="-3"/>
                <w:sz w:val="24"/>
                <w:szCs w:val="24"/>
              </w:rPr>
              <w:t>分</w:t>
            </w:r>
          </w:p>
        </w:tc>
      </w:tr>
      <w:tr w14:paraId="3866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3" w:hRule="atLeast"/>
          <w:jc w:val="center"/>
        </w:trPr>
        <w:tc>
          <w:tcPr>
            <w:tcW w:w="1359" w:type="dxa"/>
            <w:tcBorders>
              <w:left w:val="single" w:color="000000" w:sz="10" w:space="0"/>
              <w:right w:val="single" w:color="000000" w:sz="12" w:space="0"/>
            </w:tcBorders>
            <w:vAlign w:val="top"/>
          </w:tcPr>
          <w:p w14:paraId="6E9F1DF8">
            <w:pPr>
              <w:pStyle w:val="397"/>
              <w:spacing w:before="197" w:line="360" w:lineRule="auto"/>
              <w:ind w:right="87"/>
              <w:jc w:val="both"/>
              <w:rPr>
                <w:rFonts w:hint="eastAsia" w:ascii="宋体" w:hAnsi="宋体" w:eastAsia="宋体" w:cs="宋体"/>
                <w:b w:val="0"/>
                <w:bCs w:val="0"/>
                <w:spacing w:val="-3"/>
                <w:sz w:val="24"/>
                <w:szCs w:val="24"/>
              </w:rPr>
            </w:pPr>
          </w:p>
          <w:p w14:paraId="76AA7685">
            <w:pPr>
              <w:pStyle w:val="397"/>
              <w:spacing w:before="197" w:line="360" w:lineRule="auto"/>
              <w:ind w:right="87"/>
              <w:jc w:val="both"/>
              <w:rPr>
                <w:rFonts w:hint="eastAsia" w:ascii="宋体" w:hAnsi="宋体" w:eastAsia="宋体" w:cs="宋体"/>
                <w:b w:val="0"/>
                <w:bCs w:val="0"/>
                <w:spacing w:val="-3"/>
                <w:sz w:val="24"/>
                <w:szCs w:val="24"/>
              </w:rPr>
            </w:pPr>
          </w:p>
          <w:p w14:paraId="67AD1D0B">
            <w:pPr>
              <w:pStyle w:val="397"/>
              <w:spacing w:before="197" w:line="360" w:lineRule="auto"/>
              <w:ind w:right="87"/>
              <w:jc w:val="center"/>
              <w:rPr>
                <w:rFonts w:hint="default"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5</w:t>
            </w:r>
          </w:p>
        </w:tc>
        <w:tc>
          <w:tcPr>
            <w:tcW w:w="1348" w:type="dxa"/>
            <w:tcBorders>
              <w:left w:val="single" w:color="000000" w:sz="12" w:space="0"/>
              <w:right w:val="single" w:color="000000" w:sz="12" w:space="0"/>
            </w:tcBorders>
            <w:vAlign w:val="top"/>
          </w:tcPr>
          <w:p w14:paraId="58324749">
            <w:pPr>
              <w:pStyle w:val="397"/>
              <w:spacing w:before="197" w:line="360" w:lineRule="auto"/>
              <w:ind w:right="87"/>
              <w:jc w:val="both"/>
              <w:rPr>
                <w:rFonts w:hint="eastAsia" w:ascii="宋体" w:hAnsi="宋体" w:eastAsia="宋体" w:cs="宋体"/>
                <w:b w:val="0"/>
                <w:bCs w:val="0"/>
                <w:spacing w:val="-3"/>
                <w:sz w:val="24"/>
                <w:szCs w:val="24"/>
              </w:rPr>
            </w:pPr>
          </w:p>
          <w:p w14:paraId="158AB2A5">
            <w:pPr>
              <w:pStyle w:val="397"/>
              <w:spacing w:before="197" w:line="360" w:lineRule="auto"/>
              <w:ind w:right="87"/>
              <w:jc w:val="both"/>
              <w:rPr>
                <w:rFonts w:hint="eastAsia" w:ascii="宋体" w:hAnsi="宋体" w:eastAsia="宋体" w:cs="宋体"/>
                <w:b w:val="0"/>
                <w:bCs w:val="0"/>
                <w:spacing w:val="-3"/>
                <w:sz w:val="24"/>
                <w:szCs w:val="24"/>
              </w:rPr>
            </w:pPr>
          </w:p>
          <w:p w14:paraId="339542AB">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应急预案</w:t>
            </w:r>
          </w:p>
        </w:tc>
        <w:tc>
          <w:tcPr>
            <w:tcW w:w="5753" w:type="dxa"/>
            <w:tcBorders>
              <w:left w:val="single" w:color="000000" w:sz="12" w:space="0"/>
              <w:right w:val="single" w:color="000000" w:sz="12" w:space="0"/>
            </w:tcBorders>
            <w:vAlign w:val="top"/>
          </w:tcPr>
          <w:p w14:paraId="469863A9">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应急预案包括以下内容:1.人员等发生人身意外的处理方法；</w:t>
            </w:r>
            <w:r>
              <w:rPr>
                <w:rFonts w:hint="eastAsia" w:cs="宋体"/>
                <w:b w:val="0"/>
                <w:bCs w:val="0"/>
                <w:spacing w:val="-3"/>
                <w:sz w:val="24"/>
                <w:szCs w:val="24"/>
                <w:lang w:val="en-US" w:eastAsia="zh-CN"/>
              </w:rPr>
              <w:t>2</w:t>
            </w:r>
            <w:r>
              <w:rPr>
                <w:rFonts w:hint="eastAsia" w:ascii="宋体" w:hAnsi="宋体" w:eastAsia="宋体" w:cs="宋体"/>
                <w:b w:val="0"/>
                <w:bCs w:val="0"/>
                <w:spacing w:val="-3"/>
                <w:sz w:val="24"/>
                <w:szCs w:val="24"/>
              </w:rPr>
              <w:t>.特殊天气等自然条件的应急处理</w:t>
            </w:r>
            <w:r>
              <w:rPr>
                <w:rFonts w:hint="eastAsia" w:cs="宋体"/>
                <w:b w:val="0"/>
                <w:bCs w:val="0"/>
                <w:spacing w:val="-3"/>
                <w:sz w:val="24"/>
                <w:szCs w:val="24"/>
                <w:lang w:val="en-US" w:eastAsia="zh-CN"/>
              </w:rPr>
              <w:t>方案</w:t>
            </w:r>
            <w:r>
              <w:rPr>
                <w:rFonts w:hint="eastAsia" w:ascii="宋体" w:hAnsi="宋体" w:eastAsia="宋体" w:cs="宋体"/>
                <w:b w:val="0"/>
                <w:bCs w:val="0"/>
                <w:spacing w:val="-3"/>
                <w:sz w:val="24"/>
                <w:szCs w:val="24"/>
              </w:rPr>
              <w:t>；</w:t>
            </w:r>
            <w:r>
              <w:rPr>
                <w:rFonts w:hint="eastAsia" w:cs="宋体"/>
                <w:b w:val="0"/>
                <w:bCs w:val="0"/>
                <w:spacing w:val="-3"/>
                <w:sz w:val="24"/>
                <w:szCs w:val="24"/>
                <w:lang w:val="en-US" w:eastAsia="zh-CN"/>
              </w:rPr>
              <w:t>3</w:t>
            </w:r>
            <w:r>
              <w:rPr>
                <w:rFonts w:hint="eastAsia" w:ascii="宋体" w:hAnsi="宋体" w:eastAsia="宋体" w:cs="宋体"/>
                <w:b w:val="0"/>
                <w:bCs w:val="0"/>
                <w:spacing w:val="-3"/>
                <w:sz w:val="24"/>
                <w:szCs w:val="24"/>
              </w:rPr>
              <w:t>.</w:t>
            </w:r>
            <w:r>
              <w:rPr>
                <w:rFonts w:hint="eastAsia" w:cs="宋体"/>
                <w:b w:val="0"/>
                <w:bCs w:val="0"/>
                <w:spacing w:val="-3"/>
                <w:sz w:val="24"/>
                <w:szCs w:val="24"/>
                <w:lang w:val="en-US" w:eastAsia="zh-CN"/>
              </w:rPr>
              <w:t>由于道路改造施工、交通管理</w:t>
            </w:r>
            <w:r>
              <w:rPr>
                <w:rFonts w:hint="eastAsia" w:ascii="宋体" w:hAnsi="宋体" w:eastAsia="宋体" w:cs="宋体"/>
                <w:b w:val="0"/>
                <w:bCs w:val="0"/>
                <w:spacing w:val="-3"/>
                <w:sz w:val="24"/>
                <w:szCs w:val="24"/>
              </w:rPr>
              <w:t>的应急处理</w:t>
            </w:r>
            <w:r>
              <w:rPr>
                <w:rFonts w:hint="eastAsia" w:cs="宋体"/>
                <w:b w:val="0"/>
                <w:bCs w:val="0"/>
                <w:spacing w:val="-3"/>
                <w:sz w:val="24"/>
                <w:szCs w:val="24"/>
                <w:lang w:val="en-US" w:eastAsia="zh-CN"/>
              </w:rPr>
              <w:t>方案</w:t>
            </w:r>
            <w:r>
              <w:rPr>
                <w:rFonts w:hint="eastAsia" w:ascii="宋体" w:hAnsi="宋体" w:eastAsia="宋体" w:cs="宋体"/>
                <w:b w:val="0"/>
                <w:bCs w:val="0"/>
                <w:spacing w:val="-3"/>
                <w:sz w:val="24"/>
                <w:szCs w:val="24"/>
              </w:rPr>
              <w:t>；</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w:t>
            </w:r>
            <w:r>
              <w:rPr>
                <w:rFonts w:hint="eastAsia" w:cs="宋体"/>
                <w:b w:val="0"/>
                <w:bCs w:val="0"/>
                <w:spacing w:val="-3"/>
                <w:sz w:val="24"/>
                <w:szCs w:val="24"/>
                <w:lang w:val="en-US" w:eastAsia="zh-CN"/>
              </w:rPr>
              <w:t>发生</w:t>
            </w:r>
            <w:r>
              <w:rPr>
                <w:rFonts w:hint="eastAsia" w:ascii="宋体" w:hAnsi="宋体" w:eastAsia="宋体" w:cs="宋体"/>
                <w:b w:val="0"/>
                <w:bCs w:val="0"/>
                <w:spacing w:val="-3"/>
                <w:sz w:val="24"/>
                <w:szCs w:val="24"/>
              </w:rPr>
              <w:t>交通事故</w:t>
            </w:r>
            <w:r>
              <w:rPr>
                <w:rFonts w:hint="eastAsia" w:cs="宋体"/>
                <w:b w:val="0"/>
                <w:bCs w:val="0"/>
                <w:spacing w:val="-3"/>
                <w:sz w:val="24"/>
                <w:szCs w:val="24"/>
                <w:lang w:val="en-US" w:eastAsia="zh-CN"/>
              </w:rPr>
              <w:t>应急</w:t>
            </w:r>
            <w:r>
              <w:rPr>
                <w:rFonts w:hint="eastAsia" w:ascii="宋体" w:hAnsi="宋体" w:eastAsia="宋体" w:cs="宋体"/>
                <w:b w:val="0"/>
                <w:bCs w:val="0"/>
                <w:spacing w:val="-3"/>
                <w:sz w:val="24"/>
                <w:szCs w:val="24"/>
              </w:rPr>
              <w:t>处理的详细方案。以上内容每有一项缺失的扣</w:t>
            </w:r>
            <w:r>
              <w:rPr>
                <w:rFonts w:hint="eastAsia" w:cs="宋体"/>
                <w:b w:val="0"/>
                <w:bCs w:val="0"/>
                <w:spacing w:val="-3"/>
                <w:sz w:val="24"/>
                <w:szCs w:val="24"/>
                <w:lang w:val="en-US" w:eastAsia="zh-CN"/>
              </w:rPr>
              <w:t>3</w:t>
            </w:r>
            <w:r>
              <w:rPr>
                <w:rFonts w:hint="eastAsia" w:ascii="宋体" w:hAnsi="宋体" w:eastAsia="宋体" w:cs="宋体"/>
                <w:b w:val="0"/>
                <w:bCs w:val="0"/>
                <w:spacing w:val="-3"/>
                <w:sz w:val="24"/>
                <w:szCs w:val="24"/>
              </w:rPr>
              <w:t>分，每项中每有 1 处存在内容缺陷扣 1 分 （缺陷是指内容不完整或缺少关键点；非专门针对本项目或不适用本项目特 性、套用其他项目内容；对同一问题前后表述矛盾；存在逻辑漏洞、科学原 理或常识错误、简单敷衍；不利于本项目目标的实现），扣完为止，未提供 不得分。</w:t>
            </w:r>
          </w:p>
        </w:tc>
        <w:tc>
          <w:tcPr>
            <w:tcW w:w="1169" w:type="dxa"/>
            <w:tcBorders>
              <w:top w:val="single" w:color="000000" w:sz="10" w:space="0"/>
              <w:left w:val="single" w:color="000000" w:sz="12" w:space="0"/>
            </w:tcBorders>
            <w:vAlign w:val="top"/>
          </w:tcPr>
          <w:p w14:paraId="3590D354">
            <w:pPr>
              <w:pStyle w:val="397"/>
              <w:spacing w:before="197" w:line="360" w:lineRule="auto"/>
              <w:ind w:right="87"/>
              <w:jc w:val="both"/>
              <w:rPr>
                <w:rFonts w:hint="eastAsia" w:ascii="宋体" w:hAnsi="宋体" w:eastAsia="宋体" w:cs="宋体"/>
                <w:b w:val="0"/>
                <w:bCs w:val="0"/>
                <w:spacing w:val="-3"/>
                <w:sz w:val="24"/>
                <w:szCs w:val="24"/>
              </w:rPr>
            </w:pPr>
          </w:p>
          <w:p w14:paraId="7735F533">
            <w:pPr>
              <w:pStyle w:val="397"/>
              <w:spacing w:before="197" w:line="360" w:lineRule="auto"/>
              <w:ind w:right="87"/>
              <w:jc w:val="both"/>
              <w:rPr>
                <w:rFonts w:hint="eastAsia" w:ascii="宋体" w:hAnsi="宋体" w:eastAsia="宋体" w:cs="宋体"/>
                <w:b w:val="0"/>
                <w:bCs w:val="0"/>
                <w:spacing w:val="-3"/>
                <w:sz w:val="24"/>
                <w:szCs w:val="24"/>
              </w:rPr>
            </w:pPr>
          </w:p>
          <w:p w14:paraId="289E7DC7">
            <w:pPr>
              <w:pStyle w:val="397"/>
              <w:spacing w:before="197" w:line="360" w:lineRule="auto"/>
              <w:ind w:right="87"/>
              <w:jc w:val="both"/>
              <w:rPr>
                <w:rFonts w:hint="eastAsia" w:ascii="宋体" w:hAnsi="宋体" w:eastAsia="宋体" w:cs="宋体"/>
                <w:b w:val="0"/>
                <w:bCs w:val="0"/>
                <w:spacing w:val="-3"/>
                <w:sz w:val="24"/>
                <w:szCs w:val="24"/>
              </w:rPr>
            </w:pPr>
          </w:p>
          <w:p w14:paraId="0426792F">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w:t>
            </w:r>
            <w:r>
              <w:rPr>
                <w:rFonts w:hint="eastAsia" w:cs="宋体"/>
                <w:b w:val="0"/>
                <w:bCs w:val="0"/>
                <w:spacing w:val="-3"/>
                <w:sz w:val="24"/>
                <w:szCs w:val="24"/>
                <w:lang w:val="en-US" w:eastAsia="zh-CN"/>
              </w:rPr>
              <w:t>2</w:t>
            </w:r>
            <w:r>
              <w:rPr>
                <w:rFonts w:hint="eastAsia" w:ascii="宋体" w:hAnsi="宋体" w:eastAsia="宋体" w:cs="宋体"/>
                <w:b w:val="0"/>
                <w:bCs w:val="0"/>
                <w:spacing w:val="-3"/>
                <w:sz w:val="24"/>
                <w:szCs w:val="24"/>
              </w:rPr>
              <w:t xml:space="preserve"> 分</w:t>
            </w:r>
          </w:p>
        </w:tc>
      </w:tr>
      <w:tr w14:paraId="4142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jc w:val="center"/>
        </w:trPr>
        <w:tc>
          <w:tcPr>
            <w:tcW w:w="1359" w:type="dxa"/>
            <w:vAlign w:val="top"/>
          </w:tcPr>
          <w:p w14:paraId="3EC88C3C">
            <w:pPr>
              <w:pStyle w:val="397"/>
              <w:spacing w:before="197" w:line="360" w:lineRule="auto"/>
              <w:ind w:right="87"/>
              <w:jc w:val="both"/>
              <w:rPr>
                <w:rFonts w:hint="eastAsia" w:ascii="宋体" w:hAnsi="宋体" w:eastAsia="宋体" w:cs="宋体"/>
                <w:b w:val="0"/>
                <w:bCs w:val="0"/>
                <w:spacing w:val="-3"/>
                <w:sz w:val="24"/>
                <w:szCs w:val="24"/>
              </w:rPr>
            </w:pPr>
          </w:p>
          <w:p w14:paraId="3F697356">
            <w:pPr>
              <w:pStyle w:val="397"/>
              <w:spacing w:before="197" w:line="360" w:lineRule="auto"/>
              <w:ind w:right="87"/>
              <w:jc w:val="both"/>
              <w:rPr>
                <w:rFonts w:hint="eastAsia" w:ascii="宋体" w:hAnsi="宋体" w:eastAsia="宋体" w:cs="宋体"/>
                <w:b w:val="0"/>
                <w:bCs w:val="0"/>
                <w:spacing w:val="-3"/>
                <w:sz w:val="24"/>
                <w:szCs w:val="24"/>
              </w:rPr>
            </w:pPr>
          </w:p>
          <w:p w14:paraId="76162D93">
            <w:pPr>
              <w:pStyle w:val="397"/>
              <w:spacing w:before="197" w:line="360" w:lineRule="auto"/>
              <w:ind w:right="87"/>
              <w:jc w:val="center"/>
              <w:rPr>
                <w:rFonts w:hint="default"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6</w:t>
            </w:r>
          </w:p>
        </w:tc>
        <w:tc>
          <w:tcPr>
            <w:tcW w:w="1348" w:type="dxa"/>
            <w:vAlign w:val="top"/>
          </w:tcPr>
          <w:p w14:paraId="70099920">
            <w:pPr>
              <w:pStyle w:val="397"/>
              <w:spacing w:before="197" w:line="360" w:lineRule="auto"/>
              <w:ind w:right="87"/>
              <w:jc w:val="both"/>
              <w:rPr>
                <w:rFonts w:hint="eastAsia" w:ascii="宋体" w:hAnsi="宋体" w:eastAsia="宋体" w:cs="宋体"/>
                <w:b w:val="0"/>
                <w:bCs w:val="0"/>
                <w:spacing w:val="-3"/>
                <w:sz w:val="24"/>
                <w:szCs w:val="24"/>
              </w:rPr>
            </w:pPr>
          </w:p>
          <w:p w14:paraId="6D22C836">
            <w:pPr>
              <w:pStyle w:val="397"/>
              <w:spacing w:before="197" w:line="360" w:lineRule="auto"/>
              <w:ind w:right="87"/>
              <w:jc w:val="both"/>
              <w:rPr>
                <w:rFonts w:hint="eastAsia" w:ascii="宋体" w:hAnsi="宋体" w:eastAsia="宋体" w:cs="宋体"/>
                <w:b w:val="0"/>
                <w:bCs w:val="0"/>
                <w:spacing w:val="-3"/>
                <w:sz w:val="24"/>
                <w:szCs w:val="24"/>
              </w:rPr>
            </w:pPr>
          </w:p>
          <w:p w14:paraId="438E7DC3">
            <w:pPr>
              <w:pStyle w:val="397"/>
              <w:spacing w:before="197" w:line="360" w:lineRule="auto"/>
              <w:ind w:right="87"/>
              <w:jc w:val="both"/>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备品备件保障方案</w:t>
            </w:r>
          </w:p>
        </w:tc>
        <w:tc>
          <w:tcPr>
            <w:tcW w:w="5753" w:type="dxa"/>
            <w:vAlign w:val="top"/>
          </w:tcPr>
          <w:p w14:paraId="32286A00">
            <w:pPr>
              <w:pStyle w:val="397"/>
              <w:spacing w:before="197" w:line="360" w:lineRule="auto"/>
              <w:ind w:right="87"/>
              <w:jc w:val="both"/>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备品备件保障方案</w:t>
            </w:r>
            <w:r>
              <w:rPr>
                <w:rFonts w:hint="eastAsia" w:ascii="宋体" w:hAnsi="宋体" w:eastAsia="宋体" w:cs="宋体"/>
                <w:b w:val="0"/>
                <w:bCs w:val="0"/>
                <w:spacing w:val="-3"/>
                <w:sz w:val="24"/>
                <w:szCs w:val="24"/>
              </w:rPr>
              <w:t>，包括以下内容：</w:t>
            </w:r>
            <w:r>
              <w:rPr>
                <w:rFonts w:hint="eastAsia" w:cs="宋体"/>
                <w:b w:val="0"/>
                <w:bCs w:val="0"/>
                <w:spacing w:val="-3"/>
                <w:sz w:val="24"/>
                <w:szCs w:val="24"/>
                <w:lang w:val="en-US" w:eastAsia="zh-CN"/>
              </w:rPr>
              <w:t>1.备品备件保障方案</w:t>
            </w:r>
            <w:r>
              <w:rPr>
                <w:rFonts w:hint="eastAsia" w:cs="宋体"/>
                <w:b w:val="0"/>
                <w:bCs w:val="0"/>
                <w:spacing w:val="-3"/>
                <w:sz w:val="24"/>
                <w:szCs w:val="24"/>
                <w:lang w:eastAsia="zh-CN"/>
              </w:rPr>
              <w:t>；</w:t>
            </w:r>
            <w:r>
              <w:rPr>
                <w:rFonts w:hint="eastAsia" w:cs="宋体"/>
                <w:b w:val="0"/>
                <w:bCs w:val="0"/>
                <w:spacing w:val="-3"/>
                <w:sz w:val="24"/>
                <w:szCs w:val="24"/>
                <w:lang w:val="en-US" w:eastAsia="zh-CN"/>
              </w:rPr>
              <w:t>2.</w:t>
            </w:r>
            <w:r>
              <w:rPr>
                <w:rFonts w:hint="eastAsia" w:ascii="宋体" w:hAnsi="宋体" w:eastAsia="宋体" w:cs="宋体"/>
                <w:b w:val="0"/>
                <w:bCs w:val="0"/>
                <w:spacing w:val="-3"/>
                <w:sz w:val="24"/>
                <w:szCs w:val="24"/>
              </w:rPr>
              <w:t>易损件的替换方案</w:t>
            </w:r>
            <w:r>
              <w:rPr>
                <w:rFonts w:hint="eastAsia" w:cs="宋体"/>
                <w:b w:val="0"/>
                <w:bCs w:val="0"/>
                <w:spacing w:val="-3"/>
                <w:sz w:val="24"/>
                <w:szCs w:val="24"/>
                <w:lang w:eastAsia="zh-CN"/>
              </w:rPr>
              <w:t>；</w:t>
            </w:r>
            <w:r>
              <w:rPr>
                <w:rFonts w:hint="eastAsia" w:ascii="宋体" w:hAnsi="宋体" w:eastAsia="宋体" w:cs="宋体"/>
                <w:b w:val="0"/>
                <w:bCs w:val="0"/>
                <w:spacing w:val="-3"/>
                <w:sz w:val="24"/>
                <w:szCs w:val="24"/>
              </w:rPr>
              <w:t>以上内容每有一项缺失的扣3分，每项中每有1处存在内容缺陷扣1分（缺陷是指内容不完整或缺少关键点；非专门针对本项目或不适用本项目特性、套用其他项目内容；对同一问题前后表述矛盾；存在逻辑漏洞、科学原 理或常识错误、简单敷衍；不利于本项目目标的实现），扣完为止，未提供不得分。</w:t>
            </w:r>
          </w:p>
        </w:tc>
        <w:tc>
          <w:tcPr>
            <w:tcW w:w="1169" w:type="dxa"/>
            <w:vAlign w:val="top"/>
          </w:tcPr>
          <w:p w14:paraId="2AAC6ED6">
            <w:pPr>
              <w:pStyle w:val="397"/>
              <w:spacing w:before="197" w:line="360" w:lineRule="auto"/>
              <w:ind w:right="87"/>
              <w:jc w:val="both"/>
              <w:rPr>
                <w:rFonts w:hint="eastAsia" w:ascii="宋体" w:hAnsi="宋体" w:eastAsia="宋体" w:cs="宋体"/>
                <w:b w:val="0"/>
                <w:bCs w:val="0"/>
                <w:spacing w:val="-3"/>
                <w:sz w:val="24"/>
                <w:szCs w:val="24"/>
              </w:rPr>
            </w:pPr>
          </w:p>
          <w:p w14:paraId="324D2C7C">
            <w:pPr>
              <w:pStyle w:val="397"/>
              <w:spacing w:before="197" w:line="360" w:lineRule="auto"/>
              <w:ind w:right="87"/>
              <w:jc w:val="both"/>
              <w:rPr>
                <w:rFonts w:hint="eastAsia" w:ascii="宋体" w:hAnsi="宋体" w:eastAsia="宋体" w:cs="宋体"/>
                <w:b w:val="0"/>
                <w:bCs w:val="0"/>
                <w:spacing w:val="-3"/>
                <w:sz w:val="24"/>
                <w:szCs w:val="24"/>
              </w:rPr>
            </w:pPr>
          </w:p>
          <w:p w14:paraId="4606AFDC">
            <w:pPr>
              <w:pStyle w:val="397"/>
              <w:spacing w:before="197" w:line="360" w:lineRule="auto"/>
              <w:ind w:right="87"/>
              <w:jc w:val="both"/>
              <w:rPr>
                <w:rFonts w:hint="eastAsia" w:ascii="宋体" w:hAnsi="宋体" w:eastAsia="宋体" w:cs="宋体"/>
                <w:b w:val="0"/>
                <w:bCs w:val="0"/>
                <w:spacing w:val="-3"/>
                <w:sz w:val="24"/>
                <w:szCs w:val="24"/>
              </w:rPr>
            </w:pPr>
          </w:p>
          <w:p w14:paraId="2D6E3BF5">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6</w:t>
            </w:r>
            <w:r>
              <w:rPr>
                <w:rFonts w:hint="eastAsia" w:ascii="宋体" w:hAnsi="宋体" w:eastAsia="宋体" w:cs="宋体"/>
                <w:b w:val="0"/>
                <w:bCs w:val="0"/>
                <w:spacing w:val="-3"/>
                <w:sz w:val="24"/>
                <w:szCs w:val="24"/>
              </w:rPr>
              <w:t>分</w:t>
            </w:r>
          </w:p>
        </w:tc>
      </w:tr>
    </w:tbl>
    <w:p w14:paraId="53FE56D6">
      <w:pPr>
        <w:pStyle w:val="23"/>
        <w:rPr>
          <w:rFonts w:hint="eastAsia" w:ascii="宋体" w:hAnsi="宋体" w:eastAsia="宋体" w:cs="宋体"/>
          <w:b w:val="0"/>
          <w:bCs w:val="0"/>
        </w:rPr>
      </w:pPr>
    </w:p>
    <w:p w14:paraId="6E8D60D5">
      <w:pPr>
        <w:rPr>
          <w:rFonts w:hint="eastAsia" w:asciiTheme="minorEastAsia" w:hAnsiTheme="minorEastAsia" w:eastAsiaTheme="minorEastAsia" w:cstheme="minorEastAsia"/>
          <w:bCs/>
          <w:color w:val="auto"/>
          <w:sz w:val="32"/>
          <w:szCs w:val="32"/>
          <w:highlight w:val="none"/>
        </w:rPr>
      </w:pPr>
    </w:p>
    <w:p w14:paraId="5A2790DC">
      <w:pPr>
        <w:pStyle w:val="14"/>
        <w:rPr>
          <w:rFonts w:hint="eastAsia"/>
        </w:rPr>
      </w:pPr>
    </w:p>
    <w:p w14:paraId="3F260873">
      <w:pPr>
        <w:pStyle w:val="2"/>
        <w:keepNext w:val="0"/>
        <w:keepLines w:val="0"/>
        <w:pageBreakBefore w:val="0"/>
        <w:widowControl w:val="0"/>
        <w:kinsoku/>
        <w:wordWrap/>
        <w:overflowPunct/>
        <w:topLinePunct w:val="0"/>
        <w:autoSpaceDE/>
        <w:autoSpaceDN/>
        <w:bidi w:val="0"/>
        <w:adjustRightInd w:val="0"/>
        <w:snapToGrid/>
        <w:spacing w:line="240" w:lineRule="auto"/>
        <w:ind w:firstLine="2570" w:firstLineChars="80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eastAsia="zh-CN"/>
        </w:rPr>
        <w:t>四部分</w:t>
      </w:r>
      <w:r>
        <w:rPr>
          <w:rFonts w:hint="eastAsia" w:asciiTheme="minorEastAsia" w:hAnsiTheme="minorEastAsia" w:eastAsiaTheme="minorEastAsia" w:cstheme="minorEastAsia"/>
          <w:bCs/>
          <w:color w:val="auto"/>
          <w:sz w:val="32"/>
          <w:szCs w:val="32"/>
          <w:highlight w:val="none"/>
        </w:rPr>
        <w:t xml:space="preserve"> </w:t>
      </w:r>
      <w:bookmarkEnd w:id="82"/>
      <w:r>
        <w:rPr>
          <w:rFonts w:hint="eastAsia" w:asciiTheme="minorEastAsia" w:hAnsiTheme="minorEastAsia" w:eastAsiaTheme="minorEastAsia" w:cstheme="minorEastAsia"/>
          <w:bCs/>
          <w:color w:val="auto"/>
          <w:sz w:val="32"/>
          <w:szCs w:val="32"/>
          <w:highlight w:val="none"/>
          <w:lang w:val="en-US" w:eastAsia="zh-CN"/>
        </w:rPr>
        <w:t>商务、技术</w:t>
      </w:r>
      <w:r>
        <w:rPr>
          <w:rFonts w:hint="eastAsia" w:asciiTheme="minorEastAsia" w:hAnsiTheme="minorEastAsia" w:eastAsiaTheme="minorEastAsia" w:cstheme="minorEastAsia"/>
          <w:bCs/>
          <w:color w:val="auto"/>
          <w:sz w:val="32"/>
          <w:szCs w:val="32"/>
          <w:highlight w:val="none"/>
          <w:lang w:eastAsia="zh-CN"/>
        </w:rPr>
        <w:t>需求</w:t>
      </w:r>
      <w:bookmarkEnd w:id="88"/>
    </w:p>
    <w:p w14:paraId="5F89F778">
      <w:pPr>
        <w:pStyle w:val="15"/>
        <w:rPr>
          <w:rFonts w:hint="eastAsia" w:asciiTheme="minorEastAsia" w:hAnsiTheme="minorEastAsia" w:eastAsiaTheme="minorEastAsia" w:cstheme="minorEastAsia"/>
          <w:color w:val="auto"/>
          <w:highlight w:val="none"/>
        </w:rPr>
      </w:pPr>
    </w:p>
    <w:p w14:paraId="4D8AB3B1">
      <w:pPr>
        <w:autoSpaceDE w:val="0"/>
        <w:autoSpaceDN w:val="0"/>
        <w:adjustRightInd w:val="0"/>
        <w:spacing w:line="360" w:lineRule="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lang w:val="zh-CN"/>
        </w:rPr>
        <w:t>一、</w:t>
      </w:r>
      <w:r>
        <w:rPr>
          <w:rFonts w:hint="eastAsia" w:ascii="宋体" w:hAnsi="宋体" w:eastAsia="宋体" w:cs="宋体"/>
          <w:b/>
          <w:color w:val="auto"/>
          <w:sz w:val="24"/>
          <w:szCs w:val="24"/>
          <w:highlight w:val="none"/>
          <w:lang w:val="zh-CN" w:eastAsia="zh-CN"/>
        </w:rPr>
        <w:t>项目</w:t>
      </w:r>
      <w:r>
        <w:rPr>
          <w:rFonts w:hint="eastAsia" w:ascii="宋体" w:hAnsi="宋体" w:eastAsia="宋体" w:cs="宋体"/>
          <w:b/>
          <w:color w:val="auto"/>
          <w:sz w:val="24"/>
          <w:szCs w:val="24"/>
          <w:highlight w:val="none"/>
          <w:lang w:val="en-US" w:eastAsia="zh-CN"/>
        </w:rPr>
        <w:t>名称</w:t>
      </w:r>
      <w:r>
        <w:rPr>
          <w:rFonts w:hint="eastAsia" w:asciiTheme="minorEastAsia" w:hAnsiTheme="minorEastAsia" w:eastAsiaTheme="minorEastAsia" w:cstheme="minorEastAsia"/>
          <w:color w:val="auto"/>
          <w:kern w:val="0"/>
          <w:sz w:val="24"/>
          <w:szCs w:val="24"/>
          <w:highlight w:val="none"/>
          <w:lang w:val="zh-CN" w:eastAsia="zh-CN"/>
        </w:rPr>
        <w:t>：</w:t>
      </w:r>
      <w:r>
        <w:rPr>
          <w:rFonts w:hint="eastAsia" w:ascii="宋体" w:hAnsi="宋体" w:cs="宋体"/>
          <w:b w:val="0"/>
          <w:bCs w:val="0"/>
          <w:color w:val="auto"/>
          <w:sz w:val="24"/>
          <w:szCs w:val="24"/>
          <w:highlight w:val="none"/>
          <w:lang w:val="en-US" w:eastAsia="zh-CN"/>
        </w:rPr>
        <w:t>电子警察、卡口、测速、视频监控系统日常维护单位采购</w:t>
      </w:r>
    </w:p>
    <w:p w14:paraId="4165FC26">
      <w:pPr>
        <w:pageBreakBefore w:val="0"/>
        <w:kinsoku/>
        <w:autoSpaceDE w:val="0"/>
        <w:autoSpaceDN w:val="0"/>
        <w:bidi w:val="0"/>
        <w:adjustRightInd w:val="0"/>
        <w:spacing w:line="360" w:lineRule="auto"/>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val="zh-CN"/>
        </w:rPr>
        <w:t>、商务要求</w:t>
      </w:r>
      <w:r>
        <w:rPr>
          <w:rFonts w:hint="eastAsia" w:ascii="宋体" w:hAnsi="宋体" w:cs="宋体"/>
          <w:b/>
          <w:color w:val="auto"/>
          <w:sz w:val="24"/>
          <w:szCs w:val="24"/>
          <w:highlight w:val="none"/>
          <w:lang w:val="zh-CN"/>
        </w:rPr>
        <w:t>：</w:t>
      </w:r>
    </w:p>
    <w:p w14:paraId="64AFD816">
      <w:pPr>
        <w:pageBreakBefore w:val="0"/>
        <w:numPr>
          <w:ilvl w:val="0"/>
          <w:numId w:val="7"/>
        </w:numPr>
        <w:kinsoku/>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付款方式：</w:t>
      </w:r>
      <w:r>
        <w:rPr>
          <w:rFonts w:hint="eastAsia" w:ascii="宋体" w:hAnsi="宋体" w:eastAsia="宋体" w:cs="宋体"/>
          <w:color w:val="000000"/>
          <w:sz w:val="24"/>
          <w:szCs w:val="24"/>
          <w:lang w:val="en-US" w:eastAsia="zh-CN"/>
        </w:rPr>
        <w:t>参照《保障中小企业款项支付条例》，按介休市财政标准执行</w:t>
      </w:r>
    </w:p>
    <w:p w14:paraId="02BAE948">
      <w:pPr>
        <w:pageBreakBefore w:val="0"/>
        <w:kinsoku/>
        <w:autoSpaceDE w:val="0"/>
        <w:autoSpaceDN w:val="0"/>
        <w:bidi w:val="0"/>
        <w:adjustRightInd w:val="0"/>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合同履行期限</w:t>
      </w:r>
      <w:r>
        <w:rPr>
          <w:rFonts w:hint="eastAsia" w:ascii="宋体" w:hAnsi="宋体" w:eastAsia="宋体" w:cs="宋体"/>
          <w:b w:val="0"/>
          <w:bCs w:val="0"/>
          <w:color w:val="auto"/>
          <w:sz w:val="24"/>
          <w:szCs w:val="24"/>
          <w:highlight w:val="none"/>
          <w:lang w:val="zh-CN"/>
        </w:rPr>
        <w:t>：</w:t>
      </w:r>
      <w:r>
        <w:rPr>
          <w:rFonts w:hint="eastAsia" w:ascii="宋体" w:hAnsi="宋体" w:cs="宋体"/>
          <w:b w:val="0"/>
          <w:bCs w:val="0"/>
          <w:color w:val="auto"/>
          <w:sz w:val="24"/>
          <w:szCs w:val="24"/>
          <w:highlight w:val="none"/>
          <w:lang w:val="en-US" w:eastAsia="zh-CN"/>
        </w:rPr>
        <w:t>3年</w:t>
      </w:r>
    </w:p>
    <w:p w14:paraId="0599FD5B">
      <w:pPr>
        <w:pageBreakBefore w:val="0"/>
        <w:kinsoku/>
        <w:autoSpaceDE w:val="0"/>
        <w:autoSpaceDN w:val="0"/>
        <w:bidi w:val="0"/>
        <w:adjustRightInd w:val="0"/>
        <w:spacing w:line="360" w:lineRule="auto"/>
        <w:ind w:firstLine="480" w:firstLineChars="200"/>
        <w:rPr>
          <w:rFonts w:hint="default"/>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、质量标准：符合国家相关行业合格标准</w:t>
      </w:r>
    </w:p>
    <w:p w14:paraId="60B0F609">
      <w:pPr>
        <w:pageBreakBefore w:val="0"/>
        <w:kinsoku/>
        <w:autoSpaceDE w:val="0"/>
        <w:autoSpaceDN w:val="0"/>
        <w:bidi w:val="0"/>
        <w:adjustRightIn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三、技术</w:t>
      </w:r>
      <w:r>
        <w:rPr>
          <w:rFonts w:hint="eastAsia" w:ascii="宋体" w:hAnsi="宋体" w:eastAsia="宋体" w:cs="宋体"/>
          <w:b/>
          <w:bCs/>
          <w:color w:val="auto"/>
          <w:sz w:val="24"/>
          <w:szCs w:val="24"/>
          <w:highlight w:val="none"/>
          <w:lang w:val="en-US" w:eastAsia="zh-CN"/>
        </w:rPr>
        <w:t>要求：</w:t>
      </w:r>
    </w:p>
    <w:p w14:paraId="3B6C942C">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1、外场维修维护技术要求:</w:t>
      </w:r>
    </w:p>
    <w:p w14:paraId="3161FA6E">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维护方每半月要对所有维护点位巡检一次，每季度要对所有摄像机、护罩、补光灯、LED显示屏、机柜等设备清洁一次，负责修剪遮挡监控设备的不影响树木生长和美观的树枝(工具自备)。要求做到控制机箱内整洁、规范，显示屏显示清晰，保证中心实时视频图像清晰、流畅稳定，抓拍图片符合规范要求，保证抓拍图片数据能够上传至介休市智能交通管控平台，设备正常率不小于95%。遇到通讯故障中心不能调取录像时，维护人员应根据中心要求，拿笔记本去路口调取相关数据。每季度至少一次检查各种机箱、杆件、闪光灯罩等是否牢固平整，有无生锈变形，门锁是否损坏，一旦发现上述情况必须立即修复。维护方发现电子警察、卡口系统设备被破坏、被盗的要立即报告业主方，并在拍摄点属地派出所报案，同时将报案回执原件送业主方备案。巡检、清洁保养、维修维护、购买配件、维修内容变更、应急抢修等要出具相应的报告，每半月提交一份施工日志及项目清单，并交业主方签字确认。</w:t>
      </w:r>
    </w:p>
    <w:p w14:paraId="0C3D9CA7">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维护方应认真贯彻国家有关安全施工的法规和制度，严格执行国家有关电气规范和智能交通行业的技术规范，加强安全管理工作，确保施工安全和被维护设备的安全。在维护过程中，如发现安全隐患应主动排除，超出本工程范围的，要书面通知业主方。如因维护管理不到位，发生人身事故或财产损失，(不论原始承建方为何人)完全由维护方负责。</w:t>
      </w:r>
    </w:p>
    <w:p w14:paraId="241ADCEB">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(3)维护方负责所有本工程范围内设备的统计与管理，并提供详尽的档案资料。</w:t>
      </w:r>
    </w:p>
    <w:p w14:paraId="44954435">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(4)维护方应配合业主制定和审核与管辖范围内有关的工作，为业主提供必要的技术帮助和技术支持。</w:t>
      </w:r>
    </w:p>
    <w:p w14:paraId="443FA5EF">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(5)应急抢修维护</w:t>
      </w:r>
    </w:p>
    <w:p w14:paraId="6A0CDA5F">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维护方接到应急抢修故障报告后，城内应在30分钟内到达现场进行抢修，城外应在60分钟到达现场进行抢修，并在最短时间内排除故障，确实无法按时排除故障的，应及时通知业主方，并提交详细的书面说明。</w:t>
      </w:r>
    </w:p>
    <w:p w14:paraId="324D0757">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2、内场设备及各系统技术要求:</w:t>
      </w:r>
    </w:p>
    <w:p w14:paraId="463729F9">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机房维护内容主要包括:应用服务器、数据库服务器(包括数据库系统的维护)、交换机、磁盘阵列、光端机、光纤配线架、分配器、解码器、机房专用空调、UPS及电池、强电及弱电系统、网络系统、机房综合线缆和机柜设备的改造整理及其它有关的维护及配合工作。每半月对机房的动力环境、监控环境、网络环境、卫生环境、系统软件环境等进行一次巡检，并出具相应的巡检报告，交由业主签字确认。</w:t>
      </w:r>
    </w:p>
    <w:p w14:paraId="64187AD7">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3、非常规维护内容</w:t>
      </w:r>
    </w:p>
    <w:p w14:paraId="7BE1C8A2">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工程量清单及费用由于预先不可估算，因此按实际产生的费用计算。</w:t>
      </w:r>
    </w:p>
    <w:p w14:paraId="65C09AFE">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非常规维护具体范围包括但不限于以下内容:</w:t>
      </w:r>
    </w:p>
    <w:p w14:paraId="0C26F456">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3.1由于不可抗力的原因，如雷击、台风、地震、车辆撞击等造成设备损坏的、地下埋设、高架等线路线缆烧毁、中断等的；</w:t>
      </w:r>
    </w:p>
    <w:p w14:paraId="602AA022">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3.2由于道路改造、市政施工等原因造成的设备需要移位的；</w:t>
      </w:r>
    </w:p>
    <w:p w14:paraId="28158CDB">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 由于交通管理的需要，由业主方提出对设备进行迁移、改建的；</w:t>
      </w:r>
    </w:p>
    <w:p w14:paraId="55C0FF07">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3.4变更，由于设备配件的停产、产品的更新换代、其它客观原因造成的不能满足于系统设备现状的；</w:t>
      </w:r>
    </w:p>
    <w:p w14:paraId="09F5AD36">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3.5由于预先未能列出来的维修内容，实际需要进行维修维护的；以上内容维修后单独结算。</w:t>
      </w:r>
    </w:p>
    <w:p w14:paraId="17C24907">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3.6双方协商其它不可抗拒因素造成的，双方合同约定。</w:t>
      </w:r>
    </w:p>
    <w:p w14:paraId="0DC94121">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4、其它服务要求</w:t>
      </w:r>
    </w:p>
    <w:p w14:paraId="25AE3A84">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4.1所有设备及材料的售后服务均应执行国家“三包”政策，质保期至少(一)年。</w:t>
      </w:r>
    </w:p>
    <w:p w14:paraId="56B3FED8">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4.2质保期内维护方应当提供完全免费的技术支持、相关软件升级和维修服务。</w:t>
      </w:r>
    </w:p>
    <w:p w14:paraId="36A38067">
      <w:pPr>
        <w:pageBreakBefore w:val="0"/>
        <w:kinsoku/>
        <w:autoSpaceDE w:val="0"/>
        <w:autoSpaceDN w:val="0"/>
        <w:bidi w:val="0"/>
        <w:adjustRightIn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4.3成交供应商在中标后应在本地常驻维修服务机构，提供7*24小时的技术支持和服务，半小时内对业主方所提出的维修要求作出响应，24 小时内修复或提供业主方认可的替代品。</w:t>
      </w:r>
    </w:p>
    <w:p w14:paraId="27AB6847">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4.4成交供应商在中标后保证：投入本项目的本地服务车辆同时具有1辆或以上高空作业车和1辆或以上工程车。投入本项目的专业技术人员中须配备有网络工程师或安防工程师及实施和维护能力的人员。</w:t>
      </w:r>
    </w:p>
    <w:p w14:paraId="52ED61D2">
      <w:pPr>
        <w:pageBreakBefore w:val="0"/>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4.5其它服务范围</w:t>
      </w:r>
    </w:p>
    <w:p w14:paraId="45237560">
      <w:pPr>
        <w:pageBreakBefore w:val="0"/>
        <w:numPr>
          <w:ilvl w:val="0"/>
          <w:numId w:val="0"/>
        </w:numPr>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（1）损坏设备及其有故障的维修；</w:t>
      </w:r>
    </w:p>
    <w:p w14:paraId="62CB5DB6">
      <w:pPr>
        <w:pageBreakBefore w:val="0"/>
        <w:numPr>
          <w:ilvl w:val="0"/>
          <w:numId w:val="0"/>
        </w:numPr>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（2）重大故障或特殊故障的紧急抢修；</w:t>
      </w:r>
    </w:p>
    <w:p w14:paraId="19EE023E">
      <w:pPr>
        <w:pageBreakBefore w:val="0"/>
        <w:numPr>
          <w:ilvl w:val="0"/>
          <w:numId w:val="0"/>
        </w:numPr>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（3）其他根据业主的要求或必须的技术服务。例如:软件、硬件的免费版本升级；</w:t>
      </w:r>
    </w:p>
    <w:p w14:paraId="4F3FE79F">
      <w:pPr>
        <w:pageBreakBefore w:val="0"/>
        <w:numPr>
          <w:ilvl w:val="0"/>
          <w:numId w:val="0"/>
        </w:numPr>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因设备损坏无法维修需更换设备的必须由设备生产厂家出具设备损坏无法维修的相关证明，由维护方、甲方单位双方共同确认，填写设备更换申请表，甲方单位审批后，由招标的设备供应单位提供所更换设备，设备到场，甲方双方查验并签字确认后由设备供应单位完成安装调试，由甲方根据技术要求验收未尽事宜，以签订正式《合同》时由双方协商解决。</w:t>
      </w:r>
    </w:p>
    <w:p w14:paraId="4FE55149">
      <w:pPr>
        <w:pageBreakBefore w:val="0"/>
        <w:numPr>
          <w:ilvl w:val="0"/>
          <w:numId w:val="0"/>
        </w:numPr>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6、保密要求:</w:t>
      </w:r>
    </w:p>
    <w:p w14:paraId="5F7C5776">
      <w:pPr>
        <w:pageBreakBefore w:val="0"/>
        <w:numPr>
          <w:ilvl w:val="0"/>
          <w:numId w:val="0"/>
        </w:numPr>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维护方在维护外场及内场设备时，绝对不允许私自拷贝设备存储数据信息，如有需要查看数据是否正常，必须由业主方现场配合，但不允许拷贝、拍照。所有电子警察、卡口系统设备信息必须保证信息保密性，维护方要与业主方签定信息保密安全责任书，如有泄密事件发生，业主方有权追究维护方的法律责任。</w:t>
      </w:r>
    </w:p>
    <w:p w14:paraId="043E9ACF">
      <w:pPr>
        <w:pageBreakBefore w:val="0"/>
        <w:numPr>
          <w:ilvl w:val="0"/>
          <w:numId w:val="8"/>
        </w:numPr>
        <w:kinsoku/>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全市电子监控点位明细</w:t>
      </w:r>
    </w:p>
    <w:p w14:paraId="13516323">
      <w:pPr>
        <w:pStyle w:val="14"/>
        <w:ind w:left="0" w:leftChars="0" w:firstLine="480" w:firstLineChars="200"/>
        <w:rPr>
          <w:rFonts w:hint="default"/>
          <w:lang w:val="en-US" w:eastAsia="zh-CN"/>
        </w:rPr>
      </w:pPr>
      <w:r>
        <w:rPr>
          <w:rFonts w:hint="eastAsia" w:asciiTheme="minorEastAsia" w:hAnsiTheme="minorEastAsia" w:eastAsiaTheme="minorEastAsia" w:cstheme="minorEastAsia"/>
          <w:sz w:val="24"/>
          <w:szCs w:val="24"/>
          <w:lang w:val="en-US" w:eastAsia="zh-CN"/>
        </w:rPr>
        <w:t>1）电警</w:t>
      </w:r>
    </w:p>
    <w:tbl>
      <w:tblPr>
        <w:tblStyle w:val="56"/>
        <w:tblW w:w="9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3432"/>
        <w:gridCol w:w="1167"/>
        <w:gridCol w:w="4233"/>
      </w:tblGrid>
      <w:tr w14:paraId="5473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F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E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9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5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r>
      <w:tr w14:paraId="4A00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F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D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北河沿与市政府十字口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2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D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三贤大道与东韩路 十字口</w:t>
            </w:r>
          </w:p>
        </w:tc>
      </w:tr>
      <w:tr w14:paraId="1D6B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D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9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北河沿与体育路十字口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4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C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三贤大道与北坛路十字口</w:t>
            </w:r>
          </w:p>
        </w:tc>
      </w:tr>
      <w:tr w14:paraId="64DF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7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F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体育路与北大街十字口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D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4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新建路与文明街丁字口</w:t>
            </w:r>
          </w:p>
        </w:tc>
      </w:tr>
      <w:tr w14:paraId="5F11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1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东大街与南大街十字口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E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新建路与火车站丁字口</w:t>
            </w:r>
          </w:p>
        </w:tc>
      </w:tr>
      <w:tr w14:paraId="5E4D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9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8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东大街与水门街十字口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3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4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新建路与绵山街十字口</w:t>
            </w:r>
          </w:p>
        </w:tc>
      </w:tr>
      <w:tr w14:paraId="0283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2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C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文明街与金融路丁字口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4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1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新建路与水门街 丁字口</w:t>
            </w:r>
          </w:p>
        </w:tc>
      </w:tr>
      <w:tr w14:paraId="0CB7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2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F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裕华路与文明街十字口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D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安康路与经天路丁字口</w:t>
            </w:r>
          </w:p>
        </w:tc>
      </w:tr>
      <w:tr w14:paraId="3D52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7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0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北坛与西外环丁字口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5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7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安康路与塔西街十字口</w:t>
            </w:r>
          </w:p>
        </w:tc>
      </w:tr>
      <w:tr w14:paraId="6822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0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F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北坛与宋曲路丁字口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8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3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安康路与新华街 十字口</w:t>
            </w:r>
          </w:p>
        </w:tc>
      </w:tr>
      <w:tr w14:paraId="451B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A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A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北坛与经四路十字口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E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4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安康路与崇文街十字口</w:t>
            </w:r>
          </w:p>
        </w:tc>
      </w:tr>
      <w:tr w14:paraId="0D35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F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4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北坛与兴西路十字口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E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E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安康路与兴西街十字口</w:t>
            </w:r>
          </w:p>
        </w:tc>
      </w:tr>
      <w:tr w14:paraId="3B40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C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北坛与绵山路丁字口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5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B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安康路与经四路 十字口</w:t>
            </w:r>
          </w:p>
        </w:tc>
      </w:tr>
      <w:tr w14:paraId="5F58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7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C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北坛与经天路十字口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0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彦博路与经十一丁字口</w:t>
            </w:r>
          </w:p>
        </w:tc>
      </w:tr>
      <w:tr w14:paraId="4106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5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9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北坛与北河沿丁字口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F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D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彦博路与水门街十字口</w:t>
            </w:r>
          </w:p>
        </w:tc>
      </w:tr>
      <w:tr w14:paraId="0F22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A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E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北坛与新华路十字口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1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彦博路与新华街十字口</w:t>
            </w:r>
          </w:p>
        </w:tc>
      </w:tr>
      <w:tr w14:paraId="6D1E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E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北坛与文苑街丁字口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B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9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魏国大道与介孝大道丁字口</w:t>
            </w:r>
          </w:p>
        </w:tc>
      </w:tr>
      <w:tr w14:paraId="62F2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7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2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北坛与文峰街十字口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5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8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冀孝路与介孝大道 丁字口</w:t>
            </w:r>
          </w:p>
        </w:tc>
      </w:tr>
      <w:tr w14:paraId="604C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7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北坛与宋古路十字口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C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冀孝路与汾河路丁字口</w:t>
            </w:r>
          </w:p>
        </w:tc>
      </w:tr>
      <w:tr w14:paraId="6AF0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C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7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北坛路与崇文街十字口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D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3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兴西街与金融路 十字口</w:t>
            </w:r>
          </w:p>
        </w:tc>
      </w:tr>
      <w:tr w14:paraId="1226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5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6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定阳路与岳家湾十字口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9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E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兴西街与福馨路 十字口</w:t>
            </w:r>
          </w:p>
        </w:tc>
      </w:tr>
      <w:tr w14:paraId="54B0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7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3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定阳路与绵山路十字口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F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4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朝阳路口加油站丁字口</w:t>
            </w:r>
          </w:p>
        </w:tc>
      </w:tr>
      <w:tr w14:paraId="183C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4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4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定阳路与大众路丁字口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9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4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东夏线路口东站丁字口</w:t>
            </w:r>
          </w:p>
        </w:tc>
      </w:tr>
      <w:tr w14:paraId="55B7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5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定阳路与迎翠街十字口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3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1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东站路口丁字口</w:t>
            </w:r>
          </w:p>
        </w:tc>
      </w:tr>
      <w:tr w14:paraId="2D0F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2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9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定阳路与龙凤口十字口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D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冯张路安泰丁字口</w:t>
            </w:r>
          </w:p>
        </w:tc>
      </w:tr>
      <w:tr w14:paraId="56B5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D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5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定阳路与三贤大道 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0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3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上曹麻村十字口</w:t>
            </w:r>
          </w:p>
        </w:tc>
      </w:tr>
      <w:tr w14:paraId="7555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0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E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定阳路与朝阳路十字口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D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8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南外环龙凤旅游线 丁字口</w:t>
            </w:r>
          </w:p>
        </w:tc>
      </w:tr>
      <w:tr w14:paraId="190A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C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S221省道与西外环丁字口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0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F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南外环铁南街十字口</w:t>
            </w:r>
          </w:p>
        </w:tc>
      </w:tr>
      <w:tr w14:paraId="6EBF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A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3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S221省道与坂地丁字口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2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2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南外环定阳小学十字口</w:t>
            </w:r>
          </w:p>
        </w:tc>
      </w:tr>
      <w:tr w14:paraId="09C9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1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C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绵山路与光明路十字口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7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8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南外环与迎翠街丁字口</w:t>
            </w:r>
          </w:p>
        </w:tc>
      </w:tr>
      <w:tr w14:paraId="3603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D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9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绵山路与裕华路十字口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9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8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军民路与崇文街 十字口</w:t>
            </w:r>
          </w:p>
        </w:tc>
      </w:tr>
      <w:tr w14:paraId="36E8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8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4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绵山路与金融路十字口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D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E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军民路与文苑街十字口</w:t>
            </w:r>
          </w:p>
        </w:tc>
      </w:tr>
      <w:tr w14:paraId="0B01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E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E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史公路与经天路丁字口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5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5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东北里村丁字口</w:t>
            </w:r>
          </w:p>
        </w:tc>
      </w:tr>
      <w:tr w14:paraId="045B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3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5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史公路与花园街十字口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9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E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张兰加油站丁字口</w:t>
            </w:r>
          </w:p>
        </w:tc>
      </w:tr>
      <w:tr w14:paraId="3B52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8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3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史公路与赵家堡十字口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C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2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金融路与汾秀街丁字口</w:t>
            </w:r>
          </w:p>
        </w:tc>
      </w:tr>
      <w:tr w14:paraId="68F5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7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F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史公路与新华路十字口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E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7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G108与北辛武村口 十字口</w:t>
            </w:r>
          </w:p>
        </w:tc>
      </w:tr>
      <w:tr w14:paraId="24A7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2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8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史公路与崇文路十字口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0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B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G108与安益公司丁字口</w:t>
            </w:r>
          </w:p>
        </w:tc>
      </w:tr>
      <w:tr w14:paraId="2C00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0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史公路与文苑街十字口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2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G108与义棠村口丁字口</w:t>
            </w:r>
          </w:p>
        </w:tc>
      </w:tr>
      <w:tr w14:paraId="4A8E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9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3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史公路与文峰街十字口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8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F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G108与北堡丁字口</w:t>
            </w:r>
          </w:p>
        </w:tc>
      </w:tr>
      <w:tr w14:paraId="756C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A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介公路与经四路丁字口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2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C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G108与经四路 丁字口</w:t>
            </w:r>
          </w:p>
        </w:tc>
      </w:tr>
      <w:tr w14:paraId="281E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C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2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介公与园区西路丁字口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A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B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G108与义棠口丁字口</w:t>
            </w:r>
          </w:p>
        </w:tc>
      </w:tr>
      <w:tr w14:paraId="5E39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1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1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介公路与新华街 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E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3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G108与宋曲路丁字口</w:t>
            </w:r>
          </w:p>
        </w:tc>
      </w:tr>
      <w:tr w14:paraId="32FA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2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0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介公路与经天路十字口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1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0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G108北辛武正骨医院口 十字口</w:t>
            </w:r>
          </w:p>
        </w:tc>
      </w:tr>
      <w:tr w14:paraId="7133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B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D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介公路东昌家园 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9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D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G108与经天路十字口</w:t>
            </w:r>
          </w:p>
        </w:tc>
      </w:tr>
      <w:tr w14:paraId="1836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2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3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三贤大道与朝阳路十字口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E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B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G108与园区路丁字口</w:t>
            </w:r>
          </w:p>
        </w:tc>
      </w:tr>
      <w:tr w14:paraId="30EB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2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2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三贤大道与史公路十字口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9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B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G108西大旗十字口十字口</w:t>
            </w:r>
          </w:p>
        </w:tc>
      </w:tr>
      <w:tr w14:paraId="076A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E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2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三贤大道与军民路十字口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9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9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G108与三贤大道 十字口</w:t>
            </w:r>
          </w:p>
        </w:tc>
      </w:tr>
      <w:tr w14:paraId="3390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C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E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三贤大道与纬二路十字口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1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0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G108国道与董屯口丁字口</w:t>
            </w:r>
          </w:p>
        </w:tc>
      </w:tr>
      <w:tr w14:paraId="42C9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nil"/>
              <w:left w:val="nil"/>
              <w:bottom w:val="nil"/>
              <w:right w:val="nil"/>
            </w:tcBorders>
            <w:shd w:val="clear" w:color="auto" w:fill="auto"/>
            <w:noWrap/>
            <w:vAlign w:val="center"/>
          </w:tcPr>
          <w:p w14:paraId="7E0674EC">
            <w:pPr>
              <w:rPr>
                <w:rFonts w:hint="eastAsia" w:ascii="宋体" w:hAnsi="宋体" w:eastAsia="宋体" w:cs="宋体"/>
                <w:i w:val="0"/>
                <w:iCs w:val="0"/>
                <w:color w:val="000000"/>
                <w:sz w:val="24"/>
                <w:szCs w:val="24"/>
                <w:u w:val="none"/>
              </w:rPr>
            </w:pPr>
          </w:p>
        </w:tc>
        <w:tc>
          <w:tcPr>
            <w:tcW w:w="3432" w:type="dxa"/>
            <w:tcBorders>
              <w:top w:val="nil"/>
              <w:left w:val="nil"/>
              <w:bottom w:val="nil"/>
              <w:right w:val="nil"/>
            </w:tcBorders>
            <w:shd w:val="clear" w:color="auto" w:fill="auto"/>
            <w:noWrap/>
            <w:vAlign w:val="center"/>
          </w:tcPr>
          <w:p w14:paraId="3CA77C23">
            <w:pP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4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8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西大期与张义线</w:t>
            </w:r>
          </w:p>
        </w:tc>
      </w:tr>
      <w:tr w14:paraId="0105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nil"/>
              <w:left w:val="nil"/>
              <w:bottom w:val="nil"/>
              <w:right w:val="nil"/>
            </w:tcBorders>
            <w:shd w:val="clear" w:color="auto" w:fill="auto"/>
            <w:noWrap/>
            <w:vAlign w:val="center"/>
          </w:tcPr>
          <w:p w14:paraId="4F93A097">
            <w:pPr>
              <w:rPr>
                <w:rFonts w:hint="eastAsia" w:ascii="宋体" w:hAnsi="宋体" w:eastAsia="宋体" w:cs="宋体"/>
                <w:i w:val="0"/>
                <w:iCs w:val="0"/>
                <w:color w:val="000000"/>
                <w:sz w:val="24"/>
                <w:szCs w:val="24"/>
                <w:u w:val="none"/>
              </w:rPr>
            </w:pPr>
          </w:p>
        </w:tc>
        <w:tc>
          <w:tcPr>
            <w:tcW w:w="3432" w:type="dxa"/>
            <w:tcBorders>
              <w:top w:val="nil"/>
              <w:left w:val="nil"/>
              <w:bottom w:val="nil"/>
              <w:right w:val="nil"/>
            </w:tcBorders>
            <w:shd w:val="clear" w:color="auto" w:fill="auto"/>
            <w:noWrap/>
            <w:vAlign w:val="center"/>
          </w:tcPr>
          <w:p w14:paraId="4DA5D252">
            <w:pP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7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4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A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霍宋线与园区西路</w:t>
            </w:r>
          </w:p>
        </w:tc>
      </w:tr>
    </w:tbl>
    <w:p w14:paraId="5B14EE9B">
      <w:pPr>
        <w:pStyle w:val="14"/>
        <w:numPr>
          <w:ilvl w:val="0"/>
          <w:numId w:val="9"/>
        </w:numPr>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卡口</w:t>
      </w:r>
    </w:p>
    <w:tbl>
      <w:tblPr>
        <w:tblStyle w:val="56"/>
        <w:tblW w:w="9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9"/>
        <w:gridCol w:w="8350"/>
      </w:tblGrid>
      <w:tr w14:paraId="0CFE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A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5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r>
      <w:tr w14:paraId="1C6C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9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3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湿地公园卡口 </w:t>
            </w:r>
          </w:p>
        </w:tc>
      </w:tr>
      <w:tr w14:paraId="1FF8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7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0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G108洪善卡口</w:t>
            </w:r>
          </w:p>
        </w:tc>
      </w:tr>
      <w:tr w14:paraId="2F6F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G108下站卡口 </w:t>
            </w:r>
          </w:p>
        </w:tc>
      </w:tr>
      <w:tr w14:paraId="70BF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5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G108西堡卡口</w:t>
            </w:r>
          </w:p>
        </w:tc>
      </w:tr>
      <w:tr w14:paraId="7AC7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0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1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G108银淀山口 </w:t>
            </w:r>
          </w:p>
        </w:tc>
      </w:tr>
      <w:tr w14:paraId="1A83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A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D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G108旺村卡口 </w:t>
            </w:r>
          </w:p>
        </w:tc>
      </w:tr>
      <w:tr w14:paraId="3EEC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B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B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G108田村卡口</w:t>
            </w:r>
          </w:p>
        </w:tc>
      </w:tr>
      <w:tr w14:paraId="4207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F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D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G108洪相卡口</w:t>
            </w:r>
          </w:p>
        </w:tc>
      </w:tr>
      <w:tr w14:paraId="3706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5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G108孟村卡口 </w:t>
            </w:r>
          </w:p>
        </w:tc>
      </w:tr>
      <w:tr w14:paraId="5832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1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G108南门楼卡口</w:t>
            </w:r>
          </w:p>
        </w:tc>
      </w:tr>
      <w:tr w14:paraId="243C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B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C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G108西刘屯卡口</w:t>
            </w:r>
          </w:p>
        </w:tc>
      </w:tr>
      <w:tr w14:paraId="0A4E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E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1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G108韩屯卡口</w:t>
            </w:r>
          </w:p>
        </w:tc>
      </w:tr>
      <w:tr w14:paraId="6DED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7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8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G108白岸卡口 </w:t>
            </w:r>
          </w:p>
        </w:tc>
      </w:tr>
      <w:tr w14:paraId="43B9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1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5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G108路鑫卡口 </w:t>
            </w:r>
          </w:p>
        </w:tc>
      </w:tr>
      <w:tr w14:paraId="58FE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3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G108张兰卡口</w:t>
            </w:r>
          </w:p>
        </w:tc>
      </w:tr>
      <w:tr w14:paraId="055E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2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B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G108乐善卡口 </w:t>
            </w:r>
          </w:p>
        </w:tc>
      </w:tr>
      <w:tr w14:paraId="38DD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8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3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G108孙家寨口 </w:t>
            </w:r>
          </w:p>
        </w:tc>
      </w:tr>
      <w:tr w14:paraId="57FC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E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7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G108万安卡口</w:t>
            </w:r>
          </w:p>
        </w:tc>
      </w:tr>
      <w:tr w14:paraId="6F8B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1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6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G108董屯卡口 </w:t>
            </w:r>
          </w:p>
        </w:tc>
      </w:tr>
      <w:tr w14:paraId="32FB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9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5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G108穆家堡口 </w:t>
            </w:r>
          </w:p>
        </w:tc>
      </w:tr>
      <w:tr w14:paraId="38D5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D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8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G108大甫卡口 </w:t>
            </w:r>
          </w:p>
        </w:tc>
      </w:tr>
      <w:tr w14:paraId="5136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3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2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义安中队卡口 </w:t>
            </w:r>
          </w:p>
        </w:tc>
      </w:tr>
      <w:tr w14:paraId="76B9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1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F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义安新村卡口 </w:t>
            </w:r>
          </w:p>
        </w:tc>
      </w:tr>
      <w:tr w14:paraId="044C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2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E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谢裕卡口 </w:t>
            </w:r>
          </w:p>
        </w:tc>
      </w:tr>
      <w:tr w14:paraId="6321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3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F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下庄卡口 </w:t>
            </w:r>
          </w:p>
        </w:tc>
      </w:tr>
      <w:tr w14:paraId="0F32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4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6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定阳东路石河卡口 </w:t>
            </w:r>
          </w:p>
        </w:tc>
      </w:tr>
      <w:tr w14:paraId="47BC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1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F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昌盛卡口 </w:t>
            </w:r>
          </w:p>
        </w:tc>
      </w:tr>
      <w:tr w14:paraId="2172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9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D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茂盛卡口</w:t>
            </w:r>
          </w:p>
        </w:tc>
      </w:tr>
      <w:tr w14:paraId="4DD1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F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E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东夏线心意卡口 </w:t>
            </w:r>
          </w:p>
        </w:tc>
      </w:tr>
      <w:tr w14:paraId="68AD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F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9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东夏线张兰卡口</w:t>
            </w:r>
          </w:p>
        </w:tc>
      </w:tr>
      <w:tr w14:paraId="34D5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8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5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东夏线四家窑卡口 </w:t>
            </w:r>
          </w:p>
        </w:tc>
      </w:tr>
      <w:tr w14:paraId="450D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1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汾张线师屯北卡口</w:t>
            </w:r>
          </w:p>
        </w:tc>
      </w:tr>
      <w:tr w14:paraId="4439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E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0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邬城店卡口 </w:t>
            </w:r>
          </w:p>
        </w:tc>
      </w:tr>
      <w:tr w14:paraId="168D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5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汾张线西湛泉卡口 </w:t>
            </w:r>
          </w:p>
        </w:tc>
      </w:tr>
      <w:tr w14:paraId="4797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2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D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经天路去往108方向卡口</w:t>
            </w:r>
          </w:p>
        </w:tc>
      </w:tr>
      <w:tr w14:paraId="4E75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3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C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林带路孙家寨卡口 </w:t>
            </w:r>
          </w:p>
        </w:tc>
      </w:tr>
      <w:tr w14:paraId="4720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6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0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孙家寨义安二中卡口 </w:t>
            </w:r>
          </w:p>
        </w:tc>
      </w:tr>
      <w:tr w14:paraId="1525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D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5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张良卡口 </w:t>
            </w:r>
          </w:p>
        </w:tc>
      </w:tr>
      <w:tr w14:paraId="2651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0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C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西立交桥加油站卡口 </w:t>
            </w:r>
          </w:p>
        </w:tc>
      </w:tr>
      <w:tr w14:paraId="6BB4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C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0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园区西路卡口 </w:t>
            </w:r>
          </w:p>
        </w:tc>
      </w:tr>
      <w:tr w14:paraId="4836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0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大甫卡口 </w:t>
            </w:r>
          </w:p>
        </w:tc>
      </w:tr>
      <w:tr w14:paraId="64F6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A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F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西杨屯卡口</w:t>
            </w:r>
          </w:p>
        </w:tc>
      </w:tr>
      <w:tr w14:paraId="1CE5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2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5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上曹麻卡口 </w:t>
            </w:r>
          </w:p>
        </w:tc>
      </w:tr>
      <w:tr w14:paraId="408D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4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A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义棠大安村卡口</w:t>
            </w:r>
          </w:p>
        </w:tc>
      </w:tr>
      <w:tr w14:paraId="5FA8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7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6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东园区路卡口 </w:t>
            </w:r>
          </w:p>
        </w:tc>
      </w:tr>
      <w:tr w14:paraId="67A1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D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A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东湖龙信用社门口卡口</w:t>
            </w:r>
          </w:p>
        </w:tc>
      </w:tr>
      <w:tr w14:paraId="69F5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F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3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大褚屯卡口 </w:t>
            </w:r>
          </w:p>
        </w:tc>
      </w:tr>
      <w:tr w14:paraId="368C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4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6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张壁旅游线龙凤卡口 </w:t>
            </w:r>
          </w:p>
        </w:tc>
      </w:tr>
      <w:tr w14:paraId="0080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0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F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城寺卡口</w:t>
            </w:r>
          </w:p>
        </w:tc>
      </w:tr>
      <w:tr w14:paraId="15D6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C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9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事故科卡口</w:t>
            </w:r>
          </w:p>
        </w:tc>
      </w:tr>
      <w:tr w14:paraId="79F3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5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4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西外环执法局北侧卡口</w:t>
            </w:r>
          </w:p>
        </w:tc>
      </w:tr>
      <w:tr w14:paraId="6B8A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D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西外环执法局南侧卡口</w:t>
            </w:r>
          </w:p>
        </w:tc>
      </w:tr>
      <w:tr w14:paraId="6E3C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B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8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南外环汾矿工业园卡口</w:t>
            </w:r>
          </w:p>
        </w:tc>
      </w:tr>
      <w:tr w14:paraId="2CE4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1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南外环高速口卡口</w:t>
            </w:r>
          </w:p>
        </w:tc>
      </w:tr>
      <w:tr w14:paraId="4812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F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D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南外环龙凤口卡口</w:t>
            </w:r>
          </w:p>
        </w:tc>
      </w:tr>
      <w:tr w14:paraId="6482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4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C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岳家湾卡口</w:t>
            </w:r>
          </w:p>
        </w:tc>
      </w:tr>
      <w:tr w14:paraId="047C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F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1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金融路卡口</w:t>
            </w:r>
          </w:p>
        </w:tc>
      </w:tr>
      <w:tr w14:paraId="2FC3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0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A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红十字卡口 </w:t>
            </w:r>
          </w:p>
        </w:tc>
      </w:tr>
      <w:tr w14:paraId="74E4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F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4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介休东站高架卡口</w:t>
            </w:r>
          </w:p>
        </w:tc>
      </w:tr>
      <w:tr w14:paraId="5CDD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9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0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梁吉卡口 </w:t>
            </w:r>
          </w:p>
        </w:tc>
      </w:tr>
      <w:tr w14:paraId="4E14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A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C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纬二路卡口</w:t>
            </w:r>
          </w:p>
        </w:tc>
      </w:tr>
      <w:tr w14:paraId="09D7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D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2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朝阳桥卡口 </w:t>
            </w:r>
          </w:p>
        </w:tc>
      </w:tr>
      <w:tr w14:paraId="3C11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0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(张板路) 上梁村 卡口</w:t>
            </w:r>
          </w:p>
        </w:tc>
      </w:tr>
      <w:tr w14:paraId="338D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9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(张板路)板峪卡口</w:t>
            </w:r>
          </w:p>
        </w:tc>
      </w:tr>
      <w:tr w14:paraId="002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2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D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(张板路)仙台卡口</w:t>
            </w:r>
          </w:p>
        </w:tc>
      </w:tr>
      <w:tr w14:paraId="4ADE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C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A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北坡卡口</w:t>
            </w:r>
          </w:p>
        </w:tc>
      </w:tr>
      <w:tr w14:paraId="4A9C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5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F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倡源煤业卡口</w:t>
            </w:r>
          </w:p>
        </w:tc>
      </w:tr>
      <w:tr w14:paraId="3707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3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樊王超限站卡口</w:t>
            </w:r>
          </w:p>
        </w:tc>
      </w:tr>
      <w:tr w14:paraId="5114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7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神光窑卡口</w:t>
            </w:r>
          </w:p>
        </w:tc>
      </w:tr>
      <w:tr w14:paraId="481E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2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青年路卡口1</w:t>
            </w:r>
          </w:p>
        </w:tc>
      </w:tr>
      <w:tr w14:paraId="2362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7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4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青年路卡口2</w:t>
            </w:r>
          </w:p>
        </w:tc>
      </w:tr>
      <w:tr w14:paraId="194A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4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E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绵山去往张壁方向卡口</w:t>
            </w:r>
          </w:p>
        </w:tc>
      </w:tr>
      <w:tr w14:paraId="2E31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3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8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金融路辅路抓拍 </w:t>
            </w:r>
          </w:p>
        </w:tc>
      </w:tr>
      <w:tr w14:paraId="4E14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1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1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红十字辅路抓拍</w:t>
            </w:r>
          </w:p>
        </w:tc>
      </w:tr>
      <w:tr w14:paraId="4CAE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7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F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定阳路辅路抓拍</w:t>
            </w:r>
          </w:p>
        </w:tc>
      </w:tr>
      <w:tr w14:paraId="1B45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2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8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1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义安辅路抓拍</w:t>
            </w:r>
          </w:p>
        </w:tc>
      </w:tr>
    </w:tbl>
    <w:p w14:paraId="26801251">
      <w:pPr>
        <w:pStyle w:val="14"/>
        <w:numPr>
          <w:ilvl w:val="0"/>
          <w:numId w:val="9"/>
        </w:numPr>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不礼让行人</w:t>
      </w:r>
    </w:p>
    <w:tbl>
      <w:tblPr>
        <w:tblStyle w:val="56"/>
        <w:tblW w:w="96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9"/>
        <w:gridCol w:w="8334"/>
      </w:tblGrid>
      <w:tr w14:paraId="2056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9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8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r>
      <w:tr w14:paraId="5D79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B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3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西立交桥移动公司</w:t>
            </w:r>
          </w:p>
        </w:tc>
      </w:tr>
      <w:tr w14:paraId="59B7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A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1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新建路介休八中</w:t>
            </w:r>
          </w:p>
        </w:tc>
      </w:tr>
      <w:tr w14:paraId="6B9F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D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F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新建东路农机局</w:t>
            </w:r>
          </w:p>
        </w:tc>
      </w:tr>
      <w:tr w14:paraId="1BE2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0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E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南河沿街九州购物园</w:t>
            </w:r>
          </w:p>
        </w:tc>
      </w:tr>
      <w:tr w14:paraId="6970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9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F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三贤大道中医院 </w:t>
            </w:r>
          </w:p>
        </w:tc>
      </w:tr>
      <w:tr w14:paraId="4B4E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D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F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裕华路矿务局</w:t>
            </w:r>
          </w:p>
        </w:tc>
      </w:tr>
      <w:tr w14:paraId="4371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5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5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汾秀街汾秀中学</w:t>
            </w:r>
          </w:p>
        </w:tc>
      </w:tr>
    </w:tbl>
    <w:p w14:paraId="366C0815">
      <w:pPr>
        <w:numPr>
          <w:ilvl w:val="0"/>
          <w:numId w:val="9"/>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逆行抓拍</w:t>
      </w:r>
    </w:p>
    <w:tbl>
      <w:tblPr>
        <w:tblStyle w:val="56"/>
        <w:tblW w:w="96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9"/>
        <w:gridCol w:w="8334"/>
      </w:tblGrid>
      <w:tr w14:paraId="49EE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F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B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r>
      <w:tr w14:paraId="0469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C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A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北坛东路拐下庄方向卡口抓拍</w:t>
            </w:r>
          </w:p>
        </w:tc>
      </w:tr>
      <w:tr w14:paraId="7B99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2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0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北坛路彦泰小区北门西侧逆行抓拍</w:t>
            </w:r>
          </w:p>
        </w:tc>
      </w:tr>
      <w:tr w14:paraId="4108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9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5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北坛路彦泰小区东逆行抓拍</w:t>
            </w:r>
          </w:p>
        </w:tc>
      </w:tr>
      <w:tr w14:paraId="181B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3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F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朝阳路广电巷内逆行抓拍</w:t>
            </w:r>
          </w:p>
        </w:tc>
      </w:tr>
      <w:tr w14:paraId="0107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E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4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定阳路与南外环北向南逆行抓拍</w:t>
            </w:r>
          </w:p>
        </w:tc>
      </w:tr>
      <w:tr w14:paraId="3809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F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0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金华街北坛小学逆行抓拍球机</w:t>
            </w:r>
          </w:p>
        </w:tc>
      </w:tr>
      <w:tr w14:paraId="162F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3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F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南河沿光明路东向西逆行抓拍</w:t>
            </w:r>
          </w:p>
        </w:tc>
      </w:tr>
      <w:tr w14:paraId="57D5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C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省道S223与西外环丁字口东向西辅路逆行抓拍</w:t>
            </w:r>
          </w:p>
        </w:tc>
      </w:tr>
      <w:tr w14:paraId="6FAB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6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西大街市民之家西侧逆行抓拍</w:t>
            </w:r>
          </w:p>
        </w:tc>
      </w:tr>
      <w:tr w14:paraId="1E87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F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9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裕华路汾矿医院逆行抓拍</w:t>
            </w:r>
          </w:p>
        </w:tc>
      </w:tr>
      <w:tr w14:paraId="4D3D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E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F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体育路听令巷禁左抓拍 </w:t>
            </w:r>
          </w:p>
        </w:tc>
      </w:tr>
      <w:tr w14:paraId="1BBC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4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0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北大街柯莱安禁左抓拍 </w:t>
            </w:r>
          </w:p>
        </w:tc>
      </w:tr>
      <w:tr w14:paraId="1ACD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1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A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北大街章光门口禁左抓拍 </w:t>
            </w:r>
          </w:p>
        </w:tc>
      </w:tr>
      <w:tr w14:paraId="39AB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8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6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北坛路中医院南逆行抓拍</w:t>
            </w:r>
          </w:p>
        </w:tc>
      </w:tr>
    </w:tbl>
    <w:p w14:paraId="1CCB83FE">
      <w:pPr>
        <w:numPr>
          <w:ilvl w:val="0"/>
          <w:numId w:val="9"/>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具备违停抓拍功能的球机</w:t>
      </w:r>
    </w:p>
    <w:tbl>
      <w:tblPr>
        <w:tblStyle w:val="56"/>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4"/>
        <w:gridCol w:w="8333"/>
      </w:tblGrid>
      <w:tr w14:paraId="5942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9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1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r>
      <w:tr w14:paraId="78DA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9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5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城区违停市政府违停</w:t>
            </w:r>
          </w:p>
        </w:tc>
      </w:tr>
      <w:tr w14:paraId="1FDE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9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C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城区违停西大街十字口</w:t>
            </w:r>
          </w:p>
        </w:tc>
      </w:tr>
      <w:tr w14:paraId="729E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6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C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西大街  十字街 违停 </w:t>
            </w:r>
          </w:p>
        </w:tc>
      </w:tr>
      <w:tr w14:paraId="19B8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0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D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西大街 市民之家_1</w:t>
            </w:r>
          </w:p>
        </w:tc>
      </w:tr>
      <w:tr w14:paraId="6DDB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3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北大街 我型我秀北向南_1</w:t>
            </w:r>
          </w:p>
        </w:tc>
      </w:tr>
      <w:tr w14:paraId="3CA0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5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D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北大街中国银行违停球北向南 </w:t>
            </w:r>
          </w:p>
        </w:tc>
      </w:tr>
      <w:tr w14:paraId="289D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7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F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城区违停  北大街中国银行 </w:t>
            </w:r>
          </w:p>
        </w:tc>
      </w:tr>
      <w:tr w14:paraId="5663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A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6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北大街我型我秀</w:t>
            </w:r>
          </w:p>
        </w:tc>
      </w:tr>
      <w:tr w14:paraId="7386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1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城区违停   南大街东  </w:t>
            </w:r>
          </w:p>
        </w:tc>
      </w:tr>
      <w:tr w14:paraId="5C9F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2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A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城区违停  南大街西 </w:t>
            </w:r>
          </w:p>
        </w:tc>
      </w:tr>
      <w:tr w14:paraId="2BCF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E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8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东大街 老爷庙</w:t>
            </w:r>
          </w:p>
        </w:tc>
      </w:tr>
      <w:tr w14:paraId="7D4A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4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8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东大街城隍庙西侧违停球机</w:t>
            </w:r>
          </w:p>
        </w:tc>
      </w:tr>
      <w:tr w14:paraId="67DC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2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9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九州违停</w:t>
            </w:r>
          </w:p>
        </w:tc>
      </w:tr>
      <w:tr w14:paraId="3CE0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4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5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南河沿光明路 （3）</w:t>
            </w:r>
          </w:p>
        </w:tc>
      </w:tr>
      <w:tr w14:paraId="5EA0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5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0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南河沿 光明东路定安巷违停_1</w:t>
            </w:r>
          </w:p>
        </w:tc>
      </w:tr>
      <w:tr w14:paraId="1572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8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A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南河沿光明小学违停球机</w:t>
            </w:r>
          </w:p>
        </w:tc>
      </w:tr>
      <w:tr w14:paraId="739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E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D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南河沿九洲购物园北向南违停球机</w:t>
            </w:r>
          </w:p>
        </w:tc>
      </w:tr>
      <w:tr w14:paraId="3090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4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5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北河沿 北坛小学违停_1</w:t>
            </w:r>
          </w:p>
        </w:tc>
      </w:tr>
      <w:tr w14:paraId="63AA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9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北河沿北坛小学体育场南侧违停球机</w:t>
            </w:r>
          </w:p>
        </w:tc>
      </w:tr>
      <w:tr w14:paraId="56EB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6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C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北河沿街绿城华府东门口违停球机</w:t>
            </w:r>
          </w:p>
        </w:tc>
      </w:tr>
      <w:tr w14:paraId="46AB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9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2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北河沿街铁生批发部门口违停球机</w:t>
            </w:r>
          </w:p>
        </w:tc>
      </w:tr>
      <w:tr w14:paraId="0297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B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1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北河沿介休宾馆</w:t>
            </w:r>
          </w:p>
        </w:tc>
      </w:tr>
      <w:tr w14:paraId="6AFD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A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E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北河沿台球厅 （1）</w:t>
            </w:r>
          </w:p>
        </w:tc>
      </w:tr>
      <w:tr w14:paraId="4B4B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B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B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北河沿义乌 （3）</w:t>
            </w:r>
          </w:p>
        </w:tc>
      </w:tr>
      <w:tr w14:paraId="4B8D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F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8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欣潮门口</w:t>
            </w:r>
          </w:p>
        </w:tc>
      </w:tr>
      <w:tr w14:paraId="65E5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E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D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裕华路 汾矿工体南_1</w:t>
            </w:r>
          </w:p>
        </w:tc>
      </w:tr>
      <w:tr w14:paraId="2E15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0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2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城区违停体育馆 （1）</w:t>
            </w:r>
          </w:p>
        </w:tc>
      </w:tr>
      <w:tr w14:paraId="651A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2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3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体育路 三中 违停</w:t>
            </w:r>
          </w:p>
        </w:tc>
      </w:tr>
      <w:tr w14:paraId="7EC4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F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5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体育路 三中对面 违停</w:t>
            </w:r>
          </w:p>
        </w:tc>
      </w:tr>
      <w:tr w14:paraId="2BC1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C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体育路利华违停球机</w:t>
            </w:r>
          </w:p>
        </w:tc>
      </w:tr>
      <w:tr w14:paraId="76D9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F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2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金融路 旧法院</w:t>
            </w:r>
          </w:p>
        </w:tc>
      </w:tr>
      <w:tr w14:paraId="12C4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1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3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金融路 山印小区</w:t>
            </w:r>
          </w:p>
        </w:tc>
      </w:tr>
      <w:tr w14:paraId="1810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2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D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北坛路 汾秀公园_1</w:t>
            </w:r>
          </w:p>
        </w:tc>
      </w:tr>
      <w:tr w14:paraId="1641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3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北坛路 妇幼门口_1</w:t>
            </w:r>
          </w:p>
        </w:tc>
      </w:tr>
      <w:tr w14:paraId="6518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B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八中违停</w:t>
            </w:r>
          </w:p>
        </w:tc>
      </w:tr>
      <w:tr w14:paraId="7085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8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A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南文明街农机公司违停球机</w:t>
            </w:r>
          </w:p>
        </w:tc>
      </w:tr>
      <w:tr w14:paraId="18DC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C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E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 农机局_1</w:t>
            </w:r>
          </w:p>
        </w:tc>
      </w:tr>
      <w:tr w14:paraId="0256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5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8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新建路交警一中队违停球机</w:t>
            </w:r>
          </w:p>
        </w:tc>
      </w:tr>
      <w:tr w14:paraId="53F3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F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新建路水门南街违停球机_1</w:t>
            </w:r>
          </w:p>
        </w:tc>
      </w:tr>
      <w:tr w14:paraId="01D3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5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0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新建西路八中门口西向东 违停球机</w:t>
            </w:r>
          </w:p>
        </w:tc>
      </w:tr>
      <w:tr w14:paraId="2B81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B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4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迎翠街违停球机</w:t>
            </w:r>
          </w:p>
        </w:tc>
      </w:tr>
      <w:tr w14:paraId="5BF2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5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4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岳家湾绵山方向违停球机</w:t>
            </w:r>
          </w:p>
        </w:tc>
      </w:tr>
      <w:tr w14:paraId="022E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2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馨园小区违停球机</w:t>
            </w:r>
          </w:p>
        </w:tc>
      </w:tr>
      <w:tr w14:paraId="50B8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A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A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彦博路城关乡卫生院门口</w:t>
            </w:r>
          </w:p>
        </w:tc>
      </w:tr>
      <w:tr w14:paraId="1A57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F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C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介休一中 （5）</w:t>
            </w:r>
          </w:p>
        </w:tc>
      </w:tr>
      <w:tr w14:paraId="556A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6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介休一中违停球机</w:t>
            </w:r>
          </w:p>
        </w:tc>
      </w:tr>
      <w:tr w14:paraId="6901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9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2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  慧  城  管    五 岔 口 球  机</w:t>
            </w:r>
          </w:p>
        </w:tc>
      </w:tr>
      <w:tr w14:paraId="4278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6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南文明街农行违停_1</w:t>
            </w:r>
          </w:p>
        </w:tc>
      </w:tr>
      <w:tr w14:paraId="7696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A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2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汾秀街安益B区西门东侧违停_1</w:t>
            </w:r>
          </w:p>
        </w:tc>
      </w:tr>
      <w:tr w14:paraId="41A1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8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A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汾秀街安益B区西门东侧违停球机</w:t>
            </w:r>
          </w:p>
        </w:tc>
      </w:tr>
      <w:tr w14:paraId="5315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C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2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汾秀街安益B区西门西侧违停球机</w:t>
            </w:r>
          </w:p>
        </w:tc>
      </w:tr>
      <w:tr w14:paraId="0E0C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5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3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北坛路 绿都名苑_1</w:t>
            </w:r>
          </w:p>
        </w:tc>
      </w:tr>
      <w:tr w14:paraId="6BB4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9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6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城区违停   绿都违停</w:t>
            </w:r>
          </w:p>
        </w:tc>
      </w:tr>
      <w:tr w14:paraId="0482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8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2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经天路文祥苑小区门口违停球机</w:t>
            </w:r>
          </w:p>
        </w:tc>
      </w:tr>
      <w:tr w14:paraId="1999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2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B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经天路与宏顺路交叉口违停球机</w:t>
            </w:r>
          </w:p>
        </w:tc>
      </w:tr>
    </w:tbl>
    <w:p w14:paraId="4E35296F">
      <w:pPr>
        <w:numPr>
          <w:ilvl w:val="0"/>
          <w:numId w:val="9"/>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固定测速</w:t>
      </w:r>
    </w:p>
    <w:tbl>
      <w:tblPr>
        <w:tblStyle w:val="56"/>
        <w:tblW w:w="96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9"/>
        <w:gridCol w:w="8334"/>
      </w:tblGrid>
      <w:tr w14:paraId="7D2A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F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6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r>
      <w:tr w14:paraId="279A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9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1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定阳路东向西1KM宏生医院对面_1</w:t>
            </w:r>
          </w:p>
        </w:tc>
      </w:tr>
      <w:tr w14:paraId="38B0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7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B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高速口 北向南_1</w:t>
            </w:r>
          </w:p>
        </w:tc>
      </w:tr>
      <w:tr w14:paraId="1FAC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5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8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介公路安居苑小区东向西测速_1</w:t>
            </w:r>
          </w:p>
        </w:tc>
      </w:tr>
      <w:tr w14:paraId="1450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E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2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介公路安居苑小区西向东测速_1</w:t>
            </w:r>
          </w:p>
        </w:tc>
      </w:tr>
      <w:tr w14:paraId="4D86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6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7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南外环南靳屯西400M固定测速_1</w:t>
            </w:r>
          </w:p>
        </w:tc>
      </w:tr>
      <w:tr w14:paraId="6FCA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D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B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三贤大道高速口南向北方向测速_1</w:t>
            </w:r>
          </w:p>
        </w:tc>
      </w:tr>
      <w:tr w14:paraId="6E4C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5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A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三贤大道宋安村北向南_1</w:t>
            </w:r>
          </w:p>
        </w:tc>
      </w:tr>
      <w:tr w14:paraId="26E7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2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4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三贤大道宋安村南向北_1</w:t>
            </w:r>
          </w:p>
        </w:tc>
      </w:tr>
      <w:tr w14:paraId="43F6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9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F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省道221线（东夏线）49KM200M_1</w:t>
            </w:r>
          </w:p>
        </w:tc>
      </w:tr>
      <w:tr w14:paraId="4A69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D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D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介公路距新华街300m西向东</w:t>
            </w:r>
          </w:p>
        </w:tc>
      </w:tr>
      <w:tr w14:paraId="5F73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5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3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介公路西300M东向西</w:t>
            </w:r>
          </w:p>
        </w:tc>
      </w:tr>
      <w:tr w14:paraId="1241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2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A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南外环南靳屯村西1KM</w:t>
            </w:r>
          </w:p>
        </w:tc>
      </w:tr>
    </w:tbl>
    <w:p w14:paraId="540ADB71">
      <w:pPr>
        <w:numPr>
          <w:ilvl w:val="0"/>
          <w:numId w:val="9"/>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高点全景</w:t>
      </w:r>
    </w:p>
    <w:tbl>
      <w:tblPr>
        <w:tblStyle w:val="56"/>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4"/>
        <w:gridCol w:w="8333"/>
      </w:tblGrid>
      <w:tr w14:paraId="0509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0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8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r>
      <w:tr w14:paraId="5FF2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0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6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108国道北辛武高点全景</w:t>
            </w:r>
          </w:p>
        </w:tc>
      </w:tr>
      <w:tr w14:paraId="6B00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2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B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108虹霁寺高点全景</w:t>
            </w:r>
          </w:p>
        </w:tc>
      </w:tr>
      <w:tr w14:paraId="0AA8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6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3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108孟村高点全景</w:t>
            </w:r>
          </w:p>
        </w:tc>
      </w:tr>
      <w:tr w14:paraId="2386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7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108穆家堡高点全景</w:t>
            </w:r>
          </w:p>
        </w:tc>
      </w:tr>
      <w:tr w14:paraId="7335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3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9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G108三贤大道高点球机</w:t>
            </w:r>
          </w:p>
        </w:tc>
      </w:tr>
      <w:tr w14:paraId="2A81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0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1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板地高点全景</w:t>
            </w:r>
          </w:p>
        </w:tc>
      </w:tr>
      <w:tr w14:paraId="3EDB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8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北坛东路168高点</w:t>
            </w:r>
          </w:p>
        </w:tc>
      </w:tr>
      <w:tr w14:paraId="3D96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B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3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昌盛西侧高点全景</w:t>
            </w:r>
          </w:p>
        </w:tc>
      </w:tr>
      <w:tr w14:paraId="3ED0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C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C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东昌家园高点全景</w:t>
            </w:r>
          </w:p>
        </w:tc>
      </w:tr>
      <w:tr w14:paraId="7F96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3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1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东站高点全景</w:t>
            </w:r>
          </w:p>
        </w:tc>
      </w:tr>
      <w:tr w14:paraId="1807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4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C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火车站贝壳酒店全景</w:t>
            </w:r>
          </w:p>
        </w:tc>
      </w:tr>
      <w:tr w14:paraId="16C0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D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0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绵山镇秦树村绵山方向高点</w:t>
            </w:r>
          </w:p>
        </w:tc>
      </w:tr>
      <w:tr w14:paraId="1057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E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F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绵铁大厦高点全景</w:t>
            </w:r>
          </w:p>
        </w:tc>
      </w:tr>
      <w:tr w14:paraId="1E6E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A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B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三贤大道五岔口全景</w:t>
            </w:r>
          </w:p>
        </w:tc>
      </w:tr>
      <w:tr w14:paraId="34C1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5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9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西外环高点全景</w:t>
            </w:r>
          </w:p>
        </w:tc>
      </w:tr>
      <w:tr w14:paraId="5216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2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B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信合大厦全景</w:t>
            </w:r>
          </w:p>
        </w:tc>
      </w:tr>
      <w:tr w14:paraId="0E61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C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0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园区西路高点全景</w:t>
            </w:r>
          </w:p>
        </w:tc>
      </w:tr>
      <w:tr w14:paraId="1324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3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4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岳家湾高点全景</w:t>
            </w:r>
          </w:p>
        </w:tc>
      </w:tr>
      <w:tr w14:paraId="67A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D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0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张义线与东园区路交叉口高点全景</w:t>
            </w:r>
          </w:p>
        </w:tc>
      </w:tr>
    </w:tbl>
    <w:p w14:paraId="20B03B8A">
      <w:pPr>
        <w:pStyle w:val="14"/>
        <w:numPr>
          <w:ilvl w:val="0"/>
          <w:numId w:val="0"/>
        </w:numPr>
        <w:rPr>
          <w:rFonts w:hint="default"/>
          <w:lang w:val="en-US" w:eastAsia="zh-CN"/>
        </w:rPr>
      </w:pPr>
    </w:p>
    <w:p w14:paraId="67144041">
      <w:pPr>
        <w:pageBreakBefore w:val="0"/>
        <w:kinsoku/>
        <w:autoSpaceDE w:val="0"/>
        <w:autoSpaceDN w:val="0"/>
        <w:bidi w:val="0"/>
        <w:adjustRightIn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、验收标准：</w:t>
      </w:r>
    </w:p>
    <w:p w14:paraId="5A2FD7E8">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文件、成交服务商的</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文件等进行验收。</w:t>
      </w:r>
    </w:p>
    <w:p w14:paraId="3D6E310D">
      <w:pPr>
        <w:pStyle w:val="73"/>
        <w:rPr>
          <w:rFonts w:hint="eastAsia" w:cs="宋体"/>
          <w:color w:val="auto"/>
          <w:sz w:val="24"/>
          <w:szCs w:val="24"/>
          <w:highlight w:val="none"/>
          <w:lang w:val="en-US" w:eastAsia="zh-CN"/>
        </w:rPr>
      </w:pPr>
    </w:p>
    <w:p w14:paraId="3F05D9A7">
      <w:pPr>
        <w:pStyle w:val="73"/>
        <w:rPr>
          <w:rFonts w:hint="eastAsia" w:cs="宋体"/>
          <w:color w:val="000000"/>
          <w:sz w:val="24"/>
          <w:szCs w:val="24"/>
          <w:lang w:val="en-US" w:eastAsia="zh-CN"/>
        </w:rPr>
      </w:pPr>
    </w:p>
    <w:p w14:paraId="07C36D4A">
      <w:pPr>
        <w:rPr>
          <w:rFonts w:hint="eastAsia"/>
        </w:rPr>
      </w:pPr>
      <w:bookmarkStart w:id="89" w:name="_Toc4436"/>
      <w:r>
        <w:rPr>
          <w:rFonts w:hint="eastAsia"/>
        </w:rPr>
        <w:br w:type="page"/>
      </w:r>
    </w:p>
    <w:p w14:paraId="25E0D27A">
      <w:pPr>
        <w:pStyle w:val="73"/>
        <w:ind w:left="0" w:leftChars="0" w:firstLine="0" w:firstLineChars="0"/>
        <w:rPr>
          <w:rFonts w:hint="eastAsia"/>
        </w:rPr>
      </w:pPr>
    </w:p>
    <w:bookmarkEnd w:id="89"/>
    <w:p w14:paraId="12ABCCDB">
      <w:pPr>
        <w:numPr>
          <w:ilvl w:val="0"/>
          <w:numId w:val="10"/>
        </w:numPr>
        <w:overflowPunct w:val="0"/>
        <w:topLinePunct/>
        <w:autoSpaceDN w:val="0"/>
        <w:adjustRightInd w:val="0"/>
        <w:snapToGrid w:val="0"/>
        <w:spacing w:line="360" w:lineRule="auto"/>
        <w:ind w:firstLine="3011" w:firstLineChars="1000"/>
        <w:jc w:val="both"/>
        <w:outlineLvl w:val="0"/>
        <w:rPr>
          <w:rFonts w:hint="eastAsia" w:ascii="宋体" w:hAnsi="宋体" w:eastAsia="宋体" w:cs="宋体"/>
          <w:b/>
          <w:bCs/>
          <w:spacing w:val="10"/>
          <w:kern w:val="0"/>
          <w:sz w:val="28"/>
          <w:szCs w:val="22"/>
        </w:rPr>
      </w:pPr>
      <w:r>
        <w:rPr>
          <w:rFonts w:hint="eastAsia" w:ascii="宋体" w:hAnsi="宋体" w:eastAsia="宋体" w:cs="宋体"/>
          <w:b/>
          <w:bCs/>
          <w:spacing w:val="10"/>
          <w:kern w:val="0"/>
          <w:sz w:val="28"/>
          <w:szCs w:val="22"/>
        </w:rPr>
        <w:t xml:space="preserve"> 采购合同（格式）</w:t>
      </w:r>
    </w:p>
    <w:p w14:paraId="42D0848C">
      <w:pPr>
        <w:pageBreakBefore w:val="0"/>
        <w:kinsoku/>
        <w:wordWrap/>
        <w:overflowPunct/>
        <w:topLinePunct w:val="0"/>
        <w:autoSpaceDE/>
        <w:autoSpaceDN/>
        <w:bidi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甲</w:t>
      </w:r>
      <w:r>
        <w:rPr>
          <w:rFonts w:hint="eastAsia" w:ascii="宋体" w:hAnsi="宋体" w:eastAsia="宋体" w:cs="宋体"/>
          <w:b w:val="0"/>
          <w:bCs/>
          <w:sz w:val="24"/>
          <w:szCs w:val="24"/>
        </w:rPr>
        <w:t xml:space="preserve">       方：</w:t>
      </w:r>
      <w:r>
        <w:rPr>
          <w:rFonts w:hint="eastAsia" w:ascii="宋体" w:hAnsi="宋体" w:eastAsia="宋体" w:cs="宋体"/>
          <w:b w:val="0"/>
          <w:bCs/>
          <w:sz w:val="24"/>
          <w:szCs w:val="24"/>
          <w:lang w:val="en-US" w:eastAsia="zh-CN"/>
        </w:rPr>
        <w:t xml:space="preserve">     </w:t>
      </w:r>
    </w:p>
    <w:p w14:paraId="16C405B9">
      <w:pPr>
        <w:pageBreakBefore w:val="0"/>
        <w:kinsoku/>
        <w:wordWrap/>
        <w:overflowPunct/>
        <w:topLinePunct w:val="0"/>
        <w:autoSpaceDE/>
        <w:autoSpaceDN/>
        <w:bidi w:val="0"/>
        <w:spacing w:line="360" w:lineRule="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乙</w:t>
      </w:r>
      <w:r>
        <w:rPr>
          <w:rFonts w:hint="eastAsia" w:ascii="宋体" w:hAnsi="宋体" w:eastAsia="宋体" w:cs="宋体"/>
          <w:b w:val="0"/>
          <w:bCs/>
          <w:sz w:val="24"/>
          <w:szCs w:val="24"/>
        </w:rPr>
        <w:t xml:space="preserve">       方： </w:t>
      </w:r>
    </w:p>
    <w:p w14:paraId="1E16C99E">
      <w:pPr>
        <w:pStyle w:val="24"/>
        <w:pageBreakBefore w:val="0"/>
        <w:widowControl/>
        <w:kinsoku/>
        <w:wordWrap/>
        <w:overflowPunct/>
        <w:topLinePunct w:val="0"/>
        <w:autoSpaceDE/>
        <w:autoSpaceDN/>
        <w:bidi w:val="0"/>
        <w:adjustRightInd/>
        <w:spacing w:after="0" w:line="360" w:lineRule="auto"/>
        <w:ind w:left="0" w:leftChars="0"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在</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项目</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采购中中标，经双方协商一致，签订本合同。</w:t>
      </w:r>
    </w:p>
    <w:p w14:paraId="5387253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0" w:name="_Toc326248000"/>
      <w:r>
        <w:rPr>
          <w:rFonts w:hint="eastAsia" w:ascii="宋体" w:hAnsi="宋体" w:eastAsia="宋体" w:cs="宋体"/>
          <w:b w:val="0"/>
          <w:bCs/>
          <w:sz w:val="24"/>
          <w:szCs w:val="24"/>
        </w:rPr>
        <w:t>一、服务条款</w:t>
      </w:r>
      <w:bookmarkEnd w:id="90"/>
    </w:p>
    <w:p w14:paraId="5C7B4B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提供</w:t>
      </w:r>
      <w:r>
        <w:rPr>
          <w:rFonts w:hint="eastAsia" w:ascii="宋体" w:hAnsi="宋体" w:eastAsia="宋体" w:cs="宋体"/>
          <w:b w:val="0"/>
          <w:bCs/>
          <w:sz w:val="24"/>
          <w:szCs w:val="24"/>
          <w:u w:val="single"/>
          <w:lang w:val="en-US" w:eastAsia="zh-CN"/>
        </w:rPr>
        <w:t xml:space="preserve">                  </w:t>
      </w:r>
    </w:p>
    <w:p w14:paraId="7F8381B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1" w:name="_Toc326248001"/>
      <w:r>
        <w:rPr>
          <w:rFonts w:hint="eastAsia" w:ascii="宋体" w:hAnsi="宋体" w:eastAsia="宋体" w:cs="宋体"/>
          <w:b w:val="0"/>
          <w:bCs/>
          <w:sz w:val="24"/>
          <w:szCs w:val="24"/>
        </w:rPr>
        <w:t>二、合同总金额:</w:t>
      </w:r>
      <w:bookmarkEnd w:id="91"/>
    </w:p>
    <w:p w14:paraId="6136720F">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人民币（大写）：</w:t>
      </w:r>
    </w:p>
    <w:p w14:paraId="66E4BAC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（小写）：￥</w:t>
      </w:r>
    </w:p>
    <w:p w14:paraId="14B0F8D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此价格为合同执行不变价，不因国家政策变化而变化。</w:t>
      </w:r>
    </w:p>
    <w:p w14:paraId="2F4DD8C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color w:val="FF0000"/>
          <w:sz w:val="24"/>
          <w:szCs w:val="24"/>
        </w:rPr>
      </w:pPr>
      <w:bookmarkStart w:id="92" w:name="_Toc326248002"/>
      <w:r>
        <w:rPr>
          <w:rFonts w:hint="eastAsia" w:ascii="宋体" w:hAnsi="宋体" w:eastAsia="宋体" w:cs="宋体"/>
          <w:b w:val="0"/>
          <w:bCs/>
          <w:sz w:val="24"/>
          <w:szCs w:val="24"/>
        </w:rPr>
        <w:t>三、服务款项支付</w:t>
      </w:r>
      <w:bookmarkEnd w:id="92"/>
    </w:p>
    <w:p w14:paraId="777EC32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3" w:name="_Toc326248003"/>
      <w:r>
        <w:rPr>
          <w:rFonts w:hint="eastAsia" w:ascii="宋体" w:hAnsi="宋体" w:eastAsia="宋体" w:cs="宋体"/>
          <w:b w:val="0"/>
          <w:bCs/>
          <w:sz w:val="24"/>
          <w:szCs w:val="24"/>
        </w:rPr>
        <w:t>1、付款方式：</w:t>
      </w:r>
    </w:p>
    <w:p w14:paraId="3FD6271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2、履约保证金：</w:t>
      </w:r>
    </w:p>
    <w:p w14:paraId="0BD4197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四、服务及承诺</w:t>
      </w:r>
      <w:bookmarkEnd w:id="93"/>
    </w:p>
    <w:p w14:paraId="2B58FB7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承诺：</w:t>
      </w:r>
    </w:p>
    <w:p w14:paraId="3C5F1087">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4" w:name="_Toc326248004"/>
      <w:r>
        <w:rPr>
          <w:rFonts w:hint="eastAsia" w:ascii="宋体" w:hAnsi="宋体" w:eastAsia="宋体" w:cs="宋体"/>
          <w:b w:val="0"/>
          <w:bCs/>
          <w:sz w:val="24"/>
          <w:szCs w:val="24"/>
        </w:rPr>
        <w:t>五、</w:t>
      </w:r>
      <w:bookmarkEnd w:id="94"/>
      <w:r>
        <w:rPr>
          <w:rFonts w:hint="eastAsia" w:ascii="宋体" w:hAnsi="宋体" w:eastAsia="宋体" w:cs="宋体"/>
          <w:b w:val="0"/>
          <w:bCs/>
          <w:sz w:val="24"/>
          <w:szCs w:val="24"/>
        </w:rPr>
        <w:t>服务时间及地点</w:t>
      </w:r>
    </w:p>
    <w:p w14:paraId="1D11F33E">
      <w:pPr>
        <w:pageBreakBefore w:val="0"/>
        <w:kinsoku/>
        <w:wordWrap/>
        <w:overflowPunct/>
        <w:topLinePunct w:val="0"/>
        <w:autoSpaceDE/>
        <w:autoSpaceDN/>
        <w:bidi w:val="0"/>
        <w:spacing w:line="360" w:lineRule="auto"/>
        <w:ind w:left="0" w:firstLine="480" w:firstLineChars="200"/>
        <w:outlineLvl w:val="9"/>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1、服务时间：</w:t>
      </w:r>
      <w:r>
        <w:rPr>
          <w:rFonts w:hint="eastAsia" w:ascii="宋体" w:hAnsi="宋体" w:cs="宋体"/>
          <w:b w:val="0"/>
          <w:bCs/>
          <w:sz w:val="24"/>
          <w:szCs w:val="24"/>
          <w:lang w:val="en-US" w:eastAsia="zh-CN"/>
        </w:rPr>
        <w:t>本合同为三年期，第二、三年付款以当年财政预算批复为前提；预算未获批，采购人可终止合同，不违约。</w:t>
      </w:r>
    </w:p>
    <w:p w14:paraId="68F5011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2、服务地点：</w:t>
      </w:r>
    </w:p>
    <w:p w14:paraId="03A01FA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5" w:name="_Toc326248005"/>
      <w:r>
        <w:rPr>
          <w:rFonts w:hint="eastAsia" w:ascii="宋体" w:hAnsi="宋体" w:eastAsia="宋体" w:cs="宋体"/>
          <w:b w:val="0"/>
          <w:bCs/>
          <w:sz w:val="24"/>
          <w:szCs w:val="24"/>
        </w:rPr>
        <w:t>六、</w:t>
      </w:r>
      <w:bookmarkEnd w:id="95"/>
      <w:r>
        <w:rPr>
          <w:rFonts w:hint="eastAsia" w:ascii="宋体" w:hAnsi="宋体" w:eastAsia="宋体" w:cs="宋体"/>
          <w:b w:val="0"/>
          <w:bCs/>
          <w:sz w:val="24"/>
          <w:szCs w:val="24"/>
        </w:rPr>
        <w:t>服务完成</w:t>
      </w:r>
    </w:p>
    <w:p w14:paraId="0038365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依据技术要求检验服务是否圆满完成</w:t>
      </w:r>
    </w:p>
    <w:p w14:paraId="2066FC4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6" w:name="_Toc326248006"/>
      <w:r>
        <w:rPr>
          <w:rFonts w:hint="eastAsia" w:ascii="宋体" w:hAnsi="宋体" w:eastAsia="宋体" w:cs="宋体"/>
          <w:b w:val="0"/>
          <w:bCs/>
          <w:sz w:val="24"/>
          <w:szCs w:val="24"/>
        </w:rPr>
        <w:t>七、</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责任</w:t>
      </w:r>
      <w:bookmarkEnd w:id="96"/>
    </w:p>
    <w:p w14:paraId="193B829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1、组织验收并及时办理付款手续。</w:t>
      </w:r>
    </w:p>
    <w:p w14:paraId="370A5ED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、对合同条款及价格负有保密义务。</w:t>
      </w:r>
    </w:p>
    <w:p w14:paraId="0D78C7AD">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7" w:name="_Toc326248007"/>
      <w:r>
        <w:rPr>
          <w:rFonts w:hint="eastAsia" w:ascii="宋体" w:hAnsi="宋体" w:eastAsia="宋体" w:cs="宋体"/>
          <w:b w:val="0"/>
          <w:bCs/>
          <w:sz w:val="24"/>
          <w:szCs w:val="24"/>
        </w:rPr>
        <w:t>八、</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责任</w:t>
      </w:r>
      <w:bookmarkEnd w:id="97"/>
    </w:p>
    <w:p w14:paraId="40774F7F">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1、保证所供服务均为标书承诺服务，符合相关规定准。</w:t>
      </w:r>
    </w:p>
    <w:p w14:paraId="3ED5DE59">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2、保证服务的圆满完成。</w:t>
      </w:r>
    </w:p>
    <w:p w14:paraId="354E522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8" w:name="_Toc326248008"/>
      <w:r>
        <w:rPr>
          <w:rFonts w:hint="eastAsia" w:ascii="宋体" w:hAnsi="宋体" w:eastAsia="宋体" w:cs="宋体"/>
          <w:b w:val="0"/>
          <w:bCs/>
          <w:sz w:val="24"/>
          <w:szCs w:val="24"/>
        </w:rPr>
        <w:t>九、违约责任</w:t>
      </w:r>
      <w:bookmarkEnd w:id="98"/>
    </w:p>
    <w:p w14:paraId="18034A4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无正当理由拒付服务款的，</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赔偿合同总额2%的违约金。</w:t>
      </w:r>
    </w:p>
    <w:p w14:paraId="51816CE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不能完成服务，</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偿付合同款总额2%的违约金。</w:t>
      </w:r>
    </w:p>
    <w:p w14:paraId="07DB5E4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3、因</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错误造成的损失，由</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负担。</w:t>
      </w:r>
    </w:p>
    <w:p w14:paraId="714AD06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9" w:name="_Toc326248009"/>
      <w:r>
        <w:rPr>
          <w:rFonts w:hint="eastAsia" w:ascii="宋体" w:hAnsi="宋体" w:eastAsia="宋体" w:cs="宋体"/>
          <w:b w:val="0"/>
          <w:bCs/>
          <w:sz w:val="24"/>
          <w:szCs w:val="24"/>
        </w:rPr>
        <w:t>十、不可抗力</w:t>
      </w:r>
      <w:bookmarkEnd w:id="99"/>
    </w:p>
    <w:p w14:paraId="73F154DC">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393447D">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0" w:name="_Toc326248010"/>
      <w:r>
        <w:rPr>
          <w:rFonts w:hint="eastAsia" w:ascii="宋体" w:hAnsi="宋体" w:eastAsia="宋体" w:cs="宋体"/>
          <w:b w:val="0"/>
          <w:bCs/>
          <w:sz w:val="24"/>
          <w:szCs w:val="24"/>
        </w:rPr>
        <w:t>十一、争议解决</w:t>
      </w:r>
      <w:bookmarkEnd w:id="100"/>
    </w:p>
    <w:p w14:paraId="14640E2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供需双方在执行合同中发生争议，应通过协商解决。如协商不成，可以向合同签署所在地法院提出诉讼。</w:t>
      </w:r>
    </w:p>
    <w:p w14:paraId="67123F4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1" w:name="_Toc326248011"/>
      <w:r>
        <w:rPr>
          <w:rFonts w:hint="eastAsia" w:ascii="宋体" w:hAnsi="宋体" w:eastAsia="宋体" w:cs="宋体"/>
          <w:b w:val="0"/>
          <w:bCs/>
          <w:sz w:val="24"/>
          <w:szCs w:val="24"/>
        </w:rPr>
        <w:t>十二、合同生效及其他</w:t>
      </w:r>
      <w:bookmarkEnd w:id="101"/>
    </w:p>
    <w:p w14:paraId="24BCD55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1、合同由供、需双方代表签章确认后，即行生效。</w:t>
      </w:r>
    </w:p>
    <w:p w14:paraId="32743D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2、本合同一式五份，</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四份，其中两份分别到财政部门和有关部门备案，</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壹份。</w:t>
      </w:r>
    </w:p>
    <w:p w14:paraId="358514E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3、合同执行过程中出现的未尽事宜，双方在不违背合同和招标文件的前提下协商解决。协商结果以“纪要”形式作为合同附件，与合同具有同等效力。</w:t>
      </w:r>
    </w:p>
    <w:p w14:paraId="3840FDF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2" w:name="_Toc326248012"/>
      <w:r>
        <w:rPr>
          <w:rFonts w:hint="eastAsia" w:ascii="宋体" w:hAnsi="宋体" w:eastAsia="宋体" w:cs="宋体"/>
          <w:b w:val="0"/>
          <w:bCs/>
          <w:sz w:val="24"/>
          <w:szCs w:val="24"/>
        </w:rPr>
        <w:t>十三、下列文件为本合同不可分割部分</w:t>
      </w:r>
      <w:bookmarkEnd w:id="102"/>
    </w:p>
    <w:p w14:paraId="49B3F2A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磋商</w:t>
      </w:r>
      <w:r>
        <w:rPr>
          <w:rFonts w:hint="eastAsia" w:ascii="宋体" w:hAnsi="宋体" w:eastAsia="宋体" w:cs="宋体"/>
          <w:b w:val="0"/>
          <w:bCs/>
          <w:sz w:val="24"/>
          <w:szCs w:val="24"/>
        </w:rPr>
        <w:t>文件</w:t>
      </w:r>
    </w:p>
    <w:p w14:paraId="7F81FB6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val="en-US" w:eastAsia="zh-CN"/>
        </w:rPr>
        <w:t>响应</w:t>
      </w:r>
      <w:r>
        <w:rPr>
          <w:rFonts w:hint="eastAsia" w:ascii="宋体" w:hAnsi="宋体" w:eastAsia="宋体" w:cs="宋体"/>
          <w:b w:val="0"/>
          <w:bCs/>
          <w:sz w:val="24"/>
          <w:szCs w:val="24"/>
          <w:lang w:eastAsia="zh-CN"/>
        </w:rPr>
        <w:t>文件</w:t>
      </w:r>
    </w:p>
    <w:p w14:paraId="6824373C">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val="en-US" w:eastAsia="zh-CN"/>
        </w:rPr>
        <w:t>供应商</w:t>
      </w:r>
      <w:r>
        <w:rPr>
          <w:rFonts w:hint="eastAsia" w:ascii="宋体" w:hAnsi="宋体" w:eastAsia="宋体" w:cs="宋体"/>
          <w:b w:val="0"/>
          <w:bCs/>
          <w:sz w:val="24"/>
          <w:szCs w:val="24"/>
        </w:rPr>
        <w:t>所做的其他承诺</w:t>
      </w:r>
    </w:p>
    <w:p w14:paraId="4F3058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61724A5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p>
    <w:p w14:paraId="3651522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 xml:space="preserve">（章）：                            </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 xml:space="preserve">（章）：            </w:t>
      </w:r>
    </w:p>
    <w:p w14:paraId="6AE5DD0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p>
    <w:p w14:paraId="3139C68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法人代表：                              法人代表：                </w:t>
      </w:r>
    </w:p>
    <w:p w14:paraId="07A7BC4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委托代理人：                            委托代理人：               </w:t>
      </w:r>
    </w:p>
    <w:p w14:paraId="12D4BB99">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地 址：                                 地 址：                   </w:t>
      </w:r>
    </w:p>
    <w:p w14:paraId="3518148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电 话：                                 电 话：                    </w:t>
      </w:r>
    </w:p>
    <w:p w14:paraId="7185F32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开户银行：                              开户银行：                </w:t>
      </w:r>
    </w:p>
    <w:p w14:paraId="59FF428A">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账 号：                                 账 号                      </w:t>
      </w:r>
    </w:p>
    <w:p w14:paraId="32644C96">
      <w:pPr>
        <w:pStyle w:val="389"/>
        <w:keepNext/>
        <w:keepLines/>
        <w:pageBreakBefore w:val="0"/>
        <w:widowControl w:val="0"/>
        <w:kinsoku/>
        <w:wordWrap/>
        <w:overflowPunct/>
        <w:topLinePunct w:val="0"/>
        <w:autoSpaceDE/>
        <w:autoSpaceDN/>
        <w:bidi w:val="0"/>
        <w:adjustRightInd w:val="0"/>
        <w:snapToGrid w:val="0"/>
        <w:spacing w:before="0" w:after="0" w:line="360" w:lineRule="auto"/>
        <w:ind w:left="0" w:firstLine="480" w:firstLineChars="200"/>
        <w:jc w:val="both"/>
        <w:textAlignment w:val="baseline"/>
        <w:outlineLvl w:val="9"/>
        <w:rPr>
          <w:rStyle w:val="59"/>
          <w:rFonts w:hint="eastAsia" w:ascii="宋体" w:hAnsi="宋体" w:eastAsia="宋体" w:cs="宋体"/>
          <w:b w:val="0"/>
          <w:bCs/>
          <w:color w:val="auto"/>
          <w:sz w:val="24"/>
          <w:szCs w:val="24"/>
          <w:highlight w:val="none"/>
        </w:rPr>
      </w:pPr>
      <w:bookmarkStart w:id="103" w:name="_Toc1220"/>
      <w:bookmarkStart w:id="104" w:name="_Toc4308"/>
      <w:bookmarkStart w:id="105" w:name="_Toc17327"/>
      <w:bookmarkStart w:id="106" w:name="_Toc7776"/>
      <w:r>
        <w:rPr>
          <w:rFonts w:hint="eastAsia" w:ascii="宋体" w:hAnsi="宋体" w:eastAsia="宋体" w:cs="宋体"/>
          <w:b w:val="0"/>
          <w:bCs/>
          <w:sz w:val="24"/>
          <w:szCs w:val="24"/>
        </w:rPr>
        <w:t>日 期：    年    月    日               日 期：    年    月    日</w:t>
      </w:r>
      <w:bookmarkEnd w:id="103"/>
      <w:bookmarkEnd w:id="104"/>
      <w:bookmarkEnd w:id="105"/>
      <w:bookmarkEnd w:id="106"/>
    </w:p>
    <w:p w14:paraId="45EFAD89">
      <w:pPr>
        <w:pageBreakBefore w:val="0"/>
        <w:kinsoku/>
        <w:overflowPunct/>
        <w:bidi w:val="0"/>
        <w:spacing w:line="360" w:lineRule="auto"/>
        <w:ind w:firstLine="0" w:firstLineChars="0"/>
        <w:jc w:val="center"/>
        <w:outlineLvl w:val="9"/>
        <w:rPr>
          <w:rFonts w:hint="eastAsia" w:ascii="宋体" w:hAnsi="宋体" w:eastAsia="宋体" w:cs="宋体"/>
          <w:smallCaps w:val="0"/>
          <w:color w:val="auto"/>
          <w:spacing w:val="0"/>
          <w:sz w:val="24"/>
          <w:szCs w:val="24"/>
          <w:lang w:eastAsia="zh-CN"/>
        </w:rPr>
      </w:pPr>
    </w:p>
    <w:p w14:paraId="7267AC7C">
      <w:pPr>
        <w:pageBreakBefore w:val="0"/>
        <w:kinsoku/>
        <w:overflowPunct/>
        <w:bidi w:val="0"/>
        <w:spacing w:line="360" w:lineRule="auto"/>
        <w:ind w:firstLine="0" w:firstLineChars="0"/>
        <w:jc w:val="center"/>
        <w:outlineLvl w:val="9"/>
        <w:rPr>
          <w:rFonts w:hint="eastAsia" w:ascii="宋体" w:hAnsi="宋体" w:eastAsia="宋体" w:cs="宋体"/>
          <w:smallCaps w:val="0"/>
          <w:color w:val="auto"/>
          <w:spacing w:val="0"/>
          <w:sz w:val="24"/>
          <w:szCs w:val="24"/>
          <w:lang w:eastAsia="zh-CN"/>
        </w:rPr>
      </w:pPr>
    </w:p>
    <w:p w14:paraId="34D50E88">
      <w:pPr>
        <w:pageBreakBefore w:val="0"/>
        <w:kinsoku/>
        <w:bidi w:val="0"/>
        <w:spacing w:line="360" w:lineRule="auto"/>
        <w:jc w:val="center"/>
        <w:rPr>
          <w:rFonts w:hint="eastAsia"/>
        </w:rPr>
      </w:pPr>
      <w:r>
        <w:rPr>
          <w:rFonts w:hint="eastAsia" w:ascii="宋体" w:hAnsi="宋体" w:eastAsia="宋体" w:cs="宋体"/>
          <w:smallCaps w:val="0"/>
          <w:color w:val="auto"/>
          <w:spacing w:val="0"/>
          <w:sz w:val="24"/>
          <w:szCs w:val="24"/>
          <w:lang w:eastAsia="zh-CN"/>
        </w:rPr>
        <w:t>注：经双方协商，在不改变合同实质性内容的基础上，可采用其他合同格式</w:t>
      </w:r>
    </w:p>
    <w:p w14:paraId="404BDFBA">
      <w:pPr>
        <w:pageBreakBefore w:val="0"/>
        <w:kinsoku/>
        <w:bidi w:val="0"/>
        <w:spacing w:line="360" w:lineRule="auto"/>
        <w:jc w:val="both"/>
        <w:rPr>
          <w:rFonts w:hint="eastAsia"/>
        </w:rPr>
      </w:pPr>
    </w:p>
    <w:p w14:paraId="493BED4D">
      <w:pPr>
        <w:pStyle w:val="73"/>
        <w:numPr>
          <w:ilvl w:val="0"/>
          <w:numId w:val="0"/>
        </w:numPr>
        <w:rPr>
          <w:rFonts w:hint="eastAsia"/>
        </w:rPr>
      </w:pPr>
    </w:p>
    <w:p w14:paraId="513831C0">
      <w:pPr>
        <w:pStyle w:val="36"/>
        <w:rPr>
          <w:rFonts w:hint="eastAsia" w:asciiTheme="minorEastAsia" w:hAnsiTheme="minorEastAsia" w:eastAsiaTheme="minorEastAsia" w:cstheme="minorEastAsia"/>
          <w:b/>
          <w:color w:val="000000"/>
          <w:sz w:val="32"/>
          <w:szCs w:val="32"/>
          <w:highlight w:val="none"/>
          <w:u w:val="single"/>
        </w:rPr>
      </w:pPr>
    </w:p>
    <w:p w14:paraId="6D7215EB">
      <w:pP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br w:type="page"/>
      </w:r>
    </w:p>
    <w:p w14:paraId="103AF334">
      <w:pPr>
        <w:pStyle w:val="4"/>
        <w:spacing w:before="0" w:after="0" w:line="500" w:lineRule="exact"/>
        <w:jc w:val="center"/>
        <w:rPr>
          <w:rFonts w:hint="eastAsia" w:asciiTheme="minorEastAsia" w:hAnsiTheme="minorEastAsia" w:eastAsiaTheme="minorEastAsia" w:cstheme="minorEastAsia"/>
          <w:bCs/>
          <w:color w:val="auto"/>
          <w:sz w:val="32"/>
          <w:szCs w:val="32"/>
          <w:highlight w:val="none"/>
        </w:rPr>
      </w:pPr>
    </w:p>
    <w:p w14:paraId="585C4FE2">
      <w:pPr>
        <w:pStyle w:val="4"/>
        <w:spacing w:before="0" w:after="0" w:line="500" w:lineRule="exact"/>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val="en-US" w:eastAsia="zh-CN"/>
        </w:rPr>
        <w:t>六</w:t>
      </w:r>
      <w:r>
        <w:rPr>
          <w:rFonts w:hint="eastAsia" w:asciiTheme="minorEastAsia" w:hAnsiTheme="minorEastAsia" w:eastAsiaTheme="minorEastAsia" w:cstheme="minorEastAsia"/>
          <w:bCs/>
          <w:color w:val="auto"/>
          <w:sz w:val="32"/>
          <w:szCs w:val="32"/>
          <w:highlight w:val="none"/>
          <w:lang w:eastAsia="zh-CN"/>
        </w:rPr>
        <w:t>部分</w:t>
      </w:r>
      <w:r>
        <w:rPr>
          <w:rFonts w:hint="eastAsia" w:asciiTheme="minorEastAsia" w:hAnsiTheme="minorEastAsia" w:eastAsiaTheme="minorEastAsia" w:cstheme="minorEastAsia"/>
          <w:bCs/>
          <w:color w:val="auto"/>
          <w:sz w:val="32"/>
          <w:szCs w:val="32"/>
          <w:highlight w:val="none"/>
        </w:rPr>
        <w:t xml:space="preserve"> </w:t>
      </w:r>
      <w:r>
        <w:rPr>
          <w:rFonts w:hint="eastAsia" w:asciiTheme="minorEastAsia" w:hAnsiTheme="minorEastAsia" w:eastAsiaTheme="minorEastAsia" w:cstheme="minorEastAsia"/>
          <w:bCs/>
          <w:color w:val="auto"/>
          <w:sz w:val="32"/>
          <w:szCs w:val="32"/>
          <w:highlight w:val="none"/>
          <w:lang w:eastAsia="zh-CN"/>
        </w:rPr>
        <w:t>响应文件</w:t>
      </w:r>
      <w:r>
        <w:rPr>
          <w:rFonts w:hint="eastAsia" w:asciiTheme="minorEastAsia" w:hAnsiTheme="minorEastAsia" w:eastAsiaTheme="minorEastAsia" w:cstheme="minorEastAsia"/>
          <w:bCs/>
          <w:color w:val="auto"/>
          <w:sz w:val="32"/>
          <w:szCs w:val="32"/>
          <w:highlight w:val="none"/>
        </w:rPr>
        <w:t>格式</w:t>
      </w:r>
    </w:p>
    <w:p w14:paraId="317DCFFA">
      <w:pPr>
        <w:jc w:val="center"/>
        <w:rPr>
          <w:rFonts w:hint="eastAsia" w:asciiTheme="minorEastAsia" w:hAnsiTheme="minorEastAsia" w:eastAsiaTheme="minorEastAsia" w:cstheme="minorEastAsia"/>
          <w:highlight w:val="none"/>
        </w:rPr>
      </w:pPr>
    </w:p>
    <w:p w14:paraId="2D707D80">
      <w:pPr>
        <w:widowControl/>
        <w:tabs>
          <w:tab w:val="left" w:pos="-737"/>
        </w:tabs>
        <w:snapToGrid w:val="0"/>
        <w:spacing w:line="520" w:lineRule="exact"/>
        <w:ind w:firstLine="482" w:firstLineChars="200"/>
        <w:jc w:val="left"/>
        <w:rPr>
          <w:rFonts w:hint="eastAsia"/>
          <w:color w:val="auto"/>
          <w:sz w:val="24"/>
          <w:szCs w:val="24"/>
        </w:rPr>
      </w:pPr>
      <w:r>
        <w:rPr>
          <w:rFonts w:hint="eastAsia"/>
          <w:b/>
          <w:color w:val="auto"/>
          <w:sz w:val="24"/>
          <w:szCs w:val="24"/>
        </w:rPr>
        <w:t>一、供应商提交文件须知</w:t>
      </w:r>
    </w:p>
    <w:p w14:paraId="2FF5E1BA">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1.供应商应严格按照以下顺序填写和提交下述规定的全部格式文件以及其他有关资料，混乱的编排导致响应文件被误读或查找不到，后果由供应商承担。</w:t>
      </w:r>
    </w:p>
    <w:p w14:paraId="4E0088F1">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2.所附表格中要求回答的全部问题和信息都必须正面回答。</w:t>
      </w:r>
    </w:p>
    <w:p w14:paraId="2E13483B">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3.本资格声明的签字人应保证全部声明和问题的回答是真实的和准确的。</w:t>
      </w:r>
    </w:p>
    <w:p w14:paraId="2178C931">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4.磋商小组将应用供应商提交的资料并根据自己的判断，决定供应商履行合同的合格性及能力。</w:t>
      </w:r>
    </w:p>
    <w:p w14:paraId="69D813A7">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5.供应商提交的材料将被妥善保存，但不退还。</w:t>
      </w:r>
    </w:p>
    <w:p w14:paraId="41B09597">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6.全部文件应按供应商须知中规定的语言和份数提交。</w:t>
      </w:r>
    </w:p>
    <w:p w14:paraId="46DCD41B">
      <w:pPr>
        <w:pStyle w:val="36"/>
        <w:rPr>
          <w:rFonts w:hint="eastAsia" w:asciiTheme="minorEastAsia" w:hAnsiTheme="minorEastAsia" w:eastAsiaTheme="minorEastAsia" w:cstheme="minorEastAsia"/>
          <w:b/>
          <w:color w:val="000000"/>
          <w:sz w:val="32"/>
          <w:szCs w:val="32"/>
          <w:highlight w:val="none"/>
          <w:u w:val="single"/>
        </w:rPr>
      </w:pPr>
    </w:p>
    <w:p w14:paraId="5FDBB62D">
      <w:pPr>
        <w:pStyle w:val="36"/>
        <w:rPr>
          <w:rFonts w:hint="eastAsia" w:asciiTheme="minorEastAsia" w:hAnsiTheme="minorEastAsia" w:eastAsiaTheme="minorEastAsia" w:cstheme="minorEastAsia"/>
          <w:b/>
          <w:color w:val="000000"/>
          <w:sz w:val="32"/>
          <w:szCs w:val="32"/>
          <w:highlight w:val="none"/>
          <w:u w:val="single"/>
        </w:rPr>
      </w:pPr>
    </w:p>
    <w:p w14:paraId="6BACE1DA">
      <w:pPr>
        <w:pStyle w:val="36"/>
        <w:rPr>
          <w:rFonts w:hint="eastAsia" w:asciiTheme="minorEastAsia" w:hAnsiTheme="minorEastAsia" w:eastAsiaTheme="minorEastAsia" w:cstheme="minorEastAsia"/>
          <w:b/>
          <w:color w:val="000000"/>
          <w:sz w:val="32"/>
          <w:szCs w:val="32"/>
          <w:highlight w:val="none"/>
          <w:u w:val="single"/>
        </w:rPr>
      </w:pPr>
    </w:p>
    <w:p w14:paraId="0CEE6E8D">
      <w:pPr>
        <w:pStyle w:val="36"/>
        <w:rPr>
          <w:rFonts w:hint="eastAsia" w:asciiTheme="minorEastAsia" w:hAnsiTheme="minorEastAsia" w:eastAsiaTheme="minorEastAsia" w:cstheme="minorEastAsia"/>
          <w:b/>
          <w:color w:val="000000"/>
          <w:sz w:val="32"/>
          <w:szCs w:val="32"/>
          <w:highlight w:val="none"/>
          <w:u w:val="single"/>
        </w:rPr>
      </w:pPr>
    </w:p>
    <w:p w14:paraId="525B92DC">
      <w:pPr>
        <w:pStyle w:val="36"/>
        <w:rPr>
          <w:rFonts w:hint="eastAsia" w:asciiTheme="minorEastAsia" w:hAnsiTheme="minorEastAsia" w:eastAsiaTheme="minorEastAsia" w:cstheme="minorEastAsia"/>
          <w:b/>
          <w:color w:val="000000"/>
          <w:sz w:val="32"/>
          <w:szCs w:val="32"/>
          <w:highlight w:val="none"/>
          <w:u w:val="single"/>
        </w:rPr>
      </w:pPr>
    </w:p>
    <w:p w14:paraId="672562D3">
      <w:pPr>
        <w:pStyle w:val="36"/>
        <w:rPr>
          <w:rFonts w:hint="eastAsia" w:asciiTheme="minorEastAsia" w:hAnsiTheme="minorEastAsia" w:eastAsiaTheme="minorEastAsia" w:cstheme="minorEastAsia"/>
          <w:b/>
          <w:color w:val="000000"/>
          <w:sz w:val="32"/>
          <w:szCs w:val="32"/>
          <w:highlight w:val="none"/>
          <w:u w:val="single"/>
        </w:rPr>
      </w:pPr>
    </w:p>
    <w:p w14:paraId="0AD800A8">
      <w:pPr>
        <w:pStyle w:val="36"/>
        <w:rPr>
          <w:rFonts w:hint="eastAsia" w:asciiTheme="minorEastAsia" w:hAnsiTheme="minorEastAsia" w:eastAsiaTheme="minorEastAsia" w:cstheme="minorEastAsia"/>
          <w:b/>
          <w:color w:val="000000"/>
          <w:sz w:val="32"/>
          <w:szCs w:val="32"/>
          <w:highlight w:val="none"/>
          <w:u w:val="single"/>
        </w:rPr>
      </w:pPr>
    </w:p>
    <w:p w14:paraId="2C659222">
      <w:pPr>
        <w:pStyle w:val="36"/>
        <w:rPr>
          <w:rFonts w:hint="eastAsia" w:asciiTheme="minorEastAsia" w:hAnsiTheme="minorEastAsia" w:eastAsiaTheme="minorEastAsia" w:cstheme="minorEastAsia"/>
          <w:b/>
          <w:color w:val="000000"/>
          <w:sz w:val="32"/>
          <w:szCs w:val="32"/>
          <w:highlight w:val="none"/>
          <w:u w:val="single"/>
        </w:rPr>
      </w:pPr>
    </w:p>
    <w:p w14:paraId="0FE7BE13">
      <w:pPr>
        <w:pStyle w:val="36"/>
        <w:rPr>
          <w:rFonts w:hint="eastAsia" w:asciiTheme="minorEastAsia" w:hAnsiTheme="minorEastAsia" w:eastAsiaTheme="minorEastAsia" w:cstheme="minorEastAsia"/>
          <w:b/>
          <w:color w:val="000000"/>
          <w:sz w:val="32"/>
          <w:szCs w:val="32"/>
          <w:highlight w:val="none"/>
          <w:u w:val="single"/>
        </w:rPr>
      </w:pPr>
    </w:p>
    <w:p w14:paraId="7F111106">
      <w:pPr>
        <w:pStyle w:val="36"/>
        <w:rPr>
          <w:rFonts w:hint="eastAsia" w:asciiTheme="minorEastAsia" w:hAnsiTheme="minorEastAsia" w:eastAsiaTheme="minorEastAsia" w:cstheme="minorEastAsia"/>
          <w:b/>
          <w:color w:val="000000"/>
          <w:sz w:val="32"/>
          <w:szCs w:val="32"/>
          <w:highlight w:val="none"/>
          <w:u w:val="single"/>
        </w:rPr>
      </w:pPr>
    </w:p>
    <w:p w14:paraId="283F0171">
      <w:pPr>
        <w:pStyle w:val="36"/>
        <w:rPr>
          <w:rFonts w:hint="eastAsia" w:asciiTheme="minorEastAsia" w:hAnsiTheme="minorEastAsia" w:eastAsiaTheme="minorEastAsia" w:cstheme="minorEastAsia"/>
          <w:b/>
          <w:color w:val="000000"/>
          <w:sz w:val="32"/>
          <w:szCs w:val="32"/>
          <w:highlight w:val="none"/>
          <w:u w:val="single"/>
        </w:rPr>
      </w:pPr>
    </w:p>
    <w:p w14:paraId="28BFADC2">
      <w:pPr>
        <w:pStyle w:val="36"/>
        <w:rPr>
          <w:rFonts w:hint="eastAsia" w:asciiTheme="minorEastAsia" w:hAnsiTheme="minorEastAsia" w:eastAsiaTheme="minorEastAsia" w:cstheme="minorEastAsia"/>
          <w:b/>
          <w:color w:val="000000"/>
          <w:sz w:val="32"/>
          <w:szCs w:val="32"/>
          <w:highlight w:val="none"/>
          <w:u w:val="single"/>
        </w:rPr>
      </w:pPr>
    </w:p>
    <w:p w14:paraId="6A8A3DB8">
      <w:pPr>
        <w:pStyle w:val="36"/>
        <w:rPr>
          <w:rFonts w:hint="eastAsia" w:asciiTheme="minorEastAsia" w:hAnsiTheme="minorEastAsia" w:eastAsiaTheme="minorEastAsia" w:cstheme="minorEastAsia"/>
          <w:b/>
          <w:color w:val="000000"/>
          <w:sz w:val="32"/>
          <w:szCs w:val="32"/>
          <w:highlight w:val="none"/>
          <w:u w:val="single"/>
        </w:rPr>
      </w:pPr>
    </w:p>
    <w:p w14:paraId="61A24F29">
      <w:pPr>
        <w:pStyle w:val="36"/>
        <w:rPr>
          <w:rFonts w:hint="eastAsia" w:asciiTheme="minorEastAsia" w:hAnsiTheme="minorEastAsia" w:eastAsiaTheme="minorEastAsia" w:cstheme="minorEastAsia"/>
          <w:b/>
          <w:color w:val="000000"/>
          <w:sz w:val="32"/>
          <w:szCs w:val="32"/>
          <w:highlight w:val="none"/>
          <w:u w:val="single"/>
        </w:rPr>
      </w:pPr>
    </w:p>
    <w:p w14:paraId="40311E9A">
      <w:pPr>
        <w:pStyle w:val="36"/>
        <w:rPr>
          <w:rFonts w:hint="eastAsia" w:asciiTheme="minorEastAsia" w:hAnsiTheme="minorEastAsia" w:eastAsiaTheme="minorEastAsia" w:cstheme="minorEastAsia"/>
          <w:b/>
          <w:color w:val="000000"/>
          <w:sz w:val="32"/>
          <w:szCs w:val="32"/>
          <w:highlight w:val="none"/>
          <w:u w:val="single"/>
        </w:rPr>
      </w:pPr>
    </w:p>
    <w:p w14:paraId="40D19056">
      <w:pPr>
        <w:pStyle w:val="36"/>
        <w:rPr>
          <w:rFonts w:hint="eastAsia" w:asciiTheme="minorEastAsia" w:hAnsiTheme="minorEastAsia" w:eastAsiaTheme="minorEastAsia" w:cstheme="minorEastAsia"/>
          <w:b/>
          <w:color w:val="000000"/>
          <w:sz w:val="32"/>
          <w:szCs w:val="32"/>
          <w:highlight w:val="none"/>
          <w:u w:val="single"/>
        </w:rPr>
      </w:pPr>
    </w:p>
    <w:p w14:paraId="78D50A2D">
      <w:pPr>
        <w:pStyle w:val="36"/>
        <w:rPr>
          <w:rFonts w:hint="eastAsia" w:asciiTheme="minorEastAsia" w:hAnsiTheme="minorEastAsia" w:eastAsiaTheme="minorEastAsia" w:cstheme="minorEastAsia"/>
          <w:b/>
          <w:color w:val="000000"/>
          <w:sz w:val="32"/>
          <w:szCs w:val="32"/>
          <w:highlight w:val="none"/>
          <w:u w:val="single"/>
        </w:rPr>
      </w:pPr>
    </w:p>
    <w:p w14:paraId="2EF7A7C5">
      <w:pPr>
        <w:pStyle w:val="36"/>
        <w:rPr>
          <w:rFonts w:hint="eastAsia" w:asciiTheme="minorEastAsia" w:hAnsiTheme="minorEastAsia" w:eastAsiaTheme="minorEastAsia" w:cstheme="minorEastAsia"/>
          <w:b/>
          <w:color w:val="000000"/>
          <w:sz w:val="32"/>
          <w:szCs w:val="32"/>
          <w:highlight w:val="none"/>
          <w:u w:val="single"/>
        </w:rPr>
      </w:pPr>
    </w:p>
    <w:p w14:paraId="095B2617">
      <w:pPr>
        <w:pStyle w:val="23"/>
        <w:rPr>
          <w:rFonts w:hint="eastAsia" w:asciiTheme="minorEastAsia" w:hAnsiTheme="minorEastAsia" w:eastAsiaTheme="minorEastAsia" w:cstheme="minorEastAsia"/>
          <w:b/>
          <w:color w:val="000000"/>
          <w:sz w:val="32"/>
          <w:szCs w:val="32"/>
          <w:highlight w:val="none"/>
          <w:u w:val="single"/>
        </w:rPr>
      </w:pPr>
    </w:p>
    <w:p w14:paraId="3E5B9B16">
      <w:pPr>
        <w:rPr>
          <w:rFonts w:hint="eastAsia"/>
        </w:rPr>
      </w:pPr>
    </w:p>
    <w:p w14:paraId="3C61B4A9">
      <w:pPr>
        <w:spacing w:line="460" w:lineRule="exact"/>
        <w:jc w:val="center"/>
        <w:rPr>
          <w:rFonts w:hint="eastAsia" w:asciiTheme="minorEastAsia" w:hAnsiTheme="minorEastAsia" w:eastAsiaTheme="minorEastAsia" w:cstheme="minorEastAsia"/>
          <w:b/>
          <w:color w:val="000000"/>
          <w:sz w:val="32"/>
          <w:szCs w:val="32"/>
          <w:highlight w:val="none"/>
          <w:u w:val="single"/>
        </w:rPr>
      </w:pPr>
    </w:p>
    <w:p w14:paraId="658E98FC">
      <w:pPr>
        <w:spacing w:line="460" w:lineRule="exact"/>
        <w:jc w:val="center"/>
        <w:rPr>
          <w:rFonts w:hint="eastAsia" w:asciiTheme="minorEastAsia" w:hAnsiTheme="minorEastAsia" w:eastAsiaTheme="minorEastAsia" w:cstheme="minorEastAsia"/>
          <w:b/>
          <w:color w:val="000000"/>
          <w:sz w:val="32"/>
          <w:szCs w:val="32"/>
          <w:highlight w:val="none"/>
          <w:u w:val="single"/>
        </w:rPr>
      </w:pPr>
    </w:p>
    <w:p w14:paraId="5138A668">
      <w:pPr>
        <w:spacing w:line="460" w:lineRule="exact"/>
        <w:jc w:val="center"/>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u w:val="single"/>
        </w:rPr>
        <w:t xml:space="preserve">                            </w:t>
      </w:r>
      <w:r>
        <w:rPr>
          <w:rFonts w:hint="eastAsia" w:asciiTheme="minorEastAsia" w:hAnsiTheme="minorEastAsia" w:eastAsiaTheme="minorEastAsia" w:cstheme="minorEastAsia"/>
          <w:b/>
          <w:color w:val="000000"/>
          <w:sz w:val="32"/>
          <w:szCs w:val="32"/>
          <w:highlight w:val="none"/>
          <w:u w:val="none"/>
        </w:rPr>
        <w:t>（</w:t>
      </w:r>
      <w:r>
        <w:rPr>
          <w:rFonts w:hint="eastAsia" w:asciiTheme="minorEastAsia" w:hAnsiTheme="minorEastAsia" w:eastAsiaTheme="minorEastAsia" w:cstheme="minorEastAsia"/>
          <w:b/>
          <w:color w:val="000000" w:themeColor="text1"/>
          <w:sz w:val="32"/>
          <w:szCs w:val="32"/>
          <w:highlight w:val="none"/>
          <w:u w:val="none"/>
          <w:lang w:val="en-US" w:eastAsia="zh-CN"/>
          <w14:textFill>
            <w14:solidFill>
              <w14:schemeClr w14:val="tx1"/>
            </w14:solidFill>
          </w14:textFill>
        </w:rPr>
        <w:t>项目</w:t>
      </w:r>
      <w:r>
        <w:rPr>
          <w:rFonts w:hint="eastAsia" w:asciiTheme="minorEastAsia" w:hAnsiTheme="minorEastAsia" w:eastAsiaTheme="minorEastAsia" w:cstheme="minorEastAsia"/>
          <w:b/>
          <w:color w:val="000000" w:themeColor="text1"/>
          <w:sz w:val="32"/>
          <w:szCs w:val="32"/>
          <w:highlight w:val="none"/>
          <w:u w:val="none"/>
          <w14:textFill>
            <w14:solidFill>
              <w14:schemeClr w14:val="tx1"/>
            </w14:solidFill>
          </w14:textFill>
        </w:rPr>
        <w:t>名称</w:t>
      </w:r>
      <w:r>
        <w:rPr>
          <w:rFonts w:hint="eastAsia" w:asciiTheme="minorEastAsia" w:hAnsiTheme="minorEastAsia" w:eastAsiaTheme="minorEastAsia" w:cstheme="minorEastAsia"/>
          <w:b/>
          <w:color w:val="000000"/>
          <w:sz w:val="32"/>
          <w:szCs w:val="32"/>
          <w:highlight w:val="none"/>
          <w:u w:val="none"/>
        </w:rPr>
        <w:t xml:space="preserve">） </w:t>
      </w:r>
    </w:p>
    <w:p w14:paraId="27452825">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4B269C10">
      <w:pPr>
        <w:jc w:val="center"/>
        <w:rPr>
          <w:rFonts w:hint="eastAsia" w:asciiTheme="minorEastAsia" w:hAnsiTheme="minorEastAsia" w:eastAsiaTheme="minorEastAsia" w:cstheme="minorEastAsia"/>
          <w:b/>
          <w:bCs/>
          <w:color w:val="000000"/>
          <w:sz w:val="72"/>
          <w:szCs w:val="72"/>
          <w:highlight w:val="none"/>
        </w:rPr>
      </w:pPr>
    </w:p>
    <w:p w14:paraId="73C07C04">
      <w:pPr>
        <w:jc w:val="center"/>
        <w:rPr>
          <w:rFonts w:hint="eastAsia" w:asciiTheme="minorEastAsia" w:hAnsiTheme="minorEastAsia" w:eastAsiaTheme="minorEastAsia" w:cstheme="minorEastAsia"/>
          <w:b/>
          <w:bCs/>
          <w:color w:val="000000"/>
          <w:sz w:val="72"/>
          <w:szCs w:val="72"/>
          <w:highlight w:val="none"/>
        </w:rPr>
      </w:pPr>
      <w:r>
        <w:rPr>
          <w:rFonts w:hint="eastAsia" w:asciiTheme="minorEastAsia" w:hAnsiTheme="minorEastAsia" w:eastAsiaTheme="minorEastAsia" w:cstheme="minorEastAsia"/>
          <w:b/>
          <w:bCs/>
          <w:color w:val="000000"/>
          <w:sz w:val="72"/>
          <w:szCs w:val="72"/>
          <w:highlight w:val="none"/>
          <w:lang w:eastAsia="zh-CN"/>
        </w:rPr>
        <w:t>响</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lang w:eastAsia="zh-CN"/>
        </w:rPr>
        <w:t>应</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rPr>
        <w:t>文</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rPr>
        <w:t>件</w:t>
      </w:r>
    </w:p>
    <w:p w14:paraId="368E49FF">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B07DED9">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216183B">
      <w:pPr>
        <w:keepNext w:val="0"/>
        <w:keepLines w:val="0"/>
        <w:pageBreakBefore w:val="0"/>
        <w:widowControl w:val="0"/>
        <w:kinsoku/>
        <w:wordWrap/>
        <w:overflowPunct/>
        <w:topLinePunct w:val="0"/>
        <w:autoSpaceDE/>
        <w:autoSpaceDN/>
        <w:bidi w:val="0"/>
        <w:adjustRightInd/>
        <w:snapToGrid/>
        <w:spacing w:line="460" w:lineRule="exact"/>
        <w:ind w:firstLine="2560" w:firstLineChars="800"/>
        <w:jc w:val="both"/>
        <w:textAlignment w:val="auto"/>
        <w:rPr>
          <w:rFonts w:hint="default" w:asciiTheme="minorEastAsia" w:hAnsiTheme="minorEastAsia" w:eastAsiaTheme="minorEastAsia" w:cstheme="minorEastAsia"/>
          <w:color w:val="000000"/>
          <w:sz w:val="32"/>
          <w:szCs w:val="32"/>
          <w:highlight w:val="none"/>
          <w:u w:val="single"/>
          <w:lang w:val="en-US" w:eastAsia="zh-CN"/>
        </w:rPr>
      </w:pPr>
      <w:r>
        <w:rPr>
          <w:rFonts w:hint="eastAsia" w:asciiTheme="minorEastAsia" w:hAnsiTheme="minorEastAsia" w:eastAsiaTheme="minorEastAsia" w:cstheme="minorEastAsia"/>
          <w:color w:val="000000"/>
          <w:sz w:val="32"/>
          <w:szCs w:val="32"/>
          <w:highlight w:val="none"/>
        </w:rPr>
        <w:t>项目编号：</w:t>
      </w:r>
      <w:r>
        <w:rPr>
          <w:rFonts w:hint="eastAsia" w:asciiTheme="minorEastAsia" w:hAnsiTheme="minorEastAsia" w:eastAsiaTheme="minorEastAsia" w:cstheme="minorEastAsia"/>
          <w:color w:val="000000"/>
          <w:sz w:val="32"/>
          <w:szCs w:val="32"/>
          <w:highlight w:val="none"/>
          <w:u w:val="single"/>
          <w:lang w:val="en-US" w:eastAsia="zh-CN"/>
        </w:rPr>
        <w:t xml:space="preserve">                   </w:t>
      </w:r>
    </w:p>
    <w:p w14:paraId="1997C7BC">
      <w:pPr>
        <w:spacing w:line="460" w:lineRule="exact"/>
        <w:ind w:firstLine="420" w:firstLineChars="200"/>
        <w:rPr>
          <w:rFonts w:hint="eastAsia" w:asciiTheme="minorEastAsia" w:hAnsiTheme="minorEastAsia" w:eastAsiaTheme="minorEastAsia" w:cstheme="minorEastAsia"/>
          <w:b w:val="0"/>
          <w:bCs/>
          <w:color w:val="000000"/>
          <w:szCs w:val="21"/>
          <w:highlight w:val="none"/>
        </w:rPr>
      </w:pPr>
    </w:p>
    <w:p w14:paraId="4F6FD84B">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3F0A90C">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161B7C4">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3DA27603">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49B65146">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EB8F7DC">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02990378">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70BD132">
      <w:pPr>
        <w:spacing w:line="46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28"/>
          <w:szCs w:val="28"/>
          <w:highlight w:val="none"/>
        </w:rPr>
        <w:t xml:space="preserve">     </w:t>
      </w:r>
      <w:r>
        <w:rPr>
          <w:rFonts w:hint="eastAsia" w:asciiTheme="minorEastAsia" w:hAnsiTheme="minorEastAsia" w:eastAsiaTheme="minorEastAsia" w:cstheme="minorEastAsia"/>
          <w:color w:val="000000"/>
          <w:sz w:val="32"/>
          <w:szCs w:val="32"/>
          <w:highlight w:val="none"/>
          <w:lang w:eastAsia="zh-CN"/>
        </w:rPr>
        <w:t>供应商</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（盖单位章）</w:t>
      </w:r>
    </w:p>
    <w:p w14:paraId="54630DE3">
      <w:pPr>
        <w:spacing w:line="460" w:lineRule="exact"/>
        <w:ind w:firstLine="640" w:firstLineChars="200"/>
        <w:rPr>
          <w:rFonts w:hint="eastAsia" w:asciiTheme="minorEastAsia" w:hAnsiTheme="minorEastAsia" w:eastAsiaTheme="minorEastAsia" w:cstheme="minorEastAsia"/>
          <w:color w:val="000000"/>
          <w:sz w:val="32"/>
          <w:szCs w:val="32"/>
          <w:highlight w:val="none"/>
        </w:rPr>
      </w:pPr>
    </w:p>
    <w:p w14:paraId="3B98D1F6">
      <w:pPr>
        <w:spacing w:line="460" w:lineRule="exact"/>
        <w:jc w:val="center"/>
        <w:rPr>
          <w:rFonts w:hint="eastAsia" w:asciiTheme="minorEastAsia" w:hAnsiTheme="minorEastAsia" w:eastAsiaTheme="minorEastAsia" w:cstheme="minorEastAsia"/>
          <w:color w:val="000000"/>
          <w:sz w:val="32"/>
          <w:szCs w:val="32"/>
          <w:highlight w:val="none"/>
          <w:u w:val="single"/>
        </w:rPr>
      </w:pPr>
    </w:p>
    <w:p w14:paraId="72B73AB1">
      <w:pPr>
        <w:spacing w:line="46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年</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月</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日</w:t>
      </w:r>
    </w:p>
    <w:p w14:paraId="78D4E1B8">
      <w:pPr>
        <w:jc w:val="center"/>
        <w:rPr>
          <w:rFonts w:hint="eastAsia" w:asciiTheme="minorEastAsia" w:hAnsiTheme="minorEastAsia" w:eastAsiaTheme="minorEastAsia" w:cstheme="minorEastAsia"/>
          <w:highlight w:val="none"/>
        </w:rPr>
      </w:pPr>
    </w:p>
    <w:p w14:paraId="733B709C">
      <w:pPr>
        <w:rPr>
          <w:rFonts w:hint="eastAsia" w:asciiTheme="minorEastAsia" w:hAnsiTheme="minorEastAsia" w:eastAsiaTheme="minorEastAsia" w:cstheme="minorEastAsia"/>
          <w:highlight w:val="none"/>
          <w:lang w:val="en-US" w:eastAsia="zh-CN"/>
        </w:rPr>
      </w:pPr>
    </w:p>
    <w:p w14:paraId="5C3D8911">
      <w:pPr>
        <w:rPr>
          <w:rFonts w:hint="eastAsia" w:asciiTheme="minorEastAsia" w:hAnsiTheme="minorEastAsia" w:eastAsiaTheme="minorEastAsia" w:cstheme="minorEastAsia"/>
          <w:highlight w:val="none"/>
          <w:lang w:val="en-US" w:eastAsia="zh-CN"/>
        </w:rPr>
      </w:pPr>
    </w:p>
    <w:p w14:paraId="753110FE">
      <w:pPr>
        <w:pStyle w:val="14"/>
        <w:rPr>
          <w:rFonts w:hint="eastAsia"/>
          <w:lang w:val="en-US" w:eastAsia="zh-CN"/>
        </w:rPr>
      </w:pPr>
    </w:p>
    <w:p w14:paraId="5073CDBC">
      <w:pPr>
        <w:rPr>
          <w:rFonts w:hint="eastAsia" w:asciiTheme="minorEastAsia" w:hAnsiTheme="minorEastAsia" w:eastAsiaTheme="minorEastAsia" w:cstheme="minorEastAsia"/>
          <w:highlight w:val="none"/>
          <w:lang w:val="en-US" w:eastAsia="zh-CN"/>
        </w:rPr>
      </w:pPr>
    </w:p>
    <w:p w14:paraId="6A6FAA9D">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 xml:space="preserve">                                         </w:t>
      </w:r>
    </w:p>
    <w:p w14:paraId="568464D0">
      <w:pPr>
        <w:rPr>
          <w:rFonts w:hint="eastAsia" w:asciiTheme="minorEastAsia" w:hAnsiTheme="minorEastAsia" w:eastAsiaTheme="minorEastAsia" w:cstheme="minorEastAsia"/>
          <w:highlight w:val="none"/>
          <w:lang w:val="en-US" w:eastAsia="zh-CN"/>
        </w:rPr>
      </w:pPr>
    </w:p>
    <w:p w14:paraId="10F0D17F">
      <w:pP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br w:type="page"/>
      </w:r>
    </w:p>
    <w:p w14:paraId="356CFC36">
      <w:pPr>
        <w:jc w:val="center"/>
        <w:rPr>
          <w:rFonts w:hint="eastAsia" w:asciiTheme="minorEastAsia" w:hAnsiTheme="minorEastAsia" w:eastAsiaTheme="minorEastAsia" w:cstheme="minorEastAsia"/>
          <w:b/>
          <w:bCs/>
          <w:color w:val="FF0000"/>
          <w:sz w:val="24"/>
          <w:szCs w:val="32"/>
          <w:highlight w:val="none"/>
          <w:lang w:eastAsia="zh-CN"/>
        </w:rPr>
      </w:pPr>
      <w:r>
        <w:rPr>
          <w:rFonts w:hint="eastAsia" w:asciiTheme="minorEastAsia" w:hAnsiTheme="minorEastAsia" w:eastAsiaTheme="minorEastAsia" w:cstheme="minorEastAsia"/>
          <w:b/>
          <w:bCs/>
          <w:sz w:val="32"/>
          <w:szCs w:val="32"/>
          <w:highlight w:val="none"/>
        </w:rPr>
        <w:t>目录</w:t>
      </w:r>
    </w:p>
    <w:p w14:paraId="704A7D0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（1）商务部分：</w:t>
      </w:r>
    </w:p>
    <w:p w14:paraId="274FD5F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*磋商函(见‘响应文件格式’)；</w:t>
      </w:r>
    </w:p>
    <w:p w14:paraId="3E85709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*法定代表人身份证明书(见‘响应文件格式’)；</w:t>
      </w:r>
    </w:p>
    <w:p w14:paraId="4517206C">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snapToGrid w:val="0"/>
          <w:kern w:val="0"/>
          <w:sz w:val="24"/>
          <w:szCs w:val="24"/>
        </w:rPr>
        <w:t>法定代表人授权委托书(见‘响应文件格式’)；</w:t>
      </w:r>
    </w:p>
    <w:p w14:paraId="5FD18B29">
      <w:pPr>
        <w:widowControl/>
        <w:wordWrap w:val="0"/>
        <w:snapToGrid w:val="0"/>
        <w:spacing w:line="360" w:lineRule="auto"/>
        <w:ind w:firstLine="482" w:firstLineChars="200"/>
        <w:jc w:val="left"/>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供应商具有独立承担民事责任的能力承诺函</w:t>
      </w:r>
      <w:r>
        <w:rPr>
          <w:rFonts w:hint="eastAsia" w:asciiTheme="minorEastAsia" w:hAnsiTheme="minorEastAsia" w:eastAsiaTheme="minorEastAsia" w:cstheme="minorEastAsia"/>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71B04ECE">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供应商具有良好的商业信誉和健全的财务会计制度的承诺函</w:t>
      </w:r>
      <w:r>
        <w:rPr>
          <w:rFonts w:hint="eastAsia" w:asciiTheme="minorEastAsia" w:hAnsiTheme="minorEastAsia" w:eastAsiaTheme="minorEastAsia" w:cstheme="minorEastAsia"/>
          <w:snapToGrid w:val="0"/>
          <w:kern w:val="0"/>
          <w:sz w:val="24"/>
        </w:rPr>
        <w:t>(见‘响应文件格式’)</w:t>
      </w:r>
      <w:r>
        <w:rPr>
          <w:rFonts w:hint="eastAsia" w:ascii="宋体" w:hAnsi="宋体" w:cs="宋体"/>
          <w:color w:val="000000" w:themeColor="text1"/>
          <w:kern w:val="0"/>
          <w:sz w:val="24"/>
          <w14:textFill>
            <w14:solidFill>
              <w14:schemeClr w14:val="tx1"/>
            </w14:solidFill>
          </w14:textFill>
        </w:rPr>
        <w:t>；</w:t>
      </w:r>
    </w:p>
    <w:p w14:paraId="40028785">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lang w:eastAsia="zh-CN"/>
          <w14:textFill>
            <w14:solidFill>
              <w14:schemeClr w14:val="tx1"/>
            </w14:solidFill>
          </w14:textFill>
        </w:rPr>
        <w:t>供应商依法缴纳税收和社会保障资金的承诺函</w:t>
      </w:r>
      <w:r>
        <w:rPr>
          <w:rFonts w:hint="eastAsia" w:asciiTheme="minorEastAsia" w:hAnsiTheme="minorEastAsia" w:eastAsiaTheme="minorEastAsia" w:cstheme="minorEastAsia"/>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6BB72E6B">
      <w:pPr>
        <w:overflowPunct w:val="0"/>
        <w:topLinePunct/>
        <w:autoSpaceDN w:val="0"/>
        <w:adjustRightInd w:val="0"/>
        <w:snapToGrid w:val="0"/>
        <w:spacing w:line="360" w:lineRule="auto"/>
        <w:ind w:firstLine="480" w:firstLineChars="200"/>
      </w:pPr>
      <w:r>
        <w:rPr>
          <w:rFonts w:hint="eastAsia" w:ascii="宋体" w:hAnsi="宋体" w:cs="宋体"/>
          <w:snapToGrid w:val="0"/>
          <w:kern w:val="0"/>
          <w:sz w:val="24"/>
        </w:rPr>
        <w:t>*供应商履行合同能力的承诺(见‘响应文件格式’)；</w:t>
      </w:r>
    </w:p>
    <w:p w14:paraId="4401DDE8">
      <w:pPr>
        <w:pStyle w:val="3"/>
        <w:spacing w:before="0" w:after="0" w:line="360" w:lineRule="auto"/>
        <w:ind w:firstLine="480" w:firstLineChars="200"/>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*供应商近三年无重大违法记录的承诺函(见‘响应文件格式’)；</w:t>
      </w:r>
    </w:p>
    <w:p w14:paraId="2ABE030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eastAsia="zh-CN"/>
        </w:rPr>
        <w:t>磋商保证金凭证；</w:t>
      </w:r>
    </w:p>
    <w:p w14:paraId="75BAEA5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近三年同类项目案例及相关证明资料</w:t>
      </w:r>
      <w:r>
        <w:rPr>
          <w:rFonts w:hint="eastAsia" w:asciiTheme="minorEastAsia" w:hAnsiTheme="minorEastAsia" w:eastAsiaTheme="minorEastAsia" w:cstheme="minorEastAsia"/>
          <w:snapToGrid w:val="0"/>
          <w:kern w:val="0"/>
          <w:sz w:val="24"/>
          <w:szCs w:val="24"/>
        </w:rPr>
        <w:t>(见‘响应文件格式’)</w:t>
      </w:r>
      <w:r>
        <w:rPr>
          <w:rFonts w:hint="eastAsia" w:asciiTheme="minorEastAsia" w:hAnsiTheme="minorEastAsia" w:eastAsiaTheme="minorEastAsia" w:cstheme="minorEastAsia"/>
          <w:snapToGrid w:val="0"/>
          <w:kern w:val="0"/>
          <w:sz w:val="24"/>
          <w:szCs w:val="24"/>
          <w:lang w:val="en-US" w:eastAsia="zh-CN"/>
        </w:rPr>
        <w:t>（复印件须加盖供应商公章）</w:t>
      </w:r>
    </w:p>
    <w:p w14:paraId="70C359CF">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供应商基本情况</w:t>
      </w:r>
      <w:r>
        <w:rPr>
          <w:rFonts w:hint="eastAsia" w:asciiTheme="minorEastAsia" w:hAnsiTheme="minorEastAsia" w:eastAsiaTheme="minorEastAsia" w:cstheme="minorEastAsia"/>
          <w:snapToGrid w:val="0"/>
          <w:kern w:val="0"/>
          <w:sz w:val="24"/>
          <w:szCs w:val="24"/>
        </w:rPr>
        <w:t>(见‘响应文件格式’)；</w:t>
      </w:r>
    </w:p>
    <w:p w14:paraId="32CB8BF1">
      <w:pPr>
        <w:overflowPunct w:val="0"/>
        <w:topLinePunct/>
        <w:autoSpaceDN w:val="0"/>
        <w:adjustRightInd w:val="0"/>
        <w:snapToGrid w:val="0"/>
        <w:spacing w:line="360" w:lineRule="auto"/>
        <w:ind w:left="479" w:leftChars="228" w:firstLine="0" w:firstLineChars="0"/>
        <w:rPr>
          <w:rFonts w:hint="eastAsia" w:asciiTheme="minorEastAsia" w:hAnsiTheme="minorEastAsia" w:eastAsiaTheme="minorEastAsia" w:cstheme="minorEastAsia"/>
          <w:snapToGrid w:val="0"/>
          <w:kern w:val="0"/>
          <w:sz w:val="24"/>
          <w:szCs w:val="24"/>
        </w:rPr>
      </w:pPr>
      <w:r>
        <w:rPr>
          <w:rFonts w:hint="eastAsia" w:ascii="宋体" w:hAnsi="宋体" w:eastAsia="宋体" w:cs="宋体"/>
          <w:kern w:val="0"/>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3F86B59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需要提供的其他商务材料；</w:t>
      </w:r>
    </w:p>
    <w:p w14:paraId="43188C96">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（2）技术部分：</w:t>
      </w:r>
    </w:p>
    <w:p w14:paraId="27B2E1EB">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*磋商报价一览表(见“响应文件格式”)；</w:t>
      </w:r>
    </w:p>
    <w:p w14:paraId="5990ACE5">
      <w:pPr>
        <w:overflowPunct w:val="0"/>
        <w:topLinePunct/>
        <w:autoSpaceDN w:val="0"/>
        <w:adjustRightInd w:val="0"/>
        <w:snapToGrid w:val="0"/>
        <w:spacing w:line="360" w:lineRule="auto"/>
        <w:ind w:firstLine="480" w:firstLineChars="200"/>
        <w:rPr>
          <w:rFonts w:hint="eastAsia" w:ascii="宋体" w:hAnsi="宋体" w:cs="宋体"/>
          <w:snapToGrid w:val="0"/>
          <w:kern w:val="0"/>
          <w:sz w:val="24"/>
          <w:lang w:val="en-US" w:eastAsia="zh-CN"/>
        </w:rPr>
      </w:pPr>
      <w:r>
        <w:rPr>
          <w:rFonts w:hint="eastAsia" w:ascii="宋体" w:hAnsi="宋体" w:eastAsia="宋体" w:cs="宋体"/>
          <w:snapToGrid w:val="0"/>
          <w:color w:val="000000"/>
          <w:kern w:val="0"/>
          <w:sz w:val="24"/>
        </w:rPr>
        <w:t>*</w:t>
      </w:r>
      <w:r>
        <w:rPr>
          <w:rFonts w:hint="eastAsia" w:ascii="宋体" w:hAnsi="宋体" w:cs="宋体"/>
          <w:color w:val="000000"/>
          <w:sz w:val="24"/>
          <w:lang w:val="en-US" w:eastAsia="zh-CN"/>
        </w:rPr>
        <w:t>商务技术偏离表</w:t>
      </w:r>
    </w:p>
    <w:p w14:paraId="017BD99E">
      <w:pPr>
        <w:overflowPunct w:val="0"/>
        <w:topLinePunct/>
        <w:autoSpaceDN w:val="0"/>
        <w:adjustRightInd w:val="0"/>
        <w:snapToGrid w:val="0"/>
        <w:spacing w:line="360" w:lineRule="auto"/>
        <w:ind w:firstLine="480" w:firstLineChars="200"/>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实施方案；</w:t>
      </w:r>
    </w:p>
    <w:p w14:paraId="25D12B3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napToGrid w:val="0"/>
          <w:kern w:val="0"/>
          <w:sz w:val="24"/>
        </w:rPr>
        <w:t>供应商认为需要提供的其他技术材料。</w:t>
      </w:r>
    </w:p>
    <w:p w14:paraId="41E2FD3C">
      <w:pPr>
        <w:pStyle w:val="73"/>
        <w:rPr>
          <w:rFonts w:hint="eastAsia" w:asciiTheme="minorEastAsia" w:hAnsiTheme="minorEastAsia" w:eastAsiaTheme="minorEastAsia" w:cstheme="minorEastAsia"/>
          <w:color w:val="auto"/>
          <w:highlight w:val="none"/>
        </w:rPr>
      </w:pPr>
    </w:p>
    <w:p w14:paraId="5F2445C8">
      <w:pPr>
        <w:pStyle w:val="73"/>
        <w:rPr>
          <w:rFonts w:hint="eastAsia" w:asciiTheme="minorEastAsia" w:hAnsiTheme="minorEastAsia" w:eastAsiaTheme="minorEastAsia" w:cstheme="minorEastAsia"/>
          <w:color w:val="auto"/>
          <w:highlight w:val="none"/>
        </w:rPr>
      </w:pPr>
    </w:p>
    <w:p w14:paraId="538E85B3">
      <w:pPr>
        <w:pStyle w:val="73"/>
        <w:rPr>
          <w:rFonts w:hint="eastAsia" w:asciiTheme="minorEastAsia" w:hAnsiTheme="minorEastAsia" w:eastAsiaTheme="minorEastAsia" w:cstheme="minorEastAsia"/>
          <w:color w:val="auto"/>
          <w:highlight w:val="none"/>
        </w:rPr>
      </w:pPr>
    </w:p>
    <w:p w14:paraId="27BE5D02">
      <w:pPr>
        <w:pStyle w:val="73"/>
        <w:rPr>
          <w:rFonts w:hint="eastAsia" w:asciiTheme="minorEastAsia" w:hAnsiTheme="minorEastAsia" w:eastAsiaTheme="minorEastAsia" w:cstheme="minorEastAsia"/>
          <w:color w:val="auto"/>
          <w:highlight w:val="none"/>
        </w:rPr>
      </w:pPr>
    </w:p>
    <w:p w14:paraId="25AA518A">
      <w:pPr>
        <w:pStyle w:val="73"/>
        <w:rPr>
          <w:rFonts w:hint="eastAsia" w:asciiTheme="minorEastAsia" w:hAnsiTheme="minorEastAsia" w:eastAsiaTheme="minorEastAsia" w:cstheme="minorEastAsia"/>
          <w:color w:val="auto"/>
          <w:highlight w:val="none"/>
        </w:rPr>
      </w:pPr>
    </w:p>
    <w:p w14:paraId="622D3C77">
      <w:pPr>
        <w:pStyle w:val="73"/>
        <w:rPr>
          <w:rFonts w:hint="eastAsia" w:asciiTheme="minorEastAsia" w:hAnsiTheme="minorEastAsia" w:eastAsiaTheme="minorEastAsia" w:cstheme="minorEastAsia"/>
          <w:color w:val="auto"/>
          <w:highlight w:val="none"/>
        </w:rPr>
      </w:pPr>
    </w:p>
    <w:p w14:paraId="61F9DE22">
      <w:pPr>
        <w:pStyle w:val="73"/>
        <w:rPr>
          <w:rFonts w:hint="eastAsia" w:asciiTheme="minorEastAsia" w:hAnsiTheme="minorEastAsia" w:eastAsiaTheme="minorEastAsia" w:cstheme="minorEastAsia"/>
          <w:color w:val="auto"/>
          <w:highlight w:val="none"/>
        </w:rPr>
      </w:pPr>
    </w:p>
    <w:p w14:paraId="6CB3FC7E">
      <w:pPr>
        <w:pStyle w:val="73"/>
        <w:rPr>
          <w:rFonts w:hint="eastAsia" w:asciiTheme="minorEastAsia" w:hAnsiTheme="minorEastAsia" w:eastAsiaTheme="minorEastAsia" w:cstheme="minorEastAsia"/>
          <w:color w:val="auto"/>
          <w:highlight w:val="none"/>
        </w:rPr>
      </w:pPr>
    </w:p>
    <w:p w14:paraId="04060833">
      <w:pPr>
        <w:pStyle w:val="73"/>
        <w:rPr>
          <w:rFonts w:hint="eastAsia" w:asciiTheme="minorEastAsia" w:hAnsiTheme="minorEastAsia" w:eastAsiaTheme="minorEastAsia" w:cstheme="minorEastAsia"/>
          <w:color w:val="auto"/>
          <w:highlight w:val="none"/>
        </w:rPr>
      </w:pPr>
    </w:p>
    <w:p w14:paraId="403D2D91">
      <w:pPr>
        <w:pStyle w:val="73"/>
        <w:rPr>
          <w:rFonts w:hint="eastAsia" w:asciiTheme="minorEastAsia" w:hAnsiTheme="minorEastAsia" w:eastAsiaTheme="minorEastAsia" w:cstheme="minorEastAsia"/>
          <w:color w:val="auto"/>
          <w:highlight w:val="none"/>
        </w:rPr>
      </w:pPr>
    </w:p>
    <w:p w14:paraId="3B544A36">
      <w:pPr>
        <w:pStyle w:val="73"/>
        <w:ind w:left="0" w:leftChars="0" w:firstLine="0" w:firstLineChars="0"/>
        <w:rPr>
          <w:rFonts w:hint="eastAsia" w:asciiTheme="minorEastAsia" w:hAnsiTheme="minorEastAsia" w:eastAsiaTheme="minorEastAsia" w:cstheme="minorEastAsia"/>
          <w:color w:val="auto"/>
          <w:highlight w:val="none"/>
        </w:rPr>
      </w:pPr>
    </w:p>
    <w:p w14:paraId="5413CB65">
      <w:pPr>
        <w:pStyle w:val="2"/>
        <w:jc w:val="both"/>
        <w:rPr>
          <w:rFonts w:hint="eastAsia" w:asciiTheme="minorEastAsia" w:hAnsiTheme="minorEastAsia" w:eastAsiaTheme="minorEastAsia" w:cstheme="minorEastAsia"/>
          <w:color w:val="auto"/>
          <w:highlight w:val="none"/>
          <w:lang w:eastAsia="zh-CN"/>
        </w:rPr>
      </w:pPr>
    </w:p>
    <w:p w14:paraId="52B1242F">
      <w:pPr>
        <w:rPr>
          <w:rFonts w:hint="eastAsia" w:asciiTheme="minorEastAsia" w:hAnsiTheme="minorEastAsia" w:eastAsiaTheme="minorEastAsia" w:cstheme="minorEastAsia"/>
          <w:color w:val="auto"/>
          <w:highlight w:val="none"/>
          <w:lang w:eastAsia="zh-CN"/>
        </w:rPr>
      </w:pPr>
    </w:p>
    <w:p w14:paraId="0F1412AC">
      <w:pPr>
        <w:rPr>
          <w:rFonts w:hint="eastAsia" w:asciiTheme="minorEastAsia" w:hAnsiTheme="minorEastAsia" w:eastAsiaTheme="minorEastAsia" w:cstheme="minorEastAsia"/>
          <w:color w:val="auto"/>
          <w:highlight w:val="none"/>
          <w:lang w:eastAsia="zh-CN"/>
        </w:rPr>
      </w:pPr>
    </w:p>
    <w:p w14:paraId="426270E7">
      <w:pPr>
        <w:rPr>
          <w:rFonts w:hint="eastAsia" w:asciiTheme="minorEastAsia" w:hAnsiTheme="minorEastAsia" w:eastAsiaTheme="minorEastAsia" w:cstheme="minorEastAsia"/>
          <w:color w:val="auto"/>
          <w:highlight w:val="none"/>
        </w:rPr>
      </w:pPr>
    </w:p>
    <w:p w14:paraId="628DEBDC">
      <w:pPr>
        <w:pStyle w:val="49"/>
        <w:rPr>
          <w:rFonts w:hint="eastAsia" w:asciiTheme="minorEastAsia" w:hAnsiTheme="minorEastAsia" w:eastAsiaTheme="minorEastAsia" w:cstheme="minorEastAsia"/>
          <w:color w:val="auto"/>
          <w:highlight w:val="none"/>
        </w:rPr>
      </w:pPr>
    </w:p>
    <w:p w14:paraId="70825506">
      <w:pPr>
        <w:pStyle w:val="49"/>
        <w:rPr>
          <w:rFonts w:hint="eastAsia" w:asciiTheme="minorEastAsia" w:hAnsiTheme="minorEastAsia" w:eastAsiaTheme="minorEastAsia" w:cstheme="minorEastAsia"/>
          <w:color w:val="auto"/>
          <w:highlight w:val="none"/>
        </w:rPr>
      </w:pPr>
    </w:p>
    <w:p w14:paraId="44F90EBB">
      <w:pPr>
        <w:pStyle w:val="2"/>
        <w:outlineLvl w:val="0"/>
        <w:rPr>
          <w:rFonts w:hint="eastAsia" w:asciiTheme="minorEastAsia" w:hAnsiTheme="minorEastAsia" w:eastAsiaTheme="minorEastAsia" w:cstheme="minorEastAsia"/>
          <w:bCs/>
          <w:color w:val="auto"/>
          <w:sz w:val="32"/>
          <w:szCs w:val="32"/>
          <w:highlight w:val="none"/>
        </w:rPr>
      </w:pPr>
    </w:p>
    <w:p w14:paraId="3A1464E0">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1DA6D0BC">
      <w:pPr>
        <w:tabs>
          <w:tab w:val="left" w:pos="1077"/>
        </w:tabs>
        <w:jc w:val="center"/>
        <w:outlineLvl w:val="9"/>
        <w:rPr>
          <w:rFonts w:hint="default" w:asciiTheme="minorEastAsia" w:hAnsiTheme="minorEastAsia" w:eastAsiaTheme="minorEastAsia" w:cstheme="minorEastAsia"/>
          <w:b/>
          <w:bCs/>
          <w:color w:val="auto"/>
          <w:sz w:val="72"/>
          <w:szCs w:val="72"/>
          <w:highlight w:val="none"/>
          <w:lang w:val="en-US"/>
        </w:rPr>
      </w:pPr>
      <w:r>
        <w:rPr>
          <w:rFonts w:hint="eastAsia" w:asciiTheme="minorEastAsia" w:hAnsiTheme="minorEastAsia" w:eastAsiaTheme="minorEastAsia" w:cstheme="minorEastAsia"/>
          <w:b/>
          <w:bCs/>
          <w:color w:val="auto"/>
          <w:sz w:val="72"/>
          <w:szCs w:val="72"/>
          <w:highlight w:val="none"/>
          <w:lang w:eastAsia="zh-CN"/>
        </w:rPr>
        <w:t>一、</w:t>
      </w:r>
      <w:r>
        <w:rPr>
          <w:rFonts w:hint="eastAsia" w:asciiTheme="minorEastAsia" w:hAnsiTheme="minorEastAsia" w:eastAsiaTheme="minorEastAsia" w:cstheme="minorEastAsia"/>
          <w:b/>
          <w:bCs/>
          <w:color w:val="auto"/>
          <w:sz w:val="72"/>
          <w:szCs w:val="72"/>
          <w:highlight w:val="none"/>
          <w:lang w:val="en-US" w:eastAsia="zh-CN"/>
        </w:rPr>
        <w:t>商务部分</w:t>
      </w:r>
    </w:p>
    <w:p w14:paraId="6D2033AE">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3AFB798B">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606395F8">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7A1D1C6">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751D9FA">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767F449D">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57BA6705">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7CC25A10">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40C3FA3">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2AF77DE9">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28D3C86F">
      <w:pPr>
        <w:pStyle w:val="49"/>
        <w:rPr>
          <w:rFonts w:hint="eastAsia" w:ascii="宋体" w:hAnsi="宋体" w:eastAsia="宋体" w:cs="宋体"/>
          <w:b/>
          <w:bCs/>
          <w:snapToGrid w:val="0"/>
          <w:kern w:val="0"/>
          <w:sz w:val="28"/>
          <w:szCs w:val="28"/>
          <w:u w:val="none"/>
          <w:lang w:val="en-US" w:eastAsia="zh-CN"/>
        </w:rPr>
      </w:pPr>
    </w:p>
    <w:p w14:paraId="4234C12E">
      <w:pPr>
        <w:pStyle w:val="49"/>
        <w:rPr>
          <w:rFonts w:hint="eastAsia" w:ascii="宋体" w:hAnsi="宋体" w:eastAsia="宋体" w:cs="宋体"/>
          <w:b/>
          <w:bCs/>
          <w:snapToGrid w:val="0"/>
          <w:kern w:val="0"/>
          <w:sz w:val="28"/>
          <w:szCs w:val="28"/>
          <w:u w:val="none"/>
          <w:lang w:val="en-US" w:eastAsia="zh-CN"/>
        </w:rPr>
      </w:pPr>
    </w:p>
    <w:p w14:paraId="52A10FED">
      <w:pPr>
        <w:pStyle w:val="49"/>
        <w:rPr>
          <w:rFonts w:hint="eastAsia" w:ascii="宋体" w:hAnsi="宋体" w:eastAsia="宋体" w:cs="宋体"/>
          <w:b/>
          <w:bCs/>
          <w:snapToGrid w:val="0"/>
          <w:kern w:val="0"/>
          <w:sz w:val="28"/>
          <w:szCs w:val="28"/>
          <w:u w:val="none"/>
          <w:lang w:val="en-US" w:eastAsia="zh-CN"/>
        </w:rPr>
      </w:pPr>
    </w:p>
    <w:p w14:paraId="4702BDB3">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01915A9">
      <w:pPr>
        <w:tabs>
          <w:tab w:val="left" w:pos="4860"/>
        </w:tabs>
        <w:overflowPunct w:val="0"/>
        <w:topLinePunct/>
        <w:autoSpaceDN w:val="0"/>
        <w:adjustRightInd w:val="0"/>
        <w:snapToGrid w:val="0"/>
        <w:spacing w:line="360" w:lineRule="auto"/>
        <w:rPr>
          <w:rFonts w:hint="eastAsia" w:ascii="宋体" w:hAnsi="宋体" w:eastAsia="宋体" w:cs="宋体"/>
          <w:b/>
          <w:bCs/>
          <w:snapToGrid w:val="0"/>
          <w:kern w:val="0"/>
          <w:sz w:val="28"/>
          <w:szCs w:val="28"/>
          <w:u w:val="none"/>
          <w:lang w:val="en-US" w:eastAsia="zh-CN"/>
        </w:rPr>
      </w:pPr>
    </w:p>
    <w:p w14:paraId="5C21F083">
      <w:pPr>
        <w:tabs>
          <w:tab w:val="left" w:pos="4860"/>
        </w:tabs>
        <w:overflowPunct w:val="0"/>
        <w:topLinePunct/>
        <w:autoSpaceDN w:val="0"/>
        <w:adjustRightInd w:val="0"/>
        <w:snapToGrid w:val="0"/>
        <w:spacing w:line="360" w:lineRule="auto"/>
        <w:ind w:firstLine="3935" w:firstLineChars="1400"/>
        <w:rPr>
          <w:rFonts w:hint="eastAsia" w:ascii="宋体" w:hAnsi="宋体" w:eastAsia="宋体" w:cs="宋体"/>
          <w:b/>
          <w:bCs/>
          <w:snapToGrid w:val="0"/>
          <w:kern w:val="0"/>
          <w:sz w:val="28"/>
          <w:szCs w:val="28"/>
          <w:u w:val="none"/>
          <w:lang w:val="en-US" w:eastAsia="zh-CN"/>
        </w:rPr>
      </w:pPr>
    </w:p>
    <w:p w14:paraId="78B71A95">
      <w:pPr>
        <w:rPr>
          <w:rFonts w:hint="eastAsia" w:ascii="宋体" w:hAnsi="宋体" w:eastAsia="宋体" w:cs="宋体"/>
          <w:b/>
          <w:bCs/>
          <w:snapToGrid w:val="0"/>
          <w:kern w:val="0"/>
          <w:sz w:val="28"/>
          <w:szCs w:val="28"/>
          <w:u w:val="none"/>
          <w:lang w:val="en-US" w:eastAsia="zh-CN"/>
        </w:rPr>
      </w:pPr>
      <w:r>
        <w:rPr>
          <w:rFonts w:hint="eastAsia" w:ascii="宋体" w:hAnsi="宋体" w:eastAsia="宋体" w:cs="宋体"/>
          <w:b/>
          <w:bCs/>
          <w:snapToGrid w:val="0"/>
          <w:kern w:val="0"/>
          <w:sz w:val="28"/>
          <w:szCs w:val="28"/>
          <w:u w:val="none"/>
          <w:lang w:val="en-US" w:eastAsia="zh-CN"/>
        </w:rPr>
        <w:br w:type="page"/>
      </w:r>
    </w:p>
    <w:p w14:paraId="0DE233D2">
      <w:pPr>
        <w:tabs>
          <w:tab w:val="left" w:pos="4860"/>
        </w:tabs>
        <w:overflowPunct w:val="0"/>
        <w:topLinePunct/>
        <w:autoSpaceDN w:val="0"/>
        <w:adjustRightInd w:val="0"/>
        <w:snapToGrid w:val="0"/>
        <w:spacing w:line="360" w:lineRule="auto"/>
        <w:ind w:firstLine="3935" w:firstLineChars="1400"/>
        <w:rPr>
          <w:rFonts w:hint="eastAsia" w:ascii="宋体" w:hAnsi="宋体" w:eastAsia="宋体" w:cs="宋体"/>
          <w:b/>
          <w:snapToGrid w:val="0"/>
          <w:kern w:val="0"/>
          <w:sz w:val="28"/>
          <w:szCs w:val="28"/>
          <w:lang w:eastAsia="zh-CN"/>
        </w:rPr>
      </w:pPr>
      <w:r>
        <w:rPr>
          <w:rFonts w:hint="eastAsia" w:ascii="宋体" w:hAnsi="宋体" w:eastAsia="宋体" w:cs="宋体"/>
          <w:b/>
          <w:bCs/>
          <w:snapToGrid w:val="0"/>
          <w:kern w:val="0"/>
          <w:sz w:val="28"/>
          <w:szCs w:val="28"/>
          <w:u w:val="none"/>
          <w:lang w:val="en-US" w:eastAsia="zh-CN"/>
        </w:rPr>
        <w:t>1、磋商函</w:t>
      </w:r>
      <w:r>
        <w:rPr>
          <w:rFonts w:hint="eastAsia" w:ascii="宋体" w:hAnsi="宋体" w:eastAsia="宋体" w:cs="宋体"/>
          <w:b/>
          <w:snapToGrid w:val="0"/>
          <w:kern w:val="0"/>
          <w:sz w:val="28"/>
          <w:szCs w:val="28"/>
        </w:rPr>
        <w:t>（格式）</w:t>
      </w:r>
    </w:p>
    <w:p w14:paraId="36717E37">
      <w:pPr>
        <w:pStyle w:val="12"/>
        <w:rPr>
          <w:rFonts w:hint="eastAsia"/>
          <w:lang w:eastAsia="zh-CN"/>
        </w:rPr>
      </w:pPr>
    </w:p>
    <w:p w14:paraId="20EC5E39">
      <w:pPr>
        <w:tabs>
          <w:tab w:val="left" w:pos="4860"/>
        </w:tabs>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bCs/>
          <w:snapToGrid w:val="0"/>
          <w:kern w:val="0"/>
          <w:sz w:val="24"/>
          <w:szCs w:val="24"/>
        </w:rPr>
        <w:t>：</w:t>
      </w:r>
    </w:p>
    <w:p w14:paraId="34F6C388">
      <w:pPr>
        <w:overflowPunct w:val="0"/>
        <w:topLinePunct/>
        <w:autoSpaceDN w:val="0"/>
        <w:adjustRightInd w:val="0"/>
        <w:snapToGrid w:val="0"/>
        <w:spacing w:line="360" w:lineRule="auto"/>
        <w:ind w:firstLine="480" w:firstLineChars="200"/>
        <w:rPr>
          <w:rFonts w:hint="eastAsia" w:ascii="宋体" w:hAnsi="宋体" w:eastAsia="宋体" w:cs="宋体"/>
          <w:snapToGrid w:val="0"/>
          <w:color w:val="FF000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全称)授权</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(职务或职称)为我方代表，参加贵方组织的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w:t>
      </w:r>
      <w:r>
        <w:rPr>
          <w:rFonts w:hint="eastAsia" w:ascii="宋体" w:hAnsi="宋体" w:cs="宋体"/>
          <w:snapToGrid w:val="0"/>
          <w:color w:val="000000" w:themeColor="text1"/>
          <w:kern w:val="0"/>
          <w:sz w:val="24"/>
          <w:szCs w:val="24"/>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14:textFill>
            <w14:solidFill>
              <w14:schemeClr w14:val="tx1"/>
            </w14:solidFill>
          </w14:textFill>
        </w:rPr>
        <w:t>名称</w:t>
      </w:r>
      <w:r>
        <w:rPr>
          <w:rFonts w:hint="eastAsia" w:ascii="宋体" w:hAnsi="宋体" w:eastAsia="宋体" w:cs="宋体"/>
          <w:snapToGrid w:val="0"/>
          <w:kern w:val="0"/>
          <w:sz w:val="24"/>
          <w:szCs w:val="24"/>
        </w:rPr>
        <w:t>)招标的有关活动，并对此项目进行投标。为此：</w:t>
      </w:r>
    </w:p>
    <w:p w14:paraId="73A277EA">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w:t>
      </w:r>
      <w:r>
        <w:rPr>
          <w:rFonts w:hint="eastAsia" w:ascii="宋体" w:hAnsi="宋体" w:eastAsia="宋体" w:cs="宋体"/>
          <w:snapToGrid w:val="0"/>
          <w:kern w:val="0"/>
          <w:sz w:val="24"/>
          <w:szCs w:val="24"/>
        </w:rPr>
        <w:t>我方愿意向贵方提供任何与本项</w:t>
      </w:r>
      <w:r>
        <w:rPr>
          <w:rFonts w:hint="eastAsia" w:ascii="宋体" w:hAnsi="宋体" w:eastAsia="宋体" w:cs="宋体"/>
          <w:snapToGrid w:val="0"/>
          <w:kern w:val="0"/>
          <w:sz w:val="24"/>
          <w:szCs w:val="24"/>
          <w:lang w:eastAsia="zh-CN"/>
        </w:rPr>
        <w:t>报价</w:t>
      </w:r>
      <w:r>
        <w:rPr>
          <w:rFonts w:hint="eastAsia" w:ascii="宋体" w:hAnsi="宋体" w:eastAsia="宋体" w:cs="宋体"/>
          <w:snapToGrid w:val="0"/>
          <w:kern w:val="0"/>
          <w:sz w:val="24"/>
          <w:szCs w:val="24"/>
        </w:rPr>
        <w:t>有关的数据、情况和技术资料。若贵方需要，我方愿意提供我方做出的一切承诺的证明材料。</w:t>
      </w:r>
    </w:p>
    <w:p w14:paraId="6F07765E">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2、我方承诺已经具备本项目规定的参加采购活动的</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应当具备的全部条件。</w:t>
      </w:r>
    </w:p>
    <w:p w14:paraId="3B3FD025">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3、提供投标须知规定的全部响应文件，包括响应文件正本、副本、</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一览表。</w:t>
      </w:r>
    </w:p>
    <w:p w14:paraId="6E1C099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4、按磋商文件要求提供和交付的服务的磋商报价详见</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一览表。</w:t>
      </w:r>
    </w:p>
    <w:p w14:paraId="434C0E2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、保证忠实地执行双方所签订的合同，并承担合同规定的责任和义务。</w:t>
      </w:r>
    </w:p>
    <w:p w14:paraId="1E069218">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6</w:t>
      </w:r>
      <w:r>
        <w:rPr>
          <w:rFonts w:hint="eastAsia" w:ascii="宋体" w:hAnsi="宋体" w:eastAsia="宋体" w:cs="宋体"/>
          <w:snapToGrid w:val="0"/>
          <w:kern w:val="0"/>
          <w:sz w:val="24"/>
          <w:szCs w:val="24"/>
        </w:rPr>
        <w:t>、承诺完全满足和磋商响应磋商文件中的各项</w:t>
      </w:r>
      <w:r>
        <w:rPr>
          <w:rFonts w:hint="eastAsia" w:ascii="宋体" w:hAnsi="宋体" w:eastAsia="宋体" w:cs="宋体"/>
          <w:snapToGrid w:val="0"/>
          <w:kern w:val="0"/>
          <w:sz w:val="24"/>
          <w:szCs w:val="24"/>
          <w:lang w:eastAsia="zh-CN"/>
        </w:rPr>
        <w:t>服务</w:t>
      </w:r>
      <w:r>
        <w:rPr>
          <w:rFonts w:hint="eastAsia" w:ascii="宋体" w:hAnsi="宋体" w:eastAsia="宋体" w:cs="宋体"/>
          <w:snapToGrid w:val="0"/>
          <w:kern w:val="0"/>
          <w:sz w:val="24"/>
          <w:szCs w:val="24"/>
        </w:rPr>
        <w:t>要求。</w:t>
      </w:r>
    </w:p>
    <w:p w14:paraId="6AD8ABD0">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7</w:t>
      </w:r>
      <w:r>
        <w:rPr>
          <w:rFonts w:hint="eastAsia" w:ascii="宋体" w:hAnsi="宋体" w:eastAsia="宋体" w:cs="宋体"/>
          <w:snapToGrid w:val="0"/>
          <w:kern w:val="0"/>
          <w:sz w:val="24"/>
          <w:szCs w:val="24"/>
        </w:rPr>
        <w:t>、保证遵守磋商文件的规定。</w:t>
      </w:r>
    </w:p>
    <w:p w14:paraId="646CB424">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8</w:t>
      </w:r>
      <w:r>
        <w:rPr>
          <w:rFonts w:hint="eastAsia" w:ascii="宋体" w:hAnsi="宋体" w:eastAsia="宋体" w:cs="宋体"/>
          <w:snapToGrid w:val="0"/>
          <w:kern w:val="0"/>
          <w:sz w:val="24"/>
          <w:szCs w:val="24"/>
        </w:rPr>
        <w:t>、如果在</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后规定的投标有效期内撤回</w:t>
      </w:r>
      <w:r>
        <w:rPr>
          <w:rFonts w:hint="eastAsia" w:ascii="宋体" w:hAnsi="宋体" w:eastAsia="宋体" w:cs="宋体"/>
          <w:snapToGrid w:val="0"/>
          <w:kern w:val="0"/>
          <w:sz w:val="24"/>
          <w:szCs w:val="24"/>
          <w:lang w:eastAsia="zh-CN"/>
        </w:rPr>
        <w:t>报价</w:t>
      </w:r>
      <w:r>
        <w:rPr>
          <w:rFonts w:hint="eastAsia" w:ascii="宋体" w:hAnsi="宋体" w:eastAsia="宋体" w:cs="宋体"/>
          <w:snapToGrid w:val="0"/>
          <w:kern w:val="0"/>
          <w:sz w:val="24"/>
          <w:szCs w:val="24"/>
        </w:rPr>
        <w:t>，我方的磋商保证金可被贵方没收。</w:t>
      </w:r>
    </w:p>
    <w:p w14:paraId="6C4E5C50">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val="en-US" w:eastAsia="zh-CN"/>
        </w:rPr>
        <w:t>9</w:t>
      </w:r>
      <w:r>
        <w:rPr>
          <w:rFonts w:hint="eastAsia" w:ascii="宋体" w:hAnsi="宋体" w:eastAsia="宋体" w:cs="宋体"/>
          <w:snapToGrid w:val="0"/>
          <w:kern w:val="0"/>
          <w:sz w:val="24"/>
          <w:szCs w:val="24"/>
        </w:rPr>
        <w:t>、我方完全理解贵方不一定接受最低价的</w:t>
      </w:r>
      <w:r>
        <w:rPr>
          <w:rFonts w:hint="eastAsia" w:ascii="宋体" w:hAnsi="宋体" w:eastAsia="宋体" w:cs="宋体"/>
          <w:snapToGrid w:val="0"/>
          <w:kern w:val="0"/>
          <w:sz w:val="24"/>
          <w:szCs w:val="24"/>
          <w:lang w:eastAsia="zh-CN"/>
        </w:rPr>
        <w:t>报价。</w:t>
      </w:r>
    </w:p>
    <w:p w14:paraId="3F7A1B64">
      <w:pPr>
        <w:overflowPunct w:val="0"/>
        <w:topLinePunct/>
        <w:autoSpaceDN w:val="0"/>
        <w:adjustRightInd w:val="0"/>
        <w:snapToGrid w:val="0"/>
        <w:spacing w:line="360" w:lineRule="auto"/>
        <w:ind w:firstLine="480" w:firstLineChars="200"/>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10、</w:t>
      </w:r>
      <w:r>
        <w:rPr>
          <w:rFonts w:hint="eastAsia" w:ascii="宋体" w:hAnsi="宋体" w:eastAsia="宋体" w:cs="宋体"/>
          <w:snapToGrid w:val="0"/>
          <w:color w:val="000000" w:themeColor="text1"/>
          <w:kern w:val="0"/>
          <w:sz w:val="24"/>
          <w:szCs w:val="24"/>
          <w14:textFill>
            <w14:solidFill>
              <w14:schemeClr w14:val="tx1"/>
            </w14:solidFill>
          </w14:textFill>
        </w:rPr>
        <w:t>我方同意在本项目磋商文件中规定的</w:t>
      </w:r>
      <w:r>
        <w:rPr>
          <w:rFonts w:hint="eastAsia" w:ascii="宋体" w:hAnsi="宋体" w:eastAsia="宋体" w:cs="宋体"/>
          <w:snapToGrid w:val="0"/>
          <w:color w:val="000000" w:themeColor="text1"/>
          <w:kern w:val="0"/>
          <w:sz w:val="24"/>
          <w:szCs w:val="24"/>
          <w:lang w:eastAsia="zh-CN"/>
          <w14:textFill>
            <w14:solidFill>
              <w14:schemeClr w14:val="tx1"/>
            </w14:solidFill>
          </w14:textFill>
        </w:rPr>
        <w:t>磋商</w:t>
      </w:r>
      <w:r>
        <w:rPr>
          <w:rFonts w:hint="eastAsia" w:ascii="宋体" w:hAnsi="宋体" w:eastAsia="宋体" w:cs="宋体"/>
          <w:snapToGrid w:val="0"/>
          <w:color w:val="000000" w:themeColor="text1"/>
          <w:kern w:val="0"/>
          <w:sz w:val="24"/>
          <w:szCs w:val="24"/>
          <w14:textFill>
            <w14:solidFill>
              <w14:schemeClr w14:val="tx1"/>
            </w14:solidFill>
          </w14:textFill>
        </w:rPr>
        <w:t>日起的有效期</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日历天</w:t>
      </w:r>
      <w:r>
        <w:rPr>
          <w:rFonts w:hint="eastAsia" w:ascii="宋体" w:hAnsi="宋体" w:eastAsia="宋体" w:cs="宋体"/>
          <w:snapToGrid w:val="0"/>
          <w:color w:val="000000" w:themeColor="text1"/>
          <w:kern w:val="0"/>
          <w:sz w:val="24"/>
          <w:szCs w:val="24"/>
          <w14:textFill>
            <w14:solidFill>
              <w14:schemeClr w14:val="tx1"/>
            </w14:solidFill>
          </w14:textFill>
        </w:rPr>
        <w:t>内遵守本响应文件中的承诺且在此期限期满之前均具有约束力。</w:t>
      </w:r>
    </w:p>
    <w:p w14:paraId="59B701DB">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11</w:t>
      </w:r>
      <w:r>
        <w:rPr>
          <w:rFonts w:hint="eastAsia" w:ascii="宋体" w:hAnsi="宋体" w:eastAsia="宋体" w:cs="宋体"/>
          <w:snapToGrid w:val="0"/>
          <w:kern w:val="0"/>
          <w:sz w:val="24"/>
          <w:szCs w:val="24"/>
        </w:rPr>
        <w:t>、我方已详细审核全部响应文件，包括响应文件修改书（如有的话）、参考资料及有关附件，确认无误。</w:t>
      </w:r>
    </w:p>
    <w:p w14:paraId="51C40CB7">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12</w:t>
      </w:r>
      <w:r>
        <w:rPr>
          <w:rFonts w:hint="eastAsia" w:ascii="宋体" w:hAnsi="宋体" w:eastAsia="宋体" w:cs="宋体"/>
          <w:snapToGrid w:val="0"/>
          <w:kern w:val="0"/>
          <w:sz w:val="24"/>
          <w:szCs w:val="24"/>
        </w:rPr>
        <w:t>、我方承诺：采购人若需追加采购本项目磋商文件所列相关服务的，在不改变合同其他实质性条款的前提下，按相同或更优惠的折扣率保证服务。</w:t>
      </w:r>
    </w:p>
    <w:p w14:paraId="366D251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13</w:t>
      </w:r>
      <w:r>
        <w:rPr>
          <w:rFonts w:hint="eastAsia" w:ascii="宋体" w:hAnsi="宋体" w:eastAsia="宋体" w:cs="宋体"/>
          <w:snapToGrid w:val="0"/>
          <w:kern w:val="0"/>
          <w:sz w:val="24"/>
          <w:szCs w:val="24"/>
        </w:rPr>
        <w:t>、我方承诺接受磋商文件中《合同条款》的全部条款且无任何异议。</w:t>
      </w:r>
    </w:p>
    <w:p w14:paraId="3C2F9D1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14</w:t>
      </w:r>
      <w:r>
        <w:rPr>
          <w:rFonts w:hint="eastAsia" w:ascii="宋体" w:hAnsi="宋体" w:eastAsia="宋体" w:cs="宋体"/>
          <w:snapToGrid w:val="0"/>
          <w:kern w:val="0"/>
          <w:sz w:val="24"/>
          <w:szCs w:val="24"/>
        </w:rPr>
        <w:t>、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439D7747">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（1）提</w:t>
      </w:r>
      <w:r>
        <w:rPr>
          <w:rFonts w:hint="eastAsia" w:ascii="宋体" w:hAnsi="宋体" w:eastAsia="宋体" w:cs="宋体"/>
          <w:snapToGrid w:val="0"/>
          <w:kern w:val="0"/>
          <w:sz w:val="24"/>
          <w:szCs w:val="24"/>
        </w:rPr>
        <w:t>供虚假材料谋取成交、成交的；</w:t>
      </w:r>
    </w:p>
    <w:p w14:paraId="03F34029">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（2）采取不正当手段诋毁、排挤其他</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的；</w:t>
      </w:r>
    </w:p>
    <w:p w14:paraId="45A1BB2E">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与采购人、其它</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或者采购代理机构工作人员恶意串通的</w:t>
      </w:r>
    </w:p>
    <w:p w14:paraId="497B6586">
      <w:pPr>
        <w:overflowPunct w:val="0"/>
        <w:topLinePunct/>
        <w:autoSpaceDN w:val="0"/>
        <w:adjustRightInd w:val="0"/>
        <w:snapToGrid w:val="0"/>
        <w:spacing w:line="360" w:lineRule="auto"/>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4</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向采购人、采购代理机构工作人员行贿或者提供其他不正当利益</w:t>
      </w:r>
      <w:r>
        <w:rPr>
          <w:rFonts w:hint="eastAsia" w:ascii="宋体" w:hAnsi="宋体" w:eastAsia="宋体" w:cs="宋体"/>
          <w:snapToGrid w:val="0"/>
          <w:kern w:val="0"/>
          <w:sz w:val="24"/>
          <w:szCs w:val="24"/>
          <w:lang w:eastAsia="zh-CN"/>
        </w:rPr>
        <w:t>的；</w:t>
      </w:r>
    </w:p>
    <w:p w14:paraId="3D41CE06">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（5）未经采购代理机构同意，在采购过程中与采购人进行协商磋商的；</w:t>
      </w:r>
    </w:p>
    <w:p w14:paraId="23529D3F">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（6）拒绝有关部门监督检查或提供虚假情况的。</w:t>
      </w:r>
    </w:p>
    <w:p w14:paraId="3E3F86E9">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D20EDE4">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所有有关本投标的一切往来联系方式为：</w:t>
      </w:r>
    </w:p>
    <w:p w14:paraId="6909202A">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地址</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3E6909EA">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邮编：</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6A77F0F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电话：</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582B1FB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传真：</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p>
    <w:p w14:paraId="09F45C6D">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p>
    <w:p w14:paraId="1D500E51">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代表联系电话：</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（办公）</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（移动）</w:t>
      </w:r>
    </w:p>
    <w:p w14:paraId="162C9787">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E-mail：</w:t>
      </w:r>
      <w:r>
        <w:rPr>
          <w:rFonts w:hint="eastAsia" w:ascii="宋体" w:hAnsi="宋体" w:eastAsia="宋体" w:cs="宋体"/>
          <w:snapToGrid w:val="0"/>
          <w:kern w:val="0"/>
          <w:sz w:val="24"/>
          <w:szCs w:val="24"/>
          <w:u w:val="single"/>
        </w:rPr>
        <w:t xml:space="preserve">                    </w:t>
      </w:r>
    </w:p>
    <w:p w14:paraId="203CB2A5">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0BE6FF7">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6900CB71">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p>
    <w:p w14:paraId="4845F025">
      <w:pPr>
        <w:spacing w:line="480" w:lineRule="auto"/>
        <w:ind w:firstLine="3840" w:firstLineChars="1600"/>
        <w:rPr>
          <w:rFonts w:hint="eastAsia" w:asciiTheme="minorEastAsia" w:hAnsiTheme="minorEastAsia" w:eastAsiaTheme="minorEastAsia" w:cstheme="minorEastAsia"/>
          <w:b/>
          <w:bCs/>
          <w:highlight w:val="none"/>
          <w:lang w:val="en-US" w:eastAsia="zh-CN"/>
        </w:rPr>
      </w:pP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none"/>
          <w:lang w:val="en-US" w:eastAsia="zh-CN"/>
        </w:rPr>
        <w:t xml:space="preserve">   </w:t>
      </w:r>
    </w:p>
    <w:p w14:paraId="2E1245D8">
      <w:pPr>
        <w:spacing w:line="480" w:lineRule="auto"/>
        <w:jc w:val="center"/>
        <w:rPr>
          <w:rFonts w:hint="eastAsia" w:asciiTheme="minorEastAsia" w:hAnsiTheme="minorEastAsia" w:eastAsiaTheme="minorEastAsia" w:cstheme="minorEastAsia"/>
          <w:b/>
          <w:bCs/>
          <w:sz w:val="28"/>
          <w:szCs w:val="28"/>
          <w:highlight w:val="none"/>
          <w:lang w:val="en-US" w:eastAsia="zh-CN"/>
        </w:rPr>
      </w:pPr>
    </w:p>
    <w:p w14:paraId="2284E425">
      <w:pPr>
        <w:jc w:val="center"/>
        <w:rPr>
          <w:rFonts w:hint="eastAsia" w:asciiTheme="minorEastAsia" w:hAnsiTheme="minorEastAsia" w:eastAsiaTheme="minorEastAsia" w:cstheme="minorEastAsia"/>
          <w:b/>
          <w:bCs/>
          <w:sz w:val="28"/>
          <w:szCs w:val="28"/>
          <w:highlight w:val="none"/>
          <w:lang w:val="en-US" w:eastAsia="zh-CN"/>
        </w:rPr>
      </w:pPr>
    </w:p>
    <w:p w14:paraId="14B2997F">
      <w:pPr>
        <w:jc w:val="center"/>
        <w:rPr>
          <w:rFonts w:hint="eastAsia" w:asciiTheme="minorEastAsia" w:hAnsiTheme="minorEastAsia" w:eastAsiaTheme="minorEastAsia" w:cstheme="minorEastAsia"/>
          <w:b/>
          <w:bCs/>
          <w:sz w:val="28"/>
          <w:szCs w:val="28"/>
          <w:highlight w:val="none"/>
          <w:lang w:val="en-US" w:eastAsia="zh-CN"/>
        </w:rPr>
      </w:pPr>
    </w:p>
    <w:p w14:paraId="0D9F7B38">
      <w:pPr>
        <w:jc w:val="both"/>
        <w:rPr>
          <w:rFonts w:hint="eastAsia" w:asciiTheme="minorEastAsia" w:hAnsiTheme="minorEastAsia" w:eastAsiaTheme="minorEastAsia" w:cstheme="minorEastAsia"/>
          <w:b/>
          <w:bCs/>
          <w:sz w:val="28"/>
          <w:szCs w:val="28"/>
          <w:highlight w:val="none"/>
          <w:lang w:val="en-US" w:eastAsia="zh-CN"/>
        </w:rPr>
      </w:pPr>
    </w:p>
    <w:p w14:paraId="00015CA2">
      <w:pPr>
        <w:jc w:val="center"/>
        <w:rPr>
          <w:rFonts w:hint="eastAsia" w:asciiTheme="minorEastAsia" w:hAnsiTheme="minorEastAsia" w:eastAsiaTheme="minorEastAsia" w:cstheme="minorEastAsia"/>
          <w:b/>
          <w:bCs/>
          <w:sz w:val="28"/>
          <w:szCs w:val="28"/>
          <w:highlight w:val="none"/>
          <w:lang w:val="en-US" w:eastAsia="zh-CN"/>
        </w:rPr>
      </w:pPr>
    </w:p>
    <w:p w14:paraId="751A6275">
      <w:pPr>
        <w:pStyle w:val="2"/>
        <w:rPr>
          <w:rFonts w:hint="eastAsia" w:asciiTheme="minorEastAsia" w:hAnsiTheme="minorEastAsia" w:eastAsiaTheme="minorEastAsia" w:cstheme="minorEastAsia"/>
          <w:b/>
          <w:bCs/>
          <w:sz w:val="28"/>
          <w:szCs w:val="28"/>
          <w:highlight w:val="none"/>
          <w:lang w:val="en-US" w:eastAsia="zh-CN"/>
        </w:rPr>
      </w:pPr>
    </w:p>
    <w:p w14:paraId="0642363C">
      <w:pPr>
        <w:rPr>
          <w:rFonts w:hint="eastAsia" w:asciiTheme="minorEastAsia" w:hAnsiTheme="minorEastAsia" w:eastAsiaTheme="minorEastAsia" w:cstheme="minorEastAsia"/>
          <w:b/>
          <w:bCs/>
          <w:sz w:val="28"/>
          <w:szCs w:val="28"/>
          <w:highlight w:val="none"/>
          <w:lang w:val="en-US" w:eastAsia="zh-CN"/>
        </w:rPr>
      </w:pPr>
    </w:p>
    <w:p w14:paraId="5471B2A5">
      <w:pPr>
        <w:pStyle w:val="2"/>
        <w:rPr>
          <w:rFonts w:hint="eastAsia"/>
          <w:lang w:val="en-US" w:eastAsia="zh-CN"/>
        </w:rPr>
      </w:pPr>
    </w:p>
    <w:p w14:paraId="6279D99C">
      <w:pPr>
        <w:rPr>
          <w:rFonts w:hint="eastAsia"/>
          <w:lang w:val="en-US" w:eastAsia="zh-CN"/>
        </w:rPr>
      </w:pPr>
    </w:p>
    <w:p w14:paraId="7A384304">
      <w:pPr>
        <w:pStyle w:val="73"/>
        <w:rPr>
          <w:rFonts w:hint="eastAsia"/>
          <w:lang w:val="en-US" w:eastAsia="zh-CN"/>
        </w:rPr>
      </w:pPr>
    </w:p>
    <w:p w14:paraId="169E6810">
      <w:pPr>
        <w:pStyle w:val="2"/>
        <w:rPr>
          <w:rFonts w:hint="eastAsia"/>
          <w:lang w:val="en-US" w:eastAsia="zh-CN"/>
        </w:rPr>
      </w:pPr>
    </w:p>
    <w:p w14:paraId="7A4AFE41">
      <w:pPr>
        <w:rPr>
          <w:rFonts w:hint="eastAsia"/>
          <w:lang w:val="en-US" w:eastAsia="zh-CN"/>
        </w:rPr>
      </w:pPr>
    </w:p>
    <w:p w14:paraId="72F9ED4F">
      <w:pPr>
        <w:jc w:val="center"/>
        <w:rPr>
          <w:rFonts w:hint="eastAsia" w:asciiTheme="minorEastAsia" w:hAnsiTheme="minorEastAsia" w:eastAsiaTheme="minorEastAsia" w:cstheme="minorEastAsia"/>
          <w:b/>
          <w:bCs/>
          <w:sz w:val="28"/>
          <w:szCs w:val="28"/>
          <w:highlight w:val="none"/>
          <w:lang w:val="en-US" w:eastAsia="zh-CN"/>
        </w:rPr>
      </w:pPr>
    </w:p>
    <w:p w14:paraId="092FAFB0">
      <w:pPr>
        <w:pStyle w:val="73"/>
        <w:ind w:left="0" w:leftChars="0" w:firstLine="0" w:firstLineChars="0"/>
        <w:rPr>
          <w:rFonts w:hint="eastAsia"/>
          <w:lang w:val="en-US" w:eastAsia="zh-CN"/>
        </w:rPr>
      </w:pPr>
    </w:p>
    <w:p w14:paraId="26CB8A5E">
      <w:pPr>
        <w:jc w:val="center"/>
        <w:rPr>
          <w:rFonts w:hint="eastAsia" w:asciiTheme="minorEastAsia" w:hAnsiTheme="minorEastAsia" w:eastAsiaTheme="minorEastAsia" w:cstheme="minorEastAsia"/>
          <w:b/>
          <w:bCs/>
          <w:sz w:val="28"/>
          <w:szCs w:val="28"/>
          <w:highlight w:val="none"/>
          <w:lang w:val="en-US" w:eastAsia="zh-CN"/>
        </w:rPr>
      </w:pPr>
    </w:p>
    <w:p w14:paraId="21A8F1CA">
      <w:pPr>
        <w:jc w:val="center"/>
        <w:rPr>
          <w:rFonts w:hint="eastAsia" w:asciiTheme="minorEastAsia" w:hAnsiTheme="minorEastAsia" w:eastAsiaTheme="minorEastAsia" w:cstheme="minorEastAsia"/>
          <w:b/>
          <w:bCs/>
          <w:sz w:val="28"/>
          <w:szCs w:val="28"/>
          <w:highlight w:val="none"/>
          <w:lang w:val="en-US" w:eastAsia="zh-CN"/>
        </w:rPr>
      </w:pPr>
    </w:p>
    <w:p w14:paraId="44071C9F">
      <w:pPr>
        <w:jc w:val="cente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2、法定代表人身份证明</w:t>
      </w:r>
      <w:r>
        <w:rPr>
          <w:rFonts w:hint="eastAsia" w:ascii="宋体" w:hAnsi="宋体" w:eastAsia="宋体" w:cs="宋体"/>
          <w:b/>
          <w:snapToGrid w:val="0"/>
          <w:kern w:val="0"/>
          <w:sz w:val="28"/>
          <w:szCs w:val="28"/>
        </w:rPr>
        <w:t>（格式）</w:t>
      </w:r>
    </w:p>
    <w:p w14:paraId="52976769">
      <w:pPr>
        <w:spacing w:line="440" w:lineRule="exact"/>
        <w:rPr>
          <w:rFonts w:hint="eastAsia" w:asciiTheme="minorEastAsia" w:hAnsiTheme="minorEastAsia" w:eastAsiaTheme="minorEastAsia" w:cstheme="minorEastAsia"/>
          <w:sz w:val="20"/>
          <w:szCs w:val="20"/>
          <w:highlight w:val="none"/>
        </w:rPr>
      </w:pPr>
    </w:p>
    <w:p w14:paraId="72A1F63F">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71B17198">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07430269">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p>
    <w:p w14:paraId="3D46DE6F">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日</w:t>
      </w:r>
    </w:p>
    <w:p w14:paraId="7ACEEFDB">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14:paraId="1D61B0E2">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p>
    <w:p w14:paraId="7D0725B4">
      <w:pPr>
        <w:spacing w:line="48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身份证号码为：</w:t>
      </w:r>
      <w:r>
        <w:rPr>
          <w:rFonts w:hint="eastAsia" w:asciiTheme="minorEastAsia" w:hAnsiTheme="minorEastAsia" w:eastAsiaTheme="minorEastAsia" w:cstheme="minorEastAsia"/>
          <w:sz w:val="24"/>
          <w:szCs w:val="24"/>
          <w:highlight w:val="none"/>
          <w:u w:val="single"/>
        </w:rPr>
        <w:t xml:space="preserve">                                              </w:t>
      </w:r>
    </w:p>
    <w:p w14:paraId="6993005B">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名称）的法定代表人。</w:t>
      </w:r>
    </w:p>
    <w:p w14:paraId="065562F9">
      <w:pPr>
        <w:spacing w:line="48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78D35B73">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附：法定代表人身份证复印件。</w:t>
      </w:r>
    </w:p>
    <w:p w14:paraId="498AB8D9">
      <w:pPr>
        <w:tabs>
          <w:tab w:val="left" w:pos="720"/>
          <w:tab w:val="left" w:pos="900"/>
        </w:tabs>
        <w:spacing w:line="360" w:lineRule="auto"/>
        <w:ind w:firstLine="630" w:firstLineChars="300"/>
        <w:rPr>
          <w:rFonts w:hint="eastAsia" w:asciiTheme="minorEastAsia" w:hAnsiTheme="minorEastAsia" w:eastAsiaTheme="minorEastAsia" w:cstheme="minorEastAsia"/>
          <w:szCs w:val="21"/>
          <w:highlight w:val="none"/>
        </w:rPr>
      </w:pPr>
    </w:p>
    <w:p w14:paraId="218B5DB3">
      <w:pPr>
        <w:tabs>
          <w:tab w:val="left" w:pos="720"/>
          <w:tab w:val="left" w:pos="900"/>
        </w:tabs>
        <w:spacing w:line="360" w:lineRule="auto"/>
        <w:rPr>
          <w:rFonts w:hint="eastAsia" w:asciiTheme="minorEastAsia" w:hAnsiTheme="minorEastAsia" w:eastAsiaTheme="minorEastAsia" w:cstheme="minorEastAsia"/>
          <w:szCs w:val="21"/>
          <w:highlight w:val="none"/>
        </w:rPr>
      </w:pPr>
    </w:p>
    <w:p w14:paraId="098FCE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5BF16A12">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rPr>
      </w:pPr>
      <w:r>
        <w:rPr>
          <w:rFonts w:hint="eastAsia" w:asciiTheme="minorEastAsia" w:hAnsiTheme="minorEastAsia" w:eastAsiaTheme="minorEastAsia" w:cstheme="minorEastAsia"/>
          <w:szCs w:val="21"/>
          <w:highlight w:val="none"/>
        </w:rPr>
        <w:t xml:space="preserve"> </w:t>
      </w: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val="en-US" w:eastAsia="zh-CN"/>
        </w:rPr>
        <w:t xml:space="preserve">            </w:t>
      </w:r>
    </w:p>
    <w:p w14:paraId="68FBC82B">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w:t>
      </w:r>
      <w:r>
        <w:rPr>
          <w:rFonts w:hint="eastAsia" w:ascii="宋体" w:hAnsi="宋体" w:eastAsia="宋体" w:cs="宋体"/>
          <w:snapToGrid w:val="0"/>
          <w:kern w:val="0"/>
          <w:sz w:val="24"/>
          <w:szCs w:val="24"/>
        </w:rPr>
        <w:t>(签字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2531E2A7">
      <w:pPr>
        <w:tabs>
          <w:tab w:val="left" w:pos="4000"/>
        </w:tabs>
        <w:overflowPunct w:val="0"/>
        <w:topLinePunct/>
        <w:autoSpaceDN w:val="0"/>
        <w:adjustRightInd w:val="0"/>
        <w:snapToGrid w:val="0"/>
        <w:spacing w:line="480" w:lineRule="auto"/>
        <w:ind w:firstLine="3600" w:firstLineChars="1500"/>
        <w:rPr>
          <w:rFonts w:hint="eastAsia" w:asciiTheme="minorEastAsia" w:hAnsiTheme="minorEastAsia" w:eastAsiaTheme="minorEastAsia" w:cstheme="minorEastAsia"/>
          <w:szCs w:val="21"/>
          <w:highlight w:val="none"/>
        </w:rPr>
      </w:pP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Theme="minorEastAsia" w:hAnsiTheme="minorEastAsia" w:eastAsiaTheme="minorEastAsia" w:cstheme="minorEastAsia"/>
          <w:szCs w:val="21"/>
          <w:highlight w:val="none"/>
        </w:rPr>
        <w:t xml:space="preserve">     </w:t>
      </w:r>
    </w:p>
    <w:p w14:paraId="537859FA">
      <w:pPr>
        <w:keepNext w:val="0"/>
        <w:keepLines w:val="0"/>
        <w:pageBreakBefore w:val="0"/>
        <w:widowControl w:val="0"/>
        <w:kinsoku/>
        <w:wordWrap/>
        <w:overflowPunct w:val="0"/>
        <w:topLinePunct/>
        <w:autoSpaceDE/>
        <w:autoSpaceDN w:val="0"/>
        <w:bidi w:val="0"/>
        <w:adjustRightInd w:val="0"/>
        <w:snapToGrid w:val="0"/>
        <w:spacing w:before="1561" w:beforeLines="500" w:line="360" w:lineRule="auto"/>
        <w:jc w:val="center"/>
        <w:textAlignment w:val="auto"/>
        <w:outlineLvl w:val="1"/>
        <w:rPr>
          <w:rFonts w:hint="eastAsia" w:asciiTheme="minorEastAsia" w:hAnsiTheme="minorEastAsia" w:eastAsiaTheme="minorEastAsia" w:cstheme="minorEastAsia"/>
          <w:b/>
          <w:bCs/>
          <w:sz w:val="28"/>
          <w:szCs w:val="28"/>
          <w:highlight w:val="none"/>
          <w:lang w:val="en-US" w:eastAsia="zh-CN"/>
        </w:rPr>
      </w:pPr>
    </w:p>
    <w:p w14:paraId="1042A9EF">
      <w:pPr>
        <w:pStyle w:val="73"/>
        <w:rPr>
          <w:rFonts w:hint="eastAsia" w:asciiTheme="minorEastAsia" w:hAnsiTheme="minorEastAsia" w:eastAsiaTheme="minorEastAsia" w:cstheme="minorEastAsia"/>
          <w:b/>
          <w:bCs/>
          <w:sz w:val="28"/>
          <w:szCs w:val="28"/>
          <w:highlight w:val="none"/>
          <w:lang w:val="en-US" w:eastAsia="zh-CN"/>
        </w:rPr>
      </w:pPr>
    </w:p>
    <w:p w14:paraId="7D032010">
      <w:pPr>
        <w:pStyle w:val="73"/>
        <w:rPr>
          <w:rFonts w:hint="eastAsia" w:asciiTheme="minorEastAsia" w:hAnsiTheme="minorEastAsia" w:eastAsiaTheme="minorEastAsia" w:cstheme="minorEastAsia"/>
          <w:b/>
          <w:bCs/>
          <w:sz w:val="28"/>
          <w:szCs w:val="28"/>
          <w:highlight w:val="none"/>
          <w:lang w:val="en-US" w:eastAsia="zh-CN"/>
        </w:rPr>
      </w:pPr>
    </w:p>
    <w:p w14:paraId="173360B2">
      <w:pPr>
        <w:pStyle w:val="73"/>
        <w:ind w:left="0" w:leftChars="0" w:firstLine="0" w:firstLineChars="0"/>
        <w:rPr>
          <w:rFonts w:hint="eastAsia" w:asciiTheme="minorEastAsia" w:hAnsiTheme="minorEastAsia" w:eastAsiaTheme="minorEastAsia" w:cstheme="minorEastAsia"/>
          <w:b/>
          <w:bCs/>
          <w:sz w:val="28"/>
          <w:szCs w:val="28"/>
          <w:highlight w:val="none"/>
          <w:lang w:val="en-US" w:eastAsia="zh-CN"/>
        </w:rPr>
      </w:pPr>
    </w:p>
    <w:p w14:paraId="527DD529">
      <w:pPr>
        <w:keepNext w:val="0"/>
        <w:keepLines w:val="0"/>
        <w:pageBreakBefore w:val="0"/>
        <w:widowControl w:val="0"/>
        <w:kinsoku/>
        <w:wordWrap/>
        <w:overflowPunct w:val="0"/>
        <w:topLinePunct/>
        <w:autoSpaceDE/>
        <w:autoSpaceDN w:val="0"/>
        <w:bidi w:val="0"/>
        <w:adjustRightInd w:val="0"/>
        <w:snapToGrid w:val="0"/>
        <w:spacing w:line="360" w:lineRule="auto"/>
        <w:ind w:firstLine="3092" w:firstLineChars="1100"/>
        <w:jc w:val="both"/>
        <w:textAlignment w:val="auto"/>
        <w:outlineLvl w:val="1"/>
        <w:rPr>
          <w:rFonts w:hint="eastAsia" w:ascii="宋体" w:hAnsi="宋体" w:eastAsia="宋体" w:cs="宋体"/>
          <w:b/>
          <w:snapToGrid w:val="0"/>
          <w:kern w:val="0"/>
          <w:sz w:val="28"/>
          <w:szCs w:val="28"/>
        </w:rPr>
      </w:pPr>
      <w:r>
        <w:rPr>
          <w:rFonts w:hint="eastAsia" w:asciiTheme="minorEastAsia" w:hAnsiTheme="minorEastAsia" w:eastAsiaTheme="minorEastAsia" w:cstheme="minorEastAsia"/>
          <w:b/>
          <w:bCs/>
          <w:sz w:val="28"/>
          <w:szCs w:val="28"/>
          <w:highlight w:val="none"/>
          <w:lang w:val="en-US" w:eastAsia="zh-CN"/>
        </w:rPr>
        <w:t>3、</w:t>
      </w:r>
      <w:r>
        <w:rPr>
          <w:rFonts w:hint="eastAsia" w:ascii="宋体" w:hAnsi="宋体" w:eastAsia="宋体" w:cs="宋体"/>
          <w:b/>
          <w:snapToGrid w:val="0"/>
          <w:kern w:val="0"/>
          <w:sz w:val="28"/>
          <w:szCs w:val="28"/>
        </w:rPr>
        <w:t>法定代表人授权委托书（格式）</w:t>
      </w:r>
    </w:p>
    <w:p w14:paraId="2B556F2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6F1A3FA8">
      <w:pPr>
        <w:tabs>
          <w:tab w:val="left" w:pos="4860"/>
        </w:tabs>
        <w:overflowPunct w:val="0"/>
        <w:topLinePunct/>
        <w:autoSpaceDN w:val="0"/>
        <w:adjustRightInd w:val="0"/>
        <w:snapToGrid w:val="0"/>
        <w:spacing w:line="480" w:lineRule="auto"/>
        <w:rPr>
          <w:rFonts w:hint="eastAsia" w:ascii="宋体" w:hAnsi="宋体" w:eastAsia="宋体" w:cs="宋体"/>
          <w:bCs/>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bCs/>
          <w:snapToGrid w:val="0"/>
          <w:kern w:val="0"/>
          <w:sz w:val="24"/>
          <w:szCs w:val="24"/>
        </w:rPr>
        <w:t>：</w:t>
      </w:r>
    </w:p>
    <w:p w14:paraId="205A8DF4">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本授权书声明：注册于</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住址）的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名称）负责人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（法定代表人姓名、职务）代表本公司（单位）授权在下面签字的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代表姓名、职务）为本公司（单位）的合法代理人，就贵方组织的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项目，项目编号：</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，以本单位名义处理一切与之有关的事务。</w:t>
      </w:r>
    </w:p>
    <w:p w14:paraId="445A0450">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本授权书于</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日签字生效，特此声明。</w:t>
      </w:r>
    </w:p>
    <w:p w14:paraId="2892383F">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p>
    <w:p w14:paraId="58DE68EB">
      <w:pPr>
        <w:widowControl/>
        <w:snapToGrid w:val="0"/>
        <w:spacing w:line="480" w:lineRule="auto"/>
        <w:jc w:val="center"/>
        <w:rPr>
          <w:rFonts w:hint="eastAsia" w:ascii="宋体" w:hAnsi="宋体" w:eastAsia="宋体" w:cs="宋体"/>
          <w:kern w:val="0"/>
          <w:sz w:val="24"/>
          <w:szCs w:val="24"/>
        </w:rPr>
      </w:pPr>
      <w:r>
        <w:rPr>
          <w:rFonts w:hint="eastAsia" w:ascii="宋体" w:hAnsi="宋体" w:eastAsia="宋体" w:cs="宋体"/>
          <w:spacing w:val="6"/>
          <w:kern w:val="0"/>
          <w:sz w:val="24"/>
          <w:szCs w:val="24"/>
        </w:rPr>
        <w:t>（</w:t>
      </w:r>
      <w:r>
        <w:rPr>
          <w:rFonts w:hint="eastAsia" w:ascii="宋体" w:hAnsi="宋体" w:eastAsia="宋体" w:cs="宋体"/>
          <w:spacing w:val="6"/>
          <w:kern w:val="0"/>
          <w:sz w:val="24"/>
          <w:szCs w:val="24"/>
          <w:lang w:eastAsia="zh-CN"/>
        </w:rPr>
        <w:t>供应商代表</w:t>
      </w:r>
      <w:r>
        <w:rPr>
          <w:rFonts w:hint="eastAsia" w:ascii="宋体" w:hAnsi="宋体" w:eastAsia="宋体" w:cs="宋体"/>
          <w:spacing w:val="6"/>
          <w:kern w:val="0"/>
          <w:sz w:val="24"/>
          <w:szCs w:val="24"/>
        </w:rPr>
        <w:t>身份证复印件正反面）</w:t>
      </w:r>
    </w:p>
    <w:p w14:paraId="69DDBBC9">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p>
    <w:p w14:paraId="5DE1D44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D497B4B">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265A985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013D21E5">
      <w:pPr>
        <w:overflowPunct w:val="0"/>
        <w:topLinePunct/>
        <w:autoSpaceDN w:val="0"/>
        <w:adjustRightInd w:val="0"/>
        <w:snapToGrid w:val="0"/>
        <w:spacing w:line="240" w:lineRule="auto"/>
        <w:ind w:firstLine="560" w:firstLineChars="200"/>
        <w:rPr>
          <w:rFonts w:hint="eastAsia" w:ascii="宋体" w:hAnsi="宋体" w:eastAsia="宋体" w:cs="宋体"/>
          <w:snapToGrid w:val="0"/>
          <w:kern w:val="0"/>
          <w:sz w:val="24"/>
          <w:szCs w:val="24"/>
        </w:rPr>
      </w:pPr>
      <w:r>
        <w:rPr>
          <w:rFonts w:hint="eastAsia" w:ascii="宋体" w:hAnsi="宋体" w:eastAsia="宋体" w:cs="宋体"/>
          <w:spacing w:val="20"/>
          <w:kern w:val="0"/>
          <w:sz w:val="24"/>
          <w:szCs w:val="24"/>
          <w:lang w:eastAsia="zh-CN"/>
        </w:rPr>
        <w:t>　　　　　　</w:t>
      </w:r>
      <w:r>
        <w:rPr>
          <w:rFonts w:hint="eastAsia" w:ascii="宋体" w:hAnsi="宋体" w:eastAsia="宋体" w:cs="宋体"/>
          <w:spacing w:val="20"/>
          <w:kern w:val="0"/>
          <w:sz w:val="24"/>
          <w:szCs w:val="24"/>
          <w:lang w:val="en-US" w:eastAsia="zh-CN"/>
        </w:rPr>
        <w:t xml:space="preserve">         </w:t>
      </w:r>
      <w:r>
        <w:rPr>
          <w:rFonts w:hint="eastAsia" w:ascii="宋体" w:hAnsi="宋体" w:eastAsia="宋体" w:cs="宋体"/>
          <w:spacing w:val="20"/>
          <w:kern w:val="0"/>
          <w:sz w:val="24"/>
          <w:szCs w:val="24"/>
        </w:rPr>
        <w:t>法定代表人</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签字</w:t>
      </w:r>
      <w:r>
        <w:rPr>
          <w:rFonts w:hint="eastAsia" w:ascii="宋体" w:hAnsi="宋体" w:cs="宋体"/>
          <w:snapToGrid w:val="0"/>
          <w:kern w:val="0"/>
          <w:sz w:val="24"/>
          <w:szCs w:val="24"/>
          <w:lang w:val="en-US" w:eastAsia="zh-CN"/>
        </w:rPr>
        <w:t>并盖章</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u w:val="single"/>
        </w:rPr>
        <w:t> </w:t>
      </w:r>
      <w:r>
        <w:rPr>
          <w:rFonts w:hint="eastAsia" w:ascii="宋体" w:hAnsi="宋体" w:eastAsia="宋体" w:cs="宋体"/>
          <w:spacing w:val="2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2A4DC414">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p>
    <w:p w14:paraId="4537E954">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253B2A60">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p>
    <w:p w14:paraId="537E291C">
      <w:pPr>
        <w:tabs>
          <w:tab w:val="left" w:pos="730"/>
        </w:tabs>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snapToGrid w:val="0"/>
          <w:kern w:val="0"/>
          <w:sz w:val="24"/>
          <w:szCs w:val="24"/>
          <w:u w:val="single"/>
        </w:rPr>
        <w:t xml:space="preserve">               </w:t>
      </w:r>
    </w:p>
    <w:p w14:paraId="0E2336B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622FEF7E">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1289E34E">
      <w:pPr>
        <w:widowControl/>
        <w:snapToGrid w:val="0"/>
        <w:spacing w:line="300" w:lineRule="auto"/>
        <w:ind w:firstLine="560" w:firstLineChars="200"/>
        <w:jc w:val="left"/>
        <w:rPr>
          <w:rFonts w:hint="eastAsia" w:ascii="宋体" w:hAnsi="宋体" w:eastAsia="宋体" w:cs="宋体"/>
          <w:spacing w:val="20"/>
          <w:kern w:val="0"/>
          <w:sz w:val="24"/>
          <w:szCs w:val="24"/>
        </w:rPr>
      </w:pPr>
      <w:r>
        <w:rPr>
          <w:rFonts w:hint="eastAsia" w:ascii="宋体" w:hAnsi="宋体" w:eastAsia="宋体" w:cs="宋体"/>
          <w:spacing w:val="20"/>
          <w:kern w:val="0"/>
          <w:sz w:val="24"/>
          <w:szCs w:val="24"/>
        </w:rPr>
        <w:t>除可填报项目外，对本格式的任何修改将被视为非实质性响应投标，从而导致该投标被拒绝。</w:t>
      </w:r>
    </w:p>
    <w:p w14:paraId="0C7A8D8E">
      <w:pPr>
        <w:spacing w:line="700" w:lineRule="exact"/>
        <w:ind w:firstLine="3660" w:firstLineChars="1525"/>
        <w:rPr>
          <w:rFonts w:hint="eastAsia" w:asciiTheme="minorEastAsia" w:hAnsiTheme="minorEastAsia" w:eastAsiaTheme="minorEastAsia" w:cstheme="minorEastAsia"/>
          <w:sz w:val="24"/>
          <w:highlight w:val="none"/>
        </w:rPr>
      </w:pPr>
    </w:p>
    <w:p w14:paraId="0C03DB7E">
      <w:pPr>
        <w:snapToGrid w:val="0"/>
        <w:spacing w:line="360" w:lineRule="auto"/>
        <w:jc w:val="both"/>
        <w:rPr>
          <w:rFonts w:hint="eastAsia" w:asciiTheme="minorEastAsia" w:hAnsiTheme="minorEastAsia" w:eastAsiaTheme="minorEastAsia" w:cstheme="minorEastAsia"/>
          <w:b/>
          <w:color w:val="000000"/>
          <w:kern w:val="0"/>
          <w:sz w:val="28"/>
          <w:szCs w:val="36"/>
          <w:lang w:val="en-US" w:eastAsia="zh-CN"/>
        </w:rPr>
      </w:pPr>
    </w:p>
    <w:p w14:paraId="26F2B483">
      <w:pPr>
        <w:snapToGrid w:val="0"/>
        <w:spacing w:line="360" w:lineRule="auto"/>
        <w:jc w:val="both"/>
        <w:rPr>
          <w:rFonts w:hint="eastAsia" w:asciiTheme="minorEastAsia" w:hAnsiTheme="minorEastAsia" w:eastAsiaTheme="minorEastAsia" w:cstheme="minorEastAsia"/>
          <w:b/>
          <w:color w:val="000000"/>
          <w:kern w:val="0"/>
          <w:sz w:val="28"/>
          <w:szCs w:val="36"/>
          <w:lang w:val="en-US" w:eastAsia="zh-CN"/>
        </w:rPr>
      </w:pPr>
    </w:p>
    <w:p w14:paraId="286EFE28">
      <w:pPr>
        <w:snapToGrid w:val="0"/>
        <w:spacing w:line="360" w:lineRule="auto"/>
        <w:jc w:val="center"/>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b/>
          <w:color w:val="000000"/>
          <w:kern w:val="0"/>
          <w:sz w:val="28"/>
          <w:szCs w:val="36"/>
          <w:lang w:val="en-US" w:eastAsia="zh-CN"/>
        </w:rPr>
        <w:t>4、</w:t>
      </w:r>
      <w:r>
        <w:rPr>
          <w:rFonts w:hint="eastAsia" w:asciiTheme="minorEastAsia" w:hAnsiTheme="minorEastAsia" w:eastAsiaTheme="minorEastAsia" w:cstheme="minorEastAsia"/>
          <w:b/>
          <w:color w:val="000000"/>
          <w:kern w:val="0"/>
          <w:sz w:val="28"/>
          <w:szCs w:val="36"/>
        </w:rPr>
        <w:t>供应商具有</w:t>
      </w:r>
      <w:r>
        <w:rPr>
          <w:rFonts w:hint="eastAsia" w:asciiTheme="minorEastAsia" w:hAnsiTheme="minorEastAsia" w:eastAsiaTheme="minorEastAsia" w:cstheme="minorEastAsia"/>
          <w:b/>
          <w:sz w:val="28"/>
          <w:szCs w:val="36"/>
        </w:rPr>
        <w:t>独立承担民事责任的能力的承诺函</w:t>
      </w:r>
    </w:p>
    <w:p w14:paraId="2B14BD67">
      <w:pPr>
        <w:spacing w:line="360" w:lineRule="auto"/>
        <w:ind w:firstLine="480"/>
        <w:rPr>
          <w:rFonts w:hint="eastAsia" w:asciiTheme="minorEastAsia" w:hAnsiTheme="minorEastAsia" w:eastAsiaTheme="minorEastAsia" w:cstheme="minorEastAsia"/>
          <w:sz w:val="24"/>
          <w:szCs w:val="32"/>
          <w:u w:val="single"/>
        </w:rPr>
      </w:pPr>
    </w:p>
    <w:p w14:paraId="50824C65">
      <w:pPr>
        <w:spacing w:line="360" w:lineRule="auto"/>
        <w:ind w:firstLine="48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 xml:space="preserve">  采购代理机构名称  ：</w:t>
      </w:r>
    </w:p>
    <w:p w14:paraId="688D4651">
      <w:pPr>
        <w:widowControl/>
        <w:snapToGrid w:val="0"/>
        <w:spacing w:line="360" w:lineRule="auto"/>
        <w:ind w:firstLine="480"/>
        <w:rPr>
          <w:rFonts w:hint="eastAsia" w:asciiTheme="minorEastAsia" w:hAnsiTheme="minorEastAsia" w:eastAsiaTheme="minorEastAsia" w:cstheme="minorEastAsia"/>
          <w:sz w:val="24"/>
          <w:szCs w:val="32"/>
        </w:rPr>
      </w:pPr>
    </w:p>
    <w:p w14:paraId="41D34772">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本供应商现参与贵公司组织的</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u w:val="single"/>
          <w14:textFill>
            <w14:solidFill>
              <w14:schemeClr w14:val="tx1"/>
            </w14:solidFill>
          </w14:textFill>
        </w:rPr>
        <w:t xml:space="preserve"> </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u w:val="none"/>
          <w:lang w:val="en-US" w:eastAsia="zh-CN"/>
        </w:rPr>
        <w:t>项目</w:t>
      </w:r>
      <w:r>
        <w:rPr>
          <w:rFonts w:hint="eastAsia" w:cs="宋体"/>
          <w:sz w:val="24"/>
          <w:szCs w:val="24"/>
        </w:rPr>
        <w:t>（项目编号：</w:t>
      </w:r>
      <w:r>
        <w:rPr>
          <w:rFonts w:hint="eastAsia" w:cs="宋体"/>
          <w:sz w:val="24"/>
          <w:szCs w:val="24"/>
          <w:u w:val="single"/>
        </w:rPr>
        <w:t xml:space="preserve">                    </w:t>
      </w:r>
      <w:r>
        <w:rPr>
          <w:rFonts w:hint="eastAsia" w:cs="宋体"/>
          <w:sz w:val="24"/>
          <w:szCs w:val="24"/>
        </w:rPr>
        <w:t>）</w:t>
      </w:r>
      <w:r>
        <w:rPr>
          <w:rFonts w:hint="eastAsia" w:asciiTheme="minorEastAsia" w:hAnsiTheme="minorEastAsia" w:eastAsiaTheme="minorEastAsia" w:cstheme="minorEastAsia"/>
          <w:sz w:val="24"/>
          <w:szCs w:val="32"/>
        </w:rPr>
        <w:t>的采购活动。依据采购文件（招标、谈判、磋商）相关规定，现郑重承诺：我方具有有效的营业执照或事业单位法人证书或自然人身份证明或其他非企业组织证明文件及有效的开户许可证，能独立承担民事责任的能力。</w:t>
      </w:r>
    </w:p>
    <w:p w14:paraId="54FC57EF">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基本信息如下：</w:t>
      </w:r>
    </w:p>
    <w:p w14:paraId="0565FF25">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名称为：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，统一社会信用代码为：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；法定代表人（负责人）为：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 ；营业期限为: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w:t>
      </w:r>
    </w:p>
    <w:p w14:paraId="7AB17F5B">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以上承诺信息如有虚假或隐瞒，我方愿意承担一切后果，并不再寻求任何旨在减轻或免除</w:t>
      </w:r>
      <w:r>
        <w:rPr>
          <w:rFonts w:hint="eastAsia" w:asciiTheme="minorEastAsia" w:hAnsiTheme="minorEastAsia" w:eastAsiaTheme="minorEastAsia" w:cstheme="minorEastAsia"/>
          <w:color w:val="000000" w:themeColor="text1"/>
          <w:sz w:val="24"/>
          <w:szCs w:val="32"/>
          <w14:textFill>
            <w14:solidFill>
              <w14:schemeClr w14:val="tx1"/>
            </w14:solidFill>
          </w14:textFill>
        </w:rPr>
        <w:t>法律</w:t>
      </w:r>
      <w:r>
        <w:rPr>
          <w:rFonts w:hint="eastAsia" w:asciiTheme="minorEastAsia" w:hAnsiTheme="minorEastAsia" w:eastAsiaTheme="minorEastAsia" w:cstheme="minorEastAsia"/>
          <w:sz w:val="24"/>
          <w:szCs w:val="32"/>
        </w:rPr>
        <w:t xml:space="preserve">责任的辩解。 </w:t>
      </w:r>
    </w:p>
    <w:p w14:paraId="12B010C1">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特此承诺。</w:t>
      </w:r>
    </w:p>
    <w:p w14:paraId="4BC64863">
      <w:pPr>
        <w:widowControl/>
        <w:snapToGrid w:val="0"/>
        <w:spacing w:line="360" w:lineRule="auto"/>
        <w:ind w:firstLine="480"/>
        <w:rPr>
          <w:rFonts w:hint="eastAsia" w:asciiTheme="minorEastAsia" w:hAnsiTheme="minorEastAsia" w:eastAsiaTheme="minorEastAsia" w:cstheme="minorEastAsia"/>
          <w:sz w:val="24"/>
          <w:szCs w:val="32"/>
        </w:rPr>
      </w:pPr>
    </w:p>
    <w:p w14:paraId="69983CE0">
      <w:pPr>
        <w:widowControl/>
        <w:snapToGrid w:val="0"/>
        <w:spacing w:line="360" w:lineRule="auto"/>
        <w:ind w:firstLine="480"/>
        <w:rPr>
          <w:rFonts w:hint="eastAsia" w:asciiTheme="minorEastAsia" w:hAnsiTheme="minorEastAsia" w:eastAsiaTheme="minorEastAsia" w:cstheme="minorEastAsia"/>
          <w:sz w:val="24"/>
          <w:szCs w:val="32"/>
        </w:rPr>
      </w:pPr>
    </w:p>
    <w:p w14:paraId="64480C0F">
      <w:pPr>
        <w:snapToGrid w:val="0"/>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供应商名称：</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（盖章）</w:t>
      </w:r>
    </w:p>
    <w:p w14:paraId="19255439">
      <w:pPr>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法定代表人（负责人）：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（签字或盖章）  </w:t>
      </w:r>
    </w:p>
    <w:p w14:paraId="729AD437">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日      期：</w:t>
      </w:r>
    </w:p>
    <w:p w14:paraId="5C39656D">
      <w:pPr>
        <w:widowControl/>
        <w:snapToGrid w:val="0"/>
        <w:ind w:firstLine="480"/>
        <w:rPr>
          <w:color w:val="000000"/>
          <w:kern w:val="0"/>
        </w:rPr>
      </w:pPr>
    </w:p>
    <w:p w14:paraId="45A95E68">
      <w:pPr>
        <w:spacing w:line="360" w:lineRule="auto"/>
        <w:ind w:firstLine="0" w:firstLineChars="0"/>
        <w:jc w:val="center"/>
        <w:rPr>
          <w:rFonts w:hint="eastAsia"/>
          <w:color w:val="000000"/>
          <w:kern w:val="0"/>
        </w:rPr>
      </w:pPr>
      <w:r>
        <w:rPr>
          <w:rFonts w:hint="eastAsia"/>
          <w:color w:val="000000"/>
          <w:kern w:val="0"/>
        </w:rPr>
        <w:br w:type="page"/>
      </w:r>
    </w:p>
    <w:p w14:paraId="489F1AC6">
      <w:pPr>
        <w:spacing w:line="360" w:lineRule="auto"/>
        <w:ind w:firstLine="0" w:firstLineChars="0"/>
        <w:jc w:val="center"/>
        <w:rPr>
          <w:rFonts w:hint="eastAsia"/>
          <w:color w:val="000000"/>
          <w:kern w:val="0"/>
        </w:rPr>
      </w:pPr>
    </w:p>
    <w:p w14:paraId="6778484D">
      <w:pPr>
        <w:spacing w:line="360" w:lineRule="auto"/>
        <w:ind w:firstLine="0" w:firstLineChars="0"/>
        <w:jc w:val="center"/>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b/>
          <w:color w:val="000000"/>
          <w:kern w:val="0"/>
          <w:sz w:val="28"/>
          <w:szCs w:val="36"/>
          <w:lang w:val="en-US" w:eastAsia="zh-CN"/>
        </w:rPr>
        <w:t>5、</w:t>
      </w:r>
      <w:r>
        <w:rPr>
          <w:rFonts w:hint="eastAsia" w:asciiTheme="minorEastAsia" w:hAnsiTheme="minorEastAsia" w:eastAsiaTheme="minorEastAsia" w:cstheme="minorEastAsia"/>
          <w:b/>
          <w:bCs/>
          <w:color w:val="000000"/>
          <w:kern w:val="0"/>
          <w:sz w:val="28"/>
          <w:szCs w:val="36"/>
        </w:rPr>
        <w:t>供</w:t>
      </w:r>
      <w:r>
        <w:rPr>
          <w:rFonts w:hint="eastAsia" w:asciiTheme="minorEastAsia" w:hAnsiTheme="minorEastAsia" w:eastAsiaTheme="minorEastAsia" w:cstheme="minorEastAsia"/>
          <w:b/>
          <w:color w:val="000000"/>
          <w:kern w:val="0"/>
          <w:sz w:val="28"/>
          <w:szCs w:val="36"/>
        </w:rPr>
        <w:t>应商具有良好的商业信誉和</w:t>
      </w:r>
      <w:r>
        <w:rPr>
          <w:rFonts w:hint="eastAsia" w:asciiTheme="minorEastAsia" w:hAnsiTheme="minorEastAsia" w:eastAsiaTheme="minorEastAsia" w:cstheme="minorEastAsia"/>
          <w:b/>
          <w:sz w:val="28"/>
          <w:szCs w:val="36"/>
        </w:rPr>
        <w:t>健全的财务会计制度的承诺函</w:t>
      </w:r>
    </w:p>
    <w:p w14:paraId="7456B381">
      <w:pPr>
        <w:spacing w:line="360" w:lineRule="auto"/>
        <w:ind w:firstLine="480"/>
        <w:rPr>
          <w:rFonts w:hint="eastAsia" w:asciiTheme="minorEastAsia" w:hAnsiTheme="minorEastAsia" w:eastAsiaTheme="minorEastAsia" w:cstheme="minorEastAsia"/>
          <w:sz w:val="24"/>
          <w:szCs w:val="32"/>
          <w:u w:val="single"/>
        </w:rPr>
      </w:pPr>
    </w:p>
    <w:p w14:paraId="3DB3237D">
      <w:pPr>
        <w:spacing w:line="360" w:lineRule="auto"/>
        <w:ind w:firstLine="48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 xml:space="preserve">  采购代理机构名称  ：</w:t>
      </w:r>
    </w:p>
    <w:p w14:paraId="6D35AF38">
      <w:pPr>
        <w:widowControl/>
        <w:snapToGrid w:val="0"/>
        <w:spacing w:line="360" w:lineRule="auto"/>
        <w:ind w:firstLine="480"/>
        <w:rPr>
          <w:rFonts w:hint="eastAsia" w:asciiTheme="minorEastAsia" w:hAnsiTheme="minorEastAsia" w:eastAsiaTheme="minorEastAsia" w:cstheme="minorEastAsia"/>
          <w:sz w:val="24"/>
          <w:szCs w:val="32"/>
        </w:rPr>
      </w:pPr>
    </w:p>
    <w:p w14:paraId="1CD62F1C">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本供应商现参与贵公司组织的</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color w:val="000000" w:themeColor="text1"/>
          <w:sz w:val="24"/>
          <w:szCs w:val="32"/>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项目</w:t>
      </w:r>
      <w:r>
        <w:rPr>
          <w:rFonts w:hint="eastAsia" w:cs="宋体"/>
          <w:sz w:val="24"/>
          <w:szCs w:val="24"/>
        </w:rPr>
        <w:t>（项目编号：</w:t>
      </w:r>
      <w:r>
        <w:rPr>
          <w:rFonts w:hint="eastAsia" w:cs="宋体"/>
          <w:sz w:val="24"/>
          <w:szCs w:val="24"/>
          <w:u w:val="single"/>
        </w:rPr>
        <w:t xml:space="preserve">                    </w:t>
      </w:r>
      <w:r>
        <w:rPr>
          <w:rFonts w:hint="eastAsia" w:cs="宋体"/>
          <w:sz w:val="24"/>
          <w:szCs w:val="24"/>
        </w:rPr>
        <w:t>）</w:t>
      </w:r>
      <w:r>
        <w:rPr>
          <w:rFonts w:hint="eastAsia" w:asciiTheme="minorEastAsia" w:hAnsiTheme="minorEastAsia" w:eastAsiaTheme="minorEastAsia" w:cstheme="minorEastAsia"/>
          <w:sz w:val="24"/>
          <w:szCs w:val="32"/>
        </w:rPr>
        <w:t>的采购活动。依据采购文件（招标、谈判、磋商）相关规定，现郑重承诺：我方具有通过具备审计资格的第三方出具的合格且有效的财务审计报告或在基本户开户银行出具的无不良记录资信证明等文件。商业信誉良好，财务制度健全。</w:t>
      </w:r>
    </w:p>
    <w:p w14:paraId="2C119826">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以上承诺信息如有虚假或隐瞒，我方愿意承担一切后果，并不再寻求任何旨在减轻或免除法律责任的辩解。 </w:t>
      </w:r>
    </w:p>
    <w:p w14:paraId="2DC61C84">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特此承诺。</w:t>
      </w:r>
    </w:p>
    <w:p w14:paraId="0A11B085">
      <w:pPr>
        <w:widowControl/>
        <w:snapToGrid w:val="0"/>
        <w:spacing w:line="360" w:lineRule="auto"/>
        <w:ind w:firstLine="480"/>
        <w:rPr>
          <w:rFonts w:hint="eastAsia" w:asciiTheme="minorEastAsia" w:hAnsiTheme="minorEastAsia" w:eastAsiaTheme="minorEastAsia" w:cstheme="minorEastAsia"/>
          <w:sz w:val="24"/>
          <w:szCs w:val="32"/>
        </w:rPr>
      </w:pPr>
    </w:p>
    <w:p w14:paraId="2D9AEEB7">
      <w:pPr>
        <w:widowControl/>
        <w:snapToGrid w:val="0"/>
        <w:spacing w:line="360" w:lineRule="auto"/>
        <w:ind w:firstLine="480"/>
        <w:rPr>
          <w:rFonts w:hint="eastAsia" w:asciiTheme="minorEastAsia" w:hAnsiTheme="minorEastAsia" w:eastAsiaTheme="minorEastAsia" w:cstheme="minorEastAsia"/>
          <w:sz w:val="24"/>
          <w:szCs w:val="32"/>
        </w:rPr>
      </w:pPr>
    </w:p>
    <w:p w14:paraId="7F6B24D9">
      <w:pPr>
        <w:snapToGrid w:val="0"/>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供应商名称：</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（盖章）</w:t>
      </w:r>
    </w:p>
    <w:p w14:paraId="6EF8D3B0">
      <w:pPr>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法定代表人（负责人）：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（签字或盖章）  </w:t>
      </w:r>
    </w:p>
    <w:p w14:paraId="21F3FC50">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日      期：</w:t>
      </w:r>
    </w:p>
    <w:p w14:paraId="5BA5835D">
      <w:pPr>
        <w:ind w:firstLine="0" w:firstLineChars="0"/>
        <w:jc w:val="center"/>
      </w:pPr>
      <w:r>
        <w:br w:type="page"/>
      </w:r>
    </w:p>
    <w:p w14:paraId="7F0EE1F4">
      <w:pPr>
        <w:ind w:firstLine="0" w:firstLineChars="0"/>
        <w:jc w:val="center"/>
      </w:pPr>
    </w:p>
    <w:p w14:paraId="20CF8F36">
      <w:pPr>
        <w:ind w:firstLine="0" w:firstLineChars="0"/>
        <w:jc w:val="center"/>
        <w:rPr>
          <w:rFonts w:hint="eastAsia" w:cs="宋体"/>
          <w:b/>
          <w:bCs/>
          <w:color w:val="000000"/>
          <w:kern w:val="0"/>
          <w:sz w:val="28"/>
          <w:szCs w:val="36"/>
          <w:lang w:val="en-US" w:eastAsia="zh-CN"/>
        </w:rPr>
      </w:pPr>
    </w:p>
    <w:p w14:paraId="52668A10">
      <w:pPr>
        <w:ind w:firstLine="0" w:firstLineChars="0"/>
        <w:jc w:val="center"/>
        <w:rPr>
          <w:rFonts w:hint="eastAsia" w:cs="宋体"/>
          <w:b/>
          <w:color w:val="000000"/>
          <w:kern w:val="0"/>
        </w:rPr>
      </w:pPr>
      <w:r>
        <w:rPr>
          <w:rFonts w:hint="eastAsia" w:cs="宋体"/>
          <w:b/>
          <w:bCs/>
          <w:color w:val="000000"/>
          <w:kern w:val="0"/>
          <w:sz w:val="28"/>
          <w:szCs w:val="36"/>
          <w:lang w:val="en-US" w:eastAsia="zh-CN"/>
        </w:rPr>
        <w:t>6、</w:t>
      </w:r>
      <w:r>
        <w:rPr>
          <w:rFonts w:hint="eastAsia" w:cs="宋体"/>
          <w:b/>
          <w:bCs/>
          <w:color w:val="000000"/>
          <w:kern w:val="0"/>
          <w:sz w:val="28"/>
          <w:szCs w:val="36"/>
        </w:rPr>
        <w:t>供应商依法缴纳税收和社会保障资金的承诺函</w:t>
      </w:r>
    </w:p>
    <w:p w14:paraId="20087AB7">
      <w:pPr>
        <w:ind w:firstLine="480"/>
        <w:rPr>
          <w:rFonts w:hint="eastAsia"/>
        </w:rPr>
      </w:pPr>
    </w:p>
    <w:p w14:paraId="309181AB">
      <w:pPr>
        <w:spacing w:line="360" w:lineRule="auto"/>
        <w:ind w:firstLine="480"/>
        <w:rPr>
          <w:rFonts w:hint="eastAsia" w:cs="宋体"/>
          <w:sz w:val="24"/>
          <w:szCs w:val="24"/>
          <w:u w:val="single"/>
        </w:rPr>
      </w:pPr>
      <w:r>
        <w:rPr>
          <w:rFonts w:hint="eastAsia" w:cs="宋体"/>
          <w:sz w:val="24"/>
          <w:szCs w:val="24"/>
          <w:u w:val="single"/>
        </w:rPr>
        <w:t xml:space="preserve">  采购代理机构名称  ：</w:t>
      </w:r>
    </w:p>
    <w:p w14:paraId="38B5995C">
      <w:pPr>
        <w:widowControl/>
        <w:snapToGrid w:val="0"/>
        <w:spacing w:line="360" w:lineRule="auto"/>
        <w:ind w:firstLine="480"/>
        <w:rPr>
          <w:rFonts w:hint="eastAsia" w:cs="宋体"/>
          <w:sz w:val="24"/>
          <w:szCs w:val="24"/>
        </w:rPr>
      </w:pPr>
    </w:p>
    <w:p w14:paraId="21DFF540">
      <w:pPr>
        <w:widowControl/>
        <w:snapToGrid w:val="0"/>
        <w:spacing w:line="360" w:lineRule="auto"/>
        <w:ind w:firstLine="480"/>
        <w:rPr>
          <w:rFonts w:hint="eastAsia" w:cs="宋体"/>
          <w:sz w:val="24"/>
          <w:szCs w:val="24"/>
        </w:rPr>
      </w:pPr>
      <w:r>
        <w:rPr>
          <w:rFonts w:hint="eastAsia" w:cs="宋体"/>
          <w:sz w:val="24"/>
          <w:szCs w:val="24"/>
        </w:rPr>
        <w:t>本供应商现参与贵公司组织的</w:t>
      </w:r>
      <w:r>
        <w:rPr>
          <w:rFonts w:hint="eastAsia" w:cs="宋体"/>
          <w:sz w:val="24"/>
          <w:szCs w:val="24"/>
          <w:u w:val="single"/>
        </w:rPr>
        <w:t xml:space="preserve">    </w:t>
      </w:r>
      <w:r>
        <w:rPr>
          <w:rFonts w:hint="eastAsia" w:cs="宋体"/>
          <w:color w:val="000000" w:themeColor="text1"/>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cs="宋体"/>
          <w:color w:val="000000" w:themeColor="text1"/>
          <w:sz w:val="24"/>
          <w:szCs w:val="24"/>
          <w:u w:val="single"/>
          <w14:textFill>
            <w14:solidFill>
              <w14:schemeClr w14:val="tx1"/>
            </w14:solidFill>
          </w14:textFill>
        </w:rPr>
        <w:t xml:space="preserve">       </w:t>
      </w:r>
      <w:r>
        <w:rPr>
          <w:rFonts w:hint="eastAsia" w:cs="宋体"/>
          <w:sz w:val="24"/>
          <w:szCs w:val="24"/>
          <w:u w:val="single"/>
        </w:rPr>
        <w:t xml:space="preserve">               </w:t>
      </w:r>
      <w:r>
        <w:rPr>
          <w:rFonts w:hint="eastAsia" w:cs="宋体"/>
          <w:sz w:val="24"/>
          <w:szCs w:val="24"/>
        </w:rPr>
        <w:t>项目（项目编号：</w:t>
      </w:r>
      <w:r>
        <w:rPr>
          <w:rFonts w:hint="eastAsia" w:cs="宋体"/>
          <w:sz w:val="24"/>
          <w:szCs w:val="24"/>
          <w:u w:val="single"/>
        </w:rPr>
        <w:t xml:space="preserve">                    </w:t>
      </w:r>
      <w:r>
        <w:rPr>
          <w:rFonts w:hint="eastAsia" w:cs="宋体"/>
          <w:sz w:val="24"/>
          <w:szCs w:val="24"/>
        </w:rPr>
        <w:t>）的采购活动。依据采购文件（招标、谈判、磋商）相关规定，现郑重承诺：我方在参加本次采购活动</w:t>
      </w:r>
      <w:r>
        <w:rPr>
          <w:rFonts w:hint="eastAsia" w:cs="宋体"/>
          <w:color w:val="000000" w:themeColor="text1"/>
          <w:sz w:val="24"/>
          <w:szCs w:val="24"/>
          <w14:textFill>
            <w14:solidFill>
              <w14:schemeClr w14:val="tx1"/>
            </w14:solidFill>
          </w14:textFill>
        </w:rPr>
        <w:t>前一年内</w:t>
      </w:r>
      <w:r>
        <w:rPr>
          <w:rFonts w:hint="eastAsia" w:cs="宋体"/>
          <w:sz w:val="24"/>
          <w:szCs w:val="24"/>
        </w:rPr>
        <w:t>严格依法缴纳税收或依法享受国家免税优惠政策，并依法给单位职工缴纳社会保障金或</w:t>
      </w:r>
      <w:r>
        <w:rPr>
          <w:rFonts w:cs="宋体"/>
          <w:sz w:val="24"/>
          <w:szCs w:val="24"/>
        </w:rPr>
        <w:t>依法不需要缴纳社会保障资金的证明文件</w:t>
      </w:r>
      <w:r>
        <w:rPr>
          <w:rFonts w:hint="eastAsia" w:cs="宋体"/>
          <w:sz w:val="24"/>
          <w:szCs w:val="24"/>
        </w:rPr>
        <w:t>。</w:t>
      </w:r>
    </w:p>
    <w:p w14:paraId="1C75F37B">
      <w:pPr>
        <w:widowControl/>
        <w:snapToGrid w:val="0"/>
        <w:spacing w:line="360" w:lineRule="auto"/>
        <w:ind w:firstLine="480"/>
        <w:rPr>
          <w:rFonts w:hint="eastAsia" w:cs="宋体"/>
          <w:sz w:val="24"/>
          <w:szCs w:val="24"/>
        </w:rPr>
      </w:pPr>
      <w:r>
        <w:rPr>
          <w:rFonts w:hint="eastAsia" w:cs="宋体"/>
          <w:sz w:val="24"/>
          <w:szCs w:val="24"/>
        </w:rPr>
        <w:t>以上承诺信息如有虚假或隐瞒，我方愿意承担一切后果，并不再寻求任何旨在减轻或免除</w:t>
      </w:r>
      <w:r>
        <w:rPr>
          <w:rFonts w:hint="eastAsia" w:cs="宋体"/>
          <w:color w:val="000000" w:themeColor="text1"/>
          <w:sz w:val="24"/>
          <w:szCs w:val="24"/>
          <w14:textFill>
            <w14:solidFill>
              <w14:schemeClr w14:val="tx1"/>
            </w14:solidFill>
          </w14:textFill>
        </w:rPr>
        <w:t>法律</w:t>
      </w:r>
      <w:r>
        <w:rPr>
          <w:rFonts w:hint="eastAsia" w:cs="宋体"/>
          <w:sz w:val="24"/>
          <w:szCs w:val="24"/>
        </w:rPr>
        <w:t xml:space="preserve">责任的辩解。 </w:t>
      </w:r>
    </w:p>
    <w:p w14:paraId="5496E031">
      <w:pPr>
        <w:widowControl/>
        <w:snapToGrid w:val="0"/>
        <w:spacing w:line="360" w:lineRule="auto"/>
        <w:ind w:firstLine="480"/>
        <w:rPr>
          <w:rFonts w:hint="eastAsia"/>
          <w:sz w:val="24"/>
          <w:szCs w:val="24"/>
        </w:rPr>
      </w:pPr>
      <w:r>
        <w:rPr>
          <w:rFonts w:hint="eastAsia" w:cs="宋体"/>
          <w:sz w:val="24"/>
          <w:szCs w:val="24"/>
        </w:rPr>
        <w:t>特此承诺。</w:t>
      </w:r>
    </w:p>
    <w:p w14:paraId="4B04E925">
      <w:pPr>
        <w:widowControl/>
        <w:snapToGrid w:val="0"/>
        <w:spacing w:line="360" w:lineRule="auto"/>
        <w:ind w:firstLine="480"/>
        <w:rPr>
          <w:rFonts w:hint="eastAsia" w:cs="宋体"/>
          <w:sz w:val="24"/>
          <w:szCs w:val="24"/>
        </w:rPr>
      </w:pPr>
    </w:p>
    <w:p w14:paraId="4558DF24">
      <w:pPr>
        <w:widowControl/>
        <w:snapToGrid w:val="0"/>
        <w:spacing w:line="360" w:lineRule="auto"/>
        <w:ind w:firstLine="480"/>
        <w:rPr>
          <w:rFonts w:hint="eastAsia" w:cs="宋体"/>
          <w:sz w:val="24"/>
          <w:szCs w:val="24"/>
        </w:rPr>
      </w:pPr>
    </w:p>
    <w:p w14:paraId="7CA7498A">
      <w:pPr>
        <w:snapToGrid w:val="0"/>
        <w:spacing w:line="360" w:lineRule="auto"/>
        <w:ind w:firstLine="3120" w:firstLineChars="1300"/>
        <w:rPr>
          <w:rFonts w:hint="eastAsia" w:cs="宋体"/>
          <w:sz w:val="24"/>
          <w:szCs w:val="24"/>
        </w:rPr>
      </w:pPr>
      <w:r>
        <w:rPr>
          <w:rFonts w:hint="eastAsia" w:cs="宋体"/>
          <w:sz w:val="24"/>
          <w:szCs w:val="24"/>
        </w:rPr>
        <w:t>供应商名称：</w:t>
      </w:r>
      <w:r>
        <w:rPr>
          <w:rFonts w:hint="eastAsia" w:cs="宋体"/>
          <w:sz w:val="24"/>
          <w:szCs w:val="24"/>
          <w:u w:val="single"/>
        </w:rPr>
        <w:t xml:space="preserve">                   </w:t>
      </w:r>
      <w:r>
        <w:rPr>
          <w:rFonts w:hint="eastAsia" w:cs="宋体"/>
          <w:sz w:val="24"/>
          <w:szCs w:val="24"/>
        </w:rPr>
        <w:t>（盖章）</w:t>
      </w:r>
    </w:p>
    <w:p w14:paraId="7227EE90">
      <w:pPr>
        <w:snapToGrid w:val="0"/>
        <w:spacing w:line="360" w:lineRule="auto"/>
        <w:ind w:firstLine="480"/>
        <w:rPr>
          <w:rFonts w:hint="eastAsia" w:cs="宋体"/>
          <w:sz w:val="24"/>
          <w:szCs w:val="24"/>
        </w:rPr>
      </w:pPr>
      <w:r>
        <w:rPr>
          <w:rFonts w:hint="eastAsia" w:cs="宋体"/>
          <w:sz w:val="24"/>
          <w:szCs w:val="24"/>
        </w:rPr>
        <w:t xml:space="preserve">                      法定代表人（负责人）：</w:t>
      </w:r>
      <w:r>
        <w:rPr>
          <w:rFonts w:hint="eastAsia" w:cs="宋体"/>
          <w:sz w:val="24"/>
          <w:szCs w:val="24"/>
          <w:u w:val="single"/>
        </w:rPr>
        <w:t xml:space="preserve">             </w:t>
      </w:r>
      <w:r>
        <w:rPr>
          <w:rFonts w:hint="eastAsia" w:cs="宋体"/>
          <w:sz w:val="24"/>
          <w:szCs w:val="24"/>
        </w:rPr>
        <w:t xml:space="preserve">（签字或盖章）  </w:t>
      </w:r>
    </w:p>
    <w:p w14:paraId="29C3C840">
      <w:pPr>
        <w:spacing w:line="360" w:lineRule="auto"/>
        <w:ind w:firstLine="480"/>
        <w:rPr>
          <w:rFonts w:cs="宋体"/>
          <w:sz w:val="24"/>
          <w:szCs w:val="24"/>
        </w:rPr>
      </w:pPr>
      <w:r>
        <w:rPr>
          <w:rFonts w:hint="eastAsia" w:cs="宋体"/>
          <w:sz w:val="24"/>
          <w:szCs w:val="24"/>
        </w:rPr>
        <w:t xml:space="preserve">                      日      期：</w:t>
      </w:r>
    </w:p>
    <w:p w14:paraId="12119FA5">
      <w:pPr>
        <w:widowControl/>
        <w:jc w:val="left"/>
        <w:rPr>
          <w:rFonts w:ascii="宋体" w:hAnsi="宋体" w:cs="宋体"/>
          <w:b/>
          <w:sz w:val="24"/>
        </w:rPr>
      </w:pPr>
      <w:r>
        <w:br w:type="page"/>
      </w:r>
    </w:p>
    <w:p w14:paraId="665F497C">
      <w:pPr>
        <w:pStyle w:val="3"/>
        <w:spacing w:before="0" w:after="0" w:line="360" w:lineRule="auto"/>
        <w:ind w:firstLine="843" w:firstLineChars="300"/>
        <w:jc w:val="center"/>
        <w:rPr>
          <w:rFonts w:hint="eastAsia" w:ascii="宋体" w:hAnsi="宋体" w:eastAsia="宋体" w:cs="宋体"/>
          <w:sz w:val="28"/>
          <w:szCs w:val="28"/>
          <w:lang w:val="en-US" w:eastAsia="zh-CN"/>
        </w:rPr>
      </w:pPr>
      <w:bookmarkStart w:id="107" w:name="_Toc114933978"/>
    </w:p>
    <w:p w14:paraId="5EB8FF3C">
      <w:pPr>
        <w:pStyle w:val="3"/>
        <w:spacing w:before="0" w:after="0" w:line="360" w:lineRule="auto"/>
        <w:ind w:firstLine="843" w:firstLineChars="300"/>
        <w:jc w:val="center"/>
        <w:rPr>
          <w:rFonts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、供应商履行合同能力的承诺（格式）</w:t>
      </w:r>
      <w:bookmarkEnd w:id="107"/>
    </w:p>
    <w:p w14:paraId="7AA4A284">
      <w:pPr>
        <w:pStyle w:val="221"/>
      </w:pPr>
    </w:p>
    <w:p w14:paraId="7B5E7615">
      <w:pPr>
        <w:keepNext/>
        <w:ind w:firstLine="48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采购代理机构名称  ：</w:t>
      </w:r>
    </w:p>
    <w:p w14:paraId="1805F7FD">
      <w:pPr>
        <w:pStyle w:val="49"/>
        <w:keepNext/>
        <w:ind w:firstLine="400"/>
        <w:rPr>
          <w:rFonts w:hint="eastAsia" w:asciiTheme="minorEastAsia" w:hAnsiTheme="minorEastAsia" w:eastAsiaTheme="minorEastAsia" w:cstheme="minorEastAsia"/>
          <w:sz w:val="24"/>
          <w:szCs w:val="24"/>
        </w:rPr>
      </w:pPr>
    </w:p>
    <w:p w14:paraId="00005C90">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本供应商现参与贵公司组织的</w:t>
      </w:r>
      <w:r>
        <w:rPr>
          <w:rFonts w:hint="eastAsia" w:asciiTheme="minorEastAsia" w:hAnsiTheme="minorEastAsia" w:eastAsiaTheme="minorEastAsia" w:cstheme="minorEastAsia"/>
          <w:sz w:val="24"/>
          <w:szCs w:val="24"/>
          <w:u w:val="single"/>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）的采购活动。依据采购文件（招标、谈判、磋商）相关规定，现郑重承诺：我方具备履行合同所必需的设备和专业技术能力。</w:t>
      </w:r>
    </w:p>
    <w:p w14:paraId="03B4390B">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以上承诺信息如有虚假或隐瞒，我方愿意承担一切后果，并不再寻求任何旨在减轻或免除法律责任的辩解。</w:t>
      </w:r>
    </w:p>
    <w:p w14:paraId="006BDACE">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71D99EAC">
      <w:pPr>
        <w:keepNext/>
        <w:ind w:firstLine="3369" w:firstLineChars="1404"/>
        <w:rPr>
          <w:rFonts w:hint="eastAsia" w:asciiTheme="minorEastAsia" w:hAnsiTheme="minorEastAsia" w:eastAsiaTheme="minorEastAsia" w:cstheme="minorEastAsia"/>
          <w:sz w:val="24"/>
          <w:szCs w:val="24"/>
        </w:rPr>
      </w:pPr>
    </w:p>
    <w:p w14:paraId="72081965">
      <w:pPr>
        <w:keepNext/>
        <w:ind w:firstLine="3369" w:firstLineChars="1404"/>
        <w:rPr>
          <w:rFonts w:hint="eastAsia" w:asciiTheme="minorEastAsia" w:hAnsiTheme="minorEastAsia" w:eastAsiaTheme="minorEastAsia" w:cstheme="minorEastAsia"/>
          <w:sz w:val="24"/>
          <w:szCs w:val="24"/>
        </w:rPr>
      </w:pPr>
    </w:p>
    <w:p w14:paraId="31A7F16B">
      <w:pPr>
        <w:keepNext/>
        <w:ind w:firstLine="3369" w:firstLineChars="1404"/>
        <w:rPr>
          <w:rFonts w:hint="eastAsia" w:asciiTheme="minorEastAsia" w:hAnsiTheme="minorEastAsia" w:eastAsiaTheme="minorEastAsia" w:cstheme="minorEastAsia"/>
          <w:sz w:val="24"/>
          <w:szCs w:val="24"/>
        </w:rPr>
      </w:pPr>
    </w:p>
    <w:p w14:paraId="2BEB78C1">
      <w:pPr>
        <w:pStyle w:val="49"/>
        <w:keepNext/>
        <w:ind w:firstLine="400"/>
        <w:rPr>
          <w:rFonts w:hint="eastAsia" w:asciiTheme="minorEastAsia" w:hAnsiTheme="minorEastAsia" w:eastAsiaTheme="minorEastAsia" w:cstheme="minorEastAsia"/>
          <w:sz w:val="24"/>
          <w:szCs w:val="24"/>
        </w:rPr>
      </w:pPr>
    </w:p>
    <w:p w14:paraId="715AD278">
      <w:pPr>
        <w:pStyle w:val="49"/>
        <w:keepNext/>
        <w:ind w:firstLine="400"/>
        <w:rPr>
          <w:rFonts w:hint="eastAsia" w:asciiTheme="minorEastAsia" w:hAnsiTheme="minorEastAsia" w:eastAsiaTheme="minorEastAsia" w:cstheme="minorEastAsia"/>
          <w:sz w:val="24"/>
          <w:szCs w:val="24"/>
        </w:rPr>
      </w:pPr>
    </w:p>
    <w:p w14:paraId="5B1C8243">
      <w:pPr>
        <w:keepNext/>
        <w:ind w:firstLine="3369" w:firstLineChars="1404"/>
        <w:rPr>
          <w:rFonts w:hint="eastAsia" w:asciiTheme="minorEastAsia" w:hAnsiTheme="minorEastAsia" w:eastAsiaTheme="minorEastAsia" w:cstheme="minorEastAsia"/>
          <w:sz w:val="24"/>
          <w:szCs w:val="24"/>
        </w:rPr>
      </w:pPr>
    </w:p>
    <w:p w14:paraId="468EB8A1">
      <w:pPr>
        <w:keepNext/>
        <w:ind w:firstLine="3369" w:firstLineChars="1404"/>
        <w:rPr>
          <w:rFonts w:hint="eastAsia" w:asciiTheme="minorEastAsia" w:hAnsiTheme="minorEastAsia" w:eastAsiaTheme="minorEastAsia" w:cstheme="minorEastAsia"/>
          <w:sz w:val="24"/>
          <w:szCs w:val="24"/>
        </w:rPr>
      </w:pPr>
    </w:p>
    <w:p w14:paraId="34524D8D">
      <w:pPr>
        <w:snapToGrid w:val="0"/>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14:paraId="2536B99D">
      <w:pPr>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（签字或盖章）  </w:t>
      </w:r>
    </w:p>
    <w:p w14:paraId="5204DCC6">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w:t>
      </w:r>
    </w:p>
    <w:p w14:paraId="6B0B53FE">
      <w:pPr>
        <w:pStyle w:val="221"/>
      </w:pPr>
    </w:p>
    <w:p w14:paraId="25C502CB">
      <w:pPr>
        <w:pStyle w:val="221"/>
      </w:pPr>
    </w:p>
    <w:p w14:paraId="4173F479">
      <w:pPr>
        <w:pStyle w:val="221"/>
      </w:pPr>
    </w:p>
    <w:p w14:paraId="23BF1635">
      <w:pPr>
        <w:pStyle w:val="221"/>
      </w:pPr>
    </w:p>
    <w:p w14:paraId="2B71D2EB">
      <w:pPr>
        <w:pStyle w:val="3"/>
        <w:spacing w:before="0" w:after="0" w:line="360" w:lineRule="auto"/>
        <w:ind w:firstLine="843" w:firstLineChars="300"/>
        <w:rPr>
          <w:rFonts w:hint="eastAsia" w:ascii="宋体" w:hAnsi="宋体" w:eastAsia="宋体" w:cs="宋体"/>
          <w:sz w:val="28"/>
          <w:szCs w:val="28"/>
          <w:lang w:val="en-US" w:eastAsia="zh-CN"/>
        </w:rPr>
      </w:pPr>
      <w:bookmarkStart w:id="108" w:name="_Toc114933976"/>
    </w:p>
    <w:p w14:paraId="77FFB73D">
      <w:pPr>
        <w:pStyle w:val="3"/>
        <w:spacing w:before="0" w:after="0" w:line="360" w:lineRule="auto"/>
        <w:ind w:firstLine="843" w:firstLineChars="300"/>
        <w:rPr>
          <w:rFonts w:hint="eastAsia" w:ascii="宋体" w:hAnsi="宋体" w:eastAsia="宋体" w:cs="宋体"/>
          <w:sz w:val="28"/>
          <w:szCs w:val="28"/>
          <w:lang w:val="en-US" w:eastAsia="zh-CN"/>
        </w:rPr>
      </w:pPr>
    </w:p>
    <w:p w14:paraId="0177E568">
      <w:pPr>
        <w:pStyle w:val="3"/>
        <w:spacing w:before="0" w:after="0" w:line="360" w:lineRule="auto"/>
        <w:ind w:firstLine="843" w:firstLineChars="300"/>
        <w:rPr>
          <w:rFonts w:hint="eastAsia" w:ascii="宋体" w:hAnsi="宋体" w:eastAsia="宋体" w:cs="宋体"/>
          <w:sz w:val="28"/>
          <w:szCs w:val="28"/>
          <w:lang w:val="en-US" w:eastAsia="zh-CN"/>
        </w:rPr>
      </w:pPr>
    </w:p>
    <w:p w14:paraId="2D6EB9B9">
      <w:pPr>
        <w:pStyle w:val="3"/>
        <w:spacing w:before="0" w:after="0" w:line="360" w:lineRule="auto"/>
        <w:ind w:firstLine="843" w:firstLineChars="300"/>
        <w:rPr>
          <w:rFonts w:hint="eastAsia" w:ascii="宋体" w:hAnsi="宋体" w:eastAsia="宋体" w:cs="宋体"/>
          <w:sz w:val="28"/>
          <w:szCs w:val="28"/>
          <w:lang w:val="en-US" w:eastAsia="zh-CN"/>
        </w:rPr>
      </w:pPr>
    </w:p>
    <w:p w14:paraId="13151816">
      <w:pPr>
        <w:pStyle w:val="3"/>
        <w:spacing w:before="0" w:after="0" w:line="360" w:lineRule="auto"/>
        <w:rPr>
          <w:rFonts w:hint="eastAsia" w:ascii="宋体" w:hAnsi="宋体" w:eastAsia="宋体" w:cs="宋体"/>
          <w:sz w:val="28"/>
          <w:szCs w:val="28"/>
          <w:lang w:val="en-US" w:eastAsia="zh-CN"/>
        </w:rPr>
      </w:pPr>
    </w:p>
    <w:p w14:paraId="011C4F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B1E93D5">
      <w:pPr>
        <w:pStyle w:val="3"/>
        <w:spacing w:before="0" w:after="0" w:line="360" w:lineRule="auto"/>
        <w:ind w:firstLine="843" w:firstLineChars="300"/>
        <w:jc w:val="center"/>
        <w:rPr>
          <w:rFonts w:hint="eastAsia" w:ascii="宋体" w:hAnsi="宋体" w:eastAsia="宋体" w:cs="宋体"/>
          <w:sz w:val="28"/>
          <w:szCs w:val="28"/>
          <w:lang w:val="en-US" w:eastAsia="zh-CN"/>
        </w:rPr>
      </w:pPr>
    </w:p>
    <w:p w14:paraId="7FD9BAB9">
      <w:pPr>
        <w:pStyle w:val="3"/>
        <w:spacing w:before="0" w:after="0" w:line="360" w:lineRule="auto"/>
        <w:ind w:firstLine="843" w:firstLineChars="300"/>
        <w:jc w:val="center"/>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w:t>
      </w:r>
      <w:bookmarkEnd w:id="108"/>
      <w:bookmarkStart w:id="109" w:name="_Toc114933977"/>
      <w:r>
        <w:rPr>
          <w:rFonts w:hint="eastAsia" w:ascii="宋体" w:hAnsi="宋体" w:eastAsia="宋体" w:cs="宋体"/>
          <w:sz w:val="28"/>
          <w:szCs w:val="28"/>
        </w:rPr>
        <w:t>供应商近三年无重大违法记录的承诺函（格式）</w:t>
      </w:r>
      <w:bookmarkEnd w:id="109"/>
    </w:p>
    <w:p w14:paraId="3540F85B">
      <w:pPr>
        <w:adjustRightInd w:val="0"/>
        <w:snapToGrid w:val="0"/>
        <w:spacing w:line="360" w:lineRule="auto"/>
        <w:ind w:right="629"/>
        <w:rPr>
          <w:rFonts w:ascii="宋体" w:hAnsi="宋体" w:cs="宋体"/>
          <w:b/>
          <w:sz w:val="28"/>
          <w:szCs w:val="21"/>
        </w:rPr>
      </w:pPr>
    </w:p>
    <w:p w14:paraId="5548B0F9">
      <w:pPr>
        <w:keepNext/>
        <w:ind w:firstLine="480"/>
        <w:rPr>
          <w:rFonts w:hint="eastAsia" w:cs="宋体"/>
          <w:u w:val="single"/>
        </w:rPr>
      </w:pPr>
      <w:r>
        <w:rPr>
          <w:rFonts w:hint="eastAsia" w:cs="宋体"/>
          <w:u w:val="single"/>
        </w:rPr>
        <w:t xml:space="preserve">  采购代理机构名称  ：</w:t>
      </w:r>
    </w:p>
    <w:p w14:paraId="4DD90217">
      <w:pPr>
        <w:pStyle w:val="286"/>
        <w:keepNext/>
        <w:snapToGrid w:val="0"/>
        <w:spacing w:line="520" w:lineRule="exact"/>
        <w:ind w:left="0" w:leftChars="0" w:firstLine="480" w:firstLineChars="200"/>
        <w:rPr>
          <w:rFonts w:hint="eastAsia" w:cs="宋体"/>
          <w:sz w:val="24"/>
          <w:szCs w:val="24"/>
        </w:rPr>
      </w:pPr>
      <w:r>
        <w:rPr>
          <w:rFonts w:hint="eastAsia" w:cs="宋体"/>
          <w:sz w:val="24"/>
          <w:szCs w:val="24"/>
        </w:rPr>
        <w:t>本供应商现参与贵公司组织的</w:t>
      </w:r>
      <w:r>
        <w:rPr>
          <w:rFonts w:hint="eastAsia" w:cs="宋体"/>
          <w:sz w:val="24"/>
          <w:szCs w:val="24"/>
          <w:u w:val="single"/>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cs="宋体"/>
          <w:sz w:val="24"/>
          <w:szCs w:val="24"/>
          <w:u w:val="single"/>
        </w:rPr>
        <w:t xml:space="preserve">      </w:t>
      </w:r>
      <w:r>
        <w:rPr>
          <w:rFonts w:hint="eastAsia" w:cs="宋体"/>
          <w:sz w:val="24"/>
          <w:szCs w:val="24"/>
        </w:rPr>
        <w:t>项目（项目编号：</w:t>
      </w:r>
      <w:r>
        <w:rPr>
          <w:rFonts w:hint="eastAsia" w:cs="宋体"/>
          <w:sz w:val="24"/>
          <w:szCs w:val="24"/>
          <w:u w:val="single"/>
        </w:rPr>
        <w:t xml:space="preserve">           </w:t>
      </w:r>
      <w:r>
        <w:rPr>
          <w:rFonts w:hint="eastAsia" w:cs="宋体"/>
          <w:sz w:val="24"/>
          <w:u w:val="single"/>
        </w:rPr>
        <w:t xml:space="preserve">  </w:t>
      </w:r>
      <w:r>
        <w:rPr>
          <w:rFonts w:hint="eastAsia" w:cs="宋体"/>
          <w:sz w:val="24"/>
          <w:szCs w:val="24"/>
          <w:u w:val="single"/>
        </w:rPr>
        <w:t xml:space="preserve">   </w:t>
      </w:r>
      <w:r>
        <w:rPr>
          <w:rFonts w:hint="eastAsia" w:cs="宋体"/>
          <w:sz w:val="24"/>
          <w:szCs w:val="24"/>
        </w:rPr>
        <w:t>）的采购活动。依据</w:t>
      </w:r>
      <w:r>
        <w:rPr>
          <w:rFonts w:hint="eastAsia" w:cs="宋体"/>
          <w:sz w:val="24"/>
        </w:rPr>
        <w:t>采购文件（招标、谈判、磋商）</w:t>
      </w:r>
      <w:r>
        <w:rPr>
          <w:rFonts w:hint="eastAsia" w:cs="宋体"/>
          <w:sz w:val="24"/>
          <w:szCs w:val="24"/>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cs="宋体"/>
          <w:sz w:val="24"/>
          <w:szCs w:val="24"/>
          <w:lang w:eastAsia="zh-CN"/>
        </w:rPr>
        <w:t>重大税收违法失信主体</w:t>
      </w:r>
      <w:r>
        <w:rPr>
          <w:rFonts w:hint="eastAsia" w:cs="宋体"/>
          <w:sz w:val="24"/>
          <w:szCs w:val="24"/>
        </w:rPr>
        <w:t>均为0记录；在中国政府采购网（http://www.ccgp.gov.cn）中的政府采购严重违法失信行为信息记录也为0记录。</w:t>
      </w:r>
    </w:p>
    <w:p w14:paraId="3E4013CD">
      <w:pPr>
        <w:pStyle w:val="286"/>
        <w:keepNext/>
        <w:snapToGrid w:val="0"/>
        <w:spacing w:line="520" w:lineRule="exact"/>
        <w:ind w:left="0" w:leftChars="0" w:firstLine="480" w:firstLineChars="200"/>
        <w:rPr>
          <w:rFonts w:hint="eastAsia" w:cs="宋体"/>
          <w:sz w:val="24"/>
        </w:rPr>
      </w:pPr>
      <w:r>
        <w:rPr>
          <w:rFonts w:hint="eastAsia" w:cs="宋体"/>
          <w:sz w:val="24"/>
        </w:rPr>
        <w:t>以上承诺信息如有虚假或隐瞒，我方愿意承担一切后果，并不再寻求任何旨在减轻或免除</w:t>
      </w:r>
      <w:r>
        <w:rPr>
          <w:rFonts w:hint="eastAsia" w:cs="宋体"/>
          <w:color w:val="000000" w:themeColor="text1"/>
          <w:sz w:val="24"/>
          <w14:textFill>
            <w14:solidFill>
              <w14:schemeClr w14:val="tx1"/>
            </w14:solidFill>
          </w14:textFill>
        </w:rPr>
        <w:t>法律</w:t>
      </w:r>
      <w:r>
        <w:rPr>
          <w:rFonts w:hint="eastAsia" w:cs="宋体"/>
          <w:sz w:val="24"/>
        </w:rPr>
        <w:t>责任的辩解。</w:t>
      </w:r>
    </w:p>
    <w:p w14:paraId="5F23A6B9">
      <w:pPr>
        <w:pStyle w:val="286"/>
        <w:keepNext/>
        <w:snapToGrid w:val="0"/>
        <w:spacing w:line="520" w:lineRule="exact"/>
        <w:ind w:left="0" w:leftChars="0" w:firstLine="480" w:firstLineChars="200"/>
        <w:rPr>
          <w:rFonts w:hint="eastAsia" w:cs="宋体"/>
          <w:sz w:val="24"/>
          <w:szCs w:val="24"/>
        </w:rPr>
      </w:pPr>
      <w:r>
        <w:rPr>
          <w:rFonts w:hint="eastAsia" w:cs="宋体"/>
          <w:sz w:val="24"/>
          <w:szCs w:val="24"/>
        </w:rPr>
        <w:t>特此承诺</w:t>
      </w:r>
    </w:p>
    <w:p w14:paraId="6F8D5FB4">
      <w:pPr>
        <w:pStyle w:val="286"/>
        <w:keepNext/>
        <w:snapToGrid w:val="0"/>
        <w:spacing w:line="520" w:lineRule="exact"/>
        <w:ind w:firstLine="480"/>
        <w:rPr>
          <w:rFonts w:hint="eastAsia" w:cs="宋体"/>
          <w:sz w:val="24"/>
          <w:szCs w:val="24"/>
        </w:rPr>
      </w:pPr>
    </w:p>
    <w:p w14:paraId="04FC91D6">
      <w:pPr>
        <w:pStyle w:val="286"/>
        <w:keepNext/>
        <w:snapToGrid w:val="0"/>
        <w:spacing w:line="520" w:lineRule="exact"/>
        <w:ind w:firstLine="480"/>
        <w:rPr>
          <w:rFonts w:hint="eastAsia" w:cs="宋体"/>
          <w:sz w:val="24"/>
          <w:szCs w:val="24"/>
        </w:rPr>
      </w:pPr>
    </w:p>
    <w:p w14:paraId="1CF96945">
      <w:pPr>
        <w:pStyle w:val="286"/>
        <w:keepNext/>
        <w:snapToGrid w:val="0"/>
        <w:spacing w:line="520" w:lineRule="exact"/>
        <w:ind w:firstLine="480"/>
        <w:rPr>
          <w:rFonts w:hint="eastAsia" w:cs="宋体"/>
          <w:sz w:val="24"/>
          <w:szCs w:val="24"/>
        </w:rPr>
      </w:pPr>
    </w:p>
    <w:p w14:paraId="6E643A6C">
      <w:pPr>
        <w:pStyle w:val="286"/>
        <w:keepNext/>
        <w:snapToGrid w:val="0"/>
        <w:spacing w:line="520" w:lineRule="exact"/>
        <w:ind w:firstLine="480"/>
        <w:rPr>
          <w:rFonts w:hint="eastAsia" w:cs="宋体"/>
          <w:sz w:val="24"/>
          <w:szCs w:val="24"/>
        </w:rPr>
      </w:pPr>
    </w:p>
    <w:p w14:paraId="6C38742E">
      <w:pPr>
        <w:snapToGrid w:val="0"/>
        <w:spacing w:line="360" w:lineRule="auto"/>
        <w:ind w:firstLine="3120" w:firstLineChars="1300"/>
        <w:rPr>
          <w:rFonts w:hint="eastAsia" w:cs="宋体"/>
          <w:sz w:val="24"/>
          <w:szCs w:val="24"/>
        </w:rPr>
      </w:pPr>
      <w:r>
        <w:rPr>
          <w:rFonts w:hint="eastAsia" w:cs="宋体"/>
          <w:sz w:val="24"/>
          <w:szCs w:val="24"/>
        </w:rPr>
        <w:t>供应商名称：</w:t>
      </w:r>
      <w:r>
        <w:rPr>
          <w:rFonts w:hint="eastAsia" w:cs="宋体"/>
          <w:sz w:val="24"/>
          <w:szCs w:val="24"/>
          <w:u w:val="single"/>
        </w:rPr>
        <w:t xml:space="preserve">                   </w:t>
      </w:r>
      <w:r>
        <w:rPr>
          <w:rFonts w:hint="eastAsia" w:cs="宋体"/>
          <w:sz w:val="24"/>
          <w:szCs w:val="24"/>
        </w:rPr>
        <w:t>（盖章）</w:t>
      </w:r>
    </w:p>
    <w:p w14:paraId="07BFA901">
      <w:pPr>
        <w:snapToGrid w:val="0"/>
        <w:spacing w:line="360" w:lineRule="auto"/>
        <w:ind w:firstLine="480"/>
        <w:rPr>
          <w:rFonts w:hint="eastAsia" w:cs="宋体"/>
          <w:sz w:val="24"/>
          <w:szCs w:val="24"/>
        </w:rPr>
      </w:pPr>
      <w:r>
        <w:rPr>
          <w:rFonts w:hint="eastAsia" w:cs="宋体"/>
          <w:sz w:val="24"/>
          <w:szCs w:val="24"/>
        </w:rPr>
        <w:t xml:space="preserve">                      法定代表人（负责人）：</w:t>
      </w:r>
      <w:r>
        <w:rPr>
          <w:rFonts w:hint="eastAsia" w:cs="宋体"/>
          <w:sz w:val="24"/>
          <w:szCs w:val="24"/>
          <w:u w:val="single"/>
        </w:rPr>
        <w:t xml:space="preserve">             </w:t>
      </w:r>
      <w:r>
        <w:rPr>
          <w:rFonts w:hint="eastAsia" w:cs="宋体"/>
          <w:sz w:val="24"/>
          <w:szCs w:val="24"/>
        </w:rPr>
        <w:t xml:space="preserve">（签字或盖章）  </w:t>
      </w:r>
    </w:p>
    <w:p w14:paraId="46177DDB">
      <w:pPr>
        <w:tabs>
          <w:tab w:val="left" w:pos="4000"/>
        </w:tabs>
        <w:overflowPunct w:val="0"/>
        <w:topLinePunct/>
        <w:autoSpaceDN w:val="0"/>
        <w:adjustRightInd w:val="0"/>
        <w:snapToGrid w:val="0"/>
        <w:spacing w:line="360" w:lineRule="auto"/>
        <w:rPr>
          <w:rFonts w:ascii="宋体" w:hAnsi="宋体" w:cs="宋体"/>
          <w:snapToGrid w:val="0"/>
          <w:kern w:val="0"/>
          <w:sz w:val="24"/>
          <w:u w:val="single"/>
        </w:rPr>
      </w:pPr>
      <w:r>
        <w:rPr>
          <w:rFonts w:hint="eastAsia" w:cs="宋体"/>
          <w:sz w:val="24"/>
          <w:szCs w:val="24"/>
        </w:rPr>
        <w:t xml:space="preserve">                      </w:t>
      </w:r>
      <w:r>
        <w:rPr>
          <w:rFonts w:hint="eastAsia" w:cs="宋体"/>
          <w:sz w:val="24"/>
          <w:szCs w:val="24"/>
          <w:lang w:val="en-US" w:eastAsia="zh-CN"/>
        </w:rPr>
        <w:t xml:space="preserve">    </w:t>
      </w:r>
      <w:r>
        <w:rPr>
          <w:rFonts w:hint="eastAsia" w:cs="宋体"/>
          <w:sz w:val="24"/>
          <w:szCs w:val="24"/>
        </w:rPr>
        <w:t>日      期：</w:t>
      </w:r>
    </w:p>
    <w:p w14:paraId="67310A04">
      <w:pPr>
        <w:spacing w:line="360" w:lineRule="auto"/>
        <w:jc w:val="center"/>
        <w:rPr>
          <w:rFonts w:hint="eastAsia" w:ascii="宋体" w:hAnsi="宋体" w:eastAsia="宋体" w:cs="宋体"/>
          <w:b/>
          <w:sz w:val="24"/>
          <w:szCs w:val="24"/>
        </w:rPr>
      </w:pPr>
    </w:p>
    <w:p w14:paraId="6FAD3933">
      <w:pPr>
        <w:spacing w:line="360" w:lineRule="auto"/>
        <w:jc w:val="center"/>
        <w:rPr>
          <w:rFonts w:hint="eastAsia" w:ascii="宋体" w:hAnsi="宋体" w:eastAsia="宋体" w:cs="宋体"/>
          <w:b/>
          <w:sz w:val="24"/>
          <w:szCs w:val="24"/>
        </w:rPr>
      </w:pPr>
    </w:p>
    <w:p w14:paraId="72B6B895">
      <w:pPr>
        <w:spacing w:line="360" w:lineRule="auto"/>
        <w:jc w:val="center"/>
        <w:rPr>
          <w:rFonts w:hint="eastAsia" w:ascii="宋体" w:hAnsi="宋体" w:eastAsia="宋体" w:cs="宋体"/>
          <w:b/>
          <w:sz w:val="24"/>
          <w:szCs w:val="24"/>
        </w:rPr>
      </w:pPr>
    </w:p>
    <w:p w14:paraId="2633CF2C">
      <w:pPr>
        <w:spacing w:line="360" w:lineRule="auto"/>
        <w:jc w:val="center"/>
        <w:rPr>
          <w:rFonts w:hint="eastAsia" w:ascii="宋体" w:hAnsi="宋体" w:eastAsia="宋体" w:cs="宋体"/>
          <w:b/>
          <w:sz w:val="24"/>
          <w:szCs w:val="24"/>
        </w:rPr>
      </w:pPr>
    </w:p>
    <w:p w14:paraId="644767C7">
      <w:pPr>
        <w:spacing w:line="360" w:lineRule="auto"/>
        <w:jc w:val="center"/>
        <w:rPr>
          <w:rFonts w:hint="eastAsia" w:ascii="宋体" w:hAnsi="宋体" w:eastAsia="宋体" w:cs="宋体"/>
          <w:b/>
          <w:sz w:val="24"/>
          <w:szCs w:val="24"/>
        </w:rPr>
      </w:pPr>
    </w:p>
    <w:p w14:paraId="05EC648B">
      <w:pPr>
        <w:spacing w:line="360" w:lineRule="auto"/>
        <w:jc w:val="center"/>
        <w:rPr>
          <w:rFonts w:hint="eastAsia" w:ascii="宋体" w:hAnsi="宋体" w:eastAsia="宋体" w:cs="宋体"/>
          <w:b/>
          <w:sz w:val="24"/>
          <w:szCs w:val="24"/>
        </w:rPr>
      </w:pPr>
    </w:p>
    <w:p w14:paraId="47075A84">
      <w:pPr>
        <w:spacing w:line="360" w:lineRule="auto"/>
        <w:jc w:val="both"/>
        <w:outlineLvl w:val="1"/>
        <w:rPr>
          <w:rFonts w:hint="eastAsia" w:ascii="宋体" w:hAnsi="宋体" w:cs="宋体"/>
          <w:b/>
          <w:sz w:val="28"/>
          <w:szCs w:val="28"/>
          <w:lang w:val="en-US" w:eastAsia="zh-CN"/>
        </w:rPr>
      </w:pPr>
    </w:p>
    <w:p w14:paraId="64886FF1">
      <w:pPr>
        <w:spacing w:line="360" w:lineRule="auto"/>
        <w:jc w:val="center"/>
        <w:outlineLvl w:val="1"/>
        <w:rPr>
          <w:rFonts w:hint="eastAsia" w:ascii="宋体" w:hAnsi="宋体" w:eastAsia="宋体" w:cs="宋体"/>
          <w:b/>
          <w:sz w:val="28"/>
          <w:szCs w:val="28"/>
        </w:rPr>
      </w:pPr>
      <w:r>
        <w:rPr>
          <w:rFonts w:hint="eastAsia" w:ascii="宋体" w:hAnsi="宋体" w:cs="宋体"/>
          <w:b/>
          <w:sz w:val="28"/>
          <w:szCs w:val="28"/>
          <w:lang w:val="en-US" w:eastAsia="zh-CN"/>
        </w:rPr>
        <w:t>9</w:t>
      </w:r>
      <w:r>
        <w:rPr>
          <w:rFonts w:hint="eastAsia" w:ascii="宋体" w:hAnsi="宋体" w:eastAsia="宋体" w:cs="宋体"/>
          <w:b/>
          <w:sz w:val="28"/>
          <w:szCs w:val="28"/>
          <w:lang w:val="en-US" w:eastAsia="zh-CN"/>
        </w:rPr>
        <w:t>、</w:t>
      </w:r>
      <w:r>
        <w:rPr>
          <w:rFonts w:hint="eastAsia" w:ascii="宋体" w:hAnsi="宋体" w:eastAsia="宋体" w:cs="宋体"/>
          <w:b/>
          <w:sz w:val="28"/>
          <w:szCs w:val="28"/>
        </w:rPr>
        <w:t>近三年相关同类业绩情况表（格式）</w:t>
      </w:r>
    </w:p>
    <w:p w14:paraId="45D10EBF">
      <w:pPr>
        <w:pStyle w:val="31"/>
        <w:spacing w:line="460" w:lineRule="atLeast"/>
        <w:jc w:val="left"/>
        <w:rPr>
          <w:rFonts w:hint="eastAsia" w:ascii="宋体" w:hAnsi="宋体" w:eastAsia="宋体" w:cs="宋体"/>
          <w:snapToGrid w:val="0"/>
          <w:color w:val="000000"/>
          <w:kern w:val="0"/>
          <w:sz w:val="22"/>
          <w:szCs w:val="22"/>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82"/>
        <w:gridCol w:w="2345"/>
        <w:gridCol w:w="1738"/>
        <w:gridCol w:w="1263"/>
        <w:gridCol w:w="913"/>
      </w:tblGrid>
      <w:tr w14:paraId="4C2E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8" w:type="dxa"/>
            <w:noWrap w:val="0"/>
            <w:vAlign w:val="center"/>
          </w:tcPr>
          <w:p w14:paraId="631D8179">
            <w:pPr>
              <w:pStyle w:val="31"/>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序号</w:t>
            </w:r>
          </w:p>
        </w:tc>
        <w:tc>
          <w:tcPr>
            <w:tcW w:w="1682" w:type="dxa"/>
            <w:noWrap w:val="0"/>
            <w:vAlign w:val="center"/>
          </w:tcPr>
          <w:p w14:paraId="7A6E8C69">
            <w:pPr>
              <w:pStyle w:val="31"/>
              <w:spacing w:line="460" w:lineRule="atLeast"/>
              <w:jc w:val="center"/>
              <w:rPr>
                <w:rFonts w:hint="eastAsia" w:ascii="宋体" w:hAnsi="宋体" w:eastAsia="宋体" w:cs="宋体"/>
                <w:b/>
                <w:snapToGrid w:val="0"/>
                <w:color w:val="000000"/>
                <w:sz w:val="24"/>
                <w:szCs w:val="24"/>
              </w:rPr>
            </w:pPr>
            <w:r>
              <w:rPr>
                <w:rFonts w:hint="eastAsia" w:hAnsi="宋体" w:cs="宋体"/>
                <w:b/>
                <w:snapToGrid w:val="0"/>
                <w:color w:val="000000"/>
                <w:sz w:val="24"/>
                <w:szCs w:val="24"/>
                <w:lang w:val="en-US" w:eastAsia="zh-CN"/>
              </w:rPr>
              <w:t>建设</w:t>
            </w:r>
            <w:r>
              <w:rPr>
                <w:rFonts w:hint="eastAsia" w:ascii="宋体" w:hAnsi="宋体" w:eastAsia="宋体" w:cs="宋体"/>
                <w:b/>
                <w:snapToGrid w:val="0"/>
                <w:color w:val="000000"/>
                <w:sz w:val="24"/>
                <w:szCs w:val="24"/>
              </w:rPr>
              <w:t>单位</w:t>
            </w:r>
          </w:p>
        </w:tc>
        <w:tc>
          <w:tcPr>
            <w:tcW w:w="2345" w:type="dxa"/>
            <w:noWrap w:val="0"/>
            <w:vAlign w:val="center"/>
          </w:tcPr>
          <w:p w14:paraId="6C25475C">
            <w:pPr>
              <w:pStyle w:val="31"/>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项目名称</w:t>
            </w:r>
          </w:p>
        </w:tc>
        <w:tc>
          <w:tcPr>
            <w:tcW w:w="1738" w:type="dxa"/>
            <w:noWrap w:val="0"/>
            <w:vAlign w:val="center"/>
          </w:tcPr>
          <w:p w14:paraId="7825B85B">
            <w:pPr>
              <w:pStyle w:val="31"/>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合同签订时间</w:t>
            </w:r>
          </w:p>
        </w:tc>
        <w:tc>
          <w:tcPr>
            <w:tcW w:w="1263" w:type="dxa"/>
            <w:noWrap w:val="0"/>
            <w:vAlign w:val="center"/>
          </w:tcPr>
          <w:p w14:paraId="3EDAD581">
            <w:pPr>
              <w:pStyle w:val="31"/>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用户评价</w:t>
            </w:r>
          </w:p>
        </w:tc>
        <w:tc>
          <w:tcPr>
            <w:tcW w:w="913" w:type="dxa"/>
            <w:noWrap w:val="0"/>
            <w:vAlign w:val="center"/>
          </w:tcPr>
          <w:p w14:paraId="36EAA38D">
            <w:pPr>
              <w:pStyle w:val="31"/>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备注</w:t>
            </w:r>
          </w:p>
        </w:tc>
      </w:tr>
      <w:tr w14:paraId="1040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98" w:type="dxa"/>
            <w:noWrap w:val="0"/>
            <w:vAlign w:val="center"/>
          </w:tcPr>
          <w:p w14:paraId="2B21420A">
            <w:pPr>
              <w:pStyle w:val="31"/>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1</w:t>
            </w:r>
          </w:p>
        </w:tc>
        <w:tc>
          <w:tcPr>
            <w:tcW w:w="1682" w:type="dxa"/>
            <w:noWrap w:val="0"/>
            <w:vAlign w:val="center"/>
          </w:tcPr>
          <w:p w14:paraId="66012E34">
            <w:pPr>
              <w:pStyle w:val="31"/>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787B2E29">
            <w:pPr>
              <w:pStyle w:val="31"/>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3507052F">
            <w:pPr>
              <w:pStyle w:val="31"/>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18CF96E8">
            <w:pPr>
              <w:pStyle w:val="31"/>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4329DF11">
            <w:pPr>
              <w:pStyle w:val="31"/>
              <w:spacing w:line="460" w:lineRule="atLeast"/>
              <w:jc w:val="center"/>
              <w:rPr>
                <w:rFonts w:hint="eastAsia" w:ascii="宋体" w:hAnsi="宋体" w:eastAsia="宋体" w:cs="宋体"/>
                <w:snapToGrid w:val="0"/>
                <w:color w:val="000000"/>
                <w:sz w:val="24"/>
                <w:szCs w:val="24"/>
              </w:rPr>
            </w:pPr>
          </w:p>
        </w:tc>
      </w:tr>
      <w:tr w14:paraId="402C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98" w:type="dxa"/>
            <w:noWrap w:val="0"/>
            <w:vAlign w:val="center"/>
          </w:tcPr>
          <w:p w14:paraId="3D058259">
            <w:pPr>
              <w:pStyle w:val="31"/>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2</w:t>
            </w:r>
          </w:p>
        </w:tc>
        <w:tc>
          <w:tcPr>
            <w:tcW w:w="1682" w:type="dxa"/>
            <w:noWrap w:val="0"/>
            <w:vAlign w:val="center"/>
          </w:tcPr>
          <w:p w14:paraId="5AAF1ACA">
            <w:pPr>
              <w:pStyle w:val="31"/>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66C6867D">
            <w:pPr>
              <w:pStyle w:val="31"/>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2FEB479B">
            <w:pPr>
              <w:pStyle w:val="31"/>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4983554B">
            <w:pPr>
              <w:pStyle w:val="31"/>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6494F4A9">
            <w:pPr>
              <w:pStyle w:val="31"/>
              <w:spacing w:line="460" w:lineRule="atLeast"/>
              <w:jc w:val="center"/>
              <w:rPr>
                <w:rFonts w:hint="eastAsia" w:ascii="宋体" w:hAnsi="宋体" w:eastAsia="宋体" w:cs="宋体"/>
                <w:snapToGrid w:val="0"/>
                <w:color w:val="000000"/>
                <w:sz w:val="24"/>
                <w:szCs w:val="24"/>
              </w:rPr>
            </w:pPr>
          </w:p>
        </w:tc>
      </w:tr>
      <w:tr w14:paraId="798C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98" w:type="dxa"/>
            <w:noWrap w:val="0"/>
            <w:vAlign w:val="center"/>
          </w:tcPr>
          <w:p w14:paraId="5284F108">
            <w:pPr>
              <w:pStyle w:val="31"/>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3</w:t>
            </w:r>
          </w:p>
        </w:tc>
        <w:tc>
          <w:tcPr>
            <w:tcW w:w="1682" w:type="dxa"/>
            <w:noWrap w:val="0"/>
            <w:vAlign w:val="center"/>
          </w:tcPr>
          <w:p w14:paraId="12163B03">
            <w:pPr>
              <w:pStyle w:val="31"/>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581CFC38">
            <w:pPr>
              <w:pStyle w:val="31"/>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6FCC1A95">
            <w:pPr>
              <w:pStyle w:val="31"/>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1ED393FB">
            <w:pPr>
              <w:pStyle w:val="31"/>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12E729F9">
            <w:pPr>
              <w:pStyle w:val="31"/>
              <w:spacing w:line="460" w:lineRule="atLeast"/>
              <w:jc w:val="center"/>
              <w:rPr>
                <w:rFonts w:hint="eastAsia" w:ascii="宋体" w:hAnsi="宋体" w:eastAsia="宋体" w:cs="宋体"/>
                <w:snapToGrid w:val="0"/>
                <w:color w:val="000000"/>
                <w:sz w:val="24"/>
                <w:szCs w:val="24"/>
              </w:rPr>
            </w:pPr>
          </w:p>
        </w:tc>
      </w:tr>
      <w:tr w14:paraId="503B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8" w:type="dxa"/>
            <w:noWrap w:val="0"/>
            <w:vAlign w:val="center"/>
          </w:tcPr>
          <w:p w14:paraId="72BD0A98">
            <w:pPr>
              <w:pStyle w:val="31"/>
              <w:spacing w:line="460" w:lineRule="atLeast"/>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w:t>
            </w:r>
          </w:p>
        </w:tc>
        <w:tc>
          <w:tcPr>
            <w:tcW w:w="1682" w:type="dxa"/>
            <w:noWrap w:val="0"/>
            <w:vAlign w:val="center"/>
          </w:tcPr>
          <w:p w14:paraId="16552D0D">
            <w:pPr>
              <w:pStyle w:val="31"/>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67B3A540">
            <w:pPr>
              <w:pStyle w:val="31"/>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24FC8DB7">
            <w:pPr>
              <w:pStyle w:val="31"/>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04472616">
            <w:pPr>
              <w:pStyle w:val="31"/>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27F142A5">
            <w:pPr>
              <w:pStyle w:val="31"/>
              <w:spacing w:line="460" w:lineRule="atLeast"/>
              <w:jc w:val="center"/>
              <w:rPr>
                <w:rFonts w:hint="eastAsia" w:ascii="宋体" w:hAnsi="宋体" w:eastAsia="宋体" w:cs="宋体"/>
                <w:snapToGrid w:val="0"/>
                <w:color w:val="000000"/>
                <w:sz w:val="24"/>
                <w:szCs w:val="24"/>
              </w:rPr>
            </w:pPr>
          </w:p>
        </w:tc>
      </w:tr>
    </w:tbl>
    <w:p w14:paraId="24F43C54">
      <w:pPr>
        <w:pStyle w:val="31"/>
        <w:spacing w:line="460" w:lineRule="atLeast"/>
        <w:jc w:val="left"/>
        <w:rPr>
          <w:rFonts w:hint="eastAsia" w:ascii="宋体" w:hAnsi="宋体" w:eastAsia="宋体" w:cs="宋体"/>
          <w:snapToGrid w:val="0"/>
          <w:color w:val="000000"/>
          <w:sz w:val="22"/>
          <w:szCs w:val="22"/>
        </w:rPr>
      </w:pPr>
    </w:p>
    <w:p w14:paraId="78E654E5">
      <w:pPr>
        <w:pStyle w:val="31"/>
        <w:spacing w:line="460" w:lineRule="atLeast"/>
        <w:jc w:val="left"/>
        <w:rPr>
          <w:rFonts w:hint="eastAsia" w:ascii="宋体" w:hAnsi="宋体" w:eastAsia="宋体" w:cs="宋体"/>
          <w:snapToGrid w:val="0"/>
          <w:color w:val="000000"/>
          <w:sz w:val="22"/>
          <w:szCs w:val="22"/>
        </w:rPr>
      </w:pPr>
    </w:p>
    <w:p w14:paraId="01369118">
      <w:pPr>
        <w:widowControl/>
        <w:tabs>
          <w:tab w:val="left" w:pos="4000"/>
        </w:tabs>
        <w:snapToGrid w:val="0"/>
        <w:spacing w:line="360" w:lineRule="auto"/>
        <w:ind w:firstLine="4417" w:firstLineChars="2008"/>
        <w:jc w:val="left"/>
        <w:rPr>
          <w:rFonts w:hint="eastAsia" w:ascii="宋体" w:hAnsi="宋体" w:eastAsia="宋体" w:cs="宋体"/>
          <w:kern w:val="0"/>
          <w:sz w:val="22"/>
          <w:szCs w:val="22"/>
        </w:rPr>
      </w:pPr>
    </w:p>
    <w:p w14:paraId="0DEFEBAA">
      <w:pPr>
        <w:widowControl/>
        <w:tabs>
          <w:tab w:val="left" w:pos="4000"/>
        </w:tabs>
        <w:snapToGrid w:val="0"/>
        <w:spacing w:line="360" w:lineRule="auto"/>
        <w:ind w:firstLine="4417" w:firstLineChars="2008"/>
        <w:jc w:val="left"/>
        <w:rPr>
          <w:rFonts w:hint="eastAsia" w:ascii="宋体" w:hAnsi="宋体" w:eastAsia="宋体" w:cs="宋体"/>
          <w:kern w:val="0"/>
          <w:sz w:val="22"/>
          <w:szCs w:val="22"/>
        </w:rPr>
      </w:pPr>
    </w:p>
    <w:p w14:paraId="6791B0FB">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32DF86F4">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062E23EF">
      <w:pPr>
        <w:tabs>
          <w:tab w:val="left" w:pos="4000"/>
        </w:tabs>
        <w:overflowPunct w:val="0"/>
        <w:topLinePunct/>
        <w:autoSpaceDN w:val="0"/>
        <w:adjustRightInd w:val="0"/>
        <w:snapToGrid w:val="0"/>
        <w:spacing w:line="480" w:lineRule="auto"/>
        <w:rPr>
          <w:rFonts w:hint="eastAsia" w:asciiTheme="minorEastAsia" w:hAnsiTheme="minorEastAsia" w:eastAsiaTheme="minorEastAsia" w:cstheme="minorEastAsia"/>
          <w:b/>
          <w:bCs/>
          <w:sz w:val="28"/>
          <w:szCs w:val="28"/>
          <w:highlight w:val="non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793D5241">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0147D5B2">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76974EE7">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5D97E9AE">
      <w:pPr>
        <w:pStyle w:val="73"/>
        <w:rPr>
          <w:rFonts w:hint="eastAsia"/>
          <w:lang w:val="en-US" w:eastAsia="zh-CN"/>
        </w:rPr>
      </w:pPr>
    </w:p>
    <w:p w14:paraId="4686B404">
      <w:pPr>
        <w:pStyle w:val="73"/>
        <w:rPr>
          <w:rFonts w:hint="eastAsia"/>
          <w:lang w:val="en-US" w:eastAsia="zh-CN"/>
        </w:rPr>
      </w:pPr>
    </w:p>
    <w:p w14:paraId="5D188270">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732994F9">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4AC2913D">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10、供应商基本情况表</w:t>
      </w:r>
      <w:r>
        <w:rPr>
          <w:rFonts w:hint="eastAsia" w:ascii="宋体" w:hAnsi="宋体" w:eastAsia="宋体" w:cs="宋体"/>
          <w:b/>
          <w:sz w:val="28"/>
          <w:szCs w:val="28"/>
        </w:rPr>
        <w:t>（格式）</w:t>
      </w:r>
    </w:p>
    <w:tbl>
      <w:tblPr>
        <w:tblStyle w:val="56"/>
        <w:tblW w:w="94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7"/>
        <w:gridCol w:w="1090"/>
        <w:gridCol w:w="1150"/>
        <w:gridCol w:w="1216"/>
        <w:gridCol w:w="684"/>
        <w:gridCol w:w="1167"/>
        <w:gridCol w:w="946"/>
        <w:gridCol w:w="1085"/>
      </w:tblGrid>
      <w:tr w14:paraId="5F221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0962CF6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名称</w:t>
            </w:r>
          </w:p>
        </w:tc>
        <w:tc>
          <w:tcPr>
            <w:tcW w:w="7338" w:type="dxa"/>
            <w:gridSpan w:val="7"/>
            <w:vAlign w:val="center"/>
          </w:tcPr>
          <w:p w14:paraId="66C74E3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0C31C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A3EAE5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注册地址</w:t>
            </w:r>
          </w:p>
        </w:tc>
        <w:tc>
          <w:tcPr>
            <w:tcW w:w="4140" w:type="dxa"/>
            <w:gridSpan w:val="4"/>
            <w:vAlign w:val="center"/>
          </w:tcPr>
          <w:p w14:paraId="056CEAE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401E734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邮政编码</w:t>
            </w:r>
          </w:p>
        </w:tc>
        <w:tc>
          <w:tcPr>
            <w:tcW w:w="2031" w:type="dxa"/>
            <w:gridSpan w:val="2"/>
            <w:vAlign w:val="center"/>
          </w:tcPr>
          <w:p w14:paraId="754836E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062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restart"/>
            <w:vAlign w:val="center"/>
          </w:tcPr>
          <w:p w14:paraId="406BE3D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联系方式</w:t>
            </w:r>
          </w:p>
        </w:tc>
        <w:tc>
          <w:tcPr>
            <w:tcW w:w="1090" w:type="dxa"/>
            <w:vAlign w:val="center"/>
          </w:tcPr>
          <w:p w14:paraId="4705343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联系人</w:t>
            </w:r>
          </w:p>
        </w:tc>
        <w:tc>
          <w:tcPr>
            <w:tcW w:w="3050" w:type="dxa"/>
            <w:gridSpan w:val="3"/>
            <w:vAlign w:val="center"/>
          </w:tcPr>
          <w:p w14:paraId="62C581B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108DB76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tc>
        <w:tc>
          <w:tcPr>
            <w:tcW w:w="2031" w:type="dxa"/>
            <w:gridSpan w:val="2"/>
            <w:vAlign w:val="center"/>
          </w:tcPr>
          <w:p w14:paraId="47C42FE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E64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continue"/>
            <w:vAlign w:val="center"/>
          </w:tcPr>
          <w:p w14:paraId="6AA0FE2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090" w:type="dxa"/>
            <w:vAlign w:val="center"/>
          </w:tcPr>
          <w:p w14:paraId="761B1D70">
            <w:pPr>
              <w:tabs>
                <w:tab w:val="left" w:pos="540"/>
              </w:tabs>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传 真</w:t>
            </w:r>
          </w:p>
        </w:tc>
        <w:tc>
          <w:tcPr>
            <w:tcW w:w="3050" w:type="dxa"/>
            <w:gridSpan w:val="3"/>
            <w:vAlign w:val="center"/>
          </w:tcPr>
          <w:p w14:paraId="340D27B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6286966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电子邮件</w:t>
            </w:r>
          </w:p>
        </w:tc>
        <w:tc>
          <w:tcPr>
            <w:tcW w:w="2031" w:type="dxa"/>
            <w:gridSpan w:val="2"/>
            <w:vAlign w:val="center"/>
          </w:tcPr>
          <w:p w14:paraId="24B7ED66">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060A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2232257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法定代表人</w:t>
            </w:r>
          </w:p>
        </w:tc>
        <w:tc>
          <w:tcPr>
            <w:tcW w:w="1090" w:type="dxa"/>
            <w:vAlign w:val="center"/>
          </w:tcPr>
          <w:p w14:paraId="010B5AB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姓名</w:t>
            </w:r>
          </w:p>
        </w:tc>
        <w:tc>
          <w:tcPr>
            <w:tcW w:w="1150" w:type="dxa"/>
            <w:vAlign w:val="center"/>
          </w:tcPr>
          <w:p w14:paraId="3C7E69E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Align w:val="center"/>
          </w:tcPr>
          <w:p w14:paraId="13FBB80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技术职称</w:t>
            </w:r>
          </w:p>
        </w:tc>
        <w:tc>
          <w:tcPr>
            <w:tcW w:w="1851" w:type="dxa"/>
            <w:gridSpan w:val="2"/>
            <w:vAlign w:val="center"/>
          </w:tcPr>
          <w:p w14:paraId="386E214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946" w:type="dxa"/>
            <w:vAlign w:val="center"/>
          </w:tcPr>
          <w:p w14:paraId="46B4650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w:t>
            </w:r>
          </w:p>
        </w:tc>
        <w:tc>
          <w:tcPr>
            <w:tcW w:w="1085" w:type="dxa"/>
            <w:vAlign w:val="center"/>
          </w:tcPr>
          <w:p w14:paraId="0B1240B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2D5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52A1E5DE">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技术负责人</w:t>
            </w:r>
          </w:p>
        </w:tc>
        <w:tc>
          <w:tcPr>
            <w:tcW w:w="1090" w:type="dxa"/>
            <w:vAlign w:val="center"/>
          </w:tcPr>
          <w:p w14:paraId="2E89985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姓名</w:t>
            </w:r>
          </w:p>
        </w:tc>
        <w:tc>
          <w:tcPr>
            <w:tcW w:w="1150" w:type="dxa"/>
            <w:vAlign w:val="center"/>
          </w:tcPr>
          <w:p w14:paraId="3E45559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Align w:val="center"/>
          </w:tcPr>
          <w:p w14:paraId="6BBD6AA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技术职称</w:t>
            </w:r>
          </w:p>
        </w:tc>
        <w:tc>
          <w:tcPr>
            <w:tcW w:w="1851" w:type="dxa"/>
            <w:gridSpan w:val="2"/>
            <w:vAlign w:val="center"/>
          </w:tcPr>
          <w:p w14:paraId="34C836D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946" w:type="dxa"/>
            <w:vAlign w:val="center"/>
          </w:tcPr>
          <w:p w14:paraId="4EEEB23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w:t>
            </w:r>
          </w:p>
        </w:tc>
        <w:tc>
          <w:tcPr>
            <w:tcW w:w="1085" w:type="dxa"/>
            <w:vAlign w:val="center"/>
          </w:tcPr>
          <w:p w14:paraId="040A28A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77BA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429AE3C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成立时间</w:t>
            </w:r>
          </w:p>
        </w:tc>
        <w:tc>
          <w:tcPr>
            <w:tcW w:w="2240" w:type="dxa"/>
            <w:gridSpan w:val="2"/>
            <w:vAlign w:val="center"/>
          </w:tcPr>
          <w:p w14:paraId="3E6CEF2D">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5098" w:type="dxa"/>
            <w:gridSpan w:val="5"/>
            <w:vAlign w:val="center"/>
          </w:tcPr>
          <w:p w14:paraId="1F089E8D">
            <w:pPr>
              <w:autoSpaceDE w:val="0"/>
              <w:autoSpaceDN w:val="0"/>
              <w:adjustRightInd w:val="0"/>
              <w:spacing w:line="240" w:lineRule="auto"/>
              <w:ind w:left="105" w:leftChars="50"/>
              <w:jc w:val="center"/>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员工总人数：</w:t>
            </w:r>
          </w:p>
        </w:tc>
      </w:tr>
      <w:tr w14:paraId="3278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30C622D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企业资质等级</w:t>
            </w:r>
          </w:p>
        </w:tc>
        <w:tc>
          <w:tcPr>
            <w:tcW w:w="2240" w:type="dxa"/>
            <w:gridSpan w:val="2"/>
            <w:vAlign w:val="center"/>
          </w:tcPr>
          <w:p w14:paraId="40C691A9">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restart"/>
            <w:vAlign w:val="center"/>
          </w:tcPr>
          <w:p w14:paraId="30773A0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其中</w:t>
            </w:r>
          </w:p>
        </w:tc>
        <w:tc>
          <w:tcPr>
            <w:tcW w:w="1851" w:type="dxa"/>
            <w:gridSpan w:val="2"/>
            <w:vAlign w:val="center"/>
          </w:tcPr>
          <w:p w14:paraId="2923313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高级职称人员</w:t>
            </w:r>
          </w:p>
        </w:tc>
        <w:tc>
          <w:tcPr>
            <w:tcW w:w="2031" w:type="dxa"/>
            <w:gridSpan w:val="2"/>
            <w:vAlign w:val="center"/>
          </w:tcPr>
          <w:p w14:paraId="49E89A69">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10CEF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2" w:hRule="exact"/>
          <w:jc w:val="center"/>
        </w:trPr>
        <w:tc>
          <w:tcPr>
            <w:tcW w:w="2087" w:type="dxa"/>
            <w:vAlign w:val="center"/>
          </w:tcPr>
          <w:p w14:paraId="53B57615">
            <w:pPr>
              <w:autoSpaceDE w:val="0"/>
              <w:autoSpaceDN w:val="0"/>
              <w:adjustRightInd w:val="0"/>
              <w:spacing w:line="240" w:lineRule="auto"/>
              <w:jc w:val="center"/>
              <w:rPr>
                <w:rFonts w:hint="default" w:asciiTheme="minorEastAsia" w:hAnsiTheme="minorEastAsia" w:eastAsiaTheme="minorEastAsia" w:cstheme="minorEastAsia"/>
                <w:kern w:val="0"/>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营业执照或事业单位法人证书号</w:t>
            </w:r>
          </w:p>
        </w:tc>
        <w:tc>
          <w:tcPr>
            <w:tcW w:w="2240" w:type="dxa"/>
            <w:gridSpan w:val="2"/>
            <w:vAlign w:val="center"/>
          </w:tcPr>
          <w:p w14:paraId="231D4B4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39ED38E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073A25A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中级职称人员</w:t>
            </w:r>
          </w:p>
        </w:tc>
        <w:tc>
          <w:tcPr>
            <w:tcW w:w="2031" w:type="dxa"/>
            <w:gridSpan w:val="2"/>
            <w:vAlign w:val="center"/>
          </w:tcPr>
          <w:p w14:paraId="1499167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0DA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72401E9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注册资金</w:t>
            </w:r>
          </w:p>
        </w:tc>
        <w:tc>
          <w:tcPr>
            <w:tcW w:w="2240" w:type="dxa"/>
            <w:gridSpan w:val="2"/>
            <w:vAlign w:val="center"/>
          </w:tcPr>
          <w:p w14:paraId="59D47616">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60DEB89E">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72EB9E7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初级职称人员</w:t>
            </w:r>
          </w:p>
        </w:tc>
        <w:tc>
          <w:tcPr>
            <w:tcW w:w="2031" w:type="dxa"/>
            <w:gridSpan w:val="2"/>
            <w:vAlign w:val="center"/>
          </w:tcPr>
          <w:p w14:paraId="58365F1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4887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2037D9F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开户银行</w:t>
            </w:r>
          </w:p>
        </w:tc>
        <w:tc>
          <w:tcPr>
            <w:tcW w:w="2240" w:type="dxa"/>
            <w:gridSpan w:val="2"/>
            <w:vAlign w:val="center"/>
          </w:tcPr>
          <w:p w14:paraId="1DFA51E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453E2D1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12DCE56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其他注册执业资格人员</w:t>
            </w:r>
          </w:p>
        </w:tc>
        <w:tc>
          <w:tcPr>
            <w:tcW w:w="2031" w:type="dxa"/>
            <w:gridSpan w:val="2"/>
            <w:vAlign w:val="center"/>
          </w:tcPr>
          <w:p w14:paraId="1D2E5E5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41EC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BD4165D">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账号</w:t>
            </w:r>
          </w:p>
        </w:tc>
        <w:tc>
          <w:tcPr>
            <w:tcW w:w="2240" w:type="dxa"/>
            <w:gridSpan w:val="2"/>
            <w:vAlign w:val="center"/>
          </w:tcPr>
          <w:p w14:paraId="7EAEC08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77859A77">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2181E4C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技工</w:t>
            </w:r>
          </w:p>
        </w:tc>
        <w:tc>
          <w:tcPr>
            <w:tcW w:w="2031" w:type="dxa"/>
            <w:gridSpan w:val="2"/>
            <w:vAlign w:val="center"/>
          </w:tcPr>
          <w:p w14:paraId="1219EAE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F03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4" w:hRule="exact"/>
          <w:jc w:val="center"/>
        </w:trPr>
        <w:tc>
          <w:tcPr>
            <w:tcW w:w="2087" w:type="dxa"/>
            <w:vAlign w:val="center"/>
          </w:tcPr>
          <w:p w14:paraId="105AE08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经营范围</w:t>
            </w:r>
          </w:p>
        </w:tc>
        <w:tc>
          <w:tcPr>
            <w:tcW w:w="7338" w:type="dxa"/>
            <w:gridSpan w:val="7"/>
            <w:vAlign w:val="center"/>
          </w:tcPr>
          <w:p w14:paraId="3334E6C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E62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79" w:hRule="exact"/>
          <w:jc w:val="center"/>
        </w:trPr>
        <w:tc>
          <w:tcPr>
            <w:tcW w:w="2087" w:type="dxa"/>
            <w:vAlign w:val="center"/>
          </w:tcPr>
          <w:p w14:paraId="7A74BDD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资产构成情况及</w:t>
            </w:r>
          </w:p>
          <w:p w14:paraId="25887F4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投资参股</w:t>
            </w:r>
          </w:p>
          <w:p w14:paraId="7D4533F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的关联企业情况</w:t>
            </w:r>
          </w:p>
          <w:p w14:paraId="0886499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母子公司情况</w:t>
            </w:r>
          </w:p>
        </w:tc>
        <w:tc>
          <w:tcPr>
            <w:tcW w:w="7338" w:type="dxa"/>
            <w:gridSpan w:val="7"/>
            <w:vAlign w:val="center"/>
          </w:tcPr>
          <w:p w14:paraId="55F3B9D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BB9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exact"/>
          <w:jc w:val="center"/>
        </w:trPr>
        <w:tc>
          <w:tcPr>
            <w:tcW w:w="2087" w:type="dxa"/>
            <w:vAlign w:val="center"/>
          </w:tcPr>
          <w:p w14:paraId="4B6A17E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备    注</w:t>
            </w:r>
          </w:p>
        </w:tc>
        <w:tc>
          <w:tcPr>
            <w:tcW w:w="7338" w:type="dxa"/>
            <w:gridSpan w:val="7"/>
            <w:vAlign w:val="center"/>
          </w:tcPr>
          <w:p w14:paraId="27DF6C8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bl>
    <w:p w14:paraId="100ED3A7">
      <w:pPr>
        <w:jc w:val="center"/>
        <w:outlineLvl w:val="9"/>
        <w:rPr>
          <w:rFonts w:hint="eastAsia" w:asciiTheme="minorEastAsia" w:hAnsiTheme="minorEastAsia" w:eastAsiaTheme="minorEastAsia" w:cstheme="minorEastAsia"/>
          <w:b/>
          <w:bCs/>
          <w:sz w:val="28"/>
          <w:szCs w:val="28"/>
          <w:highlight w:val="none"/>
          <w:lang w:val="en-US" w:eastAsia="zh-CN"/>
        </w:rPr>
      </w:pPr>
    </w:p>
    <w:p w14:paraId="3DF49EF9">
      <w:pPr>
        <w:pStyle w:val="2"/>
        <w:rPr>
          <w:rFonts w:hint="eastAsia" w:asciiTheme="minorEastAsia" w:hAnsiTheme="minorEastAsia" w:eastAsiaTheme="minorEastAsia" w:cstheme="minorEastAsia"/>
          <w:b/>
          <w:bCs/>
          <w:highlight w:val="none"/>
          <w:lang w:val="en-US" w:eastAsia="zh-CN"/>
        </w:rPr>
      </w:pPr>
    </w:p>
    <w:p w14:paraId="401E9C6A">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2A48451B">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006F8E9A">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0D72717F">
      <w:pPr>
        <w:rPr>
          <w:rFonts w:hint="eastAsia" w:asciiTheme="minorEastAsia" w:hAnsiTheme="minorEastAsia" w:eastAsiaTheme="minorEastAsia" w:cstheme="minorEastAsia"/>
          <w:color w:val="auto"/>
          <w:highlight w:val="none"/>
        </w:rPr>
      </w:pPr>
    </w:p>
    <w:p w14:paraId="29C43B4B">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eastAsia="zh-CN"/>
        </w:rPr>
        <w:t>附件</w:t>
      </w:r>
      <w:r>
        <w:rPr>
          <w:rFonts w:hint="eastAsia" w:asciiTheme="minorEastAsia" w:hAnsiTheme="minorEastAsia" w:eastAsiaTheme="minorEastAsia" w:cstheme="minorEastAsia"/>
          <w:b/>
          <w:sz w:val="24"/>
          <w:szCs w:val="24"/>
          <w:highlight w:val="none"/>
          <w:lang w:val="en-US" w:eastAsia="zh-CN"/>
        </w:rPr>
        <w:t>1</w:t>
      </w:r>
    </w:p>
    <w:p w14:paraId="0361DC64">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i w:val="0"/>
          <w:caps w:val="0"/>
          <w:color w:val="333333"/>
          <w:spacing w:val="-8"/>
          <w:sz w:val="28"/>
          <w:szCs w:val="28"/>
          <w:highlight w:val="none"/>
          <w:shd w:val="clear" w:color="auto" w:fill="FFFFFF"/>
          <w:lang w:eastAsia="zh-CN"/>
        </w:rPr>
      </w:pPr>
      <w:r>
        <w:rPr>
          <w:rFonts w:hint="eastAsia" w:asciiTheme="minorEastAsia" w:hAnsiTheme="minorEastAsia" w:eastAsiaTheme="minorEastAsia" w:cstheme="minorEastAsia"/>
          <w:b/>
          <w:sz w:val="28"/>
          <w:szCs w:val="28"/>
          <w:highlight w:val="none"/>
          <w:lang w:val="en-US" w:eastAsia="zh-CN"/>
        </w:rPr>
        <w:t>11、</w:t>
      </w:r>
      <w:r>
        <w:rPr>
          <w:rFonts w:hint="eastAsia" w:asciiTheme="minorEastAsia" w:hAnsiTheme="minorEastAsia" w:eastAsiaTheme="minorEastAsia" w:cstheme="minorEastAsia"/>
          <w:b/>
          <w:sz w:val="28"/>
          <w:szCs w:val="28"/>
          <w:highlight w:val="none"/>
        </w:rPr>
        <w:t>中小企业声明函</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b/>
          <w:sz w:val="28"/>
          <w:szCs w:val="28"/>
          <w:highlight w:val="none"/>
        </w:rPr>
        <w:t>工程、服务</w:t>
      </w:r>
      <w:r>
        <w:rPr>
          <w:rFonts w:hint="eastAsia" w:asciiTheme="minorEastAsia" w:hAnsiTheme="minorEastAsia" w:eastAsiaTheme="minorEastAsia" w:cstheme="minorEastAsia"/>
          <w:b/>
          <w:sz w:val="28"/>
          <w:szCs w:val="28"/>
          <w:highlight w:val="none"/>
          <w:lang w:eastAsia="zh-CN"/>
        </w:rPr>
        <w:t>）</w:t>
      </w:r>
    </w:p>
    <w:p w14:paraId="65A1033E">
      <w:pPr>
        <w:pageBreakBefore w:val="0"/>
        <w:kinsoku/>
        <w:bidi w:val="0"/>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lang w:eastAsia="zh-CN"/>
        </w:rPr>
        <w:t>本公司（联合体）郑重声明，根据《政府采购促进中小企业发展管理办法》（财库﹝2020﹞46 号）的规定，本公司（联合体）参加</w:t>
      </w:r>
      <w:r>
        <w:rPr>
          <w:rFonts w:hint="eastAsia" w:ascii="宋体" w:hAnsi="宋体" w:eastAsia="宋体" w:cs="宋体"/>
          <w:sz w:val="24"/>
          <w:szCs w:val="22"/>
          <w:u w:val="single"/>
          <w:lang w:eastAsia="zh-CN"/>
        </w:rPr>
        <w:t>（单位名称）</w:t>
      </w:r>
      <w:r>
        <w:rPr>
          <w:rFonts w:hint="eastAsia" w:ascii="宋体" w:hAnsi="宋体" w:eastAsia="宋体" w:cs="宋体"/>
          <w:sz w:val="24"/>
          <w:szCs w:val="22"/>
          <w:lang w:eastAsia="zh-CN"/>
        </w:rPr>
        <w:t>的</w:t>
      </w:r>
      <w:r>
        <w:rPr>
          <w:rFonts w:hint="eastAsia" w:ascii="宋体" w:hAnsi="宋体" w:eastAsia="宋体" w:cs="宋体"/>
          <w:sz w:val="24"/>
          <w:szCs w:val="22"/>
          <w:u w:val="single"/>
          <w:lang w:eastAsia="zh-CN"/>
        </w:rPr>
        <w:t>（</w:t>
      </w:r>
      <w:r>
        <w:rPr>
          <w:rFonts w:hint="eastAsia" w:ascii="宋体" w:hAnsi="宋体" w:cs="宋体"/>
          <w:sz w:val="24"/>
          <w:szCs w:val="22"/>
          <w:u w:val="single"/>
          <w:lang w:val="en-US" w:eastAsia="zh-CN"/>
        </w:rPr>
        <w:t>项目</w:t>
      </w:r>
      <w:r>
        <w:rPr>
          <w:rFonts w:hint="eastAsia" w:ascii="宋体" w:hAnsi="宋体" w:eastAsia="宋体" w:cs="宋体"/>
          <w:sz w:val="24"/>
          <w:szCs w:val="22"/>
          <w:u w:val="single"/>
          <w:lang w:eastAsia="zh-CN"/>
        </w:rPr>
        <w:t>名称）</w:t>
      </w:r>
      <w:r>
        <w:rPr>
          <w:rFonts w:hint="eastAsia" w:ascii="宋体" w:hAnsi="宋体" w:eastAsia="宋体" w:cs="宋体"/>
          <w:sz w:val="24"/>
          <w:szCs w:val="22"/>
          <w:lang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36AE3C4E">
      <w:pPr>
        <w:pageBreakBefore w:val="0"/>
        <w:kinsoku/>
        <w:bidi w:val="0"/>
        <w:spacing w:line="360" w:lineRule="auto"/>
        <w:rPr>
          <w:rFonts w:hint="eastAsia" w:ascii="宋体" w:hAnsi="宋体" w:eastAsia="宋体" w:cs="宋体"/>
          <w:sz w:val="24"/>
          <w:szCs w:val="22"/>
          <w:lang w:eastAsia="zh-CN"/>
        </w:rPr>
      </w:pPr>
    </w:p>
    <w:p w14:paraId="7F5B910D">
      <w:pPr>
        <w:pageBreakBefore w:val="0"/>
        <w:numPr>
          <w:ilvl w:val="0"/>
          <w:numId w:val="11"/>
        </w:numPr>
        <w:kinsoku/>
        <w:bidi w:val="0"/>
        <w:spacing w:line="360" w:lineRule="auto"/>
        <w:ind w:firstLine="240" w:firstLineChars="100"/>
        <w:rPr>
          <w:rFonts w:hint="eastAsia" w:ascii="宋体" w:hAnsi="宋体" w:eastAsia="宋体" w:cs="宋体"/>
          <w:sz w:val="24"/>
          <w:szCs w:val="22"/>
          <w:lang w:eastAsia="zh-CN"/>
        </w:rPr>
      </w:pPr>
      <w:r>
        <w:rPr>
          <w:rFonts w:hint="eastAsia" w:ascii="宋体" w:hAnsi="宋体" w:eastAsia="宋体" w:cs="宋体"/>
          <w:sz w:val="24"/>
          <w:szCs w:val="22"/>
          <w:u w:val="single"/>
          <w:lang w:eastAsia="zh-CN"/>
        </w:rPr>
        <w:t>（标的名称）</w:t>
      </w:r>
      <w:r>
        <w:rPr>
          <w:rFonts w:hint="eastAsia" w:ascii="宋体" w:hAnsi="宋体" w:eastAsia="宋体" w:cs="宋体"/>
          <w:sz w:val="24"/>
          <w:szCs w:val="22"/>
          <w:lang w:eastAsia="zh-CN"/>
        </w:rPr>
        <w:t>，属于</w:t>
      </w:r>
      <w:r>
        <w:rPr>
          <w:rFonts w:hint="eastAsia" w:ascii="宋体" w:hAnsi="宋体" w:eastAsia="宋体" w:cs="宋体"/>
          <w:sz w:val="24"/>
          <w:szCs w:val="22"/>
          <w:u w:val="single"/>
          <w:lang w:eastAsia="zh-CN"/>
        </w:rPr>
        <w:t>（采购文件中明确的所属行业）</w:t>
      </w:r>
      <w:r>
        <w:rPr>
          <w:rFonts w:hint="eastAsia" w:ascii="宋体" w:hAnsi="宋体" w:eastAsia="宋体" w:cs="宋体"/>
          <w:sz w:val="24"/>
          <w:szCs w:val="22"/>
          <w:lang w:eastAsia="zh-CN"/>
        </w:rPr>
        <w:t>；承建（承接）企业为</w:t>
      </w:r>
      <w:r>
        <w:rPr>
          <w:rFonts w:hint="eastAsia" w:ascii="宋体" w:hAnsi="宋体" w:eastAsia="宋体" w:cs="宋体"/>
          <w:sz w:val="24"/>
          <w:szCs w:val="22"/>
          <w:u w:val="single"/>
          <w:lang w:eastAsia="zh-CN"/>
        </w:rPr>
        <w:t>（企业名称）</w:t>
      </w:r>
      <w:r>
        <w:rPr>
          <w:rFonts w:hint="eastAsia" w:ascii="宋体" w:hAnsi="宋体" w:eastAsia="宋体" w:cs="宋体"/>
          <w:sz w:val="24"/>
          <w:szCs w:val="22"/>
          <w:lang w:eastAsia="zh-CN"/>
        </w:rPr>
        <w:t>，从业人员</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人，营业收入为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万元，资产总额为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万元，属于（</w:t>
      </w:r>
      <w:r>
        <w:rPr>
          <w:rFonts w:hint="eastAsia" w:ascii="宋体" w:hAnsi="宋体" w:eastAsia="宋体" w:cs="宋体"/>
          <w:sz w:val="24"/>
          <w:szCs w:val="22"/>
          <w:u w:val="single"/>
          <w:lang w:eastAsia="zh-CN"/>
        </w:rPr>
        <w:t>中型企业、小型企业、微型企业</w:t>
      </w:r>
      <w:r>
        <w:rPr>
          <w:rFonts w:hint="eastAsia" w:ascii="宋体" w:hAnsi="宋体" w:eastAsia="宋体" w:cs="宋体"/>
          <w:sz w:val="24"/>
          <w:szCs w:val="22"/>
          <w:lang w:eastAsia="zh-CN"/>
        </w:rPr>
        <w:t>）；</w:t>
      </w:r>
    </w:p>
    <w:p w14:paraId="0CB87CC3">
      <w:pPr>
        <w:pageBreakBefore w:val="0"/>
        <w:kinsoku/>
        <w:bidi w:val="0"/>
        <w:spacing w:line="360" w:lineRule="auto"/>
        <w:ind w:firstLine="240" w:firstLineChars="100"/>
        <w:rPr>
          <w:rFonts w:hint="eastAsia" w:ascii="宋体" w:hAnsi="宋体" w:eastAsia="宋体" w:cs="宋体"/>
          <w:sz w:val="24"/>
          <w:szCs w:val="22"/>
          <w:lang w:eastAsia="zh-CN"/>
        </w:rPr>
      </w:pPr>
      <w:r>
        <w:rPr>
          <w:rFonts w:hint="eastAsia" w:ascii="宋体" w:hAnsi="宋体" w:eastAsia="宋体" w:cs="宋体"/>
          <w:sz w:val="24"/>
          <w:szCs w:val="22"/>
          <w:lang w:val="en-US" w:eastAsia="zh-CN"/>
        </w:rPr>
        <w:t xml:space="preserve">2.  </w:t>
      </w:r>
      <w:r>
        <w:rPr>
          <w:rFonts w:hint="eastAsia" w:ascii="宋体" w:hAnsi="宋体" w:eastAsia="宋体" w:cs="宋体"/>
          <w:sz w:val="24"/>
          <w:szCs w:val="22"/>
          <w:u w:val="single"/>
          <w:lang w:eastAsia="zh-CN"/>
        </w:rPr>
        <w:t>（标的名称）</w:t>
      </w:r>
      <w:r>
        <w:rPr>
          <w:rFonts w:hint="eastAsia" w:ascii="宋体" w:hAnsi="宋体" w:eastAsia="宋体" w:cs="宋体"/>
          <w:sz w:val="24"/>
          <w:szCs w:val="22"/>
          <w:lang w:eastAsia="zh-CN"/>
        </w:rPr>
        <w:t>，属于</w:t>
      </w:r>
      <w:r>
        <w:rPr>
          <w:rFonts w:hint="eastAsia" w:ascii="宋体" w:hAnsi="宋体" w:eastAsia="宋体" w:cs="宋体"/>
          <w:sz w:val="24"/>
          <w:szCs w:val="22"/>
          <w:u w:val="single"/>
          <w:lang w:eastAsia="zh-CN"/>
        </w:rPr>
        <w:t>（采购文件中明确的所属行业）</w:t>
      </w:r>
      <w:r>
        <w:rPr>
          <w:rFonts w:hint="eastAsia" w:ascii="宋体" w:hAnsi="宋体" w:eastAsia="宋体" w:cs="宋体"/>
          <w:sz w:val="24"/>
          <w:szCs w:val="22"/>
          <w:lang w:eastAsia="zh-CN"/>
        </w:rPr>
        <w:t>；承建（承接）企业为</w:t>
      </w:r>
      <w:r>
        <w:rPr>
          <w:rFonts w:hint="eastAsia" w:ascii="宋体" w:hAnsi="宋体" w:eastAsia="宋体" w:cs="宋体"/>
          <w:sz w:val="24"/>
          <w:szCs w:val="22"/>
          <w:u w:val="single"/>
          <w:lang w:eastAsia="zh-CN"/>
        </w:rPr>
        <w:t>（企业名称）</w:t>
      </w:r>
      <w:r>
        <w:rPr>
          <w:rFonts w:hint="eastAsia" w:ascii="宋体" w:hAnsi="宋体" w:eastAsia="宋体" w:cs="宋体"/>
          <w:sz w:val="24"/>
          <w:szCs w:val="22"/>
          <w:lang w:eastAsia="zh-CN"/>
        </w:rPr>
        <w:t>，从业人员</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人，营业收入为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万元，资产总额为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万元，属于（</w:t>
      </w:r>
      <w:r>
        <w:rPr>
          <w:rFonts w:hint="eastAsia" w:ascii="宋体" w:hAnsi="宋体" w:eastAsia="宋体" w:cs="宋体"/>
          <w:sz w:val="24"/>
          <w:szCs w:val="22"/>
          <w:u w:val="single"/>
          <w:lang w:eastAsia="zh-CN"/>
        </w:rPr>
        <w:t>中型企业、小型企业、微型企业</w:t>
      </w:r>
      <w:r>
        <w:rPr>
          <w:rFonts w:hint="eastAsia" w:ascii="宋体" w:hAnsi="宋体" w:eastAsia="宋体" w:cs="宋体"/>
          <w:sz w:val="24"/>
          <w:szCs w:val="22"/>
          <w:lang w:eastAsia="zh-CN"/>
        </w:rPr>
        <w:t>）；</w:t>
      </w:r>
    </w:p>
    <w:p w14:paraId="4F46238E">
      <w:pPr>
        <w:pStyle w:val="73"/>
        <w:numPr>
          <w:ilvl w:val="0"/>
          <w:numId w:val="0"/>
        </w:numPr>
        <w:rPr>
          <w:rFonts w:hint="eastAsia" w:ascii="宋体" w:hAnsi="宋体" w:eastAsia="宋体" w:cs="宋体"/>
          <w:lang w:eastAsia="zh-CN"/>
        </w:rPr>
      </w:pPr>
    </w:p>
    <w:p w14:paraId="4E64DFE5">
      <w:pPr>
        <w:pageBreakBefore w:val="0"/>
        <w:kinsoku/>
        <w:bidi w:val="0"/>
        <w:spacing w:line="360" w:lineRule="auto"/>
        <w:rPr>
          <w:rFonts w:hint="eastAsia" w:ascii="宋体" w:hAnsi="宋体" w:eastAsia="宋体" w:cs="宋体"/>
          <w:sz w:val="24"/>
          <w:szCs w:val="22"/>
          <w:lang w:eastAsia="zh-CN"/>
        </w:rPr>
      </w:pPr>
    </w:p>
    <w:p w14:paraId="57D43CF6">
      <w:pPr>
        <w:pageBreakBefore w:val="0"/>
        <w:kinsoku/>
        <w:bidi w:val="0"/>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lang w:eastAsia="zh-CN"/>
        </w:rPr>
        <w:t>以上企业，不属于大企业的分支机构，不存在控股股东为大企业的情形，也不存在与大企业的负责人为同一人的情形。</w:t>
      </w:r>
    </w:p>
    <w:p w14:paraId="09EAA4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sz w:val="24"/>
          <w:szCs w:val="22"/>
          <w:lang w:eastAsia="zh-CN"/>
        </w:rPr>
        <w:t>本企业对上述声明内容的真实性负责。如有虚假，将依法承担相应责任。</w:t>
      </w:r>
    </w:p>
    <w:p w14:paraId="284C50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p>
    <w:p w14:paraId="6DB9E6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p>
    <w:p w14:paraId="09B2B2E2">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供应商名称（</w:t>
      </w:r>
      <w:r>
        <w:rPr>
          <w:rFonts w:hint="eastAsia" w:ascii="宋体" w:hAnsi="宋体" w:eastAsia="宋体" w:cs="宋体"/>
          <w:snapToGrid w:val="0"/>
          <w:kern w:val="0"/>
          <w:sz w:val="24"/>
          <w:szCs w:val="24"/>
        </w:rPr>
        <w:t>公章</w:t>
      </w:r>
      <w:r>
        <w:rPr>
          <w:rFonts w:hint="eastAsia" w:asciiTheme="minorEastAsia" w:hAnsiTheme="minorEastAsia" w:eastAsiaTheme="minorEastAsia" w:cstheme="minorEastAsia"/>
          <w:kern w:val="2"/>
          <w:sz w:val="24"/>
          <w:szCs w:val="24"/>
          <w:highlight w:val="none"/>
          <w:lang w:val="en-US" w:eastAsia="zh-CN" w:bidi="ar-SA"/>
        </w:rPr>
        <w:t>）：</w:t>
      </w:r>
    </w:p>
    <w:p w14:paraId="4F2A9AD4">
      <w:pPr>
        <w:keepNext w:val="0"/>
        <w:keepLines w:val="0"/>
        <w:pageBreakBefore w:val="0"/>
        <w:widowControl w:val="0"/>
        <w:tabs>
          <w:tab w:val="left" w:pos="1680"/>
        </w:tabs>
        <w:kinsoku/>
        <w:wordWrap/>
        <w:overflowPunct/>
        <w:topLinePunct w:val="0"/>
        <w:autoSpaceDE/>
        <w:autoSpaceDN/>
        <w:bidi w:val="0"/>
        <w:adjustRightInd/>
        <w:snapToGrid w:val="0"/>
        <w:spacing w:line="500" w:lineRule="exact"/>
        <w:ind w:firstLine="5040" w:firstLineChars="2100"/>
        <w:jc w:val="both"/>
        <w:textAlignment w:val="auto"/>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kern w:val="2"/>
          <w:sz w:val="24"/>
          <w:szCs w:val="24"/>
          <w:highlight w:val="none"/>
          <w:lang w:val="en-US" w:eastAsia="zh-CN" w:bidi="ar-SA"/>
        </w:rPr>
        <w:t>日 期：</w:t>
      </w:r>
    </w:p>
    <w:p w14:paraId="43D81FF9">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7331D4B9">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29DF2DDC">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28928938">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1963D057">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09E73816">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val="en-US" w:eastAsia="zh-CN"/>
        </w:rPr>
      </w:pPr>
    </w:p>
    <w:p w14:paraId="73986795">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12、</w:t>
      </w:r>
      <w:r>
        <w:rPr>
          <w:rFonts w:hint="eastAsia" w:asciiTheme="minorEastAsia" w:hAnsiTheme="minorEastAsia" w:eastAsiaTheme="minorEastAsia" w:cstheme="minorEastAsia"/>
          <w:b/>
          <w:sz w:val="24"/>
          <w:szCs w:val="24"/>
          <w:highlight w:val="none"/>
        </w:rPr>
        <w:t>残疾人福利性单位声明函</w:t>
      </w:r>
    </w:p>
    <w:p w14:paraId="280C01D1">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本单位郑重声明，根据《财政部 民政部中国残疾人联合会关于促进残疾人就业政府采购政策的通知》（财库</w:t>
      </w: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〕141</w:t>
      </w:r>
      <w:r>
        <w:rPr>
          <w:rFonts w:hint="eastAsia" w:asciiTheme="minorEastAsia" w:hAnsiTheme="minorEastAsia" w:eastAsiaTheme="minorEastAsia" w:cstheme="minorEastAsia"/>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spacing w:val="6"/>
          <w:sz w:val="24"/>
          <w:szCs w:val="24"/>
          <w:highlight w:val="none"/>
          <w:lang w:eastAsia="zh-CN"/>
        </w:rPr>
        <w:t>贵</w:t>
      </w:r>
      <w:r>
        <w:rPr>
          <w:rFonts w:hint="eastAsia" w:asciiTheme="minorEastAsia" w:hAnsiTheme="minorEastAsia" w:eastAsiaTheme="minorEastAsia" w:cstheme="minorEastAsia"/>
          <w:spacing w:val="6"/>
          <w:sz w:val="24"/>
          <w:szCs w:val="24"/>
          <w:highlight w:val="none"/>
        </w:rPr>
        <w:t>单位的</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项目（项目编号：</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4AE2B1ED">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本单位对上述声明的真实性负责。如有虚假，将依法承担相应责任。</w:t>
      </w:r>
    </w:p>
    <w:p w14:paraId="09D00A6E">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p>
    <w:p w14:paraId="0DD17D2D">
      <w:pPr>
        <w:keepNext w:val="0"/>
        <w:keepLines w:val="0"/>
        <w:pageBreakBefore w:val="0"/>
        <w:widowControl w:val="0"/>
        <w:tabs>
          <w:tab w:val="left" w:pos="4860"/>
        </w:tabs>
        <w:kinsoku/>
        <w:wordWrap/>
        <w:overflowPunct/>
        <w:topLinePunct w:val="0"/>
        <w:autoSpaceDE/>
        <w:autoSpaceDN/>
        <w:bidi w:val="0"/>
        <w:adjustRightInd/>
        <w:snapToGrid/>
        <w:spacing w:line="700" w:lineRule="exact"/>
        <w:ind w:right="0" w:firstLine="504" w:firstLineChars="200"/>
        <w:jc w:val="center"/>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 xml:space="preserve">                         单位名称（</w:t>
      </w:r>
      <w:r>
        <w:rPr>
          <w:rFonts w:hint="eastAsia" w:ascii="宋体" w:hAnsi="宋体" w:eastAsia="宋体" w:cs="宋体"/>
          <w:snapToGrid w:val="0"/>
          <w:kern w:val="0"/>
          <w:sz w:val="24"/>
          <w:szCs w:val="24"/>
        </w:rPr>
        <w:t>公章</w:t>
      </w:r>
      <w:r>
        <w:rPr>
          <w:rFonts w:hint="eastAsia" w:asciiTheme="minorEastAsia" w:hAnsiTheme="minorEastAsia" w:eastAsiaTheme="minorEastAsia" w:cstheme="minorEastAsia"/>
          <w:spacing w:val="6"/>
          <w:sz w:val="24"/>
          <w:szCs w:val="24"/>
          <w:highlight w:val="none"/>
        </w:rPr>
        <w:t xml:space="preserve">）：                 </w:t>
      </w:r>
    </w:p>
    <w:p w14:paraId="49456C5D">
      <w:pPr>
        <w:pStyle w:val="15"/>
        <w:keepNext w:val="0"/>
        <w:keepLines w:val="0"/>
        <w:pageBreakBefore w:val="0"/>
        <w:widowControl w:val="0"/>
        <w:kinsoku/>
        <w:wordWrap/>
        <w:overflowPunct/>
        <w:topLinePunct w:val="0"/>
        <w:autoSpaceDE/>
        <w:autoSpaceDN/>
        <w:bidi w:val="0"/>
        <w:adjustRightInd/>
        <w:snapToGrid/>
        <w:spacing w:line="700" w:lineRule="exact"/>
        <w:ind w:firstLine="5760" w:firstLineChars="24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期：</w:t>
      </w:r>
    </w:p>
    <w:p w14:paraId="09F330B1">
      <w:pPr>
        <w:rPr>
          <w:rFonts w:hint="eastAsia" w:asciiTheme="minorEastAsia" w:hAnsiTheme="minorEastAsia" w:eastAsiaTheme="minorEastAsia" w:cstheme="minorEastAsia"/>
          <w:color w:val="auto"/>
          <w:highlight w:val="none"/>
        </w:rPr>
      </w:pPr>
    </w:p>
    <w:p w14:paraId="4F7B95F9">
      <w:pPr>
        <w:pStyle w:val="36"/>
        <w:rPr>
          <w:rFonts w:hint="eastAsia"/>
        </w:rPr>
      </w:pPr>
    </w:p>
    <w:p w14:paraId="0D52057A">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注：供应商不属于残疾人福利性单位的，可填写不适用。</w:t>
      </w:r>
    </w:p>
    <w:p w14:paraId="43E8B070">
      <w:pPr>
        <w:pStyle w:val="2"/>
        <w:outlineLvl w:val="0"/>
        <w:rPr>
          <w:rFonts w:hint="eastAsia" w:asciiTheme="minorEastAsia" w:hAnsiTheme="minorEastAsia" w:eastAsiaTheme="minorEastAsia" w:cstheme="minorEastAsia"/>
          <w:bCs/>
          <w:color w:val="auto"/>
          <w:sz w:val="32"/>
          <w:szCs w:val="32"/>
          <w:highlight w:val="none"/>
        </w:rPr>
      </w:pPr>
    </w:p>
    <w:p w14:paraId="2A7501CB">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lang w:val="en-US" w:eastAsia="zh-CN"/>
        </w:rPr>
      </w:pPr>
    </w:p>
    <w:p w14:paraId="62D2FE4C">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13、</w:t>
      </w:r>
      <w:r>
        <w:rPr>
          <w:rFonts w:hint="eastAsia" w:asciiTheme="minorEastAsia" w:hAnsiTheme="minorEastAsia" w:eastAsiaTheme="minorEastAsia" w:cstheme="minorEastAsia"/>
          <w:b/>
          <w:sz w:val="24"/>
          <w:szCs w:val="24"/>
          <w:highlight w:val="none"/>
        </w:rPr>
        <w:t xml:space="preserve">监狱企业证明文件 </w:t>
      </w:r>
    </w:p>
    <w:p w14:paraId="404F7830">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提供由监狱管理局、戒毒管理局（含新疆生产建设兵团）出具的属于监狱企业的证明文件。</w:t>
      </w:r>
    </w:p>
    <w:p w14:paraId="321BBA8B">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注：1、供应商不属于监狱企业的，可填写不适用。</w:t>
      </w:r>
    </w:p>
    <w:p w14:paraId="706395FF">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7C998D3D">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6DF5D818">
      <w:pPr>
        <w:tabs>
          <w:tab w:val="left" w:pos="1077"/>
        </w:tabs>
        <w:jc w:val="both"/>
        <w:outlineLvl w:val="9"/>
        <w:rPr>
          <w:rFonts w:hint="eastAsia" w:asciiTheme="minorEastAsia" w:hAnsiTheme="minorEastAsia" w:eastAsiaTheme="minorEastAsia" w:cstheme="minorEastAsia"/>
          <w:b/>
          <w:bCs/>
          <w:color w:val="auto"/>
          <w:sz w:val="30"/>
          <w:szCs w:val="30"/>
          <w:highlight w:val="none"/>
        </w:rPr>
      </w:pPr>
    </w:p>
    <w:p w14:paraId="5D7B3559">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756BE5C4">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0B34B153">
      <w:pPr>
        <w:tabs>
          <w:tab w:val="left" w:pos="1077"/>
        </w:tabs>
        <w:jc w:val="both"/>
        <w:outlineLvl w:val="9"/>
        <w:rPr>
          <w:rFonts w:hint="eastAsia" w:asciiTheme="minorEastAsia" w:hAnsiTheme="minorEastAsia" w:eastAsiaTheme="minorEastAsia" w:cstheme="minorEastAsia"/>
          <w:b/>
          <w:bCs/>
          <w:color w:val="auto"/>
          <w:sz w:val="72"/>
          <w:szCs w:val="72"/>
          <w:highlight w:val="none"/>
          <w:lang w:eastAsia="zh-CN"/>
        </w:rPr>
      </w:pPr>
    </w:p>
    <w:p w14:paraId="3A08FABB">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7F52AED5">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2F09279B">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34166BEC">
      <w:pPr>
        <w:pStyle w:val="49"/>
        <w:rPr>
          <w:rFonts w:hint="eastAsia"/>
          <w:lang w:eastAsia="zh-CN"/>
        </w:rPr>
      </w:pPr>
    </w:p>
    <w:p w14:paraId="3021CAF7">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r>
        <w:rPr>
          <w:rFonts w:hint="eastAsia" w:asciiTheme="minorEastAsia" w:hAnsiTheme="minorEastAsia" w:eastAsiaTheme="minorEastAsia" w:cstheme="minorEastAsia"/>
          <w:b/>
          <w:bCs/>
          <w:color w:val="auto"/>
          <w:sz w:val="72"/>
          <w:szCs w:val="72"/>
          <w:highlight w:val="none"/>
          <w:lang w:eastAsia="zh-CN"/>
        </w:rPr>
        <w:t>二、技术</w:t>
      </w:r>
      <w:r>
        <w:rPr>
          <w:rFonts w:hint="eastAsia" w:asciiTheme="minorEastAsia" w:hAnsiTheme="minorEastAsia" w:eastAsiaTheme="minorEastAsia" w:cstheme="minorEastAsia"/>
          <w:b/>
          <w:bCs/>
          <w:color w:val="auto"/>
          <w:sz w:val="72"/>
          <w:szCs w:val="72"/>
          <w:highlight w:val="none"/>
          <w:lang w:val="en-US" w:eastAsia="zh-CN"/>
        </w:rPr>
        <w:t>部分</w:t>
      </w:r>
    </w:p>
    <w:p w14:paraId="4A454832">
      <w:pPr>
        <w:pStyle w:val="2"/>
        <w:rPr>
          <w:rFonts w:hint="eastAsia" w:asciiTheme="minorEastAsia" w:hAnsiTheme="minorEastAsia" w:eastAsiaTheme="minorEastAsia" w:cstheme="minorEastAsia"/>
          <w:color w:val="auto"/>
          <w:highlight w:val="none"/>
        </w:rPr>
      </w:pPr>
    </w:p>
    <w:p w14:paraId="6F88974A">
      <w:pPr>
        <w:pStyle w:val="2"/>
        <w:rPr>
          <w:rFonts w:hint="eastAsia" w:asciiTheme="minorEastAsia" w:hAnsiTheme="minorEastAsia" w:eastAsiaTheme="minorEastAsia" w:cstheme="minorEastAsia"/>
          <w:color w:val="auto"/>
          <w:highlight w:val="none"/>
        </w:rPr>
      </w:pPr>
    </w:p>
    <w:p w14:paraId="262D316F">
      <w:pPr>
        <w:rPr>
          <w:rFonts w:hint="eastAsia" w:asciiTheme="minorEastAsia" w:hAnsiTheme="minorEastAsia" w:eastAsiaTheme="minorEastAsia" w:cstheme="minorEastAsia"/>
          <w:highlight w:val="none"/>
        </w:rPr>
      </w:pPr>
    </w:p>
    <w:p w14:paraId="3C7ED457">
      <w:pPr>
        <w:rPr>
          <w:rFonts w:hint="eastAsia" w:asciiTheme="minorEastAsia" w:hAnsiTheme="minorEastAsia" w:eastAsiaTheme="minorEastAsia" w:cstheme="minorEastAsia"/>
          <w:highlight w:val="none"/>
        </w:rPr>
      </w:pPr>
    </w:p>
    <w:p w14:paraId="0243B563">
      <w:pPr>
        <w:rPr>
          <w:rFonts w:hint="eastAsia" w:asciiTheme="minorEastAsia" w:hAnsiTheme="minorEastAsia" w:eastAsiaTheme="minorEastAsia" w:cstheme="minorEastAsia"/>
          <w:highlight w:val="none"/>
        </w:rPr>
      </w:pPr>
    </w:p>
    <w:p w14:paraId="6488AE7C">
      <w:pPr>
        <w:rPr>
          <w:rFonts w:hint="eastAsia" w:asciiTheme="minorEastAsia" w:hAnsiTheme="minorEastAsia" w:eastAsiaTheme="minorEastAsia" w:cstheme="minorEastAsia"/>
          <w:highlight w:val="none"/>
        </w:rPr>
      </w:pPr>
    </w:p>
    <w:p w14:paraId="6D6D6ADD">
      <w:pPr>
        <w:rPr>
          <w:rFonts w:hint="eastAsia" w:asciiTheme="minorEastAsia" w:hAnsiTheme="minorEastAsia" w:eastAsiaTheme="minorEastAsia" w:cstheme="minorEastAsia"/>
          <w:highlight w:val="none"/>
        </w:rPr>
      </w:pPr>
    </w:p>
    <w:p w14:paraId="576F347E">
      <w:pPr>
        <w:rPr>
          <w:rFonts w:hint="eastAsia" w:asciiTheme="minorEastAsia" w:hAnsiTheme="minorEastAsia" w:eastAsiaTheme="minorEastAsia" w:cstheme="minorEastAsia"/>
          <w:highlight w:val="none"/>
        </w:rPr>
      </w:pPr>
    </w:p>
    <w:p w14:paraId="26129615">
      <w:pPr>
        <w:rPr>
          <w:rFonts w:hint="eastAsia" w:asciiTheme="minorEastAsia" w:hAnsiTheme="minorEastAsia" w:eastAsiaTheme="minorEastAsia" w:cstheme="minorEastAsia"/>
          <w:highlight w:val="none"/>
        </w:rPr>
      </w:pPr>
    </w:p>
    <w:p w14:paraId="3232DBBA">
      <w:pPr>
        <w:pStyle w:val="73"/>
        <w:rPr>
          <w:rFonts w:hint="eastAsia"/>
        </w:rPr>
      </w:pPr>
    </w:p>
    <w:p w14:paraId="019A8B7A">
      <w:pPr>
        <w:rPr>
          <w:rFonts w:hint="eastAsia" w:asciiTheme="minorEastAsia" w:hAnsiTheme="minorEastAsia" w:eastAsiaTheme="minorEastAsia" w:cstheme="minorEastAsia"/>
          <w:highlight w:val="none"/>
        </w:rPr>
      </w:pPr>
    </w:p>
    <w:p w14:paraId="3C75871B">
      <w:pPr>
        <w:rPr>
          <w:rFonts w:hint="eastAsia" w:asciiTheme="minorEastAsia" w:hAnsiTheme="minorEastAsia" w:eastAsiaTheme="minorEastAsia" w:cstheme="minorEastAsia"/>
          <w:highlight w:val="none"/>
        </w:rPr>
      </w:pPr>
    </w:p>
    <w:p w14:paraId="7C3F30B1">
      <w:pPr>
        <w:rPr>
          <w:rFonts w:hint="eastAsia" w:asciiTheme="minorEastAsia" w:hAnsiTheme="minorEastAsia" w:eastAsiaTheme="minorEastAsia" w:cstheme="minorEastAsia"/>
          <w:highlight w:val="none"/>
        </w:rPr>
      </w:pPr>
    </w:p>
    <w:p w14:paraId="471A44F3">
      <w:pPr>
        <w:rPr>
          <w:rFonts w:hint="eastAsia" w:asciiTheme="minorEastAsia" w:hAnsiTheme="minorEastAsia" w:eastAsiaTheme="minorEastAsia" w:cstheme="minorEastAsia"/>
          <w:highlight w:val="none"/>
        </w:rPr>
      </w:pPr>
    </w:p>
    <w:p w14:paraId="5BDF58E3">
      <w:pPr>
        <w:rPr>
          <w:rFonts w:hint="eastAsia" w:asciiTheme="minorEastAsia" w:hAnsiTheme="minorEastAsia" w:eastAsiaTheme="minorEastAsia" w:cstheme="minorEastAsia"/>
          <w:highlight w:val="none"/>
        </w:rPr>
      </w:pPr>
    </w:p>
    <w:p w14:paraId="6F49E44E">
      <w:pPr>
        <w:rPr>
          <w:rFonts w:hint="eastAsia" w:asciiTheme="minorEastAsia" w:hAnsiTheme="minorEastAsia" w:eastAsiaTheme="minorEastAsia" w:cstheme="minorEastAsia"/>
          <w:highlight w:val="none"/>
        </w:rPr>
      </w:pPr>
    </w:p>
    <w:p w14:paraId="61324E19">
      <w:pPr>
        <w:rPr>
          <w:rFonts w:hint="eastAsia" w:asciiTheme="minorEastAsia" w:hAnsiTheme="minorEastAsia" w:eastAsiaTheme="minorEastAsia" w:cstheme="minorEastAsia"/>
          <w:highlight w:val="none"/>
        </w:rPr>
      </w:pPr>
    </w:p>
    <w:p w14:paraId="3566E65F">
      <w:pPr>
        <w:rPr>
          <w:rFonts w:hint="eastAsia" w:asciiTheme="minorEastAsia" w:hAnsiTheme="minorEastAsia" w:eastAsiaTheme="minorEastAsia" w:cstheme="minorEastAsia"/>
          <w:highlight w:val="none"/>
        </w:rPr>
      </w:pPr>
    </w:p>
    <w:p w14:paraId="5CCBBC51">
      <w:pPr>
        <w:rPr>
          <w:rFonts w:hint="eastAsia" w:asciiTheme="minorEastAsia" w:hAnsiTheme="minorEastAsia" w:eastAsiaTheme="minorEastAsia" w:cstheme="minorEastAsia"/>
          <w:highlight w:val="none"/>
        </w:rPr>
      </w:pPr>
    </w:p>
    <w:p w14:paraId="233CF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
          <w:szCs w:val="2"/>
          <w:highlight w:val="none"/>
          <w:lang w:val="en-US" w:eastAsia="zh-CN"/>
        </w:rPr>
      </w:pPr>
    </w:p>
    <w:p w14:paraId="45F29907">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5EF45F56">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31F07C82">
      <w:pPr>
        <w:keepNext w:val="0"/>
        <w:keepLines w:val="0"/>
        <w:pageBreakBefore w:val="0"/>
        <w:widowControl w:val="0"/>
        <w:kinsoku/>
        <w:wordWrap/>
        <w:overflowPunct/>
        <w:topLinePunct w:val="0"/>
        <w:autoSpaceDE/>
        <w:autoSpaceDN/>
        <w:bidi w:val="0"/>
        <w:adjustRightInd/>
        <w:snapToGrid/>
        <w:spacing w:before="157" w:beforeLines="50" w:after="313" w:afterLines="100"/>
        <w:jc w:val="both"/>
        <w:textAlignment w:val="auto"/>
        <w:rPr>
          <w:rFonts w:hint="eastAsia" w:asciiTheme="minorEastAsia" w:hAnsiTheme="minorEastAsia" w:eastAsiaTheme="minorEastAsia" w:cstheme="minorEastAsia"/>
          <w:b/>
          <w:bCs/>
          <w:sz w:val="28"/>
          <w:szCs w:val="28"/>
          <w:highlight w:val="none"/>
          <w:lang w:val="en-US" w:eastAsia="zh-CN"/>
        </w:rPr>
      </w:pPr>
    </w:p>
    <w:p w14:paraId="702ED260">
      <w:pPr>
        <w:pStyle w:val="49"/>
        <w:rPr>
          <w:rFonts w:hint="eastAsia" w:asciiTheme="minorEastAsia" w:hAnsiTheme="minorEastAsia" w:eastAsiaTheme="minorEastAsia" w:cstheme="minorEastAsia"/>
          <w:b/>
          <w:bCs/>
          <w:sz w:val="28"/>
          <w:szCs w:val="28"/>
          <w:highlight w:val="none"/>
          <w:lang w:val="en-US" w:eastAsia="zh-CN"/>
        </w:rPr>
      </w:pPr>
    </w:p>
    <w:p w14:paraId="051DCB16">
      <w:pPr>
        <w:pStyle w:val="49"/>
        <w:rPr>
          <w:rFonts w:hint="eastAsia" w:asciiTheme="minorEastAsia" w:hAnsiTheme="minorEastAsia" w:eastAsiaTheme="minorEastAsia" w:cstheme="minorEastAsia"/>
          <w:b/>
          <w:bCs/>
          <w:sz w:val="28"/>
          <w:szCs w:val="28"/>
          <w:highlight w:val="none"/>
          <w:lang w:val="en-US" w:eastAsia="zh-CN"/>
        </w:rPr>
      </w:pPr>
    </w:p>
    <w:p w14:paraId="7CCF06B0">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1、磋商报价一览表</w:t>
      </w:r>
      <w:r>
        <w:rPr>
          <w:rFonts w:hint="eastAsia" w:ascii="宋体" w:hAnsi="宋体" w:eastAsia="宋体" w:cs="宋体"/>
          <w:b/>
          <w:sz w:val="28"/>
          <w:szCs w:val="28"/>
        </w:rPr>
        <w:t>（格式）</w:t>
      </w:r>
    </w:p>
    <w:tbl>
      <w:tblPr>
        <w:tblStyle w:val="5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5524"/>
      </w:tblGrid>
      <w:tr w14:paraId="01D5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3269C0C4">
            <w:pPr>
              <w:jc w:val="center"/>
              <w:rPr>
                <w:rFonts w:hint="eastAsia" w:asciiTheme="minorEastAsia" w:hAnsiTheme="minorEastAsia" w:eastAsiaTheme="minorEastAsia" w:cstheme="minorEastAsia"/>
                <w:b w:val="0"/>
                <w:bCs w:val="0"/>
                <w:sz w:val="24"/>
                <w:szCs w:val="24"/>
                <w:highlight w:val="none"/>
                <w:lang w:eastAsia="zh-CN"/>
              </w:rPr>
            </w:pPr>
            <w:r>
              <w:rPr>
                <w:rFonts w:hint="eastAsia" w:ascii="宋体" w:hAnsi="宋体" w:cs="宋体"/>
                <w:snapToGrid w:val="0"/>
                <w:color w:val="000000" w:themeColor="text1"/>
                <w:kern w:val="0"/>
                <w:sz w:val="24"/>
                <w:szCs w:val="24"/>
                <w:highlight w:val="none"/>
                <w:u w:val="non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名称</w:t>
            </w:r>
          </w:p>
        </w:tc>
        <w:tc>
          <w:tcPr>
            <w:tcW w:w="5524" w:type="dxa"/>
            <w:vAlign w:val="center"/>
          </w:tcPr>
          <w:p w14:paraId="0D9875D2">
            <w:pPr>
              <w:jc w:val="center"/>
              <w:rPr>
                <w:rFonts w:hint="eastAsia" w:asciiTheme="minorEastAsia" w:hAnsiTheme="minorEastAsia" w:eastAsiaTheme="minorEastAsia" w:cstheme="minorEastAsia"/>
                <w:b w:val="0"/>
                <w:bCs w:val="0"/>
                <w:sz w:val="24"/>
                <w:szCs w:val="24"/>
                <w:highlight w:val="none"/>
              </w:rPr>
            </w:pPr>
          </w:p>
        </w:tc>
      </w:tr>
      <w:tr w14:paraId="708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Merge w:val="restart"/>
            <w:vAlign w:val="center"/>
          </w:tcPr>
          <w:p w14:paraId="0E9B5F9C">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磋商</w:t>
            </w:r>
            <w:r>
              <w:rPr>
                <w:rFonts w:hint="eastAsia" w:asciiTheme="minorEastAsia" w:hAnsiTheme="minorEastAsia" w:eastAsiaTheme="minorEastAsia" w:cstheme="minorEastAsia"/>
                <w:b w:val="0"/>
                <w:bCs w:val="0"/>
                <w:sz w:val="24"/>
                <w:szCs w:val="24"/>
                <w:highlight w:val="none"/>
                <w:lang w:eastAsia="zh-CN"/>
              </w:rPr>
              <w:t>报价（元）</w:t>
            </w:r>
          </w:p>
        </w:tc>
        <w:tc>
          <w:tcPr>
            <w:tcW w:w="5524" w:type="dxa"/>
            <w:vAlign w:val="center"/>
          </w:tcPr>
          <w:p w14:paraId="3D52CA8D">
            <w:pPr>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r>
              <w:rPr>
                <w:rFonts w:hint="eastAsia" w:asciiTheme="minorEastAsia" w:hAnsiTheme="minorEastAsia" w:eastAsiaTheme="minorEastAsia" w:cstheme="minorEastAsia"/>
                <w:b w:val="0"/>
                <w:bCs w:val="0"/>
                <w:sz w:val="24"/>
                <w:szCs w:val="24"/>
                <w:highlight w:val="none"/>
                <w:lang w:eastAsia="zh-CN"/>
              </w:rPr>
              <w:t>大写：</w:t>
            </w:r>
            <w:r>
              <w:rPr>
                <w:rFonts w:hint="eastAsia" w:asciiTheme="minorEastAsia" w:hAnsiTheme="minorEastAsia" w:eastAsiaTheme="minorEastAsia" w:cstheme="minorEastAsia"/>
                <w:b w:val="0"/>
                <w:bCs w:val="0"/>
                <w:sz w:val="24"/>
                <w:szCs w:val="24"/>
                <w:highlight w:val="none"/>
                <w:u w:val="none"/>
                <w:lang w:val="en-US" w:eastAsia="zh-CN"/>
              </w:rPr>
              <w:t>每年</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元</w:t>
            </w:r>
          </w:p>
          <w:p w14:paraId="03B06A7E">
            <w:pPr>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三年合计：</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元</w:t>
            </w:r>
          </w:p>
        </w:tc>
      </w:tr>
      <w:tr w14:paraId="1D9F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Merge w:val="continue"/>
            <w:vAlign w:val="center"/>
          </w:tcPr>
          <w:p w14:paraId="118F073C">
            <w:pPr>
              <w:jc w:val="center"/>
              <w:rPr>
                <w:rFonts w:hint="eastAsia" w:asciiTheme="minorEastAsia" w:hAnsiTheme="minorEastAsia" w:eastAsiaTheme="minorEastAsia" w:cstheme="minorEastAsia"/>
                <w:b w:val="0"/>
                <w:bCs w:val="0"/>
                <w:sz w:val="24"/>
                <w:szCs w:val="24"/>
                <w:highlight w:val="none"/>
              </w:rPr>
            </w:pPr>
          </w:p>
        </w:tc>
        <w:tc>
          <w:tcPr>
            <w:tcW w:w="5524" w:type="dxa"/>
            <w:vAlign w:val="center"/>
          </w:tcPr>
          <w:p w14:paraId="2DDBEF72">
            <w:pPr>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r>
              <w:rPr>
                <w:rFonts w:hint="eastAsia" w:asciiTheme="minorEastAsia" w:hAnsiTheme="minorEastAsia" w:eastAsiaTheme="minorEastAsia" w:cstheme="minorEastAsia"/>
                <w:b w:val="0"/>
                <w:bCs w:val="0"/>
                <w:sz w:val="24"/>
                <w:szCs w:val="24"/>
                <w:highlight w:val="none"/>
                <w:lang w:eastAsia="zh-CN"/>
              </w:rPr>
              <w:t>小写：</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元</w:t>
            </w:r>
            <w:r>
              <w:rPr>
                <w:rFonts w:hint="eastAsia" w:asciiTheme="minorEastAsia" w:hAnsiTheme="minorEastAsia" w:eastAsiaTheme="minorEastAsia" w:cstheme="minorEastAsia"/>
                <w:b w:val="0"/>
                <w:bCs w:val="0"/>
                <w:sz w:val="24"/>
                <w:szCs w:val="24"/>
                <w:highlight w:val="none"/>
                <w:lang w:val="en-US" w:eastAsia="zh-CN"/>
              </w:rPr>
              <w:t>/年</w:t>
            </w:r>
          </w:p>
          <w:p w14:paraId="70375DE5">
            <w:pPr>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三年合计：</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元</w:t>
            </w:r>
          </w:p>
        </w:tc>
      </w:tr>
      <w:tr w14:paraId="301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2948026B">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合同履行期限</w:t>
            </w:r>
          </w:p>
        </w:tc>
        <w:tc>
          <w:tcPr>
            <w:tcW w:w="5524" w:type="dxa"/>
            <w:vAlign w:val="center"/>
          </w:tcPr>
          <w:p w14:paraId="15B00C7F">
            <w:pPr>
              <w:jc w:val="both"/>
              <w:rPr>
                <w:rFonts w:hint="eastAsia" w:asciiTheme="minorEastAsia" w:hAnsiTheme="minorEastAsia" w:eastAsiaTheme="minorEastAsia" w:cstheme="minorEastAsia"/>
                <w:b w:val="0"/>
                <w:bCs w:val="0"/>
                <w:sz w:val="24"/>
                <w:szCs w:val="24"/>
                <w:highlight w:val="none"/>
                <w:lang w:eastAsia="zh-CN"/>
              </w:rPr>
            </w:pPr>
          </w:p>
        </w:tc>
      </w:tr>
      <w:tr w14:paraId="5E47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081F6713">
            <w:pPr>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质量</w:t>
            </w:r>
            <w:r>
              <w:rPr>
                <w:rFonts w:hint="eastAsia" w:asciiTheme="minorEastAsia" w:hAnsiTheme="minorEastAsia" w:eastAsiaTheme="minorEastAsia" w:cstheme="minorEastAsia"/>
                <w:b w:val="0"/>
                <w:bCs w:val="0"/>
                <w:sz w:val="24"/>
                <w:szCs w:val="24"/>
                <w:highlight w:val="none"/>
                <w:lang w:val="en-US" w:eastAsia="zh-CN"/>
              </w:rPr>
              <w:t>标准</w:t>
            </w:r>
          </w:p>
        </w:tc>
        <w:tc>
          <w:tcPr>
            <w:tcW w:w="5524" w:type="dxa"/>
            <w:vAlign w:val="center"/>
          </w:tcPr>
          <w:p w14:paraId="05AB443F">
            <w:pPr>
              <w:jc w:val="both"/>
              <w:rPr>
                <w:rFonts w:hint="eastAsia" w:asciiTheme="minorEastAsia" w:hAnsiTheme="minorEastAsia" w:eastAsiaTheme="minorEastAsia" w:cstheme="minorEastAsia"/>
                <w:b w:val="0"/>
                <w:bCs w:val="0"/>
                <w:sz w:val="24"/>
                <w:szCs w:val="24"/>
                <w:highlight w:val="none"/>
                <w:lang w:eastAsia="zh-CN"/>
              </w:rPr>
            </w:pPr>
          </w:p>
        </w:tc>
      </w:tr>
      <w:tr w14:paraId="3623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201E97C6">
            <w:pPr>
              <w:jc w:val="center"/>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项目负责人</w:t>
            </w:r>
          </w:p>
        </w:tc>
        <w:tc>
          <w:tcPr>
            <w:tcW w:w="5524" w:type="dxa"/>
            <w:vAlign w:val="center"/>
          </w:tcPr>
          <w:p w14:paraId="338F9716">
            <w:pPr>
              <w:jc w:val="both"/>
              <w:rPr>
                <w:rFonts w:hint="eastAsia" w:asciiTheme="minorEastAsia" w:hAnsiTheme="minorEastAsia" w:eastAsiaTheme="minorEastAsia" w:cstheme="minorEastAsia"/>
                <w:b w:val="0"/>
                <w:bCs w:val="0"/>
                <w:sz w:val="24"/>
                <w:szCs w:val="24"/>
                <w:highlight w:val="none"/>
                <w:lang w:val="en-US" w:eastAsia="zh-CN"/>
              </w:rPr>
            </w:pPr>
          </w:p>
        </w:tc>
      </w:tr>
      <w:tr w14:paraId="3E54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68C2D903">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备注</w:t>
            </w:r>
          </w:p>
        </w:tc>
        <w:tc>
          <w:tcPr>
            <w:tcW w:w="5524" w:type="dxa"/>
            <w:vAlign w:val="center"/>
          </w:tcPr>
          <w:p w14:paraId="73F5EF6C">
            <w:pPr>
              <w:jc w:val="both"/>
              <w:rPr>
                <w:rFonts w:hint="eastAsia" w:asciiTheme="minorEastAsia" w:hAnsiTheme="minorEastAsia" w:eastAsiaTheme="minorEastAsia" w:cstheme="minorEastAsia"/>
                <w:b w:val="0"/>
                <w:bCs w:val="0"/>
                <w:sz w:val="24"/>
                <w:szCs w:val="24"/>
                <w:highlight w:val="none"/>
                <w:lang w:eastAsia="zh-CN"/>
              </w:rPr>
            </w:pPr>
          </w:p>
        </w:tc>
      </w:tr>
    </w:tbl>
    <w:p w14:paraId="294F9DA6">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lang w:eastAsia="zh-CN"/>
        </w:rPr>
      </w:pPr>
    </w:p>
    <w:p w14:paraId="2256D6AB">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3C0CFB67">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7B1F99DE">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46C2DE34">
      <w:pPr>
        <w:rPr>
          <w:rFonts w:hint="eastAsia" w:asciiTheme="minorEastAsia" w:hAnsiTheme="minorEastAsia" w:eastAsiaTheme="minorEastAsia" w:cstheme="minorEastAsia"/>
          <w:b/>
          <w:bCs/>
          <w:sz w:val="28"/>
          <w:szCs w:val="28"/>
          <w:highlight w:val="none"/>
          <w:lang w:val="en-US" w:eastAsia="zh-CN"/>
        </w:rPr>
      </w:pPr>
    </w:p>
    <w:p w14:paraId="2696B6CA">
      <w:pPr>
        <w:spacing w:before="104" w:line="360" w:lineRule="auto"/>
        <w:outlineLvl w:val="1"/>
        <w:rPr>
          <w:rFonts w:hint="eastAsia" w:asciiTheme="minorEastAsia" w:hAnsiTheme="minorEastAsia" w:eastAsiaTheme="minorEastAsia" w:cstheme="minorEastAsia"/>
          <w:spacing w:val="-1"/>
          <w:sz w:val="32"/>
          <w:szCs w:val="32"/>
          <w14:textOutline w14:w="5791" w14:cap="flat" w14:cmpd="sng">
            <w14:solidFill>
              <w14:srgbClr w14:val="000000"/>
            </w14:solidFill>
            <w14:prstDash w14:val="solid"/>
            <w14:miter w14:val="0"/>
          </w14:textOutline>
        </w:rPr>
      </w:pPr>
    </w:p>
    <w:p w14:paraId="0F1BF38F">
      <w:pPr>
        <w:pStyle w:val="12"/>
        <w:rPr>
          <w:rFonts w:hint="eastAsia"/>
        </w:rPr>
      </w:pPr>
    </w:p>
    <w:p w14:paraId="77CC7E2B">
      <w:pPr>
        <w:rPr>
          <w:rFonts w:hint="default"/>
          <w:highlight w:val="none"/>
          <w:lang w:val="en-US" w:eastAsia="zh-CN"/>
        </w:rPr>
      </w:pPr>
    </w:p>
    <w:p w14:paraId="7CA88DF4">
      <w:pPr>
        <w:rPr>
          <w:rFonts w:hint="default"/>
          <w:highlight w:val="none"/>
          <w:lang w:val="en-US" w:eastAsia="zh-CN"/>
        </w:rPr>
      </w:pPr>
    </w:p>
    <w:p w14:paraId="0FF636DC">
      <w:pPr>
        <w:rPr>
          <w:rFonts w:hint="default"/>
          <w:highlight w:val="none"/>
          <w:lang w:val="en-US" w:eastAsia="zh-CN"/>
        </w:rPr>
      </w:pPr>
    </w:p>
    <w:p w14:paraId="1AA318E6">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default"/>
          <w:highlight w:val="none"/>
          <w:lang w:val="en-US" w:eastAsia="zh-CN"/>
        </w:rPr>
      </w:pPr>
      <w:r>
        <w:rPr>
          <w:rFonts w:hint="eastAsia" w:asciiTheme="minorEastAsia" w:hAnsiTheme="minorEastAsia" w:eastAsiaTheme="minorEastAsia" w:cstheme="minorEastAsia"/>
          <w:b/>
          <w:bCs/>
          <w:sz w:val="28"/>
          <w:szCs w:val="28"/>
          <w:highlight w:val="none"/>
          <w:lang w:val="en-US" w:eastAsia="zh-CN"/>
        </w:rPr>
        <w:t xml:space="preserve">报价明细表（年费用）              </w:t>
      </w:r>
    </w:p>
    <w:tbl>
      <w:tblPr>
        <w:tblStyle w:val="391"/>
        <w:tblW w:w="9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
        <w:gridCol w:w="982"/>
        <w:gridCol w:w="1417"/>
        <w:gridCol w:w="816"/>
        <w:gridCol w:w="934"/>
        <w:gridCol w:w="1616"/>
        <w:gridCol w:w="1717"/>
        <w:gridCol w:w="1533"/>
      </w:tblGrid>
      <w:tr w14:paraId="582FA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602" w:type="dxa"/>
            <w:vAlign w:val="center"/>
          </w:tcPr>
          <w:p w14:paraId="3388C5CA">
            <w:pPr>
              <w:pStyle w:val="397"/>
              <w:spacing w:before="199" w:line="221" w:lineRule="auto"/>
              <w:jc w:val="center"/>
              <w:rPr>
                <w:sz w:val="24"/>
                <w:szCs w:val="24"/>
              </w:rPr>
            </w:pPr>
            <w:r>
              <w:rPr>
                <w:spacing w:val="-9"/>
                <w:w w:val="95"/>
                <w:sz w:val="24"/>
                <w:szCs w:val="24"/>
              </w:rPr>
              <w:t>序</w:t>
            </w:r>
            <w:r>
              <w:rPr>
                <w:spacing w:val="-7"/>
                <w:w w:val="95"/>
                <w:sz w:val="24"/>
                <w:szCs w:val="24"/>
              </w:rPr>
              <w:t>号</w:t>
            </w:r>
          </w:p>
        </w:tc>
        <w:tc>
          <w:tcPr>
            <w:tcW w:w="982" w:type="dxa"/>
            <w:vAlign w:val="center"/>
          </w:tcPr>
          <w:p w14:paraId="6CB5086C">
            <w:pPr>
              <w:pStyle w:val="397"/>
              <w:spacing w:before="199" w:line="219" w:lineRule="auto"/>
              <w:ind w:left="120"/>
              <w:jc w:val="center"/>
              <w:rPr>
                <w:sz w:val="24"/>
                <w:szCs w:val="24"/>
              </w:rPr>
            </w:pPr>
            <w:r>
              <w:rPr>
                <w:spacing w:val="-1"/>
                <w:sz w:val="24"/>
                <w:szCs w:val="24"/>
              </w:rPr>
              <w:t>类别</w:t>
            </w:r>
          </w:p>
        </w:tc>
        <w:tc>
          <w:tcPr>
            <w:tcW w:w="1417" w:type="dxa"/>
            <w:vAlign w:val="center"/>
          </w:tcPr>
          <w:p w14:paraId="56889439">
            <w:pPr>
              <w:pStyle w:val="397"/>
              <w:spacing w:before="200" w:line="221" w:lineRule="auto"/>
              <w:ind w:left="310"/>
              <w:jc w:val="center"/>
              <w:rPr>
                <w:sz w:val="24"/>
                <w:szCs w:val="24"/>
              </w:rPr>
            </w:pPr>
            <w:r>
              <w:rPr>
                <w:spacing w:val="-2"/>
                <w:sz w:val="24"/>
                <w:szCs w:val="24"/>
              </w:rPr>
              <w:t>名称</w:t>
            </w:r>
          </w:p>
        </w:tc>
        <w:tc>
          <w:tcPr>
            <w:tcW w:w="816" w:type="dxa"/>
            <w:vAlign w:val="center"/>
          </w:tcPr>
          <w:p w14:paraId="69C5A4BB">
            <w:pPr>
              <w:pStyle w:val="397"/>
              <w:spacing w:before="199" w:line="220" w:lineRule="auto"/>
              <w:ind w:left="72"/>
              <w:jc w:val="center"/>
              <w:rPr>
                <w:sz w:val="24"/>
                <w:szCs w:val="24"/>
              </w:rPr>
            </w:pPr>
            <w:r>
              <w:rPr>
                <w:spacing w:val="-2"/>
                <w:sz w:val="24"/>
                <w:szCs w:val="24"/>
              </w:rPr>
              <w:t>单位</w:t>
            </w:r>
          </w:p>
        </w:tc>
        <w:tc>
          <w:tcPr>
            <w:tcW w:w="934" w:type="dxa"/>
            <w:vAlign w:val="center"/>
          </w:tcPr>
          <w:p w14:paraId="180B0EF7">
            <w:pPr>
              <w:pStyle w:val="397"/>
              <w:spacing w:before="199" w:line="219" w:lineRule="auto"/>
              <w:ind w:left="74"/>
              <w:jc w:val="center"/>
              <w:rPr>
                <w:sz w:val="24"/>
                <w:szCs w:val="24"/>
              </w:rPr>
            </w:pPr>
            <w:r>
              <w:rPr>
                <w:spacing w:val="-2"/>
                <w:sz w:val="24"/>
                <w:szCs w:val="24"/>
              </w:rPr>
              <w:t>数量</w:t>
            </w:r>
          </w:p>
        </w:tc>
        <w:tc>
          <w:tcPr>
            <w:tcW w:w="1616" w:type="dxa"/>
            <w:vAlign w:val="center"/>
          </w:tcPr>
          <w:p w14:paraId="3E9CF298">
            <w:pPr>
              <w:pStyle w:val="397"/>
              <w:spacing w:line="217" w:lineRule="auto"/>
              <w:ind w:left="117"/>
              <w:jc w:val="center"/>
              <w:rPr>
                <w:sz w:val="24"/>
                <w:szCs w:val="24"/>
              </w:rPr>
            </w:pPr>
          </w:p>
          <w:p w14:paraId="043B3883">
            <w:pPr>
              <w:pStyle w:val="397"/>
              <w:spacing w:line="217" w:lineRule="auto"/>
              <w:ind w:left="117"/>
              <w:jc w:val="center"/>
              <w:rPr>
                <w:sz w:val="24"/>
                <w:szCs w:val="24"/>
              </w:rPr>
            </w:pPr>
            <w:r>
              <w:rPr>
                <w:sz w:val="24"/>
                <w:szCs w:val="24"/>
              </w:rPr>
              <w:t>维修保养单价</w:t>
            </w:r>
          </w:p>
          <w:p w14:paraId="5A4D0396">
            <w:pPr>
              <w:pStyle w:val="397"/>
              <w:spacing w:line="217" w:lineRule="auto"/>
              <w:ind w:left="117"/>
              <w:jc w:val="center"/>
              <w:rPr>
                <w:rFonts w:hint="eastAsia" w:eastAsia="宋体"/>
                <w:sz w:val="24"/>
                <w:szCs w:val="24"/>
                <w:lang w:eastAsia="zh-CN"/>
              </w:rPr>
            </w:pPr>
            <w:r>
              <w:rPr>
                <w:rFonts w:hint="eastAsia"/>
                <w:sz w:val="24"/>
                <w:szCs w:val="24"/>
                <w:lang w:eastAsia="zh-CN"/>
              </w:rPr>
              <w:t>（</w:t>
            </w:r>
            <w:r>
              <w:rPr>
                <w:rFonts w:hint="eastAsia"/>
                <w:sz w:val="24"/>
                <w:szCs w:val="24"/>
                <w:lang w:val="en-US" w:eastAsia="zh-CN"/>
              </w:rPr>
              <w:t>元</w:t>
            </w:r>
            <w:r>
              <w:rPr>
                <w:rFonts w:hint="eastAsia"/>
                <w:sz w:val="24"/>
                <w:szCs w:val="24"/>
                <w:lang w:eastAsia="zh-CN"/>
              </w:rPr>
              <w:t>）</w:t>
            </w:r>
          </w:p>
          <w:p w14:paraId="0664D3C7">
            <w:pPr>
              <w:pStyle w:val="397"/>
              <w:spacing w:line="217" w:lineRule="auto"/>
              <w:ind w:left="117"/>
              <w:jc w:val="center"/>
              <w:rPr>
                <w:sz w:val="24"/>
                <w:szCs w:val="24"/>
              </w:rPr>
            </w:pPr>
            <w:r>
              <w:rPr>
                <w:sz w:val="24"/>
                <w:szCs w:val="24"/>
              </w:rPr>
              <w:t>(不含税价)</w:t>
            </w:r>
          </w:p>
          <w:p w14:paraId="7C0D4D5C">
            <w:pPr>
              <w:pStyle w:val="397"/>
              <w:spacing w:before="1" w:line="218" w:lineRule="auto"/>
              <w:ind w:left="74"/>
              <w:jc w:val="center"/>
              <w:rPr>
                <w:rFonts w:hint="eastAsia" w:eastAsia="宋体"/>
                <w:spacing w:val="3"/>
                <w:sz w:val="24"/>
                <w:szCs w:val="24"/>
                <w:lang w:val="en-US" w:eastAsia="zh-CN"/>
              </w:rPr>
            </w:pPr>
          </w:p>
        </w:tc>
        <w:tc>
          <w:tcPr>
            <w:tcW w:w="1717" w:type="dxa"/>
            <w:vAlign w:val="center"/>
          </w:tcPr>
          <w:p w14:paraId="30B07791">
            <w:pPr>
              <w:pStyle w:val="397"/>
              <w:spacing w:before="88" w:line="218" w:lineRule="auto"/>
              <w:ind w:left="16"/>
              <w:jc w:val="center"/>
              <w:rPr>
                <w:sz w:val="24"/>
                <w:szCs w:val="24"/>
              </w:rPr>
            </w:pPr>
            <w:r>
              <w:rPr>
                <w:spacing w:val="-1"/>
                <w:sz w:val="24"/>
                <w:szCs w:val="24"/>
              </w:rPr>
              <w:t>维修保养单价</w:t>
            </w:r>
          </w:p>
          <w:p w14:paraId="31A0755B">
            <w:pPr>
              <w:pStyle w:val="397"/>
              <w:spacing w:line="217" w:lineRule="auto"/>
              <w:ind w:left="117"/>
              <w:jc w:val="center"/>
              <w:rPr>
                <w:spacing w:val="4"/>
                <w:sz w:val="24"/>
                <w:szCs w:val="24"/>
              </w:rPr>
            </w:pPr>
            <w:r>
              <w:rPr>
                <w:rFonts w:hint="eastAsia"/>
                <w:sz w:val="24"/>
                <w:szCs w:val="24"/>
                <w:lang w:eastAsia="zh-CN"/>
              </w:rPr>
              <w:t>（</w:t>
            </w:r>
            <w:r>
              <w:rPr>
                <w:rFonts w:hint="eastAsia"/>
                <w:sz w:val="24"/>
                <w:szCs w:val="24"/>
                <w:lang w:val="en-US" w:eastAsia="zh-CN"/>
              </w:rPr>
              <w:t>元</w:t>
            </w:r>
            <w:r>
              <w:rPr>
                <w:rFonts w:hint="eastAsia"/>
                <w:sz w:val="24"/>
                <w:szCs w:val="24"/>
                <w:lang w:eastAsia="zh-CN"/>
              </w:rPr>
              <w:t>）</w:t>
            </w:r>
          </w:p>
          <w:p w14:paraId="1D45C03F">
            <w:pPr>
              <w:pStyle w:val="397"/>
              <w:spacing w:line="217" w:lineRule="auto"/>
              <w:ind w:left="117"/>
              <w:jc w:val="center"/>
              <w:rPr>
                <w:sz w:val="24"/>
                <w:szCs w:val="24"/>
              </w:rPr>
            </w:pPr>
            <w:r>
              <w:rPr>
                <w:spacing w:val="4"/>
                <w:sz w:val="24"/>
                <w:szCs w:val="24"/>
              </w:rPr>
              <w:t>(含税价)</w:t>
            </w:r>
          </w:p>
        </w:tc>
        <w:tc>
          <w:tcPr>
            <w:tcW w:w="1533" w:type="dxa"/>
            <w:vAlign w:val="center"/>
          </w:tcPr>
          <w:p w14:paraId="7D378362">
            <w:pPr>
              <w:pStyle w:val="397"/>
              <w:spacing w:before="198" w:line="218" w:lineRule="auto"/>
              <w:ind w:left="28"/>
              <w:jc w:val="center"/>
              <w:rPr>
                <w:sz w:val="24"/>
                <w:szCs w:val="24"/>
              </w:rPr>
            </w:pPr>
            <w:r>
              <w:rPr>
                <w:spacing w:val="-1"/>
                <w:sz w:val="24"/>
                <w:szCs w:val="24"/>
              </w:rPr>
              <w:t>维修保养总价</w:t>
            </w:r>
          </w:p>
        </w:tc>
      </w:tr>
      <w:tr w14:paraId="013EE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restart"/>
            <w:tcBorders>
              <w:bottom w:val="nil"/>
            </w:tcBorders>
            <w:vAlign w:val="center"/>
          </w:tcPr>
          <w:p w14:paraId="6A8451FC">
            <w:pPr>
              <w:pStyle w:val="397"/>
              <w:spacing w:before="33" w:line="241" w:lineRule="auto"/>
              <w:ind w:left="65"/>
              <w:jc w:val="center"/>
              <w:rPr>
                <w:rFonts w:hint="eastAsia" w:asciiTheme="minorEastAsia" w:hAnsiTheme="minorEastAsia" w:eastAsiaTheme="minorEastAsia" w:cstheme="minorEastAsia"/>
                <w:sz w:val="24"/>
                <w:szCs w:val="24"/>
                <w:lang w:val="en-US" w:eastAsia="zh-CN"/>
              </w:rPr>
            </w:pPr>
            <w:r>
              <w:rPr>
                <w:rFonts w:hint="eastAsia"/>
                <w:sz w:val="24"/>
                <w:szCs w:val="24"/>
                <w:lang w:val="en-US" w:eastAsia="zh-CN"/>
              </w:rPr>
              <w:t>1</w:t>
            </w:r>
          </w:p>
        </w:tc>
        <w:tc>
          <w:tcPr>
            <w:tcW w:w="982" w:type="dxa"/>
            <w:vMerge w:val="restart"/>
            <w:tcBorders>
              <w:bottom w:val="nil"/>
            </w:tcBorders>
            <w:vAlign w:val="center"/>
          </w:tcPr>
          <w:p w14:paraId="3C63A615">
            <w:pPr>
              <w:pStyle w:val="397"/>
              <w:spacing w:before="32" w:line="220" w:lineRule="auto"/>
              <w:ind w:left="120"/>
              <w:jc w:val="center"/>
              <w:rPr>
                <w:sz w:val="24"/>
                <w:szCs w:val="24"/>
              </w:rPr>
            </w:pPr>
            <w:r>
              <w:rPr>
                <w:spacing w:val="-4"/>
                <w:sz w:val="24"/>
                <w:szCs w:val="24"/>
              </w:rPr>
              <w:t>电警</w:t>
            </w:r>
          </w:p>
        </w:tc>
        <w:tc>
          <w:tcPr>
            <w:tcW w:w="1417" w:type="dxa"/>
            <w:vAlign w:val="center"/>
          </w:tcPr>
          <w:p w14:paraId="4E62688F">
            <w:pPr>
              <w:pStyle w:val="397"/>
              <w:spacing w:before="34" w:line="219" w:lineRule="auto"/>
              <w:ind w:left="161"/>
              <w:jc w:val="center"/>
              <w:rPr>
                <w:sz w:val="24"/>
                <w:szCs w:val="24"/>
              </w:rPr>
            </w:pPr>
            <w:r>
              <w:rPr>
                <w:spacing w:val="-1"/>
                <w:sz w:val="24"/>
                <w:szCs w:val="24"/>
              </w:rPr>
              <w:t>正向抓拍机</w:t>
            </w:r>
          </w:p>
        </w:tc>
        <w:tc>
          <w:tcPr>
            <w:tcW w:w="816" w:type="dxa"/>
            <w:vAlign w:val="center"/>
          </w:tcPr>
          <w:p w14:paraId="12AB9E72">
            <w:pPr>
              <w:pStyle w:val="397"/>
              <w:spacing w:before="36" w:line="221" w:lineRule="auto"/>
              <w:ind w:left="123"/>
              <w:jc w:val="center"/>
              <w:rPr>
                <w:sz w:val="24"/>
                <w:szCs w:val="24"/>
              </w:rPr>
            </w:pPr>
            <w:r>
              <w:rPr>
                <w:sz w:val="24"/>
                <w:szCs w:val="24"/>
              </w:rPr>
              <w:t>台</w:t>
            </w:r>
          </w:p>
        </w:tc>
        <w:tc>
          <w:tcPr>
            <w:tcW w:w="934" w:type="dxa"/>
            <w:vAlign w:val="center"/>
          </w:tcPr>
          <w:p w14:paraId="35259834">
            <w:pPr>
              <w:pStyle w:val="397"/>
              <w:spacing w:before="44" w:line="229" w:lineRule="auto"/>
              <w:ind w:left="93"/>
              <w:jc w:val="center"/>
              <w:rPr>
                <w:sz w:val="24"/>
                <w:szCs w:val="24"/>
              </w:rPr>
            </w:pPr>
            <w:r>
              <w:rPr>
                <w:spacing w:val="-2"/>
                <w:sz w:val="24"/>
                <w:szCs w:val="24"/>
              </w:rPr>
              <w:t>359</w:t>
            </w:r>
          </w:p>
        </w:tc>
        <w:tc>
          <w:tcPr>
            <w:tcW w:w="1616" w:type="dxa"/>
            <w:vAlign w:val="center"/>
          </w:tcPr>
          <w:p w14:paraId="7C63DAB1">
            <w:pPr>
              <w:pStyle w:val="397"/>
              <w:spacing w:before="44" w:line="229" w:lineRule="auto"/>
              <w:ind w:left="174"/>
              <w:jc w:val="center"/>
              <w:rPr>
                <w:sz w:val="24"/>
                <w:szCs w:val="24"/>
              </w:rPr>
            </w:pPr>
          </w:p>
        </w:tc>
        <w:tc>
          <w:tcPr>
            <w:tcW w:w="1717" w:type="dxa"/>
            <w:vAlign w:val="center"/>
          </w:tcPr>
          <w:p w14:paraId="5E603F83">
            <w:pPr>
              <w:pStyle w:val="397"/>
              <w:spacing w:before="44" w:line="229" w:lineRule="auto"/>
              <w:ind w:left="166"/>
              <w:jc w:val="center"/>
              <w:rPr>
                <w:sz w:val="24"/>
                <w:szCs w:val="24"/>
              </w:rPr>
            </w:pPr>
          </w:p>
        </w:tc>
        <w:tc>
          <w:tcPr>
            <w:tcW w:w="1533" w:type="dxa"/>
            <w:vAlign w:val="center"/>
          </w:tcPr>
          <w:p w14:paraId="78D2C9AF">
            <w:pPr>
              <w:pStyle w:val="397"/>
              <w:spacing w:before="44" w:line="229" w:lineRule="auto"/>
              <w:ind w:left="127"/>
              <w:jc w:val="center"/>
              <w:rPr>
                <w:sz w:val="24"/>
                <w:szCs w:val="24"/>
              </w:rPr>
            </w:pPr>
          </w:p>
        </w:tc>
      </w:tr>
      <w:tr w14:paraId="6163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bottom w:val="nil"/>
            </w:tcBorders>
            <w:vAlign w:val="center"/>
          </w:tcPr>
          <w:p w14:paraId="596A1CB5">
            <w:pPr>
              <w:jc w:val="center"/>
              <w:rPr>
                <w:rFonts w:ascii="Arial"/>
                <w:sz w:val="52"/>
                <w:szCs w:val="52"/>
              </w:rPr>
            </w:pPr>
          </w:p>
        </w:tc>
        <w:tc>
          <w:tcPr>
            <w:tcW w:w="982" w:type="dxa"/>
            <w:vMerge w:val="continue"/>
            <w:tcBorders>
              <w:top w:val="nil"/>
              <w:bottom w:val="nil"/>
            </w:tcBorders>
            <w:vAlign w:val="center"/>
          </w:tcPr>
          <w:p w14:paraId="5BD38FE4">
            <w:pPr>
              <w:jc w:val="center"/>
              <w:rPr>
                <w:rFonts w:ascii="Arial"/>
                <w:sz w:val="52"/>
                <w:szCs w:val="52"/>
              </w:rPr>
            </w:pPr>
          </w:p>
        </w:tc>
        <w:tc>
          <w:tcPr>
            <w:tcW w:w="1417" w:type="dxa"/>
            <w:vAlign w:val="center"/>
          </w:tcPr>
          <w:p w14:paraId="0C2A030E">
            <w:pPr>
              <w:pStyle w:val="397"/>
              <w:spacing w:before="35" w:line="219" w:lineRule="auto"/>
              <w:ind w:left="161"/>
              <w:jc w:val="center"/>
              <w:rPr>
                <w:sz w:val="24"/>
                <w:szCs w:val="24"/>
              </w:rPr>
            </w:pPr>
            <w:r>
              <w:rPr>
                <w:spacing w:val="-1"/>
                <w:sz w:val="24"/>
                <w:szCs w:val="24"/>
              </w:rPr>
              <w:t>反向抓拍机</w:t>
            </w:r>
          </w:p>
        </w:tc>
        <w:tc>
          <w:tcPr>
            <w:tcW w:w="816" w:type="dxa"/>
            <w:vAlign w:val="center"/>
          </w:tcPr>
          <w:p w14:paraId="013CAB26">
            <w:pPr>
              <w:pStyle w:val="397"/>
              <w:spacing w:before="37" w:line="221" w:lineRule="auto"/>
              <w:ind w:left="123"/>
              <w:jc w:val="center"/>
              <w:rPr>
                <w:sz w:val="24"/>
                <w:szCs w:val="24"/>
              </w:rPr>
            </w:pPr>
            <w:r>
              <w:rPr>
                <w:sz w:val="24"/>
                <w:szCs w:val="24"/>
              </w:rPr>
              <w:t>台</w:t>
            </w:r>
          </w:p>
        </w:tc>
        <w:tc>
          <w:tcPr>
            <w:tcW w:w="934" w:type="dxa"/>
            <w:vAlign w:val="center"/>
          </w:tcPr>
          <w:p w14:paraId="6C809E72">
            <w:pPr>
              <w:pStyle w:val="397"/>
              <w:spacing w:before="45" w:line="229" w:lineRule="auto"/>
              <w:ind w:left="93"/>
              <w:jc w:val="center"/>
              <w:rPr>
                <w:sz w:val="24"/>
                <w:szCs w:val="24"/>
              </w:rPr>
            </w:pPr>
            <w:r>
              <w:rPr>
                <w:spacing w:val="-2"/>
                <w:sz w:val="24"/>
                <w:szCs w:val="24"/>
              </w:rPr>
              <w:t>265</w:t>
            </w:r>
          </w:p>
        </w:tc>
        <w:tc>
          <w:tcPr>
            <w:tcW w:w="1616" w:type="dxa"/>
            <w:vAlign w:val="center"/>
          </w:tcPr>
          <w:p w14:paraId="0C4A5141">
            <w:pPr>
              <w:pStyle w:val="397"/>
              <w:spacing w:before="45" w:line="229" w:lineRule="auto"/>
              <w:ind w:left="174"/>
              <w:jc w:val="center"/>
              <w:rPr>
                <w:sz w:val="24"/>
                <w:szCs w:val="24"/>
              </w:rPr>
            </w:pPr>
          </w:p>
        </w:tc>
        <w:tc>
          <w:tcPr>
            <w:tcW w:w="1717" w:type="dxa"/>
            <w:vAlign w:val="center"/>
          </w:tcPr>
          <w:p w14:paraId="6F4B3694">
            <w:pPr>
              <w:pStyle w:val="397"/>
              <w:spacing w:before="45" w:line="229" w:lineRule="auto"/>
              <w:ind w:left="166"/>
              <w:jc w:val="center"/>
              <w:rPr>
                <w:sz w:val="24"/>
                <w:szCs w:val="24"/>
              </w:rPr>
            </w:pPr>
          </w:p>
        </w:tc>
        <w:tc>
          <w:tcPr>
            <w:tcW w:w="1533" w:type="dxa"/>
            <w:vAlign w:val="center"/>
          </w:tcPr>
          <w:p w14:paraId="6C16B8E3">
            <w:pPr>
              <w:pStyle w:val="397"/>
              <w:spacing w:before="45" w:line="229" w:lineRule="auto"/>
              <w:ind w:left="127"/>
              <w:jc w:val="center"/>
              <w:rPr>
                <w:sz w:val="24"/>
                <w:szCs w:val="24"/>
              </w:rPr>
            </w:pPr>
          </w:p>
        </w:tc>
      </w:tr>
      <w:tr w14:paraId="2575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602" w:type="dxa"/>
            <w:vMerge w:val="continue"/>
            <w:tcBorders>
              <w:top w:val="nil"/>
              <w:bottom w:val="nil"/>
            </w:tcBorders>
            <w:vAlign w:val="center"/>
          </w:tcPr>
          <w:p w14:paraId="5348CF46">
            <w:pPr>
              <w:jc w:val="center"/>
              <w:rPr>
                <w:rFonts w:ascii="Arial"/>
                <w:sz w:val="52"/>
                <w:szCs w:val="52"/>
              </w:rPr>
            </w:pPr>
          </w:p>
        </w:tc>
        <w:tc>
          <w:tcPr>
            <w:tcW w:w="982" w:type="dxa"/>
            <w:vMerge w:val="continue"/>
            <w:tcBorders>
              <w:top w:val="nil"/>
              <w:bottom w:val="nil"/>
            </w:tcBorders>
            <w:vAlign w:val="center"/>
          </w:tcPr>
          <w:p w14:paraId="04A20D43">
            <w:pPr>
              <w:jc w:val="center"/>
              <w:rPr>
                <w:rFonts w:ascii="Arial"/>
                <w:sz w:val="52"/>
                <w:szCs w:val="52"/>
              </w:rPr>
            </w:pPr>
          </w:p>
        </w:tc>
        <w:tc>
          <w:tcPr>
            <w:tcW w:w="1417" w:type="dxa"/>
            <w:vAlign w:val="center"/>
          </w:tcPr>
          <w:p w14:paraId="1CB07B49">
            <w:pPr>
              <w:pStyle w:val="397"/>
              <w:spacing w:before="36" w:line="219" w:lineRule="auto"/>
              <w:ind w:left="260"/>
              <w:jc w:val="center"/>
              <w:rPr>
                <w:sz w:val="24"/>
                <w:szCs w:val="24"/>
              </w:rPr>
            </w:pPr>
            <w:r>
              <w:rPr>
                <w:spacing w:val="-3"/>
                <w:sz w:val="24"/>
                <w:szCs w:val="24"/>
              </w:rPr>
              <w:t>闪光灯</w:t>
            </w:r>
          </w:p>
        </w:tc>
        <w:tc>
          <w:tcPr>
            <w:tcW w:w="816" w:type="dxa"/>
            <w:vAlign w:val="center"/>
          </w:tcPr>
          <w:p w14:paraId="15EA4719">
            <w:pPr>
              <w:pStyle w:val="397"/>
              <w:spacing w:before="37" w:line="221" w:lineRule="auto"/>
              <w:ind w:left="123"/>
              <w:jc w:val="center"/>
              <w:rPr>
                <w:sz w:val="24"/>
                <w:szCs w:val="24"/>
              </w:rPr>
            </w:pPr>
            <w:r>
              <w:rPr>
                <w:sz w:val="24"/>
                <w:szCs w:val="24"/>
              </w:rPr>
              <w:t>台</w:t>
            </w:r>
          </w:p>
        </w:tc>
        <w:tc>
          <w:tcPr>
            <w:tcW w:w="934" w:type="dxa"/>
            <w:vAlign w:val="center"/>
          </w:tcPr>
          <w:p w14:paraId="3934E14A">
            <w:pPr>
              <w:pStyle w:val="397"/>
              <w:spacing w:before="46" w:line="208" w:lineRule="auto"/>
              <w:ind w:left="93"/>
              <w:jc w:val="center"/>
              <w:rPr>
                <w:sz w:val="24"/>
                <w:szCs w:val="24"/>
              </w:rPr>
            </w:pPr>
            <w:r>
              <w:rPr>
                <w:spacing w:val="-2"/>
                <w:sz w:val="24"/>
                <w:szCs w:val="24"/>
              </w:rPr>
              <w:t>617</w:t>
            </w:r>
          </w:p>
        </w:tc>
        <w:tc>
          <w:tcPr>
            <w:tcW w:w="1616" w:type="dxa"/>
            <w:vAlign w:val="center"/>
          </w:tcPr>
          <w:p w14:paraId="7E7B0E47">
            <w:pPr>
              <w:pStyle w:val="397"/>
              <w:spacing w:before="46" w:line="208" w:lineRule="auto"/>
              <w:ind w:left="174"/>
              <w:jc w:val="center"/>
              <w:rPr>
                <w:sz w:val="24"/>
                <w:szCs w:val="24"/>
              </w:rPr>
            </w:pPr>
          </w:p>
        </w:tc>
        <w:tc>
          <w:tcPr>
            <w:tcW w:w="1717" w:type="dxa"/>
            <w:vAlign w:val="center"/>
          </w:tcPr>
          <w:p w14:paraId="16236AF9">
            <w:pPr>
              <w:pStyle w:val="397"/>
              <w:spacing w:before="46" w:line="208" w:lineRule="auto"/>
              <w:ind w:left="186"/>
              <w:jc w:val="center"/>
              <w:rPr>
                <w:sz w:val="24"/>
                <w:szCs w:val="24"/>
              </w:rPr>
            </w:pPr>
          </w:p>
        </w:tc>
        <w:tc>
          <w:tcPr>
            <w:tcW w:w="1533" w:type="dxa"/>
            <w:vAlign w:val="center"/>
          </w:tcPr>
          <w:p w14:paraId="6977A503">
            <w:pPr>
              <w:pStyle w:val="397"/>
              <w:spacing w:before="46" w:line="208" w:lineRule="auto"/>
              <w:ind w:left="107"/>
              <w:jc w:val="center"/>
              <w:rPr>
                <w:sz w:val="24"/>
                <w:szCs w:val="24"/>
              </w:rPr>
            </w:pPr>
          </w:p>
        </w:tc>
      </w:tr>
      <w:tr w14:paraId="06AD6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bottom w:val="nil"/>
            </w:tcBorders>
            <w:vAlign w:val="center"/>
          </w:tcPr>
          <w:p w14:paraId="37713B6D">
            <w:pPr>
              <w:jc w:val="center"/>
              <w:rPr>
                <w:rFonts w:ascii="Arial"/>
                <w:sz w:val="52"/>
                <w:szCs w:val="52"/>
              </w:rPr>
            </w:pPr>
          </w:p>
        </w:tc>
        <w:tc>
          <w:tcPr>
            <w:tcW w:w="982" w:type="dxa"/>
            <w:vMerge w:val="continue"/>
            <w:tcBorders>
              <w:top w:val="nil"/>
              <w:bottom w:val="nil"/>
            </w:tcBorders>
            <w:vAlign w:val="center"/>
          </w:tcPr>
          <w:p w14:paraId="246FFC2F">
            <w:pPr>
              <w:jc w:val="center"/>
              <w:rPr>
                <w:rFonts w:ascii="Arial"/>
                <w:sz w:val="52"/>
                <w:szCs w:val="52"/>
              </w:rPr>
            </w:pPr>
          </w:p>
        </w:tc>
        <w:tc>
          <w:tcPr>
            <w:tcW w:w="1417" w:type="dxa"/>
            <w:vAlign w:val="center"/>
          </w:tcPr>
          <w:p w14:paraId="1C240ADA">
            <w:pPr>
              <w:pStyle w:val="397"/>
              <w:spacing w:before="37" w:line="219" w:lineRule="auto"/>
              <w:ind w:left="260"/>
              <w:jc w:val="center"/>
              <w:rPr>
                <w:sz w:val="24"/>
                <w:szCs w:val="24"/>
              </w:rPr>
            </w:pPr>
            <w:r>
              <w:rPr>
                <w:spacing w:val="-1"/>
                <w:sz w:val="24"/>
                <w:szCs w:val="24"/>
              </w:rPr>
              <w:t>补光灯</w:t>
            </w:r>
          </w:p>
        </w:tc>
        <w:tc>
          <w:tcPr>
            <w:tcW w:w="816" w:type="dxa"/>
            <w:vAlign w:val="center"/>
          </w:tcPr>
          <w:p w14:paraId="7B3F298C">
            <w:pPr>
              <w:pStyle w:val="397"/>
              <w:spacing w:before="38" w:line="221" w:lineRule="auto"/>
              <w:ind w:left="123"/>
              <w:jc w:val="center"/>
              <w:rPr>
                <w:sz w:val="24"/>
                <w:szCs w:val="24"/>
              </w:rPr>
            </w:pPr>
            <w:r>
              <w:rPr>
                <w:sz w:val="24"/>
                <w:szCs w:val="24"/>
              </w:rPr>
              <w:t>台</w:t>
            </w:r>
          </w:p>
        </w:tc>
        <w:tc>
          <w:tcPr>
            <w:tcW w:w="934" w:type="dxa"/>
            <w:vAlign w:val="center"/>
          </w:tcPr>
          <w:p w14:paraId="05BBDBC9">
            <w:pPr>
              <w:pStyle w:val="397"/>
              <w:spacing w:before="47" w:line="227" w:lineRule="auto"/>
              <w:ind w:left="93"/>
              <w:jc w:val="center"/>
              <w:rPr>
                <w:sz w:val="24"/>
                <w:szCs w:val="24"/>
              </w:rPr>
            </w:pPr>
            <w:r>
              <w:rPr>
                <w:spacing w:val="-1"/>
                <w:sz w:val="24"/>
                <w:szCs w:val="24"/>
              </w:rPr>
              <w:t>960</w:t>
            </w:r>
          </w:p>
        </w:tc>
        <w:tc>
          <w:tcPr>
            <w:tcW w:w="1616" w:type="dxa"/>
            <w:vAlign w:val="center"/>
          </w:tcPr>
          <w:p w14:paraId="7737058B">
            <w:pPr>
              <w:pStyle w:val="397"/>
              <w:spacing w:before="47" w:line="227" w:lineRule="auto"/>
              <w:ind w:left="174"/>
              <w:jc w:val="center"/>
              <w:rPr>
                <w:sz w:val="24"/>
                <w:szCs w:val="24"/>
              </w:rPr>
            </w:pPr>
          </w:p>
        </w:tc>
        <w:tc>
          <w:tcPr>
            <w:tcW w:w="1717" w:type="dxa"/>
            <w:vAlign w:val="center"/>
          </w:tcPr>
          <w:p w14:paraId="3BF3F302">
            <w:pPr>
              <w:pStyle w:val="397"/>
              <w:spacing w:before="47" w:line="227" w:lineRule="auto"/>
              <w:ind w:left="186"/>
              <w:jc w:val="center"/>
              <w:rPr>
                <w:sz w:val="24"/>
                <w:szCs w:val="24"/>
              </w:rPr>
            </w:pPr>
          </w:p>
        </w:tc>
        <w:tc>
          <w:tcPr>
            <w:tcW w:w="1533" w:type="dxa"/>
            <w:vAlign w:val="center"/>
          </w:tcPr>
          <w:p w14:paraId="75886FF4">
            <w:pPr>
              <w:pStyle w:val="397"/>
              <w:spacing w:before="47" w:line="227" w:lineRule="auto"/>
              <w:ind w:left="107"/>
              <w:jc w:val="center"/>
              <w:rPr>
                <w:sz w:val="24"/>
                <w:szCs w:val="24"/>
              </w:rPr>
            </w:pPr>
          </w:p>
        </w:tc>
      </w:tr>
      <w:tr w14:paraId="7E9D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continue"/>
            <w:tcBorders>
              <w:top w:val="nil"/>
              <w:bottom w:val="nil"/>
            </w:tcBorders>
            <w:vAlign w:val="center"/>
          </w:tcPr>
          <w:p w14:paraId="58B1EA09">
            <w:pPr>
              <w:jc w:val="center"/>
              <w:rPr>
                <w:rFonts w:ascii="Arial"/>
                <w:sz w:val="52"/>
                <w:szCs w:val="52"/>
              </w:rPr>
            </w:pPr>
          </w:p>
        </w:tc>
        <w:tc>
          <w:tcPr>
            <w:tcW w:w="982" w:type="dxa"/>
            <w:vMerge w:val="continue"/>
            <w:tcBorders>
              <w:top w:val="nil"/>
              <w:bottom w:val="nil"/>
            </w:tcBorders>
            <w:vAlign w:val="center"/>
          </w:tcPr>
          <w:p w14:paraId="640A407B">
            <w:pPr>
              <w:jc w:val="center"/>
              <w:rPr>
                <w:rFonts w:ascii="Arial"/>
                <w:sz w:val="52"/>
                <w:szCs w:val="52"/>
              </w:rPr>
            </w:pPr>
          </w:p>
        </w:tc>
        <w:tc>
          <w:tcPr>
            <w:tcW w:w="1417" w:type="dxa"/>
            <w:vAlign w:val="center"/>
          </w:tcPr>
          <w:p w14:paraId="7934EA93">
            <w:pPr>
              <w:pStyle w:val="397"/>
              <w:spacing w:before="37" w:line="219" w:lineRule="auto"/>
              <w:ind w:left="161"/>
              <w:jc w:val="center"/>
              <w:rPr>
                <w:sz w:val="24"/>
                <w:szCs w:val="24"/>
              </w:rPr>
            </w:pPr>
            <w:r>
              <w:rPr>
                <w:spacing w:val="-1"/>
                <w:sz w:val="24"/>
                <w:szCs w:val="24"/>
              </w:rPr>
              <w:t>终端服务器</w:t>
            </w:r>
          </w:p>
        </w:tc>
        <w:tc>
          <w:tcPr>
            <w:tcW w:w="816" w:type="dxa"/>
            <w:vAlign w:val="center"/>
          </w:tcPr>
          <w:p w14:paraId="2540231A">
            <w:pPr>
              <w:pStyle w:val="397"/>
              <w:spacing w:before="38" w:line="221" w:lineRule="auto"/>
              <w:ind w:left="123"/>
              <w:jc w:val="center"/>
              <w:rPr>
                <w:sz w:val="24"/>
                <w:szCs w:val="24"/>
              </w:rPr>
            </w:pPr>
            <w:r>
              <w:rPr>
                <w:sz w:val="24"/>
                <w:szCs w:val="24"/>
              </w:rPr>
              <w:t>台</w:t>
            </w:r>
          </w:p>
        </w:tc>
        <w:tc>
          <w:tcPr>
            <w:tcW w:w="934" w:type="dxa"/>
            <w:vAlign w:val="center"/>
          </w:tcPr>
          <w:p w14:paraId="65824EEB">
            <w:pPr>
              <w:pStyle w:val="397"/>
              <w:spacing w:before="47" w:line="225" w:lineRule="auto"/>
              <w:ind w:left="93"/>
              <w:jc w:val="center"/>
              <w:rPr>
                <w:sz w:val="24"/>
                <w:szCs w:val="24"/>
              </w:rPr>
            </w:pPr>
            <w:r>
              <w:rPr>
                <w:spacing w:val="-3"/>
                <w:sz w:val="24"/>
                <w:szCs w:val="24"/>
              </w:rPr>
              <w:t>100</w:t>
            </w:r>
          </w:p>
        </w:tc>
        <w:tc>
          <w:tcPr>
            <w:tcW w:w="1616" w:type="dxa"/>
            <w:vAlign w:val="center"/>
          </w:tcPr>
          <w:p w14:paraId="31A58F25">
            <w:pPr>
              <w:pStyle w:val="397"/>
              <w:spacing w:before="47" w:line="225" w:lineRule="auto"/>
              <w:ind w:left="174"/>
              <w:jc w:val="center"/>
              <w:rPr>
                <w:sz w:val="24"/>
                <w:szCs w:val="24"/>
              </w:rPr>
            </w:pPr>
          </w:p>
        </w:tc>
        <w:tc>
          <w:tcPr>
            <w:tcW w:w="1717" w:type="dxa"/>
            <w:vAlign w:val="center"/>
          </w:tcPr>
          <w:p w14:paraId="59880C86">
            <w:pPr>
              <w:pStyle w:val="397"/>
              <w:spacing w:before="47" w:line="225" w:lineRule="auto"/>
              <w:ind w:left="166"/>
              <w:jc w:val="center"/>
              <w:rPr>
                <w:sz w:val="24"/>
                <w:szCs w:val="24"/>
              </w:rPr>
            </w:pPr>
          </w:p>
        </w:tc>
        <w:tc>
          <w:tcPr>
            <w:tcW w:w="1533" w:type="dxa"/>
            <w:vAlign w:val="center"/>
          </w:tcPr>
          <w:p w14:paraId="47E43C4B">
            <w:pPr>
              <w:pStyle w:val="397"/>
              <w:spacing w:before="47" w:line="225" w:lineRule="auto"/>
              <w:ind w:left="127"/>
              <w:jc w:val="center"/>
              <w:rPr>
                <w:sz w:val="24"/>
                <w:szCs w:val="24"/>
              </w:rPr>
            </w:pPr>
          </w:p>
        </w:tc>
      </w:tr>
      <w:tr w14:paraId="27FD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602" w:type="dxa"/>
            <w:vMerge w:val="continue"/>
            <w:tcBorders>
              <w:top w:val="nil"/>
              <w:bottom w:val="nil"/>
            </w:tcBorders>
            <w:vAlign w:val="center"/>
          </w:tcPr>
          <w:p w14:paraId="5E8017CA">
            <w:pPr>
              <w:jc w:val="center"/>
              <w:rPr>
                <w:rFonts w:ascii="Arial"/>
                <w:sz w:val="52"/>
                <w:szCs w:val="52"/>
              </w:rPr>
            </w:pPr>
          </w:p>
        </w:tc>
        <w:tc>
          <w:tcPr>
            <w:tcW w:w="982" w:type="dxa"/>
            <w:vMerge w:val="continue"/>
            <w:tcBorders>
              <w:top w:val="nil"/>
              <w:bottom w:val="nil"/>
            </w:tcBorders>
            <w:vAlign w:val="center"/>
          </w:tcPr>
          <w:p w14:paraId="3700DB47">
            <w:pPr>
              <w:jc w:val="center"/>
              <w:rPr>
                <w:rFonts w:ascii="Arial"/>
                <w:sz w:val="52"/>
                <w:szCs w:val="52"/>
              </w:rPr>
            </w:pPr>
          </w:p>
        </w:tc>
        <w:tc>
          <w:tcPr>
            <w:tcW w:w="1417" w:type="dxa"/>
            <w:vAlign w:val="center"/>
          </w:tcPr>
          <w:p w14:paraId="1BA827E3">
            <w:pPr>
              <w:pStyle w:val="397"/>
              <w:spacing w:before="37" w:line="219" w:lineRule="auto"/>
              <w:ind w:left="211"/>
              <w:jc w:val="center"/>
              <w:rPr>
                <w:sz w:val="24"/>
                <w:szCs w:val="24"/>
              </w:rPr>
            </w:pPr>
            <w:r>
              <w:rPr>
                <w:spacing w:val="-1"/>
                <w:sz w:val="24"/>
                <w:szCs w:val="24"/>
              </w:rPr>
              <w:t>全景球机</w:t>
            </w:r>
          </w:p>
        </w:tc>
        <w:tc>
          <w:tcPr>
            <w:tcW w:w="816" w:type="dxa"/>
            <w:vAlign w:val="center"/>
          </w:tcPr>
          <w:p w14:paraId="1A6D40AC">
            <w:pPr>
              <w:pStyle w:val="397"/>
              <w:spacing w:before="39" w:line="221" w:lineRule="auto"/>
              <w:ind w:left="123"/>
              <w:jc w:val="center"/>
              <w:rPr>
                <w:sz w:val="24"/>
                <w:szCs w:val="24"/>
              </w:rPr>
            </w:pPr>
            <w:r>
              <w:rPr>
                <w:sz w:val="24"/>
                <w:szCs w:val="24"/>
              </w:rPr>
              <w:t>台</w:t>
            </w:r>
          </w:p>
        </w:tc>
        <w:tc>
          <w:tcPr>
            <w:tcW w:w="934" w:type="dxa"/>
            <w:vAlign w:val="center"/>
          </w:tcPr>
          <w:p w14:paraId="3E58EF85">
            <w:pPr>
              <w:pStyle w:val="397"/>
              <w:spacing w:before="48" w:line="225" w:lineRule="auto"/>
              <w:ind w:left="93"/>
              <w:jc w:val="center"/>
              <w:rPr>
                <w:sz w:val="24"/>
                <w:szCs w:val="24"/>
              </w:rPr>
            </w:pPr>
            <w:r>
              <w:rPr>
                <w:spacing w:val="-3"/>
                <w:sz w:val="24"/>
                <w:szCs w:val="24"/>
              </w:rPr>
              <w:t>176</w:t>
            </w:r>
          </w:p>
        </w:tc>
        <w:tc>
          <w:tcPr>
            <w:tcW w:w="1616" w:type="dxa"/>
            <w:vAlign w:val="center"/>
          </w:tcPr>
          <w:p w14:paraId="26D2A201">
            <w:pPr>
              <w:pStyle w:val="397"/>
              <w:spacing w:before="48" w:line="225" w:lineRule="auto"/>
              <w:ind w:left="174"/>
              <w:jc w:val="center"/>
              <w:rPr>
                <w:sz w:val="24"/>
                <w:szCs w:val="24"/>
              </w:rPr>
            </w:pPr>
          </w:p>
        </w:tc>
        <w:tc>
          <w:tcPr>
            <w:tcW w:w="1717" w:type="dxa"/>
            <w:vAlign w:val="center"/>
          </w:tcPr>
          <w:p w14:paraId="0B765388">
            <w:pPr>
              <w:pStyle w:val="397"/>
              <w:spacing w:before="48" w:line="225" w:lineRule="auto"/>
              <w:ind w:left="186"/>
              <w:jc w:val="center"/>
              <w:rPr>
                <w:sz w:val="24"/>
                <w:szCs w:val="24"/>
              </w:rPr>
            </w:pPr>
          </w:p>
        </w:tc>
        <w:tc>
          <w:tcPr>
            <w:tcW w:w="1533" w:type="dxa"/>
            <w:vAlign w:val="center"/>
          </w:tcPr>
          <w:p w14:paraId="7F6D9F22">
            <w:pPr>
              <w:pStyle w:val="397"/>
              <w:spacing w:before="48" w:line="225" w:lineRule="auto"/>
              <w:ind w:left="127"/>
              <w:jc w:val="center"/>
              <w:rPr>
                <w:sz w:val="24"/>
                <w:szCs w:val="24"/>
              </w:rPr>
            </w:pPr>
          </w:p>
        </w:tc>
      </w:tr>
      <w:tr w14:paraId="7863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continue"/>
            <w:tcBorders>
              <w:top w:val="nil"/>
            </w:tcBorders>
            <w:vAlign w:val="center"/>
          </w:tcPr>
          <w:p w14:paraId="41DF6EE3">
            <w:pPr>
              <w:jc w:val="center"/>
              <w:rPr>
                <w:rFonts w:ascii="Arial"/>
                <w:sz w:val="52"/>
                <w:szCs w:val="52"/>
              </w:rPr>
            </w:pPr>
          </w:p>
        </w:tc>
        <w:tc>
          <w:tcPr>
            <w:tcW w:w="982" w:type="dxa"/>
            <w:vMerge w:val="continue"/>
            <w:tcBorders>
              <w:top w:val="nil"/>
            </w:tcBorders>
            <w:vAlign w:val="center"/>
          </w:tcPr>
          <w:p w14:paraId="545F3AAB">
            <w:pPr>
              <w:jc w:val="center"/>
              <w:rPr>
                <w:rFonts w:ascii="Arial"/>
                <w:sz w:val="52"/>
                <w:szCs w:val="52"/>
              </w:rPr>
            </w:pPr>
          </w:p>
        </w:tc>
        <w:tc>
          <w:tcPr>
            <w:tcW w:w="1417" w:type="dxa"/>
            <w:vAlign w:val="center"/>
          </w:tcPr>
          <w:p w14:paraId="453269EC">
            <w:pPr>
              <w:pStyle w:val="397"/>
              <w:spacing w:before="38" w:line="219" w:lineRule="auto"/>
              <w:ind w:left="211"/>
              <w:jc w:val="center"/>
              <w:rPr>
                <w:sz w:val="24"/>
                <w:szCs w:val="24"/>
              </w:rPr>
            </w:pPr>
            <w:r>
              <w:rPr>
                <w:spacing w:val="-1"/>
                <w:sz w:val="24"/>
                <w:szCs w:val="24"/>
              </w:rPr>
              <w:t>流量抓拍</w:t>
            </w:r>
          </w:p>
        </w:tc>
        <w:tc>
          <w:tcPr>
            <w:tcW w:w="816" w:type="dxa"/>
            <w:vAlign w:val="center"/>
          </w:tcPr>
          <w:p w14:paraId="461F82D1">
            <w:pPr>
              <w:pStyle w:val="397"/>
              <w:spacing w:before="39" w:line="221" w:lineRule="auto"/>
              <w:ind w:left="123"/>
              <w:jc w:val="center"/>
              <w:rPr>
                <w:sz w:val="24"/>
                <w:szCs w:val="24"/>
              </w:rPr>
            </w:pPr>
            <w:r>
              <w:rPr>
                <w:sz w:val="24"/>
                <w:szCs w:val="24"/>
              </w:rPr>
              <w:t>台</w:t>
            </w:r>
          </w:p>
        </w:tc>
        <w:tc>
          <w:tcPr>
            <w:tcW w:w="934" w:type="dxa"/>
            <w:vAlign w:val="center"/>
          </w:tcPr>
          <w:p w14:paraId="4D13D06B">
            <w:pPr>
              <w:pStyle w:val="397"/>
              <w:spacing w:before="48" w:line="223" w:lineRule="auto"/>
              <w:ind w:left="93"/>
              <w:jc w:val="center"/>
              <w:rPr>
                <w:sz w:val="24"/>
                <w:szCs w:val="24"/>
              </w:rPr>
            </w:pPr>
            <w:r>
              <w:rPr>
                <w:spacing w:val="-2"/>
                <w:sz w:val="24"/>
                <w:szCs w:val="24"/>
              </w:rPr>
              <w:t>243</w:t>
            </w:r>
          </w:p>
        </w:tc>
        <w:tc>
          <w:tcPr>
            <w:tcW w:w="1616" w:type="dxa"/>
            <w:vAlign w:val="center"/>
          </w:tcPr>
          <w:p w14:paraId="3210E9DA">
            <w:pPr>
              <w:pStyle w:val="397"/>
              <w:spacing w:before="48" w:line="223" w:lineRule="auto"/>
              <w:ind w:left="174"/>
              <w:jc w:val="center"/>
              <w:rPr>
                <w:sz w:val="24"/>
                <w:szCs w:val="24"/>
              </w:rPr>
            </w:pPr>
          </w:p>
        </w:tc>
        <w:tc>
          <w:tcPr>
            <w:tcW w:w="1717" w:type="dxa"/>
            <w:vAlign w:val="center"/>
          </w:tcPr>
          <w:p w14:paraId="6A0FD00C">
            <w:pPr>
              <w:pStyle w:val="397"/>
              <w:spacing w:before="48" w:line="223" w:lineRule="auto"/>
              <w:ind w:left="166"/>
              <w:jc w:val="center"/>
              <w:rPr>
                <w:sz w:val="24"/>
                <w:szCs w:val="24"/>
              </w:rPr>
            </w:pPr>
          </w:p>
        </w:tc>
        <w:tc>
          <w:tcPr>
            <w:tcW w:w="1533" w:type="dxa"/>
            <w:vAlign w:val="center"/>
          </w:tcPr>
          <w:p w14:paraId="475108E3">
            <w:pPr>
              <w:pStyle w:val="397"/>
              <w:spacing w:before="48" w:line="223" w:lineRule="auto"/>
              <w:ind w:left="127"/>
              <w:jc w:val="center"/>
              <w:rPr>
                <w:sz w:val="24"/>
                <w:szCs w:val="24"/>
              </w:rPr>
            </w:pPr>
          </w:p>
        </w:tc>
      </w:tr>
      <w:tr w14:paraId="3779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602" w:type="dxa"/>
            <w:vMerge w:val="restart"/>
            <w:tcBorders>
              <w:bottom w:val="nil"/>
            </w:tcBorders>
            <w:vAlign w:val="center"/>
          </w:tcPr>
          <w:p w14:paraId="6BA82604">
            <w:pPr>
              <w:pStyle w:val="397"/>
              <w:spacing w:before="33" w:line="241" w:lineRule="auto"/>
              <w:ind w:left="65"/>
              <w:jc w:val="center"/>
              <w:rPr>
                <w:sz w:val="24"/>
                <w:szCs w:val="24"/>
              </w:rPr>
            </w:pPr>
            <w:r>
              <w:rPr>
                <w:sz w:val="24"/>
                <w:szCs w:val="24"/>
              </w:rPr>
              <w:t>2</w:t>
            </w:r>
          </w:p>
        </w:tc>
        <w:tc>
          <w:tcPr>
            <w:tcW w:w="982" w:type="dxa"/>
            <w:vMerge w:val="restart"/>
            <w:tcBorders>
              <w:bottom w:val="nil"/>
            </w:tcBorders>
            <w:vAlign w:val="center"/>
          </w:tcPr>
          <w:p w14:paraId="7616CFC1">
            <w:pPr>
              <w:pStyle w:val="397"/>
              <w:spacing w:before="32" w:line="221" w:lineRule="auto"/>
              <w:ind w:left="120"/>
              <w:jc w:val="center"/>
              <w:rPr>
                <w:sz w:val="24"/>
                <w:szCs w:val="24"/>
              </w:rPr>
            </w:pPr>
            <w:r>
              <w:rPr>
                <w:spacing w:val="-2"/>
                <w:sz w:val="24"/>
                <w:szCs w:val="24"/>
              </w:rPr>
              <w:t>卡口</w:t>
            </w:r>
          </w:p>
        </w:tc>
        <w:tc>
          <w:tcPr>
            <w:tcW w:w="1417" w:type="dxa"/>
            <w:vAlign w:val="center"/>
          </w:tcPr>
          <w:p w14:paraId="4CEB4FC5">
            <w:pPr>
              <w:pStyle w:val="397"/>
              <w:spacing w:before="38" w:line="219" w:lineRule="auto"/>
              <w:ind w:left="260"/>
              <w:jc w:val="center"/>
              <w:rPr>
                <w:sz w:val="24"/>
                <w:szCs w:val="24"/>
              </w:rPr>
            </w:pPr>
            <w:r>
              <w:rPr>
                <w:spacing w:val="-1"/>
                <w:sz w:val="24"/>
                <w:szCs w:val="24"/>
              </w:rPr>
              <w:t>抓拍机</w:t>
            </w:r>
          </w:p>
        </w:tc>
        <w:tc>
          <w:tcPr>
            <w:tcW w:w="816" w:type="dxa"/>
            <w:vAlign w:val="center"/>
          </w:tcPr>
          <w:p w14:paraId="2D1E08C6">
            <w:pPr>
              <w:pStyle w:val="397"/>
              <w:spacing w:before="40" w:line="221" w:lineRule="auto"/>
              <w:ind w:left="123"/>
              <w:jc w:val="center"/>
              <w:rPr>
                <w:sz w:val="24"/>
                <w:szCs w:val="24"/>
              </w:rPr>
            </w:pPr>
            <w:r>
              <w:rPr>
                <w:sz w:val="24"/>
                <w:szCs w:val="24"/>
              </w:rPr>
              <w:t>台</w:t>
            </w:r>
          </w:p>
        </w:tc>
        <w:tc>
          <w:tcPr>
            <w:tcW w:w="934" w:type="dxa"/>
            <w:vAlign w:val="center"/>
          </w:tcPr>
          <w:p w14:paraId="3EE9A450">
            <w:pPr>
              <w:pStyle w:val="397"/>
              <w:spacing w:before="48" w:line="205" w:lineRule="auto"/>
              <w:ind w:left="93"/>
              <w:jc w:val="center"/>
              <w:rPr>
                <w:sz w:val="24"/>
                <w:szCs w:val="24"/>
              </w:rPr>
            </w:pPr>
            <w:r>
              <w:rPr>
                <w:spacing w:val="-3"/>
                <w:sz w:val="24"/>
                <w:szCs w:val="24"/>
              </w:rPr>
              <w:t>165</w:t>
            </w:r>
          </w:p>
        </w:tc>
        <w:tc>
          <w:tcPr>
            <w:tcW w:w="1616" w:type="dxa"/>
            <w:vAlign w:val="center"/>
          </w:tcPr>
          <w:p w14:paraId="472A83DF">
            <w:pPr>
              <w:pStyle w:val="397"/>
              <w:spacing w:before="48" w:line="205" w:lineRule="auto"/>
              <w:ind w:left="174"/>
              <w:jc w:val="center"/>
              <w:rPr>
                <w:sz w:val="24"/>
                <w:szCs w:val="24"/>
              </w:rPr>
            </w:pPr>
          </w:p>
        </w:tc>
        <w:tc>
          <w:tcPr>
            <w:tcW w:w="1717" w:type="dxa"/>
            <w:vAlign w:val="center"/>
          </w:tcPr>
          <w:p w14:paraId="5EB9F045">
            <w:pPr>
              <w:pStyle w:val="397"/>
              <w:spacing w:before="48" w:line="205" w:lineRule="auto"/>
              <w:ind w:left="166"/>
              <w:jc w:val="center"/>
              <w:rPr>
                <w:sz w:val="24"/>
                <w:szCs w:val="24"/>
              </w:rPr>
            </w:pPr>
          </w:p>
        </w:tc>
        <w:tc>
          <w:tcPr>
            <w:tcW w:w="1533" w:type="dxa"/>
            <w:vAlign w:val="center"/>
          </w:tcPr>
          <w:p w14:paraId="018BA4C2">
            <w:pPr>
              <w:pStyle w:val="397"/>
              <w:spacing w:before="48" w:line="205" w:lineRule="auto"/>
              <w:ind w:left="127"/>
              <w:jc w:val="center"/>
              <w:rPr>
                <w:sz w:val="24"/>
                <w:szCs w:val="24"/>
              </w:rPr>
            </w:pPr>
          </w:p>
        </w:tc>
      </w:tr>
      <w:tr w14:paraId="1F99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bottom w:val="nil"/>
            </w:tcBorders>
            <w:vAlign w:val="center"/>
          </w:tcPr>
          <w:p w14:paraId="4DA1800B">
            <w:pPr>
              <w:jc w:val="center"/>
              <w:rPr>
                <w:rFonts w:ascii="Arial"/>
                <w:sz w:val="52"/>
                <w:szCs w:val="52"/>
              </w:rPr>
            </w:pPr>
          </w:p>
        </w:tc>
        <w:tc>
          <w:tcPr>
            <w:tcW w:w="982" w:type="dxa"/>
            <w:vMerge w:val="continue"/>
            <w:tcBorders>
              <w:top w:val="nil"/>
              <w:bottom w:val="nil"/>
            </w:tcBorders>
            <w:vAlign w:val="center"/>
          </w:tcPr>
          <w:p w14:paraId="691CE0D7">
            <w:pPr>
              <w:jc w:val="center"/>
              <w:rPr>
                <w:rFonts w:ascii="Arial"/>
                <w:sz w:val="52"/>
                <w:szCs w:val="52"/>
              </w:rPr>
            </w:pPr>
          </w:p>
        </w:tc>
        <w:tc>
          <w:tcPr>
            <w:tcW w:w="1417" w:type="dxa"/>
            <w:vAlign w:val="center"/>
          </w:tcPr>
          <w:p w14:paraId="2E3168D8">
            <w:pPr>
              <w:pStyle w:val="397"/>
              <w:spacing w:before="39" w:line="219" w:lineRule="auto"/>
              <w:ind w:left="260"/>
              <w:jc w:val="center"/>
              <w:rPr>
                <w:sz w:val="24"/>
                <w:szCs w:val="24"/>
              </w:rPr>
            </w:pPr>
            <w:r>
              <w:rPr>
                <w:spacing w:val="-3"/>
                <w:sz w:val="24"/>
                <w:szCs w:val="24"/>
              </w:rPr>
              <w:t>闪光灯</w:t>
            </w:r>
          </w:p>
        </w:tc>
        <w:tc>
          <w:tcPr>
            <w:tcW w:w="816" w:type="dxa"/>
            <w:vAlign w:val="center"/>
          </w:tcPr>
          <w:p w14:paraId="325BE31D">
            <w:pPr>
              <w:pStyle w:val="397"/>
              <w:spacing w:before="40" w:line="221" w:lineRule="auto"/>
              <w:ind w:left="123"/>
              <w:jc w:val="center"/>
              <w:rPr>
                <w:sz w:val="24"/>
                <w:szCs w:val="24"/>
              </w:rPr>
            </w:pPr>
            <w:r>
              <w:rPr>
                <w:sz w:val="24"/>
                <w:szCs w:val="24"/>
              </w:rPr>
              <w:t>台</w:t>
            </w:r>
          </w:p>
        </w:tc>
        <w:tc>
          <w:tcPr>
            <w:tcW w:w="934" w:type="dxa"/>
            <w:vAlign w:val="center"/>
          </w:tcPr>
          <w:p w14:paraId="3534ACE1">
            <w:pPr>
              <w:pStyle w:val="397"/>
              <w:spacing w:before="49" w:line="223" w:lineRule="auto"/>
              <w:ind w:left="93"/>
              <w:jc w:val="center"/>
              <w:rPr>
                <w:sz w:val="24"/>
                <w:szCs w:val="24"/>
              </w:rPr>
            </w:pPr>
            <w:r>
              <w:rPr>
                <w:spacing w:val="-2"/>
                <w:sz w:val="24"/>
                <w:szCs w:val="24"/>
              </w:rPr>
              <w:t>253</w:t>
            </w:r>
          </w:p>
        </w:tc>
        <w:tc>
          <w:tcPr>
            <w:tcW w:w="1616" w:type="dxa"/>
            <w:vAlign w:val="center"/>
          </w:tcPr>
          <w:p w14:paraId="1B6BC469">
            <w:pPr>
              <w:pStyle w:val="397"/>
              <w:spacing w:before="49" w:line="223" w:lineRule="auto"/>
              <w:ind w:left="174"/>
              <w:jc w:val="center"/>
              <w:rPr>
                <w:sz w:val="24"/>
                <w:szCs w:val="24"/>
              </w:rPr>
            </w:pPr>
          </w:p>
        </w:tc>
        <w:tc>
          <w:tcPr>
            <w:tcW w:w="1717" w:type="dxa"/>
            <w:vAlign w:val="center"/>
          </w:tcPr>
          <w:p w14:paraId="6FACEFA6">
            <w:pPr>
              <w:pStyle w:val="397"/>
              <w:spacing w:before="49" w:line="223" w:lineRule="auto"/>
              <w:ind w:left="186"/>
              <w:jc w:val="center"/>
              <w:rPr>
                <w:sz w:val="24"/>
                <w:szCs w:val="24"/>
              </w:rPr>
            </w:pPr>
          </w:p>
        </w:tc>
        <w:tc>
          <w:tcPr>
            <w:tcW w:w="1533" w:type="dxa"/>
            <w:vAlign w:val="center"/>
          </w:tcPr>
          <w:p w14:paraId="7DB448BB">
            <w:pPr>
              <w:pStyle w:val="397"/>
              <w:spacing w:before="49" w:line="223" w:lineRule="auto"/>
              <w:ind w:left="127"/>
              <w:jc w:val="center"/>
              <w:rPr>
                <w:sz w:val="24"/>
                <w:szCs w:val="24"/>
              </w:rPr>
            </w:pPr>
          </w:p>
        </w:tc>
      </w:tr>
      <w:tr w14:paraId="5649C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continue"/>
            <w:tcBorders>
              <w:top w:val="nil"/>
              <w:bottom w:val="nil"/>
            </w:tcBorders>
            <w:vAlign w:val="center"/>
          </w:tcPr>
          <w:p w14:paraId="03664DDC">
            <w:pPr>
              <w:jc w:val="center"/>
              <w:rPr>
                <w:rFonts w:ascii="Arial"/>
                <w:sz w:val="52"/>
                <w:szCs w:val="52"/>
              </w:rPr>
            </w:pPr>
          </w:p>
        </w:tc>
        <w:tc>
          <w:tcPr>
            <w:tcW w:w="982" w:type="dxa"/>
            <w:vMerge w:val="continue"/>
            <w:tcBorders>
              <w:top w:val="nil"/>
              <w:bottom w:val="nil"/>
            </w:tcBorders>
            <w:vAlign w:val="center"/>
          </w:tcPr>
          <w:p w14:paraId="6FECDDA0">
            <w:pPr>
              <w:jc w:val="center"/>
              <w:rPr>
                <w:rFonts w:ascii="Arial"/>
                <w:sz w:val="52"/>
                <w:szCs w:val="52"/>
              </w:rPr>
            </w:pPr>
          </w:p>
        </w:tc>
        <w:tc>
          <w:tcPr>
            <w:tcW w:w="1417" w:type="dxa"/>
            <w:vAlign w:val="center"/>
          </w:tcPr>
          <w:p w14:paraId="056294BF">
            <w:pPr>
              <w:pStyle w:val="397"/>
              <w:spacing w:before="39" w:line="219" w:lineRule="auto"/>
              <w:ind w:left="260"/>
              <w:jc w:val="center"/>
              <w:rPr>
                <w:sz w:val="24"/>
                <w:szCs w:val="24"/>
              </w:rPr>
            </w:pPr>
            <w:r>
              <w:rPr>
                <w:spacing w:val="-1"/>
                <w:sz w:val="24"/>
                <w:szCs w:val="24"/>
              </w:rPr>
              <w:t>补光灯</w:t>
            </w:r>
          </w:p>
        </w:tc>
        <w:tc>
          <w:tcPr>
            <w:tcW w:w="816" w:type="dxa"/>
            <w:vAlign w:val="center"/>
          </w:tcPr>
          <w:p w14:paraId="4528D57A">
            <w:pPr>
              <w:pStyle w:val="397"/>
              <w:spacing w:before="40" w:line="221" w:lineRule="auto"/>
              <w:ind w:left="123"/>
              <w:jc w:val="center"/>
              <w:rPr>
                <w:sz w:val="24"/>
                <w:szCs w:val="24"/>
              </w:rPr>
            </w:pPr>
            <w:r>
              <w:rPr>
                <w:sz w:val="24"/>
                <w:szCs w:val="24"/>
              </w:rPr>
              <w:t>台</w:t>
            </w:r>
          </w:p>
        </w:tc>
        <w:tc>
          <w:tcPr>
            <w:tcW w:w="934" w:type="dxa"/>
            <w:vAlign w:val="center"/>
          </w:tcPr>
          <w:p w14:paraId="6356B625">
            <w:pPr>
              <w:pStyle w:val="397"/>
              <w:spacing w:before="49" w:line="221" w:lineRule="auto"/>
              <w:ind w:left="123"/>
              <w:jc w:val="center"/>
              <w:rPr>
                <w:sz w:val="24"/>
                <w:szCs w:val="24"/>
              </w:rPr>
            </w:pPr>
            <w:r>
              <w:rPr>
                <w:spacing w:val="-2"/>
                <w:sz w:val="24"/>
                <w:szCs w:val="24"/>
              </w:rPr>
              <w:t>67</w:t>
            </w:r>
          </w:p>
        </w:tc>
        <w:tc>
          <w:tcPr>
            <w:tcW w:w="1616" w:type="dxa"/>
            <w:vAlign w:val="center"/>
          </w:tcPr>
          <w:p w14:paraId="1EDC1C7F">
            <w:pPr>
              <w:pStyle w:val="397"/>
              <w:spacing w:before="49" w:line="221" w:lineRule="auto"/>
              <w:ind w:left="174"/>
              <w:jc w:val="center"/>
              <w:rPr>
                <w:sz w:val="24"/>
                <w:szCs w:val="24"/>
              </w:rPr>
            </w:pPr>
          </w:p>
        </w:tc>
        <w:tc>
          <w:tcPr>
            <w:tcW w:w="1717" w:type="dxa"/>
            <w:vAlign w:val="center"/>
          </w:tcPr>
          <w:p w14:paraId="151A2346">
            <w:pPr>
              <w:pStyle w:val="397"/>
              <w:spacing w:before="49" w:line="221" w:lineRule="auto"/>
              <w:ind w:left="186"/>
              <w:jc w:val="center"/>
              <w:rPr>
                <w:sz w:val="24"/>
                <w:szCs w:val="24"/>
              </w:rPr>
            </w:pPr>
          </w:p>
        </w:tc>
        <w:tc>
          <w:tcPr>
            <w:tcW w:w="1533" w:type="dxa"/>
            <w:vAlign w:val="center"/>
          </w:tcPr>
          <w:p w14:paraId="2DD08FB0">
            <w:pPr>
              <w:pStyle w:val="397"/>
              <w:spacing w:before="49" w:line="221" w:lineRule="auto"/>
              <w:ind w:left="127"/>
              <w:jc w:val="center"/>
              <w:rPr>
                <w:sz w:val="24"/>
                <w:szCs w:val="24"/>
              </w:rPr>
            </w:pPr>
          </w:p>
        </w:tc>
      </w:tr>
      <w:tr w14:paraId="14DEA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bottom w:val="nil"/>
            </w:tcBorders>
            <w:vAlign w:val="center"/>
          </w:tcPr>
          <w:p w14:paraId="25FA3FB2">
            <w:pPr>
              <w:jc w:val="center"/>
              <w:rPr>
                <w:rFonts w:ascii="Arial"/>
                <w:sz w:val="52"/>
                <w:szCs w:val="52"/>
              </w:rPr>
            </w:pPr>
          </w:p>
        </w:tc>
        <w:tc>
          <w:tcPr>
            <w:tcW w:w="982" w:type="dxa"/>
            <w:vMerge w:val="continue"/>
            <w:tcBorders>
              <w:top w:val="nil"/>
              <w:bottom w:val="nil"/>
            </w:tcBorders>
            <w:vAlign w:val="center"/>
          </w:tcPr>
          <w:p w14:paraId="12CD7A1D">
            <w:pPr>
              <w:jc w:val="center"/>
              <w:rPr>
                <w:rFonts w:ascii="Arial"/>
                <w:sz w:val="52"/>
                <w:szCs w:val="52"/>
              </w:rPr>
            </w:pPr>
          </w:p>
        </w:tc>
        <w:tc>
          <w:tcPr>
            <w:tcW w:w="1417" w:type="dxa"/>
            <w:vAlign w:val="center"/>
          </w:tcPr>
          <w:p w14:paraId="646F9DFB">
            <w:pPr>
              <w:pStyle w:val="397"/>
              <w:spacing w:before="40" w:line="219" w:lineRule="auto"/>
              <w:ind w:left="161"/>
              <w:jc w:val="center"/>
              <w:rPr>
                <w:sz w:val="24"/>
                <w:szCs w:val="24"/>
              </w:rPr>
            </w:pPr>
            <w:r>
              <w:rPr>
                <w:spacing w:val="-1"/>
                <w:sz w:val="24"/>
                <w:szCs w:val="24"/>
              </w:rPr>
              <w:t>终端服务器</w:t>
            </w:r>
          </w:p>
        </w:tc>
        <w:tc>
          <w:tcPr>
            <w:tcW w:w="816" w:type="dxa"/>
            <w:vAlign w:val="center"/>
          </w:tcPr>
          <w:p w14:paraId="34DE1616">
            <w:pPr>
              <w:pStyle w:val="397"/>
              <w:spacing w:before="41" w:line="221" w:lineRule="auto"/>
              <w:ind w:left="123"/>
              <w:jc w:val="center"/>
              <w:rPr>
                <w:sz w:val="24"/>
                <w:szCs w:val="24"/>
              </w:rPr>
            </w:pPr>
            <w:r>
              <w:rPr>
                <w:sz w:val="24"/>
                <w:szCs w:val="24"/>
              </w:rPr>
              <w:t>台</w:t>
            </w:r>
          </w:p>
        </w:tc>
        <w:tc>
          <w:tcPr>
            <w:tcW w:w="934" w:type="dxa"/>
            <w:vAlign w:val="center"/>
          </w:tcPr>
          <w:p w14:paraId="4EB90B59">
            <w:pPr>
              <w:pStyle w:val="397"/>
              <w:spacing w:before="50" w:line="221" w:lineRule="auto"/>
              <w:ind w:left="123"/>
              <w:jc w:val="center"/>
              <w:rPr>
                <w:sz w:val="24"/>
                <w:szCs w:val="24"/>
              </w:rPr>
            </w:pPr>
            <w:r>
              <w:rPr>
                <w:spacing w:val="-2"/>
                <w:sz w:val="24"/>
                <w:szCs w:val="24"/>
              </w:rPr>
              <w:t>73</w:t>
            </w:r>
          </w:p>
        </w:tc>
        <w:tc>
          <w:tcPr>
            <w:tcW w:w="1616" w:type="dxa"/>
            <w:vAlign w:val="center"/>
          </w:tcPr>
          <w:p w14:paraId="202A4BB6">
            <w:pPr>
              <w:pStyle w:val="397"/>
              <w:spacing w:before="50" w:line="221" w:lineRule="auto"/>
              <w:ind w:left="174"/>
              <w:jc w:val="center"/>
              <w:rPr>
                <w:sz w:val="24"/>
                <w:szCs w:val="24"/>
              </w:rPr>
            </w:pPr>
          </w:p>
        </w:tc>
        <w:tc>
          <w:tcPr>
            <w:tcW w:w="1717" w:type="dxa"/>
            <w:vAlign w:val="center"/>
          </w:tcPr>
          <w:p w14:paraId="2165ECDC">
            <w:pPr>
              <w:pStyle w:val="397"/>
              <w:spacing w:before="50" w:line="221" w:lineRule="auto"/>
              <w:ind w:left="166"/>
              <w:jc w:val="center"/>
              <w:rPr>
                <w:sz w:val="24"/>
                <w:szCs w:val="24"/>
              </w:rPr>
            </w:pPr>
          </w:p>
        </w:tc>
        <w:tc>
          <w:tcPr>
            <w:tcW w:w="1533" w:type="dxa"/>
            <w:vAlign w:val="center"/>
          </w:tcPr>
          <w:p w14:paraId="53A656B5">
            <w:pPr>
              <w:pStyle w:val="397"/>
              <w:spacing w:before="50" w:line="221" w:lineRule="auto"/>
              <w:ind w:left="127"/>
              <w:jc w:val="center"/>
              <w:rPr>
                <w:sz w:val="24"/>
                <w:szCs w:val="24"/>
              </w:rPr>
            </w:pPr>
          </w:p>
        </w:tc>
      </w:tr>
      <w:tr w14:paraId="3A6C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continue"/>
            <w:tcBorders>
              <w:top w:val="nil"/>
              <w:bottom w:val="nil"/>
            </w:tcBorders>
            <w:vAlign w:val="center"/>
          </w:tcPr>
          <w:p w14:paraId="39173D30">
            <w:pPr>
              <w:jc w:val="center"/>
              <w:rPr>
                <w:rFonts w:ascii="Arial"/>
                <w:sz w:val="52"/>
                <w:szCs w:val="52"/>
              </w:rPr>
            </w:pPr>
          </w:p>
        </w:tc>
        <w:tc>
          <w:tcPr>
            <w:tcW w:w="982" w:type="dxa"/>
            <w:vMerge w:val="continue"/>
            <w:tcBorders>
              <w:top w:val="nil"/>
              <w:bottom w:val="nil"/>
            </w:tcBorders>
            <w:vAlign w:val="center"/>
          </w:tcPr>
          <w:p w14:paraId="335FD789">
            <w:pPr>
              <w:jc w:val="center"/>
              <w:rPr>
                <w:rFonts w:ascii="Arial"/>
                <w:sz w:val="52"/>
                <w:szCs w:val="52"/>
              </w:rPr>
            </w:pPr>
          </w:p>
        </w:tc>
        <w:tc>
          <w:tcPr>
            <w:tcW w:w="1417" w:type="dxa"/>
            <w:vAlign w:val="center"/>
          </w:tcPr>
          <w:p w14:paraId="4C680D88">
            <w:pPr>
              <w:pStyle w:val="397"/>
              <w:spacing w:before="39" w:line="219" w:lineRule="auto"/>
              <w:ind w:left="211"/>
              <w:jc w:val="center"/>
              <w:rPr>
                <w:sz w:val="24"/>
                <w:szCs w:val="24"/>
              </w:rPr>
            </w:pPr>
            <w:r>
              <w:rPr>
                <w:spacing w:val="-1"/>
                <w:sz w:val="24"/>
                <w:szCs w:val="24"/>
              </w:rPr>
              <w:t>全景球机</w:t>
            </w:r>
          </w:p>
        </w:tc>
        <w:tc>
          <w:tcPr>
            <w:tcW w:w="816" w:type="dxa"/>
            <w:vAlign w:val="center"/>
          </w:tcPr>
          <w:p w14:paraId="251F0B4A">
            <w:pPr>
              <w:pStyle w:val="397"/>
              <w:spacing w:before="41" w:line="221" w:lineRule="auto"/>
              <w:ind w:left="123"/>
              <w:jc w:val="center"/>
              <w:rPr>
                <w:sz w:val="24"/>
                <w:szCs w:val="24"/>
              </w:rPr>
            </w:pPr>
            <w:r>
              <w:rPr>
                <w:sz w:val="24"/>
                <w:szCs w:val="24"/>
              </w:rPr>
              <w:t>台</w:t>
            </w:r>
          </w:p>
        </w:tc>
        <w:tc>
          <w:tcPr>
            <w:tcW w:w="934" w:type="dxa"/>
            <w:vAlign w:val="center"/>
          </w:tcPr>
          <w:p w14:paraId="25D0974B">
            <w:pPr>
              <w:pStyle w:val="397"/>
              <w:spacing w:before="49" w:line="220" w:lineRule="auto"/>
              <w:ind w:left="123"/>
              <w:jc w:val="center"/>
              <w:rPr>
                <w:sz w:val="24"/>
                <w:szCs w:val="24"/>
              </w:rPr>
            </w:pPr>
            <w:r>
              <w:rPr>
                <w:spacing w:val="-2"/>
                <w:sz w:val="24"/>
                <w:szCs w:val="24"/>
              </w:rPr>
              <w:t>77</w:t>
            </w:r>
          </w:p>
        </w:tc>
        <w:tc>
          <w:tcPr>
            <w:tcW w:w="1616" w:type="dxa"/>
            <w:vAlign w:val="center"/>
          </w:tcPr>
          <w:p w14:paraId="2310ED91">
            <w:pPr>
              <w:pStyle w:val="397"/>
              <w:spacing w:before="49" w:line="220" w:lineRule="auto"/>
              <w:ind w:left="174"/>
              <w:jc w:val="center"/>
              <w:rPr>
                <w:sz w:val="24"/>
                <w:szCs w:val="24"/>
              </w:rPr>
            </w:pPr>
          </w:p>
        </w:tc>
        <w:tc>
          <w:tcPr>
            <w:tcW w:w="1717" w:type="dxa"/>
            <w:vAlign w:val="center"/>
          </w:tcPr>
          <w:p w14:paraId="5048A0AB">
            <w:pPr>
              <w:pStyle w:val="397"/>
              <w:spacing w:before="49" w:line="220" w:lineRule="auto"/>
              <w:ind w:left="186"/>
              <w:jc w:val="center"/>
              <w:rPr>
                <w:sz w:val="24"/>
                <w:szCs w:val="24"/>
              </w:rPr>
            </w:pPr>
          </w:p>
        </w:tc>
        <w:tc>
          <w:tcPr>
            <w:tcW w:w="1533" w:type="dxa"/>
            <w:vAlign w:val="center"/>
          </w:tcPr>
          <w:p w14:paraId="5592A15C">
            <w:pPr>
              <w:pStyle w:val="397"/>
              <w:spacing w:before="49" w:line="220" w:lineRule="auto"/>
              <w:ind w:left="127"/>
              <w:jc w:val="center"/>
              <w:rPr>
                <w:sz w:val="24"/>
                <w:szCs w:val="24"/>
              </w:rPr>
            </w:pPr>
          </w:p>
        </w:tc>
      </w:tr>
      <w:tr w14:paraId="7629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602" w:type="dxa"/>
            <w:vMerge w:val="continue"/>
            <w:tcBorders>
              <w:top w:val="nil"/>
            </w:tcBorders>
            <w:vAlign w:val="center"/>
          </w:tcPr>
          <w:p w14:paraId="77D78388">
            <w:pPr>
              <w:jc w:val="center"/>
              <w:rPr>
                <w:rFonts w:ascii="Arial"/>
                <w:sz w:val="52"/>
                <w:szCs w:val="52"/>
              </w:rPr>
            </w:pPr>
          </w:p>
        </w:tc>
        <w:tc>
          <w:tcPr>
            <w:tcW w:w="982" w:type="dxa"/>
            <w:vMerge w:val="continue"/>
            <w:tcBorders>
              <w:top w:val="nil"/>
            </w:tcBorders>
            <w:vAlign w:val="center"/>
          </w:tcPr>
          <w:p w14:paraId="3B8C05F1">
            <w:pPr>
              <w:jc w:val="center"/>
              <w:rPr>
                <w:rFonts w:ascii="Arial"/>
                <w:sz w:val="52"/>
                <w:szCs w:val="52"/>
              </w:rPr>
            </w:pPr>
          </w:p>
        </w:tc>
        <w:tc>
          <w:tcPr>
            <w:tcW w:w="1417" w:type="dxa"/>
            <w:vAlign w:val="center"/>
          </w:tcPr>
          <w:p w14:paraId="0FA88E9D">
            <w:pPr>
              <w:pStyle w:val="397"/>
              <w:spacing w:before="41" w:line="220" w:lineRule="auto"/>
              <w:ind w:left="310"/>
              <w:jc w:val="center"/>
              <w:rPr>
                <w:sz w:val="24"/>
                <w:szCs w:val="24"/>
              </w:rPr>
            </w:pPr>
            <w:r>
              <w:rPr>
                <w:spacing w:val="-2"/>
                <w:sz w:val="24"/>
                <w:szCs w:val="24"/>
              </w:rPr>
              <w:t>雷达</w:t>
            </w:r>
          </w:p>
        </w:tc>
        <w:tc>
          <w:tcPr>
            <w:tcW w:w="816" w:type="dxa"/>
            <w:vAlign w:val="center"/>
          </w:tcPr>
          <w:p w14:paraId="366344B4">
            <w:pPr>
              <w:pStyle w:val="397"/>
              <w:spacing w:before="42" w:line="221" w:lineRule="auto"/>
              <w:ind w:left="123"/>
              <w:jc w:val="center"/>
              <w:rPr>
                <w:sz w:val="24"/>
                <w:szCs w:val="24"/>
              </w:rPr>
            </w:pPr>
            <w:r>
              <w:rPr>
                <w:sz w:val="24"/>
                <w:szCs w:val="24"/>
              </w:rPr>
              <w:t>台</w:t>
            </w:r>
          </w:p>
        </w:tc>
        <w:tc>
          <w:tcPr>
            <w:tcW w:w="934" w:type="dxa"/>
            <w:vAlign w:val="center"/>
          </w:tcPr>
          <w:p w14:paraId="545DBCE3">
            <w:pPr>
              <w:pStyle w:val="397"/>
              <w:spacing w:before="51" w:line="219" w:lineRule="auto"/>
              <w:ind w:left="123"/>
              <w:jc w:val="center"/>
              <w:rPr>
                <w:sz w:val="24"/>
                <w:szCs w:val="24"/>
              </w:rPr>
            </w:pPr>
            <w:r>
              <w:rPr>
                <w:spacing w:val="-2"/>
                <w:sz w:val="24"/>
                <w:szCs w:val="24"/>
              </w:rPr>
              <w:t>98</w:t>
            </w:r>
          </w:p>
        </w:tc>
        <w:tc>
          <w:tcPr>
            <w:tcW w:w="1616" w:type="dxa"/>
            <w:vAlign w:val="center"/>
          </w:tcPr>
          <w:p w14:paraId="2309F42D">
            <w:pPr>
              <w:pStyle w:val="397"/>
              <w:spacing w:before="51" w:line="219" w:lineRule="auto"/>
              <w:ind w:left="174"/>
              <w:jc w:val="center"/>
              <w:rPr>
                <w:sz w:val="24"/>
                <w:szCs w:val="24"/>
              </w:rPr>
            </w:pPr>
          </w:p>
        </w:tc>
        <w:tc>
          <w:tcPr>
            <w:tcW w:w="1717" w:type="dxa"/>
            <w:vAlign w:val="center"/>
          </w:tcPr>
          <w:p w14:paraId="39AF3190">
            <w:pPr>
              <w:pStyle w:val="397"/>
              <w:spacing w:before="51" w:line="219" w:lineRule="auto"/>
              <w:ind w:left="166"/>
              <w:jc w:val="center"/>
              <w:rPr>
                <w:sz w:val="24"/>
                <w:szCs w:val="24"/>
              </w:rPr>
            </w:pPr>
          </w:p>
        </w:tc>
        <w:tc>
          <w:tcPr>
            <w:tcW w:w="1533" w:type="dxa"/>
            <w:vAlign w:val="center"/>
          </w:tcPr>
          <w:p w14:paraId="56F02814">
            <w:pPr>
              <w:pStyle w:val="397"/>
              <w:spacing w:before="51" w:line="219" w:lineRule="auto"/>
              <w:ind w:left="127"/>
              <w:jc w:val="center"/>
              <w:rPr>
                <w:sz w:val="24"/>
                <w:szCs w:val="24"/>
              </w:rPr>
            </w:pPr>
          </w:p>
        </w:tc>
      </w:tr>
      <w:tr w14:paraId="3233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Align w:val="center"/>
          </w:tcPr>
          <w:p w14:paraId="299ADC0B">
            <w:pPr>
              <w:pStyle w:val="397"/>
              <w:spacing w:before="50" w:line="220" w:lineRule="auto"/>
              <w:ind w:left="65"/>
              <w:jc w:val="center"/>
              <w:rPr>
                <w:sz w:val="24"/>
                <w:szCs w:val="24"/>
              </w:rPr>
            </w:pPr>
            <w:r>
              <w:rPr>
                <w:sz w:val="24"/>
                <w:szCs w:val="24"/>
              </w:rPr>
              <w:t>3</w:t>
            </w:r>
          </w:p>
        </w:tc>
        <w:tc>
          <w:tcPr>
            <w:tcW w:w="982" w:type="dxa"/>
            <w:vAlign w:val="center"/>
          </w:tcPr>
          <w:p w14:paraId="705A8CE3">
            <w:pPr>
              <w:pStyle w:val="397"/>
              <w:spacing w:before="41" w:line="219" w:lineRule="auto"/>
              <w:ind w:left="19"/>
              <w:jc w:val="center"/>
              <w:rPr>
                <w:sz w:val="24"/>
                <w:szCs w:val="24"/>
              </w:rPr>
            </w:pPr>
            <w:r>
              <w:rPr>
                <w:spacing w:val="-2"/>
                <w:sz w:val="24"/>
                <w:szCs w:val="24"/>
              </w:rPr>
              <w:t>高点全景</w:t>
            </w:r>
          </w:p>
        </w:tc>
        <w:tc>
          <w:tcPr>
            <w:tcW w:w="1417" w:type="dxa"/>
            <w:vAlign w:val="center"/>
          </w:tcPr>
          <w:p w14:paraId="08B1742F">
            <w:pPr>
              <w:pStyle w:val="397"/>
              <w:spacing w:before="41" w:line="219" w:lineRule="auto"/>
              <w:ind w:left="310"/>
              <w:jc w:val="center"/>
              <w:rPr>
                <w:sz w:val="24"/>
                <w:szCs w:val="24"/>
              </w:rPr>
            </w:pPr>
            <w:r>
              <w:rPr>
                <w:spacing w:val="-2"/>
                <w:sz w:val="24"/>
                <w:szCs w:val="24"/>
              </w:rPr>
              <w:t>高点</w:t>
            </w:r>
          </w:p>
        </w:tc>
        <w:tc>
          <w:tcPr>
            <w:tcW w:w="816" w:type="dxa"/>
            <w:vAlign w:val="center"/>
          </w:tcPr>
          <w:p w14:paraId="4341B5A0">
            <w:pPr>
              <w:pStyle w:val="397"/>
              <w:spacing w:before="42" w:line="221" w:lineRule="auto"/>
              <w:ind w:left="123"/>
              <w:jc w:val="center"/>
              <w:rPr>
                <w:sz w:val="24"/>
                <w:szCs w:val="24"/>
              </w:rPr>
            </w:pPr>
            <w:r>
              <w:rPr>
                <w:sz w:val="24"/>
                <w:szCs w:val="24"/>
              </w:rPr>
              <w:t>台</w:t>
            </w:r>
          </w:p>
        </w:tc>
        <w:tc>
          <w:tcPr>
            <w:tcW w:w="934" w:type="dxa"/>
            <w:vAlign w:val="center"/>
          </w:tcPr>
          <w:p w14:paraId="69C35467">
            <w:pPr>
              <w:pStyle w:val="397"/>
              <w:spacing w:before="50" w:line="220" w:lineRule="auto"/>
              <w:ind w:left="123"/>
              <w:jc w:val="center"/>
              <w:rPr>
                <w:sz w:val="24"/>
                <w:szCs w:val="24"/>
              </w:rPr>
            </w:pPr>
            <w:r>
              <w:rPr>
                <w:spacing w:val="-3"/>
                <w:sz w:val="24"/>
                <w:szCs w:val="24"/>
              </w:rPr>
              <w:t>19</w:t>
            </w:r>
          </w:p>
        </w:tc>
        <w:tc>
          <w:tcPr>
            <w:tcW w:w="1616" w:type="dxa"/>
            <w:vAlign w:val="center"/>
          </w:tcPr>
          <w:p w14:paraId="5E33A81C">
            <w:pPr>
              <w:pStyle w:val="397"/>
              <w:spacing w:before="50" w:line="220" w:lineRule="auto"/>
              <w:ind w:left="154"/>
              <w:jc w:val="center"/>
              <w:rPr>
                <w:sz w:val="24"/>
                <w:szCs w:val="24"/>
              </w:rPr>
            </w:pPr>
          </w:p>
        </w:tc>
        <w:tc>
          <w:tcPr>
            <w:tcW w:w="1717" w:type="dxa"/>
            <w:vAlign w:val="center"/>
          </w:tcPr>
          <w:p w14:paraId="29B76C4F">
            <w:pPr>
              <w:pStyle w:val="397"/>
              <w:spacing w:before="50" w:line="220" w:lineRule="auto"/>
              <w:ind w:left="166"/>
              <w:jc w:val="center"/>
              <w:rPr>
                <w:sz w:val="24"/>
                <w:szCs w:val="24"/>
              </w:rPr>
            </w:pPr>
          </w:p>
        </w:tc>
        <w:tc>
          <w:tcPr>
            <w:tcW w:w="1533" w:type="dxa"/>
            <w:vAlign w:val="center"/>
          </w:tcPr>
          <w:p w14:paraId="29579635">
            <w:pPr>
              <w:pStyle w:val="397"/>
              <w:spacing w:before="50" w:line="220" w:lineRule="auto"/>
              <w:ind w:left="127"/>
              <w:jc w:val="center"/>
              <w:rPr>
                <w:sz w:val="24"/>
                <w:szCs w:val="24"/>
              </w:rPr>
            </w:pPr>
          </w:p>
        </w:tc>
      </w:tr>
      <w:tr w14:paraId="45F2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restart"/>
            <w:tcBorders>
              <w:bottom w:val="nil"/>
            </w:tcBorders>
            <w:vAlign w:val="center"/>
          </w:tcPr>
          <w:p w14:paraId="5825BEE5">
            <w:pPr>
              <w:pStyle w:val="397"/>
              <w:spacing w:before="41" w:line="219" w:lineRule="auto"/>
              <w:ind w:left="19"/>
              <w:jc w:val="center"/>
              <w:rPr>
                <w:spacing w:val="-2"/>
                <w:sz w:val="24"/>
                <w:szCs w:val="24"/>
              </w:rPr>
            </w:pPr>
            <w:r>
              <w:rPr>
                <w:spacing w:val="-2"/>
                <w:sz w:val="24"/>
                <w:szCs w:val="24"/>
              </w:rPr>
              <w:t>4</w:t>
            </w:r>
          </w:p>
        </w:tc>
        <w:tc>
          <w:tcPr>
            <w:tcW w:w="982" w:type="dxa"/>
            <w:vMerge w:val="restart"/>
            <w:tcBorders>
              <w:bottom w:val="nil"/>
            </w:tcBorders>
            <w:vAlign w:val="center"/>
          </w:tcPr>
          <w:p w14:paraId="35DC1027">
            <w:pPr>
              <w:pStyle w:val="397"/>
              <w:spacing w:before="41" w:line="219" w:lineRule="auto"/>
              <w:ind w:left="19"/>
              <w:jc w:val="center"/>
              <w:rPr>
                <w:spacing w:val="-2"/>
                <w:sz w:val="24"/>
                <w:szCs w:val="24"/>
              </w:rPr>
            </w:pPr>
          </w:p>
          <w:p w14:paraId="7DDB00FD">
            <w:pPr>
              <w:pStyle w:val="397"/>
              <w:spacing w:before="41" w:line="219" w:lineRule="auto"/>
              <w:ind w:left="19"/>
              <w:jc w:val="center"/>
              <w:rPr>
                <w:spacing w:val="-2"/>
                <w:sz w:val="24"/>
                <w:szCs w:val="24"/>
              </w:rPr>
            </w:pPr>
            <w:r>
              <w:rPr>
                <w:spacing w:val="-2"/>
                <w:sz w:val="24"/>
                <w:szCs w:val="24"/>
              </w:rPr>
              <w:t>不礼让行人</w:t>
            </w:r>
          </w:p>
        </w:tc>
        <w:tc>
          <w:tcPr>
            <w:tcW w:w="1417" w:type="dxa"/>
            <w:vAlign w:val="center"/>
          </w:tcPr>
          <w:p w14:paraId="1A969C96">
            <w:pPr>
              <w:pStyle w:val="397"/>
              <w:spacing w:before="40" w:line="219" w:lineRule="auto"/>
              <w:ind w:left="260"/>
              <w:jc w:val="center"/>
              <w:rPr>
                <w:sz w:val="24"/>
                <w:szCs w:val="24"/>
              </w:rPr>
            </w:pPr>
            <w:r>
              <w:rPr>
                <w:spacing w:val="-1"/>
                <w:sz w:val="24"/>
                <w:szCs w:val="24"/>
              </w:rPr>
              <w:t>抓拍机</w:t>
            </w:r>
          </w:p>
        </w:tc>
        <w:tc>
          <w:tcPr>
            <w:tcW w:w="816" w:type="dxa"/>
            <w:vAlign w:val="center"/>
          </w:tcPr>
          <w:p w14:paraId="1C39C505">
            <w:pPr>
              <w:pStyle w:val="397"/>
              <w:spacing w:before="42" w:line="221" w:lineRule="auto"/>
              <w:ind w:left="123"/>
              <w:jc w:val="center"/>
              <w:rPr>
                <w:sz w:val="24"/>
                <w:szCs w:val="24"/>
              </w:rPr>
            </w:pPr>
            <w:r>
              <w:rPr>
                <w:sz w:val="24"/>
                <w:szCs w:val="24"/>
              </w:rPr>
              <w:t>台</w:t>
            </w:r>
          </w:p>
        </w:tc>
        <w:tc>
          <w:tcPr>
            <w:tcW w:w="934" w:type="dxa"/>
            <w:vAlign w:val="center"/>
          </w:tcPr>
          <w:p w14:paraId="11360AD5">
            <w:pPr>
              <w:pStyle w:val="397"/>
              <w:spacing w:before="50" w:line="218" w:lineRule="auto"/>
              <w:ind w:left="123"/>
              <w:jc w:val="center"/>
              <w:rPr>
                <w:sz w:val="24"/>
                <w:szCs w:val="24"/>
              </w:rPr>
            </w:pPr>
            <w:r>
              <w:rPr>
                <w:spacing w:val="-3"/>
                <w:sz w:val="24"/>
                <w:szCs w:val="24"/>
              </w:rPr>
              <w:t>14</w:t>
            </w:r>
          </w:p>
        </w:tc>
        <w:tc>
          <w:tcPr>
            <w:tcW w:w="1616" w:type="dxa"/>
            <w:vAlign w:val="center"/>
          </w:tcPr>
          <w:p w14:paraId="3A8730BE">
            <w:pPr>
              <w:pStyle w:val="397"/>
              <w:spacing w:before="50" w:line="218" w:lineRule="auto"/>
              <w:ind w:left="174"/>
              <w:jc w:val="center"/>
              <w:rPr>
                <w:sz w:val="24"/>
                <w:szCs w:val="24"/>
              </w:rPr>
            </w:pPr>
          </w:p>
        </w:tc>
        <w:tc>
          <w:tcPr>
            <w:tcW w:w="1717" w:type="dxa"/>
            <w:vAlign w:val="center"/>
          </w:tcPr>
          <w:p w14:paraId="2CDB8188">
            <w:pPr>
              <w:pStyle w:val="397"/>
              <w:spacing w:before="50" w:line="218" w:lineRule="auto"/>
              <w:ind w:left="166"/>
              <w:jc w:val="center"/>
              <w:rPr>
                <w:sz w:val="24"/>
                <w:szCs w:val="24"/>
              </w:rPr>
            </w:pPr>
          </w:p>
        </w:tc>
        <w:tc>
          <w:tcPr>
            <w:tcW w:w="1533" w:type="dxa"/>
            <w:vAlign w:val="center"/>
          </w:tcPr>
          <w:p w14:paraId="28EFBFB0">
            <w:pPr>
              <w:pStyle w:val="397"/>
              <w:spacing w:before="50" w:line="218" w:lineRule="auto"/>
              <w:ind w:left="157"/>
              <w:jc w:val="center"/>
              <w:rPr>
                <w:sz w:val="24"/>
                <w:szCs w:val="24"/>
              </w:rPr>
            </w:pPr>
          </w:p>
        </w:tc>
      </w:tr>
      <w:tr w14:paraId="500FC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continue"/>
            <w:tcBorders>
              <w:top w:val="nil"/>
              <w:bottom w:val="nil"/>
            </w:tcBorders>
            <w:vAlign w:val="center"/>
          </w:tcPr>
          <w:p w14:paraId="3E654CD0">
            <w:pPr>
              <w:pStyle w:val="397"/>
              <w:spacing w:before="41" w:line="219" w:lineRule="auto"/>
              <w:ind w:left="19"/>
              <w:jc w:val="center"/>
              <w:rPr>
                <w:spacing w:val="-2"/>
                <w:sz w:val="24"/>
                <w:szCs w:val="24"/>
              </w:rPr>
            </w:pPr>
          </w:p>
        </w:tc>
        <w:tc>
          <w:tcPr>
            <w:tcW w:w="982" w:type="dxa"/>
            <w:vMerge w:val="continue"/>
            <w:tcBorders>
              <w:top w:val="nil"/>
              <w:bottom w:val="nil"/>
            </w:tcBorders>
            <w:vAlign w:val="center"/>
          </w:tcPr>
          <w:p w14:paraId="6800880B">
            <w:pPr>
              <w:pStyle w:val="397"/>
              <w:spacing w:before="41" w:line="219" w:lineRule="auto"/>
              <w:ind w:left="19"/>
              <w:jc w:val="center"/>
              <w:rPr>
                <w:spacing w:val="-2"/>
                <w:sz w:val="24"/>
                <w:szCs w:val="24"/>
              </w:rPr>
            </w:pPr>
          </w:p>
        </w:tc>
        <w:tc>
          <w:tcPr>
            <w:tcW w:w="1417" w:type="dxa"/>
            <w:vAlign w:val="center"/>
          </w:tcPr>
          <w:p w14:paraId="7E039763">
            <w:pPr>
              <w:pStyle w:val="397"/>
              <w:spacing w:before="42" w:line="219" w:lineRule="auto"/>
              <w:ind w:left="260"/>
              <w:jc w:val="center"/>
              <w:rPr>
                <w:sz w:val="24"/>
                <w:szCs w:val="24"/>
              </w:rPr>
            </w:pPr>
            <w:r>
              <w:rPr>
                <w:spacing w:val="-3"/>
                <w:sz w:val="24"/>
                <w:szCs w:val="24"/>
              </w:rPr>
              <w:t>闪光灯</w:t>
            </w:r>
          </w:p>
        </w:tc>
        <w:tc>
          <w:tcPr>
            <w:tcW w:w="816" w:type="dxa"/>
            <w:vAlign w:val="center"/>
          </w:tcPr>
          <w:p w14:paraId="549F4AB6">
            <w:pPr>
              <w:pStyle w:val="397"/>
              <w:spacing w:before="43" w:line="221" w:lineRule="auto"/>
              <w:ind w:left="123"/>
              <w:jc w:val="center"/>
              <w:rPr>
                <w:sz w:val="24"/>
                <w:szCs w:val="24"/>
              </w:rPr>
            </w:pPr>
            <w:r>
              <w:rPr>
                <w:sz w:val="24"/>
                <w:szCs w:val="24"/>
              </w:rPr>
              <w:t>台</w:t>
            </w:r>
          </w:p>
        </w:tc>
        <w:tc>
          <w:tcPr>
            <w:tcW w:w="934" w:type="dxa"/>
            <w:vAlign w:val="center"/>
          </w:tcPr>
          <w:p w14:paraId="7804DCBF">
            <w:pPr>
              <w:pStyle w:val="397"/>
              <w:spacing w:before="52" w:line="216" w:lineRule="auto"/>
              <w:ind w:left="143"/>
              <w:jc w:val="center"/>
              <w:rPr>
                <w:sz w:val="24"/>
                <w:szCs w:val="24"/>
              </w:rPr>
            </w:pPr>
            <w:r>
              <w:rPr>
                <w:sz w:val="24"/>
                <w:szCs w:val="24"/>
              </w:rPr>
              <w:t>8</w:t>
            </w:r>
          </w:p>
        </w:tc>
        <w:tc>
          <w:tcPr>
            <w:tcW w:w="1616" w:type="dxa"/>
            <w:vAlign w:val="center"/>
          </w:tcPr>
          <w:p w14:paraId="191DD253">
            <w:pPr>
              <w:pStyle w:val="397"/>
              <w:spacing w:before="52" w:line="216" w:lineRule="auto"/>
              <w:ind w:left="174"/>
              <w:jc w:val="center"/>
              <w:rPr>
                <w:sz w:val="24"/>
                <w:szCs w:val="24"/>
              </w:rPr>
            </w:pPr>
          </w:p>
        </w:tc>
        <w:tc>
          <w:tcPr>
            <w:tcW w:w="1717" w:type="dxa"/>
            <w:vAlign w:val="center"/>
          </w:tcPr>
          <w:p w14:paraId="4C6D0039">
            <w:pPr>
              <w:pStyle w:val="397"/>
              <w:spacing w:before="52" w:line="216" w:lineRule="auto"/>
              <w:ind w:left="186"/>
              <w:jc w:val="center"/>
              <w:rPr>
                <w:sz w:val="24"/>
                <w:szCs w:val="24"/>
              </w:rPr>
            </w:pPr>
          </w:p>
        </w:tc>
        <w:tc>
          <w:tcPr>
            <w:tcW w:w="1533" w:type="dxa"/>
            <w:vAlign w:val="center"/>
          </w:tcPr>
          <w:p w14:paraId="21D47588">
            <w:pPr>
              <w:pStyle w:val="397"/>
              <w:spacing w:before="52" w:line="216" w:lineRule="auto"/>
              <w:ind w:left="157"/>
              <w:jc w:val="center"/>
              <w:rPr>
                <w:sz w:val="24"/>
                <w:szCs w:val="24"/>
              </w:rPr>
            </w:pPr>
          </w:p>
        </w:tc>
      </w:tr>
      <w:tr w14:paraId="384FA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bottom w:val="nil"/>
            </w:tcBorders>
            <w:vAlign w:val="center"/>
          </w:tcPr>
          <w:p w14:paraId="3B0F19F2">
            <w:pPr>
              <w:pStyle w:val="397"/>
              <w:spacing w:before="41" w:line="219" w:lineRule="auto"/>
              <w:ind w:left="19"/>
              <w:jc w:val="center"/>
              <w:rPr>
                <w:spacing w:val="-2"/>
                <w:sz w:val="24"/>
                <w:szCs w:val="24"/>
              </w:rPr>
            </w:pPr>
          </w:p>
        </w:tc>
        <w:tc>
          <w:tcPr>
            <w:tcW w:w="982" w:type="dxa"/>
            <w:vMerge w:val="continue"/>
            <w:tcBorders>
              <w:top w:val="nil"/>
              <w:bottom w:val="nil"/>
            </w:tcBorders>
            <w:vAlign w:val="center"/>
          </w:tcPr>
          <w:p w14:paraId="5ED0123F">
            <w:pPr>
              <w:pStyle w:val="397"/>
              <w:spacing w:before="41" w:line="219" w:lineRule="auto"/>
              <w:ind w:left="19"/>
              <w:jc w:val="center"/>
              <w:rPr>
                <w:spacing w:val="-2"/>
                <w:sz w:val="24"/>
                <w:szCs w:val="24"/>
              </w:rPr>
            </w:pPr>
          </w:p>
        </w:tc>
        <w:tc>
          <w:tcPr>
            <w:tcW w:w="1417" w:type="dxa"/>
            <w:vAlign w:val="center"/>
          </w:tcPr>
          <w:p w14:paraId="287FDAC2">
            <w:pPr>
              <w:pStyle w:val="397"/>
              <w:spacing w:before="43" w:line="219" w:lineRule="auto"/>
              <w:ind w:left="260"/>
              <w:jc w:val="center"/>
              <w:rPr>
                <w:sz w:val="24"/>
                <w:szCs w:val="24"/>
              </w:rPr>
            </w:pPr>
            <w:r>
              <w:rPr>
                <w:spacing w:val="-1"/>
                <w:sz w:val="24"/>
                <w:szCs w:val="24"/>
              </w:rPr>
              <w:t>补光灯</w:t>
            </w:r>
          </w:p>
        </w:tc>
        <w:tc>
          <w:tcPr>
            <w:tcW w:w="816" w:type="dxa"/>
            <w:vAlign w:val="center"/>
          </w:tcPr>
          <w:p w14:paraId="4906805A">
            <w:pPr>
              <w:pStyle w:val="397"/>
              <w:spacing w:before="44" w:line="221" w:lineRule="auto"/>
              <w:ind w:left="123"/>
              <w:jc w:val="center"/>
              <w:rPr>
                <w:sz w:val="24"/>
                <w:szCs w:val="24"/>
              </w:rPr>
            </w:pPr>
            <w:r>
              <w:rPr>
                <w:sz w:val="24"/>
                <w:szCs w:val="24"/>
              </w:rPr>
              <w:t>台</w:t>
            </w:r>
          </w:p>
        </w:tc>
        <w:tc>
          <w:tcPr>
            <w:tcW w:w="934" w:type="dxa"/>
            <w:vAlign w:val="center"/>
          </w:tcPr>
          <w:p w14:paraId="67E8989E">
            <w:pPr>
              <w:pStyle w:val="397"/>
              <w:spacing w:before="53" w:line="216" w:lineRule="auto"/>
              <w:ind w:left="123"/>
              <w:jc w:val="center"/>
              <w:rPr>
                <w:sz w:val="24"/>
                <w:szCs w:val="24"/>
              </w:rPr>
            </w:pPr>
            <w:r>
              <w:rPr>
                <w:spacing w:val="-2"/>
                <w:sz w:val="24"/>
                <w:szCs w:val="24"/>
              </w:rPr>
              <w:t>25</w:t>
            </w:r>
          </w:p>
        </w:tc>
        <w:tc>
          <w:tcPr>
            <w:tcW w:w="1616" w:type="dxa"/>
            <w:vAlign w:val="center"/>
          </w:tcPr>
          <w:p w14:paraId="76116D24">
            <w:pPr>
              <w:pStyle w:val="397"/>
              <w:spacing w:before="53" w:line="216" w:lineRule="auto"/>
              <w:ind w:left="174"/>
              <w:jc w:val="center"/>
              <w:rPr>
                <w:sz w:val="24"/>
                <w:szCs w:val="24"/>
              </w:rPr>
            </w:pPr>
          </w:p>
        </w:tc>
        <w:tc>
          <w:tcPr>
            <w:tcW w:w="1717" w:type="dxa"/>
            <w:vAlign w:val="center"/>
          </w:tcPr>
          <w:p w14:paraId="43E9E834">
            <w:pPr>
              <w:pStyle w:val="397"/>
              <w:spacing w:before="53" w:line="216" w:lineRule="auto"/>
              <w:ind w:left="186"/>
              <w:jc w:val="center"/>
              <w:rPr>
                <w:sz w:val="24"/>
                <w:szCs w:val="24"/>
              </w:rPr>
            </w:pPr>
          </w:p>
        </w:tc>
        <w:tc>
          <w:tcPr>
            <w:tcW w:w="1533" w:type="dxa"/>
            <w:vAlign w:val="center"/>
          </w:tcPr>
          <w:p w14:paraId="654435AE">
            <w:pPr>
              <w:pStyle w:val="397"/>
              <w:spacing w:before="53" w:line="216" w:lineRule="auto"/>
              <w:ind w:left="157"/>
              <w:jc w:val="center"/>
              <w:rPr>
                <w:sz w:val="24"/>
                <w:szCs w:val="24"/>
              </w:rPr>
            </w:pPr>
          </w:p>
        </w:tc>
      </w:tr>
      <w:tr w14:paraId="6A66F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02" w:type="dxa"/>
            <w:vMerge w:val="continue"/>
            <w:tcBorders>
              <w:top w:val="nil"/>
              <w:bottom w:val="nil"/>
            </w:tcBorders>
            <w:vAlign w:val="center"/>
          </w:tcPr>
          <w:p w14:paraId="07F2BA74">
            <w:pPr>
              <w:pStyle w:val="397"/>
              <w:spacing w:before="41" w:line="219" w:lineRule="auto"/>
              <w:ind w:left="19"/>
              <w:jc w:val="center"/>
              <w:rPr>
                <w:spacing w:val="-2"/>
                <w:sz w:val="24"/>
                <w:szCs w:val="24"/>
              </w:rPr>
            </w:pPr>
          </w:p>
        </w:tc>
        <w:tc>
          <w:tcPr>
            <w:tcW w:w="982" w:type="dxa"/>
            <w:vMerge w:val="continue"/>
            <w:tcBorders>
              <w:top w:val="nil"/>
              <w:bottom w:val="nil"/>
            </w:tcBorders>
            <w:vAlign w:val="center"/>
          </w:tcPr>
          <w:p w14:paraId="2D976E16">
            <w:pPr>
              <w:pStyle w:val="397"/>
              <w:spacing w:before="41" w:line="219" w:lineRule="auto"/>
              <w:ind w:left="19"/>
              <w:jc w:val="center"/>
              <w:rPr>
                <w:spacing w:val="-2"/>
                <w:sz w:val="24"/>
                <w:szCs w:val="24"/>
              </w:rPr>
            </w:pPr>
          </w:p>
        </w:tc>
        <w:tc>
          <w:tcPr>
            <w:tcW w:w="1417" w:type="dxa"/>
            <w:vAlign w:val="center"/>
          </w:tcPr>
          <w:p w14:paraId="7A5D486F">
            <w:pPr>
              <w:pStyle w:val="397"/>
              <w:spacing w:before="43" w:line="219" w:lineRule="auto"/>
              <w:ind w:left="161"/>
              <w:jc w:val="center"/>
              <w:rPr>
                <w:sz w:val="24"/>
                <w:szCs w:val="24"/>
              </w:rPr>
            </w:pPr>
            <w:r>
              <w:rPr>
                <w:spacing w:val="-1"/>
                <w:sz w:val="24"/>
                <w:szCs w:val="24"/>
              </w:rPr>
              <w:t>终端服务器</w:t>
            </w:r>
          </w:p>
        </w:tc>
        <w:tc>
          <w:tcPr>
            <w:tcW w:w="816" w:type="dxa"/>
            <w:vAlign w:val="center"/>
          </w:tcPr>
          <w:p w14:paraId="011E0FC3">
            <w:pPr>
              <w:pStyle w:val="397"/>
              <w:spacing w:before="44" w:line="221" w:lineRule="auto"/>
              <w:ind w:left="123"/>
              <w:jc w:val="center"/>
              <w:rPr>
                <w:sz w:val="24"/>
                <w:szCs w:val="24"/>
              </w:rPr>
            </w:pPr>
            <w:r>
              <w:rPr>
                <w:sz w:val="24"/>
                <w:szCs w:val="24"/>
              </w:rPr>
              <w:t>台</w:t>
            </w:r>
          </w:p>
        </w:tc>
        <w:tc>
          <w:tcPr>
            <w:tcW w:w="934" w:type="dxa"/>
            <w:vAlign w:val="center"/>
          </w:tcPr>
          <w:p w14:paraId="5DC7FB49">
            <w:pPr>
              <w:pStyle w:val="397"/>
              <w:spacing w:before="53" w:line="214" w:lineRule="auto"/>
              <w:ind w:left="143"/>
              <w:jc w:val="center"/>
              <w:rPr>
                <w:sz w:val="24"/>
                <w:szCs w:val="24"/>
              </w:rPr>
            </w:pPr>
            <w:r>
              <w:rPr>
                <w:sz w:val="24"/>
                <w:szCs w:val="24"/>
              </w:rPr>
              <w:t>8</w:t>
            </w:r>
          </w:p>
        </w:tc>
        <w:tc>
          <w:tcPr>
            <w:tcW w:w="1616" w:type="dxa"/>
            <w:vAlign w:val="center"/>
          </w:tcPr>
          <w:p w14:paraId="33AE34FC">
            <w:pPr>
              <w:pStyle w:val="397"/>
              <w:spacing w:before="53" w:line="214" w:lineRule="auto"/>
              <w:ind w:left="174"/>
              <w:jc w:val="center"/>
              <w:rPr>
                <w:sz w:val="24"/>
                <w:szCs w:val="24"/>
              </w:rPr>
            </w:pPr>
          </w:p>
        </w:tc>
        <w:tc>
          <w:tcPr>
            <w:tcW w:w="1717" w:type="dxa"/>
            <w:vAlign w:val="center"/>
          </w:tcPr>
          <w:p w14:paraId="7B89C6C0">
            <w:pPr>
              <w:pStyle w:val="397"/>
              <w:spacing w:before="53" w:line="214" w:lineRule="auto"/>
              <w:ind w:left="166"/>
              <w:jc w:val="center"/>
              <w:rPr>
                <w:sz w:val="24"/>
                <w:szCs w:val="24"/>
              </w:rPr>
            </w:pPr>
          </w:p>
        </w:tc>
        <w:tc>
          <w:tcPr>
            <w:tcW w:w="1533" w:type="dxa"/>
            <w:vAlign w:val="center"/>
          </w:tcPr>
          <w:p w14:paraId="04FE2215">
            <w:pPr>
              <w:pStyle w:val="397"/>
              <w:spacing w:before="53" w:line="214" w:lineRule="auto"/>
              <w:ind w:left="157"/>
              <w:jc w:val="center"/>
              <w:rPr>
                <w:sz w:val="24"/>
                <w:szCs w:val="24"/>
              </w:rPr>
            </w:pPr>
          </w:p>
        </w:tc>
      </w:tr>
      <w:tr w14:paraId="3BB2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tcBorders>
            <w:vAlign w:val="center"/>
          </w:tcPr>
          <w:p w14:paraId="4FC74B3B">
            <w:pPr>
              <w:pStyle w:val="397"/>
              <w:spacing w:before="41" w:line="219" w:lineRule="auto"/>
              <w:ind w:left="19"/>
              <w:jc w:val="center"/>
              <w:rPr>
                <w:spacing w:val="-2"/>
                <w:sz w:val="24"/>
                <w:szCs w:val="24"/>
              </w:rPr>
            </w:pPr>
          </w:p>
        </w:tc>
        <w:tc>
          <w:tcPr>
            <w:tcW w:w="982" w:type="dxa"/>
            <w:vMerge w:val="continue"/>
            <w:tcBorders>
              <w:top w:val="nil"/>
            </w:tcBorders>
            <w:vAlign w:val="center"/>
          </w:tcPr>
          <w:p w14:paraId="51C5CF2C">
            <w:pPr>
              <w:pStyle w:val="397"/>
              <w:spacing w:before="41" w:line="219" w:lineRule="auto"/>
              <w:ind w:left="19"/>
              <w:jc w:val="center"/>
              <w:rPr>
                <w:spacing w:val="-2"/>
                <w:sz w:val="24"/>
                <w:szCs w:val="24"/>
              </w:rPr>
            </w:pPr>
          </w:p>
        </w:tc>
        <w:tc>
          <w:tcPr>
            <w:tcW w:w="1417" w:type="dxa"/>
            <w:vAlign w:val="center"/>
          </w:tcPr>
          <w:p w14:paraId="70ED22E7">
            <w:pPr>
              <w:pStyle w:val="397"/>
              <w:spacing w:before="43" w:line="219" w:lineRule="auto"/>
              <w:ind w:left="211"/>
              <w:jc w:val="center"/>
              <w:rPr>
                <w:sz w:val="24"/>
                <w:szCs w:val="24"/>
              </w:rPr>
            </w:pPr>
            <w:r>
              <w:rPr>
                <w:spacing w:val="-1"/>
                <w:sz w:val="24"/>
                <w:szCs w:val="24"/>
              </w:rPr>
              <w:t>全景球机</w:t>
            </w:r>
          </w:p>
        </w:tc>
        <w:tc>
          <w:tcPr>
            <w:tcW w:w="816" w:type="dxa"/>
            <w:vAlign w:val="center"/>
          </w:tcPr>
          <w:p w14:paraId="21E9DD76">
            <w:pPr>
              <w:pStyle w:val="397"/>
              <w:spacing w:before="45" w:line="221" w:lineRule="auto"/>
              <w:ind w:left="123"/>
              <w:jc w:val="center"/>
              <w:rPr>
                <w:sz w:val="24"/>
                <w:szCs w:val="24"/>
              </w:rPr>
            </w:pPr>
            <w:r>
              <w:rPr>
                <w:sz w:val="24"/>
                <w:szCs w:val="24"/>
              </w:rPr>
              <w:t>台</w:t>
            </w:r>
          </w:p>
        </w:tc>
        <w:tc>
          <w:tcPr>
            <w:tcW w:w="934" w:type="dxa"/>
            <w:vAlign w:val="center"/>
          </w:tcPr>
          <w:p w14:paraId="5B39C1B3">
            <w:pPr>
              <w:pStyle w:val="397"/>
              <w:spacing w:before="54" w:line="214" w:lineRule="auto"/>
              <w:ind w:left="143"/>
              <w:jc w:val="center"/>
              <w:rPr>
                <w:sz w:val="24"/>
                <w:szCs w:val="24"/>
              </w:rPr>
            </w:pPr>
            <w:r>
              <w:rPr>
                <w:sz w:val="24"/>
                <w:szCs w:val="24"/>
              </w:rPr>
              <w:t>3</w:t>
            </w:r>
          </w:p>
        </w:tc>
        <w:tc>
          <w:tcPr>
            <w:tcW w:w="1616" w:type="dxa"/>
            <w:vAlign w:val="center"/>
          </w:tcPr>
          <w:p w14:paraId="24033633">
            <w:pPr>
              <w:pStyle w:val="397"/>
              <w:spacing w:before="54" w:line="214" w:lineRule="auto"/>
              <w:ind w:left="174"/>
              <w:jc w:val="center"/>
              <w:rPr>
                <w:sz w:val="24"/>
                <w:szCs w:val="24"/>
              </w:rPr>
            </w:pPr>
          </w:p>
        </w:tc>
        <w:tc>
          <w:tcPr>
            <w:tcW w:w="1717" w:type="dxa"/>
            <w:vAlign w:val="center"/>
          </w:tcPr>
          <w:p w14:paraId="48A425A2">
            <w:pPr>
              <w:pStyle w:val="397"/>
              <w:spacing w:before="54" w:line="214" w:lineRule="auto"/>
              <w:ind w:left="186"/>
              <w:jc w:val="center"/>
              <w:rPr>
                <w:sz w:val="24"/>
                <w:szCs w:val="24"/>
              </w:rPr>
            </w:pPr>
          </w:p>
        </w:tc>
        <w:tc>
          <w:tcPr>
            <w:tcW w:w="1533" w:type="dxa"/>
            <w:vAlign w:val="center"/>
          </w:tcPr>
          <w:p w14:paraId="0BCED008">
            <w:pPr>
              <w:pStyle w:val="397"/>
              <w:spacing w:before="54" w:line="214" w:lineRule="auto"/>
              <w:ind w:left="157"/>
              <w:jc w:val="center"/>
              <w:rPr>
                <w:sz w:val="24"/>
                <w:szCs w:val="24"/>
              </w:rPr>
            </w:pPr>
          </w:p>
        </w:tc>
      </w:tr>
      <w:tr w14:paraId="139B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jc w:val="center"/>
        </w:trPr>
        <w:tc>
          <w:tcPr>
            <w:tcW w:w="602" w:type="dxa"/>
            <w:vMerge w:val="restart"/>
            <w:tcBorders>
              <w:bottom w:val="nil"/>
            </w:tcBorders>
            <w:vAlign w:val="center"/>
          </w:tcPr>
          <w:p w14:paraId="4B2FCF60">
            <w:pPr>
              <w:pStyle w:val="397"/>
              <w:spacing w:before="41" w:line="219" w:lineRule="auto"/>
              <w:ind w:left="19"/>
              <w:jc w:val="center"/>
              <w:rPr>
                <w:spacing w:val="-2"/>
                <w:sz w:val="24"/>
                <w:szCs w:val="24"/>
              </w:rPr>
            </w:pPr>
            <w:r>
              <w:rPr>
                <w:spacing w:val="-2"/>
                <w:sz w:val="24"/>
                <w:szCs w:val="24"/>
              </w:rPr>
              <w:t>5</w:t>
            </w:r>
          </w:p>
        </w:tc>
        <w:tc>
          <w:tcPr>
            <w:tcW w:w="982" w:type="dxa"/>
            <w:vMerge w:val="restart"/>
            <w:tcBorders>
              <w:bottom w:val="nil"/>
            </w:tcBorders>
            <w:vAlign w:val="center"/>
          </w:tcPr>
          <w:p w14:paraId="1226E44F">
            <w:pPr>
              <w:pStyle w:val="397"/>
              <w:spacing w:before="41" w:line="219" w:lineRule="auto"/>
              <w:ind w:left="19"/>
              <w:jc w:val="center"/>
              <w:rPr>
                <w:spacing w:val="-2"/>
                <w:sz w:val="24"/>
                <w:szCs w:val="24"/>
              </w:rPr>
            </w:pPr>
            <w:r>
              <w:rPr>
                <w:spacing w:val="-2"/>
                <w:sz w:val="24"/>
                <w:szCs w:val="24"/>
              </w:rPr>
              <w:t>逆行抓拍</w:t>
            </w:r>
          </w:p>
        </w:tc>
        <w:tc>
          <w:tcPr>
            <w:tcW w:w="1417" w:type="dxa"/>
            <w:vAlign w:val="center"/>
          </w:tcPr>
          <w:p w14:paraId="06D3F224">
            <w:pPr>
              <w:pStyle w:val="397"/>
              <w:spacing w:before="53" w:line="219" w:lineRule="auto"/>
              <w:ind w:left="260"/>
              <w:jc w:val="center"/>
              <w:rPr>
                <w:sz w:val="24"/>
                <w:szCs w:val="24"/>
              </w:rPr>
            </w:pPr>
            <w:r>
              <w:rPr>
                <w:spacing w:val="-1"/>
                <w:sz w:val="24"/>
                <w:szCs w:val="24"/>
              </w:rPr>
              <w:t>抓拍机</w:t>
            </w:r>
          </w:p>
        </w:tc>
        <w:tc>
          <w:tcPr>
            <w:tcW w:w="816" w:type="dxa"/>
            <w:vAlign w:val="center"/>
          </w:tcPr>
          <w:p w14:paraId="01DD3774">
            <w:pPr>
              <w:pStyle w:val="397"/>
              <w:spacing w:before="55" w:line="221" w:lineRule="auto"/>
              <w:ind w:left="123"/>
              <w:jc w:val="center"/>
              <w:rPr>
                <w:sz w:val="24"/>
                <w:szCs w:val="24"/>
              </w:rPr>
            </w:pPr>
            <w:r>
              <w:rPr>
                <w:sz w:val="24"/>
                <w:szCs w:val="24"/>
              </w:rPr>
              <w:t>台</w:t>
            </w:r>
          </w:p>
        </w:tc>
        <w:tc>
          <w:tcPr>
            <w:tcW w:w="934" w:type="dxa"/>
            <w:vAlign w:val="center"/>
          </w:tcPr>
          <w:p w14:paraId="4F6DFD3C">
            <w:pPr>
              <w:pStyle w:val="397"/>
              <w:spacing w:before="64" w:line="214" w:lineRule="auto"/>
              <w:ind w:left="123"/>
              <w:jc w:val="center"/>
              <w:rPr>
                <w:sz w:val="24"/>
                <w:szCs w:val="24"/>
              </w:rPr>
            </w:pPr>
            <w:r>
              <w:rPr>
                <w:spacing w:val="-3"/>
                <w:sz w:val="24"/>
                <w:szCs w:val="24"/>
              </w:rPr>
              <w:t>14</w:t>
            </w:r>
          </w:p>
        </w:tc>
        <w:tc>
          <w:tcPr>
            <w:tcW w:w="1616" w:type="dxa"/>
            <w:vAlign w:val="center"/>
          </w:tcPr>
          <w:p w14:paraId="0AF85681">
            <w:pPr>
              <w:pStyle w:val="397"/>
              <w:spacing w:before="64" w:line="214" w:lineRule="auto"/>
              <w:ind w:left="174"/>
              <w:jc w:val="center"/>
              <w:rPr>
                <w:sz w:val="24"/>
                <w:szCs w:val="24"/>
              </w:rPr>
            </w:pPr>
          </w:p>
        </w:tc>
        <w:tc>
          <w:tcPr>
            <w:tcW w:w="1717" w:type="dxa"/>
            <w:vAlign w:val="center"/>
          </w:tcPr>
          <w:p w14:paraId="144BD076">
            <w:pPr>
              <w:pStyle w:val="397"/>
              <w:spacing w:before="64" w:line="214" w:lineRule="auto"/>
              <w:ind w:left="166"/>
              <w:jc w:val="center"/>
              <w:rPr>
                <w:sz w:val="24"/>
                <w:szCs w:val="24"/>
              </w:rPr>
            </w:pPr>
          </w:p>
        </w:tc>
        <w:tc>
          <w:tcPr>
            <w:tcW w:w="1533" w:type="dxa"/>
            <w:vAlign w:val="center"/>
          </w:tcPr>
          <w:p w14:paraId="0DC26957">
            <w:pPr>
              <w:pStyle w:val="397"/>
              <w:spacing w:before="64" w:line="214" w:lineRule="auto"/>
              <w:ind w:left="157"/>
              <w:jc w:val="center"/>
              <w:rPr>
                <w:sz w:val="24"/>
                <w:szCs w:val="24"/>
              </w:rPr>
            </w:pPr>
          </w:p>
        </w:tc>
      </w:tr>
      <w:tr w14:paraId="6A314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bottom w:val="nil"/>
            </w:tcBorders>
            <w:vAlign w:val="center"/>
          </w:tcPr>
          <w:p w14:paraId="43A9918F">
            <w:pPr>
              <w:jc w:val="center"/>
              <w:rPr>
                <w:rFonts w:ascii="Arial"/>
                <w:sz w:val="52"/>
                <w:szCs w:val="52"/>
              </w:rPr>
            </w:pPr>
          </w:p>
        </w:tc>
        <w:tc>
          <w:tcPr>
            <w:tcW w:w="982" w:type="dxa"/>
            <w:vMerge w:val="continue"/>
            <w:tcBorders>
              <w:top w:val="nil"/>
              <w:bottom w:val="nil"/>
            </w:tcBorders>
            <w:vAlign w:val="center"/>
          </w:tcPr>
          <w:p w14:paraId="5E468E6E">
            <w:pPr>
              <w:jc w:val="center"/>
              <w:rPr>
                <w:rFonts w:ascii="Arial"/>
                <w:sz w:val="52"/>
                <w:szCs w:val="52"/>
              </w:rPr>
            </w:pPr>
          </w:p>
        </w:tc>
        <w:tc>
          <w:tcPr>
            <w:tcW w:w="1417" w:type="dxa"/>
            <w:vAlign w:val="center"/>
          </w:tcPr>
          <w:p w14:paraId="7E34DE97">
            <w:pPr>
              <w:pStyle w:val="397"/>
              <w:spacing w:before="44" w:line="219" w:lineRule="auto"/>
              <w:ind w:left="260"/>
              <w:jc w:val="center"/>
              <w:rPr>
                <w:sz w:val="24"/>
                <w:szCs w:val="24"/>
              </w:rPr>
            </w:pPr>
            <w:r>
              <w:rPr>
                <w:spacing w:val="-3"/>
                <w:sz w:val="24"/>
                <w:szCs w:val="24"/>
              </w:rPr>
              <w:t>闪光灯</w:t>
            </w:r>
          </w:p>
        </w:tc>
        <w:tc>
          <w:tcPr>
            <w:tcW w:w="816" w:type="dxa"/>
            <w:vAlign w:val="center"/>
          </w:tcPr>
          <w:p w14:paraId="74704D6F">
            <w:pPr>
              <w:pStyle w:val="397"/>
              <w:spacing w:before="45" w:line="221" w:lineRule="auto"/>
              <w:ind w:left="123"/>
              <w:jc w:val="center"/>
              <w:rPr>
                <w:sz w:val="24"/>
                <w:szCs w:val="24"/>
              </w:rPr>
            </w:pPr>
            <w:r>
              <w:rPr>
                <w:sz w:val="24"/>
                <w:szCs w:val="24"/>
              </w:rPr>
              <w:t>台</w:t>
            </w:r>
          </w:p>
        </w:tc>
        <w:tc>
          <w:tcPr>
            <w:tcW w:w="934" w:type="dxa"/>
            <w:vAlign w:val="center"/>
          </w:tcPr>
          <w:p w14:paraId="28D3FFC0">
            <w:pPr>
              <w:pStyle w:val="397"/>
              <w:spacing w:before="54" w:line="214" w:lineRule="auto"/>
              <w:ind w:left="143"/>
              <w:jc w:val="center"/>
              <w:rPr>
                <w:sz w:val="24"/>
                <w:szCs w:val="24"/>
              </w:rPr>
            </w:pPr>
            <w:r>
              <w:rPr>
                <w:sz w:val="24"/>
                <w:szCs w:val="24"/>
              </w:rPr>
              <w:t>2</w:t>
            </w:r>
          </w:p>
        </w:tc>
        <w:tc>
          <w:tcPr>
            <w:tcW w:w="1616" w:type="dxa"/>
            <w:vAlign w:val="center"/>
          </w:tcPr>
          <w:p w14:paraId="3816562A">
            <w:pPr>
              <w:pStyle w:val="397"/>
              <w:spacing w:before="54" w:line="214" w:lineRule="auto"/>
              <w:ind w:left="174"/>
              <w:jc w:val="center"/>
              <w:rPr>
                <w:sz w:val="24"/>
                <w:szCs w:val="24"/>
              </w:rPr>
            </w:pPr>
          </w:p>
        </w:tc>
        <w:tc>
          <w:tcPr>
            <w:tcW w:w="1717" w:type="dxa"/>
            <w:vAlign w:val="center"/>
          </w:tcPr>
          <w:p w14:paraId="00A467A2">
            <w:pPr>
              <w:pStyle w:val="397"/>
              <w:spacing w:before="54" w:line="214" w:lineRule="auto"/>
              <w:ind w:left="186"/>
              <w:jc w:val="center"/>
              <w:rPr>
                <w:sz w:val="24"/>
                <w:szCs w:val="24"/>
              </w:rPr>
            </w:pPr>
          </w:p>
        </w:tc>
        <w:tc>
          <w:tcPr>
            <w:tcW w:w="1533" w:type="dxa"/>
            <w:vAlign w:val="center"/>
          </w:tcPr>
          <w:p w14:paraId="105CF97F">
            <w:pPr>
              <w:pStyle w:val="397"/>
              <w:spacing w:before="54" w:line="214" w:lineRule="auto"/>
              <w:ind w:left="177"/>
              <w:jc w:val="center"/>
              <w:rPr>
                <w:sz w:val="24"/>
                <w:szCs w:val="24"/>
              </w:rPr>
            </w:pPr>
          </w:p>
        </w:tc>
      </w:tr>
      <w:tr w14:paraId="51572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bottom w:val="nil"/>
            </w:tcBorders>
            <w:vAlign w:val="center"/>
          </w:tcPr>
          <w:p w14:paraId="28253138">
            <w:pPr>
              <w:jc w:val="center"/>
              <w:rPr>
                <w:rFonts w:ascii="Arial"/>
                <w:sz w:val="52"/>
                <w:szCs w:val="52"/>
              </w:rPr>
            </w:pPr>
          </w:p>
        </w:tc>
        <w:tc>
          <w:tcPr>
            <w:tcW w:w="982" w:type="dxa"/>
            <w:vMerge w:val="continue"/>
            <w:tcBorders>
              <w:top w:val="nil"/>
              <w:bottom w:val="nil"/>
            </w:tcBorders>
            <w:vAlign w:val="center"/>
          </w:tcPr>
          <w:p w14:paraId="1BEA68B6">
            <w:pPr>
              <w:jc w:val="center"/>
              <w:rPr>
                <w:rFonts w:ascii="Arial"/>
                <w:sz w:val="52"/>
                <w:szCs w:val="52"/>
              </w:rPr>
            </w:pPr>
          </w:p>
        </w:tc>
        <w:tc>
          <w:tcPr>
            <w:tcW w:w="1417" w:type="dxa"/>
            <w:vAlign w:val="center"/>
          </w:tcPr>
          <w:p w14:paraId="590A52AD">
            <w:pPr>
              <w:pStyle w:val="397"/>
              <w:spacing w:before="44" w:line="219" w:lineRule="auto"/>
              <w:ind w:left="260"/>
              <w:jc w:val="center"/>
              <w:rPr>
                <w:sz w:val="24"/>
                <w:szCs w:val="24"/>
              </w:rPr>
            </w:pPr>
            <w:r>
              <w:rPr>
                <w:spacing w:val="-1"/>
                <w:sz w:val="24"/>
                <w:szCs w:val="24"/>
              </w:rPr>
              <w:t>补光灯</w:t>
            </w:r>
          </w:p>
        </w:tc>
        <w:tc>
          <w:tcPr>
            <w:tcW w:w="816" w:type="dxa"/>
            <w:vAlign w:val="center"/>
          </w:tcPr>
          <w:p w14:paraId="14435E5D">
            <w:pPr>
              <w:pStyle w:val="397"/>
              <w:spacing w:before="45" w:line="221" w:lineRule="auto"/>
              <w:ind w:left="123"/>
              <w:jc w:val="center"/>
              <w:rPr>
                <w:sz w:val="24"/>
                <w:szCs w:val="24"/>
              </w:rPr>
            </w:pPr>
            <w:r>
              <w:rPr>
                <w:sz w:val="24"/>
                <w:szCs w:val="24"/>
              </w:rPr>
              <w:t>台</w:t>
            </w:r>
          </w:p>
        </w:tc>
        <w:tc>
          <w:tcPr>
            <w:tcW w:w="934" w:type="dxa"/>
            <w:vAlign w:val="center"/>
          </w:tcPr>
          <w:p w14:paraId="7B809C15">
            <w:pPr>
              <w:pStyle w:val="397"/>
              <w:spacing w:before="54" w:line="214" w:lineRule="auto"/>
              <w:ind w:left="143"/>
              <w:jc w:val="center"/>
              <w:rPr>
                <w:sz w:val="24"/>
                <w:szCs w:val="24"/>
              </w:rPr>
            </w:pPr>
            <w:r>
              <w:rPr>
                <w:sz w:val="24"/>
                <w:szCs w:val="24"/>
              </w:rPr>
              <w:t>5</w:t>
            </w:r>
          </w:p>
        </w:tc>
        <w:tc>
          <w:tcPr>
            <w:tcW w:w="1616" w:type="dxa"/>
            <w:vAlign w:val="center"/>
          </w:tcPr>
          <w:p w14:paraId="6F89B3B4">
            <w:pPr>
              <w:pStyle w:val="397"/>
              <w:spacing w:before="54" w:line="214" w:lineRule="auto"/>
              <w:ind w:left="174"/>
              <w:jc w:val="center"/>
              <w:rPr>
                <w:sz w:val="24"/>
                <w:szCs w:val="24"/>
              </w:rPr>
            </w:pPr>
          </w:p>
        </w:tc>
        <w:tc>
          <w:tcPr>
            <w:tcW w:w="1717" w:type="dxa"/>
            <w:vAlign w:val="center"/>
          </w:tcPr>
          <w:p w14:paraId="10C047F3">
            <w:pPr>
              <w:pStyle w:val="397"/>
              <w:spacing w:before="54" w:line="214" w:lineRule="auto"/>
              <w:ind w:left="186"/>
              <w:jc w:val="center"/>
              <w:rPr>
                <w:sz w:val="24"/>
                <w:szCs w:val="24"/>
              </w:rPr>
            </w:pPr>
          </w:p>
        </w:tc>
        <w:tc>
          <w:tcPr>
            <w:tcW w:w="1533" w:type="dxa"/>
            <w:vAlign w:val="center"/>
          </w:tcPr>
          <w:p w14:paraId="784D017B">
            <w:pPr>
              <w:pStyle w:val="397"/>
              <w:spacing w:before="54" w:line="214" w:lineRule="auto"/>
              <w:ind w:left="177"/>
              <w:jc w:val="center"/>
              <w:rPr>
                <w:sz w:val="24"/>
                <w:szCs w:val="24"/>
              </w:rPr>
            </w:pPr>
          </w:p>
        </w:tc>
      </w:tr>
      <w:tr w14:paraId="36CB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602" w:type="dxa"/>
            <w:vMerge w:val="continue"/>
            <w:tcBorders>
              <w:top w:val="nil"/>
              <w:bottom w:val="nil"/>
            </w:tcBorders>
            <w:vAlign w:val="center"/>
          </w:tcPr>
          <w:p w14:paraId="17EEE1E6">
            <w:pPr>
              <w:jc w:val="center"/>
              <w:rPr>
                <w:rFonts w:ascii="Arial"/>
                <w:sz w:val="52"/>
                <w:szCs w:val="52"/>
              </w:rPr>
            </w:pPr>
          </w:p>
        </w:tc>
        <w:tc>
          <w:tcPr>
            <w:tcW w:w="982" w:type="dxa"/>
            <w:vMerge w:val="continue"/>
            <w:tcBorders>
              <w:top w:val="nil"/>
              <w:bottom w:val="nil"/>
            </w:tcBorders>
            <w:vAlign w:val="center"/>
          </w:tcPr>
          <w:p w14:paraId="5EA20686">
            <w:pPr>
              <w:jc w:val="center"/>
              <w:rPr>
                <w:rFonts w:ascii="Arial"/>
                <w:sz w:val="52"/>
                <w:szCs w:val="52"/>
              </w:rPr>
            </w:pPr>
          </w:p>
        </w:tc>
        <w:tc>
          <w:tcPr>
            <w:tcW w:w="1417" w:type="dxa"/>
            <w:vAlign w:val="center"/>
          </w:tcPr>
          <w:p w14:paraId="63C3B681">
            <w:pPr>
              <w:pStyle w:val="397"/>
              <w:spacing w:before="54" w:line="219" w:lineRule="auto"/>
              <w:ind w:left="161"/>
              <w:jc w:val="center"/>
              <w:rPr>
                <w:sz w:val="24"/>
                <w:szCs w:val="24"/>
              </w:rPr>
            </w:pPr>
            <w:r>
              <w:rPr>
                <w:spacing w:val="-1"/>
                <w:sz w:val="24"/>
                <w:szCs w:val="24"/>
              </w:rPr>
              <w:t>终端服务器</w:t>
            </w:r>
          </w:p>
        </w:tc>
        <w:tc>
          <w:tcPr>
            <w:tcW w:w="816" w:type="dxa"/>
            <w:vAlign w:val="center"/>
          </w:tcPr>
          <w:p w14:paraId="67292192">
            <w:pPr>
              <w:pStyle w:val="397"/>
              <w:spacing w:before="55" w:line="221" w:lineRule="auto"/>
              <w:ind w:left="123"/>
              <w:jc w:val="center"/>
              <w:rPr>
                <w:sz w:val="24"/>
                <w:szCs w:val="24"/>
              </w:rPr>
            </w:pPr>
            <w:r>
              <w:rPr>
                <w:sz w:val="24"/>
                <w:szCs w:val="24"/>
              </w:rPr>
              <w:t>台</w:t>
            </w:r>
          </w:p>
        </w:tc>
        <w:tc>
          <w:tcPr>
            <w:tcW w:w="934" w:type="dxa"/>
            <w:vAlign w:val="center"/>
          </w:tcPr>
          <w:p w14:paraId="7BB88D6C">
            <w:pPr>
              <w:pStyle w:val="397"/>
              <w:spacing w:before="64" w:line="214" w:lineRule="auto"/>
              <w:ind w:left="143"/>
              <w:jc w:val="center"/>
              <w:rPr>
                <w:sz w:val="24"/>
                <w:szCs w:val="24"/>
              </w:rPr>
            </w:pPr>
            <w:r>
              <w:rPr>
                <w:sz w:val="24"/>
                <w:szCs w:val="24"/>
              </w:rPr>
              <w:t>4</w:t>
            </w:r>
          </w:p>
        </w:tc>
        <w:tc>
          <w:tcPr>
            <w:tcW w:w="1616" w:type="dxa"/>
            <w:vAlign w:val="center"/>
          </w:tcPr>
          <w:p w14:paraId="18DA15A1">
            <w:pPr>
              <w:pStyle w:val="397"/>
              <w:spacing w:before="64" w:line="214" w:lineRule="auto"/>
              <w:ind w:left="174"/>
              <w:jc w:val="center"/>
              <w:rPr>
                <w:sz w:val="24"/>
                <w:szCs w:val="24"/>
              </w:rPr>
            </w:pPr>
          </w:p>
        </w:tc>
        <w:tc>
          <w:tcPr>
            <w:tcW w:w="1717" w:type="dxa"/>
            <w:vAlign w:val="center"/>
          </w:tcPr>
          <w:p w14:paraId="3E001A78">
            <w:pPr>
              <w:pStyle w:val="397"/>
              <w:spacing w:before="64" w:line="214" w:lineRule="auto"/>
              <w:ind w:left="166"/>
              <w:jc w:val="center"/>
              <w:rPr>
                <w:sz w:val="24"/>
                <w:szCs w:val="24"/>
              </w:rPr>
            </w:pPr>
          </w:p>
        </w:tc>
        <w:tc>
          <w:tcPr>
            <w:tcW w:w="1533" w:type="dxa"/>
            <w:vAlign w:val="center"/>
          </w:tcPr>
          <w:p w14:paraId="5A7EEEAC">
            <w:pPr>
              <w:pStyle w:val="397"/>
              <w:spacing w:before="64" w:line="214" w:lineRule="auto"/>
              <w:ind w:left="157"/>
              <w:jc w:val="center"/>
              <w:rPr>
                <w:sz w:val="24"/>
                <w:szCs w:val="24"/>
              </w:rPr>
            </w:pPr>
          </w:p>
        </w:tc>
      </w:tr>
      <w:tr w14:paraId="12811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tcBorders>
            <w:vAlign w:val="center"/>
          </w:tcPr>
          <w:p w14:paraId="1690C564">
            <w:pPr>
              <w:jc w:val="center"/>
              <w:rPr>
                <w:rFonts w:ascii="Arial"/>
                <w:sz w:val="52"/>
                <w:szCs w:val="52"/>
              </w:rPr>
            </w:pPr>
          </w:p>
        </w:tc>
        <w:tc>
          <w:tcPr>
            <w:tcW w:w="982" w:type="dxa"/>
            <w:vMerge w:val="continue"/>
            <w:tcBorders>
              <w:top w:val="nil"/>
            </w:tcBorders>
            <w:vAlign w:val="center"/>
          </w:tcPr>
          <w:p w14:paraId="6A48D216">
            <w:pPr>
              <w:jc w:val="center"/>
              <w:rPr>
                <w:rFonts w:ascii="Arial"/>
                <w:sz w:val="52"/>
                <w:szCs w:val="52"/>
              </w:rPr>
            </w:pPr>
          </w:p>
        </w:tc>
        <w:tc>
          <w:tcPr>
            <w:tcW w:w="1417" w:type="dxa"/>
            <w:vAlign w:val="center"/>
          </w:tcPr>
          <w:p w14:paraId="7BA64000">
            <w:pPr>
              <w:pStyle w:val="397"/>
              <w:spacing w:before="43" w:line="219" w:lineRule="auto"/>
              <w:ind w:left="211"/>
              <w:jc w:val="center"/>
              <w:rPr>
                <w:sz w:val="24"/>
                <w:szCs w:val="24"/>
              </w:rPr>
            </w:pPr>
            <w:r>
              <w:rPr>
                <w:spacing w:val="-1"/>
                <w:sz w:val="24"/>
                <w:szCs w:val="24"/>
              </w:rPr>
              <w:t>全景球机</w:t>
            </w:r>
          </w:p>
        </w:tc>
        <w:tc>
          <w:tcPr>
            <w:tcW w:w="816" w:type="dxa"/>
            <w:vAlign w:val="center"/>
          </w:tcPr>
          <w:p w14:paraId="2E522AB6">
            <w:pPr>
              <w:pStyle w:val="397"/>
              <w:spacing w:before="45" w:line="221" w:lineRule="auto"/>
              <w:ind w:left="123"/>
              <w:jc w:val="center"/>
              <w:rPr>
                <w:sz w:val="24"/>
                <w:szCs w:val="24"/>
              </w:rPr>
            </w:pPr>
            <w:r>
              <w:rPr>
                <w:sz w:val="24"/>
                <w:szCs w:val="24"/>
              </w:rPr>
              <w:t>台</w:t>
            </w:r>
          </w:p>
        </w:tc>
        <w:tc>
          <w:tcPr>
            <w:tcW w:w="934" w:type="dxa"/>
            <w:vAlign w:val="center"/>
          </w:tcPr>
          <w:p w14:paraId="4C78BA86">
            <w:pPr>
              <w:pStyle w:val="397"/>
              <w:spacing w:before="54" w:line="214" w:lineRule="auto"/>
              <w:ind w:left="143"/>
              <w:jc w:val="center"/>
              <w:rPr>
                <w:sz w:val="24"/>
                <w:szCs w:val="24"/>
              </w:rPr>
            </w:pPr>
            <w:r>
              <w:rPr>
                <w:sz w:val="24"/>
                <w:szCs w:val="24"/>
              </w:rPr>
              <w:t>6</w:t>
            </w:r>
          </w:p>
        </w:tc>
        <w:tc>
          <w:tcPr>
            <w:tcW w:w="1616" w:type="dxa"/>
            <w:vAlign w:val="center"/>
          </w:tcPr>
          <w:p w14:paraId="652AE768">
            <w:pPr>
              <w:pStyle w:val="397"/>
              <w:spacing w:before="54" w:line="214" w:lineRule="auto"/>
              <w:ind w:left="174"/>
              <w:jc w:val="center"/>
              <w:rPr>
                <w:sz w:val="24"/>
                <w:szCs w:val="24"/>
              </w:rPr>
            </w:pPr>
          </w:p>
        </w:tc>
        <w:tc>
          <w:tcPr>
            <w:tcW w:w="1717" w:type="dxa"/>
            <w:vAlign w:val="center"/>
          </w:tcPr>
          <w:p w14:paraId="21BBF50F">
            <w:pPr>
              <w:pStyle w:val="397"/>
              <w:spacing w:before="54" w:line="214" w:lineRule="auto"/>
              <w:ind w:left="186"/>
              <w:jc w:val="center"/>
              <w:rPr>
                <w:sz w:val="24"/>
                <w:szCs w:val="24"/>
              </w:rPr>
            </w:pPr>
          </w:p>
        </w:tc>
        <w:tc>
          <w:tcPr>
            <w:tcW w:w="1533" w:type="dxa"/>
            <w:vAlign w:val="center"/>
          </w:tcPr>
          <w:p w14:paraId="04254F08">
            <w:pPr>
              <w:pStyle w:val="397"/>
              <w:spacing w:before="54" w:line="214" w:lineRule="auto"/>
              <w:ind w:left="157"/>
              <w:jc w:val="center"/>
              <w:rPr>
                <w:sz w:val="24"/>
                <w:szCs w:val="24"/>
              </w:rPr>
            </w:pPr>
          </w:p>
        </w:tc>
      </w:tr>
      <w:tr w14:paraId="0D63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restart"/>
            <w:tcBorders>
              <w:bottom w:val="nil"/>
            </w:tcBorders>
            <w:vAlign w:val="center"/>
          </w:tcPr>
          <w:p w14:paraId="15C41380">
            <w:pPr>
              <w:pStyle w:val="397"/>
              <w:spacing w:before="153"/>
              <w:ind w:left="65"/>
              <w:jc w:val="center"/>
              <w:rPr>
                <w:sz w:val="24"/>
                <w:szCs w:val="24"/>
              </w:rPr>
            </w:pPr>
            <w:r>
              <w:rPr>
                <w:sz w:val="24"/>
                <w:szCs w:val="24"/>
              </w:rPr>
              <w:t>6</w:t>
            </w:r>
          </w:p>
        </w:tc>
        <w:tc>
          <w:tcPr>
            <w:tcW w:w="982" w:type="dxa"/>
            <w:vMerge w:val="restart"/>
            <w:tcBorders>
              <w:bottom w:val="nil"/>
            </w:tcBorders>
            <w:vAlign w:val="center"/>
          </w:tcPr>
          <w:p w14:paraId="60DB60A0">
            <w:pPr>
              <w:pStyle w:val="397"/>
              <w:spacing w:before="144" w:line="220" w:lineRule="auto"/>
              <w:ind w:left="120"/>
              <w:jc w:val="center"/>
              <w:rPr>
                <w:sz w:val="24"/>
                <w:szCs w:val="24"/>
              </w:rPr>
            </w:pPr>
            <w:r>
              <w:rPr>
                <w:spacing w:val="-1"/>
                <w:sz w:val="24"/>
                <w:szCs w:val="24"/>
              </w:rPr>
              <w:t>违停</w:t>
            </w:r>
          </w:p>
        </w:tc>
        <w:tc>
          <w:tcPr>
            <w:tcW w:w="1417" w:type="dxa"/>
            <w:vAlign w:val="center"/>
          </w:tcPr>
          <w:p w14:paraId="679C73C4">
            <w:pPr>
              <w:pStyle w:val="397"/>
              <w:spacing w:before="43" w:line="219" w:lineRule="auto"/>
              <w:ind w:left="211"/>
              <w:jc w:val="center"/>
              <w:rPr>
                <w:sz w:val="24"/>
                <w:szCs w:val="24"/>
              </w:rPr>
            </w:pPr>
            <w:r>
              <w:rPr>
                <w:spacing w:val="-1"/>
                <w:sz w:val="24"/>
                <w:szCs w:val="24"/>
              </w:rPr>
              <w:t>全景球机</w:t>
            </w:r>
          </w:p>
        </w:tc>
        <w:tc>
          <w:tcPr>
            <w:tcW w:w="816" w:type="dxa"/>
            <w:vAlign w:val="center"/>
          </w:tcPr>
          <w:p w14:paraId="52420AF7">
            <w:pPr>
              <w:pStyle w:val="397"/>
              <w:spacing w:before="45" w:line="221" w:lineRule="auto"/>
              <w:ind w:left="123"/>
              <w:jc w:val="center"/>
              <w:rPr>
                <w:sz w:val="24"/>
                <w:szCs w:val="24"/>
              </w:rPr>
            </w:pPr>
            <w:r>
              <w:rPr>
                <w:sz w:val="24"/>
                <w:szCs w:val="24"/>
              </w:rPr>
              <w:t>台</w:t>
            </w:r>
          </w:p>
        </w:tc>
        <w:tc>
          <w:tcPr>
            <w:tcW w:w="934" w:type="dxa"/>
            <w:vAlign w:val="center"/>
          </w:tcPr>
          <w:p w14:paraId="6816BE70">
            <w:pPr>
              <w:pStyle w:val="397"/>
              <w:spacing w:before="54" w:line="214" w:lineRule="auto"/>
              <w:ind w:left="123"/>
              <w:jc w:val="center"/>
              <w:rPr>
                <w:sz w:val="24"/>
                <w:szCs w:val="24"/>
              </w:rPr>
            </w:pPr>
            <w:r>
              <w:rPr>
                <w:spacing w:val="-2"/>
                <w:sz w:val="24"/>
                <w:szCs w:val="24"/>
              </w:rPr>
              <w:t>94</w:t>
            </w:r>
          </w:p>
        </w:tc>
        <w:tc>
          <w:tcPr>
            <w:tcW w:w="1616" w:type="dxa"/>
            <w:vAlign w:val="center"/>
          </w:tcPr>
          <w:p w14:paraId="1AFDB027">
            <w:pPr>
              <w:pStyle w:val="397"/>
              <w:spacing w:before="54" w:line="214" w:lineRule="auto"/>
              <w:ind w:left="174"/>
              <w:jc w:val="center"/>
              <w:rPr>
                <w:sz w:val="24"/>
                <w:szCs w:val="24"/>
              </w:rPr>
            </w:pPr>
          </w:p>
        </w:tc>
        <w:tc>
          <w:tcPr>
            <w:tcW w:w="1717" w:type="dxa"/>
            <w:vAlign w:val="center"/>
          </w:tcPr>
          <w:p w14:paraId="01D9FA59">
            <w:pPr>
              <w:pStyle w:val="397"/>
              <w:spacing w:before="54" w:line="214" w:lineRule="auto"/>
              <w:ind w:left="186"/>
              <w:jc w:val="center"/>
              <w:rPr>
                <w:sz w:val="24"/>
                <w:szCs w:val="24"/>
              </w:rPr>
            </w:pPr>
          </w:p>
        </w:tc>
        <w:tc>
          <w:tcPr>
            <w:tcW w:w="1533" w:type="dxa"/>
            <w:vAlign w:val="center"/>
          </w:tcPr>
          <w:p w14:paraId="50011E9F">
            <w:pPr>
              <w:pStyle w:val="397"/>
              <w:spacing w:before="54" w:line="214" w:lineRule="auto"/>
              <w:ind w:left="127"/>
              <w:jc w:val="center"/>
              <w:rPr>
                <w:sz w:val="24"/>
                <w:szCs w:val="24"/>
              </w:rPr>
            </w:pPr>
          </w:p>
        </w:tc>
      </w:tr>
      <w:tr w14:paraId="0393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continue"/>
            <w:tcBorders>
              <w:top w:val="nil"/>
            </w:tcBorders>
            <w:vAlign w:val="center"/>
          </w:tcPr>
          <w:p w14:paraId="4E588C50">
            <w:pPr>
              <w:jc w:val="center"/>
              <w:rPr>
                <w:rFonts w:ascii="Arial"/>
                <w:sz w:val="52"/>
                <w:szCs w:val="52"/>
              </w:rPr>
            </w:pPr>
          </w:p>
        </w:tc>
        <w:tc>
          <w:tcPr>
            <w:tcW w:w="982" w:type="dxa"/>
            <w:vMerge w:val="continue"/>
            <w:tcBorders>
              <w:top w:val="nil"/>
            </w:tcBorders>
            <w:vAlign w:val="center"/>
          </w:tcPr>
          <w:p w14:paraId="0C8462E0">
            <w:pPr>
              <w:jc w:val="center"/>
              <w:rPr>
                <w:rFonts w:ascii="Arial"/>
                <w:sz w:val="52"/>
                <w:szCs w:val="52"/>
              </w:rPr>
            </w:pPr>
          </w:p>
        </w:tc>
        <w:tc>
          <w:tcPr>
            <w:tcW w:w="1417" w:type="dxa"/>
            <w:vAlign w:val="center"/>
          </w:tcPr>
          <w:p w14:paraId="6B01D022">
            <w:pPr>
              <w:pStyle w:val="397"/>
              <w:spacing w:before="44" w:line="219" w:lineRule="auto"/>
              <w:ind w:left="161"/>
              <w:jc w:val="center"/>
              <w:rPr>
                <w:sz w:val="24"/>
                <w:szCs w:val="24"/>
              </w:rPr>
            </w:pPr>
            <w:r>
              <w:rPr>
                <w:spacing w:val="-1"/>
                <w:sz w:val="24"/>
                <w:szCs w:val="24"/>
              </w:rPr>
              <w:t>终端服务器</w:t>
            </w:r>
          </w:p>
        </w:tc>
        <w:tc>
          <w:tcPr>
            <w:tcW w:w="816" w:type="dxa"/>
            <w:vAlign w:val="center"/>
          </w:tcPr>
          <w:p w14:paraId="411D442B">
            <w:pPr>
              <w:pStyle w:val="397"/>
              <w:spacing w:before="45" w:line="221" w:lineRule="auto"/>
              <w:ind w:left="123"/>
              <w:jc w:val="center"/>
              <w:rPr>
                <w:sz w:val="24"/>
                <w:szCs w:val="24"/>
              </w:rPr>
            </w:pPr>
            <w:r>
              <w:rPr>
                <w:sz w:val="24"/>
                <w:szCs w:val="24"/>
              </w:rPr>
              <w:t>台</w:t>
            </w:r>
          </w:p>
        </w:tc>
        <w:tc>
          <w:tcPr>
            <w:tcW w:w="934" w:type="dxa"/>
            <w:vAlign w:val="center"/>
          </w:tcPr>
          <w:p w14:paraId="1E3EE450">
            <w:pPr>
              <w:pStyle w:val="397"/>
              <w:spacing w:before="54" w:line="214" w:lineRule="auto"/>
              <w:ind w:left="123"/>
              <w:jc w:val="center"/>
              <w:rPr>
                <w:sz w:val="24"/>
                <w:szCs w:val="24"/>
              </w:rPr>
            </w:pPr>
            <w:r>
              <w:rPr>
                <w:spacing w:val="-2"/>
                <w:sz w:val="24"/>
                <w:szCs w:val="24"/>
              </w:rPr>
              <w:t>35</w:t>
            </w:r>
          </w:p>
        </w:tc>
        <w:tc>
          <w:tcPr>
            <w:tcW w:w="1616" w:type="dxa"/>
            <w:vAlign w:val="center"/>
          </w:tcPr>
          <w:p w14:paraId="529109EF">
            <w:pPr>
              <w:pStyle w:val="397"/>
              <w:spacing w:before="54" w:line="214" w:lineRule="auto"/>
              <w:ind w:left="174"/>
              <w:jc w:val="center"/>
              <w:rPr>
                <w:sz w:val="24"/>
                <w:szCs w:val="24"/>
              </w:rPr>
            </w:pPr>
          </w:p>
        </w:tc>
        <w:tc>
          <w:tcPr>
            <w:tcW w:w="1717" w:type="dxa"/>
            <w:vAlign w:val="center"/>
          </w:tcPr>
          <w:p w14:paraId="2E03D51D">
            <w:pPr>
              <w:pStyle w:val="397"/>
              <w:spacing w:before="54" w:line="214" w:lineRule="auto"/>
              <w:ind w:left="166"/>
              <w:jc w:val="center"/>
              <w:rPr>
                <w:sz w:val="24"/>
                <w:szCs w:val="24"/>
              </w:rPr>
            </w:pPr>
          </w:p>
        </w:tc>
        <w:tc>
          <w:tcPr>
            <w:tcW w:w="1533" w:type="dxa"/>
            <w:vAlign w:val="center"/>
          </w:tcPr>
          <w:p w14:paraId="3C0EC4A2">
            <w:pPr>
              <w:pStyle w:val="397"/>
              <w:spacing w:before="54" w:line="214" w:lineRule="auto"/>
              <w:ind w:left="127"/>
              <w:jc w:val="center"/>
              <w:rPr>
                <w:sz w:val="24"/>
                <w:szCs w:val="24"/>
              </w:rPr>
            </w:pPr>
          </w:p>
        </w:tc>
      </w:tr>
      <w:tr w14:paraId="357D2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2" w:type="dxa"/>
            <w:vMerge w:val="restart"/>
            <w:tcBorders>
              <w:bottom w:val="nil"/>
            </w:tcBorders>
            <w:vAlign w:val="center"/>
          </w:tcPr>
          <w:p w14:paraId="40568C3E">
            <w:pPr>
              <w:pStyle w:val="397"/>
              <w:spacing w:before="153"/>
              <w:ind w:left="65"/>
              <w:jc w:val="center"/>
              <w:rPr>
                <w:sz w:val="24"/>
                <w:szCs w:val="24"/>
              </w:rPr>
            </w:pPr>
            <w:r>
              <w:rPr>
                <w:sz w:val="24"/>
                <w:szCs w:val="24"/>
              </w:rPr>
              <w:t>7</w:t>
            </w:r>
          </w:p>
        </w:tc>
        <w:tc>
          <w:tcPr>
            <w:tcW w:w="982" w:type="dxa"/>
            <w:vMerge w:val="restart"/>
            <w:tcBorders>
              <w:bottom w:val="nil"/>
            </w:tcBorders>
            <w:vAlign w:val="center"/>
          </w:tcPr>
          <w:p w14:paraId="5F4FC43D">
            <w:pPr>
              <w:pStyle w:val="397"/>
              <w:spacing w:before="144" w:line="220" w:lineRule="auto"/>
              <w:ind w:left="19"/>
              <w:jc w:val="center"/>
              <w:rPr>
                <w:sz w:val="24"/>
                <w:szCs w:val="24"/>
              </w:rPr>
            </w:pPr>
            <w:r>
              <w:rPr>
                <w:spacing w:val="-3"/>
                <w:sz w:val="24"/>
                <w:szCs w:val="24"/>
              </w:rPr>
              <w:t>固定测速</w:t>
            </w:r>
          </w:p>
        </w:tc>
        <w:tc>
          <w:tcPr>
            <w:tcW w:w="1417" w:type="dxa"/>
            <w:vAlign w:val="center"/>
          </w:tcPr>
          <w:p w14:paraId="788F992E">
            <w:pPr>
              <w:pStyle w:val="397"/>
              <w:spacing w:before="43" w:line="219" w:lineRule="auto"/>
              <w:ind w:left="260"/>
              <w:jc w:val="center"/>
              <w:rPr>
                <w:sz w:val="24"/>
                <w:szCs w:val="24"/>
              </w:rPr>
            </w:pPr>
            <w:r>
              <w:rPr>
                <w:spacing w:val="-1"/>
                <w:sz w:val="24"/>
                <w:szCs w:val="24"/>
              </w:rPr>
              <w:t>抓拍机</w:t>
            </w:r>
          </w:p>
        </w:tc>
        <w:tc>
          <w:tcPr>
            <w:tcW w:w="816" w:type="dxa"/>
            <w:vAlign w:val="center"/>
          </w:tcPr>
          <w:p w14:paraId="3C527FDF">
            <w:pPr>
              <w:pStyle w:val="397"/>
              <w:spacing w:before="45" w:line="221" w:lineRule="auto"/>
              <w:ind w:left="123"/>
              <w:jc w:val="center"/>
              <w:rPr>
                <w:sz w:val="24"/>
                <w:szCs w:val="24"/>
              </w:rPr>
            </w:pPr>
            <w:r>
              <w:rPr>
                <w:sz w:val="24"/>
                <w:szCs w:val="24"/>
              </w:rPr>
              <w:t>台</w:t>
            </w:r>
          </w:p>
        </w:tc>
        <w:tc>
          <w:tcPr>
            <w:tcW w:w="934" w:type="dxa"/>
            <w:vAlign w:val="center"/>
          </w:tcPr>
          <w:p w14:paraId="4F7818C0">
            <w:pPr>
              <w:pStyle w:val="397"/>
              <w:spacing w:before="54" w:line="214" w:lineRule="auto"/>
              <w:ind w:left="123"/>
              <w:jc w:val="center"/>
              <w:rPr>
                <w:sz w:val="24"/>
                <w:szCs w:val="24"/>
              </w:rPr>
            </w:pPr>
            <w:r>
              <w:rPr>
                <w:spacing w:val="-2"/>
                <w:sz w:val="24"/>
                <w:szCs w:val="24"/>
              </w:rPr>
              <w:t>24</w:t>
            </w:r>
          </w:p>
        </w:tc>
        <w:tc>
          <w:tcPr>
            <w:tcW w:w="1616" w:type="dxa"/>
            <w:vAlign w:val="center"/>
          </w:tcPr>
          <w:p w14:paraId="767AE653">
            <w:pPr>
              <w:pStyle w:val="397"/>
              <w:spacing w:before="54" w:line="214" w:lineRule="auto"/>
              <w:ind w:left="174"/>
              <w:jc w:val="center"/>
              <w:rPr>
                <w:sz w:val="24"/>
                <w:szCs w:val="24"/>
              </w:rPr>
            </w:pPr>
          </w:p>
        </w:tc>
        <w:tc>
          <w:tcPr>
            <w:tcW w:w="1717" w:type="dxa"/>
            <w:vAlign w:val="center"/>
          </w:tcPr>
          <w:p w14:paraId="0FC952BD">
            <w:pPr>
              <w:pStyle w:val="397"/>
              <w:spacing w:before="54" w:line="214" w:lineRule="auto"/>
              <w:ind w:left="166"/>
              <w:jc w:val="center"/>
              <w:rPr>
                <w:sz w:val="24"/>
                <w:szCs w:val="24"/>
              </w:rPr>
            </w:pPr>
          </w:p>
        </w:tc>
        <w:tc>
          <w:tcPr>
            <w:tcW w:w="1533" w:type="dxa"/>
            <w:vAlign w:val="center"/>
          </w:tcPr>
          <w:p w14:paraId="460E2BDD">
            <w:pPr>
              <w:pStyle w:val="397"/>
              <w:spacing w:before="54" w:line="214" w:lineRule="auto"/>
              <w:ind w:left="157"/>
              <w:jc w:val="center"/>
              <w:rPr>
                <w:sz w:val="24"/>
                <w:szCs w:val="24"/>
              </w:rPr>
            </w:pPr>
          </w:p>
        </w:tc>
      </w:tr>
      <w:tr w14:paraId="223A5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602" w:type="dxa"/>
            <w:vMerge w:val="continue"/>
            <w:tcBorders>
              <w:top w:val="nil"/>
            </w:tcBorders>
            <w:vAlign w:val="center"/>
          </w:tcPr>
          <w:p w14:paraId="4891B8C8">
            <w:pPr>
              <w:jc w:val="center"/>
              <w:rPr>
                <w:rFonts w:ascii="Arial"/>
                <w:sz w:val="52"/>
                <w:szCs w:val="52"/>
              </w:rPr>
            </w:pPr>
          </w:p>
        </w:tc>
        <w:tc>
          <w:tcPr>
            <w:tcW w:w="982" w:type="dxa"/>
            <w:vMerge w:val="continue"/>
            <w:tcBorders>
              <w:top w:val="nil"/>
            </w:tcBorders>
            <w:vAlign w:val="center"/>
          </w:tcPr>
          <w:p w14:paraId="09532BC1">
            <w:pPr>
              <w:jc w:val="center"/>
              <w:rPr>
                <w:rFonts w:ascii="Arial"/>
                <w:sz w:val="52"/>
                <w:szCs w:val="52"/>
              </w:rPr>
            </w:pPr>
          </w:p>
        </w:tc>
        <w:tc>
          <w:tcPr>
            <w:tcW w:w="1417" w:type="dxa"/>
            <w:vAlign w:val="center"/>
          </w:tcPr>
          <w:p w14:paraId="6367AD97">
            <w:pPr>
              <w:pStyle w:val="397"/>
              <w:spacing w:before="54" w:line="219" w:lineRule="auto"/>
              <w:ind w:left="260"/>
              <w:jc w:val="center"/>
              <w:rPr>
                <w:sz w:val="24"/>
                <w:szCs w:val="24"/>
              </w:rPr>
            </w:pPr>
            <w:r>
              <w:rPr>
                <w:spacing w:val="-3"/>
                <w:sz w:val="24"/>
                <w:szCs w:val="24"/>
              </w:rPr>
              <w:t>闪光灯</w:t>
            </w:r>
          </w:p>
        </w:tc>
        <w:tc>
          <w:tcPr>
            <w:tcW w:w="816" w:type="dxa"/>
            <w:vAlign w:val="center"/>
          </w:tcPr>
          <w:p w14:paraId="3C5C1AFC">
            <w:pPr>
              <w:pStyle w:val="397"/>
              <w:spacing w:before="55" w:line="221" w:lineRule="auto"/>
              <w:ind w:left="123"/>
              <w:jc w:val="center"/>
              <w:rPr>
                <w:sz w:val="24"/>
                <w:szCs w:val="24"/>
              </w:rPr>
            </w:pPr>
            <w:r>
              <w:rPr>
                <w:sz w:val="24"/>
                <w:szCs w:val="24"/>
              </w:rPr>
              <w:t>台</w:t>
            </w:r>
          </w:p>
        </w:tc>
        <w:tc>
          <w:tcPr>
            <w:tcW w:w="934" w:type="dxa"/>
            <w:vAlign w:val="center"/>
          </w:tcPr>
          <w:p w14:paraId="187C2A3F">
            <w:pPr>
              <w:pStyle w:val="397"/>
              <w:spacing w:before="64" w:line="214" w:lineRule="auto"/>
              <w:ind w:left="123"/>
              <w:jc w:val="center"/>
              <w:rPr>
                <w:sz w:val="24"/>
                <w:szCs w:val="24"/>
              </w:rPr>
            </w:pPr>
            <w:r>
              <w:rPr>
                <w:spacing w:val="-2"/>
                <w:sz w:val="24"/>
                <w:szCs w:val="24"/>
              </w:rPr>
              <w:t>24</w:t>
            </w:r>
          </w:p>
        </w:tc>
        <w:tc>
          <w:tcPr>
            <w:tcW w:w="1616" w:type="dxa"/>
            <w:vAlign w:val="center"/>
          </w:tcPr>
          <w:p w14:paraId="58F1475B">
            <w:pPr>
              <w:pStyle w:val="397"/>
              <w:spacing w:before="64" w:line="214" w:lineRule="auto"/>
              <w:ind w:left="174"/>
              <w:jc w:val="center"/>
              <w:rPr>
                <w:sz w:val="24"/>
                <w:szCs w:val="24"/>
              </w:rPr>
            </w:pPr>
          </w:p>
        </w:tc>
        <w:tc>
          <w:tcPr>
            <w:tcW w:w="1717" w:type="dxa"/>
            <w:vAlign w:val="center"/>
          </w:tcPr>
          <w:p w14:paraId="5AE080B1">
            <w:pPr>
              <w:pStyle w:val="397"/>
              <w:spacing w:before="64" w:line="214" w:lineRule="auto"/>
              <w:ind w:left="186"/>
              <w:jc w:val="center"/>
              <w:rPr>
                <w:sz w:val="24"/>
                <w:szCs w:val="24"/>
              </w:rPr>
            </w:pPr>
          </w:p>
        </w:tc>
        <w:tc>
          <w:tcPr>
            <w:tcW w:w="1533" w:type="dxa"/>
            <w:vAlign w:val="center"/>
          </w:tcPr>
          <w:p w14:paraId="3BE7326A">
            <w:pPr>
              <w:pStyle w:val="397"/>
              <w:spacing w:before="64" w:line="214" w:lineRule="auto"/>
              <w:ind w:left="157"/>
              <w:jc w:val="center"/>
              <w:rPr>
                <w:sz w:val="24"/>
                <w:szCs w:val="24"/>
              </w:rPr>
            </w:pPr>
          </w:p>
        </w:tc>
      </w:tr>
      <w:tr w14:paraId="7895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751" w:type="dxa"/>
            <w:gridSpan w:val="5"/>
            <w:vAlign w:val="center"/>
          </w:tcPr>
          <w:p w14:paraId="26417C8A">
            <w:pPr>
              <w:pStyle w:val="397"/>
              <w:spacing w:before="67" w:line="225" w:lineRule="auto"/>
              <w:ind w:left="1004" w:firstLine="960" w:firstLineChars="400"/>
              <w:jc w:val="both"/>
              <w:rPr>
                <w:rFonts w:hint="default" w:eastAsia="宋体"/>
                <w:sz w:val="24"/>
                <w:szCs w:val="24"/>
                <w:lang w:val="en-US" w:eastAsia="zh-CN"/>
              </w:rPr>
            </w:pPr>
            <w:r>
              <w:rPr>
                <w:rFonts w:hint="eastAsia"/>
                <w:sz w:val="24"/>
                <w:szCs w:val="24"/>
                <w:lang w:val="en-US" w:eastAsia="zh-CN"/>
              </w:rPr>
              <w:t>总价合计</w:t>
            </w:r>
          </w:p>
        </w:tc>
        <w:tc>
          <w:tcPr>
            <w:tcW w:w="4866" w:type="dxa"/>
            <w:gridSpan w:val="3"/>
            <w:vAlign w:val="center"/>
          </w:tcPr>
          <w:p w14:paraId="2F609AE9">
            <w:pPr>
              <w:pStyle w:val="397"/>
              <w:spacing w:before="73" w:line="239" w:lineRule="auto"/>
              <w:ind w:left="107"/>
              <w:jc w:val="center"/>
              <w:rPr>
                <w:sz w:val="24"/>
                <w:szCs w:val="24"/>
              </w:rPr>
            </w:pPr>
          </w:p>
        </w:tc>
      </w:tr>
    </w:tbl>
    <w:p w14:paraId="18575776">
      <w:pP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br w:type="page"/>
      </w:r>
    </w:p>
    <w:p w14:paraId="36215F07">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2、商务、技术偏离表</w:t>
      </w:r>
    </w:p>
    <w:tbl>
      <w:tblPr>
        <w:tblStyle w:val="56"/>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4063"/>
        <w:gridCol w:w="1915"/>
        <w:gridCol w:w="2764"/>
      </w:tblGrid>
      <w:tr w14:paraId="1695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76FEFE29">
            <w:pPr>
              <w:keepNext w:val="0"/>
              <w:keepLines w:val="0"/>
              <w:suppressLineNumbers w:val="0"/>
              <w:snapToGrid w:val="0"/>
              <w:spacing w:before="0" w:beforeAutospacing="0" w:after="0" w:afterAutospacing="0"/>
              <w:ind w:left="0" w:leftChars="0" w:right="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13" w:type="pct"/>
            <w:noWrap w:val="0"/>
            <w:vAlign w:val="center"/>
          </w:tcPr>
          <w:p w14:paraId="02248C41">
            <w:pPr>
              <w:keepNext w:val="0"/>
              <w:keepLines w:val="0"/>
              <w:suppressLineNumbers w:val="0"/>
              <w:snapToGrid w:val="0"/>
              <w:spacing w:before="0" w:beforeAutospacing="0" w:after="0" w:afterAutospacing="0"/>
              <w:ind w:left="0" w:leftChars="0" w:right="0" w:firstLine="0" w:firstLineChars="0"/>
              <w:jc w:val="center"/>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磋商文件商务技术需求要求</w:t>
            </w:r>
          </w:p>
        </w:tc>
        <w:tc>
          <w:tcPr>
            <w:tcW w:w="996" w:type="pct"/>
            <w:noWrap w:val="0"/>
            <w:vAlign w:val="center"/>
          </w:tcPr>
          <w:p w14:paraId="23990093">
            <w:pPr>
              <w:keepNext w:val="0"/>
              <w:keepLines w:val="0"/>
              <w:suppressLineNumbers w:val="0"/>
              <w:snapToGrid w:val="0"/>
              <w:spacing w:before="0" w:beforeAutospacing="0" w:after="0" w:afterAutospacing="0"/>
              <w:ind w:left="0" w:leftChars="0" w:right="0" w:firstLine="0" w:firstLineChars="0"/>
              <w:jc w:val="center"/>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是否响应</w:t>
            </w:r>
          </w:p>
        </w:tc>
        <w:tc>
          <w:tcPr>
            <w:tcW w:w="1437" w:type="pct"/>
            <w:noWrap w:val="0"/>
            <w:vAlign w:val="center"/>
          </w:tcPr>
          <w:p w14:paraId="028BEDE8">
            <w:pPr>
              <w:keepNext w:val="0"/>
              <w:keepLines w:val="0"/>
              <w:suppressLineNumbers w:val="0"/>
              <w:snapToGrid w:val="0"/>
              <w:spacing w:before="0" w:beforeAutospacing="0" w:after="0" w:afterAutospacing="0"/>
              <w:ind w:left="0" w:leftChars="0" w:right="0" w:firstLine="0" w:firstLineChars="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供应商的承诺或说明</w:t>
            </w:r>
          </w:p>
        </w:tc>
      </w:tr>
      <w:tr w14:paraId="5BEA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771E7769">
            <w:pPr>
              <w:keepNext w:val="0"/>
              <w:keepLines w:val="0"/>
              <w:suppressLineNumbers w:val="0"/>
              <w:snapToGrid w:val="0"/>
              <w:spacing w:before="0" w:beforeAutospacing="0" w:after="0" w:afterAutospacing="0" w:line="360" w:lineRule="auto"/>
              <w:ind w:left="0" w:leftChars="0" w:right="0" w:firstLine="0" w:firstLineChars="0"/>
              <w:jc w:val="center"/>
              <w:outlineLvl w:val="9"/>
              <w:rPr>
                <w:rFonts w:hint="eastAsia" w:ascii="宋体" w:hAnsi="宋体" w:eastAsia="宋体" w:cs="宋体"/>
                <w:color w:val="auto"/>
                <w:sz w:val="24"/>
                <w:szCs w:val="24"/>
                <w:highlight w:val="none"/>
              </w:rPr>
            </w:pPr>
          </w:p>
        </w:tc>
        <w:tc>
          <w:tcPr>
            <w:tcW w:w="2113" w:type="pct"/>
            <w:noWrap w:val="0"/>
            <w:vAlign w:val="center"/>
          </w:tcPr>
          <w:p w14:paraId="41C418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0" w:firstLineChars="200"/>
              <w:textAlignment w:val="auto"/>
              <w:outlineLvl w:val="9"/>
              <w:rPr>
                <w:rFonts w:hint="eastAsia" w:ascii="宋体" w:hAnsi="宋体" w:eastAsia="宋体" w:cs="宋体"/>
                <w:color w:val="auto"/>
                <w:sz w:val="24"/>
                <w:szCs w:val="24"/>
                <w:highlight w:val="none"/>
              </w:rPr>
            </w:pPr>
          </w:p>
        </w:tc>
        <w:tc>
          <w:tcPr>
            <w:tcW w:w="996" w:type="pct"/>
            <w:noWrap w:val="0"/>
            <w:vAlign w:val="center"/>
          </w:tcPr>
          <w:p w14:paraId="081BCB7A">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c>
          <w:tcPr>
            <w:tcW w:w="1437" w:type="pct"/>
            <w:noWrap w:val="0"/>
            <w:vAlign w:val="center"/>
          </w:tcPr>
          <w:p w14:paraId="22646C21">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r>
      <w:tr w14:paraId="770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62D34248">
            <w:pPr>
              <w:keepNext w:val="0"/>
              <w:keepLines w:val="0"/>
              <w:suppressLineNumbers w:val="0"/>
              <w:snapToGrid w:val="0"/>
              <w:spacing w:before="0" w:beforeAutospacing="0" w:after="0" w:afterAutospacing="0" w:line="360" w:lineRule="auto"/>
              <w:ind w:left="0" w:leftChars="0" w:right="0" w:firstLine="0" w:firstLineChars="0"/>
              <w:jc w:val="center"/>
              <w:outlineLvl w:val="9"/>
              <w:rPr>
                <w:rFonts w:hint="eastAsia" w:ascii="宋体" w:hAnsi="宋体" w:eastAsia="宋体" w:cs="宋体"/>
                <w:color w:val="auto"/>
                <w:sz w:val="24"/>
                <w:szCs w:val="24"/>
                <w:highlight w:val="none"/>
              </w:rPr>
            </w:pPr>
          </w:p>
        </w:tc>
        <w:tc>
          <w:tcPr>
            <w:tcW w:w="2113" w:type="pct"/>
            <w:noWrap w:val="0"/>
            <w:vAlign w:val="center"/>
          </w:tcPr>
          <w:p w14:paraId="30D4B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p>
        </w:tc>
        <w:tc>
          <w:tcPr>
            <w:tcW w:w="996" w:type="pct"/>
            <w:noWrap w:val="0"/>
            <w:vAlign w:val="center"/>
          </w:tcPr>
          <w:p w14:paraId="3B55679A">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c>
          <w:tcPr>
            <w:tcW w:w="1437" w:type="pct"/>
            <w:noWrap w:val="0"/>
            <w:vAlign w:val="center"/>
          </w:tcPr>
          <w:p w14:paraId="3E9DD8D5">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r>
      <w:tr w14:paraId="5B7B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2309A7D7">
            <w:pPr>
              <w:keepNext w:val="0"/>
              <w:keepLines w:val="0"/>
              <w:suppressLineNumbers w:val="0"/>
              <w:snapToGrid w:val="0"/>
              <w:spacing w:before="0" w:beforeAutospacing="0" w:after="0" w:afterAutospacing="0" w:line="360" w:lineRule="auto"/>
              <w:ind w:left="0" w:leftChars="0" w:right="0" w:firstLine="0" w:firstLineChars="0"/>
              <w:jc w:val="center"/>
              <w:outlineLvl w:val="9"/>
              <w:rPr>
                <w:rFonts w:hint="eastAsia" w:ascii="宋体" w:hAnsi="宋体" w:eastAsia="宋体" w:cs="宋体"/>
                <w:color w:val="auto"/>
                <w:sz w:val="24"/>
                <w:szCs w:val="24"/>
                <w:highlight w:val="none"/>
              </w:rPr>
            </w:pPr>
          </w:p>
        </w:tc>
        <w:tc>
          <w:tcPr>
            <w:tcW w:w="2113" w:type="pct"/>
            <w:noWrap w:val="0"/>
            <w:vAlign w:val="center"/>
          </w:tcPr>
          <w:p w14:paraId="0615DE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p>
        </w:tc>
        <w:tc>
          <w:tcPr>
            <w:tcW w:w="996" w:type="pct"/>
            <w:noWrap w:val="0"/>
            <w:vAlign w:val="center"/>
          </w:tcPr>
          <w:p w14:paraId="3F3FE21C">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c>
          <w:tcPr>
            <w:tcW w:w="1437" w:type="pct"/>
            <w:noWrap w:val="0"/>
            <w:vAlign w:val="center"/>
          </w:tcPr>
          <w:p w14:paraId="528A070F">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r>
      <w:tr w14:paraId="23C9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060F3494">
            <w:pPr>
              <w:keepNext w:val="0"/>
              <w:keepLines w:val="0"/>
              <w:suppressLineNumbers w:val="0"/>
              <w:snapToGrid w:val="0"/>
              <w:spacing w:before="0" w:beforeAutospacing="0" w:after="0" w:afterAutospacing="0" w:line="360" w:lineRule="auto"/>
              <w:ind w:left="0" w:leftChars="0" w:right="0" w:firstLine="0" w:firstLineChars="0"/>
              <w:jc w:val="center"/>
              <w:outlineLvl w:val="9"/>
              <w:rPr>
                <w:rFonts w:hint="eastAsia" w:ascii="宋体" w:hAnsi="宋体" w:eastAsia="宋体" w:cs="宋体"/>
                <w:color w:val="auto"/>
                <w:sz w:val="24"/>
                <w:szCs w:val="24"/>
                <w:highlight w:val="none"/>
                <w:lang w:val="en-US" w:eastAsia="zh-CN"/>
              </w:rPr>
            </w:pPr>
          </w:p>
        </w:tc>
        <w:tc>
          <w:tcPr>
            <w:tcW w:w="2113" w:type="pct"/>
            <w:noWrap w:val="0"/>
            <w:vAlign w:val="center"/>
          </w:tcPr>
          <w:p w14:paraId="19815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p>
        </w:tc>
        <w:tc>
          <w:tcPr>
            <w:tcW w:w="996" w:type="pct"/>
            <w:noWrap w:val="0"/>
            <w:vAlign w:val="center"/>
          </w:tcPr>
          <w:p w14:paraId="4286BDBC">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c>
          <w:tcPr>
            <w:tcW w:w="1437" w:type="pct"/>
            <w:noWrap w:val="0"/>
            <w:vAlign w:val="center"/>
          </w:tcPr>
          <w:p w14:paraId="6B8005B2">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r>
      <w:tr w14:paraId="1D38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47BBFEC3">
            <w:pPr>
              <w:keepNext w:val="0"/>
              <w:keepLines w:val="0"/>
              <w:suppressLineNumbers w:val="0"/>
              <w:snapToGrid w:val="0"/>
              <w:spacing w:before="0" w:beforeAutospacing="0" w:after="0" w:afterAutospacing="0" w:line="360" w:lineRule="auto"/>
              <w:ind w:left="0" w:leftChars="0" w:right="0" w:firstLine="0" w:firstLineChars="0"/>
              <w:jc w:val="center"/>
              <w:outlineLvl w:val="9"/>
              <w:rPr>
                <w:rFonts w:hint="eastAsia" w:ascii="宋体" w:hAnsi="宋体" w:eastAsia="宋体" w:cs="宋体"/>
                <w:color w:val="auto"/>
                <w:sz w:val="24"/>
                <w:szCs w:val="24"/>
                <w:highlight w:val="none"/>
                <w:lang w:eastAsia="zh-CN"/>
              </w:rPr>
            </w:pPr>
          </w:p>
        </w:tc>
        <w:tc>
          <w:tcPr>
            <w:tcW w:w="2113" w:type="pct"/>
            <w:noWrap w:val="0"/>
            <w:vAlign w:val="center"/>
          </w:tcPr>
          <w:p w14:paraId="3B516D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p>
        </w:tc>
        <w:tc>
          <w:tcPr>
            <w:tcW w:w="996" w:type="pct"/>
            <w:noWrap w:val="0"/>
            <w:vAlign w:val="center"/>
          </w:tcPr>
          <w:p w14:paraId="2744E373">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c>
          <w:tcPr>
            <w:tcW w:w="1437" w:type="pct"/>
            <w:noWrap w:val="0"/>
            <w:vAlign w:val="center"/>
          </w:tcPr>
          <w:p w14:paraId="59F4F8B3">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r>
      <w:tr w14:paraId="6ADC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0344053A">
            <w:pPr>
              <w:keepNext w:val="0"/>
              <w:keepLines w:val="0"/>
              <w:suppressLineNumbers w:val="0"/>
              <w:snapToGrid w:val="0"/>
              <w:spacing w:before="0" w:beforeAutospacing="0" w:after="0" w:afterAutospacing="0" w:line="360" w:lineRule="auto"/>
              <w:ind w:left="0" w:leftChars="0" w:right="0" w:firstLine="0" w:firstLineChars="0"/>
              <w:jc w:val="center"/>
              <w:outlineLvl w:val="9"/>
              <w:rPr>
                <w:rFonts w:hint="eastAsia" w:ascii="宋体" w:hAnsi="宋体" w:eastAsia="宋体" w:cs="宋体"/>
                <w:color w:val="auto"/>
                <w:sz w:val="24"/>
                <w:szCs w:val="24"/>
                <w:highlight w:val="none"/>
                <w:lang w:eastAsia="zh-CN"/>
              </w:rPr>
            </w:pPr>
          </w:p>
        </w:tc>
        <w:tc>
          <w:tcPr>
            <w:tcW w:w="2113" w:type="pct"/>
            <w:noWrap w:val="0"/>
            <w:vAlign w:val="center"/>
          </w:tcPr>
          <w:p w14:paraId="05AA4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p>
        </w:tc>
        <w:tc>
          <w:tcPr>
            <w:tcW w:w="996" w:type="pct"/>
            <w:noWrap w:val="0"/>
            <w:vAlign w:val="center"/>
          </w:tcPr>
          <w:p w14:paraId="1551EC59">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c>
          <w:tcPr>
            <w:tcW w:w="1437" w:type="pct"/>
            <w:noWrap w:val="0"/>
            <w:vAlign w:val="center"/>
          </w:tcPr>
          <w:p w14:paraId="700E6AAA">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r>
      <w:tr w14:paraId="6A94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2" w:type="pct"/>
            <w:noWrap w:val="0"/>
            <w:vAlign w:val="center"/>
          </w:tcPr>
          <w:p w14:paraId="04F33E29">
            <w:pPr>
              <w:keepNext w:val="0"/>
              <w:keepLines w:val="0"/>
              <w:suppressLineNumbers w:val="0"/>
              <w:snapToGrid w:val="0"/>
              <w:spacing w:before="0" w:beforeAutospacing="0" w:after="0" w:afterAutospacing="0" w:line="360" w:lineRule="auto"/>
              <w:ind w:left="0" w:leftChars="0" w:right="0" w:firstLine="0" w:firstLineChars="0"/>
              <w:jc w:val="center"/>
              <w:outlineLvl w:val="9"/>
              <w:rPr>
                <w:rFonts w:hint="eastAsia" w:ascii="宋体" w:hAnsi="宋体" w:eastAsia="宋体" w:cs="宋体"/>
                <w:color w:val="auto"/>
                <w:sz w:val="24"/>
                <w:szCs w:val="24"/>
                <w:highlight w:val="none"/>
                <w:lang w:val="en-US" w:eastAsia="zh-CN"/>
              </w:rPr>
            </w:pPr>
          </w:p>
        </w:tc>
        <w:tc>
          <w:tcPr>
            <w:tcW w:w="2113" w:type="pct"/>
            <w:noWrap w:val="0"/>
            <w:vAlign w:val="center"/>
          </w:tcPr>
          <w:p w14:paraId="58767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p>
        </w:tc>
        <w:tc>
          <w:tcPr>
            <w:tcW w:w="996" w:type="pct"/>
            <w:noWrap w:val="0"/>
            <w:vAlign w:val="center"/>
          </w:tcPr>
          <w:p w14:paraId="6FA5D33D">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c>
          <w:tcPr>
            <w:tcW w:w="1437" w:type="pct"/>
            <w:noWrap w:val="0"/>
            <w:vAlign w:val="center"/>
          </w:tcPr>
          <w:p w14:paraId="0D0E895D">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auto"/>
                <w:sz w:val="24"/>
                <w:szCs w:val="24"/>
                <w:highlight w:val="none"/>
              </w:rPr>
            </w:pPr>
          </w:p>
        </w:tc>
      </w:tr>
    </w:tbl>
    <w:p w14:paraId="33BF46CA">
      <w:pPr>
        <w:widowControl/>
        <w:snapToGrid w:val="0"/>
        <w:spacing w:line="360" w:lineRule="auto"/>
        <w:jc w:val="left"/>
        <w:outlineLvl w:val="9"/>
        <w:rPr>
          <w:rFonts w:hint="eastAsia" w:ascii="宋体" w:hAnsi="宋体" w:eastAsia="宋体" w:cs="宋体"/>
          <w:color w:val="auto"/>
          <w:kern w:val="0"/>
          <w:sz w:val="24"/>
          <w:szCs w:val="24"/>
          <w:highlight w:val="none"/>
        </w:rPr>
      </w:pPr>
    </w:p>
    <w:p w14:paraId="1FC9DD85">
      <w:pPr>
        <w:widowControl/>
        <w:snapToGri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填写说明：</w:t>
      </w:r>
    </w:p>
    <w:p w14:paraId="23AC2728">
      <w:pPr>
        <w:widowControl/>
        <w:snapToGri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供应商如有“不响应”，则只需列明不响应内容；除列出的“不响应”</w:t>
      </w:r>
      <w:r>
        <w:rPr>
          <w:rFonts w:hint="eastAsia" w:ascii="Times New Roman" w:hAnsi="Times New Roman" w:eastAsia="宋体" w:cs="宋体"/>
          <w:color w:val="auto"/>
          <w:kern w:val="0"/>
          <w:sz w:val="24"/>
          <w:szCs w:val="24"/>
          <w:highlight w:val="none"/>
          <w:lang w:val="en-US" w:eastAsia="zh-CN"/>
        </w:rPr>
        <w:t>内容</w:t>
      </w:r>
      <w:r>
        <w:rPr>
          <w:rFonts w:hint="eastAsia" w:ascii="宋体" w:hAnsi="宋体" w:eastAsia="宋体" w:cs="宋体"/>
          <w:color w:val="auto"/>
          <w:kern w:val="0"/>
          <w:sz w:val="24"/>
          <w:szCs w:val="24"/>
          <w:highlight w:val="none"/>
        </w:rPr>
        <w:t>外，供应商保证响应</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的全部商务</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lang w:val="en-US" w:eastAsia="zh-CN"/>
        </w:rPr>
        <w:t>技术</w:t>
      </w:r>
      <w:r>
        <w:rPr>
          <w:rFonts w:hint="eastAsia" w:ascii="宋体" w:hAnsi="宋体" w:eastAsia="宋体" w:cs="宋体"/>
          <w:color w:val="auto"/>
          <w:kern w:val="0"/>
          <w:sz w:val="24"/>
          <w:szCs w:val="24"/>
          <w:highlight w:val="none"/>
        </w:rPr>
        <w:t>要求；</w:t>
      </w:r>
    </w:p>
    <w:p w14:paraId="234810EE">
      <w:pPr>
        <w:widowControl/>
        <w:snapToGrid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供应商如“完全响应”，可在“</w:t>
      </w:r>
      <w:r>
        <w:rPr>
          <w:rFonts w:hint="eastAsia" w:ascii="Times New Roman" w:hAnsi="Times New Roman" w:eastAsia="宋体" w:cs="宋体"/>
          <w:color w:val="auto"/>
          <w:sz w:val="24"/>
          <w:szCs w:val="24"/>
          <w:highlight w:val="none"/>
          <w:lang w:val="en-US" w:eastAsia="zh-CN"/>
        </w:rPr>
        <w:t>磋商文件商务技术需求要求</w:t>
      </w:r>
      <w:r>
        <w:rPr>
          <w:rFonts w:hint="eastAsia" w:ascii="宋体" w:hAnsi="宋体" w:eastAsia="宋体" w:cs="宋体"/>
          <w:color w:val="auto"/>
          <w:kern w:val="0"/>
          <w:sz w:val="24"/>
          <w:szCs w:val="24"/>
          <w:highlight w:val="none"/>
        </w:rPr>
        <w:t>”列中填写“全部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要求”；在“是否响应”列中填写“完全响应”；在“供应商的承诺或说明”列中填写“全部承诺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w:t>
      </w:r>
    </w:p>
    <w:p w14:paraId="2D89D4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ind w:leftChars="20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宋体" w:hAnsi="宋体" w:eastAsia="宋体" w:cs="宋体"/>
          <w:color w:val="auto"/>
          <w:kern w:val="0"/>
          <w:sz w:val="24"/>
          <w:szCs w:val="24"/>
          <w:highlight w:val="none"/>
        </w:rPr>
        <w:t>以上两种情况，供应商只需根据自身实际响应情况选择一种填写。</w:t>
      </w:r>
    </w:p>
    <w:p w14:paraId="480117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ind w:leftChars="200"/>
        <w:jc w:val="both"/>
        <w:textAlignment w:val="auto"/>
        <w:rPr>
          <w:rFonts w:hint="eastAsia" w:asciiTheme="minorEastAsia" w:hAnsiTheme="minorEastAsia" w:eastAsiaTheme="minorEastAsia" w:cstheme="minorEastAsia"/>
          <w:b/>
          <w:bCs/>
          <w:sz w:val="28"/>
          <w:szCs w:val="28"/>
          <w:highlight w:val="none"/>
          <w:lang w:val="en-US" w:eastAsia="zh-CN"/>
        </w:rPr>
      </w:pPr>
    </w:p>
    <w:p w14:paraId="43CCEFFB">
      <w:pPr>
        <w:keepNext w:val="0"/>
        <w:keepLines w:val="0"/>
        <w:pageBreakBefore w:val="0"/>
        <w:widowControl w:val="0"/>
        <w:kinsoku/>
        <w:wordWrap/>
        <w:overflowPunct/>
        <w:topLinePunct w:val="0"/>
        <w:autoSpaceDE/>
        <w:autoSpaceDN/>
        <w:bidi w:val="0"/>
        <w:adjustRightInd/>
        <w:snapToGrid w:val="0"/>
        <w:spacing w:line="360" w:lineRule="auto"/>
        <w:ind w:firstLine="6240" w:firstLineChars="26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供应商名称（</w:t>
      </w:r>
      <w:r>
        <w:rPr>
          <w:rFonts w:hint="eastAsia" w:ascii="宋体" w:hAnsi="宋体" w:eastAsia="宋体" w:cs="宋体"/>
          <w:snapToGrid w:val="0"/>
          <w:kern w:val="0"/>
          <w:sz w:val="24"/>
          <w:szCs w:val="24"/>
        </w:rPr>
        <w:t>公章</w:t>
      </w:r>
      <w:r>
        <w:rPr>
          <w:rFonts w:hint="eastAsia" w:asciiTheme="minorEastAsia" w:hAnsiTheme="minorEastAsia" w:eastAsiaTheme="minorEastAsia" w:cstheme="minorEastAsia"/>
          <w:kern w:val="2"/>
          <w:sz w:val="24"/>
          <w:szCs w:val="24"/>
          <w:highlight w:val="none"/>
          <w:lang w:val="en-US" w:eastAsia="zh-CN" w:bidi="ar-SA"/>
        </w:rPr>
        <w:t>）：</w:t>
      </w:r>
    </w:p>
    <w:p w14:paraId="633CB2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ind w:firstLine="6240" w:firstLineChars="260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日 期：</w:t>
      </w:r>
    </w:p>
    <w:p w14:paraId="140547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ind w:leftChars="200"/>
        <w:jc w:val="both"/>
        <w:textAlignment w:val="auto"/>
        <w:rPr>
          <w:rFonts w:hint="eastAsia" w:asciiTheme="minorEastAsia" w:hAnsiTheme="minorEastAsia" w:eastAsiaTheme="minorEastAsia" w:cstheme="minorEastAsia"/>
          <w:b/>
          <w:bCs/>
          <w:sz w:val="28"/>
          <w:szCs w:val="28"/>
          <w:highlight w:val="none"/>
          <w:lang w:val="en-US" w:eastAsia="zh-CN"/>
        </w:rPr>
      </w:pPr>
    </w:p>
    <w:p w14:paraId="79C254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ind w:leftChars="200"/>
        <w:jc w:val="both"/>
        <w:textAlignment w:val="auto"/>
        <w:rPr>
          <w:rFonts w:hint="eastAsia" w:asciiTheme="minorEastAsia" w:hAnsiTheme="minorEastAsia" w:eastAsiaTheme="minorEastAsia" w:cstheme="minorEastAsia"/>
          <w:b/>
          <w:bCs/>
          <w:sz w:val="28"/>
          <w:szCs w:val="28"/>
          <w:highlight w:val="none"/>
          <w:lang w:val="en-US" w:eastAsia="zh-CN"/>
        </w:rPr>
      </w:pPr>
    </w:p>
    <w:p w14:paraId="6CD0BC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jc w:val="both"/>
        <w:textAlignment w:val="auto"/>
        <w:rPr>
          <w:rFonts w:hint="eastAsia" w:asciiTheme="minorEastAsia" w:hAnsiTheme="minorEastAsia" w:eastAsiaTheme="minorEastAsia" w:cstheme="minorEastAsia"/>
          <w:b/>
          <w:bCs/>
          <w:sz w:val="28"/>
          <w:szCs w:val="28"/>
          <w:highlight w:val="none"/>
          <w:lang w:val="en-US" w:eastAsia="zh-CN"/>
        </w:rPr>
      </w:pPr>
    </w:p>
    <w:p w14:paraId="29CE7842">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3、实施方案（格式自拟）</w:t>
      </w:r>
    </w:p>
    <w:sectPr>
      <w:headerReference r:id="rId7" w:type="default"/>
      <w:footerReference r:id="rId8" w:type="default"/>
      <w:pgSz w:w="11905" w:h="16838"/>
      <w:pgMar w:top="1417" w:right="1134" w:bottom="1417" w:left="1134"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UniversS 45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briola">
    <w:panose1 w:val="04040605051002020D02"/>
    <w:charset w:val="00"/>
    <w:family w:val="auto"/>
    <w:pitch w:val="default"/>
    <w:sig w:usb0="E00002EF" w:usb1="5000204B" w:usb2="00000000" w:usb3="00000000" w:csb0="2000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B110">
    <w:pPr>
      <w:pStyle w:val="36"/>
      <w:ind w:firstLine="5963" w:firstLineChars="2700"/>
      <w:rPr>
        <w:rFonts w:hint="eastAsia"/>
        <w:b/>
        <w:bCs/>
        <w:sz w:val="22"/>
        <w:szCs w:val="22"/>
        <w:lang w:val="en-US" w:eastAsia="zh-CN"/>
      </w:rPr>
    </w:pPr>
    <w:r>
      <w:rPr>
        <w:b/>
        <w:bCs/>
        <w:sz w:val="22"/>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113665</wp:posOffset>
              </wp:positionV>
              <wp:extent cx="6021705" cy="4445"/>
              <wp:effectExtent l="0" t="0" r="0" b="0"/>
              <wp:wrapNone/>
              <wp:docPr id="13" name="直接连接符 13"/>
              <wp:cNvGraphicFramePr/>
              <a:graphic xmlns:a="http://schemas.openxmlformats.org/drawingml/2006/main">
                <a:graphicData uri="http://schemas.microsoft.com/office/word/2010/wordprocessingShape">
                  <wps:wsp>
                    <wps:cNvCnPr/>
                    <wps:spPr>
                      <a:xfrm flipV="1">
                        <a:off x="903605" y="9803130"/>
                        <a:ext cx="6021705" cy="4445"/>
                      </a:xfrm>
                      <a:prstGeom prst="line">
                        <a:avLst/>
                      </a:prstGeom>
                      <a:ln w="0" cmpd="sng">
                        <a:solidFill>
                          <a:schemeClr val="tx1">
                            <a:alpha val="5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8.95pt;height:0.35pt;width:474.15pt;z-index:251659264;mso-width-relative:page;mso-height-relative:page;" filled="f" stroked="t" coordsize="21600,21600" o:gfxdata="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aWmI1wAAAAcBAAAPAAAAAAAAAAEAIAAAACIAAABkcnMvZG93bnJldi54bWxQSwEC&#10;FAAUAAAACACHTuJAj/ijYfUBAADSAwAADgAAAAAAAAABACAAAAAmAQAAZHJzL2Uyb0RvYy54bWxQ&#10;SwUGAAAAAAYABgBZAQAAjQUAAAAA&#10;">
              <v:fill on="f" focussize="0,0"/>
              <v:stroke weight="0pt" color="#000000 [3213]" opacity="36044f" joinstyle="round"/>
              <v:imagedata o:title=""/>
              <o:lock v:ext="edit" aspectratio="f"/>
            </v:line>
          </w:pict>
        </mc:Fallback>
      </mc:AlternateContent>
    </w:r>
  </w:p>
  <w:p w14:paraId="17E77DBB">
    <w:pPr>
      <w:pStyle w:val="36"/>
      <w:ind w:firstLine="6184" w:firstLineChars="2800"/>
      <w:rPr>
        <w:rFonts w:hint="default"/>
        <w:b/>
        <w:bCs/>
        <w:sz w:val="22"/>
        <w:szCs w:val="22"/>
        <w:lang w:val="en-US" w:eastAsia="zh-CN"/>
      </w:rPr>
    </w:pPr>
    <w:r>
      <w:rPr>
        <w:rFonts w:hint="eastAsia"/>
        <w:b/>
        <w:bCs/>
        <w:sz w:val="22"/>
        <w:szCs w:val="22"/>
        <w:lang w:val="en-US" w:eastAsia="zh-CN"/>
      </w:rPr>
      <w:t>山西诺薇项目管理有限公司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71B9">
    <w:pPr>
      <w:pStyle w:val="36"/>
      <w:ind w:firstLine="5963" w:firstLineChars="2700"/>
      <w:rPr>
        <w:rFonts w:hint="eastAsia"/>
        <w:b/>
        <w:bCs/>
        <w:sz w:val="22"/>
        <w:szCs w:val="22"/>
        <w:lang w:val="en-US" w:eastAsia="zh-CN"/>
      </w:rPr>
    </w:pPr>
  </w:p>
  <w:p w14:paraId="6EBEF2F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7D9D">
    <w:pPr>
      <w:pStyle w:val="36"/>
      <w:ind w:firstLine="5963" w:firstLineChars="2700"/>
      <w:rPr>
        <w:rFonts w:hint="eastAsia"/>
        <w:b/>
        <w:bCs/>
        <w:sz w:val="22"/>
        <w:szCs w:val="22"/>
        <w:lang w:val="en-US" w:eastAsia="zh-CN"/>
      </w:rPr>
    </w:pPr>
    <w:r>
      <w:rPr>
        <w:b/>
        <w:bCs/>
        <w:sz w:val="22"/>
        <w:szCs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113665</wp:posOffset>
              </wp:positionV>
              <wp:extent cx="6021705" cy="4445"/>
              <wp:effectExtent l="0" t="0" r="0" b="0"/>
              <wp:wrapNone/>
              <wp:docPr id="6" name="直接连接符 6"/>
              <wp:cNvGraphicFramePr/>
              <a:graphic xmlns:a="http://schemas.openxmlformats.org/drawingml/2006/main">
                <a:graphicData uri="http://schemas.microsoft.com/office/word/2010/wordprocessingShape">
                  <wps:wsp>
                    <wps:cNvCnPr/>
                    <wps:spPr>
                      <a:xfrm flipV="1">
                        <a:off x="903605" y="9803130"/>
                        <a:ext cx="6021705" cy="4445"/>
                      </a:xfrm>
                      <a:prstGeom prst="line">
                        <a:avLst/>
                      </a:prstGeom>
                      <a:ln w="0" cmpd="sng">
                        <a:solidFill>
                          <a:schemeClr val="tx1">
                            <a:alpha val="5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8.95pt;height:0.35pt;width:474.15pt;z-index:251661312;mso-width-relative:page;mso-height-relative:page;" filled="f" stroked="t" coordsize="21600,21600" o:gfxdata="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mlpiNcAAAAHAQAADwAAAAAAAAABACAAAAAiAAAAZHJzL2Rvd25yZXYueG1sUEsB&#10;AhQAFAAAAAgAh07iQOQQF2z2AQAA0AMAAA4AAAAAAAAAAQAgAAAAJgEAAGRycy9lMm9Eb2MueG1s&#10;UEsFBgAAAAAGAAYAWQEAAI4FAAAAAA==&#10;">
              <v:fill on="f" focussize="0,0"/>
              <v:stroke weight="0pt" color="#000000 [3213]" opacity="36044f" joinstyle="round"/>
              <v:imagedata o:title=""/>
              <o:lock v:ext="edit" aspectratio="f"/>
            </v:line>
          </w:pict>
        </mc:Fallback>
      </mc:AlternateContent>
    </w:r>
  </w:p>
  <w:p w14:paraId="0DBB314C">
    <w:pPr>
      <w:pStyle w:val="36"/>
      <w:ind w:firstLine="6184" w:firstLineChars="2800"/>
      <w:rPr>
        <w:rFonts w:hint="default"/>
        <w:b/>
        <w:bCs/>
        <w:sz w:val="22"/>
        <w:szCs w:val="22"/>
        <w:lang w:val="en-US" w:eastAsia="zh-CN"/>
      </w:rPr>
    </w:pPr>
    <w:r>
      <w:rPr>
        <w:b/>
        <w:bCs/>
        <w:sz w:val="22"/>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26E2">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9B26E2">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b/>
        <w:bCs/>
        <w:sz w:val="22"/>
        <w:szCs w:val="22"/>
        <w:lang w:val="en-US" w:eastAsia="zh-CN"/>
      </w:rPr>
      <w:t>山西诺薇项目管理有限公司</w:t>
    </w:r>
  </w:p>
  <w:p w14:paraId="0A9DFC11">
    <w:pPr>
      <w:pStyle w:val="271"/>
      <w:pBdr>
        <w:top w:val="none" w:color="auto" w:sz="0" w:space="1"/>
      </w:pBdr>
      <w:tabs>
        <w:tab w:val="clear" w:pos="4153"/>
        <w:tab w:val="clear" w:pos="8306"/>
      </w:tabs>
      <w:jc w:val="center"/>
      <w:rPr>
        <w:rFonts w:hint="default"/>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38AE">
    <w:pPr>
      <w:pStyle w:val="354"/>
      <w:pBdr>
        <w:bottom w:val="single" w:color="auto" w:sz="4"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r>
      <w:rPr>
        <w:rFonts w:hint="eastAsia" w:asciiTheme="minorEastAsia" w:hAnsiTheme="minorEastAsia" w:eastAsiaTheme="minorEastAsia" w:cstheme="minorEastAsia"/>
        <w:b/>
        <w:bCs/>
        <w:sz w:val="22"/>
        <w:szCs w:val="22"/>
        <w:highlight w:val="none"/>
        <w:lang w:val="en-US" w:eastAsia="zh-CN"/>
      </w:rPr>
      <w:t>两渡产业园污水处理厂在线监测服务项目磋商文件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1F27">
    <w:pPr>
      <w:pStyle w:val="354"/>
      <w:pBdr>
        <w:bottom w:val="none" w:color="auto" w:sz="0"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A3B3F">
    <w:pPr>
      <w:spacing w:line="14" w:lineRule="auto"/>
      <w:rPr>
        <w:rFonts w:ascii="Malgun Gothic"/>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991C8"/>
    <w:multiLevelType w:val="singleLevel"/>
    <w:tmpl w:val="8FF991C8"/>
    <w:lvl w:ilvl="0" w:tentative="0">
      <w:start w:val="2"/>
      <w:numFmt w:val="decimal"/>
      <w:suff w:val="nothing"/>
      <w:lvlText w:val="%1、"/>
      <w:lvlJc w:val="left"/>
    </w:lvl>
  </w:abstractNum>
  <w:abstractNum w:abstractNumId="1">
    <w:nsid w:val="9BC05F4E"/>
    <w:multiLevelType w:val="singleLevel"/>
    <w:tmpl w:val="9BC05F4E"/>
    <w:lvl w:ilvl="0" w:tentative="0">
      <w:start w:val="12"/>
      <w:numFmt w:val="decimal"/>
      <w:suff w:val="nothing"/>
      <w:lvlText w:val="%1、"/>
      <w:lvlJc w:val="left"/>
    </w:lvl>
  </w:abstractNum>
  <w:abstractNum w:abstractNumId="2">
    <w:nsid w:val="B558AC6D"/>
    <w:multiLevelType w:val="singleLevel"/>
    <w:tmpl w:val="B558AC6D"/>
    <w:lvl w:ilvl="0" w:tentative="0">
      <w:start w:val="1"/>
      <w:numFmt w:val="decimal"/>
      <w:lvlText w:val="%1."/>
      <w:lvlJc w:val="left"/>
      <w:pPr>
        <w:tabs>
          <w:tab w:val="left" w:pos="312"/>
        </w:tabs>
      </w:pPr>
    </w:lvl>
  </w:abstractNum>
  <w:abstractNum w:abstractNumId="3">
    <w:nsid w:val="C8D86CCB"/>
    <w:multiLevelType w:val="singleLevel"/>
    <w:tmpl w:val="C8D86CCB"/>
    <w:lvl w:ilvl="0" w:tentative="0">
      <w:start w:val="1"/>
      <w:numFmt w:val="decimal"/>
      <w:suff w:val="nothing"/>
      <w:lvlText w:val="（%1）"/>
      <w:lvlJc w:val="left"/>
    </w:lvl>
  </w:abstractNum>
  <w:abstractNum w:abstractNumId="4">
    <w:nsid w:val="DC58235E"/>
    <w:multiLevelType w:val="singleLevel"/>
    <w:tmpl w:val="DC58235E"/>
    <w:lvl w:ilvl="0" w:tentative="0">
      <w:start w:val="2"/>
      <w:numFmt w:val="decimal"/>
      <w:suff w:val="nothing"/>
      <w:lvlText w:val="%1）"/>
      <w:lvlJc w:val="left"/>
    </w:lvl>
  </w:abstractNum>
  <w:abstractNum w:abstractNumId="5">
    <w:nsid w:val="F9B1A143"/>
    <w:multiLevelType w:val="singleLevel"/>
    <w:tmpl w:val="F9B1A143"/>
    <w:lvl w:ilvl="0" w:tentative="0">
      <w:start w:val="1"/>
      <w:numFmt w:val="decimal"/>
      <w:suff w:val="nothing"/>
      <w:lvlText w:val="（%1）"/>
      <w:lvlJc w:val="left"/>
    </w:lvl>
  </w:abstractNum>
  <w:abstractNum w:abstractNumId="6">
    <w:nsid w:val="FB3064D1"/>
    <w:multiLevelType w:val="singleLevel"/>
    <w:tmpl w:val="FB3064D1"/>
    <w:lvl w:ilvl="0" w:tentative="0">
      <w:start w:val="5"/>
      <w:numFmt w:val="chineseCounting"/>
      <w:suff w:val="space"/>
      <w:lvlText w:val="第%1部分"/>
      <w:lvlJc w:val="left"/>
      <w:rPr>
        <w:rFonts w:hint="eastAsia"/>
      </w:rPr>
    </w:lvl>
  </w:abstractNum>
  <w:abstractNum w:abstractNumId="7">
    <w:nsid w:val="155A63D5"/>
    <w:multiLevelType w:val="singleLevel"/>
    <w:tmpl w:val="155A63D5"/>
    <w:lvl w:ilvl="0" w:tentative="0">
      <w:start w:val="1"/>
      <w:numFmt w:val="decimal"/>
      <w:suff w:val="nothing"/>
      <w:lvlText w:val="%1、"/>
      <w:lvlJc w:val="left"/>
    </w:lvl>
  </w:abstractNum>
  <w:abstractNum w:abstractNumId="8">
    <w:nsid w:val="1AB00CD3"/>
    <w:multiLevelType w:val="singleLevel"/>
    <w:tmpl w:val="1AB00CD3"/>
    <w:lvl w:ilvl="0" w:tentative="0">
      <w:start w:val="2"/>
      <w:numFmt w:val="chineseCounting"/>
      <w:suff w:val="space"/>
      <w:lvlText w:val="第%1部分"/>
      <w:lvlJc w:val="left"/>
      <w:rPr>
        <w:rFonts w:hint="eastAsia"/>
      </w:rPr>
    </w:lvl>
  </w:abstractNum>
  <w:abstractNum w:abstractNumId="9">
    <w:nsid w:val="35D21B84"/>
    <w:multiLevelType w:val="singleLevel"/>
    <w:tmpl w:val="35D21B84"/>
    <w:lvl w:ilvl="0" w:tentative="0">
      <w:start w:val="1"/>
      <w:numFmt w:val="decimal"/>
      <w:suff w:val="nothing"/>
      <w:lvlText w:val="%1、"/>
      <w:lvlJc w:val="left"/>
    </w:lvl>
  </w:abstractNum>
  <w:abstractNum w:abstractNumId="10">
    <w:nsid w:val="7AD7F15B"/>
    <w:multiLevelType w:val="singleLevel"/>
    <w:tmpl w:val="7AD7F15B"/>
    <w:lvl w:ilvl="0" w:tentative="0">
      <w:start w:val="7"/>
      <w:numFmt w:val="decimal"/>
      <w:suff w:val="nothing"/>
      <w:lvlText w:val="%1、"/>
      <w:lvlJc w:val="left"/>
    </w:lvl>
  </w:abstractNum>
  <w:num w:numId="1">
    <w:abstractNumId w:val="8"/>
  </w:num>
  <w:num w:numId="2">
    <w:abstractNumId w:val="1"/>
  </w:num>
  <w:num w:numId="3">
    <w:abstractNumId w:val="3"/>
  </w:num>
  <w:num w:numId="4">
    <w:abstractNumId w:val="5"/>
  </w:num>
  <w:num w:numId="5">
    <w:abstractNumId w:val="0"/>
  </w:num>
  <w:num w:numId="6">
    <w:abstractNumId w:val="7"/>
  </w:num>
  <w:num w:numId="7">
    <w:abstractNumId w:val="9"/>
  </w:num>
  <w:num w:numId="8">
    <w:abstractNumId w:val="1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MmJmOTAzNjU2M2M3NzE5ZDU0NzgxOTNhNmRkYTYifQ=="/>
  </w:docVars>
  <w:rsids>
    <w:rsidRoot w:val="00172A27"/>
    <w:rsid w:val="000048B2"/>
    <w:rsid w:val="00006F33"/>
    <w:rsid w:val="0000792E"/>
    <w:rsid w:val="00013CF2"/>
    <w:rsid w:val="000204E4"/>
    <w:rsid w:val="0002091C"/>
    <w:rsid w:val="0003329A"/>
    <w:rsid w:val="00034A0D"/>
    <w:rsid w:val="000352DD"/>
    <w:rsid w:val="00036327"/>
    <w:rsid w:val="000373FB"/>
    <w:rsid w:val="0004022B"/>
    <w:rsid w:val="00045783"/>
    <w:rsid w:val="00050C21"/>
    <w:rsid w:val="00052236"/>
    <w:rsid w:val="00055149"/>
    <w:rsid w:val="000563BE"/>
    <w:rsid w:val="0005781B"/>
    <w:rsid w:val="0006034E"/>
    <w:rsid w:val="00062F25"/>
    <w:rsid w:val="00065742"/>
    <w:rsid w:val="00076FBC"/>
    <w:rsid w:val="00083910"/>
    <w:rsid w:val="000A68FC"/>
    <w:rsid w:val="000A6ADC"/>
    <w:rsid w:val="000A7AD5"/>
    <w:rsid w:val="000B44F1"/>
    <w:rsid w:val="000B4B40"/>
    <w:rsid w:val="000D1730"/>
    <w:rsid w:val="000D4B10"/>
    <w:rsid w:val="000D503B"/>
    <w:rsid w:val="000D542A"/>
    <w:rsid w:val="000D7970"/>
    <w:rsid w:val="000E613A"/>
    <w:rsid w:val="00102B82"/>
    <w:rsid w:val="0010402C"/>
    <w:rsid w:val="001132BE"/>
    <w:rsid w:val="00122B60"/>
    <w:rsid w:val="00125AB8"/>
    <w:rsid w:val="0013634A"/>
    <w:rsid w:val="00136CDD"/>
    <w:rsid w:val="001416F2"/>
    <w:rsid w:val="001470EE"/>
    <w:rsid w:val="00156BBF"/>
    <w:rsid w:val="00172A27"/>
    <w:rsid w:val="0017461C"/>
    <w:rsid w:val="00176D7F"/>
    <w:rsid w:val="00176FB3"/>
    <w:rsid w:val="00180EDB"/>
    <w:rsid w:val="00181F88"/>
    <w:rsid w:val="00182C08"/>
    <w:rsid w:val="00186291"/>
    <w:rsid w:val="001915DD"/>
    <w:rsid w:val="00192492"/>
    <w:rsid w:val="001A5842"/>
    <w:rsid w:val="001B6C92"/>
    <w:rsid w:val="001B75C7"/>
    <w:rsid w:val="001B7C99"/>
    <w:rsid w:val="001C0CB2"/>
    <w:rsid w:val="001C4828"/>
    <w:rsid w:val="001D2C13"/>
    <w:rsid w:val="001F097A"/>
    <w:rsid w:val="001F3FEB"/>
    <w:rsid w:val="00201C08"/>
    <w:rsid w:val="0021213C"/>
    <w:rsid w:val="002172CC"/>
    <w:rsid w:val="00224FDE"/>
    <w:rsid w:val="002266B3"/>
    <w:rsid w:val="002271BA"/>
    <w:rsid w:val="00230055"/>
    <w:rsid w:val="00233EB0"/>
    <w:rsid w:val="00234F3A"/>
    <w:rsid w:val="00243278"/>
    <w:rsid w:val="00255E3D"/>
    <w:rsid w:val="0025649A"/>
    <w:rsid w:val="00260C9D"/>
    <w:rsid w:val="00260CAA"/>
    <w:rsid w:val="00261F85"/>
    <w:rsid w:val="002721BA"/>
    <w:rsid w:val="00273BC9"/>
    <w:rsid w:val="00281147"/>
    <w:rsid w:val="002A382A"/>
    <w:rsid w:val="002B0209"/>
    <w:rsid w:val="002B2BD6"/>
    <w:rsid w:val="002B38A6"/>
    <w:rsid w:val="002D290B"/>
    <w:rsid w:val="002D3E46"/>
    <w:rsid w:val="00310E35"/>
    <w:rsid w:val="00311FE9"/>
    <w:rsid w:val="003139B7"/>
    <w:rsid w:val="00325A45"/>
    <w:rsid w:val="00326A51"/>
    <w:rsid w:val="0033057A"/>
    <w:rsid w:val="0033269F"/>
    <w:rsid w:val="00354325"/>
    <w:rsid w:val="00355FFE"/>
    <w:rsid w:val="00357A32"/>
    <w:rsid w:val="0036442C"/>
    <w:rsid w:val="00364C77"/>
    <w:rsid w:val="00371615"/>
    <w:rsid w:val="00373828"/>
    <w:rsid w:val="00392D7C"/>
    <w:rsid w:val="00394532"/>
    <w:rsid w:val="003D017C"/>
    <w:rsid w:val="003D40B2"/>
    <w:rsid w:val="003D4B41"/>
    <w:rsid w:val="003D7AF5"/>
    <w:rsid w:val="003E3A1D"/>
    <w:rsid w:val="003E61E2"/>
    <w:rsid w:val="003F6B1B"/>
    <w:rsid w:val="003F75E4"/>
    <w:rsid w:val="00431842"/>
    <w:rsid w:val="00435582"/>
    <w:rsid w:val="00440DF0"/>
    <w:rsid w:val="00443B4C"/>
    <w:rsid w:val="00453D6B"/>
    <w:rsid w:val="004762DD"/>
    <w:rsid w:val="004908F0"/>
    <w:rsid w:val="004A1E96"/>
    <w:rsid w:val="004B1A3C"/>
    <w:rsid w:val="004B63A8"/>
    <w:rsid w:val="004B6A5D"/>
    <w:rsid w:val="004C4E7B"/>
    <w:rsid w:val="004D0C0F"/>
    <w:rsid w:val="004E359D"/>
    <w:rsid w:val="004E5DB0"/>
    <w:rsid w:val="004F5B15"/>
    <w:rsid w:val="004F697E"/>
    <w:rsid w:val="0050770B"/>
    <w:rsid w:val="00510119"/>
    <w:rsid w:val="00512EF7"/>
    <w:rsid w:val="005163FD"/>
    <w:rsid w:val="005239B1"/>
    <w:rsid w:val="005270F0"/>
    <w:rsid w:val="00546145"/>
    <w:rsid w:val="005470D7"/>
    <w:rsid w:val="0054761D"/>
    <w:rsid w:val="00547D3B"/>
    <w:rsid w:val="00547E5D"/>
    <w:rsid w:val="00551AE0"/>
    <w:rsid w:val="00560BF4"/>
    <w:rsid w:val="00566B89"/>
    <w:rsid w:val="00572033"/>
    <w:rsid w:val="00572753"/>
    <w:rsid w:val="00580A5E"/>
    <w:rsid w:val="00582F3C"/>
    <w:rsid w:val="00583013"/>
    <w:rsid w:val="00585DFA"/>
    <w:rsid w:val="00594B14"/>
    <w:rsid w:val="00594F28"/>
    <w:rsid w:val="00596975"/>
    <w:rsid w:val="005A2996"/>
    <w:rsid w:val="005A6281"/>
    <w:rsid w:val="005B73B3"/>
    <w:rsid w:val="005D608B"/>
    <w:rsid w:val="005E59A1"/>
    <w:rsid w:val="005F3C86"/>
    <w:rsid w:val="00606AD7"/>
    <w:rsid w:val="00606EB6"/>
    <w:rsid w:val="006109B6"/>
    <w:rsid w:val="006110EB"/>
    <w:rsid w:val="00625113"/>
    <w:rsid w:val="006258F6"/>
    <w:rsid w:val="00626827"/>
    <w:rsid w:val="0063015B"/>
    <w:rsid w:val="00632533"/>
    <w:rsid w:val="006402BC"/>
    <w:rsid w:val="00641826"/>
    <w:rsid w:val="006432AA"/>
    <w:rsid w:val="00645495"/>
    <w:rsid w:val="00646710"/>
    <w:rsid w:val="00647CCC"/>
    <w:rsid w:val="00650294"/>
    <w:rsid w:val="0065703F"/>
    <w:rsid w:val="006570F8"/>
    <w:rsid w:val="00661951"/>
    <w:rsid w:val="00665144"/>
    <w:rsid w:val="00666A91"/>
    <w:rsid w:val="00667A90"/>
    <w:rsid w:val="00683D30"/>
    <w:rsid w:val="00687593"/>
    <w:rsid w:val="00696A62"/>
    <w:rsid w:val="006A083C"/>
    <w:rsid w:val="006A3594"/>
    <w:rsid w:val="006B0038"/>
    <w:rsid w:val="006B6DAC"/>
    <w:rsid w:val="006C738A"/>
    <w:rsid w:val="006D26F1"/>
    <w:rsid w:val="006D5213"/>
    <w:rsid w:val="006D6E4B"/>
    <w:rsid w:val="006E1062"/>
    <w:rsid w:val="006E25BF"/>
    <w:rsid w:val="006E3F4A"/>
    <w:rsid w:val="006E6BDB"/>
    <w:rsid w:val="006F676F"/>
    <w:rsid w:val="0070695C"/>
    <w:rsid w:val="0071062F"/>
    <w:rsid w:val="007236C2"/>
    <w:rsid w:val="00723BB6"/>
    <w:rsid w:val="00730759"/>
    <w:rsid w:val="00730988"/>
    <w:rsid w:val="00733669"/>
    <w:rsid w:val="00733CA4"/>
    <w:rsid w:val="007348B0"/>
    <w:rsid w:val="00734C91"/>
    <w:rsid w:val="0074179C"/>
    <w:rsid w:val="0077055B"/>
    <w:rsid w:val="0077158D"/>
    <w:rsid w:val="007733F5"/>
    <w:rsid w:val="00776C8D"/>
    <w:rsid w:val="00777605"/>
    <w:rsid w:val="0078116A"/>
    <w:rsid w:val="00782168"/>
    <w:rsid w:val="00786ADA"/>
    <w:rsid w:val="007935E7"/>
    <w:rsid w:val="0079415E"/>
    <w:rsid w:val="0079518F"/>
    <w:rsid w:val="007A2304"/>
    <w:rsid w:val="007A4F96"/>
    <w:rsid w:val="007A62EF"/>
    <w:rsid w:val="007B7BF6"/>
    <w:rsid w:val="007C24FD"/>
    <w:rsid w:val="007C3C0D"/>
    <w:rsid w:val="007D02A2"/>
    <w:rsid w:val="007D1826"/>
    <w:rsid w:val="007D23DB"/>
    <w:rsid w:val="007D2425"/>
    <w:rsid w:val="007D7AD5"/>
    <w:rsid w:val="007E012E"/>
    <w:rsid w:val="007E0915"/>
    <w:rsid w:val="007E1DDA"/>
    <w:rsid w:val="007E569F"/>
    <w:rsid w:val="007F4B7E"/>
    <w:rsid w:val="00817742"/>
    <w:rsid w:val="00823DB9"/>
    <w:rsid w:val="00826652"/>
    <w:rsid w:val="00827019"/>
    <w:rsid w:val="00830C6D"/>
    <w:rsid w:val="00831779"/>
    <w:rsid w:val="00832F4F"/>
    <w:rsid w:val="008413A8"/>
    <w:rsid w:val="008450D6"/>
    <w:rsid w:val="00846033"/>
    <w:rsid w:val="00850C33"/>
    <w:rsid w:val="00861659"/>
    <w:rsid w:val="00862527"/>
    <w:rsid w:val="00871EBE"/>
    <w:rsid w:val="00873DA8"/>
    <w:rsid w:val="0087542F"/>
    <w:rsid w:val="00880021"/>
    <w:rsid w:val="008808FD"/>
    <w:rsid w:val="00882B47"/>
    <w:rsid w:val="0088543A"/>
    <w:rsid w:val="00886C14"/>
    <w:rsid w:val="00891EA8"/>
    <w:rsid w:val="0089523B"/>
    <w:rsid w:val="00895569"/>
    <w:rsid w:val="00895772"/>
    <w:rsid w:val="0089631D"/>
    <w:rsid w:val="0089667A"/>
    <w:rsid w:val="008976AC"/>
    <w:rsid w:val="008A243D"/>
    <w:rsid w:val="008B575E"/>
    <w:rsid w:val="008B7AD7"/>
    <w:rsid w:val="008C73AF"/>
    <w:rsid w:val="008D5D66"/>
    <w:rsid w:val="008E21D2"/>
    <w:rsid w:val="008E334C"/>
    <w:rsid w:val="008E556A"/>
    <w:rsid w:val="008F10CE"/>
    <w:rsid w:val="008F6D7C"/>
    <w:rsid w:val="008F7B35"/>
    <w:rsid w:val="00903948"/>
    <w:rsid w:val="00911862"/>
    <w:rsid w:val="00911BC2"/>
    <w:rsid w:val="009165BA"/>
    <w:rsid w:val="00936656"/>
    <w:rsid w:val="00936C56"/>
    <w:rsid w:val="00937C81"/>
    <w:rsid w:val="00945EA1"/>
    <w:rsid w:val="009549B9"/>
    <w:rsid w:val="00967710"/>
    <w:rsid w:val="00981D42"/>
    <w:rsid w:val="00981DDB"/>
    <w:rsid w:val="00984810"/>
    <w:rsid w:val="00986761"/>
    <w:rsid w:val="00997C27"/>
    <w:rsid w:val="00997F59"/>
    <w:rsid w:val="009B4136"/>
    <w:rsid w:val="009B5204"/>
    <w:rsid w:val="009B6BAF"/>
    <w:rsid w:val="009C30E0"/>
    <w:rsid w:val="009C44CF"/>
    <w:rsid w:val="009C459A"/>
    <w:rsid w:val="009D512F"/>
    <w:rsid w:val="009D7FA2"/>
    <w:rsid w:val="009E571F"/>
    <w:rsid w:val="009F4323"/>
    <w:rsid w:val="00A0628F"/>
    <w:rsid w:val="00A13C5E"/>
    <w:rsid w:val="00A159B9"/>
    <w:rsid w:val="00A235A0"/>
    <w:rsid w:val="00A30D86"/>
    <w:rsid w:val="00A3118F"/>
    <w:rsid w:val="00A31E16"/>
    <w:rsid w:val="00A50036"/>
    <w:rsid w:val="00A509B6"/>
    <w:rsid w:val="00A55301"/>
    <w:rsid w:val="00A55770"/>
    <w:rsid w:val="00A60C2F"/>
    <w:rsid w:val="00A60F53"/>
    <w:rsid w:val="00A677D7"/>
    <w:rsid w:val="00A724F3"/>
    <w:rsid w:val="00A96568"/>
    <w:rsid w:val="00A97D12"/>
    <w:rsid w:val="00AA13D3"/>
    <w:rsid w:val="00AB256E"/>
    <w:rsid w:val="00AB63AF"/>
    <w:rsid w:val="00AE27DE"/>
    <w:rsid w:val="00B00C74"/>
    <w:rsid w:val="00B05356"/>
    <w:rsid w:val="00B06738"/>
    <w:rsid w:val="00B10DE7"/>
    <w:rsid w:val="00B12E6E"/>
    <w:rsid w:val="00B2029A"/>
    <w:rsid w:val="00B22F58"/>
    <w:rsid w:val="00B30BC9"/>
    <w:rsid w:val="00B3333B"/>
    <w:rsid w:val="00B431BD"/>
    <w:rsid w:val="00B4347F"/>
    <w:rsid w:val="00B452B1"/>
    <w:rsid w:val="00B53814"/>
    <w:rsid w:val="00B54849"/>
    <w:rsid w:val="00B55F77"/>
    <w:rsid w:val="00B63B61"/>
    <w:rsid w:val="00B64235"/>
    <w:rsid w:val="00B67E5E"/>
    <w:rsid w:val="00B73E15"/>
    <w:rsid w:val="00B7431B"/>
    <w:rsid w:val="00B80579"/>
    <w:rsid w:val="00B84F3F"/>
    <w:rsid w:val="00B92302"/>
    <w:rsid w:val="00BA009B"/>
    <w:rsid w:val="00BA1A57"/>
    <w:rsid w:val="00BA52DE"/>
    <w:rsid w:val="00BB7CBA"/>
    <w:rsid w:val="00BC0428"/>
    <w:rsid w:val="00BC464D"/>
    <w:rsid w:val="00BC611B"/>
    <w:rsid w:val="00BD000E"/>
    <w:rsid w:val="00BD005E"/>
    <w:rsid w:val="00BD3E72"/>
    <w:rsid w:val="00BD7431"/>
    <w:rsid w:val="00BF3E84"/>
    <w:rsid w:val="00BF4B99"/>
    <w:rsid w:val="00BF6CA8"/>
    <w:rsid w:val="00C013AD"/>
    <w:rsid w:val="00C03C9D"/>
    <w:rsid w:val="00C1176A"/>
    <w:rsid w:val="00C11CED"/>
    <w:rsid w:val="00C170FF"/>
    <w:rsid w:val="00C26F2F"/>
    <w:rsid w:val="00C55FD6"/>
    <w:rsid w:val="00C600BE"/>
    <w:rsid w:val="00C63C25"/>
    <w:rsid w:val="00C649D6"/>
    <w:rsid w:val="00C778CF"/>
    <w:rsid w:val="00C81269"/>
    <w:rsid w:val="00C949BE"/>
    <w:rsid w:val="00CB39C7"/>
    <w:rsid w:val="00CD13B9"/>
    <w:rsid w:val="00CE1553"/>
    <w:rsid w:val="00CF7267"/>
    <w:rsid w:val="00D148A6"/>
    <w:rsid w:val="00D165DE"/>
    <w:rsid w:val="00D23C5B"/>
    <w:rsid w:val="00D30EAB"/>
    <w:rsid w:val="00D31DDD"/>
    <w:rsid w:val="00D3240B"/>
    <w:rsid w:val="00D353DC"/>
    <w:rsid w:val="00D37DC6"/>
    <w:rsid w:val="00D41742"/>
    <w:rsid w:val="00D44C70"/>
    <w:rsid w:val="00D4618B"/>
    <w:rsid w:val="00D6275A"/>
    <w:rsid w:val="00D62C41"/>
    <w:rsid w:val="00D728F1"/>
    <w:rsid w:val="00D817F6"/>
    <w:rsid w:val="00DA3FBF"/>
    <w:rsid w:val="00DA5F3D"/>
    <w:rsid w:val="00DB1FC2"/>
    <w:rsid w:val="00DB39BF"/>
    <w:rsid w:val="00DB5C26"/>
    <w:rsid w:val="00DB78D0"/>
    <w:rsid w:val="00DC155B"/>
    <w:rsid w:val="00DC7281"/>
    <w:rsid w:val="00DD1DF5"/>
    <w:rsid w:val="00DD4454"/>
    <w:rsid w:val="00DF0FA7"/>
    <w:rsid w:val="00DF29F7"/>
    <w:rsid w:val="00DF63F6"/>
    <w:rsid w:val="00E01A21"/>
    <w:rsid w:val="00E06EBE"/>
    <w:rsid w:val="00E1410D"/>
    <w:rsid w:val="00E16509"/>
    <w:rsid w:val="00E20AEC"/>
    <w:rsid w:val="00E24377"/>
    <w:rsid w:val="00E27A02"/>
    <w:rsid w:val="00E35324"/>
    <w:rsid w:val="00E443FE"/>
    <w:rsid w:val="00E45787"/>
    <w:rsid w:val="00E509DB"/>
    <w:rsid w:val="00E515D9"/>
    <w:rsid w:val="00E60A64"/>
    <w:rsid w:val="00E65128"/>
    <w:rsid w:val="00E77366"/>
    <w:rsid w:val="00E92993"/>
    <w:rsid w:val="00EA5128"/>
    <w:rsid w:val="00EB07B3"/>
    <w:rsid w:val="00EE02A8"/>
    <w:rsid w:val="00EE637E"/>
    <w:rsid w:val="00EF12B9"/>
    <w:rsid w:val="00F06675"/>
    <w:rsid w:val="00F209F2"/>
    <w:rsid w:val="00F42934"/>
    <w:rsid w:val="00F53F5D"/>
    <w:rsid w:val="00F568D9"/>
    <w:rsid w:val="00F61007"/>
    <w:rsid w:val="00F7501C"/>
    <w:rsid w:val="00F8029C"/>
    <w:rsid w:val="00F81A4A"/>
    <w:rsid w:val="00F8485C"/>
    <w:rsid w:val="00F90623"/>
    <w:rsid w:val="00F90B42"/>
    <w:rsid w:val="00F91779"/>
    <w:rsid w:val="00F9280C"/>
    <w:rsid w:val="00F93166"/>
    <w:rsid w:val="00FA27F3"/>
    <w:rsid w:val="00FA5346"/>
    <w:rsid w:val="00FA5C4E"/>
    <w:rsid w:val="00FA7E16"/>
    <w:rsid w:val="00FB287C"/>
    <w:rsid w:val="00FB3265"/>
    <w:rsid w:val="00FB49B2"/>
    <w:rsid w:val="00FB4B69"/>
    <w:rsid w:val="00FC0FDD"/>
    <w:rsid w:val="00FC41D7"/>
    <w:rsid w:val="00FD2212"/>
    <w:rsid w:val="00FE1ABA"/>
    <w:rsid w:val="012F428E"/>
    <w:rsid w:val="01395070"/>
    <w:rsid w:val="013C4E03"/>
    <w:rsid w:val="01564412"/>
    <w:rsid w:val="016C049A"/>
    <w:rsid w:val="01883632"/>
    <w:rsid w:val="01963302"/>
    <w:rsid w:val="019C53E7"/>
    <w:rsid w:val="01B85FA1"/>
    <w:rsid w:val="01C32AFB"/>
    <w:rsid w:val="022243B3"/>
    <w:rsid w:val="0238410B"/>
    <w:rsid w:val="02532C41"/>
    <w:rsid w:val="025476CC"/>
    <w:rsid w:val="0289549D"/>
    <w:rsid w:val="02CF7529"/>
    <w:rsid w:val="02D41248"/>
    <w:rsid w:val="02E66B31"/>
    <w:rsid w:val="0306335F"/>
    <w:rsid w:val="032D2CB8"/>
    <w:rsid w:val="03400B40"/>
    <w:rsid w:val="03786380"/>
    <w:rsid w:val="037C4A93"/>
    <w:rsid w:val="03955BD7"/>
    <w:rsid w:val="03A15741"/>
    <w:rsid w:val="03A52183"/>
    <w:rsid w:val="03D83F04"/>
    <w:rsid w:val="03F577F4"/>
    <w:rsid w:val="03FB2141"/>
    <w:rsid w:val="03FF5F97"/>
    <w:rsid w:val="041E0CFE"/>
    <w:rsid w:val="044C05FE"/>
    <w:rsid w:val="04510D79"/>
    <w:rsid w:val="04561611"/>
    <w:rsid w:val="04577ADF"/>
    <w:rsid w:val="046C50AC"/>
    <w:rsid w:val="04741B9C"/>
    <w:rsid w:val="04E829F5"/>
    <w:rsid w:val="051443BC"/>
    <w:rsid w:val="056A3A4A"/>
    <w:rsid w:val="0597483B"/>
    <w:rsid w:val="05D87DE3"/>
    <w:rsid w:val="05F5526C"/>
    <w:rsid w:val="061833D5"/>
    <w:rsid w:val="06953486"/>
    <w:rsid w:val="06AC46D4"/>
    <w:rsid w:val="06D27AF8"/>
    <w:rsid w:val="06E8296A"/>
    <w:rsid w:val="0741281B"/>
    <w:rsid w:val="079C29F1"/>
    <w:rsid w:val="07CC4373"/>
    <w:rsid w:val="07FD20AB"/>
    <w:rsid w:val="081D5545"/>
    <w:rsid w:val="085746E1"/>
    <w:rsid w:val="085A5FF7"/>
    <w:rsid w:val="08787D62"/>
    <w:rsid w:val="089F360E"/>
    <w:rsid w:val="08A3753B"/>
    <w:rsid w:val="08AF7A07"/>
    <w:rsid w:val="08C90116"/>
    <w:rsid w:val="08DE1A45"/>
    <w:rsid w:val="08F875BE"/>
    <w:rsid w:val="092D160F"/>
    <w:rsid w:val="09791D3E"/>
    <w:rsid w:val="09A0000B"/>
    <w:rsid w:val="09AC2B9D"/>
    <w:rsid w:val="09ED1876"/>
    <w:rsid w:val="0A116B8A"/>
    <w:rsid w:val="0A2962D1"/>
    <w:rsid w:val="0A984198"/>
    <w:rsid w:val="0AA25902"/>
    <w:rsid w:val="0AB45767"/>
    <w:rsid w:val="0ACE5461"/>
    <w:rsid w:val="0AEA644E"/>
    <w:rsid w:val="0B3A703A"/>
    <w:rsid w:val="0B3C6E6A"/>
    <w:rsid w:val="0B612D3C"/>
    <w:rsid w:val="0B723658"/>
    <w:rsid w:val="0B793754"/>
    <w:rsid w:val="0BE412B5"/>
    <w:rsid w:val="0C0958F5"/>
    <w:rsid w:val="0C1E69BE"/>
    <w:rsid w:val="0C4D68BD"/>
    <w:rsid w:val="0C876C69"/>
    <w:rsid w:val="0C9722BA"/>
    <w:rsid w:val="0CAA5073"/>
    <w:rsid w:val="0CAA7A21"/>
    <w:rsid w:val="0CAB653A"/>
    <w:rsid w:val="0CD42E57"/>
    <w:rsid w:val="0CFE4B7A"/>
    <w:rsid w:val="0D1F77F8"/>
    <w:rsid w:val="0D56391F"/>
    <w:rsid w:val="0D6378B2"/>
    <w:rsid w:val="0D6C58B5"/>
    <w:rsid w:val="0D9E70FC"/>
    <w:rsid w:val="0DB533BF"/>
    <w:rsid w:val="0DD50AA2"/>
    <w:rsid w:val="0DD624D4"/>
    <w:rsid w:val="0DE0257A"/>
    <w:rsid w:val="0DE33418"/>
    <w:rsid w:val="0E177D50"/>
    <w:rsid w:val="0E1852FF"/>
    <w:rsid w:val="0E1902E8"/>
    <w:rsid w:val="0E1D1B4A"/>
    <w:rsid w:val="0E332BBB"/>
    <w:rsid w:val="0E712642"/>
    <w:rsid w:val="0E74113F"/>
    <w:rsid w:val="0E833C0F"/>
    <w:rsid w:val="0EB03A22"/>
    <w:rsid w:val="0EC716F4"/>
    <w:rsid w:val="0EE83128"/>
    <w:rsid w:val="0F292896"/>
    <w:rsid w:val="0F295B6C"/>
    <w:rsid w:val="0F6541BD"/>
    <w:rsid w:val="0F690BE0"/>
    <w:rsid w:val="0F9C0328"/>
    <w:rsid w:val="0F9E09CA"/>
    <w:rsid w:val="0FB77BD8"/>
    <w:rsid w:val="0FD25429"/>
    <w:rsid w:val="101B4122"/>
    <w:rsid w:val="103468D5"/>
    <w:rsid w:val="1053084B"/>
    <w:rsid w:val="105570A4"/>
    <w:rsid w:val="107734BE"/>
    <w:rsid w:val="10823744"/>
    <w:rsid w:val="108A7D32"/>
    <w:rsid w:val="10A20CF3"/>
    <w:rsid w:val="10AF7A9E"/>
    <w:rsid w:val="10EA5A3E"/>
    <w:rsid w:val="1129613A"/>
    <w:rsid w:val="114232C9"/>
    <w:rsid w:val="116C0B49"/>
    <w:rsid w:val="11950B43"/>
    <w:rsid w:val="119735A8"/>
    <w:rsid w:val="11A041AD"/>
    <w:rsid w:val="11A75846"/>
    <w:rsid w:val="11B6768C"/>
    <w:rsid w:val="11CE3164"/>
    <w:rsid w:val="11D31301"/>
    <w:rsid w:val="11EB4037"/>
    <w:rsid w:val="11FE3C9B"/>
    <w:rsid w:val="12071FD0"/>
    <w:rsid w:val="121C3457"/>
    <w:rsid w:val="122F7A17"/>
    <w:rsid w:val="1232460C"/>
    <w:rsid w:val="12457514"/>
    <w:rsid w:val="126D0E81"/>
    <w:rsid w:val="127A2AB5"/>
    <w:rsid w:val="12A21BF2"/>
    <w:rsid w:val="12C15702"/>
    <w:rsid w:val="12C53817"/>
    <w:rsid w:val="12F97833"/>
    <w:rsid w:val="12FB752A"/>
    <w:rsid w:val="133A2817"/>
    <w:rsid w:val="13420B83"/>
    <w:rsid w:val="134B12DC"/>
    <w:rsid w:val="137A57A0"/>
    <w:rsid w:val="137D31C9"/>
    <w:rsid w:val="1393148D"/>
    <w:rsid w:val="13955D7F"/>
    <w:rsid w:val="13A80EE2"/>
    <w:rsid w:val="13CB2909"/>
    <w:rsid w:val="13CC00C5"/>
    <w:rsid w:val="13CC39B6"/>
    <w:rsid w:val="13CD3211"/>
    <w:rsid w:val="13D14FC1"/>
    <w:rsid w:val="13DA7FEC"/>
    <w:rsid w:val="142012D6"/>
    <w:rsid w:val="14293A8A"/>
    <w:rsid w:val="14676E1F"/>
    <w:rsid w:val="1478648A"/>
    <w:rsid w:val="1488515D"/>
    <w:rsid w:val="1598087F"/>
    <w:rsid w:val="15D011F0"/>
    <w:rsid w:val="1636737A"/>
    <w:rsid w:val="16532632"/>
    <w:rsid w:val="165F0C7D"/>
    <w:rsid w:val="165F5DB2"/>
    <w:rsid w:val="169E6C98"/>
    <w:rsid w:val="16AA4354"/>
    <w:rsid w:val="16B03607"/>
    <w:rsid w:val="17001CFA"/>
    <w:rsid w:val="170F791F"/>
    <w:rsid w:val="177C2939"/>
    <w:rsid w:val="1781002D"/>
    <w:rsid w:val="17A2107F"/>
    <w:rsid w:val="17A72F7F"/>
    <w:rsid w:val="17B25814"/>
    <w:rsid w:val="17D631C0"/>
    <w:rsid w:val="17EA4EB2"/>
    <w:rsid w:val="17F606B5"/>
    <w:rsid w:val="17F66B0B"/>
    <w:rsid w:val="18335BF1"/>
    <w:rsid w:val="185D291E"/>
    <w:rsid w:val="18672E8C"/>
    <w:rsid w:val="186F43F4"/>
    <w:rsid w:val="18B76B4E"/>
    <w:rsid w:val="18E92F1B"/>
    <w:rsid w:val="19047B0B"/>
    <w:rsid w:val="1907794D"/>
    <w:rsid w:val="191A6842"/>
    <w:rsid w:val="19297F2F"/>
    <w:rsid w:val="194E7A53"/>
    <w:rsid w:val="19753CC2"/>
    <w:rsid w:val="19A22870"/>
    <w:rsid w:val="19B76E3F"/>
    <w:rsid w:val="1A1E2930"/>
    <w:rsid w:val="1A3C6E22"/>
    <w:rsid w:val="1A5F6862"/>
    <w:rsid w:val="1A622E19"/>
    <w:rsid w:val="1A73580F"/>
    <w:rsid w:val="1A86478F"/>
    <w:rsid w:val="1A9D46FC"/>
    <w:rsid w:val="1AA207BD"/>
    <w:rsid w:val="1AE145F9"/>
    <w:rsid w:val="1B2B076F"/>
    <w:rsid w:val="1B2C0804"/>
    <w:rsid w:val="1B8B685A"/>
    <w:rsid w:val="1BCF3EC0"/>
    <w:rsid w:val="1BD56D80"/>
    <w:rsid w:val="1BF72AA6"/>
    <w:rsid w:val="1C0B72E7"/>
    <w:rsid w:val="1C265F5C"/>
    <w:rsid w:val="1C815325"/>
    <w:rsid w:val="1C8D23C4"/>
    <w:rsid w:val="1C92143E"/>
    <w:rsid w:val="1C987B00"/>
    <w:rsid w:val="1CB93FAE"/>
    <w:rsid w:val="1CD83537"/>
    <w:rsid w:val="1D281B22"/>
    <w:rsid w:val="1D52421E"/>
    <w:rsid w:val="1D6817AB"/>
    <w:rsid w:val="1D7F4EA5"/>
    <w:rsid w:val="1D807115"/>
    <w:rsid w:val="1D9333F4"/>
    <w:rsid w:val="1DA57B77"/>
    <w:rsid w:val="1DA830C7"/>
    <w:rsid w:val="1DBE7280"/>
    <w:rsid w:val="1DE86D25"/>
    <w:rsid w:val="1DF20D72"/>
    <w:rsid w:val="1E0345E3"/>
    <w:rsid w:val="1E143700"/>
    <w:rsid w:val="1E30428B"/>
    <w:rsid w:val="1E675B25"/>
    <w:rsid w:val="1EE86F62"/>
    <w:rsid w:val="1EFA5C9D"/>
    <w:rsid w:val="1F1C7769"/>
    <w:rsid w:val="1F216FB2"/>
    <w:rsid w:val="1F2962CC"/>
    <w:rsid w:val="1F6F5422"/>
    <w:rsid w:val="1F7571DD"/>
    <w:rsid w:val="1F9122AC"/>
    <w:rsid w:val="1F9B2ABA"/>
    <w:rsid w:val="1FA37DF4"/>
    <w:rsid w:val="1FAD44FA"/>
    <w:rsid w:val="1FC272B9"/>
    <w:rsid w:val="1FF07859"/>
    <w:rsid w:val="20164B4A"/>
    <w:rsid w:val="201B04EA"/>
    <w:rsid w:val="201C373B"/>
    <w:rsid w:val="20326E67"/>
    <w:rsid w:val="203976B6"/>
    <w:rsid w:val="203B5FDE"/>
    <w:rsid w:val="20442417"/>
    <w:rsid w:val="20661CEF"/>
    <w:rsid w:val="20862A8C"/>
    <w:rsid w:val="208A4B48"/>
    <w:rsid w:val="20B02D1F"/>
    <w:rsid w:val="20B975C9"/>
    <w:rsid w:val="20F2392C"/>
    <w:rsid w:val="20FC4D31"/>
    <w:rsid w:val="2106610B"/>
    <w:rsid w:val="212A1117"/>
    <w:rsid w:val="214436AF"/>
    <w:rsid w:val="215D647C"/>
    <w:rsid w:val="217200DE"/>
    <w:rsid w:val="2176425F"/>
    <w:rsid w:val="22094658"/>
    <w:rsid w:val="22103A44"/>
    <w:rsid w:val="2216090B"/>
    <w:rsid w:val="222D295C"/>
    <w:rsid w:val="225673D8"/>
    <w:rsid w:val="2261752B"/>
    <w:rsid w:val="22877457"/>
    <w:rsid w:val="22983757"/>
    <w:rsid w:val="22B06431"/>
    <w:rsid w:val="23370F4A"/>
    <w:rsid w:val="235046D5"/>
    <w:rsid w:val="23AC2D20"/>
    <w:rsid w:val="23BC551F"/>
    <w:rsid w:val="23C14DEB"/>
    <w:rsid w:val="24055523"/>
    <w:rsid w:val="241A0448"/>
    <w:rsid w:val="24253506"/>
    <w:rsid w:val="24271847"/>
    <w:rsid w:val="242D6030"/>
    <w:rsid w:val="246568F5"/>
    <w:rsid w:val="249362CB"/>
    <w:rsid w:val="24BE6656"/>
    <w:rsid w:val="24C820E3"/>
    <w:rsid w:val="24D171E9"/>
    <w:rsid w:val="25051D55"/>
    <w:rsid w:val="25160EE8"/>
    <w:rsid w:val="251E5240"/>
    <w:rsid w:val="252235A1"/>
    <w:rsid w:val="255564A3"/>
    <w:rsid w:val="256E49FE"/>
    <w:rsid w:val="25C856A4"/>
    <w:rsid w:val="25C92151"/>
    <w:rsid w:val="25D0329F"/>
    <w:rsid w:val="26197AAD"/>
    <w:rsid w:val="262B0A2C"/>
    <w:rsid w:val="26673F35"/>
    <w:rsid w:val="267E52E4"/>
    <w:rsid w:val="26923CAA"/>
    <w:rsid w:val="26A020B8"/>
    <w:rsid w:val="26A10249"/>
    <w:rsid w:val="26FB054E"/>
    <w:rsid w:val="270B7B5C"/>
    <w:rsid w:val="27402404"/>
    <w:rsid w:val="27603CA5"/>
    <w:rsid w:val="27627354"/>
    <w:rsid w:val="277B444D"/>
    <w:rsid w:val="27F23F05"/>
    <w:rsid w:val="284460DF"/>
    <w:rsid w:val="28490505"/>
    <w:rsid w:val="28914E1F"/>
    <w:rsid w:val="28AA222B"/>
    <w:rsid w:val="28B0503B"/>
    <w:rsid w:val="28B45F86"/>
    <w:rsid w:val="29233D8C"/>
    <w:rsid w:val="29660BC2"/>
    <w:rsid w:val="296C7AFE"/>
    <w:rsid w:val="2979383F"/>
    <w:rsid w:val="29BF5B50"/>
    <w:rsid w:val="29F04EB3"/>
    <w:rsid w:val="2A262671"/>
    <w:rsid w:val="2A396FEE"/>
    <w:rsid w:val="2A7175E3"/>
    <w:rsid w:val="2A952AC8"/>
    <w:rsid w:val="2A9D790D"/>
    <w:rsid w:val="2ADC2D05"/>
    <w:rsid w:val="2AEE776A"/>
    <w:rsid w:val="2B4F2D98"/>
    <w:rsid w:val="2B747CEF"/>
    <w:rsid w:val="2B8B522C"/>
    <w:rsid w:val="2BA40641"/>
    <w:rsid w:val="2BB311CA"/>
    <w:rsid w:val="2BFC2B13"/>
    <w:rsid w:val="2C0567F3"/>
    <w:rsid w:val="2C1678AE"/>
    <w:rsid w:val="2C2B4BCA"/>
    <w:rsid w:val="2C324A12"/>
    <w:rsid w:val="2C5D141F"/>
    <w:rsid w:val="2C613B5B"/>
    <w:rsid w:val="2C6D3AB7"/>
    <w:rsid w:val="2C7D4A1D"/>
    <w:rsid w:val="2C8F47ED"/>
    <w:rsid w:val="2CA447CE"/>
    <w:rsid w:val="2D006414"/>
    <w:rsid w:val="2D0143E4"/>
    <w:rsid w:val="2D084DE9"/>
    <w:rsid w:val="2D130220"/>
    <w:rsid w:val="2D253135"/>
    <w:rsid w:val="2D305F18"/>
    <w:rsid w:val="2D3906D0"/>
    <w:rsid w:val="2D412A32"/>
    <w:rsid w:val="2D443BD0"/>
    <w:rsid w:val="2D633A7B"/>
    <w:rsid w:val="2DB27E32"/>
    <w:rsid w:val="2DBB6CE6"/>
    <w:rsid w:val="2DBF3F6C"/>
    <w:rsid w:val="2DCF216A"/>
    <w:rsid w:val="2DF61A6F"/>
    <w:rsid w:val="2E152B8C"/>
    <w:rsid w:val="2E3D34BA"/>
    <w:rsid w:val="2E6A056B"/>
    <w:rsid w:val="2EA50959"/>
    <w:rsid w:val="2EA74460"/>
    <w:rsid w:val="2EAD6D4A"/>
    <w:rsid w:val="2F1A37CC"/>
    <w:rsid w:val="2F3667F5"/>
    <w:rsid w:val="2F4A5ADE"/>
    <w:rsid w:val="2F4D1B62"/>
    <w:rsid w:val="2F5F7DC2"/>
    <w:rsid w:val="2FFB53D1"/>
    <w:rsid w:val="301243F9"/>
    <w:rsid w:val="30280D44"/>
    <w:rsid w:val="304B3A1D"/>
    <w:rsid w:val="307355F9"/>
    <w:rsid w:val="308221A2"/>
    <w:rsid w:val="30A20E4D"/>
    <w:rsid w:val="30C07369"/>
    <w:rsid w:val="30CC40FB"/>
    <w:rsid w:val="30FB5EA1"/>
    <w:rsid w:val="310A21E9"/>
    <w:rsid w:val="31236D98"/>
    <w:rsid w:val="318162F6"/>
    <w:rsid w:val="318375EC"/>
    <w:rsid w:val="31B07BEC"/>
    <w:rsid w:val="31BF5D8A"/>
    <w:rsid w:val="32161866"/>
    <w:rsid w:val="32292413"/>
    <w:rsid w:val="322F458A"/>
    <w:rsid w:val="3234284B"/>
    <w:rsid w:val="323B0881"/>
    <w:rsid w:val="323B4F01"/>
    <w:rsid w:val="3245070C"/>
    <w:rsid w:val="32645557"/>
    <w:rsid w:val="32851613"/>
    <w:rsid w:val="32B63FA5"/>
    <w:rsid w:val="32DC23D3"/>
    <w:rsid w:val="32F735BF"/>
    <w:rsid w:val="32F97C60"/>
    <w:rsid w:val="33171EF3"/>
    <w:rsid w:val="331A2D1C"/>
    <w:rsid w:val="33476582"/>
    <w:rsid w:val="334F51E8"/>
    <w:rsid w:val="335C2027"/>
    <w:rsid w:val="339A0859"/>
    <w:rsid w:val="33A15272"/>
    <w:rsid w:val="33AD622A"/>
    <w:rsid w:val="33B54E85"/>
    <w:rsid w:val="33FE742F"/>
    <w:rsid w:val="342D1110"/>
    <w:rsid w:val="342E3509"/>
    <w:rsid w:val="3430579D"/>
    <w:rsid w:val="345559A8"/>
    <w:rsid w:val="3461673A"/>
    <w:rsid w:val="34673708"/>
    <w:rsid w:val="347846D4"/>
    <w:rsid w:val="348F6779"/>
    <w:rsid w:val="34A44372"/>
    <w:rsid w:val="34BF0E0C"/>
    <w:rsid w:val="34CB7F84"/>
    <w:rsid w:val="34D920B4"/>
    <w:rsid w:val="34F856FB"/>
    <w:rsid w:val="351840F7"/>
    <w:rsid w:val="355F0A4A"/>
    <w:rsid w:val="3579646D"/>
    <w:rsid w:val="35BB2218"/>
    <w:rsid w:val="35CD7854"/>
    <w:rsid w:val="35D35F27"/>
    <w:rsid w:val="35E1533A"/>
    <w:rsid w:val="36006C2A"/>
    <w:rsid w:val="36100181"/>
    <w:rsid w:val="36173814"/>
    <w:rsid w:val="3644152E"/>
    <w:rsid w:val="36814922"/>
    <w:rsid w:val="36875986"/>
    <w:rsid w:val="369D75A7"/>
    <w:rsid w:val="36AA4B38"/>
    <w:rsid w:val="36AA5643"/>
    <w:rsid w:val="36BA3D04"/>
    <w:rsid w:val="36C3190C"/>
    <w:rsid w:val="36CF50F9"/>
    <w:rsid w:val="36D0782D"/>
    <w:rsid w:val="36D73019"/>
    <w:rsid w:val="371A6AA2"/>
    <w:rsid w:val="371C4888"/>
    <w:rsid w:val="373563ED"/>
    <w:rsid w:val="376B4058"/>
    <w:rsid w:val="37806A92"/>
    <w:rsid w:val="379F4F25"/>
    <w:rsid w:val="37E6361F"/>
    <w:rsid w:val="37F05781"/>
    <w:rsid w:val="380C36CA"/>
    <w:rsid w:val="381249BB"/>
    <w:rsid w:val="382B6D68"/>
    <w:rsid w:val="3847703D"/>
    <w:rsid w:val="38591BBA"/>
    <w:rsid w:val="38755F93"/>
    <w:rsid w:val="38C07224"/>
    <w:rsid w:val="39025034"/>
    <w:rsid w:val="39187643"/>
    <w:rsid w:val="396E2E01"/>
    <w:rsid w:val="397134C8"/>
    <w:rsid w:val="398B39B3"/>
    <w:rsid w:val="39AD542A"/>
    <w:rsid w:val="39BE42FC"/>
    <w:rsid w:val="3A3F654C"/>
    <w:rsid w:val="3A6332E9"/>
    <w:rsid w:val="3A7B6417"/>
    <w:rsid w:val="3A80103E"/>
    <w:rsid w:val="3A9D161F"/>
    <w:rsid w:val="3AA12D62"/>
    <w:rsid w:val="3AAC1986"/>
    <w:rsid w:val="3AD84074"/>
    <w:rsid w:val="3AF66B2E"/>
    <w:rsid w:val="3AFC1B82"/>
    <w:rsid w:val="3B033E18"/>
    <w:rsid w:val="3B243882"/>
    <w:rsid w:val="3B3E18EC"/>
    <w:rsid w:val="3B4637DE"/>
    <w:rsid w:val="3B64626A"/>
    <w:rsid w:val="3B731167"/>
    <w:rsid w:val="3B793C16"/>
    <w:rsid w:val="3B8F126B"/>
    <w:rsid w:val="3B96663F"/>
    <w:rsid w:val="3BA82E16"/>
    <w:rsid w:val="3BA8616F"/>
    <w:rsid w:val="3BD2357F"/>
    <w:rsid w:val="3C05717B"/>
    <w:rsid w:val="3C1F08FE"/>
    <w:rsid w:val="3C452195"/>
    <w:rsid w:val="3CA05007"/>
    <w:rsid w:val="3CC45C30"/>
    <w:rsid w:val="3D115F7D"/>
    <w:rsid w:val="3D3F7AFC"/>
    <w:rsid w:val="3D581DFE"/>
    <w:rsid w:val="3D7450A7"/>
    <w:rsid w:val="3D8525A4"/>
    <w:rsid w:val="3D8726E3"/>
    <w:rsid w:val="3DC16FED"/>
    <w:rsid w:val="3DD80AD7"/>
    <w:rsid w:val="3E2C08D4"/>
    <w:rsid w:val="3E530762"/>
    <w:rsid w:val="3E6D59B3"/>
    <w:rsid w:val="3EB10AB1"/>
    <w:rsid w:val="3EBC6B0D"/>
    <w:rsid w:val="3ECD05CA"/>
    <w:rsid w:val="3ED03B30"/>
    <w:rsid w:val="3ED87AA7"/>
    <w:rsid w:val="3EF8255D"/>
    <w:rsid w:val="3F1461F9"/>
    <w:rsid w:val="3F4B1256"/>
    <w:rsid w:val="3F59717B"/>
    <w:rsid w:val="3F727F26"/>
    <w:rsid w:val="3FC8487B"/>
    <w:rsid w:val="3FF878EE"/>
    <w:rsid w:val="403A6A47"/>
    <w:rsid w:val="407B7C74"/>
    <w:rsid w:val="408205C0"/>
    <w:rsid w:val="40952E59"/>
    <w:rsid w:val="40976A8B"/>
    <w:rsid w:val="40980108"/>
    <w:rsid w:val="40D131F2"/>
    <w:rsid w:val="412C5531"/>
    <w:rsid w:val="413B33DA"/>
    <w:rsid w:val="417F7D2B"/>
    <w:rsid w:val="418E3D30"/>
    <w:rsid w:val="41E41561"/>
    <w:rsid w:val="41EA283C"/>
    <w:rsid w:val="42160D42"/>
    <w:rsid w:val="4227055F"/>
    <w:rsid w:val="423B1275"/>
    <w:rsid w:val="425D0CBD"/>
    <w:rsid w:val="426308CA"/>
    <w:rsid w:val="431744B1"/>
    <w:rsid w:val="432A0CC9"/>
    <w:rsid w:val="432E4731"/>
    <w:rsid w:val="43715901"/>
    <w:rsid w:val="437435FF"/>
    <w:rsid w:val="43792ACE"/>
    <w:rsid w:val="439B1F30"/>
    <w:rsid w:val="439C556A"/>
    <w:rsid w:val="43CC70A2"/>
    <w:rsid w:val="43F1062E"/>
    <w:rsid w:val="440E33BD"/>
    <w:rsid w:val="44356B74"/>
    <w:rsid w:val="44652464"/>
    <w:rsid w:val="44AC2A30"/>
    <w:rsid w:val="44D53D34"/>
    <w:rsid w:val="454B4A40"/>
    <w:rsid w:val="454F1653"/>
    <w:rsid w:val="45734F6A"/>
    <w:rsid w:val="45AD4FD4"/>
    <w:rsid w:val="45AF208C"/>
    <w:rsid w:val="45DF4931"/>
    <w:rsid w:val="46050ECF"/>
    <w:rsid w:val="460C6465"/>
    <w:rsid w:val="462C2322"/>
    <w:rsid w:val="464346C7"/>
    <w:rsid w:val="46775073"/>
    <w:rsid w:val="469406E1"/>
    <w:rsid w:val="46A44E3F"/>
    <w:rsid w:val="46A8045B"/>
    <w:rsid w:val="46CA6DD4"/>
    <w:rsid w:val="46D544C0"/>
    <w:rsid w:val="46E339D2"/>
    <w:rsid w:val="46F86BB9"/>
    <w:rsid w:val="47115F90"/>
    <w:rsid w:val="471303B0"/>
    <w:rsid w:val="475328F3"/>
    <w:rsid w:val="47692657"/>
    <w:rsid w:val="476E3A37"/>
    <w:rsid w:val="478258F8"/>
    <w:rsid w:val="47A821BB"/>
    <w:rsid w:val="47BC4381"/>
    <w:rsid w:val="47CB1200"/>
    <w:rsid w:val="47D4100E"/>
    <w:rsid w:val="480B2A05"/>
    <w:rsid w:val="480C2163"/>
    <w:rsid w:val="48167C8E"/>
    <w:rsid w:val="486A0E48"/>
    <w:rsid w:val="487D168F"/>
    <w:rsid w:val="488D2EF0"/>
    <w:rsid w:val="488F3C31"/>
    <w:rsid w:val="48AC2BA3"/>
    <w:rsid w:val="48AE631E"/>
    <w:rsid w:val="48B7609D"/>
    <w:rsid w:val="48EB0653"/>
    <w:rsid w:val="48EF67A4"/>
    <w:rsid w:val="48F9479C"/>
    <w:rsid w:val="490914E0"/>
    <w:rsid w:val="49131DB7"/>
    <w:rsid w:val="494D7F83"/>
    <w:rsid w:val="4950607F"/>
    <w:rsid w:val="49CB462F"/>
    <w:rsid w:val="49DD4FC9"/>
    <w:rsid w:val="4A161077"/>
    <w:rsid w:val="4A1915AD"/>
    <w:rsid w:val="4A5F2DA7"/>
    <w:rsid w:val="4A6511DF"/>
    <w:rsid w:val="4A67521C"/>
    <w:rsid w:val="4A7535E8"/>
    <w:rsid w:val="4A8100E9"/>
    <w:rsid w:val="4AA641C8"/>
    <w:rsid w:val="4AA763F2"/>
    <w:rsid w:val="4AAB785F"/>
    <w:rsid w:val="4ADB4668"/>
    <w:rsid w:val="4B250E0C"/>
    <w:rsid w:val="4B266A20"/>
    <w:rsid w:val="4B2A3832"/>
    <w:rsid w:val="4B2E7117"/>
    <w:rsid w:val="4B461331"/>
    <w:rsid w:val="4B5E61ED"/>
    <w:rsid w:val="4B6675B5"/>
    <w:rsid w:val="4B9F32EE"/>
    <w:rsid w:val="4BC60085"/>
    <w:rsid w:val="4BE70986"/>
    <w:rsid w:val="4C03562B"/>
    <w:rsid w:val="4C093852"/>
    <w:rsid w:val="4C462113"/>
    <w:rsid w:val="4C525746"/>
    <w:rsid w:val="4C5608B8"/>
    <w:rsid w:val="4C6267F5"/>
    <w:rsid w:val="4C7E3C12"/>
    <w:rsid w:val="4C9E00A7"/>
    <w:rsid w:val="4CAE2702"/>
    <w:rsid w:val="4CBB1087"/>
    <w:rsid w:val="4CD36472"/>
    <w:rsid w:val="4CEE2C7E"/>
    <w:rsid w:val="4CEE5EDB"/>
    <w:rsid w:val="4CFC254F"/>
    <w:rsid w:val="4D0B7F3B"/>
    <w:rsid w:val="4D1922FF"/>
    <w:rsid w:val="4D4C3002"/>
    <w:rsid w:val="4D5028B1"/>
    <w:rsid w:val="4D573E80"/>
    <w:rsid w:val="4D6F7DE6"/>
    <w:rsid w:val="4D761218"/>
    <w:rsid w:val="4D94402B"/>
    <w:rsid w:val="4DCC3CD1"/>
    <w:rsid w:val="4DDC1A2E"/>
    <w:rsid w:val="4DDC5AF3"/>
    <w:rsid w:val="4DED3FFA"/>
    <w:rsid w:val="4DFF42BA"/>
    <w:rsid w:val="4E4E16EC"/>
    <w:rsid w:val="4E664BF3"/>
    <w:rsid w:val="4E687411"/>
    <w:rsid w:val="4E8877C0"/>
    <w:rsid w:val="4E967CF3"/>
    <w:rsid w:val="4EAC5F2D"/>
    <w:rsid w:val="4EDE2314"/>
    <w:rsid w:val="4EF429FE"/>
    <w:rsid w:val="4F0A6DAC"/>
    <w:rsid w:val="4F151163"/>
    <w:rsid w:val="4F523A6D"/>
    <w:rsid w:val="4F697E9B"/>
    <w:rsid w:val="4FA11C4A"/>
    <w:rsid w:val="4FB87561"/>
    <w:rsid w:val="500130C4"/>
    <w:rsid w:val="500E553B"/>
    <w:rsid w:val="504830E8"/>
    <w:rsid w:val="505A58DC"/>
    <w:rsid w:val="50F702C8"/>
    <w:rsid w:val="5107500E"/>
    <w:rsid w:val="51094C7F"/>
    <w:rsid w:val="516C14AB"/>
    <w:rsid w:val="51BC0756"/>
    <w:rsid w:val="51C43C53"/>
    <w:rsid w:val="51C56796"/>
    <w:rsid w:val="51C92E73"/>
    <w:rsid w:val="51D31DA1"/>
    <w:rsid w:val="52262073"/>
    <w:rsid w:val="52280B29"/>
    <w:rsid w:val="52790B89"/>
    <w:rsid w:val="52925B9C"/>
    <w:rsid w:val="529A7A30"/>
    <w:rsid w:val="52C172BE"/>
    <w:rsid w:val="52D37736"/>
    <w:rsid w:val="52E20595"/>
    <w:rsid w:val="52E47482"/>
    <w:rsid w:val="530B38F5"/>
    <w:rsid w:val="534649D5"/>
    <w:rsid w:val="53C12386"/>
    <w:rsid w:val="53DF7DE7"/>
    <w:rsid w:val="53F22CB0"/>
    <w:rsid w:val="540847EC"/>
    <w:rsid w:val="54312A3F"/>
    <w:rsid w:val="544E5F75"/>
    <w:rsid w:val="54686973"/>
    <w:rsid w:val="5479770E"/>
    <w:rsid w:val="54984A77"/>
    <w:rsid w:val="54A53F98"/>
    <w:rsid w:val="54A75721"/>
    <w:rsid w:val="54B90509"/>
    <w:rsid w:val="54CA1484"/>
    <w:rsid w:val="54D956BD"/>
    <w:rsid w:val="55671CAC"/>
    <w:rsid w:val="55731897"/>
    <w:rsid w:val="5597644B"/>
    <w:rsid w:val="55B31E70"/>
    <w:rsid w:val="55B36B1F"/>
    <w:rsid w:val="55E4027B"/>
    <w:rsid w:val="56072BC5"/>
    <w:rsid w:val="562B5EAA"/>
    <w:rsid w:val="562C5B52"/>
    <w:rsid w:val="56324872"/>
    <w:rsid w:val="56350AD7"/>
    <w:rsid w:val="563726B9"/>
    <w:rsid w:val="565C51F4"/>
    <w:rsid w:val="567873D4"/>
    <w:rsid w:val="568E1095"/>
    <w:rsid w:val="569D5556"/>
    <w:rsid w:val="56CB143B"/>
    <w:rsid w:val="56D133FD"/>
    <w:rsid w:val="56E54719"/>
    <w:rsid w:val="56ED2D64"/>
    <w:rsid w:val="57200B80"/>
    <w:rsid w:val="572C5BE5"/>
    <w:rsid w:val="57321D91"/>
    <w:rsid w:val="576110F6"/>
    <w:rsid w:val="57803156"/>
    <w:rsid w:val="57C00874"/>
    <w:rsid w:val="57C13CE0"/>
    <w:rsid w:val="57E74053"/>
    <w:rsid w:val="58070B45"/>
    <w:rsid w:val="5845673C"/>
    <w:rsid w:val="58B73A20"/>
    <w:rsid w:val="58C65655"/>
    <w:rsid w:val="58EE4AF0"/>
    <w:rsid w:val="591039DE"/>
    <w:rsid w:val="59390641"/>
    <w:rsid w:val="594F0101"/>
    <w:rsid w:val="596775B3"/>
    <w:rsid w:val="59AD514B"/>
    <w:rsid w:val="59F617A6"/>
    <w:rsid w:val="5A04441F"/>
    <w:rsid w:val="5A1C0EBF"/>
    <w:rsid w:val="5A3D1AF8"/>
    <w:rsid w:val="5A5A28C0"/>
    <w:rsid w:val="5A712C86"/>
    <w:rsid w:val="5AA475E9"/>
    <w:rsid w:val="5AD84A9C"/>
    <w:rsid w:val="5B2430E3"/>
    <w:rsid w:val="5B500161"/>
    <w:rsid w:val="5BA63E45"/>
    <w:rsid w:val="5BAC4FBB"/>
    <w:rsid w:val="5BBE1807"/>
    <w:rsid w:val="5BCD60A2"/>
    <w:rsid w:val="5BD6029D"/>
    <w:rsid w:val="5BE101AC"/>
    <w:rsid w:val="5BE40299"/>
    <w:rsid w:val="5BED227D"/>
    <w:rsid w:val="5C0F0933"/>
    <w:rsid w:val="5C196892"/>
    <w:rsid w:val="5C3E5B1A"/>
    <w:rsid w:val="5C9906E6"/>
    <w:rsid w:val="5C9B2A5E"/>
    <w:rsid w:val="5CD62057"/>
    <w:rsid w:val="5CF00572"/>
    <w:rsid w:val="5CF51453"/>
    <w:rsid w:val="5CFA019C"/>
    <w:rsid w:val="5CFA3A03"/>
    <w:rsid w:val="5D3E05CF"/>
    <w:rsid w:val="5D5A72A0"/>
    <w:rsid w:val="5D62564C"/>
    <w:rsid w:val="5D701A28"/>
    <w:rsid w:val="5D9C7315"/>
    <w:rsid w:val="5DA4066F"/>
    <w:rsid w:val="5DC77581"/>
    <w:rsid w:val="5E063DA5"/>
    <w:rsid w:val="5E0E43E7"/>
    <w:rsid w:val="5E265916"/>
    <w:rsid w:val="5E5045A8"/>
    <w:rsid w:val="5E827986"/>
    <w:rsid w:val="5E8C1DFF"/>
    <w:rsid w:val="5E951D22"/>
    <w:rsid w:val="5EA56E17"/>
    <w:rsid w:val="5EAD0955"/>
    <w:rsid w:val="5EB50A07"/>
    <w:rsid w:val="5EDE1139"/>
    <w:rsid w:val="5EE17760"/>
    <w:rsid w:val="5EE65064"/>
    <w:rsid w:val="5EFE66E2"/>
    <w:rsid w:val="5F355A51"/>
    <w:rsid w:val="5F5F054B"/>
    <w:rsid w:val="5F642B2B"/>
    <w:rsid w:val="5F820B7D"/>
    <w:rsid w:val="5F847FD8"/>
    <w:rsid w:val="5FE3463D"/>
    <w:rsid w:val="5FED5F7E"/>
    <w:rsid w:val="603D7DDB"/>
    <w:rsid w:val="60404A1D"/>
    <w:rsid w:val="606224E8"/>
    <w:rsid w:val="60AF42A1"/>
    <w:rsid w:val="60E6095A"/>
    <w:rsid w:val="60F418C3"/>
    <w:rsid w:val="60F8107F"/>
    <w:rsid w:val="61232228"/>
    <w:rsid w:val="61474BE7"/>
    <w:rsid w:val="61625669"/>
    <w:rsid w:val="61685B69"/>
    <w:rsid w:val="616B53ED"/>
    <w:rsid w:val="617129FC"/>
    <w:rsid w:val="61954DDC"/>
    <w:rsid w:val="61B66653"/>
    <w:rsid w:val="61C04421"/>
    <w:rsid w:val="61E810F3"/>
    <w:rsid w:val="61EC0916"/>
    <w:rsid w:val="6217685D"/>
    <w:rsid w:val="625128BA"/>
    <w:rsid w:val="62701BE4"/>
    <w:rsid w:val="627B54A0"/>
    <w:rsid w:val="62A80882"/>
    <w:rsid w:val="62AD0EDD"/>
    <w:rsid w:val="62AF5140"/>
    <w:rsid w:val="62B245C4"/>
    <w:rsid w:val="62D810C4"/>
    <w:rsid w:val="63627EEC"/>
    <w:rsid w:val="63AE3B31"/>
    <w:rsid w:val="63B97920"/>
    <w:rsid w:val="63C554AE"/>
    <w:rsid w:val="640554F8"/>
    <w:rsid w:val="64142580"/>
    <w:rsid w:val="641F59B2"/>
    <w:rsid w:val="64410010"/>
    <w:rsid w:val="64453E68"/>
    <w:rsid w:val="64B11C70"/>
    <w:rsid w:val="64EA6FD6"/>
    <w:rsid w:val="652644C8"/>
    <w:rsid w:val="654C502B"/>
    <w:rsid w:val="65507DA9"/>
    <w:rsid w:val="65CA4A74"/>
    <w:rsid w:val="65E84D02"/>
    <w:rsid w:val="65F42EF0"/>
    <w:rsid w:val="65F9581F"/>
    <w:rsid w:val="661E3335"/>
    <w:rsid w:val="66285DD1"/>
    <w:rsid w:val="66427D39"/>
    <w:rsid w:val="66434B4A"/>
    <w:rsid w:val="66514631"/>
    <w:rsid w:val="6658797C"/>
    <w:rsid w:val="66834351"/>
    <w:rsid w:val="66CD3DAF"/>
    <w:rsid w:val="66D34E91"/>
    <w:rsid w:val="66D71736"/>
    <w:rsid w:val="67054C57"/>
    <w:rsid w:val="670A41CC"/>
    <w:rsid w:val="670C6FFA"/>
    <w:rsid w:val="672D1841"/>
    <w:rsid w:val="67301F91"/>
    <w:rsid w:val="673C1AC0"/>
    <w:rsid w:val="67486E4A"/>
    <w:rsid w:val="674A2116"/>
    <w:rsid w:val="6765000E"/>
    <w:rsid w:val="67713FEF"/>
    <w:rsid w:val="67933EE4"/>
    <w:rsid w:val="67BE30E9"/>
    <w:rsid w:val="67C02451"/>
    <w:rsid w:val="67C1483E"/>
    <w:rsid w:val="67E654BC"/>
    <w:rsid w:val="67F13C5F"/>
    <w:rsid w:val="6889040C"/>
    <w:rsid w:val="68D8604A"/>
    <w:rsid w:val="68D91585"/>
    <w:rsid w:val="68E0164E"/>
    <w:rsid w:val="69001A1A"/>
    <w:rsid w:val="69054116"/>
    <w:rsid w:val="690B0B45"/>
    <w:rsid w:val="693B0046"/>
    <w:rsid w:val="69424BEA"/>
    <w:rsid w:val="69A929C7"/>
    <w:rsid w:val="6A0348D3"/>
    <w:rsid w:val="6A0A68AA"/>
    <w:rsid w:val="6A107F1D"/>
    <w:rsid w:val="6A130CD7"/>
    <w:rsid w:val="6A554800"/>
    <w:rsid w:val="6A57453D"/>
    <w:rsid w:val="6AC124E1"/>
    <w:rsid w:val="6ACA4E04"/>
    <w:rsid w:val="6AF919C0"/>
    <w:rsid w:val="6B1654E7"/>
    <w:rsid w:val="6B1870D8"/>
    <w:rsid w:val="6B2311DD"/>
    <w:rsid w:val="6B504689"/>
    <w:rsid w:val="6B5E2DB1"/>
    <w:rsid w:val="6B7F21BC"/>
    <w:rsid w:val="6B9D6AAA"/>
    <w:rsid w:val="6BAB0E02"/>
    <w:rsid w:val="6C006877"/>
    <w:rsid w:val="6C012476"/>
    <w:rsid w:val="6C0B610A"/>
    <w:rsid w:val="6C3E124C"/>
    <w:rsid w:val="6C4350DD"/>
    <w:rsid w:val="6C4723B7"/>
    <w:rsid w:val="6C5E283B"/>
    <w:rsid w:val="6C6B5D0F"/>
    <w:rsid w:val="6C762718"/>
    <w:rsid w:val="6CAE5C55"/>
    <w:rsid w:val="6CFC0079"/>
    <w:rsid w:val="6D024BEE"/>
    <w:rsid w:val="6D2560F4"/>
    <w:rsid w:val="6DB4502A"/>
    <w:rsid w:val="6DEE7A91"/>
    <w:rsid w:val="6E113DA2"/>
    <w:rsid w:val="6E2434F9"/>
    <w:rsid w:val="6E264678"/>
    <w:rsid w:val="6E493D7F"/>
    <w:rsid w:val="6E5C78F0"/>
    <w:rsid w:val="6E5E5779"/>
    <w:rsid w:val="6E6216CA"/>
    <w:rsid w:val="6E8F0BA7"/>
    <w:rsid w:val="6EF335FF"/>
    <w:rsid w:val="6F096AF0"/>
    <w:rsid w:val="6F200175"/>
    <w:rsid w:val="6F220C08"/>
    <w:rsid w:val="6F3876F0"/>
    <w:rsid w:val="6F832116"/>
    <w:rsid w:val="6FAE3C48"/>
    <w:rsid w:val="6FD92B28"/>
    <w:rsid w:val="70013336"/>
    <w:rsid w:val="7055136D"/>
    <w:rsid w:val="706702F4"/>
    <w:rsid w:val="707B5584"/>
    <w:rsid w:val="709A5CAE"/>
    <w:rsid w:val="70AA0C7A"/>
    <w:rsid w:val="70BD71C3"/>
    <w:rsid w:val="70C30010"/>
    <w:rsid w:val="70CC4FB1"/>
    <w:rsid w:val="70D71643"/>
    <w:rsid w:val="70FA48D1"/>
    <w:rsid w:val="713A2FED"/>
    <w:rsid w:val="714B4077"/>
    <w:rsid w:val="714D2D21"/>
    <w:rsid w:val="715F6225"/>
    <w:rsid w:val="71696371"/>
    <w:rsid w:val="71706C61"/>
    <w:rsid w:val="717A1190"/>
    <w:rsid w:val="71A50530"/>
    <w:rsid w:val="71B8067B"/>
    <w:rsid w:val="71EC014D"/>
    <w:rsid w:val="71F633B8"/>
    <w:rsid w:val="71F81C66"/>
    <w:rsid w:val="725363F5"/>
    <w:rsid w:val="729E26C8"/>
    <w:rsid w:val="72A52E8B"/>
    <w:rsid w:val="72AC4251"/>
    <w:rsid w:val="72E5574A"/>
    <w:rsid w:val="72F01BB6"/>
    <w:rsid w:val="73050AA2"/>
    <w:rsid w:val="732810DA"/>
    <w:rsid w:val="732A61FE"/>
    <w:rsid w:val="73582ED7"/>
    <w:rsid w:val="737124BE"/>
    <w:rsid w:val="73B43C74"/>
    <w:rsid w:val="73C138EA"/>
    <w:rsid w:val="73D00C04"/>
    <w:rsid w:val="7406153A"/>
    <w:rsid w:val="74082F2F"/>
    <w:rsid w:val="74584533"/>
    <w:rsid w:val="74642787"/>
    <w:rsid w:val="748A5206"/>
    <w:rsid w:val="74A8341E"/>
    <w:rsid w:val="74C7103C"/>
    <w:rsid w:val="74E456F9"/>
    <w:rsid w:val="74F1517C"/>
    <w:rsid w:val="74F32610"/>
    <w:rsid w:val="75042D24"/>
    <w:rsid w:val="751C394C"/>
    <w:rsid w:val="753032B9"/>
    <w:rsid w:val="75391E35"/>
    <w:rsid w:val="753D164D"/>
    <w:rsid w:val="7541711A"/>
    <w:rsid w:val="755E1D82"/>
    <w:rsid w:val="75614FED"/>
    <w:rsid w:val="75914CC4"/>
    <w:rsid w:val="75977F9F"/>
    <w:rsid w:val="75A8707D"/>
    <w:rsid w:val="75EC3B59"/>
    <w:rsid w:val="7613272B"/>
    <w:rsid w:val="762D7D42"/>
    <w:rsid w:val="765F6C32"/>
    <w:rsid w:val="768A26B8"/>
    <w:rsid w:val="76B33669"/>
    <w:rsid w:val="76F84697"/>
    <w:rsid w:val="77041E55"/>
    <w:rsid w:val="77253E72"/>
    <w:rsid w:val="774F6B7A"/>
    <w:rsid w:val="77672662"/>
    <w:rsid w:val="777A28C7"/>
    <w:rsid w:val="778101E4"/>
    <w:rsid w:val="77AC66FF"/>
    <w:rsid w:val="77C761F6"/>
    <w:rsid w:val="77EF02B8"/>
    <w:rsid w:val="77FD681B"/>
    <w:rsid w:val="78101F2A"/>
    <w:rsid w:val="78292220"/>
    <w:rsid w:val="783D2BE9"/>
    <w:rsid w:val="784447F5"/>
    <w:rsid w:val="785175B1"/>
    <w:rsid w:val="78614823"/>
    <w:rsid w:val="786B48B3"/>
    <w:rsid w:val="787E3F4B"/>
    <w:rsid w:val="78A819A8"/>
    <w:rsid w:val="78AF42C1"/>
    <w:rsid w:val="78C514E1"/>
    <w:rsid w:val="78F17864"/>
    <w:rsid w:val="78F214A0"/>
    <w:rsid w:val="797A3DE2"/>
    <w:rsid w:val="79CD2DEB"/>
    <w:rsid w:val="79E15AAA"/>
    <w:rsid w:val="79E47B9A"/>
    <w:rsid w:val="7A2D1941"/>
    <w:rsid w:val="7A304BF9"/>
    <w:rsid w:val="7A3C108B"/>
    <w:rsid w:val="7A480B92"/>
    <w:rsid w:val="7A567CBD"/>
    <w:rsid w:val="7A7444A7"/>
    <w:rsid w:val="7A926A83"/>
    <w:rsid w:val="7AC62790"/>
    <w:rsid w:val="7B225494"/>
    <w:rsid w:val="7B35301A"/>
    <w:rsid w:val="7B3609F3"/>
    <w:rsid w:val="7B393FD1"/>
    <w:rsid w:val="7B8361FC"/>
    <w:rsid w:val="7B993FDC"/>
    <w:rsid w:val="7BB26AFF"/>
    <w:rsid w:val="7BFB248E"/>
    <w:rsid w:val="7C4D42E9"/>
    <w:rsid w:val="7C606E84"/>
    <w:rsid w:val="7C70338F"/>
    <w:rsid w:val="7C7441E9"/>
    <w:rsid w:val="7C88161B"/>
    <w:rsid w:val="7C937FFB"/>
    <w:rsid w:val="7CC56DFA"/>
    <w:rsid w:val="7CD42548"/>
    <w:rsid w:val="7D0C1CE2"/>
    <w:rsid w:val="7D7E4262"/>
    <w:rsid w:val="7DBA6D1F"/>
    <w:rsid w:val="7DCB394B"/>
    <w:rsid w:val="7DEB70B1"/>
    <w:rsid w:val="7E5C1041"/>
    <w:rsid w:val="7E62534C"/>
    <w:rsid w:val="7E6E4CC9"/>
    <w:rsid w:val="7E7667D8"/>
    <w:rsid w:val="7EF24F35"/>
    <w:rsid w:val="7F603088"/>
    <w:rsid w:val="7F7122D0"/>
    <w:rsid w:val="7F7E125D"/>
    <w:rsid w:val="7FB835A9"/>
    <w:rsid w:val="7FD82D2D"/>
    <w:rsid w:val="7FF6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9"/>
    <w:autoRedefine/>
    <w:qFormat/>
    <w:uiPriority w:val="0"/>
    <w:pPr>
      <w:tabs>
        <w:tab w:val="left" w:pos="1077"/>
      </w:tabs>
      <w:adjustRightInd w:val="0"/>
      <w:spacing w:line="400" w:lineRule="exact"/>
      <w:jc w:val="center"/>
      <w:textAlignment w:val="baseline"/>
      <w:outlineLvl w:val="0"/>
    </w:pPr>
    <w:rPr>
      <w:rFonts w:ascii="宋体" w:hAnsi="宋体" w:cs="Arial"/>
      <w:b/>
      <w:color w:val="000000"/>
      <w:kern w:val="0"/>
      <w:sz w:val="24"/>
    </w:rPr>
  </w:style>
  <w:style w:type="paragraph" w:styleId="3">
    <w:name w:val="heading 2"/>
    <w:basedOn w:val="1"/>
    <w:next w:val="1"/>
    <w:link w:val="74"/>
    <w:autoRedefine/>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124"/>
    <w:autoRedefine/>
    <w:qFormat/>
    <w:uiPriority w:val="0"/>
    <w:pPr>
      <w:keepNext/>
      <w:keepLines/>
      <w:adjustRightInd w:val="0"/>
      <w:spacing w:before="260" w:after="260" w:line="416" w:lineRule="atLeast"/>
      <w:textAlignment w:val="baseline"/>
      <w:outlineLvl w:val="2"/>
    </w:pPr>
    <w:rPr>
      <w:b/>
      <w:kern w:val="0"/>
      <w:sz w:val="24"/>
      <w:szCs w:val="20"/>
    </w:rPr>
  </w:style>
  <w:style w:type="paragraph" w:styleId="5">
    <w:name w:val="heading 4"/>
    <w:basedOn w:val="1"/>
    <w:next w:val="1"/>
    <w:link w:val="126"/>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129"/>
    <w:autoRedefine/>
    <w:qFormat/>
    <w:uiPriority w:val="0"/>
    <w:pPr>
      <w:keepNext/>
      <w:keepLines/>
      <w:adjustRightInd w:val="0"/>
      <w:spacing w:before="280" w:after="290" w:line="376" w:lineRule="atLeast"/>
      <w:textAlignment w:val="baseline"/>
      <w:outlineLvl w:val="4"/>
    </w:pPr>
    <w:rPr>
      <w:b/>
      <w:sz w:val="28"/>
    </w:rPr>
  </w:style>
  <w:style w:type="paragraph" w:styleId="7">
    <w:name w:val="heading 6"/>
    <w:basedOn w:val="1"/>
    <w:next w:val="1"/>
    <w:link w:val="131"/>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134"/>
    <w:autoRedefine/>
    <w:qFormat/>
    <w:uiPriority w:val="0"/>
    <w:pPr>
      <w:keepNext/>
      <w:keepLines/>
      <w:adjustRightInd w:val="0"/>
      <w:spacing w:before="240" w:after="64" w:line="320" w:lineRule="atLeast"/>
      <w:textAlignment w:val="baseline"/>
      <w:outlineLvl w:val="6"/>
    </w:pPr>
    <w:rPr>
      <w:b/>
      <w:sz w:val="24"/>
    </w:rPr>
  </w:style>
  <w:style w:type="paragraph" w:styleId="9">
    <w:name w:val="heading 8"/>
    <w:basedOn w:val="1"/>
    <w:next w:val="1"/>
    <w:link w:val="136"/>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138"/>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2"/>
    <w:next w:val="12"/>
    <w:autoRedefine/>
    <w:qFormat/>
    <w:uiPriority w:val="0"/>
    <w:rPr>
      <w:szCs w:val="24"/>
    </w:rPr>
  </w:style>
  <w:style w:type="paragraph" w:customStyle="1" w:styleId="12">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13">
    <w:name w:val="toc 7"/>
    <w:basedOn w:val="1"/>
    <w:next w:val="1"/>
    <w:autoRedefine/>
    <w:qFormat/>
    <w:uiPriority w:val="39"/>
    <w:pPr>
      <w:ind w:left="1260"/>
      <w:jc w:val="left"/>
    </w:pPr>
    <w:rPr>
      <w:sz w:val="18"/>
      <w:szCs w:val="18"/>
    </w:rPr>
  </w:style>
  <w:style w:type="paragraph" w:styleId="14">
    <w:name w:val="table of authorities"/>
    <w:basedOn w:val="1"/>
    <w:next w:val="1"/>
    <w:autoRedefine/>
    <w:qFormat/>
    <w:uiPriority w:val="0"/>
    <w:pPr>
      <w:spacing w:line="360" w:lineRule="auto"/>
      <w:ind w:left="420" w:leftChars="200" w:firstLine="640" w:firstLineChars="200"/>
    </w:pPr>
    <w:rPr>
      <w:rFonts w:ascii="宋体" w:hAnsi="宋体"/>
      <w:sz w:val="24"/>
    </w:rPr>
  </w:style>
  <w:style w:type="paragraph" w:styleId="15">
    <w:name w:val="Normal Indent"/>
    <w:basedOn w:val="1"/>
    <w:next w:val="1"/>
    <w:link w:val="120"/>
    <w:autoRedefine/>
    <w:qFormat/>
    <w:uiPriority w:val="0"/>
    <w:pPr>
      <w:ind w:firstLine="420" w:firstLineChars="200"/>
    </w:pPr>
  </w:style>
  <w:style w:type="paragraph" w:styleId="16">
    <w:name w:val="Document Map"/>
    <w:basedOn w:val="1"/>
    <w:link w:val="82"/>
    <w:autoRedefine/>
    <w:qFormat/>
    <w:uiPriority w:val="0"/>
    <w:pPr>
      <w:shd w:val="clear" w:color="auto" w:fill="000080"/>
    </w:pPr>
  </w:style>
  <w:style w:type="paragraph" w:styleId="17">
    <w:name w:val="toa heading"/>
    <w:basedOn w:val="1"/>
    <w:next w:val="1"/>
    <w:autoRedefine/>
    <w:qFormat/>
    <w:uiPriority w:val="0"/>
    <w:pPr>
      <w:spacing w:before="120" w:beforeLines="0"/>
    </w:pPr>
    <w:rPr>
      <w:rFonts w:ascii="Arial" w:hAnsi="Arial" w:cs="Arial"/>
      <w:sz w:val="24"/>
    </w:rPr>
  </w:style>
  <w:style w:type="paragraph" w:styleId="18">
    <w:name w:val="annotation text"/>
    <w:basedOn w:val="1"/>
    <w:next w:val="19"/>
    <w:link w:val="190"/>
    <w:autoRedefine/>
    <w:qFormat/>
    <w:uiPriority w:val="0"/>
    <w:pPr>
      <w:adjustRightInd w:val="0"/>
      <w:spacing w:line="360" w:lineRule="atLeast"/>
      <w:jc w:val="left"/>
      <w:textAlignment w:val="baseline"/>
    </w:pPr>
    <w:rPr>
      <w:kern w:val="0"/>
      <w:sz w:val="24"/>
      <w:szCs w:val="20"/>
    </w:rPr>
  </w:style>
  <w:style w:type="paragraph" w:styleId="19">
    <w:name w:val="Body Text 3"/>
    <w:basedOn w:val="1"/>
    <w:next w:val="20"/>
    <w:link w:val="206"/>
    <w:autoRedefine/>
    <w:qFormat/>
    <w:uiPriority w:val="0"/>
    <w:pPr>
      <w:spacing w:after="120"/>
    </w:pPr>
    <w:rPr>
      <w:sz w:val="16"/>
      <w:szCs w:val="16"/>
    </w:rPr>
  </w:style>
  <w:style w:type="paragraph" w:styleId="20">
    <w:name w:val="Balloon Text"/>
    <w:basedOn w:val="1"/>
    <w:next w:val="1"/>
    <w:link w:val="188"/>
    <w:autoRedefine/>
    <w:qFormat/>
    <w:uiPriority w:val="0"/>
    <w:pPr>
      <w:overflowPunct w:val="0"/>
      <w:snapToGrid w:val="0"/>
      <w:spacing w:line="480" w:lineRule="exact"/>
      <w:ind w:firstLine="567"/>
    </w:pPr>
    <w:rPr>
      <w:rFonts w:ascii="Arial" w:hAnsi="Arial" w:eastAsia="仿宋_GB2312"/>
      <w:sz w:val="18"/>
      <w:szCs w:val="18"/>
    </w:rPr>
  </w:style>
  <w:style w:type="paragraph" w:styleId="21">
    <w:name w:val="Salutation"/>
    <w:basedOn w:val="1"/>
    <w:next w:val="1"/>
    <w:link w:val="195"/>
    <w:autoRedefine/>
    <w:qFormat/>
    <w:uiPriority w:val="0"/>
    <w:rPr>
      <w:szCs w:val="20"/>
    </w:rPr>
  </w:style>
  <w:style w:type="paragraph" w:styleId="22">
    <w:name w:val="Closing"/>
    <w:basedOn w:val="1"/>
    <w:link w:val="83"/>
    <w:autoRedefine/>
    <w:qFormat/>
    <w:uiPriority w:val="0"/>
    <w:pPr>
      <w:widowControl/>
      <w:ind w:left="2100" w:leftChars="2100"/>
    </w:pPr>
    <w:rPr>
      <w:kern w:val="0"/>
      <w:sz w:val="24"/>
      <w:szCs w:val="20"/>
    </w:rPr>
  </w:style>
  <w:style w:type="paragraph" w:styleId="23">
    <w:name w:val="Body Text"/>
    <w:basedOn w:val="1"/>
    <w:next w:val="1"/>
    <w:link w:val="137"/>
    <w:autoRedefine/>
    <w:qFormat/>
    <w:uiPriority w:val="0"/>
    <w:pPr>
      <w:spacing w:line="360" w:lineRule="auto"/>
    </w:pPr>
    <w:rPr>
      <w:rFonts w:ascii="宋体" w:hAnsi="宋体"/>
      <w:color w:val="000000"/>
      <w:sz w:val="24"/>
    </w:rPr>
  </w:style>
  <w:style w:type="paragraph" w:styleId="24">
    <w:name w:val="Body Text Indent"/>
    <w:basedOn w:val="1"/>
    <w:link w:val="185"/>
    <w:autoRedefine/>
    <w:qFormat/>
    <w:uiPriority w:val="0"/>
    <w:pPr>
      <w:ind w:firstLine="420" w:firstLineChars="200"/>
    </w:pPr>
    <w:rPr>
      <w:rFonts w:ascii="宋体" w:hAnsi="宋体"/>
    </w:rPr>
  </w:style>
  <w:style w:type="paragraph" w:styleId="25">
    <w:name w:val="List 2"/>
    <w:basedOn w:val="1"/>
    <w:autoRedefine/>
    <w:qFormat/>
    <w:uiPriority w:val="0"/>
    <w:pPr>
      <w:widowControl/>
      <w:ind w:left="840" w:hanging="420"/>
      <w:jc w:val="left"/>
    </w:pPr>
    <w:rPr>
      <w:kern w:val="0"/>
      <w:sz w:val="20"/>
      <w:szCs w:val="20"/>
    </w:rPr>
  </w:style>
  <w:style w:type="paragraph" w:styleId="26">
    <w:name w:val="List Continue"/>
    <w:basedOn w:val="1"/>
    <w:autoRedefine/>
    <w:qFormat/>
    <w:uiPriority w:val="0"/>
    <w:pPr>
      <w:spacing w:after="120"/>
      <w:ind w:left="420" w:leftChars="200"/>
    </w:pPr>
    <w:rPr>
      <w:sz w:val="28"/>
    </w:rPr>
  </w:style>
  <w:style w:type="paragraph" w:styleId="27">
    <w:name w:val="Block Text"/>
    <w:basedOn w:val="1"/>
    <w:autoRedefine/>
    <w:qFormat/>
    <w:uiPriority w:val="0"/>
    <w:pPr>
      <w:adjustRightInd w:val="0"/>
      <w:ind w:left="420" w:right="33"/>
      <w:jc w:val="left"/>
      <w:textAlignment w:val="baseline"/>
    </w:pPr>
    <w:rPr>
      <w:kern w:val="0"/>
      <w:sz w:val="24"/>
      <w:szCs w:val="20"/>
    </w:rPr>
  </w:style>
  <w:style w:type="paragraph" w:styleId="28">
    <w:name w:val="HTML Address"/>
    <w:basedOn w:val="1"/>
    <w:autoRedefine/>
    <w:qFormat/>
    <w:uiPriority w:val="0"/>
    <w:rPr>
      <w:i/>
      <w:iCs/>
    </w:rPr>
  </w:style>
  <w:style w:type="paragraph" w:styleId="29">
    <w:name w:val="toc 5"/>
    <w:basedOn w:val="1"/>
    <w:next w:val="1"/>
    <w:autoRedefine/>
    <w:qFormat/>
    <w:uiPriority w:val="39"/>
    <w:pPr>
      <w:ind w:left="840"/>
      <w:jc w:val="left"/>
    </w:pPr>
    <w:rPr>
      <w:sz w:val="18"/>
      <w:szCs w:val="18"/>
    </w:rPr>
  </w:style>
  <w:style w:type="paragraph" w:styleId="30">
    <w:name w:val="toc 3"/>
    <w:basedOn w:val="1"/>
    <w:next w:val="1"/>
    <w:autoRedefine/>
    <w:qFormat/>
    <w:uiPriority w:val="39"/>
    <w:pPr>
      <w:ind w:left="420"/>
      <w:jc w:val="left"/>
    </w:pPr>
    <w:rPr>
      <w:i/>
      <w:iCs/>
      <w:sz w:val="20"/>
      <w:szCs w:val="20"/>
    </w:rPr>
  </w:style>
  <w:style w:type="paragraph" w:styleId="31">
    <w:name w:val="Plain Text"/>
    <w:basedOn w:val="1"/>
    <w:link w:val="153"/>
    <w:autoRedefine/>
    <w:qFormat/>
    <w:uiPriority w:val="0"/>
    <w:rPr>
      <w:rFonts w:ascii="宋体" w:hAnsi="Courier New"/>
      <w:szCs w:val="20"/>
    </w:rPr>
  </w:style>
  <w:style w:type="paragraph" w:styleId="32">
    <w:name w:val="toc 8"/>
    <w:basedOn w:val="1"/>
    <w:next w:val="1"/>
    <w:autoRedefine/>
    <w:qFormat/>
    <w:uiPriority w:val="39"/>
    <w:pPr>
      <w:ind w:left="1470"/>
      <w:jc w:val="left"/>
    </w:pPr>
    <w:rPr>
      <w:sz w:val="18"/>
      <w:szCs w:val="18"/>
    </w:rPr>
  </w:style>
  <w:style w:type="paragraph" w:styleId="33">
    <w:name w:val="Date"/>
    <w:basedOn w:val="1"/>
    <w:next w:val="1"/>
    <w:link w:val="170"/>
    <w:autoRedefine/>
    <w:qFormat/>
    <w:uiPriority w:val="0"/>
    <w:pPr>
      <w:ind w:left="100" w:leftChars="2500"/>
    </w:pPr>
    <w:rPr>
      <w:rFonts w:ascii="宋体"/>
    </w:rPr>
  </w:style>
  <w:style w:type="paragraph" w:styleId="34">
    <w:name w:val="Body Text Indent 2"/>
    <w:basedOn w:val="1"/>
    <w:link w:val="173"/>
    <w:autoRedefine/>
    <w:qFormat/>
    <w:uiPriority w:val="0"/>
    <w:pPr>
      <w:spacing w:line="360" w:lineRule="auto"/>
      <w:ind w:left="180"/>
    </w:pPr>
    <w:rPr>
      <w:sz w:val="24"/>
    </w:rPr>
  </w:style>
  <w:style w:type="paragraph" w:styleId="35">
    <w:name w:val="endnote text"/>
    <w:basedOn w:val="1"/>
    <w:link w:val="90"/>
    <w:autoRedefine/>
    <w:qFormat/>
    <w:uiPriority w:val="0"/>
    <w:pPr>
      <w:snapToGrid w:val="0"/>
      <w:jc w:val="left"/>
    </w:pPr>
  </w:style>
  <w:style w:type="paragraph" w:styleId="36">
    <w:name w:val="footer"/>
    <w:basedOn w:val="1"/>
    <w:next w:val="1"/>
    <w:link w:val="143"/>
    <w:autoRedefine/>
    <w:qFormat/>
    <w:uiPriority w:val="0"/>
    <w:pPr>
      <w:tabs>
        <w:tab w:val="center" w:pos="4153"/>
        <w:tab w:val="right" w:pos="8306"/>
      </w:tabs>
      <w:snapToGrid w:val="0"/>
      <w:jc w:val="left"/>
    </w:pPr>
    <w:rPr>
      <w:sz w:val="18"/>
      <w:szCs w:val="18"/>
    </w:rPr>
  </w:style>
  <w:style w:type="paragraph" w:styleId="37">
    <w:name w:val="header"/>
    <w:basedOn w:val="1"/>
    <w:next w:val="18"/>
    <w:link w:val="107"/>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autoRedefine/>
    <w:qFormat/>
    <w:uiPriority w:val="39"/>
    <w:pPr>
      <w:spacing w:before="120" w:after="120"/>
      <w:jc w:val="left"/>
    </w:pPr>
    <w:rPr>
      <w:b/>
      <w:bCs/>
      <w:caps/>
      <w:sz w:val="20"/>
      <w:szCs w:val="20"/>
    </w:rPr>
  </w:style>
  <w:style w:type="paragraph" w:styleId="39">
    <w:name w:val="toc 4"/>
    <w:basedOn w:val="1"/>
    <w:next w:val="1"/>
    <w:autoRedefine/>
    <w:qFormat/>
    <w:uiPriority w:val="39"/>
    <w:pPr>
      <w:ind w:left="630"/>
      <w:jc w:val="left"/>
    </w:pPr>
    <w:rPr>
      <w:sz w:val="18"/>
      <w:szCs w:val="18"/>
    </w:rPr>
  </w:style>
  <w:style w:type="paragraph" w:styleId="40">
    <w:name w:val="Subtitle"/>
    <w:basedOn w:val="1"/>
    <w:next w:val="1"/>
    <w:link w:val="125"/>
    <w:autoRedefine/>
    <w:qFormat/>
    <w:uiPriority w:val="0"/>
    <w:pPr>
      <w:spacing w:line="500" w:lineRule="exact"/>
      <w:ind w:firstLine="200" w:firstLineChars="200"/>
      <w:outlineLvl w:val="3"/>
    </w:pPr>
    <w:rPr>
      <w:b/>
      <w:bCs/>
      <w:sz w:val="24"/>
      <w:szCs w:val="32"/>
    </w:rPr>
  </w:style>
  <w:style w:type="paragraph" w:styleId="41">
    <w:name w:val="List"/>
    <w:basedOn w:val="1"/>
    <w:autoRedefine/>
    <w:qFormat/>
    <w:uiPriority w:val="0"/>
    <w:pPr>
      <w:adjustRightInd w:val="0"/>
      <w:ind w:left="420" w:hanging="420"/>
      <w:textAlignment w:val="baseline"/>
    </w:pPr>
    <w:rPr>
      <w:sz w:val="28"/>
      <w:szCs w:val="20"/>
    </w:rPr>
  </w:style>
  <w:style w:type="paragraph" w:styleId="42">
    <w:name w:val="footnote text"/>
    <w:basedOn w:val="1"/>
    <w:autoRedefine/>
    <w:qFormat/>
    <w:uiPriority w:val="0"/>
    <w:pPr>
      <w:snapToGrid w:val="0"/>
      <w:jc w:val="left"/>
    </w:pPr>
    <w:rPr>
      <w:sz w:val="18"/>
      <w:szCs w:val="18"/>
    </w:rPr>
  </w:style>
  <w:style w:type="paragraph" w:styleId="43">
    <w:name w:val="toc 6"/>
    <w:basedOn w:val="1"/>
    <w:next w:val="1"/>
    <w:autoRedefine/>
    <w:qFormat/>
    <w:uiPriority w:val="39"/>
    <w:pPr>
      <w:ind w:left="1050"/>
      <w:jc w:val="left"/>
    </w:pPr>
    <w:rPr>
      <w:sz w:val="18"/>
      <w:szCs w:val="18"/>
    </w:rPr>
  </w:style>
  <w:style w:type="paragraph" w:styleId="44">
    <w:name w:val="Body Text Indent 3"/>
    <w:basedOn w:val="1"/>
    <w:link w:val="171"/>
    <w:autoRedefine/>
    <w:qFormat/>
    <w:uiPriority w:val="0"/>
    <w:pPr>
      <w:ind w:left="899" w:leftChars="428"/>
    </w:pPr>
    <w:rPr>
      <w:sz w:val="36"/>
    </w:rPr>
  </w:style>
  <w:style w:type="paragraph" w:styleId="45">
    <w:name w:val="toc 2"/>
    <w:basedOn w:val="1"/>
    <w:next w:val="1"/>
    <w:qFormat/>
    <w:uiPriority w:val="39"/>
    <w:pPr>
      <w:tabs>
        <w:tab w:val="right" w:leader="dot" w:pos="9403"/>
      </w:tabs>
      <w:spacing w:line="360" w:lineRule="auto"/>
      <w:ind w:firstLine="98" w:firstLineChars="49"/>
      <w:jc w:val="left"/>
    </w:pPr>
    <w:rPr>
      <w:smallCaps/>
      <w:sz w:val="20"/>
      <w:szCs w:val="20"/>
    </w:rPr>
  </w:style>
  <w:style w:type="paragraph" w:styleId="46">
    <w:name w:val="toc 9"/>
    <w:basedOn w:val="1"/>
    <w:next w:val="1"/>
    <w:qFormat/>
    <w:uiPriority w:val="39"/>
    <w:pPr>
      <w:ind w:left="1680"/>
      <w:jc w:val="left"/>
    </w:pPr>
    <w:rPr>
      <w:sz w:val="18"/>
      <w:szCs w:val="18"/>
    </w:rPr>
  </w:style>
  <w:style w:type="paragraph" w:styleId="47">
    <w:name w:val="Body Text 2"/>
    <w:basedOn w:val="1"/>
    <w:link w:val="146"/>
    <w:qFormat/>
    <w:uiPriority w:val="0"/>
    <w:rPr>
      <w:b/>
      <w:sz w:val="28"/>
      <w:szCs w:val="20"/>
    </w:rPr>
  </w:style>
  <w:style w:type="paragraph" w:styleId="48">
    <w:name w:val="List 4"/>
    <w:basedOn w:val="12"/>
    <w:next w:val="12"/>
    <w:qFormat/>
    <w:uiPriority w:val="0"/>
    <w:rPr>
      <w:szCs w:val="24"/>
    </w:rPr>
  </w:style>
  <w:style w:type="paragraph" w:styleId="4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index 1"/>
    <w:basedOn w:val="1"/>
    <w:next w:val="1"/>
    <w:autoRedefine/>
    <w:qFormat/>
    <w:uiPriority w:val="0"/>
    <w:pPr>
      <w:adjustRightInd w:val="0"/>
      <w:spacing w:line="440" w:lineRule="atLeast"/>
      <w:ind w:left="12" w:hanging="12"/>
      <w:jc w:val="center"/>
    </w:pPr>
    <w:rPr>
      <w:sz w:val="24"/>
      <w:szCs w:val="20"/>
    </w:rPr>
  </w:style>
  <w:style w:type="paragraph" w:styleId="52">
    <w:name w:val="Title"/>
    <w:basedOn w:val="1"/>
    <w:next w:val="1"/>
    <w:link w:val="165"/>
    <w:autoRedefine/>
    <w:qFormat/>
    <w:uiPriority w:val="0"/>
    <w:pPr>
      <w:spacing w:before="240" w:after="60"/>
      <w:jc w:val="center"/>
      <w:outlineLvl w:val="0"/>
    </w:pPr>
    <w:rPr>
      <w:rFonts w:ascii="Arial" w:hAnsi="Arial" w:cs="Arial"/>
      <w:b/>
      <w:bCs/>
      <w:sz w:val="32"/>
      <w:szCs w:val="32"/>
    </w:rPr>
  </w:style>
  <w:style w:type="paragraph" w:styleId="53">
    <w:name w:val="annotation subject"/>
    <w:basedOn w:val="18"/>
    <w:next w:val="18"/>
    <w:qFormat/>
    <w:uiPriority w:val="0"/>
    <w:pPr>
      <w:adjustRightInd/>
      <w:spacing w:line="240" w:lineRule="auto"/>
      <w:textAlignment w:val="auto"/>
    </w:pPr>
    <w:rPr>
      <w:b/>
      <w:bCs/>
      <w:kern w:val="2"/>
      <w:sz w:val="21"/>
      <w:szCs w:val="24"/>
    </w:rPr>
  </w:style>
  <w:style w:type="paragraph" w:styleId="54">
    <w:name w:val="Body Text First Indent"/>
    <w:basedOn w:val="23"/>
    <w:link w:val="139"/>
    <w:autoRedefine/>
    <w:qFormat/>
    <w:uiPriority w:val="0"/>
    <w:pPr>
      <w:widowControl/>
      <w:spacing w:after="220" w:line="220" w:lineRule="atLeast"/>
      <w:ind w:firstLine="420"/>
    </w:pPr>
    <w:rPr>
      <w:rFonts w:ascii="Arial" w:hAnsi="Arial"/>
      <w:spacing w:val="-5"/>
    </w:rPr>
  </w:style>
  <w:style w:type="paragraph" w:styleId="55">
    <w:name w:val="Body Text First Indent 2"/>
    <w:basedOn w:val="24"/>
    <w:link w:val="198"/>
    <w:autoRedefine/>
    <w:qFormat/>
    <w:uiPriority w:val="0"/>
    <w:pPr>
      <w:spacing w:after="120" w:line="500" w:lineRule="exact"/>
      <w:ind w:left="420" w:leftChars="200" w:firstLine="200"/>
    </w:pPr>
    <w:rPr>
      <w:rFonts w:ascii="Calibri" w:hAnsi="Calibri" w:cs="宋体"/>
      <w:szCs w:val="22"/>
    </w:r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basedOn w:val="58"/>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iCs/>
    </w:rPr>
  </w:style>
  <w:style w:type="character" w:styleId="64">
    <w:name w:val="HTML Definition"/>
    <w:basedOn w:val="58"/>
    <w:autoRedefine/>
    <w:qFormat/>
    <w:uiPriority w:val="0"/>
  </w:style>
  <w:style w:type="character" w:styleId="65">
    <w:name w:val="HTML Acronym"/>
    <w:basedOn w:val="58"/>
    <w:autoRedefine/>
    <w:qFormat/>
    <w:uiPriority w:val="0"/>
  </w:style>
  <w:style w:type="character" w:styleId="66">
    <w:name w:val="HTML Variable"/>
    <w:basedOn w:val="58"/>
    <w:autoRedefine/>
    <w:qFormat/>
    <w:uiPriority w:val="0"/>
  </w:style>
  <w:style w:type="character" w:styleId="67">
    <w:name w:val="Hyperlink"/>
    <w:basedOn w:val="58"/>
    <w:qFormat/>
    <w:uiPriority w:val="99"/>
    <w:rPr>
      <w:color w:val="0000FF"/>
      <w:u w:val="single"/>
    </w:rPr>
  </w:style>
  <w:style w:type="character" w:styleId="68">
    <w:name w:val="HTML Code"/>
    <w:basedOn w:val="58"/>
    <w:autoRedefine/>
    <w:qFormat/>
    <w:uiPriority w:val="0"/>
    <w:rPr>
      <w:rFonts w:ascii="Courier New" w:hAnsi="Courier New"/>
      <w:sz w:val="20"/>
    </w:rPr>
  </w:style>
  <w:style w:type="character" w:styleId="69">
    <w:name w:val="annotation reference"/>
    <w:autoRedefine/>
    <w:qFormat/>
    <w:uiPriority w:val="0"/>
    <w:rPr>
      <w:sz w:val="21"/>
      <w:szCs w:val="21"/>
    </w:rPr>
  </w:style>
  <w:style w:type="character" w:styleId="70">
    <w:name w:val="HTML Cite"/>
    <w:basedOn w:val="58"/>
    <w:autoRedefine/>
    <w:qFormat/>
    <w:uiPriority w:val="0"/>
  </w:style>
  <w:style w:type="character" w:styleId="71">
    <w:name w:val="footnote reference"/>
    <w:autoRedefine/>
    <w:qFormat/>
    <w:uiPriority w:val="0"/>
    <w:rPr>
      <w:vertAlign w:val="superscript"/>
    </w:rPr>
  </w:style>
  <w:style w:type="paragraph" w:styleId="72">
    <w:name w:val="List Paragraph"/>
    <w:basedOn w:val="1"/>
    <w:next w:val="1"/>
    <w:link w:val="144"/>
    <w:autoRedefine/>
    <w:qFormat/>
    <w:uiPriority w:val="0"/>
    <w:pPr>
      <w:ind w:firstLine="420" w:firstLineChars="200"/>
    </w:pPr>
    <w:rPr>
      <w:szCs w:val="20"/>
    </w:rPr>
  </w:style>
  <w:style w:type="paragraph" w:customStyle="1" w:styleId="73">
    <w:name w:val="样式 首行缩进:  2 字符"/>
    <w:basedOn w:val="1"/>
    <w:autoRedefine/>
    <w:qFormat/>
    <w:uiPriority w:val="0"/>
    <w:pPr>
      <w:spacing w:line="480" w:lineRule="exact"/>
      <w:ind w:firstLine="510"/>
    </w:pPr>
    <w:rPr>
      <w:rFonts w:cs="宋体"/>
      <w:sz w:val="28"/>
      <w:szCs w:val="20"/>
    </w:rPr>
  </w:style>
  <w:style w:type="character" w:customStyle="1" w:styleId="74">
    <w:name w:val="标题 2 Char"/>
    <w:link w:val="3"/>
    <w:autoRedefine/>
    <w:qFormat/>
    <w:uiPriority w:val="0"/>
    <w:rPr>
      <w:rFonts w:ascii="Arial" w:hAnsi="Arial" w:eastAsia="黑体"/>
      <w:b/>
      <w:kern w:val="2"/>
      <w:sz w:val="32"/>
      <w:lang w:val="en-US" w:eastAsia="zh-CN" w:bidi="ar-SA"/>
    </w:rPr>
  </w:style>
  <w:style w:type="paragraph" w:customStyle="1" w:styleId="75">
    <w:name w:val="Char Char Char Char Char Char Char Char Char"/>
    <w:basedOn w:val="1"/>
    <w:autoRedefine/>
    <w:qFormat/>
    <w:uiPriority w:val="0"/>
    <w:pPr>
      <w:spacing w:line="360" w:lineRule="auto"/>
      <w:ind w:right="33" w:firstLine="200" w:firstLineChars="200"/>
      <w:jc w:val="left"/>
    </w:pPr>
    <w:rPr>
      <w:sz w:val="28"/>
      <w:szCs w:val="28"/>
    </w:rPr>
  </w:style>
  <w:style w:type="character" w:customStyle="1" w:styleId="76">
    <w:name w:val="zw正文 Char Char"/>
    <w:link w:val="77"/>
    <w:autoRedefine/>
    <w:qFormat/>
    <w:uiPriority w:val="0"/>
    <w:rPr>
      <w:rFonts w:ascii="宋体" w:eastAsia="宋体"/>
      <w:b/>
      <w:spacing w:val="10"/>
      <w:kern w:val="2"/>
      <w:sz w:val="24"/>
      <w:lang w:val="en-US" w:eastAsia="zh-CN" w:bidi="ar-SA"/>
    </w:rPr>
  </w:style>
  <w:style w:type="paragraph" w:customStyle="1" w:styleId="77">
    <w:name w:val="zw正文"/>
    <w:basedOn w:val="1"/>
    <w:link w:val="76"/>
    <w:autoRedefine/>
    <w:qFormat/>
    <w:uiPriority w:val="0"/>
    <w:pPr>
      <w:spacing w:line="360" w:lineRule="auto"/>
      <w:ind w:firstLine="200" w:firstLineChars="200"/>
      <w:jc w:val="left"/>
    </w:pPr>
    <w:rPr>
      <w:rFonts w:ascii="宋体"/>
      <w:b/>
      <w:spacing w:val="10"/>
      <w:sz w:val="24"/>
      <w:szCs w:val="20"/>
    </w:rPr>
  </w:style>
  <w:style w:type="character" w:customStyle="1" w:styleId="78">
    <w:name w:val="一级 Char Char"/>
    <w:link w:val="79"/>
    <w:autoRedefine/>
    <w:qFormat/>
    <w:uiPriority w:val="0"/>
    <w:rPr>
      <w:rFonts w:ascii="Arial Narrow" w:hAnsi="Arial Narrow" w:eastAsia="宋体"/>
      <w:b/>
      <w:spacing w:val="14"/>
      <w:kern w:val="2"/>
      <w:sz w:val="24"/>
      <w:szCs w:val="24"/>
      <w:lang w:bidi="ar-SA"/>
    </w:rPr>
  </w:style>
  <w:style w:type="paragraph" w:customStyle="1" w:styleId="79">
    <w:name w:val="一级"/>
    <w:basedOn w:val="80"/>
    <w:link w:val="78"/>
    <w:qFormat/>
    <w:uiPriority w:val="0"/>
    <w:pPr>
      <w:ind w:left="794" w:hanging="794"/>
      <w:jc w:val="left"/>
    </w:pPr>
    <w:rPr>
      <w:rFonts w:ascii="Arial Narrow" w:hAnsi="Arial Narrow"/>
      <w:b/>
    </w:rPr>
  </w:style>
  <w:style w:type="paragraph" w:customStyle="1" w:styleId="80">
    <w:name w:val="内容"/>
    <w:basedOn w:val="1"/>
    <w:link w:val="91"/>
    <w:qFormat/>
    <w:uiPriority w:val="0"/>
    <w:pPr>
      <w:spacing w:line="500" w:lineRule="exact"/>
      <w:ind w:left="851" w:hanging="851"/>
    </w:pPr>
    <w:rPr>
      <w:rFonts w:ascii="黑体" w:hAnsi="黑体"/>
      <w:spacing w:val="14"/>
      <w:sz w:val="24"/>
    </w:rPr>
  </w:style>
  <w:style w:type="character" w:customStyle="1" w:styleId="81">
    <w:name w:val="纯文本 Char Char Char"/>
    <w:autoRedefine/>
    <w:qFormat/>
    <w:uiPriority w:val="0"/>
    <w:rPr>
      <w:rFonts w:ascii="宋体" w:hAnsi="Courier New" w:eastAsia="宋体" w:cs="Courier New"/>
      <w:kern w:val="2"/>
      <w:sz w:val="21"/>
      <w:szCs w:val="21"/>
      <w:lang w:val="en-US" w:eastAsia="zh-CN" w:bidi="ar-SA"/>
    </w:rPr>
  </w:style>
  <w:style w:type="character" w:customStyle="1" w:styleId="82">
    <w:name w:val="文档结构图 Char"/>
    <w:link w:val="16"/>
    <w:qFormat/>
    <w:uiPriority w:val="0"/>
    <w:rPr>
      <w:rFonts w:eastAsia="宋体"/>
      <w:kern w:val="2"/>
      <w:sz w:val="21"/>
      <w:szCs w:val="24"/>
      <w:lang w:val="en-US" w:eastAsia="zh-CN" w:bidi="ar-SA"/>
    </w:rPr>
  </w:style>
  <w:style w:type="character" w:customStyle="1" w:styleId="83">
    <w:name w:val="结束语 Char"/>
    <w:link w:val="22"/>
    <w:qFormat/>
    <w:uiPriority w:val="0"/>
    <w:rPr>
      <w:sz w:val="24"/>
    </w:rPr>
  </w:style>
  <w:style w:type="character" w:customStyle="1" w:styleId="84">
    <w:name w:val="Char Char1211"/>
    <w:autoRedefine/>
    <w:qFormat/>
    <w:uiPriority w:val="0"/>
    <w:rPr>
      <w:rFonts w:ascii="宋体" w:hAnsi="Courier New" w:eastAsia="宋体" w:cs="Courier New"/>
      <w:szCs w:val="21"/>
    </w:rPr>
  </w:style>
  <w:style w:type="character" w:customStyle="1" w:styleId="85">
    <w:name w:val="小标题 Char Char"/>
    <w:link w:val="86"/>
    <w:autoRedefine/>
    <w:qFormat/>
    <w:uiPriority w:val="0"/>
    <w:rPr>
      <w:rFonts w:eastAsia="宋体"/>
      <w:b/>
      <w:kern w:val="2"/>
      <w:sz w:val="24"/>
      <w:szCs w:val="24"/>
      <w:lang w:val="en-US" w:eastAsia="zh-CN" w:bidi="ar-SA"/>
    </w:rPr>
  </w:style>
  <w:style w:type="paragraph" w:customStyle="1" w:styleId="86">
    <w:name w:val="小标题"/>
    <w:basedOn w:val="1"/>
    <w:link w:val="85"/>
    <w:qFormat/>
    <w:uiPriority w:val="0"/>
    <w:pPr>
      <w:spacing w:line="500" w:lineRule="exact"/>
      <w:ind w:firstLine="482" w:firstLineChars="200"/>
    </w:pPr>
    <w:rPr>
      <w:b/>
      <w:sz w:val="24"/>
    </w:rPr>
  </w:style>
  <w:style w:type="character" w:customStyle="1" w:styleId="87">
    <w:name w:val="上标"/>
    <w:autoRedefine/>
    <w:qFormat/>
    <w:uiPriority w:val="0"/>
    <w:rPr>
      <w:u w:val="none"/>
      <w:vertAlign w:val="superscript"/>
    </w:rPr>
  </w:style>
  <w:style w:type="character" w:customStyle="1" w:styleId="88">
    <w:name w:val="样式2 Char Char"/>
    <w:link w:val="89"/>
    <w:autoRedefine/>
    <w:qFormat/>
    <w:uiPriority w:val="0"/>
    <w:rPr>
      <w:rFonts w:ascii="黑体" w:hAnsi="黑体" w:eastAsia="宋体"/>
      <w:spacing w:val="14"/>
      <w:kern w:val="2"/>
      <w:sz w:val="28"/>
      <w:szCs w:val="24"/>
      <w:lang w:val="en-US" w:eastAsia="zh-CN" w:bidi="ar-SA"/>
    </w:rPr>
  </w:style>
  <w:style w:type="paragraph" w:customStyle="1" w:styleId="89">
    <w:name w:val="样式2"/>
    <w:basedOn w:val="1"/>
    <w:link w:val="88"/>
    <w:qFormat/>
    <w:uiPriority w:val="0"/>
    <w:pPr>
      <w:spacing w:line="360" w:lineRule="auto"/>
    </w:pPr>
    <w:rPr>
      <w:sz w:val="28"/>
    </w:rPr>
  </w:style>
  <w:style w:type="character" w:customStyle="1" w:styleId="90">
    <w:name w:val="尾注文本 Char"/>
    <w:link w:val="35"/>
    <w:autoRedefine/>
    <w:qFormat/>
    <w:uiPriority w:val="0"/>
    <w:rPr>
      <w:kern w:val="2"/>
      <w:sz w:val="21"/>
      <w:szCs w:val="24"/>
    </w:rPr>
  </w:style>
  <w:style w:type="character" w:customStyle="1" w:styleId="91">
    <w:name w:val="内容 Char Char"/>
    <w:link w:val="80"/>
    <w:autoRedefine/>
    <w:qFormat/>
    <w:uiPriority w:val="0"/>
    <w:rPr>
      <w:rFonts w:ascii="黑体" w:hAnsi="黑体" w:eastAsia="宋体"/>
      <w:spacing w:val="14"/>
      <w:kern w:val="2"/>
      <w:sz w:val="24"/>
      <w:szCs w:val="24"/>
      <w:lang w:bidi="ar-SA"/>
    </w:rPr>
  </w:style>
  <w:style w:type="character" w:customStyle="1" w:styleId="92">
    <w:name w:val="样式 宋体 小四 加粗1"/>
    <w:qFormat/>
    <w:uiPriority w:val="0"/>
    <w:rPr>
      <w:rFonts w:ascii="宋体" w:hAnsi="宋体"/>
      <w:b/>
      <w:bCs/>
      <w:kern w:val="28"/>
      <w:sz w:val="28"/>
    </w:rPr>
  </w:style>
  <w:style w:type="character" w:customStyle="1" w:styleId="93">
    <w:name w:val="内容1 Char Char"/>
    <w:link w:val="94"/>
    <w:qFormat/>
    <w:uiPriority w:val="0"/>
    <w:rPr>
      <w:rFonts w:ascii="仿宋" w:hAnsi="仿宋" w:eastAsia="宋体"/>
      <w:spacing w:val="14"/>
      <w:kern w:val="2"/>
      <w:sz w:val="24"/>
      <w:szCs w:val="24"/>
      <w:lang w:bidi="ar-SA"/>
    </w:rPr>
  </w:style>
  <w:style w:type="paragraph" w:customStyle="1" w:styleId="94">
    <w:name w:val="内容1"/>
    <w:basedOn w:val="80"/>
    <w:link w:val="93"/>
    <w:autoRedefine/>
    <w:qFormat/>
    <w:uiPriority w:val="0"/>
    <w:pPr>
      <w:ind w:left="304" w:leftChars="304" w:firstLine="536" w:firstLineChars="200"/>
    </w:pPr>
    <w:rPr>
      <w:rFonts w:ascii="仿宋" w:hAnsi="仿宋"/>
    </w:rPr>
  </w:style>
  <w:style w:type="character" w:customStyle="1" w:styleId="95">
    <w:name w:val="Char Char121"/>
    <w:autoRedefine/>
    <w:qFormat/>
    <w:uiPriority w:val="0"/>
    <w:rPr>
      <w:rFonts w:ascii="宋体" w:eastAsia="宋体" w:cs="Courier New"/>
      <w:szCs w:val="21"/>
    </w:rPr>
  </w:style>
  <w:style w:type="character" w:customStyle="1" w:styleId="96">
    <w:name w:val="二级标题 Char"/>
    <w:autoRedefine/>
    <w:qFormat/>
    <w:uiPriority w:val="0"/>
    <w:rPr>
      <w:rFonts w:eastAsia="黑体"/>
      <w:b/>
      <w:kern w:val="2"/>
      <w:sz w:val="32"/>
      <w:szCs w:val="32"/>
    </w:rPr>
  </w:style>
  <w:style w:type="character" w:customStyle="1" w:styleId="97">
    <w:name w:val="font21"/>
    <w:basedOn w:val="58"/>
    <w:autoRedefine/>
    <w:qFormat/>
    <w:uiPriority w:val="0"/>
    <w:rPr>
      <w:rFonts w:hint="eastAsia" w:ascii="宋体" w:hAnsi="宋体" w:eastAsia="宋体"/>
      <w:color w:val="000000"/>
      <w:sz w:val="20"/>
      <w:szCs w:val="20"/>
      <w:u w:val="none"/>
      <w:vertAlign w:val="superscript"/>
    </w:rPr>
  </w:style>
  <w:style w:type="character" w:customStyle="1" w:styleId="98">
    <w:name w:val="样式 说明书正文 + 宋体 左 首行缩进:  2 字符 Char Char"/>
    <w:link w:val="99"/>
    <w:qFormat/>
    <w:uiPriority w:val="0"/>
    <w:rPr>
      <w:rFonts w:ascii="宋体" w:hAnsi="宋体" w:eastAsia="宋体"/>
      <w:spacing w:val="10"/>
      <w:kern w:val="2"/>
      <w:sz w:val="24"/>
      <w:lang w:val="en-US" w:eastAsia="zh-CN" w:bidi="ar-SA"/>
    </w:rPr>
  </w:style>
  <w:style w:type="paragraph" w:customStyle="1" w:styleId="99">
    <w:name w:val="样式 说明书正文 + 宋体 左 首行缩进:  2 字符"/>
    <w:basedOn w:val="1"/>
    <w:link w:val="98"/>
    <w:autoRedefine/>
    <w:qFormat/>
    <w:uiPriority w:val="0"/>
    <w:pPr>
      <w:spacing w:line="480" w:lineRule="exact"/>
      <w:ind w:firstLine="600" w:firstLineChars="200"/>
      <w:jc w:val="left"/>
    </w:pPr>
    <w:rPr>
      <w:rFonts w:ascii="宋体" w:hAnsi="宋体"/>
      <w:spacing w:val="10"/>
      <w:sz w:val="24"/>
      <w:szCs w:val="20"/>
    </w:rPr>
  </w:style>
  <w:style w:type="character" w:customStyle="1" w:styleId="100">
    <w:name w:val="正文 Char Char Char Char Char Char"/>
    <w:link w:val="101"/>
    <w:qFormat/>
    <w:uiPriority w:val="0"/>
    <w:rPr>
      <w:rFonts w:ascii="Arial Narrow" w:hAnsi="Arial Narrow"/>
      <w:spacing w:val="14"/>
      <w:kern w:val="2"/>
      <w:sz w:val="28"/>
      <w:lang w:bidi="ar-SA"/>
    </w:rPr>
  </w:style>
  <w:style w:type="paragraph" w:customStyle="1" w:styleId="101">
    <w:name w:val="正文[858D7CFB-ED40-4347-BF05-701D383B685F][858D7CFB-ED40-4347-BF05-701D383B685F]"/>
    <w:basedOn w:val="1"/>
    <w:link w:val="100"/>
    <w:qFormat/>
    <w:uiPriority w:val="0"/>
    <w:pPr>
      <w:spacing w:line="460" w:lineRule="exact"/>
      <w:ind w:left="706" w:leftChars="252" w:firstLine="779" w:firstLineChars="253"/>
    </w:pPr>
    <w:rPr>
      <w:rFonts w:ascii="Arial Narrow" w:hAnsi="Arial Narrow"/>
      <w:spacing w:val="14"/>
      <w:sz w:val="28"/>
    </w:rPr>
  </w:style>
  <w:style w:type="character" w:customStyle="1" w:styleId="102">
    <w:name w:val="font91"/>
    <w:basedOn w:val="58"/>
    <w:autoRedefine/>
    <w:qFormat/>
    <w:uiPriority w:val="0"/>
    <w:rPr>
      <w:rFonts w:hint="eastAsia" w:ascii="宋体" w:hAnsi="宋体" w:eastAsia="宋体"/>
      <w:color w:val="000000"/>
      <w:sz w:val="20"/>
      <w:szCs w:val="20"/>
      <w:u w:val="none"/>
      <w:vertAlign w:val="subscript"/>
    </w:rPr>
  </w:style>
  <w:style w:type="character" w:customStyle="1" w:styleId="103">
    <w:name w:val="Char Char18"/>
    <w:autoRedefine/>
    <w:qFormat/>
    <w:uiPriority w:val="0"/>
    <w:rPr>
      <w:rFonts w:ascii="Arial" w:hAnsi="Arial" w:eastAsia="黑体" w:cs="Times New Roman"/>
      <w:b/>
      <w:kern w:val="0"/>
      <w:sz w:val="24"/>
      <w:szCs w:val="20"/>
    </w:rPr>
  </w:style>
  <w:style w:type="character" w:customStyle="1" w:styleId="104">
    <w:name w:val="font01"/>
    <w:basedOn w:val="58"/>
    <w:autoRedefine/>
    <w:qFormat/>
    <w:uiPriority w:val="0"/>
    <w:rPr>
      <w:rFonts w:hint="eastAsia" w:ascii="宋体" w:hAnsi="宋体" w:eastAsia="宋体"/>
      <w:color w:val="000000"/>
      <w:sz w:val="24"/>
      <w:szCs w:val="24"/>
      <w:u w:val="none"/>
    </w:rPr>
  </w:style>
  <w:style w:type="character" w:customStyle="1" w:styleId="105">
    <w:name w:val="样式 标题 2Title Header2标题 2XW + 加粗 Char Char"/>
    <w:autoRedefine/>
    <w:qFormat/>
    <w:uiPriority w:val="0"/>
    <w:rPr>
      <w:rFonts w:eastAsia="宋体"/>
      <w:b/>
      <w:bCs/>
      <w:kern w:val="2"/>
      <w:sz w:val="28"/>
      <w:szCs w:val="24"/>
      <w:lang w:val="en-US" w:eastAsia="zh-CN" w:bidi="ar-SA"/>
    </w:rPr>
  </w:style>
  <w:style w:type="character" w:customStyle="1" w:styleId="106">
    <w:name w:val="font31"/>
    <w:basedOn w:val="58"/>
    <w:autoRedefine/>
    <w:qFormat/>
    <w:uiPriority w:val="0"/>
    <w:rPr>
      <w:rFonts w:hint="eastAsia" w:ascii="华文新魏" w:eastAsia="华文新魏"/>
      <w:color w:val="000000"/>
      <w:sz w:val="18"/>
      <w:szCs w:val="18"/>
      <w:u w:val="none"/>
    </w:rPr>
  </w:style>
  <w:style w:type="character" w:customStyle="1" w:styleId="107">
    <w:name w:val="页眉 Char"/>
    <w:link w:val="37"/>
    <w:autoRedefine/>
    <w:qFormat/>
    <w:uiPriority w:val="0"/>
    <w:rPr>
      <w:rFonts w:eastAsia="宋体"/>
      <w:kern w:val="2"/>
      <w:sz w:val="18"/>
      <w:szCs w:val="18"/>
      <w:lang w:val="en-US" w:eastAsia="zh-CN" w:bidi="ar-SA"/>
    </w:rPr>
  </w:style>
  <w:style w:type="character" w:customStyle="1" w:styleId="108">
    <w:name w:val="Char Char20"/>
    <w:autoRedefine/>
    <w:qFormat/>
    <w:uiPriority w:val="0"/>
    <w:rPr>
      <w:rFonts w:ascii="Arial" w:hAnsi="Arial" w:eastAsia="黑体" w:cs="Times New Roman"/>
      <w:b/>
      <w:kern w:val="0"/>
      <w:sz w:val="28"/>
      <w:szCs w:val="20"/>
    </w:rPr>
  </w:style>
  <w:style w:type="character" w:customStyle="1" w:styleId="109">
    <w:name w:val="正文格式 Char Char"/>
    <w:link w:val="110"/>
    <w:autoRedefine/>
    <w:qFormat/>
    <w:uiPriority w:val="0"/>
    <w:rPr>
      <w:rFonts w:eastAsia="仿宋_GB2312"/>
      <w:kern w:val="2"/>
      <w:sz w:val="28"/>
      <w:szCs w:val="24"/>
    </w:rPr>
  </w:style>
  <w:style w:type="paragraph" w:customStyle="1" w:styleId="110">
    <w:name w:val="正文格式"/>
    <w:basedOn w:val="1"/>
    <w:link w:val="109"/>
    <w:autoRedefine/>
    <w:qFormat/>
    <w:uiPriority w:val="0"/>
    <w:pPr>
      <w:spacing w:line="480" w:lineRule="exact"/>
      <w:ind w:firstLine="567"/>
    </w:pPr>
    <w:rPr>
      <w:rFonts w:eastAsia="仿宋_GB2312"/>
      <w:sz w:val="28"/>
    </w:rPr>
  </w:style>
  <w:style w:type="character" w:customStyle="1" w:styleId="111">
    <w:name w:val="1219正文样式 Char Char"/>
    <w:link w:val="112"/>
    <w:autoRedefine/>
    <w:qFormat/>
    <w:uiPriority w:val="0"/>
    <w:rPr>
      <w:rFonts w:ascii="宋体" w:hAnsi="宋体"/>
      <w:bCs/>
      <w:kern w:val="2"/>
      <w:sz w:val="28"/>
      <w:szCs w:val="28"/>
      <w:lang w:val="en-US" w:eastAsia="zh-CN" w:bidi="ar-SA"/>
    </w:rPr>
  </w:style>
  <w:style w:type="paragraph" w:customStyle="1" w:styleId="112">
    <w:name w:val="1219正文样式"/>
    <w:link w:val="111"/>
    <w:autoRedefine/>
    <w:qFormat/>
    <w:uiPriority w:val="0"/>
    <w:pPr>
      <w:widowControl w:val="0"/>
      <w:adjustRightInd w:val="0"/>
      <w:snapToGrid w:val="0"/>
      <w:spacing w:line="336" w:lineRule="auto"/>
      <w:ind w:firstLine="560" w:firstLineChars="200"/>
      <w:jc w:val="both"/>
    </w:pPr>
    <w:rPr>
      <w:rFonts w:ascii="宋体" w:hAnsi="宋体" w:eastAsia="宋体" w:cs="Times New Roman"/>
      <w:bCs/>
      <w:kern w:val="2"/>
      <w:sz w:val="28"/>
      <w:szCs w:val="28"/>
      <w:lang w:val="en-US" w:eastAsia="zh-CN" w:bidi="ar-SA"/>
    </w:rPr>
  </w:style>
  <w:style w:type="character" w:customStyle="1" w:styleId="113">
    <w:name w:val="正文文本缩进 3 Char1"/>
    <w:autoRedefine/>
    <w:qFormat/>
    <w:uiPriority w:val="0"/>
    <w:rPr>
      <w:kern w:val="2"/>
      <w:sz w:val="16"/>
      <w:szCs w:val="16"/>
    </w:rPr>
  </w:style>
  <w:style w:type="character" w:customStyle="1" w:styleId="114">
    <w:name w:val="样式 宋体 小四 加粗"/>
    <w:autoRedefine/>
    <w:qFormat/>
    <w:uiPriority w:val="0"/>
    <w:rPr>
      <w:rFonts w:ascii="宋体" w:hAnsi="宋体" w:eastAsia="宋体"/>
      <w:b/>
      <w:bCs/>
      <w:sz w:val="28"/>
    </w:rPr>
  </w:style>
  <w:style w:type="character" w:customStyle="1" w:styleId="115">
    <w:name w:val="Para head"/>
    <w:autoRedefine/>
    <w:qFormat/>
    <w:uiPriority w:val="0"/>
    <w:rPr>
      <w:rFonts w:ascii="Arial" w:hAnsi="Arial" w:eastAsia="Times New Roman"/>
      <w:sz w:val="20"/>
    </w:rPr>
  </w:style>
  <w:style w:type="character" w:customStyle="1" w:styleId="116">
    <w:name w:val="表格名 Char Char"/>
    <w:link w:val="117"/>
    <w:autoRedefine/>
    <w:qFormat/>
    <w:uiPriority w:val="0"/>
    <w:rPr>
      <w:rFonts w:eastAsia="黑体"/>
      <w:spacing w:val="10"/>
      <w:kern w:val="2"/>
      <w:sz w:val="24"/>
      <w:lang w:val="en-US" w:eastAsia="zh-CN" w:bidi="ar-SA"/>
    </w:rPr>
  </w:style>
  <w:style w:type="paragraph" w:customStyle="1" w:styleId="117">
    <w:name w:val="表格名"/>
    <w:basedOn w:val="1"/>
    <w:link w:val="116"/>
    <w:autoRedefine/>
    <w:qFormat/>
    <w:uiPriority w:val="0"/>
    <w:pPr>
      <w:adjustRightInd w:val="0"/>
      <w:spacing w:line="240" w:lineRule="atLeast"/>
      <w:jc w:val="center"/>
    </w:pPr>
    <w:rPr>
      <w:rFonts w:eastAsia="黑体"/>
      <w:spacing w:val="10"/>
      <w:sz w:val="24"/>
      <w:szCs w:val="20"/>
    </w:rPr>
  </w:style>
  <w:style w:type="character" w:customStyle="1" w:styleId="118">
    <w:name w:val="apple-style-span"/>
    <w:basedOn w:val="58"/>
    <w:autoRedefine/>
    <w:qFormat/>
    <w:uiPriority w:val="0"/>
  </w:style>
  <w:style w:type="character" w:customStyle="1" w:styleId="119">
    <w:name w:val="标题 1 Char"/>
    <w:link w:val="2"/>
    <w:autoRedefine/>
    <w:qFormat/>
    <w:uiPriority w:val="0"/>
    <w:rPr>
      <w:rFonts w:ascii="宋体" w:hAnsi="宋体" w:eastAsia="宋体" w:cs="Arial"/>
      <w:b/>
      <w:color w:val="000000"/>
      <w:sz w:val="24"/>
      <w:szCs w:val="24"/>
      <w:lang w:val="en-US" w:eastAsia="zh-CN" w:bidi="ar-SA"/>
    </w:rPr>
  </w:style>
  <w:style w:type="character" w:customStyle="1" w:styleId="120">
    <w:name w:val="正文缩进 Char"/>
    <w:link w:val="15"/>
    <w:autoRedefine/>
    <w:qFormat/>
    <w:uiPriority w:val="0"/>
    <w:rPr>
      <w:rFonts w:eastAsia="宋体"/>
      <w:kern w:val="2"/>
      <w:sz w:val="21"/>
      <w:szCs w:val="24"/>
      <w:lang w:val="en-US" w:eastAsia="zh-CN" w:bidi="ar-SA"/>
    </w:rPr>
  </w:style>
  <w:style w:type="character" w:customStyle="1" w:styleId="121">
    <w:name w:val="正文格式 Char Char1"/>
    <w:link w:val="122"/>
    <w:autoRedefine/>
    <w:qFormat/>
    <w:uiPriority w:val="0"/>
    <w:rPr>
      <w:rFonts w:eastAsia="仿宋_GB2312"/>
      <w:kern w:val="2"/>
      <w:sz w:val="28"/>
      <w:szCs w:val="24"/>
      <w:lang w:val="en-US" w:eastAsia="zh-CN" w:bidi="ar-SA"/>
    </w:rPr>
  </w:style>
  <w:style w:type="paragraph" w:customStyle="1" w:styleId="122">
    <w:name w:val="正文格式1"/>
    <w:basedOn w:val="1"/>
    <w:link w:val="121"/>
    <w:autoRedefine/>
    <w:qFormat/>
    <w:uiPriority w:val="0"/>
    <w:pPr>
      <w:spacing w:line="480" w:lineRule="exact"/>
      <w:ind w:firstLine="567"/>
    </w:pPr>
    <w:rPr>
      <w:rFonts w:eastAsia="仿宋_GB2312"/>
      <w:sz w:val="28"/>
    </w:rPr>
  </w:style>
  <w:style w:type="character" w:customStyle="1" w:styleId="123">
    <w:name w:val="1219正文样式 Char Char Char"/>
    <w:autoRedefine/>
    <w:qFormat/>
    <w:uiPriority w:val="0"/>
    <w:rPr>
      <w:rFonts w:ascii="宋体" w:hAnsi="宋体"/>
      <w:bCs/>
      <w:kern w:val="2"/>
      <w:sz w:val="28"/>
      <w:szCs w:val="28"/>
      <w:lang w:val="en-US" w:eastAsia="zh-CN" w:bidi="ar-SA"/>
    </w:rPr>
  </w:style>
  <w:style w:type="character" w:customStyle="1" w:styleId="124">
    <w:name w:val="标题 3 Char"/>
    <w:link w:val="4"/>
    <w:autoRedefine/>
    <w:qFormat/>
    <w:uiPriority w:val="0"/>
    <w:rPr>
      <w:rFonts w:eastAsia="宋体"/>
      <w:b/>
      <w:sz w:val="24"/>
      <w:lang w:val="en-US" w:eastAsia="zh-CN" w:bidi="ar-SA"/>
    </w:rPr>
  </w:style>
  <w:style w:type="character" w:customStyle="1" w:styleId="125">
    <w:name w:val="副标题 Char"/>
    <w:link w:val="40"/>
    <w:autoRedefine/>
    <w:qFormat/>
    <w:uiPriority w:val="0"/>
    <w:rPr>
      <w:b/>
      <w:bCs/>
      <w:sz w:val="24"/>
      <w:szCs w:val="32"/>
    </w:rPr>
  </w:style>
  <w:style w:type="character" w:customStyle="1" w:styleId="126">
    <w:name w:val="标题 4 Char"/>
    <w:link w:val="5"/>
    <w:autoRedefine/>
    <w:qFormat/>
    <w:uiPriority w:val="0"/>
    <w:rPr>
      <w:rFonts w:ascii="Arial" w:hAnsi="Arial" w:eastAsia="黑体"/>
      <w:b/>
      <w:kern w:val="2"/>
      <w:sz w:val="28"/>
      <w:szCs w:val="24"/>
      <w:lang w:val="en-US" w:eastAsia="zh-CN" w:bidi="ar-SA"/>
    </w:rPr>
  </w:style>
  <w:style w:type="character" w:customStyle="1" w:styleId="127">
    <w:name w:val="内容123 Char Char"/>
    <w:link w:val="128"/>
    <w:autoRedefine/>
    <w:qFormat/>
    <w:uiPriority w:val="0"/>
    <w:rPr>
      <w:rFonts w:ascii="Arial Narrow" w:hAnsi="Arial Narrow"/>
      <w:spacing w:val="14"/>
      <w:kern w:val="2"/>
      <w:sz w:val="24"/>
      <w:lang w:bidi="ar-SA"/>
    </w:rPr>
  </w:style>
  <w:style w:type="paragraph" w:customStyle="1" w:styleId="128">
    <w:name w:val="内容123"/>
    <w:basedOn w:val="101"/>
    <w:link w:val="127"/>
    <w:autoRedefine/>
    <w:qFormat/>
    <w:uiPriority w:val="0"/>
    <w:pPr>
      <w:ind w:firstLine="568" w:firstLineChars="212"/>
    </w:pPr>
    <w:rPr>
      <w:sz w:val="24"/>
    </w:rPr>
  </w:style>
  <w:style w:type="character" w:customStyle="1" w:styleId="129">
    <w:name w:val="标题 5 Char"/>
    <w:link w:val="6"/>
    <w:autoRedefine/>
    <w:qFormat/>
    <w:uiPriority w:val="0"/>
    <w:rPr>
      <w:rFonts w:eastAsia="宋体"/>
      <w:b/>
      <w:kern w:val="2"/>
      <w:sz w:val="28"/>
      <w:szCs w:val="24"/>
      <w:lang w:val="en-US" w:eastAsia="zh-CN" w:bidi="ar-SA"/>
    </w:rPr>
  </w:style>
  <w:style w:type="character" w:customStyle="1" w:styleId="130">
    <w:name w:val="font201"/>
    <w:autoRedefine/>
    <w:qFormat/>
    <w:uiPriority w:val="0"/>
  </w:style>
  <w:style w:type="character" w:customStyle="1" w:styleId="131">
    <w:name w:val="标题 6 Char"/>
    <w:link w:val="7"/>
    <w:autoRedefine/>
    <w:qFormat/>
    <w:uiPriority w:val="0"/>
    <w:rPr>
      <w:rFonts w:ascii="Arial" w:hAnsi="Arial" w:eastAsia="黑体"/>
      <w:b/>
      <w:kern w:val="2"/>
      <w:sz w:val="24"/>
      <w:szCs w:val="24"/>
      <w:lang w:val="en-US" w:eastAsia="zh-CN" w:bidi="ar-SA"/>
    </w:rPr>
  </w:style>
  <w:style w:type="character" w:customStyle="1" w:styleId="132">
    <w:name w:val="一级标题 Char Char"/>
    <w:link w:val="133"/>
    <w:autoRedefine/>
    <w:qFormat/>
    <w:uiPriority w:val="0"/>
    <w:rPr>
      <w:rFonts w:eastAsia="黑体"/>
      <w:b/>
      <w:kern w:val="2"/>
      <w:sz w:val="44"/>
      <w:szCs w:val="44"/>
      <w:lang w:val="en-US" w:eastAsia="zh-CN" w:bidi="ar-SA"/>
    </w:rPr>
  </w:style>
  <w:style w:type="paragraph" w:customStyle="1" w:styleId="133">
    <w:name w:val="一级标题"/>
    <w:basedOn w:val="1"/>
    <w:link w:val="132"/>
    <w:autoRedefine/>
    <w:qFormat/>
    <w:uiPriority w:val="0"/>
    <w:pPr>
      <w:tabs>
        <w:tab w:val="left" w:pos="6480"/>
        <w:tab w:val="left" w:pos="8232"/>
        <w:tab w:val="left" w:pos="8280"/>
      </w:tabs>
      <w:spacing w:beforeLines="200" w:afterLines="200"/>
      <w:jc w:val="center"/>
      <w:outlineLvl w:val="0"/>
    </w:pPr>
    <w:rPr>
      <w:rFonts w:eastAsia="黑体"/>
      <w:b/>
      <w:sz w:val="44"/>
      <w:szCs w:val="44"/>
    </w:rPr>
  </w:style>
  <w:style w:type="character" w:customStyle="1" w:styleId="134">
    <w:name w:val="标题 7 Char"/>
    <w:link w:val="8"/>
    <w:autoRedefine/>
    <w:qFormat/>
    <w:uiPriority w:val="0"/>
    <w:rPr>
      <w:rFonts w:eastAsia="宋体"/>
      <w:b/>
      <w:kern w:val="2"/>
      <w:sz w:val="24"/>
      <w:szCs w:val="24"/>
      <w:lang w:val="en-US" w:eastAsia="zh-CN" w:bidi="ar-SA"/>
    </w:rPr>
  </w:style>
  <w:style w:type="character" w:customStyle="1" w:styleId="135">
    <w:name w:val="正文缩进 Char Char2"/>
    <w:autoRedefine/>
    <w:qFormat/>
    <w:uiPriority w:val="0"/>
    <w:rPr>
      <w:rFonts w:eastAsia="宋体"/>
      <w:kern w:val="2"/>
      <w:sz w:val="21"/>
      <w:szCs w:val="24"/>
      <w:lang w:val="en-US" w:eastAsia="zh-CN" w:bidi="ar-SA"/>
    </w:rPr>
  </w:style>
  <w:style w:type="character" w:customStyle="1" w:styleId="136">
    <w:name w:val="标题 8 Char"/>
    <w:link w:val="9"/>
    <w:autoRedefine/>
    <w:qFormat/>
    <w:uiPriority w:val="0"/>
    <w:rPr>
      <w:rFonts w:ascii="Arial" w:hAnsi="Arial" w:eastAsia="黑体"/>
      <w:kern w:val="2"/>
      <w:sz w:val="24"/>
      <w:szCs w:val="24"/>
      <w:lang w:val="en-US" w:eastAsia="zh-CN" w:bidi="ar-SA"/>
    </w:rPr>
  </w:style>
  <w:style w:type="character" w:customStyle="1" w:styleId="137">
    <w:name w:val="正文文本 Char"/>
    <w:link w:val="23"/>
    <w:autoRedefine/>
    <w:qFormat/>
    <w:uiPriority w:val="0"/>
    <w:rPr>
      <w:rFonts w:ascii="宋体" w:hAnsi="宋体" w:eastAsia="宋体"/>
      <w:color w:val="000000"/>
      <w:kern w:val="2"/>
      <w:sz w:val="24"/>
      <w:szCs w:val="24"/>
      <w:lang w:val="en-US" w:eastAsia="zh-CN" w:bidi="ar-SA"/>
    </w:rPr>
  </w:style>
  <w:style w:type="character" w:customStyle="1" w:styleId="138">
    <w:name w:val="标题 9 Char"/>
    <w:link w:val="10"/>
    <w:autoRedefine/>
    <w:qFormat/>
    <w:uiPriority w:val="0"/>
    <w:rPr>
      <w:rFonts w:ascii="Arial" w:hAnsi="Arial" w:eastAsia="黑体"/>
      <w:kern w:val="2"/>
      <w:sz w:val="21"/>
      <w:szCs w:val="24"/>
      <w:lang w:val="en-US" w:eastAsia="zh-CN" w:bidi="ar-SA"/>
    </w:rPr>
  </w:style>
  <w:style w:type="character" w:customStyle="1" w:styleId="139">
    <w:name w:val="正文首行缩进 Char"/>
    <w:link w:val="54"/>
    <w:autoRedefine/>
    <w:qFormat/>
    <w:uiPriority w:val="0"/>
    <w:rPr>
      <w:rFonts w:ascii="Arial" w:hAnsi="Arial" w:eastAsia="宋体"/>
      <w:color w:val="000000"/>
      <w:spacing w:val="-5"/>
      <w:kern w:val="2"/>
      <w:sz w:val="24"/>
      <w:szCs w:val="24"/>
      <w:lang w:val="en-US" w:eastAsia="zh-CN" w:bidi="ar-SA"/>
    </w:rPr>
  </w:style>
  <w:style w:type="character" w:customStyle="1" w:styleId="140">
    <w:name w:val="Header Char"/>
    <w:autoRedefine/>
    <w:qFormat/>
    <w:uiPriority w:val="0"/>
    <w:rPr>
      <w:rFonts w:eastAsia="宋体"/>
      <w:sz w:val="18"/>
      <w:lang w:val="en-US" w:eastAsia="zh-CN" w:bidi="ar-SA"/>
    </w:rPr>
  </w:style>
  <w:style w:type="character" w:customStyle="1" w:styleId="141">
    <w:name w:val="表格内容小5 Char Char"/>
    <w:link w:val="142"/>
    <w:autoRedefine/>
    <w:qFormat/>
    <w:uiPriority w:val="0"/>
    <w:rPr>
      <w:rFonts w:ascii="宋体" w:hAnsi="宋体" w:eastAsia="宋体"/>
      <w:color w:val="000000"/>
      <w:sz w:val="18"/>
      <w:szCs w:val="21"/>
      <w:lang w:bidi="ar-SA"/>
    </w:rPr>
  </w:style>
  <w:style w:type="paragraph" w:customStyle="1" w:styleId="142">
    <w:name w:val="表格内容小5"/>
    <w:basedOn w:val="1"/>
    <w:link w:val="141"/>
    <w:autoRedefine/>
    <w:qFormat/>
    <w:uiPriority w:val="0"/>
    <w:pPr>
      <w:widowControl/>
      <w:spacing w:line="240" w:lineRule="exact"/>
      <w:jc w:val="center"/>
    </w:pPr>
    <w:rPr>
      <w:rFonts w:ascii="宋体" w:hAnsi="宋体"/>
      <w:color w:val="000000"/>
      <w:kern w:val="0"/>
      <w:sz w:val="18"/>
      <w:szCs w:val="21"/>
    </w:rPr>
  </w:style>
  <w:style w:type="character" w:customStyle="1" w:styleId="143">
    <w:name w:val="页脚 Char"/>
    <w:link w:val="36"/>
    <w:autoRedefine/>
    <w:qFormat/>
    <w:uiPriority w:val="0"/>
    <w:rPr>
      <w:rFonts w:eastAsia="宋体"/>
      <w:kern w:val="2"/>
      <w:sz w:val="18"/>
      <w:szCs w:val="18"/>
      <w:lang w:val="en-US" w:eastAsia="zh-CN" w:bidi="ar-SA"/>
    </w:rPr>
  </w:style>
  <w:style w:type="character" w:customStyle="1" w:styleId="144">
    <w:name w:val="列出段落 Char"/>
    <w:link w:val="72"/>
    <w:autoRedefine/>
    <w:qFormat/>
    <w:uiPriority w:val="0"/>
    <w:rPr>
      <w:rFonts w:eastAsia="宋体"/>
      <w:kern w:val="2"/>
      <w:sz w:val="21"/>
      <w:lang w:val="en-US" w:eastAsia="zh-CN" w:bidi="ar-SA"/>
    </w:rPr>
  </w:style>
  <w:style w:type="character" w:customStyle="1" w:styleId="145">
    <w:name w:val="样式 宋体 四号"/>
    <w:autoRedefine/>
    <w:qFormat/>
    <w:uiPriority w:val="0"/>
    <w:rPr>
      <w:rFonts w:ascii="宋体" w:hAnsi="宋体"/>
      <w:sz w:val="28"/>
    </w:rPr>
  </w:style>
  <w:style w:type="character" w:customStyle="1" w:styleId="146">
    <w:name w:val="正文文本 2 Char"/>
    <w:link w:val="47"/>
    <w:autoRedefine/>
    <w:qFormat/>
    <w:uiPriority w:val="0"/>
    <w:rPr>
      <w:rFonts w:eastAsia="宋体"/>
      <w:b/>
      <w:kern w:val="2"/>
      <w:sz w:val="28"/>
      <w:lang w:val="en-US" w:eastAsia="zh-CN" w:bidi="ar-SA"/>
    </w:rPr>
  </w:style>
  <w:style w:type="character" w:customStyle="1" w:styleId="147">
    <w:name w:val="正文 Char Char Char Char Char"/>
    <w:link w:val="148"/>
    <w:autoRedefine/>
    <w:qFormat/>
    <w:uiPriority w:val="0"/>
    <w:rPr>
      <w:rFonts w:ascii="宋体" w:hAnsi="宋体" w:eastAsia="宋体" w:cs="宋体"/>
      <w:kern w:val="2"/>
      <w:sz w:val="21"/>
      <w:szCs w:val="21"/>
      <w:lang w:val="zh-CN" w:eastAsia="zh-CN" w:bidi="ar-SA"/>
    </w:rPr>
  </w:style>
  <w:style w:type="paragraph" w:customStyle="1" w:styleId="148">
    <w:name w:val="正文 Char Char"/>
    <w:basedOn w:val="1"/>
    <w:link w:val="147"/>
    <w:autoRedefine/>
    <w:qFormat/>
    <w:uiPriority w:val="0"/>
    <w:pPr>
      <w:widowControl/>
      <w:tabs>
        <w:tab w:val="left" w:pos="4660"/>
      </w:tabs>
      <w:spacing w:line="360" w:lineRule="auto"/>
      <w:ind w:firstLine="420" w:firstLineChars="200"/>
    </w:pPr>
    <w:rPr>
      <w:rFonts w:ascii="宋体" w:hAnsi="宋体" w:cs="宋体"/>
      <w:szCs w:val="21"/>
      <w:lang w:val="zh-CN"/>
    </w:rPr>
  </w:style>
  <w:style w:type="character" w:customStyle="1" w:styleId="149">
    <w:name w:val="表格标题 Char Char"/>
    <w:link w:val="150"/>
    <w:autoRedefine/>
    <w:qFormat/>
    <w:uiPriority w:val="0"/>
    <w:rPr>
      <w:rFonts w:ascii="Arial" w:hAnsi="Arial" w:eastAsia="仿宋_GB2312"/>
      <w:b/>
      <w:sz w:val="24"/>
      <w:lang w:val="en-US" w:eastAsia="zh-CN" w:bidi="ar-SA"/>
    </w:rPr>
  </w:style>
  <w:style w:type="paragraph" w:customStyle="1" w:styleId="150">
    <w:name w:val="表格标题"/>
    <w:basedOn w:val="1"/>
    <w:next w:val="151"/>
    <w:link w:val="149"/>
    <w:autoRedefine/>
    <w:qFormat/>
    <w:uiPriority w:val="0"/>
    <w:pPr>
      <w:keepNext/>
      <w:widowControl/>
      <w:overflowPunct w:val="0"/>
      <w:adjustRightInd w:val="0"/>
      <w:snapToGrid w:val="0"/>
      <w:spacing w:before="360" w:after="120" w:line="480" w:lineRule="exact"/>
      <w:jc w:val="center"/>
      <w:textAlignment w:val="baseline"/>
    </w:pPr>
    <w:rPr>
      <w:rFonts w:ascii="Arial" w:hAnsi="Arial" w:eastAsia="仿宋_GB2312"/>
      <w:b/>
      <w:kern w:val="0"/>
      <w:sz w:val="24"/>
      <w:szCs w:val="20"/>
    </w:rPr>
  </w:style>
  <w:style w:type="paragraph" w:customStyle="1" w:styleId="151">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52">
    <w:name w:val="标题 1 Char1"/>
    <w:autoRedefine/>
    <w:qFormat/>
    <w:uiPriority w:val="0"/>
    <w:rPr>
      <w:rFonts w:ascii="Arial" w:hAnsi="Arial"/>
      <w:b/>
      <w:kern w:val="28"/>
      <w:sz w:val="28"/>
    </w:rPr>
  </w:style>
  <w:style w:type="character" w:customStyle="1" w:styleId="153">
    <w:name w:val="纯文本 Char"/>
    <w:link w:val="31"/>
    <w:autoRedefine/>
    <w:qFormat/>
    <w:uiPriority w:val="0"/>
    <w:rPr>
      <w:rFonts w:ascii="宋体" w:hAnsi="Courier New" w:eastAsia="宋体"/>
      <w:kern w:val="2"/>
      <w:sz w:val="21"/>
      <w:lang w:val="en-US" w:eastAsia="zh-CN" w:bidi="ar-SA"/>
    </w:rPr>
  </w:style>
  <w:style w:type="character" w:customStyle="1" w:styleId="154">
    <w:name w:val="ttitle Char Char"/>
    <w:link w:val="155"/>
    <w:autoRedefine/>
    <w:qFormat/>
    <w:uiPriority w:val="0"/>
    <w:rPr>
      <w:rFonts w:ascii="宋体" w:hAnsi="宋体" w:eastAsia="宋体"/>
      <w:spacing w:val="120"/>
      <w:sz w:val="21"/>
      <w:lang w:bidi="ar-SA"/>
    </w:rPr>
  </w:style>
  <w:style w:type="paragraph" w:customStyle="1" w:styleId="155">
    <w:name w:val="ttitle"/>
    <w:basedOn w:val="1"/>
    <w:next w:val="38"/>
    <w:link w:val="154"/>
    <w:autoRedefine/>
    <w:qFormat/>
    <w:uiPriority w:val="0"/>
    <w:pPr>
      <w:widowControl/>
      <w:spacing w:before="100" w:beforeAutospacing="1" w:after="100" w:afterAutospacing="1"/>
      <w:jc w:val="left"/>
    </w:pPr>
    <w:rPr>
      <w:rFonts w:ascii="宋体" w:hAnsi="宋体"/>
      <w:spacing w:val="120"/>
      <w:kern w:val="0"/>
      <w:szCs w:val="20"/>
    </w:rPr>
  </w:style>
  <w:style w:type="character" w:customStyle="1" w:styleId="156">
    <w:name w:val="一级1 Char Char"/>
    <w:basedOn w:val="78"/>
    <w:link w:val="157"/>
    <w:autoRedefine/>
    <w:qFormat/>
    <w:uiPriority w:val="0"/>
    <w:rPr>
      <w:rFonts w:ascii="Arial Narrow" w:hAnsi="Arial Narrow" w:eastAsia="宋体"/>
      <w:spacing w:val="14"/>
      <w:kern w:val="2"/>
      <w:sz w:val="24"/>
      <w:szCs w:val="24"/>
      <w:lang w:bidi="ar-SA"/>
    </w:rPr>
  </w:style>
  <w:style w:type="paragraph" w:customStyle="1" w:styleId="157">
    <w:name w:val="一级1"/>
    <w:basedOn w:val="79"/>
    <w:link w:val="156"/>
    <w:autoRedefine/>
    <w:qFormat/>
    <w:uiPriority w:val="0"/>
    <w:pPr>
      <w:spacing w:line="460" w:lineRule="exact"/>
    </w:pPr>
  </w:style>
  <w:style w:type="character" w:customStyle="1" w:styleId="158">
    <w:name w:val="样式 标题 2Title Header2标题 2XW + 加粗 Char1"/>
    <w:autoRedefine/>
    <w:qFormat/>
    <w:uiPriority w:val="0"/>
    <w:rPr>
      <w:rFonts w:ascii="宋体" w:hAnsi="宋体" w:eastAsia="宋体"/>
      <w:b/>
      <w:bCs/>
      <w:color w:val="FF0000"/>
      <w:kern w:val="2"/>
      <w:sz w:val="28"/>
      <w:szCs w:val="24"/>
      <w:lang w:val="en-US" w:eastAsia="zh-CN" w:bidi="ar-SA"/>
    </w:rPr>
  </w:style>
  <w:style w:type="character" w:customStyle="1" w:styleId="159">
    <w:name w:val="分项说明 Char Char"/>
    <w:link w:val="160"/>
    <w:autoRedefine/>
    <w:qFormat/>
    <w:uiPriority w:val="0"/>
    <w:rPr>
      <w:rFonts w:eastAsia="宋体"/>
      <w:kern w:val="2"/>
      <w:sz w:val="24"/>
      <w:szCs w:val="24"/>
      <w:lang w:val="en-US" w:eastAsia="zh-CN" w:bidi="ar-SA"/>
    </w:rPr>
  </w:style>
  <w:style w:type="paragraph" w:customStyle="1" w:styleId="160">
    <w:name w:val="分项说明"/>
    <w:basedOn w:val="72"/>
    <w:link w:val="159"/>
    <w:autoRedefine/>
    <w:qFormat/>
    <w:uiPriority w:val="0"/>
    <w:pPr>
      <w:spacing w:line="500" w:lineRule="exact"/>
      <w:ind w:firstLine="480"/>
    </w:pPr>
    <w:rPr>
      <w:sz w:val="24"/>
      <w:szCs w:val="24"/>
    </w:rPr>
  </w:style>
  <w:style w:type="character" w:customStyle="1" w:styleId="161">
    <w:name w:val="正文 Char Char Char Char"/>
    <w:autoRedefine/>
    <w:qFormat/>
    <w:uiPriority w:val="0"/>
    <w:rPr>
      <w:rFonts w:ascii="黑体" w:hAnsi="宋体" w:eastAsia="宋体" w:cs="Courier New"/>
      <w:b/>
      <w:sz w:val="24"/>
      <w:szCs w:val="24"/>
      <w:lang w:val="en-US" w:eastAsia="zh-CN" w:bidi="ar-SA"/>
    </w:rPr>
  </w:style>
  <w:style w:type="character" w:customStyle="1" w:styleId="162">
    <w:name w:val="Major Char"/>
    <w:autoRedefine/>
    <w:qFormat/>
    <w:uiPriority w:val="0"/>
    <w:rPr>
      <w:rFonts w:ascii="宋体" w:hAnsi="宋体" w:eastAsia="宋体"/>
      <w:b/>
      <w:bCs/>
      <w:color w:val="FF0000"/>
      <w:kern w:val="32"/>
      <w:sz w:val="28"/>
      <w:szCs w:val="28"/>
      <w:lang w:val="en-US" w:eastAsia="zh-CN" w:bidi="ar-SA"/>
    </w:rPr>
  </w:style>
  <w:style w:type="character" w:customStyle="1" w:styleId="163">
    <w:name w:val="Footer1 Char Char"/>
    <w:autoRedefine/>
    <w:qFormat/>
    <w:uiPriority w:val="0"/>
    <w:rPr>
      <w:rFonts w:ascii="宋体" w:hAnsi="宋体" w:eastAsia="宋体"/>
      <w:sz w:val="18"/>
      <w:szCs w:val="21"/>
      <w:lang w:val="en-US" w:eastAsia="zh-CN" w:bidi="ar-SA"/>
    </w:rPr>
  </w:style>
  <w:style w:type="character" w:customStyle="1" w:styleId="164">
    <w:name w:val="Char Char2"/>
    <w:autoRedefine/>
    <w:qFormat/>
    <w:uiPriority w:val="0"/>
    <w:rPr>
      <w:rFonts w:ascii="Arial" w:eastAsia="宋体"/>
      <w:b/>
      <w:bCs/>
      <w:kern w:val="28"/>
      <w:sz w:val="28"/>
      <w:lang w:val="en-US" w:eastAsia="zh-CN" w:bidi="ar-SA"/>
    </w:rPr>
  </w:style>
  <w:style w:type="character" w:customStyle="1" w:styleId="165">
    <w:name w:val="标题 Char"/>
    <w:link w:val="52"/>
    <w:autoRedefine/>
    <w:qFormat/>
    <w:uiPriority w:val="0"/>
    <w:rPr>
      <w:rFonts w:ascii="Arial" w:hAnsi="Arial" w:eastAsia="宋体" w:cs="Arial"/>
      <w:b/>
      <w:bCs/>
      <w:kern w:val="2"/>
      <w:sz w:val="32"/>
      <w:szCs w:val="32"/>
      <w:lang w:val="en-US" w:eastAsia="zh-CN" w:bidi="ar-SA"/>
    </w:rPr>
  </w:style>
  <w:style w:type="character" w:customStyle="1" w:styleId="166">
    <w:name w:val="表头ZY Char Char"/>
    <w:link w:val="167"/>
    <w:autoRedefine/>
    <w:qFormat/>
    <w:uiPriority w:val="0"/>
    <w:rPr>
      <w:rFonts w:ascii="Arial" w:hAnsi="Arial"/>
      <w:b/>
      <w:kern w:val="2"/>
      <w:sz w:val="24"/>
      <w:szCs w:val="24"/>
      <w:lang w:bidi="ar-SA"/>
    </w:rPr>
  </w:style>
  <w:style w:type="paragraph" w:customStyle="1" w:styleId="167">
    <w:name w:val="表头ZY"/>
    <w:basedOn w:val="1"/>
    <w:link w:val="166"/>
    <w:autoRedefine/>
    <w:qFormat/>
    <w:uiPriority w:val="0"/>
    <w:pPr>
      <w:spacing w:line="500" w:lineRule="exact"/>
      <w:jc w:val="center"/>
    </w:pPr>
    <w:rPr>
      <w:rFonts w:ascii="Arial" w:hAnsi="Arial"/>
      <w:b/>
      <w:sz w:val="24"/>
    </w:rPr>
  </w:style>
  <w:style w:type="character" w:customStyle="1" w:styleId="168">
    <w:name w:val="一、二 Char Char"/>
    <w:link w:val="169"/>
    <w:autoRedefine/>
    <w:qFormat/>
    <w:uiPriority w:val="0"/>
    <w:rPr>
      <w:rFonts w:eastAsia="黑体"/>
      <w:b/>
      <w:spacing w:val="10"/>
      <w:kern w:val="2"/>
      <w:sz w:val="28"/>
      <w:lang w:val="en-US" w:eastAsia="zh-CN" w:bidi="ar-SA"/>
    </w:rPr>
  </w:style>
  <w:style w:type="paragraph" w:customStyle="1" w:styleId="169">
    <w:name w:val="一、二"/>
    <w:basedOn w:val="1"/>
    <w:link w:val="168"/>
    <w:autoRedefine/>
    <w:qFormat/>
    <w:uiPriority w:val="0"/>
    <w:pPr>
      <w:keepLines/>
      <w:tabs>
        <w:tab w:val="left" w:pos="2550"/>
        <w:tab w:val="center" w:pos="4153"/>
      </w:tabs>
      <w:spacing w:beforeLines="50"/>
      <w:ind w:firstLine="200" w:firstLineChars="200"/>
      <w:jc w:val="left"/>
      <w:outlineLvl w:val="3"/>
    </w:pPr>
    <w:rPr>
      <w:rFonts w:eastAsia="黑体"/>
      <w:b/>
      <w:spacing w:val="10"/>
      <w:sz w:val="28"/>
      <w:szCs w:val="20"/>
    </w:rPr>
  </w:style>
  <w:style w:type="character" w:customStyle="1" w:styleId="170">
    <w:name w:val="日期 Char"/>
    <w:link w:val="33"/>
    <w:autoRedefine/>
    <w:qFormat/>
    <w:uiPriority w:val="0"/>
    <w:rPr>
      <w:rFonts w:ascii="宋体" w:eastAsia="宋体"/>
      <w:kern w:val="2"/>
      <w:sz w:val="21"/>
      <w:szCs w:val="24"/>
      <w:lang w:val="en-US" w:eastAsia="zh-CN" w:bidi="ar-SA"/>
    </w:rPr>
  </w:style>
  <w:style w:type="character" w:customStyle="1" w:styleId="171">
    <w:name w:val="正文文本缩进 3 Char"/>
    <w:link w:val="44"/>
    <w:autoRedefine/>
    <w:qFormat/>
    <w:uiPriority w:val="0"/>
    <w:rPr>
      <w:rFonts w:eastAsia="宋体"/>
      <w:kern w:val="2"/>
      <w:sz w:val="36"/>
      <w:szCs w:val="24"/>
      <w:lang w:val="en-US" w:eastAsia="zh-CN" w:bidi="ar-SA"/>
    </w:rPr>
  </w:style>
  <w:style w:type="character" w:customStyle="1" w:styleId="172">
    <w:name w:val="正文文字缩进 Char Char1"/>
    <w:autoRedefine/>
    <w:qFormat/>
    <w:uiPriority w:val="0"/>
    <w:rPr>
      <w:rFonts w:ascii="宋体" w:hAnsi="宋体" w:eastAsia="宋体"/>
      <w:kern w:val="2"/>
      <w:sz w:val="21"/>
      <w:szCs w:val="24"/>
      <w:lang w:val="en-US" w:eastAsia="zh-CN" w:bidi="ar-SA"/>
    </w:rPr>
  </w:style>
  <w:style w:type="character" w:customStyle="1" w:styleId="173">
    <w:name w:val="正文文本缩进 2 Char"/>
    <w:link w:val="34"/>
    <w:autoRedefine/>
    <w:qFormat/>
    <w:uiPriority w:val="0"/>
    <w:rPr>
      <w:rFonts w:eastAsia="宋体"/>
      <w:kern w:val="2"/>
      <w:sz w:val="24"/>
      <w:szCs w:val="24"/>
      <w:lang w:val="en-US" w:eastAsia="zh-CN" w:bidi="ar-SA"/>
    </w:rPr>
  </w:style>
  <w:style w:type="character" w:customStyle="1" w:styleId="174">
    <w:name w:val="不明显参考1"/>
    <w:autoRedefine/>
    <w:qFormat/>
    <w:uiPriority w:val="0"/>
    <w:rPr>
      <w:rFonts w:hAnsi="宋体"/>
      <w:color w:val="C00000"/>
      <w:kern w:val="0"/>
      <w:szCs w:val="21"/>
      <w:u w:val="double"/>
    </w:rPr>
  </w:style>
  <w:style w:type="character" w:customStyle="1" w:styleId="175">
    <w:name w:val="提纲ZY Char Char"/>
    <w:link w:val="176"/>
    <w:autoRedefine/>
    <w:qFormat/>
    <w:uiPriority w:val="0"/>
    <w:rPr>
      <w:rFonts w:ascii="Arial" w:hAnsi="Arial" w:eastAsia="黑体"/>
      <w:bCs/>
      <w:spacing w:val="10"/>
      <w:kern w:val="2"/>
      <w:sz w:val="24"/>
      <w:szCs w:val="24"/>
      <w:lang w:bidi="ar-SA"/>
    </w:rPr>
  </w:style>
  <w:style w:type="paragraph" w:customStyle="1" w:styleId="176">
    <w:name w:val="提纲ZY"/>
    <w:basedOn w:val="177"/>
    <w:link w:val="175"/>
    <w:autoRedefine/>
    <w:qFormat/>
    <w:uiPriority w:val="0"/>
    <w:pPr>
      <w:spacing w:beforeLines="50" w:afterLines="50"/>
      <w:ind w:firstLine="0" w:firstLineChars="0"/>
    </w:pPr>
    <w:rPr>
      <w:rFonts w:eastAsia="黑体"/>
    </w:rPr>
  </w:style>
  <w:style w:type="paragraph" w:customStyle="1" w:styleId="177">
    <w:name w:val="内容ZY"/>
    <w:basedOn w:val="1"/>
    <w:link w:val="179"/>
    <w:autoRedefine/>
    <w:qFormat/>
    <w:uiPriority w:val="0"/>
    <w:pPr>
      <w:spacing w:line="500" w:lineRule="exact"/>
      <w:ind w:firstLine="520" w:firstLineChars="200"/>
    </w:pPr>
    <w:rPr>
      <w:rFonts w:ascii="Arial" w:hAnsi="Arial"/>
      <w:bCs/>
      <w:spacing w:val="10"/>
      <w:sz w:val="24"/>
    </w:rPr>
  </w:style>
  <w:style w:type="character" w:customStyle="1" w:styleId="178">
    <w:name w:val="占位符文本1"/>
    <w:autoRedefine/>
    <w:qFormat/>
    <w:uiPriority w:val="0"/>
    <w:rPr>
      <w:color w:val="808080"/>
    </w:rPr>
  </w:style>
  <w:style w:type="character" w:customStyle="1" w:styleId="179">
    <w:name w:val="内容ZY Char Char"/>
    <w:link w:val="177"/>
    <w:autoRedefine/>
    <w:qFormat/>
    <w:uiPriority w:val="0"/>
    <w:rPr>
      <w:rFonts w:ascii="Arial" w:hAnsi="Arial"/>
      <w:bCs/>
      <w:spacing w:val="10"/>
      <w:kern w:val="2"/>
      <w:sz w:val="24"/>
      <w:szCs w:val="24"/>
      <w:lang w:bidi="ar-SA"/>
    </w:rPr>
  </w:style>
  <w:style w:type="character" w:customStyle="1" w:styleId="180">
    <w:name w:val="+正文 Char4"/>
    <w:link w:val="181"/>
    <w:autoRedefine/>
    <w:qFormat/>
    <w:uiPriority w:val="0"/>
    <w:rPr>
      <w:kern w:val="2"/>
      <w:sz w:val="28"/>
    </w:rPr>
  </w:style>
  <w:style w:type="paragraph" w:customStyle="1" w:styleId="181">
    <w:name w:val="+正文"/>
    <w:basedOn w:val="1"/>
    <w:link w:val="180"/>
    <w:autoRedefine/>
    <w:qFormat/>
    <w:uiPriority w:val="0"/>
    <w:pPr>
      <w:adjustRightInd w:val="0"/>
      <w:spacing w:line="360" w:lineRule="auto"/>
      <w:ind w:firstLine="200"/>
      <w:textAlignment w:val="baseline"/>
    </w:pPr>
    <w:rPr>
      <w:sz w:val="28"/>
      <w:szCs w:val="20"/>
    </w:rPr>
  </w:style>
  <w:style w:type="character" w:customStyle="1" w:styleId="182">
    <w:name w:val="Footer Char"/>
    <w:autoRedefine/>
    <w:qFormat/>
    <w:uiPriority w:val="0"/>
    <w:rPr>
      <w:rFonts w:eastAsia="宋体"/>
      <w:kern w:val="2"/>
      <w:sz w:val="18"/>
      <w:szCs w:val="18"/>
      <w:lang w:val="en-US" w:eastAsia="zh-CN" w:bidi="ar-SA"/>
    </w:rPr>
  </w:style>
  <w:style w:type="character" w:customStyle="1" w:styleId="183">
    <w:name w:val="正文28磅 Char1"/>
    <w:link w:val="184"/>
    <w:autoRedefine/>
    <w:qFormat/>
    <w:uiPriority w:val="0"/>
    <w:rPr>
      <w:bCs/>
      <w:sz w:val="28"/>
      <w:szCs w:val="28"/>
      <w:u w:color="000000"/>
      <w:lang w:val="en-GB" w:bidi="ar-SA"/>
    </w:rPr>
  </w:style>
  <w:style w:type="paragraph" w:customStyle="1" w:styleId="184">
    <w:name w:val="正文28磅"/>
    <w:link w:val="183"/>
    <w:autoRedefine/>
    <w:qFormat/>
    <w:uiPriority w:val="0"/>
    <w:pPr>
      <w:ind w:firstLine="560" w:firstLineChars="200"/>
      <w:jc w:val="both"/>
    </w:pPr>
    <w:rPr>
      <w:rFonts w:ascii="Times New Roman" w:hAnsi="Times New Roman" w:eastAsia="宋体" w:cs="Times New Roman"/>
      <w:bCs/>
      <w:sz w:val="28"/>
      <w:szCs w:val="28"/>
      <w:u w:color="000000"/>
      <w:lang w:val="en-GB" w:eastAsia="zh-CN" w:bidi="ar-SA"/>
    </w:rPr>
  </w:style>
  <w:style w:type="character" w:customStyle="1" w:styleId="185">
    <w:name w:val="正文文本缩进 Char"/>
    <w:link w:val="24"/>
    <w:autoRedefine/>
    <w:qFormat/>
    <w:uiPriority w:val="0"/>
    <w:rPr>
      <w:rFonts w:ascii="宋体" w:hAnsi="宋体" w:eastAsia="宋体"/>
      <w:kern w:val="2"/>
      <w:sz w:val="21"/>
      <w:szCs w:val="24"/>
      <w:lang w:val="en-US" w:eastAsia="zh-CN" w:bidi="ar-SA"/>
    </w:rPr>
  </w:style>
  <w:style w:type="character" w:customStyle="1" w:styleId="186">
    <w:name w:val="样式 样式1 + 首行缩进:  2 字符 Char"/>
    <w:link w:val="187"/>
    <w:autoRedefine/>
    <w:qFormat/>
    <w:uiPriority w:val="0"/>
    <w:rPr>
      <w:rFonts w:ascii="宋体" w:hAnsi="宋体" w:cs="宋体"/>
      <w:kern w:val="2"/>
      <w:sz w:val="28"/>
      <w:szCs w:val="28"/>
    </w:rPr>
  </w:style>
  <w:style w:type="paragraph" w:customStyle="1" w:styleId="187">
    <w:name w:val="样式 样式1 + 首行缩进:  2 字符"/>
    <w:basedOn w:val="1"/>
    <w:link w:val="186"/>
    <w:autoRedefine/>
    <w:qFormat/>
    <w:uiPriority w:val="0"/>
    <w:pPr>
      <w:spacing w:line="360" w:lineRule="auto"/>
      <w:ind w:firstLine="600" w:firstLineChars="200"/>
    </w:pPr>
    <w:rPr>
      <w:rFonts w:ascii="宋体" w:hAnsi="宋体"/>
      <w:sz w:val="28"/>
      <w:szCs w:val="28"/>
    </w:rPr>
  </w:style>
  <w:style w:type="character" w:customStyle="1" w:styleId="188">
    <w:name w:val="批注框文本 Char"/>
    <w:link w:val="20"/>
    <w:autoRedefine/>
    <w:qFormat/>
    <w:uiPriority w:val="0"/>
    <w:rPr>
      <w:rFonts w:ascii="Arial" w:hAnsi="Arial" w:eastAsia="仿宋_GB2312"/>
      <w:kern w:val="2"/>
      <w:sz w:val="18"/>
      <w:szCs w:val="18"/>
      <w:lang w:val="en-US" w:eastAsia="zh-CN" w:bidi="ar-SA"/>
    </w:rPr>
  </w:style>
  <w:style w:type="character" w:customStyle="1" w:styleId="189">
    <w:name w:val="font51"/>
    <w:basedOn w:val="58"/>
    <w:autoRedefine/>
    <w:qFormat/>
    <w:uiPriority w:val="0"/>
    <w:rPr>
      <w:rFonts w:hint="eastAsia" w:ascii="宋体" w:hAnsi="宋体" w:eastAsia="宋体"/>
      <w:color w:val="000000"/>
      <w:sz w:val="20"/>
      <w:szCs w:val="20"/>
      <w:u w:val="none"/>
    </w:rPr>
  </w:style>
  <w:style w:type="character" w:customStyle="1" w:styleId="190">
    <w:name w:val="批注文字 Char"/>
    <w:link w:val="18"/>
    <w:autoRedefine/>
    <w:qFormat/>
    <w:uiPriority w:val="0"/>
    <w:rPr>
      <w:rFonts w:eastAsia="宋体"/>
      <w:sz w:val="24"/>
      <w:lang w:val="en-US" w:eastAsia="zh-CN" w:bidi="ar-SA"/>
    </w:rPr>
  </w:style>
  <w:style w:type="character" w:customStyle="1" w:styleId="191">
    <w:name w:val="font41"/>
    <w:basedOn w:val="58"/>
    <w:autoRedefine/>
    <w:qFormat/>
    <w:uiPriority w:val="0"/>
    <w:rPr>
      <w:rFonts w:hint="eastAsia" w:ascii="宋体" w:hAnsi="宋体" w:eastAsia="宋体"/>
      <w:color w:val="000000"/>
      <w:sz w:val="22"/>
      <w:szCs w:val="22"/>
      <w:u w:val="none"/>
    </w:rPr>
  </w:style>
  <w:style w:type="character" w:customStyle="1" w:styleId="192">
    <w:name w:val="说明书正文 Char Char"/>
    <w:link w:val="193"/>
    <w:autoRedefine/>
    <w:qFormat/>
    <w:uiPriority w:val="0"/>
    <w:rPr>
      <w:rFonts w:eastAsia="宋体"/>
      <w:kern w:val="2"/>
      <w:sz w:val="28"/>
      <w:lang w:val="en-US" w:eastAsia="zh-CN" w:bidi="ar-SA"/>
    </w:rPr>
  </w:style>
  <w:style w:type="paragraph" w:customStyle="1" w:styleId="193">
    <w:name w:val="说明书正文"/>
    <w:basedOn w:val="1"/>
    <w:link w:val="192"/>
    <w:autoRedefine/>
    <w:qFormat/>
    <w:uiPriority w:val="0"/>
    <w:pPr>
      <w:spacing w:line="480" w:lineRule="exact"/>
      <w:ind w:firstLine="200" w:firstLineChars="200"/>
    </w:pPr>
    <w:rPr>
      <w:sz w:val="28"/>
      <w:szCs w:val="20"/>
    </w:rPr>
  </w:style>
  <w:style w:type="character" w:customStyle="1" w:styleId="194">
    <w:name w:val="font71"/>
    <w:autoRedefine/>
    <w:qFormat/>
    <w:uiPriority w:val="0"/>
    <w:rPr>
      <w:rFonts w:hint="default" w:ascii="Times New Roman" w:hAnsi="Times New Roman" w:cs="Times New Roman"/>
      <w:color w:val="000000"/>
      <w:sz w:val="24"/>
      <w:szCs w:val="24"/>
      <w:u w:val="none"/>
    </w:rPr>
  </w:style>
  <w:style w:type="character" w:customStyle="1" w:styleId="195">
    <w:name w:val="称呼 Char"/>
    <w:link w:val="21"/>
    <w:autoRedefine/>
    <w:qFormat/>
    <w:uiPriority w:val="0"/>
    <w:rPr>
      <w:rFonts w:eastAsia="宋体"/>
      <w:kern w:val="2"/>
      <w:sz w:val="21"/>
      <w:lang w:val="en-US" w:eastAsia="zh-CN" w:bidi="ar-SA"/>
    </w:rPr>
  </w:style>
  <w:style w:type="character" w:customStyle="1" w:styleId="196">
    <w:name w:val="样式 宋体 小四1"/>
    <w:autoRedefine/>
    <w:qFormat/>
    <w:uiPriority w:val="0"/>
    <w:rPr>
      <w:rFonts w:ascii="宋体" w:hAnsi="宋体" w:eastAsia="宋体"/>
      <w:kern w:val="28"/>
      <w:sz w:val="28"/>
    </w:rPr>
  </w:style>
  <w:style w:type="character" w:customStyle="1" w:styleId="197">
    <w:name w:val="条标题1.1.1 Char"/>
    <w:autoRedefine/>
    <w:qFormat/>
    <w:uiPriority w:val="0"/>
    <w:rPr>
      <w:rFonts w:eastAsia="宋体"/>
      <w:b/>
      <w:sz w:val="24"/>
      <w:lang w:val="en-US" w:eastAsia="zh-CN" w:bidi="ar-SA"/>
    </w:rPr>
  </w:style>
  <w:style w:type="character" w:customStyle="1" w:styleId="198">
    <w:name w:val="正文首行缩进 2 Char"/>
    <w:link w:val="55"/>
    <w:autoRedefine/>
    <w:qFormat/>
    <w:uiPriority w:val="0"/>
    <w:rPr>
      <w:rFonts w:ascii="Calibri" w:hAnsi="Calibri" w:eastAsia="宋体" w:cs="宋体"/>
      <w:kern w:val="2"/>
      <w:sz w:val="21"/>
      <w:szCs w:val="22"/>
      <w:lang w:val="en-US" w:eastAsia="zh-CN" w:bidi="ar-SA"/>
    </w:rPr>
  </w:style>
  <w:style w:type="character" w:customStyle="1" w:styleId="199">
    <w:name w:val="四级标题 Char Char"/>
    <w:link w:val="200"/>
    <w:autoRedefine/>
    <w:qFormat/>
    <w:uiPriority w:val="0"/>
    <w:rPr>
      <w:rFonts w:eastAsia="宋体"/>
      <w:b/>
      <w:kern w:val="2"/>
      <w:sz w:val="24"/>
      <w:szCs w:val="24"/>
      <w:lang w:val="en-US" w:eastAsia="zh-CN" w:bidi="ar-SA"/>
    </w:rPr>
  </w:style>
  <w:style w:type="paragraph" w:customStyle="1" w:styleId="200">
    <w:name w:val="四级标题"/>
    <w:basedOn w:val="1"/>
    <w:link w:val="199"/>
    <w:autoRedefine/>
    <w:qFormat/>
    <w:uiPriority w:val="0"/>
    <w:pPr>
      <w:spacing w:line="500" w:lineRule="exact"/>
      <w:ind w:firstLine="482" w:firstLineChars="200"/>
      <w:outlineLvl w:val="3"/>
    </w:pPr>
    <w:rPr>
      <w:b/>
      <w:sz w:val="24"/>
    </w:rPr>
  </w:style>
  <w:style w:type="character" w:customStyle="1" w:styleId="201">
    <w:name w:val="样式 标题 2Title Header2标题 2XW + 加粗 Char Char Char"/>
    <w:autoRedefine/>
    <w:qFormat/>
    <w:uiPriority w:val="0"/>
    <w:rPr>
      <w:rFonts w:eastAsia="宋体"/>
      <w:b/>
      <w:bCs/>
      <w:kern w:val="2"/>
      <w:sz w:val="28"/>
      <w:szCs w:val="24"/>
      <w:lang w:val="en-US" w:eastAsia="zh-CN" w:bidi="ar-SA"/>
    </w:rPr>
  </w:style>
  <w:style w:type="character" w:customStyle="1" w:styleId="202">
    <w:name w:val="Char Char17"/>
    <w:autoRedefine/>
    <w:qFormat/>
    <w:uiPriority w:val="0"/>
    <w:rPr>
      <w:rFonts w:ascii="Times New Roman" w:hAnsi="Times New Roman" w:eastAsia="宋体" w:cs="Times New Roman"/>
      <w:b/>
      <w:kern w:val="0"/>
      <w:sz w:val="24"/>
      <w:szCs w:val="20"/>
    </w:rPr>
  </w:style>
  <w:style w:type="character" w:customStyle="1" w:styleId="203">
    <w:name w:val="Char Char6"/>
    <w:autoRedefine/>
    <w:qFormat/>
    <w:uiPriority w:val="0"/>
    <w:rPr>
      <w:sz w:val="18"/>
      <w:szCs w:val="18"/>
    </w:rPr>
  </w:style>
  <w:style w:type="character" w:customStyle="1" w:styleId="204">
    <w:name w:val="apple-converted-space"/>
    <w:basedOn w:val="58"/>
    <w:autoRedefine/>
    <w:qFormat/>
    <w:uiPriority w:val="0"/>
  </w:style>
  <w:style w:type="character" w:customStyle="1" w:styleId="205">
    <w:name w:val="页眉1 Char"/>
    <w:autoRedefine/>
    <w:qFormat/>
    <w:uiPriority w:val="0"/>
    <w:rPr>
      <w:rFonts w:ascii="宋体" w:hAnsi="宋体" w:eastAsia="宋体"/>
      <w:kern w:val="2"/>
      <w:sz w:val="18"/>
      <w:szCs w:val="18"/>
      <w:lang w:val="en-US" w:eastAsia="zh-CN" w:bidi="ar-SA"/>
    </w:rPr>
  </w:style>
  <w:style w:type="character" w:customStyle="1" w:styleId="206">
    <w:name w:val="正文文本 3 Char"/>
    <w:link w:val="19"/>
    <w:autoRedefine/>
    <w:qFormat/>
    <w:uiPriority w:val="0"/>
    <w:rPr>
      <w:rFonts w:eastAsia="宋体"/>
      <w:kern w:val="2"/>
      <w:sz w:val="16"/>
      <w:szCs w:val="16"/>
      <w:lang w:val="en-US" w:eastAsia="zh-CN" w:bidi="ar-SA"/>
    </w:rPr>
  </w:style>
  <w:style w:type="character" w:customStyle="1" w:styleId="207">
    <w:name w:val="表格内容5号 Char Char"/>
    <w:link w:val="208"/>
    <w:autoRedefine/>
    <w:qFormat/>
    <w:uiPriority w:val="0"/>
    <w:rPr>
      <w:rFonts w:ascii="宋体" w:hAnsi="宋体" w:eastAsia="宋体"/>
      <w:color w:val="000000"/>
      <w:sz w:val="21"/>
      <w:szCs w:val="21"/>
      <w:lang w:val="en-US" w:eastAsia="zh-CN" w:bidi="ar-SA"/>
    </w:rPr>
  </w:style>
  <w:style w:type="paragraph" w:customStyle="1" w:styleId="208">
    <w:name w:val="表格内容5号"/>
    <w:basedOn w:val="1"/>
    <w:link w:val="207"/>
    <w:autoRedefine/>
    <w:qFormat/>
    <w:uiPriority w:val="0"/>
    <w:pPr>
      <w:widowControl/>
      <w:spacing w:line="300" w:lineRule="exact"/>
      <w:jc w:val="center"/>
    </w:pPr>
    <w:rPr>
      <w:rFonts w:ascii="宋体" w:hAnsi="宋体"/>
      <w:color w:val="000000"/>
      <w:kern w:val="0"/>
      <w:szCs w:val="21"/>
    </w:rPr>
  </w:style>
  <w:style w:type="character" w:customStyle="1" w:styleId="209">
    <w:name w:val="unnamed31"/>
    <w:autoRedefine/>
    <w:qFormat/>
    <w:uiPriority w:val="0"/>
    <w:rPr>
      <w:sz w:val="18"/>
      <w:szCs w:val="18"/>
    </w:rPr>
  </w:style>
  <w:style w:type="character" w:customStyle="1" w:styleId="210">
    <w:name w:val="Char Char19"/>
    <w:autoRedefine/>
    <w:qFormat/>
    <w:uiPriority w:val="0"/>
    <w:rPr>
      <w:rFonts w:ascii="Times New Roman" w:hAnsi="Times New Roman" w:eastAsia="宋体" w:cs="Times New Roman"/>
      <w:b/>
      <w:kern w:val="0"/>
      <w:sz w:val="28"/>
      <w:szCs w:val="20"/>
    </w:rPr>
  </w:style>
  <w:style w:type="paragraph" w:customStyle="1" w:styleId="211">
    <w:name w:val="样式一"/>
    <w:basedOn w:val="1"/>
    <w:autoRedefine/>
    <w:qFormat/>
    <w:uiPriority w:val="0"/>
    <w:pPr>
      <w:autoSpaceDE w:val="0"/>
      <w:autoSpaceDN w:val="0"/>
      <w:adjustRightInd w:val="0"/>
      <w:spacing w:line="360" w:lineRule="auto"/>
      <w:ind w:firstLine="480" w:firstLineChars="200"/>
      <w:textAlignment w:val="baseline"/>
    </w:pPr>
    <w:rPr>
      <w:rFonts w:ascii="宋体" w:hAnsi="宋体"/>
      <w:kern w:val="0"/>
      <w:sz w:val="24"/>
      <w:szCs w:val="20"/>
      <w:lang w:val="en-GB"/>
    </w:rPr>
  </w:style>
  <w:style w:type="paragraph" w:customStyle="1" w:styleId="212">
    <w:name w:val="p18"/>
    <w:basedOn w:val="1"/>
    <w:autoRedefine/>
    <w:qFormat/>
    <w:uiPriority w:val="0"/>
    <w:pPr>
      <w:widowControl/>
    </w:pPr>
    <w:rPr>
      <w:rFonts w:ascii="宋体" w:hAnsi="宋体" w:cs="宋体"/>
      <w:kern w:val="0"/>
      <w:szCs w:val="21"/>
    </w:rPr>
  </w:style>
  <w:style w:type="paragraph" w:customStyle="1" w:styleId="213">
    <w:name w:val="样式 宋体 小四 加粗 黑色 行距: 多倍行距 1.4 字行"/>
    <w:basedOn w:val="1"/>
    <w:autoRedefine/>
    <w:qFormat/>
    <w:uiPriority w:val="0"/>
    <w:pPr>
      <w:spacing w:line="336" w:lineRule="auto"/>
    </w:pPr>
    <w:rPr>
      <w:rFonts w:ascii="宋体" w:hAnsi="宋体"/>
      <w:b/>
      <w:bCs/>
      <w:color w:val="000000"/>
      <w:sz w:val="28"/>
      <w:szCs w:val="20"/>
    </w:rPr>
  </w:style>
  <w:style w:type="paragraph" w:customStyle="1" w:styleId="214">
    <w:name w:val="font14"/>
    <w:basedOn w:val="1"/>
    <w:autoRedefine/>
    <w:qFormat/>
    <w:uiPriority w:val="0"/>
    <w:pPr>
      <w:widowControl/>
      <w:spacing w:before="100" w:beforeAutospacing="1" w:after="100" w:afterAutospacing="1"/>
      <w:jc w:val="left"/>
    </w:pPr>
    <w:rPr>
      <w:color w:val="FF0000"/>
      <w:kern w:val="0"/>
      <w:sz w:val="32"/>
      <w:szCs w:val="20"/>
    </w:rPr>
  </w:style>
  <w:style w:type="paragraph" w:customStyle="1" w:styleId="215">
    <w:name w:val="表1-1"/>
    <w:basedOn w:val="1"/>
    <w:autoRedefine/>
    <w:qFormat/>
    <w:uiPriority w:val="0"/>
    <w:pPr>
      <w:autoSpaceDE w:val="0"/>
      <w:autoSpaceDN w:val="0"/>
      <w:adjustRightInd w:val="0"/>
      <w:snapToGrid w:val="0"/>
      <w:spacing w:line="240" w:lineRule="atLeast"/>
      <w:jc w:val="left"/>
    </w:pPr>
    <w:rPr>
      <w:rFonts w:ascii="Arial Narrow" w:hAnsi="Arial Narrow"/>
      <w:lang w:val="zh-CN"/>
    </w:rPr>
  </w:style>
  <w:style w:type="paragraph" w:customStyle="1" w:styleId="216">
    <w:name w:val="p0"/>
    <w:basedOn w:val="1"/>
    <w:autoRedefine/>
    <w:qFormat/>
    <w:uiPriority w:val="0"/>
    <w:pPr>
      <w:widowControl/>
    </w:pPr>
    <w:rPr>
      <w:kern w:val="0"/>
      <w:szCs w:val="21"/>
    </w:rPr>
  </w:style>
  <w:style w:type="paragraph" w:customStyle="1" w:styleId="217">
    <w:name w:val="xl2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18">
    <w:name w:val="样式5"/>
    <w:basedOn w:val="1"/>
    <w:autoRedefine/>
    <w:qFormat/>
    <w:uiPriority w:val="0"/>
    <w:pPr>
      <w:pBdr>
        <w:bottom w:val="single" w:color="auto" w:sz="4" w:space="1"/>
      </w:pBdr>
      <w:jc w:val="center"/>
    </w:pPr>
    <w:rPr>
      <w:sz w:val="18"/>
      <w:szCs w:val="18"/>
    </w:rPr>
  </w:style>
  <w:style w:type="paragraph" w:customStyle="1" w:styleId="219">
    <w:name w:val="样式 宋体 小四 加粗 左侧:  0 厘米 悬挂缩进: 4 字符 行距: 1.5 倍行距"/>
    <w:basedOn w:val="1"/>
    <w:autoRedefine/>
    <w:qFormat/>
    <w:uiPriority w:val="0"/>
    <w:pPr>
      <w:spacing w:line="360" w:lineRule="auto"/>
      <w:ind w:left="964" w:hanging="964" w:hangingChars="400"/>
    </w:pPr>
    <w:rPr>
      <w:rFonts w:ascii="宋体" w:hAnsi="宋体"/>
      <w:b/>
      <w:bCs/>
      <w:sz w:val="28"/>
      <w:szCs w:val="20"/>
    </w:rPr>
  </w:style>
  <w:style w:type="paragraph" w:customStyle="1" w:styleId="220">
    <w:name w:val="样式 标题 1Document Header1 + 居中"/>
    <w:basedOn w:val="2"/>
    <w:autoRedefine/>
    <w:qFormat/>
    <w:uiPriority w:val="0"/>
    <w:pPr>
      <w:keepNext/>
      <w:keepLines/>
      <w:tabs>
        <w:tab w:val="clear" w:pos="1077"/>
      </w:tabs>
      <w:adjustRightInd/>
      <w:spacing w:before="340" w:after="330" w:line="576" w:lineRule="auto"/>
      <w:textAlignment w:val="auto"/>
    </w:pPr>
    <w:rPr>
      <w:rFonts w:ascii="Times New Roman" w:hAnsi="Times New Roman"/>
      <w:bCs/>
      <w:kern w:val="44"/>
      <w:sz w:val="44"/>
      <w:szCs w:val="20"/>
    </w:rPr>
  </w:style>
  <w:style w:type="paragraph" w:customStyle="1" w:styleId="221">
    <w:name w:val="（1）正文缩进"/>
    <w:basedOn w:val="15"/>
    <w:autoRedefine/>
    <w:qFormat/>
    <w:uiPriority w:val="0"/>
    <w:pPr>
      <w:tabs>
        <w:tab w:val="left" w:pos="564"/>
        <w:tab w:val="left" w:pos="893"/>
      </w:tabs>
      <w:ind w:left="564" w:hanging="420" w:firstLineChars="0"/>
    </w:pPr>
    <w:rPr>
      <w:sz w:val="28"/>
      <w:szCs w:val="20"/>
    </w:rPr>
  </w:style>
  <w:style w:type="paragraph" w:customStyle="1" w:styleId="222">
    <w:name w:val="xl49"/>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23">
    <w:name w:val="标题3"/>
    <w:basedOn w:val="4"/>
    <w:autoRedefine/>
    <w:qFormat/>
    <w:uiPriority w:val="0"/>
    <w:pPr>
      <w:keepLines w:val="0"/>
      <w:tabs>
        <w:tab w:val="left" w:pos="814"/>
        <w:tab w:val="left" w:pos="851"/>
      </w:tabs>
      <w:spacing w:before="0" w:after="0" w:line="360" w:lineRule="auto"/>
      <w:ind w:left="425" w:firstLine="29"/>
      <w:textAlignment w:val="auto"/>
    </w:pPr>
    <w:rPr>
      <w:b w:val="0"/>
    </w:rPr>
  </w:style>
  <w:style w:type="paragraph" w:customStyle="1" w:styleId="22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5">
    <w:name w:val="Char Char Char Char Char"/>
    <w:basedOn w:val="1"/>
    <w:autoRedefine/>
    <w:qFormat/>
    <w:uiPriority w:val="0"/>
    <w:rPr>
      <w:rFonts w:ascii="Tahoma" w:hAnsi="Tahoma"/>
      <w:sz w:val="24"/>
      <w:szCs w:val="20"/>
    </w:rPr>
  </w:style>
  <w:style w:type="paragraph" w:customStyle="1" w:styleId="226">
    <w:name w:val="xl5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27">
    <w:name w:val="xl2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8">
    <w:name w:val="样式 标题 2Title Header2标题 2XW + 加粗"/>
    <w:basedOn w:val="3"/>
    <w:autoRedefine/>
    <w:qFormat/>
    <w:uiPriority w:val="0"/>
    <w:pPr>
      <w:adjustRightInd w:val="0"/>
      <w:spacing w:before="0" w:after="0" w:line="400" w:lineRule="exact"/>
      <w:jc w:val="center"/>
      <w:textAlignment w:val="baseline"/>
    </w:pPr>
    <w:rPr>
      <w:rFonts w:ascii="Times New Roman" w:hAnsi="Times New Roman" w:eastAsia="仿宋_GB2312" w:cs="Arial"/>
      <w:b w:val="0"/>
      <w:color w:val="FF0000"/>
      <w:sz w:val="24"/>
      <w:szCs w:val="24"/>
    </w:rPr>
  </w:style>
  <w:style w:type="paragraph" w:customStyle="1" w:styleId="229">
    <w:name w:val="TOC 标题1"/>
    <w:basedOn w:val="2"/>
    <w:next w:val="1"/>
    <w:autoRedefine/>
    <w:qFormat/>
    <w:uiPriority w:val="0"/>
    <w:pPr>
      <w:keepNext/>
      <w:keepLines/>
      <w:widowControl/>
      <w:tabs>
        <w:tab w:val="clear" w:pos="1077"/>
      </w:tabs>
      <w:adjustRightInd/>
      <w:spacing w:before="480" w:line="276" w:lineRule="auto"/>
      <w:jc w:val="left"/>
      <w:textAlignment w:val="auto"/>
      <w:outlineLvl w:val="9"/>
    </w:pPr>
    <w:rPr>
      <w:rFonts w:ascii="Cambria" w:hAnsi="Cambria" w:cs="Times New Roman"/>
      <w:bCs/>
      <w:color w:val="365F91"/>
      <w:spacing w:val="14"/>
      <w:sz w:val="28"/>
      <w:szCs w:val="28"/>
    </w:rPr>
  </w:style>
  <w:style w:type="paragraph" w:customStyle="1" w:styleId="230">
    <w:name w:val="样式 宋体 小四 加粗 行距: 多倍行距 1.4 字行1"/>
    <w:basedOn w:val="1"/>
    <w:autoRedefine/>
    <w:qFormat/>
    <w:uiPriority w:val="0"/>
    <w:pPr>
      <w:spacing w:line="336" w:lineRule="auto"/>
    </w:pPr>
    <w:rPr>
      <w:rFonts w:ascii="宋体" w:hAnsi="宋体"/>
      <w:b/>
      <w:bCs/>
      <w:sz w:val="28"/>
      <w:szCs w:val="20"/>
    </w:rPr>
  </w:style>
  <w:style w:type="paragraph" w:customStyle="1" w:styleId="2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232">
    <w:name w:val="表样式1"/>
    <w:basedOn w:val="1"/>
    <w:autoRedefine/>
    <w:qFormat/>
    <w:uiPriority w:val="0"/>
    <w:pPr>
      <w:ind w:firstLine="1968" w:firstLineChars="700"/>
    </w:pPr>
    <w:rPr>
      <w:rFonts w:ascii="黑体" w:eastAsia="黑体"/>
      <w:b/>
      <w:bCs/>
      <w:sz w:val="28"/>
    </w:rPr>
  </w:style>
  <w:style w:type="paragraph" w:customStyle="1" w:styleId="233">
    <w:name w:val="CM60"/>
    <w:basedOn w:val="12"/>
    <w:next w:val="12"/>
    <w:autoRedefine/>
    <w:qFormat/>
    <w:uiPriority w:val="0"/>
    <w:rPr>
      <w:rFonts w:ascii="Times New Roman"/>
      <w:sz w:val="24"/>
      <w:szCs w:val="24"/>
    </w:rPr>
  </w:style>
  <w:style w:type="paragraph" w:customStyle="1" w:styleId="234">
    <w:name w:val="xl5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235">
    <w:name w:val="xl24"/>
    <w:basedOn w:val="1"/>
    <w:autoRedefine/>
    <w:qFormat/>
    <w:uiPriority w:val="0"/>
    <w:pPr>
      <w:widowControl/>
      <w:spacing w:before="100" w:beforeAutospacing="1" w:after="100" w:afterAutospacing="1"/>
      <w:jc w:val="center"/>
    </w:pPr>
    <w:rPr>
      <w:rFonts w:ascii="宋体" w:hAnsi="宋体"/>
      <w:kern w:val="0"/>
      <w:sz w:val="32"/>
      <w:szCs w:val="20"/>
    </w:rPr>
  </w:style>
  <w:style w:type="paragraph" w:customStyle="1" w:styleId="236">
    <w:name w:val="font5"/>
    <w:basedOn w:val="1"/>
    <w:autoRedefine/>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37">
    <w:name w:val="正文 + 首行缩进:  2 字符"/>
    <w:basedOn w:val="1"/>
    <w:autoRedefine/>
    <w:qFormat/>
    <w:uiPriority w:val="0"/>
    <w:pPr>
      <w:adjustRightInd w:val="0"/>
      <w:spacing w:line="360" w:lineRule="auto"/>
      <w:ind w:firstLine="480" w:firstLineChars="200"/>
    </w:pPr>
    <w:rPr>
      <w:rFonts w:ascii="宋体"/>
      <w:sz w:val="24"/>
    </w:rPr>
  </w:style>
  <w:style w:type="paragraph" w:customStyle="1" w:styleId="23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customStyle="1" w:styleId="239">
    <w:name w:val="Char1"/>
    <w:basedOn w:val="1"/>
    <w:autoRedefine/>
    <w:qFormat/>
    <w:uiPriority w:val="0"/>
  </w:style>
  <w:style w:type="paragraph" w:customStyle="1" w:styleId="240">
    <w:name w:val="部分题目"/>
    <w:basedOn w:val="52"/>
    <w:autoRedefine/>
    <w:qFormat/>
    <w:uiPriority w:val="0"/>
    <w:pPr>
      <w:keepNext/>
      <w:keepLines/>
      <w:widowControl/>
      <w:spacing w:before="140" w:after="0"/>
      <w:outlineLvl w:val="9"/>
    </w:pPr>
    <w:rPr>
      <w:rFonts w:ascii="Garamond" w:hAnsi="Garamond" w:cs="Times New Roman"/>
      <w:b w:val="0"/>
      <w:bCs w:val="0"/>
      <w:caps/>
      <w:spacing w:val="60"/>
      <w:kern w:val="20"/>
      <w:sz w:val="44"/>
      <w:szCs w:val="20"/>
    </w:rPr>
  </w:style>
  <w:style w:type="paragraph" w:customStyle="1" w:styleId="241">
    <w:name w:val="space"/>
    <w:basedOn w:val="1"/>
    <w:autoRedefine/>
    <w:qFormat/>
    <w:uiPriority w:val="0"/>
    <w:pPr>
      <w:keepNext/>
      <w:tabs>
        <w:tab w:val="right" w:pos="6379"/>
        <w:tab w:val="left" w:pos="6521"/>
      </w:tabs>
      <w:spacing w:after="40" w:line="288" w:lineRule="exact"/>
      <w:ind w:left="425" w:right="6" w:hanging="425"/>
      <w:jc w:val="left"/>
    </w:pPr>
    <w:rPr>
      <w:rFonts w:ascii="UniversS 45 Light" w:hAnsi="UniversS 45 Light"/>
      <w:kern w:val="0"/>
      <w:sz w:val="24"/>
      <w:szCs w:val="20"/>
      <w:lang w:eastAsia="en-US"/>
    </w:rPr>
  </w:style>
  <w:style w:type="paragraph" w:customStyle="1" w:styleId="242">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243">
    <w:name w:val="Char Char12"/>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244">
    <w:name w:val="菲页2"/>
    <w:basedOn w:val="4"/>
    <w:autoRedefine/>
    <w:qFormat/>
    <w:uiPriority w:val="0"/>
    <w:pPr>
      <w:widowControl/>
      <w:tabs>
        <w:tab w:val="left" w:pos="814"/>
      </w:tabs>
      <w:adjustRightInd/>
      <w:spacing w:before="120" w:after="120" w:line="360" w:lineRule="auto"/>
      <w:ind w:left="425" w:firstLine="29"/>
      <w:jc w:val="center"/>
      <w:textAlignment w:val="auto"/>
    </w:pPr>
    <w:rPr>
      <w:rFonts w:ascii="黑体" w:hAnsi="宋体" w:eastAsia="黑体"/>
      <w:b w:val="0"/>
      <w:sz w:val="44"/>
    </w:rPr>
  </w:style>
  <w:style w:type="paragraph" w:customStyle="1" w:styleId="245">
    <w:name w:val="正文dh"/>
    <w:basedOn w:val="1"/>
    <w:autoRedefine/>
    <w:qFormat/>
    <w:uiPriority w:val="0"/>
    <w:pPr>
      <w:spacing w:line="520" w:lineRule="exact"/>
      <w:ind w:firstLine="482"/>
    </w:pPr>
    <w:rPr>
      <w:rFonts w:ascii="宋体"/>
      <w:sz w:val="24"/>
      <w:szCs w:val="20"/>
    </w:rPr>
  </w:style>
  <w:style w:type="paragraph" w:customStyle="1" w:styleId="246">
    <w:name w:val="xl5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7">
    <w:name w:val="基准标题"/>
    <w:basedOn w:val="23"/>
    <w:next w:val="23"/>
    <w:autoRedefine/>
    <w:qFormat/>
    <w:uiPriority w:val="0"/>
    <w:pPr>
      <w:keepNext/>
      <w:keepLines/>
      <w:widowControl/>
      <w:spacing w:line="240" w:lineRule="atLeast"/>
      <w:jc w:val="left"/>
    </w:pPr>
    <w:rPr>
      <w:rFonts w:ascii="Garamond" w:hAnsi="Garamond"/>
      <w:color w:val="auto"/>
      <w:kern w:val="20"/>
      <w:sz w:val="21"/>
      <w:szCs w:val="20"/>
    </w:rPr>
  </w:style>
  <w:style w:type="paragraph" w:customStyle="1" w:styleId="248">
    <w:name w:val="font12"/>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249">
    <w:name w:val="正文11"/>
    <w:autoRedefine/>
    <w:qFormat/>
    <w:uiPriority w:val="0"/>
    <w:pPr>
      <w:widowControl w:val="0"/>
      <w:adjustRightInd w:val="0"/>
      <w:spacing w:line="312" w:lineRule="atLeast"/>
      <w:jc w:val="both"/>
      <w:textAlignment w:val="baseline"/>
    </w:pPr>
    <w:rPr>
      <w:rFonts w:ascii="宋体" w:hAnsi="宋体" w:eastAsia="宋体" w:cs="Times New Roman"/>
      <w:sz w:val="34"/>
      <w:szCs w:val="28"/>
      <w:lang w:val="en-US" w:eastAsia="zh-CN" w:bidi="ar-SA"/>
    </w:rPr>
  </w:style>
  <w:style w:type="paragraph" w:customStyle="1" w:styleId="250">
    <w:name w:val="菲页1"/>
    <w:basedOn w:val="3"/>
    <w:autoRedefine/>
    <w:qFormat/>
    <w:uiPriority w:val="0"/>
    <w:pPr>
      <w:widowControl/>
      <w:jc w:val="center"/>
    </w:pPr>
    <w:rPr>
      <w:rFonts w:ascii="黑体" w:hAnsi="宋体"/>
      <w:b w:val="0"/>
      <w:kern w:val="0"/>
      <w:sz w:val="52"/>
    </w:rPr>
  </w:style>
  <w:style w:type="paragraph" w:customStyle="1" w:styleId="251">
    <w:name w:val="样式 宋体 小四 加粗 悬挂缩进: 2 字符 行距: 1.5 倍行距"/>
    <w:basedOn w:val="1"/>
    <w:autoRedefine/>
    <w:qFormat/>
    <w:uiPriority w:val="0"/>
    <w:pPr>
      <w:spacing w:line="360" w:lineRule="auto"/>
      <w:ind w:left="961" w:leftChars="228" w:hanging="482" w:hangingChars="200"/>
    </w:pPr>
    <w:rPr>
      <w:rFonts w:ascii="宋体" w:hAnsi="宋体"/>
      <w:b/>
      <w:bCs/>
      <w:sz w:val="28"/>
      <w:szCs w:val="20"/>
    </w:rPr>
  </w:style>
  <w:style w:type="paragraph" w:customStyle="1" w:styleId="252">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Arial Unicode MS"/>
      <w:color w:val="000000"/>
      <w:kern w:val="0"/>
      <w:sz w:val="24"/>
      <w:szCs w:val="20"/>
    </w:rPr>
  </w:style>
  <w:style w:type="paragraph" w:customStyle="1" w:styleId="253">
    <w:name w:val="font9"/>
    <w:basedOn w:val="1"/>
    <w:autoRedefine/>
    <w:qFormat/>
    <w:uiPriority w:val="0"/>
    <w:pPr>
      <w:widowControl/>
      <w:spacing w:before="100" w:beforeAutospacing="1" w:after="100" w:afterAutospacing="1"/>
      <w:jc w:val="left"/>
    </w:pPr>
    <w:rPr>
      <w:rFonts w:eastAsia="Arial Unicode MS"/>
      <w:b/>
      <w:bCs/>
      <w:kern w:val="0"/>
      <w:sz w:val="24"/>
      <w:u w:val="single"/>
    </w:rPr>
  </w:style>
  <w:style w:type="paragraph" w:customStyle="1" w:styleId="254">
    <w:name w:val="朱吉茂之正文"/>
    <w:basedOn w:val="1"/>
    <w:autoRedefine/>
    <w:qFormat/>
    <w:uiPriority w:val="0"/>
    <w:pPr>
      <w:spacing w:line="360" w:lineRule="auto"/>
      <w:ind w:firstLine="560" w:firstLineChars="200"/>
    </w:pPr>
    <w:rPr>
      <w:rFonts w:ascii="仿宋_GB2312" w:hAnsi="宋体" w:eastAsia="仿宋_GB2312"/>
      <w:sz w:val="28"/>
      <w:szCs w:val="28"/>
    </w:rPr>
  </w:style>
  <w:style w:type="paragraph" w:customStyle="1" w:styleId="255">
    <w:name w:val="CM56"/>
    <w:basedOn w:val="12"/>
    <w:next w:val="12"/>
    <w:autoRedefine/>
    <w:qFormat/>
    <w:uiPriority w:val="0"/>
    <w:rPr>
      <w:rFonts w:ascii="Times New Roman"/>
      <w:sz w:val="24"/>
      <w:szCs w:val="24"/>
    </w:rPr>
  </w:style>
  <w:style w:type="paragraph" w:customStyle="1" w:styleId="256">
    <w:name w:val="p17"/>
    <w:basedOn w:val="1"/>
    <w:autoRedefine/>
    <w:qFormat/>
    <w:uiPriority w:val="0"/>
    <w:pPr>
      <w:widowControl/>
      <w:spacing w:line="500" w:lineRule="atLeast"/>
      <w:ind w:left="1419"/>
    </w:pPr>
    <w:rPr>
      <w:rFonts w:ascii="Cambria" w:hAnsi="Cambria" w:cs="宋体"/>
      <w:kern w:val="0"/>
      <w:sz w:val="24"/>
    </w:rPr>
  </w:style>
  <w:style w:type="paragraph" w:customStyle="1" w:styleId="257">
    <w:name w:val="样式 宋体 小四 加粗 右侧:  -1.54 厘米"/>
    <w:basedOn w:val="1"/>
    <w:autoRedefine/>
    <w:qFormat/>
    <w:uiPriority w:val="0"/>
    <w:pPr>
      <w:ind w:right="-874"/>
    </w:pPr>
    <w:rPr>
      <w:rFonts w:ascii="宋体" w:hAnsi="宋体"/>
      <w:b/>
      <w:bCs/>
      <w:sz w:val="28"/>
      <w:szCs w:val="20"/>
    </w:rPr>
  </w:style>
  <w:style w:type="paragraph" w:customStyle="1" w:styleId="258">
    <w:name w:val="样式 样式 宋体 小四 行距: 多倍行距 1.4 字行 + 首行缩进:  2 字符"/>
    <w:basedOn w:val="1"/>
    <w:autoRedefine/>
    <w:qFormat/>
    <w:uiPriority w:val="0"/>
    <w:pPr>
      <w:spacing w:line="360" w:lineRule="auto"/>
      <w:ind w:firstLine="200" w:firstLineChars="200"/>
    </w:pPr>
    <w:rPr>
      <w:rFonts w:ascii="宋体" w:hAnsi="宋体"/>
      <w:kern w:val="28"/>
      <w:sz w:val="28"/>
      <w:szCs w:val="20"/>
    </w:rPr>
  </w:style>
  <w:style w:type="paragraph" w:customStyle="1" w:styleId="259">
    <w:name w:val="xl66"/>
    <w:basedOn w:val="1"/>
    <w:autoRedefine/>
    <w:qFormat/>
    <w:uiPriority w:val="0"/>
    <w:pPr>
      <w:widowControl/>
      <w:spacing w:before="100" w:beforeAutospacing="1" w:after="100" w:afterAutospacing="1"/>
      <w:jc w:val="center"/>
    </w:pPr>
    <w:rPr>
      <w:rFonts w:ascii="Arial" w:hAnsi="Arial" w:cs="Arial"/>
      <w:spacing w:val="14"/>
      <w:kern w:val="0"/>
      <w:sz w:val="22"/>
      <w:szCs w:val="22"/>
    </w:rPr>
  </w:style>
  <w:style w:type="paragraph" w:customStyle="1" w:styleId="260">
    <w:name w:val="2"/>
    <w:basedOn w:val="1"/>
    <w:next w:val="15"/>
    <w:autoRedefine/>
    <w:qFormat/>
    <w:uiPriority w:val="0"/>
    <w:pPr>
      <w:ind w:firstLine="420"/>
    </w:pPr>
    <w:rPr>
      <w:rFonts w:ascii="Arial Narrow" w:hAnsi="Arial Narrow" w:eastAsia="仿宋_GB2312"/>
      <w:spacing w:val="14"/>
      <w:kern w:val="0"/>
      <w:sz w:val="20"/>
      <w:szCs w:val="28"/>
    </w:rPr>
  </w:style>
  <w:style w:type="paragraph" w:customStyle="1" w:styleId="261">
    <w:name w:val="et2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262">
    <w:name w:val="正式文本"/>
    <w:basedOn w:val="1"/>
    <w:autoRedefine/>
    <w:qFormat/>
    <w:uiPriority w:val="0"/>
    <w:pPr>
      <w:spacing w:line="500" w:lineRule="exact"/>
      <w:ind w:firstLine="480" w:firstLineChars="200"/>
    </w:pPr>
    <w:rPr>
      <w:sz w:val="24"/>
    </w:rPr>
  </w:style>
  <w:style w:type="paragraph" w:customStyle="1" w:styleId="263">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26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65">
    <w:name w:val="xl3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66">
    <w:name w:val="xl3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267">
    <w:name w:val="YZM段落"/>
    <w:basedOn w:val="1"/>
    <w:autoRedefine/>
    <w:qFormat/>
    <w:uiPriority w:val="0"/>
    <w:pPr>
      <w:spacing w:line="500" w:lineRule="exact"/>
      <w:ind w:firstLine="200" w:firstLineChars="200"/>
    </w:pPr>
    <w:rPr>
      <w:rFonts w:ascii="宋体"/>
      <w:color w:val="000000"/>
      <w:kern w:val="0"/>
      <w:sz w:val="24"/>
      <w:szCs w:val="20"/>
      <w:lang w:val="zh-CN"/>
    </w:rPr>
  </w:style>
  <w:style w:type="paragraph" w:customStyle="1" w:styleId="268">
    <w:name w:val="CM2"/>
    <w:basedOn w:val="12"/>
    <w:next w:val="12"/>
    <w:autoRedefine/>
    <w:qFormat/>
    <w:uiPriority w:val="0"/>
    <w:pPr>
      <w:spacing w:line="188" w:lineRule="atLeast"/>
    </w:pPr>
    <w:rPr>
      <w:rFonts w:ascii="Times New Roman"/>
      <w:sz w:val="24"/>
      <w:szCs w:val="24"/>
    </w:rPr>
  </w:style>
  <w:style w:type="paragraph" w:customStyle="1" w:styleId="269">
    <w:name w:val="表头"/>
    <w:basedOn w:val="1"/>
    <w:autoRedefine/>
    <w:qFormat/>
    <w:uiPriority w:val="0"/>
    <w:pPr>
      <w:spacing w:line="360" w:lineRule="auto"/>
      <w:jc w:val="center"/>
    </w:pPr>
    <w:rPr>
      <w:b/>
      <w:sz w:val="28"/>
      <w:szCs w:val="28"/>
    </w:rPr>
  </w:style>
  <w:style w:type="paragraph" w:customStyle="1" w:styleId="270">
    <w:name w:val="目录 11"/>
    <w:basedOn w:val="12"/>
    <w:next w:val="12"/>
    <w:autoRedefine/>
    <w:qFormat/>
    <w:uiPriority w:val="0"/>
  </w:style>
  <w:style w:type="paragraph" w:customStyle="1" w:styleId="271">
    <w:name w:val="样式3"/>
    <w:basedOn w:val="36"/>
    <w:autoRedefine/>
    <w:qFormat/>
    <w:uiPriority w:val="0"/>
    <w:pPr>
      <w:pBdr>
        <w:top w:val="single" w:color="auto" w:sz="4" w:space="1"/>
      </w:pBdr>
      <w:jc w:val="center"/>
    </w:pPr>
  </w:style>
  <w:style w:type="paragraph" w:customStyle="1" w:styleId="272">
    <w:name w:val="正文文本缩进1"/>
    <w:basedOn w:val="12"/>
    <w:next w:val="12"/>
    <w:autoRedefine/>
    <w:qFormat/>
    <w:uiPriority w:val="0"/>
  </w:style>
  <w:style w:type="paragraph" w:customStyle="1" w:styleId="273">
    <w:name w:val="简单回函地址"/>
    <w:basedOn w:val="1"/>
    <w:autoRedefine/>
    <w:qFormat/>
    <w:uiPriority w:val="0"/>
  </w:style>
  <w:style w:type="paragraph" w:customStyle="1" w:styleId="274">
    <w:name w:val="CM5"/>
    <w:basedOn w:val="12"/>
    <w:next w:val="12"/>
    <w:autoRedefine/>
    <w:qFormat/>
    <w:uiPriority w:val="0"/>
    <w:pPr>
      <w:spacing w:line="180" w:lineRule="atLeast"/>
    </w:pPr>
    <w:rPr>
      <w:rFonts w:ascii="Times New Roman"/>
      <w:sz w:val="24"/>
      <w:szCs w:val="24"/>
    </w:rPr>
  </w:style>
  <w:style w:type="paragraph" w:customStyle="1" w:styleId="275">
    <w:name w:val="Bullet 3"/>
    <w:basedOn w:val="1"/>
    <w:next w:val="1"/>
    <w:autoRedefine/>
    <w:qFormat/>
    <w:uiPriority w:val="0"/>
    <w:pPr>
      <w:widowControl/>
      <w:tabs>
        <w:tab w:val="left" w:pos="1440"/>
      </w:tabs>
      <w:ind w:left="3600" w:hanging="720"/>
      <w:jc w:val="left"/>
    </w:pPr>
    <w:rPr>
      <w:rFonts w:ascii="Arial" w:hAnsi="Arial"/>
      <w:kern w:val="0"/>
      <w:sz w:val="20"/>
      <w:szCs w:val="20"/>
      <w:lang w:eastAsia="en-US"/>
    </w:rPr>
  </w:style>
  <w:style w:type="paragraph" w:customStyle="1" w:styleId="276">
    <w:name w:val="font10"/>
    <w:basedOn w:val="1"/>
    <w:autoRedefine/>
    <w:qFormat/>
    <w:uiPriority w:val="0"/>
    <w:pPr>
      <w:widowControl/>
      <w:spacing w:before="100" w:beforeAutospacing="1" w:after="100" w:afterAutospacing="1"/>
      <w:jc w:val="left"/>
    </w:pPr>
    <w:rPr>
      <w:kern w:val="0"/>
      <w:sz w:val="36"/>
      <w:szCs w:val="20"/>
    </w:rPr>
  </w:style>
  <w:style w:type="paragraph" w:customStyle="1" w:styleId="277">
    <w:name w:val="CM57"/>
    <w:basedOn w:val="12"/>
    <w:next w:val="12"/>
    <w:autoRedefine/>
    <w:qFormat/>
    <w:uiPriority w:val="0"/>
    <w:rPr>
      <w:rFonts w:ascii="Times New Roman"/>
      <w:sz w:val="24"/>
      <w:szCs w:val="24"/>
    </w:rPr>
  </w:style>
  <w:style w:type="paragraph" w:customStyle="1" w:styleId="278">
    <w:name w:val="样式 小四 加粗 行距: 多倍行距 1.4 字行"/>
    <w:basedOn w:val="1"/>
    <w:autoRedefine/>
    <w:qFormat/>
    <w:uiPriority w:val="0"/>
    <w:pPr>
      <w:spacing w:line="336" w:lineRule="auto"/>
    </w:pPr>
    <w:rPr>
      <w:b/>
      <w:bCs/>
      <w:sz w:val="28"/>
      <w:szCs w:val="20"/>
    </w:rPr>
  </w:style>
  <w:style w:type="paragraph" w:customStyle="1" w:styleId="279">
    <w:name w:val="Char3"/>
    <w:basedOn w:val="1"/>
    <w:autoRedefine/>
    <w:qFormat/>
    <w:uiPriority w:val="0"/>
    <w:pPr>
      <w:spacing w:beforeLines="100"/>
    </w:pPr>
    <w:rPr>
      <w:szCs w:val="21"/>
    </w:rPr>
  </w:style>
  <w:style w:type="paragraph" w:customStyle="1" w:styleId="280">
    <w:name w:val="表格文字1"/>
    <w:basedOn w:val="1"/>
    <w:autoRedefine/>
    <w:qFormat/>
    <w:uiPriority w:val="0"/>
    <w:pPr>
      <w:jc w:val="center"/>
    </w:pPr>
    <w:rPr>
      <w:rFonts w:ascii="宋体" w:hAnsi="宋体"/>
    </w:rPr>
  </w:style>
  <w:style w:type="paragraph" w:customStyle="1" w:styleId="281">
    <w:name w:val="μ÷.D.úèY"/>
    <w:basedOn w:val="12"/>
    <w:next w:val="12"/>
    <w:autoRedefine/>
    <w:qFormat/>
    <w:uiPriority w:val="0"/>
  </w:style>
  <w:style w:type="paragraph" w:customStyle="1" w:styleId="282">
    <w:name w:val="xl39"/>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32"/>
      <w:szCs w:val="20"/>
    </w:rPr>
  </w:style>
  <w:style w:type="paragraph" w:customStyle="1" w:styleId="283">
    <w:name w:val="font7"/>
    <w:basedOn w:val="1"/>
    <w:autoRedefine/>
    <w:qFormat/>
    <w:uiPriority w:val="0"/>
    <w:pPr>
      <w:widowControl/>
      <w:spacing w:before="100" w:beforeAutospacing="1" w:after="100" w:afterAutospacing="1"/>
      <w:jc w:val="left"/>
    </w:pPr>
    <w:rPr>
      <w:kern w:val="0"/>
      <w:sz w:val="32"/>
      <w:szCs w:val="20"/>
    </w:rPr>
  </w:style>
  <w:style w:type="paragraph" w:customStyle="1" w:styleId="284">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5">
    <w:name w:val="列出段落1"/>
    <w:basedOn w:val="1"/>
    <w:autoRedefine/>
    <w:qFormat/>
    <w:uiPriority w:val="0"/>
    <w:pPr>
      <w:spacing w:line="500" w:lineRule="exact"/>
      <w:ind w:firstLine="420" w:firstLineChars="200"/>
    </w:pPr>
    <w:rPr>
      <w:sz w:val="24"/>
    </w:rPr>
  </w:style>
  <w:style w:type="paragraph" w:customStyle="1" w:styleId="286">
    <w:name w:val="样式1"/>
    <w:basedOn w:val="1"/>
    <w:autoRedefine/>
    <w:qFormat/>
    <w:uiPriority w:val="0"/>
    <w:pPr>
      <w:tabs>
        <w:tab w:val="left" w:pos="1077"/>
        <w:tab w:val="left" w:pos="1134"/>
      </w:tabs>
      <w:adjustRightInd w:val="0"/>
      <w:spacing w:before="60" w:after="60" w:line="440" w:lineRule="atLeast"/>
      <w:ind w:left="1980" w:hanging="360"/>
    </w:pPr>
    <w:rPr>
      <w:sz w:val="24"/>
      <w:szCs w:val="20"/>
    </w:rPr>
  </w:style>
  <w:style w:type="paragraph" w:customStyle="1" w:styleId="28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spacing w:val="14"/>
      <w:kern w:val="0"/>
      <w:sz w:val="20"/>
      <w:szCs w:val="20"/>
    </w:rPr>
  </w:style>
  <w:style w:type="paragraph" w:customStyle="1" w:styleId="288">
    <w:name w:val="xl2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289">
    <w:name w:val="xl40"/>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0">
    <w:name w:val="样式 宋体 小四 行距: 1.5 倍行距"/>
    <w:basedOn w:val="1"/>
    <w:autoRedefine/>
    <w:qFormat/>
    <w:uiPriority w:val="0"/>
    <w:pPr>
      <w:spacing w:line="360" w:lineRule="auto"/>
      <w:ind w:firstLine="480" w:firstLineChars="200"/>
    </w:pPr>
    <w:rPr>
      <w:rFonts w:ascii="宋体" w:hAnsi="宋体"/>
      <w:kern w:val="28"/>
      <w:sz w:val="28"/>
      <w:szCs w:val="20"/>
    </w:rPr>
  </w:style>
  <w:style w:type="paragraph" w:customStyle="1" w:styleId="291">
    <w:name w:val="xl41"/>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3">
    <w:name w:val="xl2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32"/>
      <w:szCs w:val="20"/>
    </w:rPr>
  </w:style>
  <w:style w:type="paragraph" w:customStyle="1" w:styleId="294">
    <w:name w:val="表格文字"/>
    <w:basedOn w:val="1"/>
    <w:autoRedefine/>
    <w:qFormat/>
    <w:uiPriority w:val="0"/>
    <w:pPr>
      <w:adjustRightInd w:val="0"/>
      <w:spacing w:line="420" w:lineRule="atLeast"/>
      <w:jc w:val="left"/>
      <w:textAlignment w:val="baseline"/>
    </w:pPr>
    <w:rPr>
      <w:kern w:val="0"/>
      <w:szCs w:val="20"/>
    </w:rPr>
  </w:style>
  <w:style w:type="paragraph" w:customStyle="1" w:styleId="295">
    <w:name w:val="Char Char Char Char Char Char Char Char Char Char Char Char Char"/>
    <w:basedOn w:val="1"/>
    <w:autoRedefine/>
    <w:qFormat/>
    <w:uiPriority w:val="0"/>
    <w:rPr>
      <w:szCs w:val="20"/>
    </w:rPr>
  </w:style>
  <w:style w:type="paragraph" w:customStyle="1" w:styleId="296">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97">
    <w:name w:val="勘察报告正文"/>
    <w:basedOn w:val="1"/>
    <w:autoRedefine/>
    <w:qFormat/>
    <w:uiPriority w:val="0"/>
    <w:pPr>
      <w:adjustRightInd w:val="0"/>
      <w:snapToGrid w:val="0"/>
      <w:spacing w:line="580" w:lineRule="exact"/>
      <w:ind w:firstLine="476"/>
    </w:pPr>
    <w:rPr>
      <w:sz w:val="24"/>
      <w:szCs w:val="21"/>
    </w:rPr>
  </w:style>
  <w:style w:type="paragraph" w:customStyle="1" w:styleId="298">
    <w:name w:val="xl42"/>
    <w:basedOn w:val="1"/>
    <w:autoRedefine/>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9">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300">
    <w:name w:val="CM7"/>
    <w:basedOn w:val="12"/>
    <w:next w:val="12"/>
    <w:autoRedefine/>
    <w:qFormat/>
    <w:uiPriority w:val="0"/>
    <w:pPr>
      <w:spacing w:line="191" w:lineRule="atLeast"/>
    </w:pPr>
    <w:rPr>
      <w:rFonts w:ascii="Times New Roman"/>
      <w:sz w:val="24"/>
      <w:szCs w:val="24"/>
    </w:rPr>
  </w:style>
  <w:style w:type="paragraph" w:customStyle="1" w:styleId="301">
    <w:name w:val="表样式"/>
    <w:basedOn w:val="1"/>
    <w:autoRedefine/>
    <w:qFormat/>
    <w:uiPriority w:val="0"/>
    <w:pPr>
      <w:jc w:val="center"/>
    </w:pPr>
    <w:rPr>
      <w:rFonts w:ascii="黑体" w:eastAsia="黑体"/>
      <w:sz w:val="28"/>
      <w:szCs w:val="28"/>
    </w:rPr>
  </w:style>
  <w:style w:type="paragraph" w:customStyle="1" w:styleId="302">
    <w:name w:val="xl25"/>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03">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304">
    <w:name w:val="节1"/>
    <w:basedOn w:val="3"/>
    <w:autoRedefine/>
    <w:qFormat/>
    <w:uiPriority w:val="0"/>
    <w:pPr>
      <w:tabs>
        <w:tab w:val="left" w:pos="1200"/>
      </w:tabs>
      <w:adjustRightInd w:val="0"/>
      <w:spacing w:before="120" w:after="120" w:line="360" w:lineRule="auto"/>
      <w:textAlignment w:val="baseline"/>
    </w:pPr>
    <w:rPr>
      <w:rFonts w:ascii="Arial Narrow" w:hAnsi="Arial Narrow"/>
      <w:b w:val="0"/>
      <w:bCs/>
      <w:spacing w:val="14"/>
      <w:kern w:val="0"/>
      <w:sz w:val="28"/>
      <w:szCs w:val="30"/>
      <w:lang w:val="zh-CN"/>
    </w:rPr>
  </w:style>
  <w:style w:type="paragraph" w:customStyle="1" w:styleId="305">
    <w:name w:val="xl5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06">
    <w:name w:val="font6"/>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307">
    <w:name w:val="样式4"/>
    <w:basedOn w:val="36"/>
    <w:autoRedefine/>
    <w:qFormat/>
    <w:uiPriority w:val="0"/>
    <w:pPr>
      <w:pBdr>
        <w:top w:val="single" w:color="auto" w:sz="4" w:space="1"/>
      </w:pBdr>
      <w:jc w:val="center"/>
    </w:pPr>
  </w:style>
  <w:style w:type="paragraph" w:customStyle="1" w:styleId="308">
    <w:name w:val="font13"/>
    <w:basedOn w:val="1"/>
    <w:autoRedefine/>
    <w:qFormat/>
    <w:uiPriority w:val="0"/>
    <w:pPr>
      <w:widowControl/>
      <w:spacing w:before="100" w:beforeAutospacing="1" w:after="100" w:afterAutospacing="1"/>
      <w:jc w:val="left"/>
    </w:pPr>
    <w:rPr>
      <w:rFonts w:hint="eastAsia" w:ascii="宋体" w:hAnsi="宋体"/>
      <w:color w:val="FF0000"/>
      <w:kern w:val="0"/>
      <w:sz w:val="32"/>
      <w:szCs w:val="20"/>
    </w:rPr>
  </w:style>
  <w:style w:type="paragraph" w:customStyle="1" w:styleId="309">
    <w:name w:val="Bullet 5"/>
    <w:basedOn w:val="1"/>
    <w:next w:val="1"/>
    <w:autoRedefine/>
    <w:qFormat/>
    <w:uiPriority w:val="0"/>
    <w:pPr>
      <w:widowControl/>
      <w:tabs>
        <w:tab w:val="left" w:pos="1440"/>
      </w:tabs>
      <w:ind w:left="5041" w:hanging="720"/>
      <w:jc w:val="left"/>
    </w:pPr>
    <w:rPr>
      <w:rFonts w:ascii="Arial" w:hAnsi="Arial"/>
      <w:kern w:val="0"/>
      <w:sz w:val="20"/>
      <w:szCs w:val="20"/>
      <w:lang w:eastAsia="en-US"/>
    </w:rPr>
  </w:style>
  <w:style w:type="paragraph" w:customStyle="1" w:styleId="310">
    <w:name w:val="CM37"/>
    <w:basedOn w:val="12"/>
    <w:next w:val="12"/>
    <w:autoRedefine/>
    <w:qFormat/>
    <w:uiPriority w:val="0"/>
    <w:rPr>
      <w:rFonts w:ascii="Times New Roman"/>
      <w:sz w:val="24"/>
      <w:szCs w:val="24"/>
    </w:rPr>
  </w:style>
  <w:style w:type="paragraph" w:customStyle="1" w:styleId="311">
    <w:name w:val="1"/>
    <w:basedOn w:val="1"/>
    <w:autoRedefine/>
    <w:qFormat/>
    <w:uiPriority w:val="0"/>
    <w:pPr>
      <w:adjustRightInd w:val="0"/>
      <w:spacing w:before="360" w:after="240" w:line="420" w:lineRule="atLeast"/>
      <w:ind w:firstLine="454"/>
      <w:textAlignment w:val="baseline"/>
    </w:pPr>
    <w:rPr>
      <w:b/>
      <w:kern w:val="0"/>
      <w:szCs w:val="20"/>
    </w:rPr>
  </w:style>
  <w:style w:type="paragraph" w:customStyle="1" w:styleId="312">
    <w:name w:val="无间隔1"/>
    <w:autoRedefine/>
    <w:qFormat/>
    <w:uiPriority w:val="0"/>
    <w:pPr>
      <w:widowControl w:val="0"/>
      <w:ind w:firstLine="200" w:firstLineChars="200"/>
      <w:jc w:val="both"/>
    </w:pPr>
    <w:rPr>
      <w:rFonts w:ascii="Calibri" w:hAnsi="Calibri" w:eastAsia="宋体" w:cs="Times New Roman"/>
      <w:sz w:val="24"/>
      <w:szCs w:val="21"/>
      <w:lang w:val="en-US" w:eastAsia="zh-CN" w:bidi="ar-SA"/>
    </w:rPr>
  </w:style>
  <w:style w:type="paragraph" w:customStyle="1" w:styleId="313">
    <w:name w:val="样式 Arial 小四 行距: 1.5 倍行距"/>
    <w:basedOn w:val="1"/>
    <w:autoRedefine/>
    <w:qFormat/>
    <w:uiPriority w:val="0"/>
    <w:pPr>
      <w:spacing w:line="360" w:lineRule="auto"/>
      <w:outlineLvl w:val="0"/>
    </w:pPr>
    <w:rPr>
      <w:rFonts w:ascii="Arial" w:hAnsi="Arial"/>
      <w:sz w:val="24"/>
      <w:szCs w:val="20"/>
    </w:rPr>
  </w:style>
  <w:style w:type="paragraph" w:customStyle="1" w:styleId="314">
    <w:name w:val="标题dh2"/>
    <w:basedOn w:val="1"/>
    <w:autoRedefine/>
    <w:qFormat/>
    <w:uiPriority w:val="0"/>
    <w:pPr>
      <w:spacing w:line="520" w:lineRule="exact"/>
      <w:ind w:firstLine="482"/>
    </w:pPr>
    <w:rPr>
      <w:rFonts w:ascii="宋体"/>
      <w:b/>
      <w:sz w:val="28"/>
      <w:szCs w:val="20"/>
    </w:rPr>
  </w:style>
  <w:style w:type="paragraph" w:customStyle="1" w:styleId="315">
    <w:name w:val="Char Char Char2 Char Char Char Char"/>
    <w:basedOn w:val="1"/>
    <w:autoRedefine/>
    <w:qFormat/>
    <w:uiPriority w:val="0"/>
    <w:pPr>
      <w:spacing w:line="360" w:lineRule="auto"/>
      <w:ind w:firstLine="200" w:firstLineChars="200"/>
    </w:pPr>
    <w:rPr>
      <w:rFonts w:ascii="宋体" w:hAnsi="宋体" w:cs="宋体"/>
      <w:sz w:val="24"/>
    </w:rPr>
  </w:style>
  <w:style w:type="paragraph" w:customStyle="1" w:styleId="316">
    <w:name w:val="Bullet 2"/>
    <w:basedOn w:val="1"/>
    <w:next w:val="1"/>
    <w:autoRedefine/>
    <w:qFormat/>
    <w:uiPriority w:val="0"/>
    <w:pPr>
      <w:widowControl/>
      <w:tabs>
        <w:tab w:val="left" w:pos="1440"/>
      </w:tabs>
      <w:ind w:left="2880" w:hanging="720"/>
      <w:jc w:val="left"/>
    </w:pPr>
    <w:rPr>
      <w:rFonts w:ascii="Arial" w:hAnsi="Arial"/>
      <w:kern w:val="0"/>
      <w:sz w:val="20"/>
      <w:szCs w:val="20"/>
      <w:lang w:eastAsia="en-US"/>
    </w:rPr>
  </w:style>
  <w:style w:type="paragraph" w:customStyle="1" w:styleId="317">
    <w:name w:val="章1"/>
    <w:basedOn w:val="2"/>
    <w:autoRedefine/>
    <w:qFormat/>
    <w:uiPriority w:val="0"/>
    <w:pPr>
      <w:keepNext/>
      <w:tabs>
        <w:tab w:val="clear" w:pos="1077"/>
      </w:tabs>
      <w:adjustRightInd/>
      <w:spacing w:beforeLines="50" w:afterLines="50" w:line="360" w:lineRule="auto"/>
      <w:jc w:val="left"/>
      <w:textAlignment w:val="auto"/>
    </w:pPr>
    <w:rPr>
      <w:rFonts w:ascii="Arial Narrow" w:hAnsi="Arial Narrow" w:eastAsia="黑体" w:cs="Times New Roman"/>
      <w:color w:val="auto"/>
      <w:spacing w:val="20"/>
      <w:kern w:val="2"/>
      <w:sz w:val="32"/>
      <w:szCs w:val="36"/>
    </w:rPr>
  </w:style>
  <w:style w:type="paragraph" w:customStyle="1" w:styleId="31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19">
    <w:name w:val="xl44"/>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20">
    <w:name w:val="Bullet 1"/>
    <w:basedOn w:val="1"/>
    <w:next w:val="1"/>
    <w:autoRedefine/>
    <w:qFormat/>
    <w:uiPriority w:val="0"/>
    <w:pPr>
      <w:widowControl/>
      <w:tabs>
        <w:tab w:val="left" w:pos="1440"/>
      </w:tabs>
      <w:ind w:left="2160" w:hanging="720"/>
      <w:jc w:val="left"/>
    </w:pPr>
    <w:rPr>
      <w:rFonts w:ascii="Arial" w:hAnsi="Arial"/>
      <w:kern w:val="0"/>
      <w:sz w:val="20"/>
      <w:szCs w:val="20"/>
      <w:lang w:eastAsia="en-US"/>
    </w:rPr>
  </w:style>
  <w:style w:type="paragraph" w:customStyle="1" w:styleId="321">
    <w:name w:val="默认段落字体 Para Char"/>
    <w:basedOn w:val="47"/>
    <w:next w:val="1"/>
    <w:autoRedefine/>
    <w:qFormat/>
    <w:uiPriority w:val="0"/>
    <w:pPr>
      <w:adjustRightInd w:val="0"/>
      <w:snapToGrid w:val="0"/>
      <w:spacing w:after="120" w:line="360" w:lineRule="exact"/>
    </w:pPr>
    <w:rPr>
      <w:rFonts w:ascii="宋体" w:hAnsi="宋体" w:cs="宋体"/>
      <w:b w:val="0"/>
      <w:sz w:val="24"/>
      <w:szCs w:val="24"/>
    </w:rPr>
  </w:style>
  <w:style w:type="paragraph" w:customStyle="1" w:styleId="322">
    <w:name w:val="Char Char1 Char Char Char"/>
    <w:basedOn w:val="1"/>
    <w:autoRedefine/>
    <w:qFormat/>
    <w:uiPriority w:val="0"/>
    <w:rPr>
      <w:kern w:val="0"/>
      <w:sz w:val="20"/>
      <w:szCs w:val="20"/>
    </w:rPr>
  </w:style>
  <w:style w:type="paragraph" w:customStyle="1" w:styleId="323">
    <w:name w:val="目录"/>
    <w:basedOn w:val="1"/>
    <w:autoRedefine/>
    <w:qFormat/>
    <w:uiPriority w:val="0"/>
    <w:pPr>
      <w:widowControl/>
      <w:jc w:val="center"/>
    </w:pPr>
    <w:rPr>
      <w:rFonts w:ascii="宋体"/>
      <w:b/>
      <w:kern w:val="0"/>
      <w:sz w:val="36"/>
      <w:szCs w:val="20"/>
    </w:rPr>
  </w:style>
  <w:style w:type="paragraph" w:customStyle="1" w:styleId="324">
    <w:name w:val="font8"/>
    <w:basedOn w:val="1"/>
    <w:autoRedefine/>
    <w:qFormat/>
    <w:uiPriority w:val="0"/>
    <w:pPr>
      <w:widowControl/>
      <w:spacing w:before="100" w:beforeAutospacing="1" w:after="100" w:afterAutospacing="1"/>
      <w:jc w:val="left"/>
    </w:pPr>
    <w:rPr>
      <w:rFonts w:hint="eastAsia" w:ascii="宋体" w:hAnsi="宋体"/>
      <w:b/>
      <w:color w:val="000000"/>
      <w:kern w:val="0"/>
      <w:sz w:val="28"/>
      <w:szCs w:val="20"/>
    </w:rPr>
  </w:style>
  <w:style w:type="paragraph" w:customStyle="1" w:styleId="325">
    <w:name w:val="标题 41"/>
    <w:basedOn w:val="12"/>
    <w:next w:val="12"/>
    <w:autoRedefine/>
    <w:qFormat/>
    <w:uiPriority w:val="0"/>
  </w:style>
  <w:style w:type="paragraph" w:customStyle="1" w:styleId="32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327">
    <w:name w:val="默认段落字体 Para Char Char Char Char"/>
    <w:basedOn w:val="1"/>
    <w:autoRedefine/>
    <w:qFormat/>
    <w:uiPriority w:val="0"/>
  </w:style>
  <w:style w:type="paragraph" w:customStyle="1" w:styleId="328">
    <w:name w:val="Char Char3 Char Char"/>
    <w:basedOn w:val="1"/>
    <w:autoRedefine/>
    <w:qFormat/>
    <w:uiPriority w:val="0"/>
    <w:rPr>
      <w:szCs w:val="21"/>
    </w:rPr>
  </w:style>
  <w:style w:type="paragraph" w:customStyle="1" w:styleId="329">
    <w:name w:val="样式 宋体 小四 行距: 多倍行距 1.4 字行2"/>
    <w:basedOn w:val="1"/>
    <w:autoRedefine/>
    <w:qFormat/>
    <w:uiPriority w:val="0"/>
    <w:pPr>
      <w:spacing w:line="336" w:lineRule="auto"/>
      <w:ind w:firstLine="480" w:firstLineChars="200"/>
    </w:pPr>
    <w:rPr>
      <w:rFonts w:ascii="宋体" w:hAnsi="宋体"/>
      <w:sz w:val="28"/>
      <w:szCs w:val="20"/>
    </w:rPr>
  </w:style>
  <w:style w:type="paragraph" w:customStyle="1" w:styleId="330">
    <w:name w:val="Bullet 4"/>
    <w:basedOn w:val="1"/>
    <w:next w:val="1"/>
    <w:autoRedefine/>
    <w:qFormat/>
    <w:uiPriority w:val="0"/>
    <w:pPr>
      <w:widowControl/>
      <w:tabs>
        <w:tab w:val="left" w:pos="1440"/>
      </w:tabs>
      <w:ind w:left="4320" w:hanging="720"/>
      <w:jc w:val="left"/>
    </w:pPr>
    <w:rPr>
      <w:rFonts w:ascii="Arial" w:hAnsi="Arial"/>
      <w:kern w:val="0"/>
      <w:sz w:val="20"/>
      <w:szCs w:val="20"/>
      <w:lang w:eastAsia="en-US"/>
    </w:rPr>
  </w:style>
  <w:style w:type="paragraph" w:customStyle="1" w:styleId="331">
    <w:name w:val="基准页眉样式"/>
    <w:basedOn w:val="23"/>
    <w:autoRedefine/>
    <w:qFormat/>
    <w:uiPriority w:val="0"/>
    <w:pPr>
      <w:keepLines/>
      <w:widowControl/>
      <w:tabs>
        <w:tab w:val="center" w:pos="-18551"/>
        <w:tab w:val="right" w:pos="4320"/>
      </w:tabs>
      <w:spacing w:line="240" w:lineRule="atLeast"/>
      <w:jc w:val="center"/>
    </w:pPr>
    <w:rPr>
      <w:rFonts w:ascii="Garamond" w:hAnsi="Garamond"/>
      <w:smallCaps/>
      <w:color w:val="auto"/>
      <w:spacing w:val="15"/>
      <w:kern w:val="0"/>
      <w:sz w:val="21"/>
      <w:szCs w:val="20"/>
    </w:rPr>
  </w:style>
  <w:style w:type="paragraph" w:customStyle="1" w:styleId="332">
    <w:name w:val="xl3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333">
    <w:name w:val="Char Char Char Char Char Char"/>
    <w:basedOn w:val="1"/>
    <w:autoRedefine/>
    <w:qFormat/>
    <w:uiPriority w:val="0"/>
  </w:style>
  <w:style w:type="paragraph" w:customStyle="1" w:styleId="334">
    <w:name w:val="样式8"/>
    <w:basedOn w:val="1"/>
    <w:autoRedefine/>
    <w:qFormat/>
    <w:uiPriority w:val="0"/>
    <w:pPr>
      <w:spacing w:before="120" w:after="120" w:line="500" w:lineRule="exact"/>
    </w:pPr>
    <w:rPr>
      <w:rFonts w:ascii="宋体" w:hAnsi="宋体"/>
      <w:b/>
      <w:sz w:val="28"/>
      <w:szCs w:val="20"/>
    </w:rPr>
  </w:style>
  <w:style w:type="paragraph" w:customStyle="1" w:styleId="335">
    <w:name w:val="样式 Arial 四号"/>
    <w:basedOn w:val="1"/>
    <w:autoRedefine/>
    <w:qFormat/>
    <w:uiPriority w:val="0"/>
    <w:pPr>
      <w:ind w:firstLine="560" w:firstLineChars="200"/>
    </w:pPr>
    <w:rPr>
      <w:rFonts w:ascii="Arial" w:hAnsi="Arial"/>
      <w:kern w:val="0"/>
      <w:sz w:val="28"/>
      <w:szCs w:val="20"/>
    </w:rPr>
  </w:style>
  <w:style w:type="paragraph" w:customStyle="1" w:styleId="336">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337">
    <w:name w:val="xl2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3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39">
    <w:name w:val="Char"/>
    <w:basedOn w:val="1"/>
    <w:autoRedefine/>
    <w:qFormat/>
    <w:uiPriority w:val="0"/>
    <w:pPr>
      <w:widowControl/>
      <w:spacing w:after="160" w:line="240" w:lineRule="exact"/>
      <w:jc w:val="center"/>
    </w:pPr>
    <w:rPr>
      <w:rFonts w:ascii="宋体" w:hAnsi="宋体"/>
      <w:bCs/>
      <w:kern w:val="0"/>
      <w:szCs w:val="21"/>
    </w:rPr>
  </w:style>
  <w:style w:type="paragraph" w:customStyle="1" w:styleId="340">
    <w:name w:val="CM3"/>
    <w:basedOn w:val="12"/>
    <w:next w:val="12"/>
    <w:autoRedefine/>
    <w:qFormat/>
    <w:uiPriority w:val="0"/>
    <w:rPr>
      <w:rFonts w:ascii="Times New Roman"/>
      <w:sz w:val="24"/>
      <w:szCs w:val="24"/>
    </w:rPr>
  </w:style>
  <w:style w:type="paragraph" w:customStyle="1" w:styleId="341">
    <w:name w:val="样式 宋体 小四 加粗 行距: 多倍行距 1.4 字行"/>
    <w:basedOn w:val="1"/>
    <w:autoRedefine/>
    <w:qFormat/>
    <w:uiPriority w:val="0"/>
    <w:pPr>
      <w:spacing w:line="336" w:lineRule="auto"/>
    </w:pPr>
    <w:rPr>
      <w:rFonts w:ascii="宋体" w:hAnsi="宋体"/>
      <w:b/>
      <w:bCs/>
      <w:kern w:val="28"/>
      <w:sz w:val="28"/>
      <w:szCs w:val="20"/>
    </w:rPr>
  </w:style>
  <w:style w:type="paragraph" w:customStyle="1" w:styleId="34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43">
    <w:name w:val="菲页(卷)"/>
    <w:basedOn w:val="2"/>
    <w:next w:val="344"/>
    <w:autoRedefine/>
    <w:qFormat/>
    <w:uiPriority w:val="0"/>
    <w:pPr>
      <w:keepNext/>
      <w:widowControl/>
      <w:tabs>
        <w:tab w:val="left" w:pos="814"/>
        <w:tab w:val="clear" w:pos="1077"/>
      </w:tabs>
      <w:adjustRightInd/>
      <w:spacing w:line="240" w:lineRule="auto"/>
      <w:ind w:left="425" w:firstLine="29"/>
      <w:textAlignment w:val="auto"/>
      <w:outlineLvl w:val="1"/>
    </w:pPr>
    <w:rPr>
      <w:rFonts w:ascii="黑体" w:hAnsi="Times New Roman" w:eastAsia="黑体"/>
      <w:b w:val="0"/>
      <w:sz w:val="52"/>
    </w:rPr>
  </w:style>
  <w:style w:type="paragraph" w:customStyle="1" w:styleId="34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5">
    <w:name w:val="xl43"/>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46">
    <w:name w:val="font11"/>
    <w:basedOn w:val="1"/>
    <w:autoRedefine/>
    <w:qFormat/>
    <w:uiPriority w:val="0"/>
    <w:pPr>
      <w:widowControl/>
      <w:spacing w:before="100" w:beforeAutospacing="1" w:after="100" w:afterAutospacing="1"/>
      <w:jc w:val="left"/>
    </w:pPr>
    <w:rPr>
      <w:kern w:val="0"/>
      <w:sz w:val="32"/>
      <w:szCs w:val="20"/>
    </w:rPr>
  </w:style>
  <w:style w:type="paragraph" w:customStyle="1" w:styleId="347">
    <w:name w:val="xl45"/>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b/>
      <w:color w:val="000000"/>
      <w:kern w:val="0"/>
      <w:sz w:val="28"/>
      <w:szCs w:val="20"/>
    </w:rPr>
  </w:style>
  <w:style w:type="paragraph" w:customStyle="1" w:styleId="348">
    <w:name w:val="样式 样式 宋体 小四 行距: 1.5 倍行距 + 首行缩进:  2 字符"/>
    <w:basedOn w:val="290"/>
    <w:autoRedefine/>
    <w:qFormat/>
    <w:uiPriority w:val="0"/>
    <w:pPr>
      <w:ind w:firstLine="560"/>
    </w:pPr>
  </w:style>
  <w:style w:type="paragraph" w:customStyle="1" w:styleId="34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35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51">
    <w:name w:val="fg"/>
    <w:basedOn w:val="1"/>
    <w:autoRedefine/>
    <w:qFormat/>
    <w:uiPriority w:val="0"/>
    <w:pPr>
      <w:adjustRightInd w:val="0"/>
      <w:spacing w:line="360" w:lineRule="auto"/>
      <w:jc w:val="left"/>
      <w:textAlignment w:val="baseline"/>
    </w:pPr>
    <w:rPr>
      <w:rFonts w:ascii="楷体_GB2312" w:eastAsia="楷体_GB2312"/>
      <w:kern w:val="0"/>
      <w:sz w:val="30"/>
      <w:szCs w:val="20"/>
    </w:rPr>
  </w:style>
  <w:style w:type="paragraph" w:customStyle="1" w:styleId="352">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53">
    <w:name w:val="样式 标题 3 + (中文) 黑体 小四 非加粗 段前: 7.8 磅 段后: 0 磅 行距: 固定值 20 磅"/>
    <w:basedOn w:val="4"/>
    <w:autoRedefine/>
    <w:qFormat/>
    <w:uiPriority w:val="0"/>
    <w:pPr>
      <w:adjustRightInd/>
      <w:spacing w:before="0" w:after="0" w:line="400" w:lineRule="exact"/>
      <w:textAlignment w:val="auto"/>
    </w:pPr>
    <w:rPr>
      <w:rFonts w:eastAsia="黑体" w:cs="宋体"/>
      <w:b w:val="0"/>
      <w:kern w:val="2"/>
    </w:rPr>
  </w:style>
  <w:style w:type="paragraph" w:customStyle="1" w:styleId="354">
    <w:name w:val="样式6"/>
    <w:basedOn w:val="218"/>
    <w:autoRedefine/>
    <w:qFormat/>
    <w:uiPriority w:val="0"/>
  </w:style>
  <w:style w:type="paragraph" w:customStyle="1" w:styleId="355">
    <w:name w:val="正文表格"/>
    <w:basedOn w:val="1"/>
    <w:autoRedefine/>
    <w:qFormat/>
    <w:uiPriority w:val="0"/>
    <w:pPr>
      <w:keepNext/>
      <w:keepLines/>
      <w:tabs>
        <w:tab w:val="center" w:pos="6804"/>
      </w:tabs>
      <w:overflowPunct w:val="0"/>
      <w:adjustRightInd w:val="0"/>
      <w:spacing w:before="80"/>
      <w:jc w:val="center"/>
      <w:textAlignment w:val="bottom"/>
    </w:pPr>
    <w:rPr>
      <w:kern w:val="0"/>
      <w:sz w:val="28"/>
      <w:szCs w:val="20"/>
    </w:rPr>
  </w:style>
  <w:style w:type="paragraph" w:customStyle="1" w:styleId="35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7">
    <w:name w:val="xl57"/>
    <w:basedOn w:val="1"/>
    <w:autoRedefine/>
    <w:qFormat/>
    <w:uiPriority w:val="0"/>
    <w:pPr>
      <w:widowControl/>
      <w:pBdr>
        <w:lef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3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5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0">
    <w:name w:val="xl46"/>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rFonts w:ascii="宋体" w:hAnsi="宋体"/>
      <w:b/>
      <w:color w:val="000000"/>
      <w:kern w:val="0"/>
      <w:sz w:val="28"/>
      <w:szCs w:val="20"/>
    </w:rPr>
  </w:style>
  <w:style w:type="paragraph" w:customStyle="1" w:styleId="361">
    <w:name w:val="修订1"/>
    <w:autoRedefine/>
    <w:qFormat/>
    <w:uiPriority w:val="0"/>
    <w:rPr>
      <w:rFonts w:ascii="Calibri" w:hAnsi="Calibri" w:eastAsia="宋体" w:cs="Times New Roman"/>
      <w:kern w:val="2"/>
      <w:sz w:val="21"/>
      <w:szCs w:val="22"/>
      <w:lang w:val="en-US" w:eastAsia="zh-CN" w:bidi="ar-SA"/>
    </w:rPr>
  </w:style>
  <w:style w:type="paragraph" w:customStyle="1" w:styleId="362">
    <w:name w:val="p15"/>
    <w:basedOn w:val="1"/>
    <w:autoRedefine/>
    <w:qFormat/>
    <w:uiPriority w:val="0"/>
    <w:pPr>
      <w:widowControl/>
      <w:spacing w:line="500" w:lineRule="atLeast"/>
      <w:ind w:firstLine="420"/>
    </w:pPr>
    <w:rPr>
      <w:rFonts w:ascii="宋体" w:hAnsi="宋体" w:cs="宋体"/>
      <w:kern w:val="0"/>
      <w:sz w:val="24"/>
    </w:rPr>
  </w:style>
  <w:style w:type="paragraph" w:customStyle="1" w:styleId="363">
    <w:name w:val="p16"/>
    <w:basedOn w:val="1"/>
    <w:autoRedefine/>
    <w:qFormat/>
    <w:uiPriority w:val="0"/>
    <w:pPr>
      <w:widowControl/>
      <w:spacing w:before="624" w:after="624"/>
      <w:jc w:val="center"/>
    </w:pPr>
    <w:rPr>
      <w:rFonts w:ascii="黑体" w:hAnsi="宋体" w:eastAsia="黑体" w:cs="宋体"/>
      <w:b/>
      <w:bCs/>
      <w:kern w:val="0"/>
      <w:sz w:val="44"/>
      <w:szCs w:val="44"/>
    </w:rPr>
  </w:style>
  <w:style w:type="paragraph" w:customStyle="1" w:styleId="364">
    <w:name w:val="－列表2"/>
    <w:basedOn w:val="1"/>
    <w:autoRedefine/>
    <w:qFormat/>
    <w:uiPriority w:val="0"/>
    <w:pPr>
      <w:jc w:val="left"/>
    </w:pPr>
    <w:rPr>
      <w:rFonts w:hAnsi="Arial"/>
      <w:sz w:val="24"/>
      <w:szCs w:val="20"/>
    </w:rPr>
  </w:style>
  <w:style w:type="paragraph" w:customStyle="1" w:styleId="365">
    <w:name w:val="1.1"/>
    <w:basedOn w:val="1"/>
    <w:autoRedefine/>
    <w:qFormat/>
    <w:uiPriority w:val="0"/>
    <w:pPr>
      <w:keepNext/>
      <w:overflowPunct w:val="0"/>
      <w:autoSpaceDE w:val="0"/>
      <w:autoSpaceDN w:val="0"/>
      <w:adjustRightInd w:val="0"/>
      <w:spacing w:before="240"/>
      <w:jc w:val="left"/>
    </w:pPr>
    <w:rPr>
      <w:rFonts w:ascii="宋体"/>
      <w:b/>
      <w:kern w:val="0"/>
      <w:sz w:val="24"/>
      <w:szCs w:val="20"/>
    </w:rPr>
  </w:style>
  <w:style w:type="paragraph" w:customStyle="1" w:styleId="366">
    <w:name w:val="font4"/>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67">
    <w:name w:val="et5"/>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8">
    <w:name w:val="et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9">
    <w:name w:val="et7"/>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0">
    <w:name w:val="et8"/>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1">
    <w:name w:val="et9"/>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2">
    <w:name w:val="et10"/>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3">
    <w:name w:val="et11"/>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4">
    <w:name w:val="et12"/>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5">
    <w:name w:val="et13"/>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6">
    <w:name w:val="et1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7">
    <w:name w:val="et15"/>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8">
    <w:name w:val="et1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9">
    <w:name w:val="et17"/>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80">
    <w:name w:val="et18"/>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1">
    <w:name w:val="et19"/>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2">
    <w:name w:val="et20"/>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3">
    <w:name w:val="et21"/>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4">
    <w:name w:val="et22"/>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5">
    <w:name w:val="et23"/>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6">
    <w:name w:val="Char1 Char Char"/>
    <w:basedOn w:val="1"/>
    <w:autoRedefine/>
    <w:qFormat/>
    <w:uiPriority w:val="0"/>
  </w:style>
  <w:style w:type="character" w:customStyle="1" w:styleId="387">
    <w:name w:val="info"/>
    <w:basedOn w:val="58"/>
    <w:autoRedefine/>
    <w:qFormat/>
    <w:uiPriority w:val="0"/>
    <w:rPr>
      <w:color w:val="999999"/>
      <w:sz w:val="21"/>
      <w:szCs w:val="21"/>
    </w:rPr>
  </w:style>
  <w:style w:type="character" w:customStyle="1" w:styleId="388">
    <w:name w:val="info1"/>
    <w:basedOn w:val="58"/>
    <w:autoRedefine/>
    <w:qFormat/>
    <w:uiPriority w:val="0"/>
    <w:rPr>
      <w:color w:val="999999"/>
      <w:sz w:val="21"/>
      <w:szCs w:val="21"/>
    </w:rPr>
  </w:style>
  <w:style w:type="paragraph" w:customStyle="1" w:styleId="389">
    <w:name w:val="样式 标题 1 + 四号 居中 段前: 12 磅 段后: 12 磅 行距: 单倍行距"/>
    <w:basedOn w:val="2"/>
    <w:autoRedefine/>
    <w:qFormat/>
    <w:uiPriority w:val="0"/>
    <w:pPr>
      <w:adjustRightInd w:val="0"/>
      <w:spacing w:before="240" w:after="240" w:line="240" w:lineRule="auto"/>
      <w:ind w:firstLine="288"/>
      <w:jc w:val="center"/>
      <w:textAlignment w:val="baseline"/>
    </w:pPr>
    <w:rPr>
      <w:rFonts w:cs="宋体"/>
      <w:sz w:val="28"/>
      <w:szCs w:val="20"/>
    </w:rPr>
  </w:style>
  <w:style w:type="character" w:customStyle="1" w:styleId="390">
    <w:name w:val="表文"/>
    <w:basedOn w:val="58"/>
    <w:autoRedefine/>
    <w:qFormat/>
    <w:uiPriority w:val="0"/>
    <w:rPr>
      <w:rFonts w:ascii="宋体" w:hAnsi="宋体" w:eastAsia="宋体"/>
      <w:sz w:val="21"/>
      <w:szCs w:val="21"/>
    </w:rPr>
  </w:style>
  <w:style w:type="table" w:customStyle="1" w:styleId="391">
    <w:name w:val="Table Normal"/>
    <w:autoRedefine/>
    <w:unhideWhenUsed/>
    <w:qFormat/>
    <w:uiPriority w:val="0"/>
    <w:tblPr>
      <w:tblCellMar>
        <w:top w:w="0" w:type="dxa"/>
        <w:left w:w="0" w:type="dxa"/>
        <w:bottom w:w="0" w:type="dxa"/>
        <w:right w:w="0" w:type="dxa"/>
      </w:tblCellMar>
    </w:tblPr>
  </w:style>
  <w:style w:type="character" w:customStyle="1" w:styleId="392">
    <w:name w:val="font81"/>
    <w:basedOn w:val="58"/>
    <w:autoRedefine/>
    <w:qFormat/>
    <w:uiPriority w:val="0"/>
    <w:rPr>
      <w:rFonts w:ascii="微软雅黑" w:hAnsi="微软雅黑" w:eastAsia="微软雅黑" w:cs="微软雅黑"/>
      <w:color w:val="000000"/>
      <w:sz w:val="22"/>
      <w:szCs w:val="22"/>
      <w:u w:val="none"/>
    </w:rPr>
  </w:style>
  <w:style w:type="paragraph" w:styleId="393">
    <w:name w:val="No Spacing"/>
    <w:autoRedefine/>
    <w:qFormat/>
    <w:uiPriority w:val="1"/>
    <w:pPr>
      <w:widowControl w:val="0"/>
      <w:adjustRightInd w:val="0"/>
      <w:snapToGrid w:val="0"/>
      <w:jc w:val="center"/>
    </w:pPr>
    <w:rPr>
      <w:rFonts w:ascii="宋体" w:hAnsi="宋体" w:eastAsia="宋体" w:cs="宋体"/>
      <w:kern w:val="2"/>
      <w:sz w:val="24"/>
      <w:szCs w:val="24"/>
      <w:lang w:val="en-US" w:eastAsia="zh-CN" w:bidi="ar-SA"/>
    </w:rPr>
  </w:style>
  <w:style w:type="paragraph" w:customStyle="1" w:styleId="394">
    <w:name w:val="Table Paragraph"/>
    <w:basedOn w:val="1"/>
    <w:autoRedefine/>
    <w:qFormat/>
    <w:uiPriority w:val="1"/>
    <w:rPr>
      <w:rFonts w:ascii="宋体" w:hAnsi="宋体" w:eastAsia="宋体" w:cs="宋体"/>
      <w:lang w:val="zh-CN" w:eastAsia="zh-CN" w:bidi="zh-CN"/>
    </w:rPr>
  </w:style>
  <w:style w:type="paragraph" w:customStyle="1" w:styleId="395">
    <w:name w:val="UserStyle_7"/>
    <w:basedOn w:val="1"/>
    <w:autoRedefine/>
    <w:qFormat/>
    <w:uiPriority w:val="0"/>
    <w:pPr>
      <w:jc w:val="both"/>
      <w:textAlignment w:val="baseline"/>
    </w:pPr>
    <w:rPr>
      <w:rFonts w:ascii="宋体" w:hAnsi="宋体" w:eastAsia="宋体"/>
      <w:kern w:val="0"/>
      <w:sz w:val="21"/>
      <w:szCs w:val="21"/>
      <w:lang w:val="en-US" w:eastAsia="zh-CN" w:bidi="ar-SA"/>
    </w:rPr>
  </w:style>
  <w:style w:type="character" w:customStyle="1" w:styleId="39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9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25D26-1BAF-4952-95C7-E2C951C62D7C}">
  <ds:schemaRefs/>
</ds:datastoreItem>
</file>

<file path=docProps/app.xml><?xml version="1.0" encoding="utf-8"?>
<Properties xmlns="http://schemas.openxmlformats.org/officeDocument/2006/extended-properties" xmlns:vt="http://schemas.openxmlformats.org/officeDocument/2006/docPropsVTypes">
  <Template>Normal.dotm</Template>
  <Company>guoxin</Company>
  <Pages>69</Pages>
  <Words>1324</Words>
  <Characters>1705</Characters>
  <Lines>470</Lines>
  <Paragraphs>132</Paragraphs>
  <TotalTime>8</TotalTime>
  <ScaleCrop>false</ScaleCrop>
  <LinksUpToDate>false</LinksUpToDate>
  <CharactersWithSpaces>10939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2019-01-08T06:15:00Z</dcterms:created>
  <dc:creator>liuminggang</dc:creator>
  <cp:lastModifiedBy>Administrator</cp:lastModifiedBy>
  <cp:lastPrinted>2021-12-21T02:12:00Z</cp:lastPrinted>
  <dcterms:modified xsi:type="dcterms:W3CDTF">2026-06-12T00:42:38Z</dcterms:modified>
  <dc:title>目      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6740893804394E2B8C1FDF571F4AA75B_13</vt:lpwstr>
  </property>
  <property fmtid="{D5CDD505-2E9C-101B-9397-08002B2CF9AE}" pid="4" name="KSOTemplateDocerSaveRecord">
    <vt:lpwstr>eyJoZGlkIjoiNGM3ZmRlNTQyYTdkNTRjM2QxZTE0YWI5MWMwNzZlMTMifQ==</vt:lpwstr>
  </property>
</Properties>
</file>