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1427DD03">
      <w:pPr>
        <w:spacing w:line="360" w:lineRule="auto"/>
        <w:rPr>
          <w:rFonts w:hint="eastAsia" w:ascii="宋体" w:hAnsi="宋体" w:eastAsia="宋体" w:cs="宋体"/>
          <w:sz w:val="24"/>
          <w:highlight w:val="none"/>
        </w:rPr>
      </w:pPr>
      <w:bookmarkStart w:id="0" w:name="_Hlt67893495"/>
      <w:bookmarkEnd w:id="0"/>
      <w:r>
        <w:drawing>
          <wp:inline distT="0" distB="0" distL="114300" distR="114300">
            <wp:extent cx="5664835" cy="8705215"/>
            <wp:effectExtent l="0" t="0" r="4445" b="1206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5"/>
                    <a:stretch>
                      <a:fillRect/>
                    </a:stretch>
                  </pic:blipFill>
                  <pic:spPr>
                    <a:xfrm>
                      <a:off x="0" y="0"/>
                      <a:ext cx="5664835" cy="8705215"/>
                    </a:xfrm>
                    <a:prstGeom prst="rect">
                      <a:avLst/>
                    </a:prstGeom>
                    <a:noFill/>
                    <a:ln>
                      <a:noFill/>
                    </a:ln>
                  </pic:spPr>
                </pic:pic>
              </a:graphicData>
            </a:graphic>
          </wp:inline>
        </w:drawing>
      </w:r>
    </w:p>
    <w:p w14:paraId="18B39BC9">
      <w:pPr>
        <w:spacing w:line="360" w:lineRule="auto"/>
        <w:jc w:val="center"/>
      </w:pPr>
    </w:p>
    <w:p w14:paraId="3BA6F139">
      <w:pPr>
        <w:spacing w:line="360" w:lineRule="auto"/>
        <w:jc w:val="center"/>
      </w:pPr>
    </w:p>
    <w:p w14:paraId="312A34D1">
      <w:pPr>
        <w:rPr>
          <w:rFonts w:hint="eastAsia" w:ascii="宋体" w:hAnsi="宋体" w:cs="宋体"/>
          <w:b/>
          <w:bCs/>
          <w:color w:val="auto"/>
          <w:sz w:val="36"/>
          <w:szCs w:val="36"/>
          <w:highlight w:val="none"/>
        </w:rPr>
      </w:pPr>
    </w:p>
    <w:p w14:paraId="34930CD2">
      <w:pPr>
        <w:spacing w:line="360" w:lineRule="auto"/>
        <w:jc w:val="center"/>
        <w:rPr>
          <w:rFonts w:ascii="宋体"/>
          <w:b/>
          <w:bCs/>
          <w:color w:val="auto"/>
          <w:sz w:val="36"/>
          <w:szCs w:val="36"/>
          <w:highlight w:val="none"/>
        </w:rPr>
      </w:pPr>
      <w:r>
        <w:rPr>
          <w:rFonts w:hint="eastAsia" w:ascii="宋体" w:hAnsi="宋体" w:cs="宋体"/>
          <w:b/>
          <w:bCs/>
          <w:color w:val="auto"/>
          <w:sz w:val="36"/>
          <w:szCs w:val="36"/>
          <w:highlight w:val="none"/>
        </w:rPr>
        <w:t>目录</w:t>
      </w:r>
    </w:p>
    <w:p w14:paraId="3F9F8B94">
      <w:pPr>
        <w:spacing w:line="360" w:lineRule="auto"/>
        <w:jc w:val="center"/>
        <w:rPr>
          <w:rFonts w:ascii="宋体"/>
          <w:b/>
          <w:bCs/>
          <w:color w:val="auto"/>
          <w:sz w:val="36"/>
          <w:szCs w:val="36"/>
          <w:highlight w:val="none"/>
        </w:rPr>
      </w:pPr>
    </w:p>
    <w:p w14:paraId="04E07CC5">
      <w:pPr>
        <w:pStyle w:val="27"/>
        <w:tabs>
          <w:tab w:val="right" w:leader="dot" w:pos="8920"/>
        </w:tabs>
        <w:rPr>
          <w:rFonts w:asciiTheme="majorEastAsia" w:hAnsiTheme="majorEastAsia" w:eastAsiaTheme="majorEastAsia" w:cstheme="minorBidi"/>
          <w:color w:val="auto"/>
          <w:sz w:val="21"/>
          <w:szCs w:val="22"/>
          <w:highlight w:val="none"/>
        </w:rPr>
      </w:pPr>
      <w:r>
        <w:rPr>
          <w:rFonts w:cs="宋体" w:asciiTheme="majorEastAsia" w:hAnsiTheme="majorEastAsia" w:eastAsiaTheme="majorEastAsia"/>
          <w:b/>
          <w:bCs/>
          <w:color w:val="auto"/>
          <w:highlight w:val="none"/>
        </w:rPr>
        <w:fldChar w:fldCharType="begin"/>
      </w:r>
      <w:r>
        <w:rPr>
          <w:rFonts w:cs="宋体" w:asciiTheme="majorEastAsia" w:hAnsiTheme="majorEastAsia" w:eastAsiaTheme="majorEastAsia"/>
          <w:b/>
          <w:bCs/>
          <w:color w:val="auto"/>
          <w:highlight w:val="none"/>
        </w:rPr>
        <w:instrText xml:space="preserve">TOC\o"1-3"\h\z\u</w:instrText>
      </w:r>
      <w:r>
        <w:rPr>
          <w:rFonts w:cs="宋体" w:asciiTheme="majorEastAsia" w:hAnsiTheme="majorEastAsia" w:eastAsiaTheme="majorEastAsia"/>
          <w:b/>
          <w:bCs/>
          <w:color w:val="auto"/>
          <w:highlight w:val="none"/>
        </w:rPr>
        <w:fldChar w:fldCharType="separate"/>
      </w:r>
      <w:r>
        <w:rPr>
          <w:color w:val="auto"/>
          <w:highlight w:val="none"/>
        </w:rPr>
        <w:fldChar w:fldCharType="begin"/>
      </w:r>
      <w:r>
        <w:rPr>
          <w:color w:val="auto"/>
          <w:highlight w:val="none"/>
        </w:rPr>
        <w:instrText xml:space="preserve">HYPERLINK\l"_Toc141797660"</w:instrText>
      </w:r>
      <w:r>
        <w:rPr>
          <w:color w:val="auto"/>
          <w:highlight w:val="none"/>
        </w:rPr>
        <w:fldChar w:fldCharType="separate"/>
      </w:r>
      <w:r>
        <w:rPr>
          <w:rStyle w:val="46"/>
          <w:rFonts w:hint="eastAsia" w:cs="宋体" w:asciiTheme="majorEastAsia" w:hAnsiTheme="majorEastAsia" w:eastAsiaTheme="majorEastAsia"/>
          <w:color w:val="auto"/>
          <w:highlight w:val="none"/>
        </w:rPr>
        <w:t>第一部分采购公告</w:t>
      </w:r>
      <w:r>
        <w:rPr>
          <w:rFonts w:asciiTheme="majorEastAsia" w:hAnsiTheme="majorEastAsia" w:eastAsiaTheme="majorEastAsia"/>
          <w:color w:val="auto"/>
          <w:highlight w:val="none"/>
        </w:rPr>
        <w:tab/>
      </w:r>
      <w:r>
        <w:rPr>
          <w:rFonts w:hint="eastAsia" w:asciiTheme="majorEastAsia" w:hAnsiTheme="majorEastAsia" w:eastAsiaTheme="majorEastAsia"/>
          <w:color w:val="auto"/>
          <w:highlight w:val="none"/>
          <w:lang w:val="en-US" w:eastAsia="zh-CN"/>
        </w:rPr>
        <w:t>1</w:t>
      </w:r>
      <w:r>
        <w:rPr>
          <w:rFonts w:asciiTheme="majorEastAsia" w:hAnsiTheme="majorEastAsia" w:eastAsiaTheme="majorEastAsia"/>
          <w:color w:val="auto"/>
          <w:highlight w:val="none"/>
        </w:rPr>
        <w:fldChar w:fldCharType="end"/>
      </w:r>
    </w:p>
    <w:p w14:paraId="5EFFCF68">
      <w:pPr>
        <w:pStyle w:val="27"/>
        <w:tabs>
          <w:tab w:val="right" w:leader="dot" w:pos="8920"/>
        </w:tabs>
        <w:rPr>
          <w:rFonts w:asciiTheme="majorEastAsia" w:hAnsiTheme="majorEastAsia" w:eastAsiaTheme="majorEastAsia" w:cstheme="minorBidi"/>
          <w:color w:val="auto"/>
          <w:sz w:val="21"/>
          <w:szCs w:val="22"/>
          <w:highlight w:val="none"/>
        </w:rPr>
      </w:pPr>
      <w:r>
        <w:rPr>
          <w:color w:val="auto"/>
          <w:highlight w:val="none"/>
        </w:rPr>
        <w:fldChar w:fldCharType="begin"/>
      </w:r>
      <w:r>
        <w:rPr>
          <w:color w:val="auto"/>
          <w:highlight w:val="none"/>
        </w:rPr>
        <w:instrText xml:space="preserve">HYPERLINK\l"_Toc141797668"</w:instrText>
      </w:r>
      <w:r>
        <w:rPr>
          <w:color w:val="auto"/>
          <w:highlight w:val="none"/>
        </w:rPr>
        <w:fldChar w:fldCharType="separate"/>
      </w:r>
      <w:r>
        <w:rPr>
          <w:rStyle w:val="46"/>
          <w:rFonts w:hint="eastAsia" w:cs="宋体" w:asciiTheme="majorEastAsia" w:hAnsiTheme="majorEastAsia" w:eastAsiaTheme="majorEastAsia"/>
          <w:color w:val="auto"/>
          <w:highlight w:val="none"/>
        </w:rPr>
        <w:t>第二部分</w:t>
      </w:r>
      <w:r>
        <w:rPr>
          <w:rStyle w:val="46"/>
          <w:rFonts w:hint="eastAsia" w:cs="宋体" w:asciiTheme="majorEastAsia" w:hAnsiTheme="majorEastAsia" w:eastAsiaTheme="majorEastAsia"/>
          <w:color w:val="auto"/>
          <w:highlight w:val="none"/>
          <w:lang w:eastAsia="zh-CN"/>
        </w:rPr>
        <w:t>采购需求</w:t>
      </w:r>
      <w:r>
        <w:rPr>
          <w:rFonts w:asciiTheme="majorEastAsia" w:hAnsiTheme="majorEastAsia" w:eastAsiaTheme="majorEastAsia"/>
          <w:color w:val="auto"/>
          <w:highlight w:val="none"/>
        </w:rPr>
        <w:tab/>
      </w:r>
      <w:r>
        <w:rPr>
          <w:rFonts w:hint="eastAsia" w:asciiTheme="majorEastAsia" w:hAnsiTheme="majorEastAsia" w:eastAsiaTheme="majorEastAsia"/>
          <w:color w:val="auto"/>
          <w:highlight w:val="none"/>
          <w:lang w:val="en-US" w:eastAsia="zh-CN"/>
        </w:rPr>
        <w:t>5</w:t>
      </w:r>
      <w:r>
        <w:rPr>
          <w:rFonts w:asciiTheme="majorEastAsia" w:hAnsiTheme="majorEastAsia" w:eastAsiaTheme="majorEastAsia"/>
          <w:color w:val="auto"/>
          <w:highlight w:val="none"/>
        </w:rPr>
        <w:fldChar w:fldCharType="end"/>
      </w:r>
    </w:p>
    <w:p w14:paraId="38A8F001">
      <w:pPr>
        <w:pStyle w:val="27"/>
        <w:tabs>
          <w:tab w:val="right" w:leader="dot" w:pos="8920"/>
        </w:tabs>
        <w:rPr>
          <w:rFonts w:hint="eastAsia" w:asciiTheme="majorEastAsia" w:hAnsiTheme="majorEastAsia" w:eastAsiaTheme="majorEastAsia" w:cstheme="minorBidi"/>
          <w:color w:val="auto"/>
          <w:sz w:val="21"/>
          <w:szCs w:val="22"/>
          <w:highlight w:val="none"/>
          <w:lang w:val="en-US" w:eastAsia="zh-CN"/>
        </w:rPr>
      </w:pPr>
      <w:r>
        <w:rPr>
          <w:color w:val="auto"/>
          <w:highlight w:val="none"/>
        </w:rPr>
        <w:fldChar w:fldCharType="begin"/>
      </w:r>
      <w:r>
        <w:rPr>
          <w:color w:val="auto"/>
          <w:highlight w:val="none"/>
        </w:rPr>
        <w:instrText xml:space="preserve">HYPERLINK\l"_Toc141797672"</w:instrText>
      </w:r>
      <w:r>
        <w:rPr>
          <w:color w:val="auto"/>
          <w:highlight w:val="none"/>
        </w:rPr>
        <w:fldChar w:fldCharType="separate"/>
      </w:r>
      <w:r>
        <w:rPr>
          <w:rStyle w:val="46"/>
          <w:rFonts w:hint="eastAsia" w:cs="宋体" w:asciiTheme="majorEastAsia" w:hAnsiTheme="majorEastAsia" w:eastAsiaTheme="majorEastAsia"/>
          <w:color w:val="auto"/>
          <w:highlight w:val="none"/>
        </w:rPr>
        <w:t>第三部分投标资料表</w:t>
      </w:r>
      <w:r>
        <w:rPr>
          <w:rFonts w:asciiTheme="majorEastAsia" w:hAnsiTheme="majorEastAsia" w:eastAsiaTheme="majorEastAsia"/>
          <w:color w:val="auto"/>
          <w:highlight w:val="none"/>
        </w:rPr>
        <w:tab/>
      </w:r>
      <w:r>
        <w:rPr>
          <w:rFonts w:hint="eastAsia" w:asciiTheme="majorEastAsia" w:hAnsiTheme="majorEastAsia" w:eastAsiaTheme="majorEastAsia"/>
          <w:color w:val="auto"/>
          <w:highlight w:val="none"/>
          <w:lang w:val="en-US" w:eastAsia="zh-CN"/>
        </w:rPr>
        <w:t>1</w:t>
      </w:r>
      <w:r>
        <w:rPr>
          <w:rFonts w:asciiTheme="majorEastAsia" w:hAnsiTheme="majorEastAsia" w:eastAsiaTheme="majorEastAsia"/>
          <w:color w:val="auto"/>
          <w:highlight w:val="none"/>
        </w:rPr>
        <w:fldChar w:fldCharType="end"/>
      </w:r>
      <w:r>
        <w:rPr>
          <w:rFonts w:hint="eastAsia" w:asciiTheme="majorEastAsia" w:hAnsiTheme="majorEastAsia" w:eastAsiaTheme="majorEastAsia"/>
          <w:color w:val="auto"/>
          <w:highlight w:val="none"/>
          <w:lang w:val="en-US" w:eastAsia="zh-CN"/>
        </w:rPr>
        <w:t>8</w:t>
      </w:r>
    </w:p>
    <w:p w14:paraId="2B3EC803">
      <w:pPr>
        <w:pStyle w:val="27"/>
        <w:tabs>
          <w:tab w:val="right" w:leader="dot" w:pos="8920"/>
        </w:tabs>
        <w:rPr>
          <w:rFonts w:hint="eastAsia" w:asciiTheme="majorEastAsia" w:hAnsiTheme="majorEastAsia" w:eastAsiaTheme="majorEastAsia" w:cstheme="minorBidi"/>
          <w:color w:val="auto"/>
          <w:sz w:val="21"/>
          <w:szCs w:val="22"/>
          <w:highlight w:val="none"/>
          <w:lang w:val="en-US" w:eastAsia="zh-CN"/>
        </w:rPr>
      </w:pPr>
      <w:r>
        <w:rPr>
          <w:color w:val="auto"/>
          <w:highlight w:val="none"/>
        </w:rPr>
        <w:fldChar w:fldCharType="begin"/>
      </w:r>
      <w:r>
        <w:rPr>
          <w:color w:val="auto"/>
          <w:highlight w:val="none"/>
        </w:rPr>
        <w:instrText xml:space="preserve">HYPERLINK\l"_Toc141797673"</w:instrText>
      </w:r>
      <w:r>
        <w:rPr>
          <w:color w:val="auto"/>
          <w:highlight w:val="none"/>
        </w:rPr>
        <w:fldChar w:fldCharType="separate"/>
      </w:r>
      <w:r>
        <w:rPr>
          <w:rStyle w:val="46"/>
          <w:rFonts w:hint="eastAsia" w:asciiTheme="majorEastAsia" w:hAnsiTheme="majorEastAsia" w:eastAsiaTheme="majorEastAsia"/>
          <w:color w:val="auto"/>
          <w:highlight w:val="none"/>
        </w:rPr>
        <w:t>第四部分投标人须知</w:t>
      </w:r>
      <w:r>
        <w:rPr>
          <w:rFonts w:asciiTheme="majorEastAsia" w:hAnsiTheme="majorEastAsia" w:eastAsiaTheme="majorEastAsia"/>
          <w:color w:val="auto"/>
          <w:highlight w:val="none"/>
        </w:rPr>
        <w:tab/>
      </w:r>
      <w:r>
        <w:rPr>
          <w:rFonts w:hint="eastAsia" w:asciiTheme="majorEastAsia" w:hAnsiTheme="majorEastAsia" w:eastAsiaTheme="majorEastAsia"/>
          <w:color w:val="auto"/>
          <w:highlight w:val="none"/>
          <w:lang w:val="en-US" w:eastAsia="zh-CN"/>
        </w:rPr>
        <w:t>2</w:t>
      </w:r>
      <w:r>
        <w:rPr>
          <w:rFonts w:asciiTheme="majorEastAsia" w:hAnsiTheme="majorEastAsia" w:eastAsiaTheme="majorEastAsia"/>
          <w:color w:val="auto"/>
          <w:highlight w:val="none"/>
        </w:rPr>
        <w:fldChar w:fldCharType="end"/>
      </w:r>
      <w:r>
        <w:rPr>
          <w:rFonts w:hint="eastAsia" w:asciiTheme="majorEastAsia" w:hAnsiTheme="majorEastAsia" w:eastAsiaTheme="majorEastAsia"/>
          <w:color w:val="auto"/>
          <w:highlight w:val="none"/>
          <w:lang w:val="en-US" w:eastAsia="zh-CN"/>
        </w:rPr>
        <w:t>1</w:t>
      </w:r>
    </w:p>
    <w:p w14:paraId="2BD1EA5D">
      <w:pPr>
        <w:pStyle w:val="27"/>
        <w:tabs>
          <w:tab w:val="right" w:leader="dot" w:pos="8920"/>
        </w:tabs>
        <w:rPr>
          <w:rFonts w:asciiTheme="majorEastAsia" w:hAnsiTheme="majorEastAsia" w:eastAsiaTheme="majorEastAsia" w:cstheme="minorBidi"/>
          <w:color w:val="auto"/>
          <w:sz w:val="21"/>
          <w:szCs w:val="22"/>
          <w:highlight w:val="none"/>
        </w:rPr>
      </w:pPr>
      <w:r>
        <w:rPr>
          <w:color w:val="auto"/>
          <w:highlight w:val="none"/>
        </w:rPr>
        <w:fldChar w:fldCharType="begin"/>
      </w:r>
      <w:r>
        <w:rPr>
          <w:color w:val="auto"/>
          <w:highlight w:val="none"/>
        </w:rPr>
        <w:instrText xml:space="preserve">HYPERLINK\l"_Toc141797685"</w:instrText>
      </w:r>
      <w:r>
        <w:rPr>
          <w:color w:val="auto"/>
          <w:highlight w:val="none"/>
        </w:rPr>
        <w:fldChar w:fldCharType="separate"/>
      </w:r>
      <w:r>
        <w:rPr>
          <w:rStyle w:val="46"/>
          <w:rFonts w:hint="eastAsia" w:cs="宋体" w:asciiTheme="majorEastAsia" w:hAnsiTheme="majorEastAsia" w:eastAsiaTheme="majorEastAsia"/>
          <w:color w:val="auto"/>
          <w:highlight w:val="none"/>
        </w:rPr>
        <w:t>第</w:t>
      </w:r>
      <w:r>
        <w:rPr>
          <w:rStyle w:val="46"/>
          <w:rFonts w:hint="eastAsia" w:cs="宋体" w:asciiTheme="majorEastAsia" w:hAnsiTheme="majorEastAsia" w:eastAsiaTheme="majorEastAsia"/>
          <w:color w:val="auto"/>
          <w:highlight w:val="none"/>
          <w:lang w:val="en-US" w:eastAsia="zh-CN"/>
        </w:rPr>
        <w:t>五</w:t>
      </w:r>
      <w:r>
        <w:rPr>
          <w:rStyle w:val="46"/>
          <w:rFonts w:hint="eastAsia" w:cs="宋体" w:asciiTheme="majorEastAsia" w:hAnsiTheme="majorEastAsia" w:eastAsiaTheme="majorEastAsia"/>
          <w:color w:val="auto"/>
          <w:highlight w:val="none"/>
        </w:rPr>
        <w:t>部分评标办法</w:t>
      </w:r>
      <w:r>
        <w:rPr>
          <w:rFonts w:asciiTheme="majorEastAsia" w:hAnsiTheme="majorEastAsia" w:eastAsiaTheme="majorEastAsia"/>
          <w:color w:val="auto"/>
          <w:highlight w:val="none"/>
        </w:rPr>
        <w:tab/>
      </w:r>
      <w:r>
        <w:rPr>
          <w:rFonts w:asciiTheme="majorEastAsia" w:hAnsiTheme="majorEastAsia" w:eastAsiaTheme="majorEastAsia"/>
          <w:color w:val="auto"/>
          <w:highlight w:val="none"/>
        </w:rPr>
        <w:fldChar w:fldCharType="begin"/>
      </w:r>
      <w:r>
        <w:rPr>
          <w:rFonts w:asciiTheme="majorEastAsia" w:hAnsiTheme="majorEastAsia" w:eastAsiaTheme="majorEastAsia"/>
          <w:color w:val="auto"/>
          <w:highlight w:val="none"/>
        </w:rPr>
        <w:instrText xml:space="preserve">PAGEREF_Toc141797685\h</w:instrText>
      </w:r>
      <w:r>
        <w:rPr>
          <w:rFonts w:asciiTheme="majorEastAsia" w:hAnsiTheme="majorEastAsia" w:eastAsiaTheme="majorEastAsia"/>
          <w:color w:val="auto"/>
          <w:highlight w:val="none"/>
        </w:rPr>
        <w:fldChar w:fldCharType="separate"/>
      </w:r>
      <w:r>
        <w:rPr>
          <w:rFonts w:asciiTheme="majorEastAsia" w:hAnsiTheme="majorEastAsia" w:eastAsiaTheme="majorEastAsia"/>
          <w:color w:val="auto"/>
          <w:highlight w:val="none"/>
        </w:rPr>
        <w:t>3</w:t>
      </w:r>
      <w:r>
        <w:rPr>
          <w:rFonts w:hint="eastAsia" w:asciiTheme="majorEastAsia" w:hAnsiTheme="majorEastAsia" w:eastAsiaTheme="majorEastAsia"/>
          <w:color w:val="auto"/>
          <w:highlight w:val="none"/>
          <w:lang w:val="en-US" w:eastAsia="zh-CN"/>
        </w:rPr>
        <w:t>7</w:t>
      </w:r>
      <w:r>
        <w:rPr>
          <w:rFonts w:asciiTheme="majorEastAsia" w:hAnsiTheme="majorEastAsia" w:eastAsiaTheme="majorEastAsia"/>
          <w:color w:val="auto"/>
          <w:highlight w:val="none"/>
        </w:rPr>
        <w:fldChar w:fldCharType="end"/>
      </w:r>
      <w:r>
        <w:rPr>
          <w:rFonts w:asciiTheme="majorEastAsia" w:hAnsiTheme="majorEastAsia" w:eastAsiaTheme="majorEastAsia"/>
          <w:color w:val="auto"/>
          <w:highlight w:val="none"/>
        </w:rPr>
        <w:fldChar w:fldCharType="end"/>
      </w:r>
    </w:p>
    <w:p w14:paraId="21FF9C89">
      <w:pPr>
        <w:pStyle w:val="27"/>
        <w:tabs>
          <w:tab w:val="right" w:leader="dot" w:pos="8920"/>
        </w:tabs>
        <w:rPr>
          <w:rFonts w:hint="eastAsia" w:asciiTheme="majorEastAsia" w:hAnsiTheme="majorEastAsia" w:eastAsiaTheme="majorEastAsia" w:cstheme="minorBidi"/>
          <w:color w:val="auto"/>
          <w:sz w:val="21"/>
          <w:szCs w:val="22"/>
          <w:highlight w:val="none"/>
          <w:lang w:val="en-US" w:eastAsia="zh-CN"/>
        </w:rPr>
      </w:pPr>
      <w:r>
        <w:rPr>
          <w:color w:val="auto"/>
          <w:highlight w:val="none"/>
        </w:rPr>
        <w:fldChar w:fldCharType="begin"/>
      </w:r>
      <w:r>
        <w:rPr>
          <w:color w:val="auto"/>
          <w:highlight w:val="none"/>
        </w:rPr>
        <w:instrText xml:space="preserve">HYPERLINK\l"_Toc141797684"</w:instrText>
      </w:r>
      <w:r>
        <w:rPr>
          <w:color w:val="auto"/>
          <w:highlight w:val="none"/>
        </w:rPr>
        <w:fldChar w:fldCharType="separate"/>
      </w:r>
      <w:r>
        <w:rPr>
          <w:rStyle w:val="46"/>
          <w:rFonts w:hint="eastAsia" w:cs="宋体" w:asciiTheme="majorEastAsia" w:hAnsiTheme="majorEastAsia" w:eastAsiaTheme="majorEastAsia"/>
          <w:color w:val="auto"/>
          <w:highlight w:val="none"/>
        </w:rPr>
        <w:t>第</w:t>
      </w:r>
      <w:r>
        <w:rPr>
          <w:rStyle w:val="46"/>
          <w:rFonts w:hint="eastAsia" w:cs="宋体" w:asciiTheme="majorEastAsia" w:hAnsiTheme="majorEastAsia" w:eastAsiaTheme="majorEastAsia"/>
          <w:color w:val="auto"/>
          <w:highlight w:val="none"/>
          <w:lang w:val="en-US" w:eastAsia="zh-CN"/>
        </w:rPr>
        <w:t>六</w:t>
      </w:r>
      <w:r>
        <w:rPr>
          <w:rStyle w:val="46"/>
          <w:rFonts w:hint="eastAsia" w:cs="宋体" w:asciiTheme="majorEastAsia" w:hAnsiTheme="majorEastAsia" w:eastAsiaTheme="majorEastAsia"/>
          <w:color w:val="auto"/>
          <w:highlight w:val="none"/>
        </w:rPr>
        <w:t>部分合同格式</w:t>
      </w:r>
      <w:r>
        <w:rPr>
          <w:rFonts w:asciiTheme="majorEastAsia" w:hAnsiTheme="majorEastAsia" w:eastAsiaTheme="majorEastAsia"/>
          <w:color w:val="auto"/>
          <w:highlight w:val="none"/>
        </w:rPr>
        <w:tab/>
      </w:r>
      <w:r>
        <w:rPr>
          <w:rFonts w:hint="eastAsia" w:asciiTheme="majorEastAsia" w:hAnsiTheme="majorEastAsia" w:eastAsiaTheme="majorEastAsia"/>
          <w:color w:val="auto"/>
          <w:highlight w:val="none"/>
          <w:lang w:val="en-US" w:eastAsia="zh-CN"/>
        </w:rPr>
        <w:t>4</w:t>
      </w:r>
      <w:r>
        <w:rPr>
          <w:rFonts w:asciiTheme="majorEastAsia" w:hAnsiTheme="majorEastAsia" w:eastAsiaTheme="majorEastAsia"/>
          <w:color w:val="auto"/>
          <w:highlight w:val="none"/>
        </w:rPr>
        <w:fldChar w:fldCharType="end"/>
      </w:r>
      <w:r>
        <w:rPr>
          <w:rFonts w:hint="eastAsia" w:asciiTheme="majorEastAsia" w:hAnsiTheme="majorEastAsia" w:eastAsiaTheme="majorEastAsia"/>
          <w:color w:val="auto"/>
          <w:highlight w:val="none"/>
          <w:lang w:val="en-US" w:eastAsia="zh-CN"/>
        </w:rPr>
        <w:t>6</w:t>
      </w:r>
    </w:p>
    <w:p w14:paraId="76557CF4">
      <w:pPr>
        <w:pStyle w:val="27"/>
        <w:tabs>
          <w:tab w:val="right" w:leader="dot" w:pos="8920"/>
        </w:tabs>
        <w:rPr>
          <w:rFonts w:hint="eastAsia" w:asciiTheme="minorHAnsi" w:hAnsiTheme="minorHAnsi" w:eastAsiaTheme="majorEastAsia" w:cstheme="minorBidi"/>
          <w:color w:val="auto"/>
          <w:sz w:val="21"/>
          <w:szCs w:val="22"/>
          <w:highlight w:val="none"/>
          <w:lang w:val="en-US" w:eastAsia="zh-CN"/>
        </w:rPr>
      </w:pPr>
      <w:r>
        <w:rPr>
          <w:color w:val="auto"/>
          <w:highlight w:val="none"/>
        </w:rPr>
        <w:fldChar w:fldCharType="begin"/>
      </w:r>
      <w:r>
        <w:rPr>
          <w:color w:val="auto"/>
          <w:highlight w:val="none"/>
        </w:rPr>
        <w:instrText xml:space="preserve">HYPERLINK\l"_Toc141797686"</w:instrText>
      </w:r>
      <w:r>
        <w:rPr>
          <w:color w:val="auto"/>
          <w:highlight w:val="none"/>
        </w:rPr>
        <w:fldChar w:fldCharType="separate"/>
      </w:r>
      <w:r>
        <w:rPr>
          <w:rStyle w:val="46"/>
          <w:rFonts w:hint="eastAsia" w:cs="宋体" w:asciiTheme="majorEastAsia" w:hAnsiTheme="majorEastAsia" w:eastAsiaTheme="majorEastAsia"/>
          <w:color w:val="auto"/>
          <w:highlight w:val="none"/>
        </w:rPr>
        <w:t>第七部分附件（投标文件格式）</w:t>
      </w:r>
      <w:r>
        <w:rPr>
          <w:rFonts w:asciiTheme="majorEastAsia" w:hAnsiTheme="majorEastAsia" w:eastAsiaTheme="majorEastAsia"/>
          <w:color w:val="auto"/>
          <w:highlight w:val="none"/>
        </w:rPr>
        <w:tab/>
      </w:r>
      <w:r>
        <w:rPr>
          <w:rFonts w:hint="eastAsia" w:asciiTheme="majorEastAsia" w:hAnsiTheme="majorEastAsia" w:eastAsiaTheme="majorEastAsia"/>
          <w:color w:val="auto"/>
          <w:highlight w:val="none"/>
          <w:lang w:val="en-US" w:eastAsia="zh-CN"/>
        </w:rPr>
        <w:t>5</w:t>
      </w:r>
      <w:r>
        <w:rPr>
          <w:rFonts w:asciiTheme="majorEastAsia" w:hAnsiTheme="majorEastAsia" w:eastAsiaTheme="majorEastAsia"/>
          <w:color w:val="auto"/>
          <w:highlight w:val="none"/>
        </w:rPr>
        <w:fldChar w:fldCharType="end"/>
      </w:r>
      <w:r>
        <w:rPr>
          <w:rFonts w:hint="eastAsia" w:asciiTheme="majorEastAsia" w:hAnsiTheme="majorEastAsia" w:eastAsiaTheme="majorEastAsia"/>
          <w:color w:val="auto"/>
          <w:highlight w:val="none"/>
          <w:lang w:val="en-US" w:eastAsia="zh-CN"/>
        </w:rPr>
        <w:t>1</w:t>
      </w:r>
    </w:p>
    <w:p w14:paraId="2F34073E">
      <w:pPr>
        <w:spacing w:line="360" w:lineRule="auto"/>
        <w:rPr>
          <w:rFonts w:ascii="宋体"/>
          <w:b/>
          <w:bCs/>
          <w:color w:val="auto"/>
          <w:sz w:val="36"/>
          <w:szCs w:val="36"/>
          <w:highlight w:val="none"/>
        </w:rPr>
        <w:sectPr>
          <w:pgSz w:w="11907" w:h="16840"/>
          <w:pgMar w:top="1276" w:right="1417" w:bottom="1276" w:left="1560" w:header="720" w:footer="720" w:gutter="0"/>
          <w:pgBorders>
            <w:top w:val="none" w:sz="0" w:space="0"/>
            <w:left w:val="none" w:sz="0" w:space="0"/>
            <w:bottom w:val="none" w:sz="0" w:space="0"/>
            <w:right w:val="none" w:sz="0" w:space="0"/>
          </w:pgBorders>
          <w:pgNumType w:start="1"/>
          <w:cols w:space="720" w:num="1"/>
          <w:docGrid w:type="linesAndChars" w:linePitch="285" w:charSpace="0"/>
        </w:sectPr>
      </w:pPr>
      <w:r>
        <w:rPr>
          <w:rFonts w:cs="宋体" w:asciiTheme="majorEastAsia" w:hAnsiTheme="majorEastAsia" w:eastAsiaTheme="majorEastAsia"/>
          <w:b/>
          <w:bCs/>
          <w:color w:val="auto"/>
          <w:sz w:val="24"/>
          <w:szCs w:val="24"/>
          <w:highlight w:val="none"/>
        </w:rPr>
        <w:fldChar w:fldCharType="end"/>
      </w:r>
    </w:p>
    <w:p w14:paraId="2FCB3E40">
      <w:pPr>
        <w:pStyle w:val="3"/>
        <w:spacing w:beforeLines="0" w:afterLines="0" w:line="360" w:lineRule="auto"/>
        <w:rPr>
          <w:rFonts w:hint="eastAsia" w:ascii="宋体" w:hAnsi="宋体" w:cs="宋体"/>
          <w:color w:val="auto"/>
          <w:sz w:val="32"/>
          <w:szCs w:val="32"/>
          <w:highlight w:val="none"/>
        </w:rPr>
        <w:sectPr>
          <w:headerReference r:id="rId3" w:type="default"/>
          <w:footerReference r:id="rId4" w:type="default"/>
          <w:type w:val="continuous"/>
          <w:pgSz w:w="11907" w:h="16840"/>
          <w:pgMar w:top="1111" w:right="1701" w:bottom="1428" w:left="1701" w:header="720" w:footer="720" w:gutter="0"/>
          <w:pgBorders>
            <w:top w:val="none" w:sz="0" w:space="0"/>
            <w:left w:val="none" w:sz="0" w:space="0"/>
            <w:bottom w:val="none" w:sz="0" w:space="0"/>
            <w:right w:val="none" w:sz="0" w:space="0"/>
          </w:pgBorders>
          <w:cols w:space="720" w:num="1"/>
          <w:docGrid w:type="linesAndChars" w:linePitch="286" w:charSpace="0"/>
        </w:sectPr>
      </w:pPr>
      <w:bookmarkStart w:id="1" w:name="_Toc298230957"/>
      <w:bookmarkStart w:id="2" w:name="_Toc141797660"/>
    </w:p>
    <w:p w14:paraId="153D0610">
      <w:pPr>
        <w:pStyle w:val="3"/>
        <w:spacing w:beforeLines="0" w:afterLines="0" w:line="360" w:lineRule="auto"/>
        <w:rPr>
          <w:rFonts w:ascii="宋体"/>
          <w:color w:val="auto"/>
          <w:sz w:val="32"/>
          <w:szCs w:val="32"/>
          <w:highlight w:val="none"/>
        </w:rPr>
      </w:pPr>
      <w:r>
        <w:rPr>
          <w:rFonts w:hint="eastAsia" w:ascii="宋体" w:hAnsi="宋体" w:cs="宋体"/>
          <w:color w:val="auto"/>
          <w:sz w:val="32"/>
          <w:szCs w:val="32"/>
          <w:highlight w:val="none"/>
        </w:rPr>
        <w:t>第一部分</w:t>
      </w:r>
      <w:bookmarkEnd w:id="1"/>
      <w:r>
        <w:rPr>
          <w:rFonts w:hint="eastAsia" w:ascii="宋体" w:hAnsi="宋体" w:cs="宋体"/>
          <w:color w:val="auto"/>
          <w:sz w:val="32"/>
          <w:szCs w:val="32"/>
          <w:highlight w:val="none"/>
        </w:rPr>
        <w:t>采购公告</w:t>
      </w:r>
      <w:bookmarkEnd w:id="2"/>
    </w:p>
    <w:p w14:paraId="74467A9E">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color w:val="auto"/>
          <w:highlight w:val="none"/>
        </w:rPr>
      </w:pPr>
      <w:r>
        <w:rPr>
          <w:rFonts w:hint="eastAsia" w:ascii="宋体" w:hAnsi="宋体" w:cs="宋体"/>
          <w:color w:val="auto"/>
          <w:highlight w:val="none"/>
        </w:rPr>
        <w:t>项目概况</w:t>
      </w:r>
    </w:p>
    <w:p w14:paraId="20905B7B">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color w:val="auto"/>
          <w:highlight w:val="none"/>
        </w:rPr>
      </w:pPr>
      <w:r>
        <w:rPr>
          <w:rFonts w:hint="eastAsia" w:ascii="宋体" w:hAnsi="宋体" w:cs="宋体"/>
          <w:color w:val="auto"/>
          <w:highlight w:val="none"/>
          <w:u w:val="single"/>
          <w:lang w:eastAsia="zh-CN"/>
        </w:rPr>
        <w:t>宁波市江北区人民法院审前调解指导中心数字法庭设备建设招标项目</w:t>
      </w:r>
      <w:r>
        <w:rPr>
          <w:rFonts w:hint="eastAsia" w:ascii="宋体" w:hAnsi="宋体" w:cs="宋体"/>
          <w:color w:val="auto"/>
          <w:highlight w:val="none"/>
        </w:rPr>
        <w:t>的潜在投标人应在</w:t>
      </w:r>
      <w:r>
        <w:rPr>
          <w:rFonts w:hint="eastAsia" w:ascii="宋体" w:hAnsi="宋体" w:cs="宋体"/>
          <w:color w:val="auto"/>
          <w:highlight w:val="none"/>
          <w:u w:val="single"/>
        </w:rPr>
        <w:t>政府采购云平台（</w:t>
      </w:r>
      <w:r>
        <w:rPr>
          <w:color w:val="auto"/>
          <w:highlight w:val="none"/>
        </w:rPr>
        <w:fldChar w:fldCharType="begin"/>
      </w:r>
      <w:r>
        <w:rPr>
          <w:color w:val="auto"/>
          <w:highlight w:val="none"/>
        </w:rPr>
        <w:instrText xml:space="preserve">HYPERLINK"http://www.zcygov.cn）获取（下载）招标文件，并于2020年"</w:instrText>
      </w:r>
      <w:r>
        <w:rPr>
          <w:color w:val="auto"/>
          <w:highlight w:val="none"/>
        </w:rPr>
        <w:fldChar w:fldCharType="separate"/>
      </w:r>
      <w:r>
        <w:rPr>
          <w:rStyle w:val="46"/>
          <w:rFonts w:cs="宋体" w:asciiTheme="majorEastAsia" w:hAnsiTheme="majorEastAsia" w:eastAsiaTheme="majorEastAsia"/>
          <w:color w:val="auto"/>
          <w:highlight w:val="none"/>
        </w:rPr>
        <w:t>www.zcygov.cn</w:t>
      </w:r>
      <w:r>
        <w:rPr>
          <w:rStyle w:val="46"/>
          <w:rFonts w:hint="eastAsia" w:cs="宋体" w:asciiTheme="majorEastAsia" w:hAnsiTheme="majorEastAsia" w:eastAsiaTheme="majorEastAsia"/>
          <w:color w:val="auto"/>
          <w:highlight w:val="none"/>
        </w:rPr>
        <w:t>）获取（下载）招标文件，并于</w:t>
      </w:r>
      <w:r>
        <w:rPr>
          <w:rStyle w:val="46"/>
          <w:rFonts w:cs="宋体" w:asciiTheme="majorEastAsia" w:hAnsiTheme="majorEastAsia" w:eastAsiaTheme="majorEastAsia"/>
          <w:color w:val="auto"/>
          <w:highlight w:val="none"/>
        </w:rPr>
        <w:t>202</w:t>
      </w:r>
      <w:r>
        <w:rPr>
          <w:rStyle w:val="46"/>
          <w:rFonts w:hint="eastAsia" w:cs="宋体" w:asciiTheme="majorEastAsia" w:hAnsiTheme="majorEastAsia" w:eastAsiaTheme="majorEastAsia"/>
          <w:color w:val="auto"/>
          <w:highlight w:val="none"/>
          <w:lang w:val="en-US" w:eastAsia="zh-CN"/>
        </w:rPr>
        <w:t>6</w:t>
      </w:r>
      <w:r>
        <w:rPr>
          <w:rStyle w:val="46"/>
          <w:rFonts w:hint="eastAsia" w:cs="宋体" w:asciiTheme="majorEastAsia" w:hAnsiTheme="majorEastAsia" w:eastAsiaTheme="majorEastAsia"/>
          <w:color w:val="auto"/>
          <w:highlight w:val="none"/>
        </w:rPr>
        <w:t>年</w:t>
      </w:r>
      <w:r>
        <w:rPr>
          <w:rStyle w:val="46"/>
          <w:rFonts w:hint="eastAsia" w:cs="宋体" w:asciiTheme="majorEastAsia" w:hAnsiTheme="majorEastAsia" w:eastAsiaTheme="majorEastAsia"/>
          <w:color w:val="auto"/>
          <w:highlight w:val="none"/>
        </w:rPr>
        <w:fldChar w:fldCharType="end"/>
      </w:r>
      <w:r>
        <w:rPr>
          <w:rStyle w:val="46"/>
          <w:rFonts w:hint="eastAsia" w:cs="宋体" w:asciiTheme="majorEastAsia" w:hAnsiTheme="majorEastAsia" w:eastAsiaTheme="majorEastAsia"/>
          <w:color w:val="auto"/>
          <w:highlight w:val="none"/>
          <w:lang w:val="en-US" w:eastAsia="zh-CN"/>
        </w:rPr>
        <w:t>6</w:t>
      </w:r>
      <w:r>
        <w:rPr>
          <w:rFonts w:hint="eastAsia" w:cs="宋体" w:asciiTheme="majorEastAsia" w:hAnsiTheme="majorEastAsia" w:eastAsiaTheme="majorEastAsia"/>
          <w:color w:val="auto"/>
          <w:highlight w:val="none"/>
          <w:u w:val="single"/>
        </w:rPr>
        <w:t>月</w:t>
      </w:r>
      <w:r>
        <w:rPr>
          <w:rFonts w:hint="eastAsia" w:cs="宋体" w:asciiTheme="majorEastAsia" w:hAnsiTheme="majorEastAsia" w:eastAsiaTheme="majorEastAsia"/>
          <w:color w:val="auto"/>
          <w:highlight w:val="none"/>
          <w:u w:val="single"/>
          <w:lang w:val="en-US" w:eastAsia="zh-CN"/>
        </w:rPr>
        <w:t>5</w:t>
      </w:r>
      <w:r>
        <w:rPr>
          <w:rFonts w:hint="eastAsia" w:cs="宋体" w:asciiTheme="majorEastAsia" w:hAnsiTheme="majorEastAsia" w:eastAsiaTheme="majorEastAsia"/>
          <w:color w:val="auto"/>
          <w:highlight w:val="none"/>
          <w:u w:val="single"/>
        </w:rPr>
        <w:t>日</w:t>
      </w:r>
      <w:r>
        <w:rPr>
          <w:rFonts w:hint="eastAsia" w:cs="宋体" w:asciiTheme="majorEastAsia" w:hAnsiTheme="majorEastAsia" w:eastAsiaTheme="majorEastAsia"/>
          <w:color w:val="auto"/>
          <w:highlight w:val="none"/>
          <w:u w:val="single"/>
          <w:lang w:val="en-US" w:eastAsia="zh-CN"/>
        </w:rPr>
        <w:t>9</w:t>
      </w:r>
      <w:r>
        <w:rPr>
          <w:rFonts w:hint="eastAsia" w:ascii="宋体" w:hAnsi="宋体" w:cs="宋体"/>
          <w:color w:val="auto"/>
          <w:highlight w:val="none"/>
          <w:u w:val="single"/>
        </w:rPr>
        <w:t>点</w:t>
      </w:r>
      <w:r>
        <w:rPr>
          <w:rFonts w:hint="eastAsia" w:ascii="宋体" w:hAnsi="宋体" w:cs="宋体"/>
          <w:color w:val="auto"/>
          <w:highlight w:val="none"/>
          <w:u w:val="single"/>
          <w:lang w:val="en-US" w:eastAsia="zh-CN"/>
        </w:rPr>
        <w:t>00</w:t>
      </w:r>
      <w:r>
        <w:rPr>
          <w:rFonts w:hint="eastAsia" w:ascii="宋体" w:hAnsi="宋体" w:cs="宋体"/>
          <w:color w:val="auto"/>
          <w:highlight w:val="none"/>
          <w:u w:val="single"/>
        </w:rPr>
        <w:t>分（</w:t>
      </w:r>
      <w:r>
        <w:rPr>
          <w:rFonts w:hint="eastAsia" w:ascii="宋体" w:hAnsi="宋体" w:cs="宋体"/>
          <w:color w:val="auto"/>
          <w:highlight w:val="none"/>
        </w:rPr>
        <w:t>北京时间）前递交投标文件。</w:t>
      </w:r>
    </w:p>
    <w:p w14:paraId="26FBC73C">
      <w:pPr>
        <w:pStyle w:val="4"/>
        <w:spacing w:line="360" w:lineRule="auto"/>
        <w:jc w:val="both"/>
        <w:rPr>
          <w:rFonts w:ascii="宋体" w:cs="Times New Roman"/>
          <w:color w:val="auto"/>
          <w:sz w:val="21"/>
          <w:szCs w:val="21"/>
          <w:highlight w:val="none"/>
        </w:rPr>
      </w:pPr>
      <w:bookmarkStart w:id="3" w:name="_Toc35393790"/>
      <w:bookmarkStart w:id="4" w:name="_Toc141797105"/>
      <w:bookmarkStart w:id="5" w:name="_Toc141797661"/>
      <w:bookmarkStart w:id="6" w:name="_Toc35393621"/>
      <w:bookmarkStart w:id="7" w:name="_Toc28359002"/>
      <w:bookmarkStart w:id="8" w:name="_Toc28359079"/>
      <w:bookmarkStart w:id="9" w:name="_Hlk24379207"/>
      <w:r>
        <w:rPr>
          <w:rFonts w:hint="eastAsia" w:ascii="宋体" w:hAnsi="宋体" w:cs="宋体"/>
          <w:color w:val="auto"/>
          <w:sz w:val="21"/>
          <w:szCs w:val="21"/>
          <w:highlight w:val="none"/>
        </w:rPr>
        <w:t>一、项目基本情况</w:t>
      </w:r>
      <w:bookmarkEnd w:id="3"/>
      <w:bookmarkEnd w:id="4"/>
      <w:bookmarkEnd w:id="5"/>
      <w:bookmarkEnd w:id="6"/>
      <w:bookmarkEnd w:id="7"/>
      <w:bookmarkEnd w:id="8"/>
    </w:p>
    <w:bookmarkEnd w:id="9"/>
    <w:p w14:paraId="7156FA2F">
      <w:pPr>
        <w:spacing w:line="360" w:lineRule="auto"/>
        <w:ind w:firstLine="420" w:firstLineChars="200"/>
        <w:rPr>
          <w:rFonts w:hint="eastAsia" w:ascii="宋体" w:eastAsia="宋体"/>
          <w:color w:val="auto"/>
          <w:highlight w:val="none"/>
          <w:lang w:eastAsia="zh-CN"/>
        </w:rPr>
      </w:pPr>
      <w:r>
        <w:rPr>
          <w:rFonts w:hint="eastAsia" w:ascii="宋体" w:hAnsi="宋体" w:cs="宋体"/>
          <w:color w:val="auto"/>
          <w:highlight w:val="none"/>
        </w:rPr>
        <w:t>项目编号：</w:t>
      </w:r>
      <w:r>
        <w:rPr>
          <w:rFonts w:hint="eastAsia" w:ascii="宋体" w:hAnsi="宋体" w:cs="宋体"/>
          <w:color w:val="auto"/>
          <w:highlight w:val="none"/>
          <w:lang w:eastAsia="zh-CN"/>
        </w:rPr>
        <w:t>YYCG-2026-1061</w:t>
      </w:r>
    </w:p>
    <w:p w14:paraId="5951DD45">
      <w:pPr>
        <w:spacing w:line="360" w:lineRule="auto"/>
        <w:ind w:firstLine="420" w:firstLineChars="200"/>
        <w:rPr>
          <w:rFonts w:hint="eastAsia" w:ascii="宋体" w:eastAsia="宋体"/>
          <w:color w:val="auto"/>
          <w:highlight w:val="none"/>
          <w:lang w:eastAsia="zh-CN"/>
        </w:rPr>
      </w:pPr>
      <w:r>
        <w:rPr>
          <w:rFonts w:hint="eastAsia" w:ascii="宋体" w:hAnsi="宋体" w:cs="宋体"/>
          <w:color w:val="auto"/>
          <w:highlight w:val="none"/>
        </w:rPr>
        <w:t>项目名称：</w:t>
      </w:r>
      <w:r>
        <w:rPr>
          <w:rFonts w:hint="eastAsia" w:ascii="宋体" w:hAnsi="宋体" w:cs="宋体"/>
          <w:color w:val="auto"/>
          <w:highlight w:val="none"/>
          <w:lang w:eastAsia="zh-CN"/>
        </w:rPr>
        <w:t>宁波市江北区人民法院审前调解指导中心数字法庭设备建设招标项目</w:t>
      </w:r>
    </w:p>
    <w:p w14:paraId="48F2D08A">
      <w:pPr>
        <w:spacing w:line="360" w:lineRule="auto"/>
        <w:ind w:firstLine="420" w:firstLineChars="200"/>
        <w:rPr>
          <w:rFonts w:hint="default" w:ascii="宋体"/>
          <w:color w:val="auto"/>
          <w:highlight w:val="none"/>
          <w:lang w:val="en-US"/>
        </w:rPr>
      </w:pPr>
      <w:r>
        <w:rPr>
          <w:rFonts w:hint="eastAsia" w:ascii="宋体" w:hAnsi="宋体" w:cs="宋体"/>
          <w:color w:val="auto"/>
          <w:highlight w:val="none"/>
        </w:rPr>
        <w:t>预算金额（元）：</w:t>
      </w:r>
      <w:r>
        <w:rPr>
          <w:rFonts w:hint="eastAsia" w:ascii="宋体" w:hAnsi="宋体" w:cs="宋体"/>
          <w:color w:val="auto"/>
          <w:highlight w:val="none"/>
          <w:lang w:val="en-US" w:eastAsia="zh-CN"/>
        </w:rPr>
        <w:t>600000</w:t>
      </w:r>
    </w:p>
    <w:p w14:paraId="29619343">
      <w:pPr>
        <w:spacing w:line="360" w:lineRule="auto"/>
        <w:ind w:firstLine="420" w:firstLineChars="200"/>
        <w:rPr>
          <w:rFonts w:hint="eastAsia" w:ascii="宋体" w:eastAsia="宋体"/>
          <w:color w:val="auto"/>
          <w:highlight w:val="none"/>
          <w:u w:val="single"/>
          <w:lang w:val="en-US" w:eastAsia="zh-CN"/>
        </w:rPr>
      </w:pPr>
      <w:r>
        <w:rPr>
          <w:rFonts w:hint="eastAsia" w:ascii="宋体" w:hAnsi="宋体" w:cs="宋体"/>
          <w:color w:val="auto"/>
          <w:highlight w:val="none"/>
        </w:rPr>
        <w:t>最高限价（元）：</w:t>
      </w:r>
      <w:r>
        <w:rPr>
          <w:rFonts w:hint="eastAsia" w:ascii="宋体" w:hAnsi="宋体" w:cs="宋体"/>
          <w:color w:val="auto"/>
          <w:highlight w:val="none"/>
          <w:lang w:eastAsia="zh-CN"/>
        </w:rPr>
        <w:t>600000</w:t>
      </w:r>
    </w:p>
    <w:p w14:paraId="5E1B01CC">
      <w:pPr>
        <w:spacing w:line="360" w:lineRule="auto"/>
        <w:ind w:firstLine="420" w:firstLineChars="200"/>
        <w:rPr>
          <w:rFonts w:ascii="宋体"/>
          <w:color w:val="auto"/>
          <w:highlight w:val="none"/>
        </w:rPr>
      </w:pPr>
      <w:r>
        <w:rPr>
          <w:rFonts w:hint="eastAsia" w:ascii="宋体" w:hAnsi="宋体" w:cs="宋体"/>
          <w:color w:val="auto"/>
          <w:highlight w:val="none"/>
        </w:rPr>
        <w:t>采购需求：</w:t>
      </w:r>
    </w:p>
    <w:p w14:paraId="2B2863A8">
      <w:pPr>
        <w:spacing w:line="360" w:lineRule="auto"/>
        <w:ind w:firstLine="420" w:firstLineChars="200"/>
        <w:rPr>
          <w:rFonts w:hint="eastAsia" w:ascii="宋体" w:hAnsi="宋体" w:cs="宋体"/>
          <w:color w:val="auto"/>
          <w:highlight w:val="none"/>
          <w:lang w:eastAsia="zh-CN"/>
        </w:rPr>
      </w:pPr>
      <w:bookmarkStart w:id="10" w:name="OLE_LINK1"/>
      <w:r>
        <w:rPr>
          <w:rFonts w:hint="eastAsia" w:ascii="宋体" w:hAnsi="宋体" w:cs="宋体"/>
          <w:color w:val="auto"/>
          <w:highlight w:val="none"/>
        </w:rPr>
        <w:t>标项名称：</w:t>
      </w:r>
      <w:r>
        <w:rPr>
          <w:rFonts w:hint="eastAsia" w:ascii="宋体" w:hAnsi="宋体" w:cs="宋体"/>
          <w:color w:val="auto"/>
          <w:highlight w:val="none"/>
          <w:lang w:eastAsia="zh-CN"/>
        </w:rPr>
        <w:t>宁波市江北区人民法院审前调解指导中心数字法庭设备建设招标项目</w:t>
      </w:r>
    </w:p>
    <w:p w14:paraId="6C5636A3">
      <w:pPr>
        <w:spacing w:line="360" w:lineRule="auto"/>
        <w:ind w:firstLine="420" w:firstLineChars="200"/>
        <w:rPr>
          <w:rFonts w:hint="eastAsia" w:ascii="宋体" w:hAnsi="宋体" w:eastAsia="宋体" w:cs="宋体"/>
          <w:color w:val="auto"/>
          <w:highlight w:val="none"/>
          <w:lang w:eastAsia="zh-CN"/>
        </w:rPr>
      </w:pPr>
      <w:r>
        <w:rPr>
          <w:rFonts w:hint="eastAsia" w:ascii="宋体" w:hAnsi="宋体" w:cs="宋体"/>
          <w:color w:val="auto"/>
          <w:highlight w:val="none"/>
        </w:rPr>
        <w:t>数量：1</w:t>
      </w:r>
      <w:r>
        <w:rPr>
          <w:rFonts w:hint="eastAsia" w:ascii="宋体" w:hAnsi="宋体" w:cs="宋体"/>
          <w:color w:val="auto"/>
          <w:highlight w:val="none"/>
          <w:lang w:val="en-US" w:eastAsia="zh-CN"/>
        </w:rPr>
        <w:t>项</w:t>
      </w:r>
    </w:p>
    <w:p w14:paraId="5DD0D86C">
      <w:pPr>
        <w:spacing w:line="360" w:lineRule="auto"/>
        <w:ind w:firstLine="420" w:firstLineChars="200"/>
        <w:rPr>
          <w:rFonts w:hint="default" w:ascii="宋体" w:hAnsi="宋体" w:cs="宋体"/>
          <w:color w:val="auto"/>
          <w:highlight w:val="none"/>
          <w:lang w:val="en-US" w:eastAsia="zh-CN"/>
        </w:rPr>
      </w:pPr>
      <w:r>
        <w:rPr>
          <w:rFonts w:hint="eastAsia" w:ascii="宋体" w:hAnsi="宋体" w:cs="宋体"/>
          <w:color w:val="auto"/>
          <w:highlight w:val="none"/>
        </w:rPr>
        <w:t>预算金额（元）：</w:t>
      </w:r>
      <w:r>
        <w:rPr>
          <w:rFonts w:hint="eastAsia" w:ascii="宋体" w:hAnsi="宋体" w:cs="宋体"/>
          <w:color w:val="auto"/>
          <w:highlight w:val="none"/>
          <w:lang w:val="en-US" w:eastAsia="zh-CN"/>
        </w:rPr>
        <w:t>600000</w:t>
      </w:r>
    </w:p>
    <w:p w14:paraId="7252E22D">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简要规格描述或项目基本概况介绍、用途：详见第二部分“</w:t>
      </w:r>
      <w:r>
        <w:rPr>
          <w:rFonts w:hint="eastAsia" w:ascii="宋体" w:hAnsi="宋体" w:cs="宋体"/>
          <w:color w:val="auto"/>
          <w:highlight w:val="none"/>
          <w:lang w:eastAsia="zh-CN"/>
        </w:rPr>
        <w:t>采购需求</w:t>
      </w:r>
      <w:r>
        <w:rPr>
          <w:rFonts w:hint="eastAsia" w:ascii="宋体" w:hAnsi="宋体" w:cs="宋体"/>
          <w:color w:val="auto"/>
          <w:highlight w:val="none"/>
        </w:rPr>
        <w:t>”。</w:t>
      </w:r>
    </w:p>
    <w:p w14:paraId="255200AF">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备注：</w:t>
      </w:r>
      <w:bookmarkEnd w:id="10"/>
    </w:p>
    <w:p w14:paraId="08CDEF3C">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合同履行期限：自合同签订生效之日起至合同全部权利义务履行完毕止。</w:t>
      </w:r>
    </w:p>
    <w:p w14:paraId="6AEC13FB">
      <w:pPr>
        <w:spacing w:line="360" w:lineRule="auto"/>
        <w:ind w:firstLine="420" w:firstLineChars="200"/>
        <w:rPr>
          <w:rFonts w:ascii="宋体"/>
          <w:color w:val="auto"/>
          <w:highlight w:val="none"/>
        </w:rPr>
      </w:pPr>
      <w:r>
        <w:rPr>
          <w:rFonts w:hint="eastAsia" w:ascii="宋体" w:hAnsi="宋体" w:cs="宋体"/>
          <w:color w:val="auto"/>
          <w:highlight w:val="none"/>
        </w:rPr>
        <w:t>本项目</w:t>
      </w:r>
      <w:r>
        <w:rPr>
          <w:rFonts w:hint="eastAsia" w:ascii="宋体" w:hAnsi="宋体"/>
          <w:color w:val="auto"/>
          <w:highlight w:val="none"/>
        </w:rPr>
        <w:t>（</w:t>
      </w:r>
      <w:r>
        <w:rPr>
          <w:rFonts w:hint="eastAsia" w:ascii="宋体" w:hAnsi="宋体"/>
          <w:color w:val="auto"/>
          <w:highlight w:val="none"/>
          <w:lang w:val="en-US" w:eastAsia="zh-CN"/>
        </w:rPr>
        <w:t>否</w:t>
      </w:r>
      <w:r>
        <w:rPr>
          <w:rFonts w:hint="eastAsia" w:ascii="宋体" w:hAnsi="宋体"/>
          <w:color w:val="auto"/>
          <w:highlight w:val="none"/>
        </w:rPr>
        <w:t>）</w:t>
      </w:r>
      <w:r>
        <w:rPr>
          <w:rFonts w:hint="eastAsia" w:ascii="宋体" w:hAnsi="宋体" w:cs="宋体"/>
          <w:color w:val="auto"/>
          <w:highlight w:val="none"/>
        </w:rPr>
        <w:t>接受联合体投标。</w:t>
      </w:r>
    </w:p>
    <w:p w14:paraId="6FBF48A0">
      <w:pPr>
        <w:pStyle w:val="4"/>
        <w:spacing w:line="360" w:lineRule="auto"/>
        <w:jc w:val="both"/>
        <w:rPr>
          <w:rFonts w:ascii="宋体" w:cs="Times New Roman"/>
          <w:color w:val="auto"/>
          <w:sz w:val="21"/>
          <w:szCs w:val="21"/>
          <w:highlight w:val="none"/>
        </w:rPr>
      </w:pPr>
      <w:bookmarkStart w:id="11" w:name="_Toc141797662"/>
      <w:bookmarkStart w:id="12" w:name="_Toc35393791"/>
      <w:bookmarkStart w:id="13" w:name="_Toc141797106"/>
      <w:bookmarkStart w:id="14" w:name="_Toc28359080"/>
      <w:bookmarkStart w:id="15" w:name="_Toc28359003"/>
      <w:bookmarkStart w:id="16" w:name="_Toc35393622"/>
      <w:r>
        <w:rPr>
          <w:rFonts w:hint="eastAsia" w:ascii="宋体" w:hAnsi="宋体" w:cs="宋体"/>
          <w:color w:val="auto"/>
          <w:sz w:val="21"/>
          <w:szCs w:val="21"/>
          <w:highlight w:val="none"/>
        </w:rPr>
        <w:t>二、申请人的资格要求：</w:t>
      </w:r>
      <w:bookmarkEnd w:id="11"/>
      <w:bookmarkEnd w:id="12"/>
      <w:bookmarkEnd w:id="13"/>
      <w:bookmarkEnd w:id="14"/>
      <w:bookmarkEnd w:id="15"/>
      <w:bookmarkEnd w:id="16"/>
    </w:p>
    <w:p w14:paraId="1E1BC471">
      <w:pPr>
        <w:spacing w:line="360" w:lineRule="auto"/>
        <w:ind w:firstLine="420" w:firstLineChars="200"/>
        <w:rPr>
          <w:rFonts w:ascii="宋体" w:hAnsi="宋体"/>
          <w:color w:val="auto"/>
          <w:highlight w:val="none"/>
        </w:rPr>
      </w:pPr>
      <w:r>
        <w:rPr>
          <w:rFonts w:hint="eastAsia" w:ascii="宋体" w:hAnsi="宋体"/>
          <w:color w:val="auto"/>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14:paraId="544FA5BC">
      <w:pPr>
        <w:spacing w:line="360" w:lineRule="auto"/>
        <w:ind w:firstLine="420" w:firstLineChars="200"/>
        <w:rPr>
          <w:rFonts w:ascii="宋体" w:hAnsi="宋体"/>
          <w:color w:val="auto"/>
          <w:highlight w:val="none"/>
        </w:rPr>
      </w:pPr>
      <w:r>
        <w:rPr>
          <w:rFonts w:hint="eastAsia" w:ascii="宋体" w:hAnsi="宋体"/>
          <w:color w:val="auto"/>
          <w:highlight w:val="none"/>
        </w:rPr>
        <w:t>2.落实政府采购政策需满足的资格要求：无；</w:t>
      </w:r>
    </w:p>
    <w:p w14:paraId="01225F33">
      <w:pPr>
        <w:spacing w:line="360" w:lineRule="auto"/>
        <w:ind w:firstLine="420" w:firstLineChars="200"/>
        <w:rPr>
          <w:rFonts w:ascii="宋体"/>
          <w:color w:val="auto"/>
          <w:highlight w:val="none"/>
        </w:rPr>
      </w:pPr>
      <w:r>
        <w:rPr>
          <w:rFonts w:hint="eastAsia" w:ascii="宋体" w:hAnsi="宋体"/>
          <w:color w:val="auto"/>
          <w:highlight w:val="none"/>
        </w:rPr>
        <w:t>3.本项目的特定资格要求：无；</w:t>
      </w:r>
    </w:p>
    <w:p w14:paraId="084D1831">
      <w:pPr>
        <w:pStyle w:val="4"/>
        <w:spacing w:line="360" w:lineRule="auto"/>
        <w:jc w:val="both"/>
        <w:rPr>
          <w:rFonts w:ascii="宋体" w:cs="Times New Roman"/>
          <w:color w:val="auto"/>
          <w:sz w:val="21"/>
          <w:szCs w:val="21"/>
          <w:highlight w:val="none"/>
        </w:rPr>
      </w:pPr>
      <w:bookmarkStart w:id="17" w:name="_Toc141797663"/>
      <w:bookmarkStart w:id="18" w:name="_Toc28359004"/>
      <w:bookmarkStart w:id="19" w:name="_Toc28359081"/>
      <w:bookmarkStart w:id="20" w:name="_Toc141797107"/>
      <w:bookmarkStart w:id="21" w:name="_Toc35393792"/>
      <w:bookmarkStart w:id="22" w:name="_Toc35393623"/>
      <w:r>
        <w:rPr>
          <w:rFonts w:hint="eastAsia" w:ascii="宋体" w:hAnsi="宋体" w:cs="宋体"/>
          <w:color w:val="auto"/>
          <w:sz w:val="21"/>
          <w:szCs w:val="21"/>
          <w:highlight w:val="none"/>
        </w:rPr>
        <w:t>三、获取招标文件</w:t>
      </w:r>
      <w:bookmarkEnd w:id="17"/>
      <w:bookmarkEnd w:id="18"/>
      <w:bookmarkEnd w:id="19"/>
      <w:bookmarkEnd w:id="20"/>
      <w:bookmarkEnd w:id="21"/>
      <w:bookmarkEnd w:id="22"/>
    </w:p>
    <w:p w14:paraId="7608A0CF">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时间：</w:t>
      </w:r>
      <w:r>
        <w:rPr>
          <w:rFonts w:hint="eastAsia" w:ascii="宋体" w:hAnsi="宋体" w:cs="宋体"/>
          <w:color w:val="auto"/>
          <w:highlight w:val="none"/>
          <w:u w:val="single"/>
        </w:rPr>
        <w:t>20</w:t>
      </w:r>
      <w:r>
        <w:rPr>
          <w:rFonts w:hint="eastAsia" w:ascii="宋体" w:hAnsi="宋体" w:cs="宋体"/>
          <w:color w:val="auto"/>
          <w:highlight w:val="none"/>
          <w:u w:val="single"/>
          <w:lang w:val="en-US" w:eastAsia="zh-CN"/>
        </w:rPr>
        <w:t>26</w:t>
      </w:r>
      <w:r>
        <w:rPr>
          <w:rFonts w:hint="eastAsia" w:ascii="宋体" w:hAnsi="宋体" w:cs="宋体"/>
          <w:color w:val="auto"/>
          <w:highlight w:val="none"/>
          <w:u w:val="single"/>
        </w:rPr>
        <w:t>年</w:t>
      </w:r>
      <w:r>
        <w:rPr>
          <w:rFonts w:hint="eastAsia" w:ascii="宋体" w:hAnsi="宋体" w:cs="宋体"/>
          <w:color w:val="auto"/>
          <w:highlight w:val="none"/>
          <w:u w:val="single"/>
          <w:lang w:val="en-US" w:eastAsia="zh-CN"/>
        </w:rPr>
        <w:t>5</w:t>
      </w:r>
      <w:r>
        <w:rPr>
          <w:rFonts w:hint="eastAsia" w:ascii="宋体" w:hAnsi="宋体" w:cs="宋体"/>
          <w:color w:val="auto"/>
          <w:highlight w:val="none"/>
          <w:u w:val="single"/>
        </w:rPr>
        <w:t>月</w:t>
      </w:r>
      <w:r>
        <w:rPr>
          <w:rFonts w:hint="eastAsia" w:ascii="宋体" w:hAnsi="宋体" w:cs="宋体"/>
          <w:color w:val="auto"/>
          <w:highlight w:val="none"/>
          <w:u w:val="single"/>
          <w:lang w:val="en-US" w:eastAsia="zh-CN"/>
        </w:rPr>
        <w:t>15</w:t>
      </w:r>
      <w:r>
        <w:rPr>
          <w:rFonts w:hint="eastAsia" w:ascii="宋体" w:hAnsi="宋体" w:cs="宋体"/>
          <w:color w:val="auto"/>
          <w:highlight w:val="none"/>
        </w:rPr>
        <w:t>日至</w:t>
      </w:r>
      <w:r>
        <w:rPr>
          <w:rFonts w:hint="eastAsia" w:ascii="宋体" w:hAnsi="宋体" w:cs="宋体"/>
          <w:color w:val="auto"/>
          <w:highlight w:val="none"/>
          <w:u w:val="single"/>
        </w:rPr>
        <w:t>202</w:t>
      </w:r>
      <w:r>
        <w:rPr>
          <w:rFonts w:hint="eastAsia" w:ascii="宋体" w:hAnsi="宋体" w:cs="宋体"/>
          <w:color w:val="auto"/>
          <w:highlight w:val="none"/>
          <w:u w:val="single"/>
          <w:lang w:val="en-US" w:eastAsia="zh-CN"/>
        </w:rPr>
        <w:t>6</w:t>
      </w:r>
      <w:r>
        <w:rPr>
          <w:rFonts w:hint="eastAsia" w:ascii="宋体" w:hAnsi="宋体" w:cs="宋体"/>
          <w:color w:val="auto"/>
          <w:highlight w:val="none"/>
          <w:u w:val="single"/>
        </w:rPr>
        <w:t>年</w:t>
      </w:r>
      <w:r>
        <w:rPr>
          <w:rFonts w:hint="eastAsia" w:ascii="宋体" w:hAnsi="宋体" w:cs="宋体"/>
          <w:color w:val="auto"/>
          <w:highlight w:val="none"/>
          <w:u w:val="single"/>
          <w:lang w:val="en-US" w:eastAsia="zh-CN"/>
        </w:rPr>
        <w:t>5</w:t>
      </w:r>
      <w:r>
        <w:rPr>
          <w:rFonts w:hint="eastAsia" w:ascii="宋体" w:hAnsi="宋体" w:cs="宋体"/>
          <w:color w:val="auto"/>
          <w:highlight w:val="none"/>
          <w:u w:val="single"/>
        </w:rPr>
        <w:t>月</w:t>
      </w:r>
      <w:r>
        <w:rPr>
          <w:rFonts w:hint="eastAsia" w:ascii="宋体" w:hAnsi="宋体" w:cs="宋体"/>
          <w:color w:val="auto"/>
          <w:highlight w:val="none"/>
          <w:u w:val="single"/>
          <w:lang w:val="en-US" w:eastAsia="zh-CN"/>
        </w:rPr>
        <w:t>22</w:t>
      </w:r>
      <w:r>
        <w:rPr>
          <w:rFonts w:hint="eastAsia" w:ascii="宋体" w:hAnsi="宋体" w:cs="宋体"/>
          <w:color w:val="auto"/>
          <w:highlight w:val="none"/>
        </w:rPr>
        <w:t>日，每天上午</w:t>
      </w:r>
      <w:r>
        <w:rPr>
          <w:rFonts w:hint="eastAsia" w:ascii="宋体" w:hAnsi="宋体" w:cs="宋体"/>
          <w:color w:val="auto"/>
          <w:highlight w:val="none"/>
          <w:u w:val="single"/>
        </w:rPr>
        <w:t>00:00</w:t>
      </w:r>
      <w:r>
        <w:rPr>
          <w:rFonts w:hint="eastAsia" w:ascii="宋体" w:hAnsi="宋体" w:cs="宋体"/>
          <w:color w:val="auto"/>
          <w:highlight w:val="none"/>
        </w:rPr>
        <w:t>至</w:t>
      </w:r>
      <w:r>
        <w:rPr>
          <w:rFonts w:hint="eastAsia" w:ascii="宋体" w:hAnsi="宋体" w:cs="宋体"/>
          <w:color w:val="auto"/>
          <w:highlight w:val="none"/>
          <w:u w:val="single"/>
        </w:rPr>
        <w:t>12:00</w:t>
      </w:r>
      <w:r>
        <w:rPr>
          <w:rFonts w:hint="eastAsia" w:ascii="宋体" w:hAnsi="宋体" w:cs="宋体"/>
          <w:color w:val="auto"/>
          <w:highlight w:val="none"/>
        </w:rPr>
        <w:t>，下午</w:t>
      </w:r>
      <w:r>
        <w:rPr>
          <w:rFonts w:hint="eastAsia" w:ascii="宋体" w:hAnsi="宋体" w:cs="宋体"/>
          <w:color w:val="auto"/>
          <w:highlight w:val="none"/>
          <w:u w:val="single"/>
        </w:rPr>
        <w:t>12:00</w:t>
      </w:r>
      <w:r>
        <w:rPr>
          <w:rFonts w:hint="eastAsia" w:ascii="宋体" w:hAnsi="宋体" w:cs="宋体"/>
          <w:color w:val="auto"/>
          <w:highlight w:val="none"/>
        </w:rPr>
        <w:t>至</w:t>
      </w:r>
      <w:r>
        <w:rPr>
          <w:rFonts w:hint="eastAsia" w:ascii="宋体" w:hAnsi="宋体" w:cs="宋体"/>
          <w:color w:val="auto"/>
          <w:highlight w:val="none"/>
          <w:u w:val="single"/>
        </w:rPr>
        <w:t>23:59</w:t>
      </w:r>
      <w:r>
        <w:rPr>
          <w:rFonts w:hint="eastAsia" w:ascii="宋体" w:hAnsi="宋体" w:cs="宋体"/>
          <w:color w:val="auto"/>
          <w:highlight w:val="none"/>
        </w:rPr>
        <w:t>（北京时间，线上获取法定节假日均可，线下获取文件法定节假日除外）</w:t>
      </w:r>
    </w:p>
    <w:p w14:paraId="7C6049EC">
      <w:pPr>
        <w:spacing w:line="360" w:lineRule="auto"/>
        <w:ind w:firstLine="420" w:firstLineChars="200"/>
        <w:rPr>
          <w:rFonts w:ascii="宋体" w:hAnsi="宋体" w:cs="宋体"/>
          <w:color w:val="auto"/>
          <w:highlight w:val="none"/>
          <w:u w:val="single"/>
        </w:rPr>
      </w:pPr>
      <w:r>
        <w:rPr>
          <w:rFonts w:hint="eastAsia" w:ascii="宋体" w:hAnsi="宋体" w:cs="宋体"/>
          <w:color w:val="auto"/>
          <w:highlight w:val="none"/>
        </w:rPr>
        <w:t>地点（网址）：</w:t>
      </w:r>
      <w:r>
        <w:rPr>
          <w:rFonts w:hint="eastAsia" w:ascii="宋体" w:hAnsi="宋体"/>
          <w:color w:val="auto"/>
          <w:highlight w:val="none"/>
        </w:rPr>
        <w:t>政府采购云平台（http://www.zcygov.cn/）。</w:t>
      </w:r>
    </w:p>
    <w:p w14:paraId="09FAAE97">
      <w:pPr>
        <w:snapToGrid w:val="0"/>
        <w:spacing w:line="400" w:lineRule="exact"/>
        <w:ind w:firstLine="411" w:firstLineChars="196"/>
        <w:rPr>
          <w:rFonts w:ascii="宋体" w:hAnsi="宋体" w:cs="宋体"/>
          <w:color w:val="auto"/>
          <w:highlight w:val="none"/>
        </w:rPr>
      </w:pPr>
      <w:r>
        <w:rPr>
          <w:rFonts w:hint="eastAsia" w:ascii="宋体" w:hAnsi="宋体" w:cs="宋体"/>
          <w:color w:val="auto"/>
          <w:highlight w:val="none"/>
        </w:rPr>
        <w:t>方式：（1）本项目招标文件实行“政府采购云平台”在线获取，不提供招标文件纸质版。投标人获取招标文件前应先完成“政府采购云平台”的账号注册；</w:t>
      </w:r>
    </w:p>
    <w:p w14:paraId="6FD1C09F">
      <w:pPr>
        <w:snapToGrid w:val="0"/>
        <w:spacing w:line="400" w:lineRule="exact"/>
        <w:ind w:firstLine="411" w:firstLineChars="196"/>
        <w:rPr>
          <w:rFonts w:ascii="宋体" w:hAnsi="宋体" w:cs="宋体"/>
          <w:color w:val="auto"/>
          <w:highlight w:val="none"/>
        </w:rPr>
      </w:pPr>
      <w:r>
        <w:rPr>
          <w:rFonts w:hint="eastAsia" w:ascii="宋体" w:hAnsi="宋体" w:cs="宋体"/>
          <w:color w:val="auto"/>
          <w:highlight w:val="none"/>
        </w:rPr>
        <w:t>（2）潜在供应商登陆政采云平台，在线申请获取招标文件（进入“项目采购”应用，在获取招标文件菜单中选择项目，申请获取招标文件；仅需浏览招标文件的投标人可点击“游客，浏览招标文件”直接下载招标文件浏览）；</w:t>
      </w:r>
    </w:p>
    <w:p w14:paraId="0910575C">
      <w:pPr>
        <w:snapToGrid w:val="0"/>
        <w:spacing w:line="400" w:lineRule="exact"/>
        <w:ind w:firstLine="411" w:firstLineChars="196"/>
        <w:rPr>
          <w:rFonts w:ascii="宋体" w:hAnsi="宋体" w:cs="宋体"/>
          <w:color w:val="auto"/>
          <w:highlight w:val="none"/>
        </w:rPr>
      </w:pPr>
      <w:r>
        <w:rPr>
          <w:rFonts w:hint="eastAsia" w:ascii="宋体" w:hAnsi="宋体" w:cs="宋体"/>
          <w:color w:val="auto"/>
          <w:highlight w:val="none"/>
        </w:rPr>
        <w:t>（3）招标公告附件内的招标文件仅供阅览使用，投标人只有在“政府采购云平台”完成获取招标文件申请并下载了招标文件后才视作依法获取招标文件（法律法规所指的投标人获取招标文件时间以投标人完成获取招标文件申请后下载招标文件的时间为准）。</w:t>
      </w:r>
      <w:r>
        <w:rPr>
          <w:rFonts w:hint="eastAsia" w:cs="Arial" w:asciiTheme="minorEastAsia" w:hAnsiTheme="minorEastAsia" w:eastAsiaTheme="minorEastAsia"/>
          <w:color w:val="auto"/>
          <w:highlight w:val="none"/>
        </w:rPr>
        <w:t>未按照招标文件规定程序依法获取招标文件的潜在投标人，对招标文件提起质疑的，按照无效质疑处理。采购代理机构拒绝接收未依法获取本项目招标</w:t>
      </w:r>
      <w:r>
        <w:rPr>
          <w:rFonts w:cs="Arial" w:asciiTheme="minorEastAsia" w:hAnsiTheme="minorEastAsia" w:eastAsiaTheme="minorEastAsia"/>
          <w:color w:val="auto"/>
          <w:highlight w:val="none"/>
        </w:rPr>
        <w:t>文件</w:t>
      </w:r>
      <w:r>
        <w:rPr>
          <w:rFonts w:hint="eastAsia" w:cs="Arial" w:asciiTheme="minorEastAsia" w:hAnsiTheme="minorEastAsia" w:eastAsiaTheme="minorEastAsia"/>
          <w:color w:val="auto"/>
          <w:highlight w:val="none"/>
        </w:rPr>
        <w:t>的投标人提交的投标文件。</w:t>
      </w:r>
    </w:p>
    <w:p w14:paraId="367CAD39">
      <w:pPr>
        <w:snapToGrid w:val="0"/>
        <w:spacing w:line="400" w:lineRule="exact"/>
        <w:ind w:firstLine="411" w:firstLineChars="196"/>
        <w:rPr>
          <w:rFonts w:ascii="宋体" w:hAnsi="宋体" w:cs="宋体"/>
          <w:color w:val="auto"/>
          <w:highlight w:val="none"/>
        </w:rPr>
      </w:pPr>
      <w:r>
        <w:rPr>
          <w:rFonts w:hint="eastAsia" w:ascii="宋体" w:hAnsi="宋体" w:cs="宋体"/>
          <w:color w:val="auto"/>
          <w:highlight w:val="none"/>
        </w:rPr>
        <w:t>注：请投标人按上述要求获取招标文件，如未在“政采云”系统内完成相关流程，引起的投标无效责任自负。</w:t>
      </w:r>
    </w:p>
    <w:p w14:paraId="5695E316">
      <w:pPr>
        <w:spacing w:line="360" w:lineRule="auto"/>
        <w:ind w:firstLine="420" w:firstLineChars="200"/>
        <w:rPr>
          <w:rFonts w:ascii="宋体"/>
          <w:color w:val="auto"/>
          <w:highlight w:val="none"/>
        </w:rPr>
      </w:pPr>
      <w:r>
        <w:rPr>
          <w:rFonts w:hint="eastAsia" w:ascii="宋体" w:hAnsi="宋体" w:cs="宋体"/>
          <w:color w:val="auto"/>
          <w:highlight w:val="none"/>
        </w:rPr>
        <w:t>售价：0元。</w:t>
      </w:r>
    </w:p>
    <w:p w14:paraId="261465CF">
      <w:pPr>
        <w:pStyle w:val="4"/>
        <w:spacing w:line="360" w:lineRule="auto"/>
        <w:jc w:val="both"/>
        <w:rPr>
          <w:rFonts w:ascii="宋体" w:cs="Times New Roman"/>
          <w:color w:val="auto"/>
          <w:sz w:val="21"/>
          <w:szCs w:val="21"/>
          <w:highlight w:val="none"/>
        </w:rPr>
      </w:pPr>
      <w:bookmarkStart w:id="23" w:name="_Toc28359005"/>
      <w:bookmarkStart w:id="24" w:name="_Toc28359082"/>
      <w:bookmarkStart w:id="25" w:name="_Toc35393793"/>
      <w:bookmarkStart w:id="26" w:name="_Toc141797108"/>
      <w:bookmarkStart w:id="27" w:name="_Toc35393624"/>
      <w:bookmarkStart w:id="28" w:name="_Toc141797664"/>
      <w:r>
        <w:rPr>
          <w:rFonts w:hint="eastAsia" w:ascii="宋体" w:hAnsi="宋体" w:cs="宋体"/>
          <w:color w:val="auto"/>
          <w:sz w:val="21"/>
          <w:szCs w:val="21"/>
          <w:highlight w:val="none"/>
        </w:rPr>
        <w:t>四、提交投标文件</w:t>
      </w:r>
      <w:bookmarkEnd w:id="23"/>
      <w:bookmarkEnd w:id="24"/>
      <w:r>
        <w:rPr>
          <w:rFonts w:hint="eastAsia" w:ascii="宋体" w:hAnsi="宋体" w:cs="宋体"/>
          <w:color w:val="auto"/>
          <w:sz w:val="21"/>
          <w:szCs w:val="21"/>
          <w:highlight w:val="none"/>
        </w:rPr>
        <w:t>截止时间、开标时间和地点</w:t>
      </w:r>
      <w:bookmarkEnd w:id="25"/>
      <w:bookmarkEnd w:id="26"/>
      <w:bookmarkEnd w:id="27"/>
      <w:bookmarkEnd w:id="28"/>
    </w:p>
    <w:p w14:paraId="596325DC">
      <w:pPr>
        <w:spacing w:line="360" w:lineRule="auto"/>
        <w:ind w:firstLine="420" w:firstLineChars="200"/>
        <w:rPr>
          <w:rFonts w:ascii="宋体" w:hAnsi="宋体"/>
          <w:bCs/>
          <w:color w:val="auto"/>
          <w:szCs w:val="21"/>
          <w:highlight w:val="none"/>
        </w:rPr>
      </w:pPr>
      <w:r>
        <w:rPr>
          <w:rFonts w:hint="eastAsia" w:ascii="宋体" w:hAnsi="宋体" w:cs="宋体"/>
          <w:color w:val="auto"/>
          <w:highlight w:val="none"/>
        </w:rPr>
        <w:t>提交投标文件截止时间：</w:t>
      </w:r>
      <w:r>
        <w:rPr>
          <w:rFonts w:hint="eastAsia" w:ascii="宋体" w:hAnsi="宋体"/>
          <w:color w:val="auto"/>
          <w:highlight w:val="none"/>
          <w:u w:val="single"/>
        </w:rPr>
        <w:t>202</w:t>
      </w:r>
      <w:r>
        <w:rPr>
          <w:rFonts w:hint="eastAsia" w:ascii="宋体" w:hAnsi="宋体"/>
          <w:color w:val="auto"/>
          <w:highlight w:val="none"/>
          <w:u w:val="single"/>
          <w:lang w:val="en-US" w:eastAsia="zh-CN"/>
        </w:rPr>
        <w:t>6</w:t>
      </w:r>
      <w:r>
        <w:rPr>
          <w:rFonts w:hint="eastAsia" w:ascii="宋体" w:hAnsi="宋体"/>
          <w:bCs/>
          <w:color w:val="auto"/>
          <w:highlight w:val="none"/>
          <w:u w:val="single"/>
        </w:rPr>
        <w:t>年</w:t>
      </w:r>
      <w:r>
        <w:rPr>
          <w:rFonts w:hint="eastAsia" w:ascii="宋体" w:hAnsi="宋体"/>
          <w:bCs/>
          <w:color w:val="auto"/>
          <w:highlight w:val="none"/>
          <w:u w:val="single"/>
          <w:lang w:val="en-US" w:eastAsia="zh-CN"/>
        </w:rPr>
        <w:t>6</w:t>
      </w:r>
      <w:r>
        <w:rPr>
          <w:rFonts w:hint="eastAsia" w:ascii="宋体" w:hAnsi="宋体"/>
          <w:bCs/>
          <w:color w:val="auto"/>
          <w:highlight w:val="none"/>
          <w:u w:val="single"/>
        </w:rPr>
        <w:t>月</w:t>
      </w:r>
      <w:r>
        <w:rPr>
          <w:rFonts w:hint="eastAsia" w:ascii="宋体" w:hAnsi="宋体"/>
          <w:bCs/>
          <w:color w:val="auto"/>
          <w:highlight w:val="none"/>
          <w:u w:val="single"/>
          <w:lang w:val="en-US" w:eastAsia="zh-CN"/>
        </w:rPr>
        <w:t>5</w:t>
      </w:r>
      <w:r>
        <w:rPr>
          <w:rFonts w:hint="eastAsia" w:ascii="宋体" w:hAnsi="宋体"/>
          <w:bCs/>
          <w:color w:val="auto"/>
          <w:highlight w:val="none"/>
          <w:u w:val="single"/>
        </w:rPr>
        <w:t>日</w:t>
      </w:r>
      <w:r>
        <w:rPr>
          <w:rFonts w:hint="eastAsia" w:ascii="宋体" w:hAnsi="宋体"/>
          <w:bCs/>
          <w:color w:val="auto"/>
          <w:highlight w:val="none"/>
          <w:u w:val="single"/>
          <w:lang w:val="en-US" w:eastAsia="zh-CN"/>
        </w:rPr>
        <w:t>9</w:t>
      </w:r>
      <w:r>
        <w:rPr>
          <w:rFonts w:hint="eastAsia" w:ascii="宋体" w:hAnsi="宋体"/>
          <w:bCs/>
          <w:color w:val="auto"/>
          <w:highlight w:val="none"/>
          <w:u w:val="single"/>
        </w:rPr>
        <w:t>点</w:t>
      </w:r>
      <w:r>
        <w:rPr>
          <w:rFonts w:hint="eastAsia" w:ascii="宋体" w:hAnsi="宋体"/>
          <w:bCs/>
          <w:color w:val="auto"/>
          <w:highlight w:val="none"/>
          <w:u w:val="single"/>
          <w:lang w:val="en-US" w:eastAsia="zh-CN"/>
        </w:rPr>
        <w:t>00</w:t>
      </w:r>
      <w:r>
        <w:rPr>
          <w:rFonts w:hint="eastAsia" w:ascii="宋体" w:hAnsi="宋体"/>
          <w:bCs/>
          <w:color w:val="auto"/>
          <w:highlight w:val="none"/>
          <w:u w:val="single"/>
        </w:rPr>
        <w:t>分</w:t>
      </w:r>
      <w:r>
        <w:rPr>
          <w:rFonts w:hint="eastAsia" w:ascii="宋体" w:hAnsi="宋体"/>
          <w:bCs/>
          <w:color w:val="auto"/>
          <w:highlight w:val="none"/>
        </w:rPr>
        <w:t>（北京时间）。</w:t>
      </w:r>
    </w:p>
    <w:p w14:paraId="1D62A740">
      <w:pPr>
        <w:spacing w:line="360" w:lineRule="auto"/>
        <w:ind w:firstLine="420" w:firstLineChars="200"/>
        <w:rPr>
          <w:rFonts w:ascii="宋体" w:hAnsi="宋体" w:cs="Arial"/>
          <w:color w:val="auto"/>
          <w:szCs w:val="21"/>
          <w:highlight w:val="none"/>
        </w:rPr>
      </w:pPr>
      <w:r>
        <w:rPr>
          <w:rFonts w:hint="eastAsia" w:ascii="宋体" w:hAnsi="宋体" w:cs="Arial"/>
          <w:color w:val="auto"/>
          <w:szCs w:val="21"/>
          <w:highlight w:val="none"/>
        </w:rPr>
        <w:t>投标地点（网址）：</w:t>
      </w:r>
      <w:r>
        <w:rPr>
          <w:rFonts w:hint="eastAsia" w:ascii="宋体" w:hAnsi="宋体" w:cs="Arial"/>
          <w:color w:val="auto"/>
          <w:szCs w:val="21"/>
          <w:highlight w:val="none"/>
          <w:u w:val="single"/>
        </w:rPr>
        <w:t>政采云平台（www.zcygov.cn）（线上）</w:t>
      </w:r>
    </w:p>
    <w:p w14:paraId="349F5509">
      <w:pPr>
        <w:spacing w:line="360" w:lineRule="auto"/>
        <w:ind w:firstLine="420" w:firstLineChars="200"/>
        <w:rPr>
          <w:rFonts w:ascii="宋体" w:hAnsi="宋体" w:cs="Arial"/>
          <w:color w:val="auto"/>
          <w:szCs w:val="21"/>
          <w:highlight w:val="none"/>
        </w:rPr>
      </w:pPr>
      <w:r>
        <w:rPr>
          <w:rFonts w:hint="eastAsia" w:ascii="宋体" w:hAnsi="宋体" w:cs="Arial"/>
          <w:color w:val="auto"/>
          <w:szCs w:val="21"/>
          <w:highlight w:val="none"/>
        </w:rPr>
        <w:t>开标时间：</w:t>
      </w:r>
      <w:r>
        <w:rPr>
          <w:rFonts w:hint="eastAsia" w:ascii="宋体" w:hAnsi="宋体"/>
          <w:color w:val="auto"/>
          <w:highlight w:val="none"/>
          <w:u w:val="single"/>
        </w:rPr>
        <w:t>202</w:t>
      </w:r>
      <w:r>
        <w:rPr>
          <w:rFonts w:hint="eastAsia" w:ascii="宋体" w:hAnsi="宋体"/>
          <w:color w:val="auto"/>
          <w:highlight w:val="none"/>
          <w:u w:val="single"/>
          <w:lang w:val="en-US" w:eastAsia="zh-CN"/>
        </w:rPr>
        <w:t>6</w:t>
      </w:r>
      <w:r>
        <w:rPr>
          <w:rFonts w:hint="eastAsia" w:ascii="宋体" w:hAnsi="宋体"/>
          <w:bCs/>
          <w:color w:val="auto"/>
          <w:highlight w:val="none"/>
          <w:u w:val="single"/>
        </w:rPr>
        <w:t>年</w:t>
      </w:r>
      <w:r>
        <w:rPr>
          <w:rFonts w:hint="eastAsia" w:ascii="宋体" w:hAnsi="宋体"/>
          <w:bCs/>
          <w:color w:val="auto"/>
          <w:highlight w:val="none"/>
          <w:u w:val="single"/>
          <w:lang w:val="en-US" w:eastAsia="zh-CN"/>
        </w:rPr>
        <w:t>6</w:t>
      </w:r>
      <w:r>
        <w:rPr>
          <w:rFonts w:hint="eastAsia" w:ascii="宋体" w:hAnsi="宋体"/>
          <w:bCs/>
          <w:color w:val="auto"/>
          <w:highlight w:val="none"/>
          <w:u w:val="single"/>
        </w:rPr>
        <w:t>月</w:t>
      </w:r>
      <w:r>
        <w:rPr>
          <w:rFonts w:hint="eastAsia" w:ascii="宋体" w:hAnsi="宋体"/>
          <w:bCs/>
          <w:color w:val="auto"/>
          <w:highlight w:val="none"/>
          <w:u w:val="single"/>
          <w:lang w:val="en-US" w:eastAsia="zh-CN"/>
        </w:rPr>
        <w:t>5</w:t>
      </w:r>
      <w:r>
        <w:rPr>
          <w:rFonts w:hint="eastAsia" w:ascii="宋体" w:hAnsi="宋体"/>
          <w:bCs/>
          <w:color w:val="auto"/>
          <w:highlight w:val="none"/>
          <w:u w:val="single"/>
        </w:rPr>
        <w:t>日</w:t>
      </w:r>
      <w:r>
        <w:rPr>
          <w:rFonts w:hint="eastAsia" w:ascii="宋体" w:hAnsi="宋体"/>
          <w:bCs/>
          <w:color w:val="auto"/>
          <w:highlight w:val="none"/>
          <w:u w:val="single"/>
          <w:lang w:val="en-US" w:eastAsia="zh-CN"/>
        </w:rPr>
        <w:t>9</w:t>
      </w:r>
      <w:r>
        <w:rPr>
          <w:rFonts w:hint="eastAsia" w:ascii="宋体" w:hAnsi="宋体"/>
          <w:bCs/>
          <w:color w:val="auto"/>
          <w:highlight w:val="none"/>
          <w:u w:val="single"/>
        </w:rPr>
        <w:t>点</w:t>
      </w:r>
      <w:r>
        <w:rPr>
          <w:rFonts w:hint="eastAsia" w:ascii="宋体" w:hAnsi="宋体"/>
          <w:bCs/>
          <w:color w:val="auto"/>
          <w:highlight w:val="none"/>
          <w:u w:val="single"/>
          <w:lang w:val="en-US" w:eastAsia="zh-CN"/>
        </w:rPr>
        <w:t>00</w:t>
      </w:r>
      <w:r>
        <w:rPr>
          <w:rFonts w:hint="eastAsia" w:ascii="宋体" w:hAnsi="宋体"/>
          <w:bCs/>
          <w:color w:val="auto"/>
          <w:highlight w:val="none"/>
          <w:u w:val="single"/>
        </w:rPr>
        <w:t>分</w:t>
      </w:r>
      <w:r>
        <w:rPr>
          <w:rFonts w:hint="eastAsia" w:ascii="宋体" w:hAnsi="宋体" w:cs="Arial"/>
          <w:color w:val="auto"/>
          <w:szCs w:val="21"/>
          <w:highlight w:val="none"/>
        </w:rPr>
        <w:t>（北京时间）</w:t>
      </w:r>
    </w:p>
    <w:p w14:paraId="2CC25C00">
      <w:pPr>
        <w:keepNext w:val="0"/>
        <w:keepLines w:val="0"/>
        <w:pageBreakBefore w:val="0"/>
        <w:kinsoku/>
        <w:wordWrap/>
        <w:overflowPunct/>
        <w:topLinePunct w:val="0"/>
        <w:autoSpaceDE/>
        <w:autoSpaceDN/>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cs="Arial"/>
          <w:color w:val="auto"/>
          <w:szCs w:val="21"/>
          <w:highlight w:val="none"/>
        </w:rPr>
        <w:t>开标地点（网址）：</w:t>
      </w:r>
      <w:r>
        <w:rPr>
          <w:rFonts w:hint="eastAsia" w:ascii="宋体" w:hAnsi="宋体" w:cs="Arial"/>
          <w:color w:val="auto"/>
          <w:szCs w:val="21"/>
          <w:highlight w:val="none"/>
          <w:u w:val="single"/>
        </w:rPr>
        <w:t>宁波市江北区政务服务中心开标室</w:t>
      </w:r>
      <w:r>
        <w:rPr>
          <w:rFonts w:hint="eastAsia" w:ascii="宋体" w:hAnsi="宋体" w:cs="宋体"/>
          <w:color w:val="auto"/>
          <w:szCs w:val="21"/>
          <w:highlight w:val="none"/>
          <w:u w:val="single"/>
        </w:rPr>
        <w:t>（江北区育才路138号北投大厦南楼7楼）。本项目通过“政府采购云平台”实行在线电</w:t>
      </w:r>
      <w:bookmarkStart w:id="154" w:name="_GoBack"/>
      <w:bookmarkEnd w:id="154"/>
      <w:r>
        <w:rPr>
          <w:rFonts w:hint="eastAsia" w:ascii="宋体" w:hAnsi="宋体" w:cs="宋体"/>
          <w:color w:val="auto"/>
          <w:szCs w:val="21"/>
          <w:highlight w:val="none"/>
          <w:u w:val="single"/>
        </w:rPr>
        <w:t>子投标，投标人应在线参加开标。</w:t>
      </w:r>
    </w:p>
    <w:p w14:paraId="5A245B76">
      <w:pPr>
        <w:pStyle w:val="4"/>
        <w:spacing w:line="360" w:lineRule="auto"/>
        <w:jc w:val="both"/>
        <w:rPr>
          <w:rFonts w:ascii="宋体" w:cs="Times New Roman"/>
          <w:color w:val="auto"/>
          <w:sz w:val="21"/>
          <w:szCs w:val="21"/>
          <w:highlight w:val="none"/>
        </w:rPr>
      </w:pPr>
      <w:bookmarkStart w:id="29" w:name="_Toc35393625"/>
      <w:bookmarkStart w:id="30" w:name="_Toc28359007"/>
      <w:bookmarkStart w:id="31" w:name="_Toc28359084"/>
      <w:bookmarkStart w:id="32" w:name="_Toc141797665"/>
      <w:bookmarkStart w:id="33" w:name="_Toc141797109"/>
      <w:bookmarkStart w:id="34" w:name="_Toc35393794"/>
      <w:r>
        <w:rPr>
          <w:rFonts w:hint="eastAsia" w:ascii="宋体" w:hAnsi="宋体" w:cs="宋体"/>
          <w:color w:val="auto"/>
          <w:sz w:val="21"/>
          <w:szCs w:val="21"/>
          <w:highlight w:val="none"/>
        </w:rPr>
        <w:t>五、公告期限</w:t>
      </w:r>
      <w:bookmarkEnd w:id="29"/>
      <w:bookmarkEnd w:id="30"/>
      <w:bookmarkEnd w:id="31"/>
      <w:bookmarkEnd w:id="32"/>
      <w:bookmarkEnd w:id="33"/>
      <w:bookmarkEnd w:id="34"/>
    </w:p>
    <w:p w14:paraId="621A18F2">
      <w:pPr>
        <w:spacing w:line="360" w:lineRule="auto"/>
        <w:ind w:firstLine="420" w:firstLineChars="200"/>
        <w:rPr>
          <w:rFonts w:ascii="宋体"/>
          <w:color w:val="auto"/>
          <w:kern w:val="0"/>
          <w:highlight w:val="none"/>
        </w:rPr>
      </w:pPr>
      <w:r>
        <w:rPr>
          <w:rFonts w:hint="eastAsia" w:ascii="宋体" w:hAnsi="宋体" w:cs="宋体"/>
          <w:color w:val="auto"/>
          <w:kern w:val="0"/>
          <w:highlight w:val="none"/>
        </w:rPr>
        <w:t>自本公告发布之日起</w:t>
      </w:r>
      <w:r>
        <w:rPr>
          <w:rFonts w:ascii="宋体" w:hAnsi="宋体" w:cs="宋体"/>
          <w:color w:val="auto"/>
          <w:kern w:val="0"/>
          <w:highlight w:val="none"/>
        </w:rPr>
        <w:t>5</w:t>
      </w:r>
      <w:r>
        <w:rPr>
          <w:rFonts w:hint="eastAsia" w:ascii="宋体" w:hAnsi="宋体" w:cs="宋体"/>
          <w:color w:val="auto"/>
          <w:kern w:val="0"/>
          <w:highlight w:val="none"/>
        </w:rPr>
        <w:t>个工作日。</w:t>
      </w:r>
    </w:p>
    <w:p w14:paraId="1FE81501">
      <w:pPr>
        <w:pStyle w:val="4"/>
        <w:keepLines w:val="0"/>
        <w:pageBreakBefore w:val="0"/>
        <w:widowControl w:val="0"/>
        <w:kinsoku/>
        <w:wordWrap/>
        <w:overflowPunct/>
        <w:topLinePunct w:val="0"/>
        <w:autoSpaceDE/>
        <w:autoSpaceDN/>
        <w:bidi w:val="0"/>
        <w:adjustRightInd/>
        <w:spacing w:line="360" w:lineRule="auto"/>
        <w:jc w:val="both"/>
        <w:textAlignment w:val="auto"/>
        <w:rPr>
          <w:rFonts w:ascii="宋体" w:cs="Times New Roman"/>
          <w:color w:val="auto"/>
          <w:sz w:val="21"/>
          <w:szCs w:val="21"/>
          <w:highlight w:val="none"/>
        </w:rPr>
      </w:pPr>
      <w:bookmarkStart w:id="35" w:name="_Toc141797666"/>
      <w:bookmarkStart w:id="36" w:name="_Toc35393795"/>
      <w:bookmarkStart w:id="37" w:name="_Toc141797110"/>
      <w:bookmarkStart w:id="38" w:name="_Toc35393626"/>
      <w:r>
        <w:rPr>
          <w:rFonts w:hint="eastAsia" w:ascii="宋体" w:hAnsi="宋体" w:cs="宋体"/>
          <w:color w:val="auto"/>
          <w:sz w:val="21"/>
          <w:szCs w:val="21"/>
          <w:highlight w:val="none"/>
        </w:rPr>
        <w:t>六、其他补充事宜</w:t>
      </w:r>
      <w:bookmarkEnd w:id="35"/>
      <w:bookmarkEnd w:id="36"/>
      <w:bookmarkEnd w:id="37"/>
      <w:bookmarkEnd w:id="38"/>
    </w:p>
    <w:p w14:paraId="4B8D7D1A">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浙财采监（2022）8号）已分别于2022年1月29日、2022年2月1日和2022年7月1日开始实施，此前有关规定与上述文件内容不一致的，按上述文件要求执行。</w:t>
      </w:r>
    </w:p>
    <w:p w14:paraId="23C75764">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D9CA068">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lang w:val="en-US" w:eastAsia="zh-CN"/>
        </w:rPr>
        <w:t>3</w:t>
      </w:r>
      <w:r>
        <w:rPr>
          <w:rFonts w:hint="eastAsia" w:cs="宋体" w:asciiTheme="minorEastAsia" w:hAnsiTheme="minorEastAsia" w:eastAsiaTheme="minorEastAsia"/>
          <w:color w:val="auto"/>
          <w:highlight w:val="none"/>
        </w:rPr>
        <w:t>.投标人认为招标文件使自己的权益受到损害的，可以自获取招标文件之日或者招标文件公告期限届满之日起7个工作日内，以书面形式向采购人和采购代理机构提出质疑。质疑投标人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5E4A95D">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lang w:val="en-US" w:eastAsia="zh-CN"/>
        </w:rPr>
        <w:t>4</w:t>
      </w:r>
      <w:r>
        <w:rPr>
          <w:rFonts w:hint="eastAsia" w:cs="宋体" w:asciiTheme="minorEastAsia" w:hAnsiTheme="minorEastAsia" w:eastAsiaTheme="minorEastAsia"/>
          <w:color w:val="auto"/>
          <w:highlight w:val="none"/>
        </w:rPr>
        <w:t>.其他事项：</w:t>
      </w:r>
    </w:p>
    <w:p w14:paraId="314B3F5E">
      <w:pPr>
        <w:keepNext w:val="0"/>
        <w:keepLines w:val="0"/>
        <w:pageBreakBefore w:val="0"/>
        <w:widowControl w:val="0"/>
        <w:kinsoku/>
        <w:wordWrap/>
        <w:overflowPunct/>
        <w:topLinePunct w:val="0"/>
        <w:autoSpaceDE/>
        <w:autoSpaceDN/>
        <w:bidi w:val="0"/>
        <w:adjustRightInd/>
        <w:spacing w:line="360" w:lineRule="auto"/>
        <w:ind w:firstLine="420" w:firstLineChars="200"/>
        <w:jc w:val="left"/>
        <w:textAlignment w:val="auto"/>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lang w:val="en-US" w:eastAsia="zh-CN"/>
        </w:rPr>
        <w:t>4</w:t>
      </w:r>
      <w:r>
        <w:rPr>
          <w:rFonts w:hint="eastAsia" w:cs="宋体" w:asciiTheme="minorEastAsia" w:hAnsiTheme="minorEastAsia" w:eastAsiaTheme="minorEastAsia"/>
          <w:color w:val="auto"/>
          <w:highlight w:val="none"/>
        </w:rPr>
        <w:t>.1落实政策：</w:t>
      </w:r>
      <w:r>
        <w:rPr>
          <w:rFonts w:hint="eastAsia" w:ascii="宋体" w:hAnsi="宋体" w:cs="宋体"/>
          <w:color w:val="auto"/>
          <w:highlight w:val="none"/>
        </w:rPr>
        <w:t>《关于促进残疾人就业政府采购政策的通知》（财库[2017]141号）、《政府采购促进中小企业发展管理办法》（财库〔2020〕46号）、《关于政府采购支持监狱企业发展有关问题的通知》(财库[2014]68号)、《关于调整优化节能产品、环境标志产品政府采购执行机制的通知》（财库〔2019〕9号文）、《关于印发环境标志产品政府采购品目清单的通知》（财库〔2019〕18号）和《关于印发节能产品政府采购品目清单的通知》（财库〔2019〕19号）。</w:t>
      </w:r>
    </w:p>
    <w:p w14:paraId="6316F660">
      <w:pPr>
        <w:keepNext w:val="0"/>
        <w:keepLines w:val="0"/>
        <w:pageBreakBefore w:val="0"/>
        <w:widowControl w:val="0"/>
        <w:kinsoku/>
        <w:wordWrap/>
        <w:overflowPunct/>
        <w:topLinePunct w:val="0"/>
        <w:autoSpaceDE/>
        <w:autoSpaceDN/>
        <w:bidi w:val="0"/>
        <w:adjustRightInd/>
        <w:spacing w:line="360" w:lineRule="auto"/>
        <w:ind w:firstLine="420" w:firstLineChars="200"/>
        <w:jc w:val="left"/>
        <w:textAlignment w:val="auto"/>
        <w:rPr>
          <w:rFonts w:ascii="宋体" w:hAnsi="宋体" w:cs="宋体"/>
          <w:color w:val="auto"/>
          <w:highlight w:val="none"/>
        </w:rPr>
      </w:pPr>
      <w:r>
        <w:rPr>
          <w:rFonts w:hint="eastAsia" w:ascii="宋体" w:hAnsi="宋体" w:cs="宋体"/>
          <w:color w:val="auto"/>
          <w:highlight w:val="none"/>
          <w:lang w:val="en-US" w:eastAsia="zh-CN"/>
        </w:rPr>
        <w:t>4</w:t>
      </w:r>
      <w:r>
        <w:rPr>
          <w:rFonts w:hint="eastAsia" w:ascii="宋体" w:hAnsi="宋体" w:cs="宋体"/>
          <w:color w:val="auto"/>
          <w:highlight w:val="none"/>
        </w:rPr>
        <w:t>.2①单位负责人为同一人或者存在直接控股、管理关系的不同供应商，不得同时参加同一合同项下的政府采购活动；②为采购项目提供整体设计、规范编制或者项目管理、监理、检测等服务后不得再参加该采购项目的其他采购活动；③公益一类事业单位、使用事业编制且由财政拨款保障的群团组织不属于政府购买服务的承接主体，不得参与承接购买服务。</w:t>
      </w:r>
    </w:p>
    <w:p w14:paraId="13976F78">
      <w:pPr>
        <w:keepNext w:val="0"/>
        <w:keepLines w:val="0"/>
        <w:pageBreakBefore w:val="0"/>
        <w:widowControl w:val="0"/>
        <w:kinsoku/>
        <w:wordWrap/>
        <w:overflowPunct/>
        <w:topLinePunct w:val="0"/>
        <w:autoSpaceDE/>
        <w:autoSpaceDN/>
        <w:bidi w:val="0"/>
        <w:adjustRightInd/>
        <w:spacing w:line="360" w:lineRule="auto"/>
        <w:ind w:firstLine="420" w:firstLineChars="200"/>
        <w:jc w:val="left"/>
        <w:textAlignment w:val="auto"/>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lang w:val="en-US" w:eastAsia="zh-CN"/>
        </w:rPr>
        <w:t>4</w:t>
      </w:r>
      <w:r>
        <w:rPr>
          <w:rFonts w:hint="eastAsia" w:cs="宋体" w:asciiTheme="minorEastAsia" w:hAnsiTheme="minorEastAsia" w:eastAsiaTheme="minorEastAsia"/>
          <w:color w:val="auto"/>
          <w:highlight w:val="none"/>
        </w:rPr>
        <w:t>.3各投标人应在开标前确保成为浙江省政府采购网正式注册入库投标人，并完成CA数字证书办理。因未注册入库、未办理CA数字证书等原因造成无法投标或投标失败等后果由投标人自行承担。（具体操作详见电子交易操作指南：https://helpcenter.zcygov.cn/document/#/document/dashboard?siteCode=beijing）。</w:t>
      </w:r>
    </w:p>
    <w:p w14:paraId="5FAE48EF">
      <w:pPr>
        <w:keepNext w:val="0"/>
        <w:keepLines w:val="0"/>
        <w:pageBreakBefore w:val="0"/>
        <w:widowControl w:val="0"/>
        <w:kinsoku/>
        <w:wordWrap/>
        <w:overflowPunct/>
        <w:topLinePunct w:val="0"/>
        <w:autoSpaceDE/>
        <w:autoSpaceDN/>
        <w:bidi w:val="0"/>
        <w:adjustRightInd/>
        <w:spacing w:line="360" w:lineRule="auto"/>
        <w:ind w:firstLine="420" w:firstLineChars="200"/>
        <w:jc w:val="left"/>
        <w:textAlignment w:val="auto"/>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lang w:val="en-US" w:eastAsia="zh-CN"/>
        </w:rPr>
        <w:t>4</w:t>
      </w:r>
      <w:r>
        <w:rPr>
          <w:rFonts w:hint="eastAsia" w:cs="宋体" w:asciiTheme="minorEastAsia" w:hAnsiTheme="minorEastAsia" w:eastAsiaTheme="minorEastAsia"/>
          <w:color w:val="auto"/>
          <w:highlight w:val="none"/>
        </w:rPr>
        <w:t>.4本次政府采购活动有关信息在“</w:t>
      </w:r>
      <w:bookmarkStart w:id="39" w:name="OLE_LINK12"/>
      <w:r>
        <w:rPr>
          <w:rFonts w:hint="eastAsia" w:cs="宋体" w:asciiTheme="minorEastAsia" w:hAnsiTheme="minorEastAsia" w:eastAsiaTheme="minorEastAsia"/>
          <w:color w:val="auto"/>
          <w:highlight w:val="none"/>
        </w:rPr>
        <w:t>浙江政府采购网（zfcg.czt.zj.gov.cn）、浙江省公共资源交易服务平台（https://ggzy.zj.gov.cn）、宁波政府采购(https://www.ccgp-ningbo.gov.cn/)、宁波市公共资源交易电子服务系统（甬易阳光）（https://jy×t.zwb.ningbo.gov.cn:4011/website/home）</w:t>
      </w:r>
      <w:bookmarkEnd w:id="39"/>
      <w:r>
        <w:rPr>
          <w:rFonts w:hint="eastAsia" w:cs="宋体" w:asciiTheme="minorEastAsia" w:hAnsiTheme="minorEastAsia" w:eastAsiaTheme="minorEastAsia"/>
          <w:color w:val="auto"/>
          <w:highlight w:val="none"/>
        </w:rPr>
        <w:t>”网站上公布，公布信息视同送达所有潜在投标人。</w:t>
      </w:r>
    </w:p>
    <w:p w14:paraId="3628647E">
      <w:pPr>
        <w:keepNext w:val="0"/>
        <w:keepLines w:val="0"/>
        <w:pageBreakBefore w:val="0"/>
        <w:widowControl w:val="0"/>
        <w:kinsoku/>
        <w:wordWrap/>
        <w:overflowPunct/>
        <w:topLinePunct w:val="0"/>
        <w:autoSpaceDE/>
        <w:autoSpaceDN/>
        <w:bidi w:val="0"/>
        <w:adjustRightInd/>
        <w:spacing w:line="360" w:lineRule="auto"/>
        <w:ind w:firstLine="420" w:firstLineChars="200"/>
        <w:jc w:val="left"/>
        <w:textAlignment w:val="auto"/>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lang w:val="en-US" w:eastAsia="zh-CN"/>
        </w:rPr>
        <w:t>4</w:t>
      </w:r>
      <w:r>
        <w:rPr>
          <w:rFonts w:hint="eastAsia" w:cs="宋体" w:asciiTheme="minorEastAsia" w:hAnsiTheme="minorEastAsia" w:eastAsiaTheme="minorEastAsia"/>
          <w:color w:val="auto"/>
          <w:highlight w:val="none"/>
        </w:rPr>
        <w:t>.5投标人提交电子备份投标文件方式：</w:t>
      </w:r>
    </w:p>
    <w:p w14:paraId="6EF07142">
      <w:pPr>
        <w:keepNext w:val="0"/>
        <w:keepLines w:val="0"/>
        <w:pageBreakBefore w:val="0"/>
        <w:widowControl w:val="0"/>
        <w:kinsoku/>
        <w:wordWrap/>
        <w:overflowPunct/>
        <w:topLinePunct w:val="0"/>
        <w:autoSpaceDE/>
        <w:autoSpaceDN/>
        <w:bidi w:val="0"/>
        <w:adjustRightInd/>
        <w:spacing w:line="360" w:lineRule="auto"/>
        <w:ind w:firstLine="420" w:firstLineChars="200"/>
        <w:jc w:val="left"/>
        <w:textAlignment w:val="auto"/>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lang w:val="en-US" w:eastAsia="zh-CN"/>
        </w:rPr>
        <w:t>4</w:t>
      </w:r>
      <w:r>
        <w:rPr>
          <w:rFonts w:hint="eastAsia" w:cs="宋体" w:asciiTheme="minorEastAsia" w:hAnsiTheme="minorEastAsia" w:eastAsiaTheme="minorEastAsia"/>
          <w:color w:val="auto"/>
          <w:highlight w:val="none"/>
        </w:rPr>
        <w:t>.5.1采用邮寄方式提交电子备份投标文件，需按以下要求递交：</w:t>
      </w:r>
    </w:p>
    <w:p w14:paraId="2AF33CF6">
      <w:pPr>
        <w:keepNext w:val="0"/>
        <w:keepLines w:val="0"/>
        <w:pageBreakBefore w:val="0"/>
        <w:widowControl w:val="0"/>
        <w:kinsoku/>
        <w:wordWrap/>
        <w:overflowPunct/>
        <w:topLinePunct w:val="0"/>
        <w:autoSpaceDE/>
        <w:autoSpaceDN/>
        <w:bidi w:val="0"/>
        <w:adjustRightInd/>
        <w:snapToGrid w:val="0"/>
        <w:spacing w:line="360" w:lineRule="auto"/>
        <w:ind w:firstLine="411" w:firstLineChars="196"/>
        <w:textAlignment w:val="auto"/>
        <w:rPr>
          <w:rFonts w:hint="eastAsia"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投标人须在</w:t>
      </w:r>
      <w:r>
        <w:rPr>
          <w:rFonts w:hint="eastAsia" w:cs="宋体" w:asciiTheme="minorEastAsia" w:hAnsiTheme="minorEastAsia" w:eastAsiaTheme="minorEastAsia"/>
          <w:b/>
          <w:bCs/>
          <w:color w:val="auto"/>
          <w:highlight w:val="none"/>
        </w:rPr>
        <w:t>开标日前一个工作日16:00</w:t>
      </w:r>
      <w:r>
        <w:rPr>
          <w:rFonts w:hint="eastAsia" w:cs="宋体" w:asciiTheme="minorEastAsia" w:hAnsiTheme="minorEastAsia" w:eastAsiaTheme="minorEastAsia"/>
          <w:color w:val="auto"/>
          <w:highlight w:val="none"/>
        </w:rPr>
        <w:t>（北京时间）前将电子备份投标文件邮寄至规定地点，由采购代理机构工作人员进行签收。各投标人自行考虑邮寄在途时间，邮寄过程中无论何种因素导致电子备份投标文件未按时递交的后果，均由投标人自行负责。电子备份投标文件递交时间以招标代理实际收到电子备份投标文件的时间为准。迟到的电子备份投标文件将被拒收。请各投标人确保密封包装在邮寄过程密封包装完好，并在邮寄包裹上注明项目名称，因邮寄过程的密封破损造成不符合开标要求的，本招标代理及采购人概不负责。</w:t>
      </w:r>
    </w:p>
    <w:p w14:paraId="163B4DFB">
      <w:pPr>
        <w:keepNext w:val="0"/>
        <w:keepLines w:val="0"/>
        <w:pageBreakBefore w:val="0"/>
        <w:widowControl w:val="0"/>
        <w:kinsoku/>
        <w:wordWrap/>
        <w:overflowPunct/>
        <w:topLinePunct w:val="0"/>
        <w:autoSpaceDE/>
        <w:autoSpaceDN/>
        <w:bidi w:val="0"/>
        <w:adjustRightInd/>
        <w:snapToGrid w:val="0"/>
        <w:spacing w:line="360" w:lineRule="auto"/>
        <w:ind w:firstLine="411" w:firstLineChars="196"/>
        <w:textAlignment w:val="auto"/>
        <w:rPr>
          <w:rFonts w:hint="default" w:cs="宋体" w:asciiTheme="minorEastAsia" w:hAnsiTheme="minorEastAsia" w:eastAsiaTheme="minorEastAsia"/>
          <w:color w:val="auto"/>
          <w:highlight w:val="none"/>
          <w:lang w:val="en-US" w:eastAsia="zh-CN"/>
        </w:rPr>
      </w:pPr>
      <w:r>
        <w:rPr>
          <w:rFonts w:hint="eastAsia" w:cs="宋体" w:asciiTheme="minorEastAsia" w:hAnsiTheme="minorEastAsia" w:eastAsiaTheme="minorEastAsia"/>
          <w:color w:val="auto"/>
          <w:highlight w:val="none"/>
        </w:rPr>
        <w:t>电子备份投标文件邮寄地址为：宁波市</w:t>
      </w:r>
      <w:r>
        <w:rPr>
          <w:rFonts w:hint="eastAsia" w:cs="宋体" w:asciiTheme="minorEastAsia" w:hAnsiTheme="minorEastAsia" w:eastAsiaTheme="minorEastAsia"/>
          <w:color w:val="auto"/>
          <w:highlight w:val="none"/>
          <w:lang w:val="en-US" w:eastAsia="zh-CN"/>
        </w:rPr>
        <w:t>江北区金隅大成时代5号楼9楼。</w:t>
      </w:r>
    </w:p>
    <w:p w14:paraId="1F7225A3">
      <w:pPr>
        <w:keepNext w:val="0"/>
        <w:keepLines w:val="0"/>
        <w:pageBreakBefore w:val="0"/>
        <w:widowControl w:val="0"/>
        <w:kinsoku/>
        <w:wordWrap/>
        <w:overflowPunct/>
        <w:topLinePunct w:val="0"/>
        <w:autoSpaceDE/>
        <w:autoSpaceDN/>
        <w:bidi w:val="0"/>
        <w:adjustRightInd/>
        <w:spacing w:line="360" w:lineRule="auto"/>
        <w:ind w:firstLine="420" w:firstLineChars="200"/>
        <w:jc w:val="left"/>
        <w:textAlignment w:val="auto"/>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收件人：</w:t>
      </w:r>
      <w:r>
        <w:rPr>
          <w:rFonts w:hint="eastAsia" w:cs="宋体" w:asciiTheme="minorEastAsia" w:hAnsiTheme="minorEastAsia" w:eastAsiaTheme="minorEastAsia"/>
          <w:color w:val="auto"/>
          <w:highlight w:val="none"/>
          <w:lang w:val="en-US" w:eastAsia="zh-CN"/>
        </w:rPr>
        <w:t>刘翠央</w:t>
      </w:r>
      <w:r>
        <w:rPr>
          <w:rFonts w:hint="eastAsia" w:cs="宋体" w:asciiTheme="minorEastAsia" w:hAnsiTheme="minorEastAsia" w:eastAsiaTheme="minorEastAsia"/>
          <w:color w:val="auto"/>
          <w:highlight w:val="none"/>
        </w:rPr>
        <w:t>联系方式：</w:t>
      </w:r>
      <w:r>
        <w:rPr>
          <w:rFonts w:hint="eastAsia" w:cs="宋体" w:asciiTheme="minorEastAsia" w:hAnsiTheme="minorEastAsia" w:eastAsiaTheme="minorEastAsia"/>
          <w:color w:val="auto"/>
          <w:spacing w:val="-2"/>
          <w:highlight w:val="none"/>
        </w:rPr>
        <w:t>0574-</w:t>
      </w:r>
      <w:r>
        <w:rPr>
          <w:rFonts w:hint="eastAsia" w:ascii="宋体" w:hAnsi="宋体" w:eastAsia="宋体" w:cs="宋体"/>
          <w:color w:val="auto"/>
          <w:sz w:val="21"/>
          <w:szCs w:val="21"/>
          <w:highlight w:val="none"/>
        </w:rPr>
        <w:t>87313002</w:t>
      </w:r>
    </w:p>
    <w:p w14:paraId="4FFCFBFD">
      <w:pPr>
        <w:keepNext w:val="0"/>
        <w:keepLines w:val="0"/>
        <w:pageBreakBefore w:val="0"/>
        <w:widowControl w:val="0"/>
        <w:kinsoku/>
        <w:wordWrap/>
        <w:overflowPunct/>
        <w:topLinePunct w:val="0"/>
        <w:autoSpaceDE/>
        <w:autoSpaceDN/>
        <w:bidi w:val="0"/>
        <w:adjustRightInd/>
        <w:spacing w:line="360" w:lineRule="auto"/>
        <w:ind w:firstLine="420" w:firstLineChars="200"/>
        <w:jc w:val="left"/>
        <w:textAlignment w:val="auto"/>
        <w:rPr>
          <w:rFonts w:hint="eastAsia"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lang w:val="en-US" w:eastAsia="zh-CN"/>
        </w:rPr>
        <w:t>4</w:t>
      </w:r>
      <w:r>
        <w:rPr>
          <w:rFonts w:hint="eastAsia" w:cs="宋体" w:asciiTheme="minorEastAsia" w:hAnsiTheme="minorEastAsia" w:eastAsiaTheme="minorEastAsia"/>
          <w:color w:val="auto"/>
          <w:highlight w:val="none"/>
        </w:rPr>
        <w:t>.5.2采用现场递交方式递交电子备份投标文件：投标人安排人员现场递交。</w:t>
      </w:r>
    </w:p>
    <w:p w14:paraId="36B49C75">
      <w:pPr>
        <w:keepNext w:val="0"/>
        <w:keepLines w:val="0"/>
        <w:pageBreakBefore w:val="0"/>
        <w:widowControl w:val="0"/>
        <w:kinsoku/>
        <w:wordWrap/>
        <w:overflowPunct/>
        <w:topLinePunct w:val="0"/>
        <w:autoSpaceDE/>
        <w:autoSpaceDN/>
        <w:bidi w:val="0"/>
        <w:adjustRightInd/>
        <w:spacing w:line="360" w:lineRule="auto"/>
        <w:ind w:firstLine="420" w:firstLineChars="200"/>
        <w:jc w:val="left"/>
        <w:textAlignment w:val="auto"/>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lang w:val="en-US" w:eastAsia="zh-CN"/>
        </w:rPr>
        <w:t>4</w:t>
      </w:r>
      <w:r>
        <w:rPr>
          <w:rFonts w:hint="eastAsia" w:cs="宋体" w:asciiTheme="minorEastAsia" w:hAnsiTheme="minorEastAsia" w:eastAsiaTheme="minorEastAsia"/>
          <w:color w:val="auto"/>
          <w:highlight w:val="none"/>
        </w:rPr>
        <w:t>.6中标通知书领取方式：根据投标人要求采用邮寄或采购代理机构现场领取。</w:t>
      </w:r>
    </w:p>
    <w:p w14:paraId="71171D50">
      <w:pPr>
        <w:pStyle w:val="4"/>
        <w:spacing w:line="360" w:lineRule="auto"/>
        <w:jc w:val="both"/>
        <w:rPr>
          <w:rFonts w:ascii="宋体" w:cs="Times New Roman"/>
          <w:color w:val="auto"/>
          <w:sz w:val="21"/>
          <w:szCs w:val="21"/>
          <w:highlight w:val="none"/>
        </w:rPr>
      </w:pPr>
      <w:bookmarkStart w:id="40" w:name="_Toc28359085"/>
      <w:bookmarkStart w:id="41" w:name="_Toc28359008"/>
      <w:bookmarkStart w:id="42" w:name="_Toc35393627"/>
      <w:bookmarkStart w:id="43" w:name="_Toc35393796"/>
      <w:bookmarkStart w:id="44" w:name="_Toc141797667"/>
      <w:bookmarkStart w:id="45" w:name="_Toc141797111"/>
      <w:r>
        <w:rPr>
          <w:rFonts w:hint="eastAsia" w:ascii="宋体" w:hAnsi="宋体" w:cs="宋体"/>
          <w:color w:val="auto"/>
          <w:sz w:val="21"/>
          <w:szCs w:val="21"/>
          <w:highlight w:val="none"/>
        </w:rPr>
        <w:t>七、</w:t>
      </w:r>
      <w:bookmarkEnd w:id="40"/>
      <w:bookmarkEnd w:id="41"/>
      <w:bookmarkEnd w:id="42"/>
      <w:bookmarkEnd w:id="43"/>
      <w:r>
        <w:rPr>
          <w:rFonts w:hint="eastAsia" w:ascii="宋体" w:hAnsi="宋体" w:cs="宋体"/>
          <w:color w:val="auto"/>
          <w:sz w:val="21"/>
          <w:szCs w:val="21"/>
          <w:highlight w:val="none"/>
        </w:rPr>
        <w:t>对本次招标提出询问、质疑、投诉，请按以下方式联系。</w:t>
      </w:r>
      <w:bookmarkEnd w:id="44"/>
      <w:bookmarkEnd w:id="45"/>
    </w:p>
    <w:p w14:paraId="5425B58C">
      <w:pPr>
        <w:wordWrap w:val="0"/>
        <w:spacing w:line="420" w:lineRule="exact"/>
        <w:rPr>
          <w:rFonts w:hint="eastAsia" w:ascii="宋体" w:hAnsi="宋体"/>
          <w:color w:val="auto"/>
          <w:szCs w:val="21"/>
        </w:rPr>
      </w:pPr>
      <w:r>
        <w:rPr>
          <w:rFonts w:hint="eastAsia" w:ascii="宋体" w:hAnsi="宋体"/>
          <w:color w:val="auto"/>
          <w:szCs w:val="21"/>
        </w:rPr>
        <w:t>1.采购人信息</w:t>
      </w:r>
    </w:p>
    <w:p w14:paraId="1D5FDAA1">
      <w:pPr>
        <w:wordWrap w:val="0"/>
        <w:spacing w:line="420" w:lineRule="exact"/>
        <w:rPr>
          <w:rFonts w:hint="eastAsia" w:ascii="宋体" w:hAnsi="宋体"/>
          <w:color w:val="auto"/>
          <w:szCs w:val="21"/>
        </w:rPr>
      </w:pPr>
      <w:r>
        <w:rPr>
          <w:rFonts w:hint="eastAsia" w:ascii="宋体" w:hAnsi="宋体"/>
          <w:color w:val="auto"/>
          <w:szCs w:val="21"/>
        </w:rPr>
        <w:t>名称：宁波市江北区人民法院</w:t>
      </w:r>
    </w:p>
    <w:p w14:paraId="013E66BC">
      <w:pPr>
        <w:wordWrap w:val="0"/>
        <w:spacing w:line="420" w:lineRule="exact"/>
        <w:rPr>
          <w:rFonts w:hint="eastAsia" w:ascii="宋体" w:hAnsi="宋体"/>
          <w:color w:val="auto"/>
          <w:szCs w:val="21"/>
        </w:rPr>
      </w:pPr>
      <w:r>
        <w:rPr>
          <w:rFonts w:hint="eastAsia" w:ascii="宋体" w:hAnsi="宋体"/>
          <w:color w:val="auto"/>
          <w:szCs w:val="21"/>
        </w:rPr>
        <w:t>地址：宁波市江北区清河路28号</w:t>
      </w:r>
    </w:p>
    <w:p w14:paraId="2B8AC0F7">
      <w:pPr>
        <w:wordWrap w:val="0"/>
        <w:spacing w:line="420" w:lineRule="exact"/>
        <w:rPr>
          <w:rFonts w:hint="eastAsia" w:ascii="宋体" w:hAnsi="宋体"/>
          <w:color w:val="auto"/>
          <w:szCs w:val="21"/>
        </w:rPr>
      </w:pPr>
      <w:r>
        <w:rPr>
          <w:rFonts w:hint="eastAsia" w:ascii="宋体" w:hAnsi="宋体"/>
          <w:color w:val="auto"/>
          <w:szCs w:val="21"/>
        </w:rPr>
        <w:t>传真：/</w:t>
      </w:r>
    </w:p>
    <w:p w14:paraId="1C3605F4">
      <w:pPr>
        <w:wordWrap w:val="0"/>
        <w:spacing w:line="420" w:lineRule="exact"/>
        <w:rPr>
          <w:rFonts w:hint="default" w:ascii="宋体" w:hAnsi="宋体" w:eastAsia="宋体"/>
          <w:color w:val="auto"/>
          <w:szCs w:val="21"/>
          <w:lang w:val="en-US" w:eastAsia="zh-CN"/>
        </w:rPr>
      </w:pPr>
      <w:r>
        <w:rPr>
          <w:rFonts w:hint="eastAsia" w:ascii="宋体" w:hAnsi="宋体"/>
          <w:color w:val="auto"/>
          <w:szCs w:val="21"/>
        </w:rPr>
        <w:t>项目联系人（询问）：</w:t>
      </w:r>
      <w:r>
        <w:rPr>
          <w:rFonts w:hint="eastAsia" w:ascii="宋体" w:hAnsi="宋体"/>
          <w:color w:val="auto"/>
          <w:szCs w:val="21"/>
          <w:lang w:val="en-US" w:eastAsia="zh-CN"/>
        </w:rPr>
        <w:t>张老师</w:t>
      </w:r>
    </w:p>
    <w:p w14:paraId="21E5B602">
      <w:pPr>
        <w:wordWrap w:val="0"/>
        <w:spacing w:line="420" w:lineRule="exact"/>
        <w:rPr>
          <w:rFonts w:hint="eastAsia" w:ascii="宋体" w:hAnsi="宋体"/>
          <w:color w:val="auto"/>
          <w:szCs w:val="21"/>
        </w:rPr>
      </w:pPr>
      <w:r>
        <w:rPr>
          <w:rFonts w:hint="eastAsia" w:ascii="宋体" w:hAnsi="宋体"/>
          <w:color w:val="auto"/>
          <w:szCs w:val="21"/>
        </w:rPr>
        <w:t>项目联系方式（询问）：0574-56103026</w:t>
      </w:r>
    </w:p>
    <w:p w14:paraId="381B8E1C">
      <w:pPr>
        <w:wordWrap w:val="0"/>
        <w:spacing w:line="420" w:lineRule="exact"/>
        <w:rPr>
          <w:rFonts w:hint="default" w:ascii="宋体" w:hAnsi="宋体" w:eastAsia="宋体"/>
          <w:color w:val="auto"/>
          <w:szCs w:val="21"/>
          <w:lang w:val="en-US" w:eastAsia="zh-CN"/>
        </w:rPr>
      </w:pPr>
      <w:r>
        <w:rPr>
          <w:rFonts w:hint="eastAsia" w:ascii="宋体" w:hAnsi="宋体"/>
          <w:color w:val="auto"/>
          <w:szCs w:val="21"/>
        </w:rPr>
        <w:t>质疑联系人：</w:t>
      </w:r>
      <w:r>
        <w:rPr>
          <w:rFonts w:hint="eastAsia" w:ascii="宋体" w:hAnsi="宋体"/>
          <w:color w:val="auto"/>
          <w:szCs w:val="21"/>
          <w:lang w:val="en-US" w:eastAsia="zh-CN"/>
        </w:rPr>
        <w:t>车老师</w:t>
      </w:r>
    </w:p>
    <w:p w14:paraId="228A76C1">
      <w:pPr>
        <w:wordWrap w:val="0"/>
        <w:spacing w:line="420" w:lineRule="exact"/>
        <w:rPr>
          <w:rFonts w:hint="eastAsia" w:ascii="宋体" w:hAnsi="宋体"/>
          <w:color w:val="auto"/>
          <w:szCs w:val="21"/>
        </w:rPr>
      </w:pPr>
      <w:r>
        <w:rPr>
          <w:rFonts w:hint="eastAsia" w:ascii="宋体" w:hAnsi="宋体"/>
          <w:color w:val="auto"/>
          <w:szCs w:val="21"/>
        </w:rPr>
        <w:t>质疑联系方式：0574-56103103</w:t>
      </w:r>
    </w:p>
    <w:p w14:paraId="2BEEC5C7">
      <w:pPr>
        <w:wordWrap w:val="0"/>
        <w:spacing w:line="420" w:lineRule="exact"/>
        <w:rPr>
          <w:rFonts w:hint="eastAsia" w:ascii="宋体" w:hAnsi="宋体"/>
          <w:color w:val="auto"/>
          <w:szCs w:val="21"/>
        </w:rPr>
      </w:pPr>
      <w:r>
        <w:rPr>
          <w:rFonts w:hint="eastAsia" w:ascii="宋体" w:hAnsi="宋体"/>
          <w:color w:val="auto"/>
          <w:szCs w:val="21"/>
        </w:rPr>
        <w:t>2.采购代理机构信息</w:t>
      </w:r>
    </w:p>
    <w:p w14:paraId="5DCF66F0">
      <w:pPr>
        <w:wordWrap w:val="0"/>
        <w:spacing w:line="420" w:lineRule="exact"/>
        <w:rPr>
          <w:rFonts w:hint="eastAsia" w:ascii="宋体" w:hAnsi="宋体"/>
          <w:color w:val="auto"/>
          <w:szCs w:val="21"/>
          <w:lang w:eastAsia="zh-CN"/>
        </w:rPr>
      </w:pPr>
      <w:r>
        <w:rPr>
          <w:rFonts w:hint="eastAsia" w:ascii="宋体" w:hAnsi="宋体"/>
          <w:color w:val="auto"/>
          <w:szCs w:val="21"/>
        </w:rPr>
        <w:t>名称：</w:t>
      </w:r>
      <w:r>
        <w:rPr>
          <w:rFonts w:hint="eastAsia" w:ascii="宋体" w:hAnsi="宋体"/>
          <w:color w:val="auto"/>
          <w:szCs w:val="21"/>
          <w:lang w:eastAsia="zh-CN"/>
        </w:rPr>
        <w:t>宇阳工程咨询（宁波）有限公司</w:t>
      </w:r>
    </w:p>
    <w:p w14:paraId="3BD21170">
      <w:pPr>
        <w:wordWrap w:val="0"/>
        <w:spacing w:line="420" w:lineRule="exact"/>
        <w:rPr>
          <w:rFonts w:hint="eastAsia" w:ascii="宋体" w:hAnsi="宋体"/>
          <w:color w:val="auto"/>
          <w:szCs w:val="21"/>
          <w:lang w:eastAsia="zh-CN"/>
        </w:rPr>
      </w:pPr>
      <w:r>
        <w:rPr>
          <w:rFonts w:hint="eastAsia" w:ascii="宋体" w:hAnsi="宋体"/>
          <w:color w:val="auto"/>
          <w:szCs w:val="21"/>
        </w:rPr>
        <w:t>地址：浙江省宁波市江北区金隅大成时代5号楼</w:t>
      </w:r>
      <w:r>
        <w:rPr>
          <w:rFonts w:hint="eastAsia" w:ascii="宋体" w:hAnsi="宋体"/>
          <w:color w:val="auto"/>
          <w:szCs w:val="21"/>
          <w:lang w:val="en-US" w:eastAsia="zh-CN"/>
        </w:rPr>
        <w:t>18</w:t>
      </w:r>
      <w:r>
        <w:rPr>
          <w:rFonts w:hint="eastAsia" w:ascii="宋体" w:hAnsi="宋体"/>
          <w:color w:val="auto"/>
          <w:szCs w:val="21"/>
        </w:rPr>
        <w:t>楼</w:t>
      </w:r>
    </w:p>
    <w:p w14:paraId="5EA03098">
      <w:pPr>
        <w:wordWrap w:val="0"/>
        <w:spacing w:line="420" w:lineRule="exact"/>
        <w:rPr>
          <w:rFonts w:hint="eastAsia" w:ascii="宋体" w:hAnsi="宋体"/>
          <w:color w:val="auto"/>
          <w:szCs w:val="21"/>
        </w:rPr>
      </w:pPr>
      <w:r>
        <w:rPr>
          <w:rFonts w:hint="eastAsia" w:ascii="宋体" w:hAnsi="宋体"/>
          <w:color w:val="auto"/>
          <w:szCs w:val="21"/>
        </w:rPr>
        <w:t>传真：/</w:t>
      </w:r>
    </w:p>
    <w:p w14:paraId="217DF3F2">
      <w:pPr>
        <w:wordWrap w:val="0"/>
        <w:spacing w:line="420" w:lineRule="exact"/>
        <w:rPr>
          <w:rFonts w:hint="eastAsia" w:ascii="宋体" w:hAnsi="宋体"/>
          <w:color w:val="auto"/>
          <w:szCs w:val="21"/>
        </w:rPr>
      </w:pPr>
      <w:r>
        <w:rPr>
          <w:rFonts w:hint="eastAsia" w:ascii="宋体" w:hAnsi="宋体"/>
          <w:color w:val="auto"/>
          <w:szCs w:val="21"/>
        </w:rPr>
        <w:t>项目联系人（询问）：刘翠央、</w:t>
      </w:r>
      <w:r>
        <w:rPr>
          <w:rFonts w:hint="eastAsia" w:ascii="宋体" w:hAnsi="宋体"/>
          <w:color w:val="auto"/>
          <w:szCs w:val="21"/>
          <w:lang w:val="en-US" w:eastAsia="zh-CN"/>
        </w:rPr>
        <w:t>丁一珊、周王军、官钰敏、朱晓祺、</w:t>
      </w:r>
      <w:r>
        <w:rPr>
          <w:rFonts w:hint="eastAsia" w:ascii="宋体" w:hAnsi="宋体"/>
          <w:color w:val="auto"/>
          <w:szCs w:val="21"/>
        </w:rPr>
        <w:t>李娜</w:t>
      </w:r>
    </w:p>
    <w:p w14:paraId="2DE452C5">
      <w:pPr>
        <w:wordWrap w:val="0"/>
        <w:spacing w:line="420" w:lineRule="exact"/>
        <w:rPr>
          <w:rFonts w:hint="eastAsia" w:ascii="宋体" w:hAnsi="宋体"/>
          <w:color w:val="auto"/>
          <w:szCs w:val="21"/>
        </w:rPr>
      </w:pPr>
      <w:r>
        <w:rPr>
          <w:rFonts w:hint="eastAsia" w:ascii="宋体" w:hAnsi="宋体"/>
          <w:color w:val="auto"/>
          <w:szCs w:val="21"/>
        </w:rPr>
        <w:t>项目联系方式（询问）：0574-87313002</w:t>
      </w:r>
    </w:p>
    <w:p w14:paraId="6462C4AA">
      <w:pPr>
        <w:wordWrap w:val="0"/>
        <w:spacing w:line="420" w:lineRule="exact"/>
        <w:rPr>
          <w:rFonts w:hint="eastAsia" w:ascii="宋体" w:hAnsi="宋体"/>
          <w:color w:val="auto"/>
          <w:szCs w:val="21"/>
        </w:rPr>
      </w:pPr>
      <w:r>
        <w:rPr>
          <w:rFonts w:hint="eastAsia" w:ascii="宋体" w:hAnsi="宋体"/>
          <w:color w:val="auto"/>
          <w:szCs w:val="21"/>
        </w:rPr>
        <w:t>质疑联系人：张秋云</w:t>
      </w:r>
    </w:p>
    <w:p w14:paraId="2C0999C1">
      <w:pPr>
        <w:wordWrap w:val="0"/>
        <w:spacing w:line="420" w:lineRule="exact"/>
        <w:rPr>
          <w:rFonts w:hint="eastAsia" w:ascii="宋体" w:hAnsi="宋体"/>
          <w:color w:val="auto"/>
          <w:szCs w:val="21"/>
          <w:lang w:val="en-US" w:eastAsia="zh-CN"/>
        </w:rPr>
      </w:pPr>
      <w:r>
        <w:rPr>
          <w:rFonts w:hint="eastAsia" w:ascii="宋体" w:hAnsi="宋体"/>
          <w:color w:val="auto"/>
          <w:szCs w:val="21"/>
        </w:rPr>
        <w:t>质疑联系方式：0574-87313002</w:t>
      </w:r>
    </w:p>
    <w:p w14:paraId="376AE2A7">
      <w:pPr>
        <w:wordWrap w:val="0"/>
        <w:spacing w:line="420" w:lineRule="exact"/>
        <w:rPr>
          <w:rFonts w:hint="eastAsia" w:ascii="宋体" w:hAnsi="宋体"/>
          <w:color w:val="auto"/>
          <w:szCs w:val="21"/>
        </w:rPr>
      </w:pPr>
      <w:r>
        <w:rPr>
          <w:rFonts w:hint="eastAsia" w:ascii="宋体" w:hAnsi="宋体"/>
          <w:color w:val="auto"/>
          <w:szCs w:val="21"/>
        </w:rPr>
        <w:t>3.同级政府采购监督管理部门</w:t>
      </w:r>
    </w:p>
    <w:p w14:paraId="4BEADBE7">
      <w:pPr>
        <w:wordWrap w:val="0"/>
        <w:spacing w:line="420" w:lineRule="exact"/>
        <w:rPr>
          <w:rFonts w:hint="eastAsia" w:ascii="宋体" w:hAnsi="宋体"/>
          <w:color w:val="auto"/>
          <w:szCs w:val="21"/>
        </w:rPr>
      </w:pPr>
      <w:r>
        <w:rPr>
          <w:rFonts w:hint="eastAsia" w:ascii="宋体" w:hAnsi="宋体"/>
          <w:color w:val="auto"/>
          <w:szCs w:val="21"/>
        </w:rPr>
        <w:t>名称：宁波市江北区政府采购管理办公室</w:t>
      </w:r>
    </w:p>
    <w:p w14:paraId="54A15375">
      <w:pPr>
        <w:wordWrap w:val="0"/>
        <w:spacing w:line="420" w:lineRule="exact"/>
        <w:rPr>
          <w:rFonts w:hint="eastAsia" w:ascii="宋体" w:hAnsi="宋体"/>
          <w:color w:val="auto"/>
          <w:szCs w:val="21"/>
        </w:rPr>
      </w:pPr>
      <w:r>
        <w:rPr>
          <w:rFonts w:hint="eastAsia" w:ascii="宋体" w:hAnsi="宋体"/>
          <w:color w:val="auto"/>
          <w:szCs w:val="21"/>
        </w:rPr>
        <w:t>地址：宁波市江北区大庆南路181号</w:t>
      </w:r>
    </w:p>
    <w:p w14:paraId="6B740724">
      <w:pPr>
        <w:wordWrap w:val="0"/>
        <w:spacing w:line="420" w:lineRule="exact"/>
        <w:rPr>
          <w:rFonts w:hint="eastAsia" w:ascii="宋体" w:hAnsi="宋体"/>
          <w:color w:val="auto"/>
          <w:szCs w:val="21"/>
        </w:rPr>
      </w:pPr>
      <w:r>
        <w:rPr>
          <w:rFonts w:hint="eastAsia" w:ascii="宋体" w:hAnsi="宋体"/>
          <w:color w:val="auto"/>
          <w:szCs w:val="21"/>
        </w:rPr>
        <w:t>传真：/</w:t>
      </w:r>
    </w:p>
    <w:p w14:paraId="2ABCC669">
      <w:pPr>
        <w:wordWrap w:val="0"/>
        <w:spacing w:line="420" w:lineRule="exact"/>
        <w:rPr>
          <w:rFonts w:hint="eastAsia" w:ascii="宋体" w:hAnsi="宋体"/>
          <w:color w:val="auto"/>
          <w:szCs w:val="21"/>
        </w:rPr>
      </w:pPr>
      <w:r>
        <w:rPr>
          <w:rFonts w:hint="eastAsia" w:ascii="宋体" w:hAnsi="宋体"/>
          <w:color w:val="auto"/>
          <w:szCs w:val="21"/>
        </w:rPr>
        <w:t>联系人：张老师</w:t>
      </w:r>
    </w:p>
    <w:p w14:paraId="716AEBDE">
      <w:pPr>
        <w:wordWrap w:val="0"/>
        <w:spacing w:line="420" w:lineRule="exact"/>
        <w:rPr>
          <w:rFonts w:hint="eastAsia" w:ascii="宋体" w:hAnsi="宋体"/>
          <w:color w:val="auto"/>
          <w:szCs w:val="21"/>
        </w:rPr>
      </w:pPr>
      <w:r>
        <w:rPr>
          <w:rFonts w:hint="eastAsia" w:ascii="宋体" w:hAnsi="宋体"/>
          <w:color w:val="auto"/>
          <w:szCs w:val="21"/>
        </w:rPr>
        <w:t>监督投诉电话：0574-87388032</w:t>
      </w:r>
    </w:p>
    <w:p w14:paraId="03D45F8A">
      <w:pPr>
        <w:pStyle w:val="4"/>
        <w:rPr>
          <w:rFonts w:cs="Times New Roman"/>
          <w:color w:val="auto"/>
          <w:highlight w:val="none"/>
        </w:rPr>
      </w:pPr>
    </w:p>
    <w:p w14:paraId="23BC9D2D">
      <w:pPr>
        <w:wordWrap w:val="0"/>
        <w:spacing w:line="420" w:lineRule="exact"/>
        <w:rPr>
          <w:rFonts w:hint="eastAsia" w:ascii="宋体" w:hAnsi="宋体"/>
          <w:color w:val="auto"/>
          <w:szCs w:val="21"/>
        </w:rPr>
      </w:pPr>
      <w:r>
        <w:rPr>
          <w:rFonts w:hint="eastAsia" w:ascii="宋体" w:hAnsi="宋体"/>
          <w:color w:val="auto"/>
          <w:szCs w:val="21"/>
        </w:rPr>
        <w:t>若对项目采购电子交易系统操作有疑问，可登录政采云（</w:t>
      </w:r>
      <w:r>
        <w:rPr>
          <w:rFonts w:hint="eastAsia" w:ascii="宋体" w:hAnsi="宋体"/>
          <w:color w:val="auto"/>
          <w:szCs w:val="21"/>
        </w:rPr>
        <w:fldChar w:fldCharType="begin"/>
      </w:r>
      <w:r>
        <w:rPr>
          <w:rFonts w:hint="eastAsia" w:ascii="宋体" w:hAnsi="宋体"/>
          <w:color w:val="auto"/>
          <w:szCs w:val="21"/>
        </w:rPr>
        <w:instrText xml:space="preserve">HYPERLINK"https://www.zcygov.cn/"</w:instrText>
      </w:r>
      <w:r>
        <w:rPr>
          <w:rFonts w:hint="eastAsia" w:ascii="宋体" w:hAnsi="宋体"/>
          <w:color w:val="auto"/>
          <w:szCs w:val="21"/>
        </w:rPr>
        <w:fldChar w:fldCharType="separate"/>
      </w:r>
      <w:r>
        <w:rPr>
          <w:rFonts w:hint="eastAsia" w:ascii="宋体" w:hAnsi="宋体"/>
          <w:color w:val="auto"/>
          <w:szCs w:val="21"/>
        </w:rPr>
        <w:t>https://www.zcygov.cn/</w:t>
      </w:r>
      <w:r>
        <w:rPr>
          <w:rFonts w:hint="eastAsia" w:ascii="宋体" w:hAnsi="宋体"/>
          <w:color w:val="auto"/>
          <w:szCs w:val="21"/>
        </w:rPr>
        <w:fldChar w:fldCharType="end"/>
      </w:r>
      <w:r>
        <w:rPr>
          <w:rFonts w:hint="eastAsia" w:ascii="宋体" w:hAnsi="宋体"/>
          <w:color w:val="auto"/>
          <w:szCs w:val="21"/>
        </w:rPr>
        <w:t>），点击右侧咨询小采，获取采小蜜智能服务管家帮助，或拨打政采云服务热线95763获取热线服务帮助。</w:t>
      </w:r>
    </w:p>
    <w:p w14:paraId="689C4C93">
      <w:pPr>
        <w:wordWrap w:val="0"/>
        <w:spacing w:line="420" w:lineRule="exact"/>
        <w:rPr>
          <w:rFonts w:hint="eastAsia" w:ascii="宋体" w:hAnsi="宋体"/>
          <w:color w:val="auto"/>
          <w:szCs w:val="21"/>
        </w:rPr>
      </w:pPr>
      <w:r>
        <w:rPr>
          <w:rFonts w:hint="eastAsia" w:ascii="宋体" w:hAnsi="宋体"/>
          <w:color w:val="auto"/>
          <w:szCs w:val="21"/>
        </w:rPr>
        <w:t>CA问题联系电话（人工）：汇信CA 400-888-4636；天谷CA 400-087-8198。</w:t>
      </w:r>
      <w:bookmarkStart w:id="46" w:name="_Toc298230958"/>
    </w:p>
    <w:p w14:paraId="5845164A">
      <w:pPr>
        <w:pStyle w:val="3"/>
        <w:spacing w:beforeLines="0" w:afterLines="0" w:line="360" w:lineRule="auto"/>
        <w:jc w:val="left"/>
        <w:rPr>
          <w:rFonts w:ascii="宋体" w:hAnsi="宋体" w:cs="宋体"/>
          <w:color w:val="auto"/>
          <w:sz w:val="32"/>
          <w:szCs w:val="32"/>
          <w:highlight w:val="none"/>
        </w:rPr>
        <w:sectPr>
          <w:footerReference r:id="rId5" w:type="default"/>
          <w:pgSz w:w="11907" w:h="16840"/>
          <w:pgMar w:top="1111" w:right="1701" w:bottom="1428" w:left="1701" w:header="720" w:footer="720" w:gutter="0"/>
          <w:pgBorders>
            <w:top w:val="none" w:sz="0" w:space="0"/>
            <w:left w:val="none" w:sz="0" w:space="0"/>
            <w:bottom w:val="none" w:sz="0" w:space="0"/>
            <w:right w:val="none" w:sz="0" w:space="0"/>
          </w:pgBorders>
          <w:pgNumType w:fmt="decimal" w:start="1"/>
          <w:cols w:space="720" w:num="1"/>
          <w:docGrid w:type="linesAndChars" w:linePitch="286" w:charSpace="0"/>
        </w:sectPr>
      </w:pPr>
      <w:bookmarkStart w:id="47" w:name="_Toc141797668"/>
    </w:p>
    <w:p w14:paraId="2E2D753D">
      <w:pPr>
        <w:pStyle w:val="3"/>
        <w:spacing w:beforeLines="0" w:afterLines="0" w:line="360" w:lineRule="auto"/>
        <w:rPr>
          <w:rFonts w:hint="eastAsia" w:ascii="宋体" w:hAnsi="宋体" w:eastAsia="宋体" w:cs="宋体"/>
          <w:color w:val="auto"/>
          <w:sz w:val="32"/>
          <w:szCs w:val="32"/>
          <w:highlight w:val="none"/>
          <w:lang w:eastAsia="zh-CN"/>
        </w:rPr>
      </w:pPr>
      <w:r>
        <w:rPr>
          <w:rFonts w:hint="eastAsia" w:ascii="宋体" w:hAnsi="宋体" w:cs="宋体"/>
          <w:color w:val="auto"/>
          <w:sz w:val="32"/>
          <w:szCs w:val="32"/>
          <w:highlight w:val="none"/>
        </w:rPr>
        <w:t>第二部分</w:t>
      </w:r>
      <w:bookmarkEnd w:id="46"/>
      <w:bookmarkEnd w:id="47"/>
      <w:r>
        <w:rPr>
          <w:rFonts w:hint="eastAsia" w:ascii="宋体" w:hAnsi="宋体" w:cs="宋体"/>
          <w:color w:val="auto"/>
          <w:sz w:val="32"/>
          <w:szCs w:val="32"/>
          <w:highlight w:val="none"/>
          <w:lang w:eastAsia="zh-CN"/>
        </w:rPr>
        <w:t>采购需求</w:t>
      </w:r>
    </w:p>
    <w:p w14:paraId="40157A4E">
      <w:pPr>
        <w:spacing w:line="360" w:lineRule="auto"/>
        <w:rPr>
          <w:rFonts w:ascii="宋体"/>
          <w:b/>
          <w:bCs/>
          <w:color w:val="auto"/>
          <w:sz w:val="24"/>
          <w:szCs w:val="24"/>
          <w:highlight w:val="none"/>
        </w:rPr>
      </w:pPr>
      <w:r>
        <w:rPr>
          <w:rFonts w:hint="eastAsia" w:ascii="宋体" w:hAnsi="宋体" w:cs="宋体"/>
          <w:b/>
          <w:bCs/>
          <w:color w:val="auto"/>
          <w:sz w:val="24"/>
          <w:szCs w:val="24"/>
          <w:highlight w:val="none"/>
        </w:rPr>
        <w:t>一、商务要求表：</w:t>
      </w:r>
    </w:p>
    <w:tbl>
      <w:tblPr>
        <w:tblStyle w:val="38"/>
        <w:tblW w:w="9539"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23"/>
        <w:gridCol w:w="8016"/>
      </w:tblGrid>
      <w:tr w14:paraId="584E0B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523" w:type="dxa"/>
            <w:tcBorders>
              <w:top w:val="single" w:color="auto" w:sz="4" w:space="0"/>
              <w:bottom w:val="single" w:color="auto" w:sz="4" w:space="0"/>
              <w:right w:val="single" w:color="auto" w:sz="4" w:space="0"/>
            </w:tcBorders>
            <w:noWrap w:val="0"/>
            <w:vAlign w:val="center"/>
          </w:tcPr>
          <w:p w14:paraId="518077C8">
            <w:pPr>
              <w:keepNext w:val="0"/>
              <w:keepLines w:val="0"/>
              <w:pageBreakBefore w:val="0"/>
              <w:widowControl w:val="0"/>
              <w:tabs>
                <w:tab w:val="left" w:pos="0"/>
              </w:tabs>
              <w:kinsoku/>
              <w:wordWrap/>
              <w:overflowPunct/>
              <w:topLinePunct w:val="0"/>
              <w:autoSpaceDE/>
              <w:autoSpaceDN/>
              <w:bidi w:val="0"/>
              <w:adjustRightInd/>
              <w:snapToGrid/>
              <w:spacing w:line="336" w:lineRule="auto"/>
              <w:jc w:val="center"/>
              <w:textAlignment w:val="auto"/>
              <w:rPr>
                <w:color w:val="auto"/>
              </w:rPr>
            </w:pPr>
            <w:r>
              <w:rPr>
                <w:rFonts w:hint="eastAsia"/>
                <w:color w:val="auto"/>
              </w:rPr>
              <w:t>工期要求</w:t>
            </w:r>
          </w:p>
        </w:tc>
        <w:tc>
          <w:tcPr>
            <w:tcW w:w="8016" w:type="dxa"/>
            <w:tcBorders>
              <w:top w:val="single" w:color="auto" w:sz="4" w:space="0"/>
              <w:left w:val="single" w:color="auto" w:sz="4" w:space="0"/>
              <w:bottom w:val="single" w:color="auto" w:sz="4" w:space="0"/>
            </w:tcBorders>
            <w:noWrap w:val="0"/>
            <w:vAlign w:val="center"/>
          </w:tcPr>
          <w:p w14:paraId="7AA80E78">
            <w:pPr>
              <w:keepNext w:val="0"/>
              <w:keepLines w:val="0"/>
              <w:pageBreakBefore w:val="0"/>
              <w:widowControl w:val="0"/>
              <w:tabs>
                <w:tab w:val="left" w:pos="0"/>
              </w:tabs>
              <w:kinsoku/>
              <w:wordWrap/>
              <w:overflowPunct/>
              <w:topLinePunct w:val="0"/>
              <w:autoSpaceDE/>
              <w:autoSpaceDN/>
              <w:bidi w:val="0"/>
              <w:adjustRightInd/>
              <w:snapToGrid/>
              <w:spacing w:line="336" w:lineRule="auto"/>
              <w:textAlignment w:val="auto"/>
              <w:rPr>
                <w:rFonts w:hint="eastAsia" w:eastAsia="宋体"/>
                <w:color w:val="auto"/>
                <w:lang w:eastAsia="zh-CN"/>
              </w:rPr>
            </w:pPr>
            <w:r>
              <w:rPr>
                <w:rFonts w:hint="eastAsia"/>
                <w:color w:val="auto"/>
                <w:lang w:eastAsia="zh-CN"/>
              </w:rPr>
              <w:t>自合同签订生效并接到采购人书面通知之日起，30天内完成所有设备安装部署、功能实现以及系统测试，并通过初验，初验合格后试运行30天。</w:t>
            </w:r>
          </w:p>
        </w:tc>
      </w:tr>
      <w:tr w14:paraId="0E817D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523" w:type="dxa"/>
            <w:tcBorders>
              <w:top w:val="single" w:color="auto" w:sz="4" w:space="0"/>
              <w:bottom w:val="single" w:color="auto" w:sz="4" w:space="0"/>
              <w:right w:val="single" w:color="auto" w:sz="4" w:space="0"/>
            </w:tcBorders>
            <w:noWrap w:val="0"/>
            <w:vAlign w:val="center"/>
          </w:tcPr>
          <w:p w14:paraId="0823632A">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ascii="宋体" w:hAnsi="宋体" w:cs="宋体"/>
                <w:color w:val="auto"/>
                <w:szCs w:val="21"/>
              </w:rPr>
            </w:pPr>
            <w:r>
              <w:rPr>
                <w:rFonts w:hint="eastAsia" w:ascii="宋体" w:hAnsi="宋体" w:cs="宋体"/>
                <w:color w:val="auto"/>
                <w:szCs w:val="21"/>
              </w:rPr>
              <w:t>质量标准</w:t>
            </w:r>
          </w:p>
        </w:tc>
        <w:tc>
          <w:tcPr>
            <w:tcW w:w="8016" w:type="dxa"/>
            <w:tcBorders>
              <w:top w:val="single" w:color="auto" w:sz="4" w:space="0"/>
              <w:left w:val="single" w:color="auto" w:sz="4" w:space="0"/>
              <w:bottom w:val="single" w:color="auto" w:sz="4" w:space="0"/>
            </w:tcBorders>
            <w:noWrap w:val="0"/>
            <w:vAlign w:val="center"/>
          </w:tcPr>
          <w:p w14:paraId="158D3199">
            <w:pPr>
              <w:keepNext w:val="0"/>
              <w:keepLines w:val="0"/>
              <w:pageBreakBefore w:val="0"/>
              <w:widowControl w:val="0"/>
              <w:tabs>
                <w:tab w:val="left" w:pos="0"/>
              </w:tabs>
              <w:kinsoku/>
              <w:wordWrap/>
              <w:overflowPunct/>
              <w:topLinePunct w:val="0"/>
              <w:autoSpaceDE/>
              <w:autoSpaceDN/>
              <w:bidi w:val="0"/>
              <w:adjustRightInd/>
              <w:snapToGrid/>
              <w:spacing w:line="336" w:lineRule="auto"/>
              <w:textAlignment w:val="auto"/>
              <w:rPr>
                <w:color w:val="auto"/>
              </w:rPr>
            </w:pPr>
            <w:r>
              <w:rPr>
                <w:rFonts w:hint="eastAsia"/>
                <w:color w:val="auto"/>
              </w:rPr>
              <w:t>产品质量必须执行国家相关标准、行业标准、地方标准或者其它标准、规范（从严）：</w:t>
            </w:r>
          </w:p>
          <w:p w14:paraId="4BCB5646">
            <w:pPr>
              <w:keepNext w:val="0"/>
              <w:keepLines w:val="0"/>
              <w:pageBreakBefore w:val="0"/>
              <w:widowControl w:val="0"/>
              <w:tabs>
                <w:tab w:val="left" w:pos="0"/>
              </w:tabs>
              <w:kinsoku/>
              <w:wordWrap/>
              <w:overflowPunct/>
              <w:topLinePunct w:val="0"/>
              <w:autoSpaceDE/>
              <w:autoSpaceDN/>
              <w:bidi w:val="0"/>
              <w:adjustRightInd/>
              <w:snapToGrid/>
              <w:spacing w:line="336" w:lineRule="auto"/>
              <w:textAlignment w:val="auto"/>
              <w:rPr>
                <w:color w:val="auto"/>
              </w:rPr>
            </w:pPr>
            <w:r>
              <w:rPr>
                <w:rFonts w:hint="eastAsia"/>
                <w:color w:val="auto"/>
              </w:rPr>
              <w:t>1</w:t>
            </w:r>
            <w:r>
              <w:rPr>
                <w:rFonts w:hint="eastAsia"/>
                <w:color w:val="auto"/>
                <w:lang w:val="en-US" w:eastAsia="zh-CN"/>
              </w:rPr>
              <w:t>.</w:t>
            </w:r>
            <w:r>
              <w:rPr>
                <w:rFonts w:hint="eastAsia"/>
                <w:color w:val="auto"/>
              </w:rPr>
              <w:t>具有国家标准及规范的，按最新的标准及规范执行；</w:t>
            </w:r>
          </w:p>
          <w:p w14:paraId="019BEC68">
            <w:pPr>
              <w:keepNext w:val="0"/>
              <w:keepLines w:val="0"/>
              <w:pageBreakBefore w:val="0"/>
              <w:widowControl w:val="0"/>
              <w:tabs>
                <w:tab w:val="left" w:pos="0"/>
              </w:tabs>
              <w:kinsoku/>
              <w:wordWrap/>
              <w:overflowPunct/>
              <w:topLinePunct w:val="0"/>
              <w:autoSpaceDE/>
              <w:autoSpaceDN/>
              <w:bidi w:val="0"/>
              <w:adjustRightInd/>
              <w:snapToGrid/>
              <w:spacing w:line="336" w:lineRule="auto"/>
              <w:textAlignment w:val="auto"/>
              <w:rPr>
                <w:color w:val="auto"/>
              </w:rPr>
            </w:pPr>
            <w:r>
              <w:rPr>
                <w:rFonts w:hint="eastAsia"/>
                <w:color w:val="auto"/>
              </w:rPr>
              <w:t>2</w:t>
            </w:r>
            <w:r>
              <w:rPr>
                <w:rFonts w:hint="eastAsia"/>
                <w:color w:val="auto"/>
                <w:lang w:val="en-US" w:eastAsia="zh-CN"/>
              </w:rPr>
              <w:t>.</w:t>
            </w:r>
            <w:r>
              <w:rPr>
                <w:rFonts w:hint="eastAsia"/>
                <w:color w:val="auto"/>
              </w:rPr>
              <w:t>具有行业标准及规范的，按最新的标准及规范执行；</w:t>
            </w:r>
          </w:p>
          <w:p w14:paraId="56B1DD76">
            <w:pPr>
              <w:keepNext w:val="0"/>
              <w:keepLines w:val="0"/>
              <w:pageBreakBefore w:val="0"/>
              <w:widowControl w:val="0"/>
              <w:tabs>
                <w:tab w:val="left" w:pos="0"/>
              </w:tabs>
              <w:kinsoku/>
              <w:wordWrap/>
              <w:overflowPunct/>
              <w:topLinePunct w:val="0"/>
              <w:autoSpaceDE/>
              <w:autoSpaceDN/>
              <w:bidi w:val="0"/>
              <w:adjustRightInd/>
              <w:snapToGrid/>
              <w:spacing w:line="336" w:lineRule="auto"/>
              <w:textAlignment w:val="auto"/>
              <w:rPr>
                <w:color w:val="auto"/>
              </w:rPr>
            </w:pPr>
            <w:r>
              <w:rPr>
                <w:rFonts w:hint="eastAsia"/>
                <w:color w:val="auto"/>
              </w:rPr>
              <w:t>3</w:t>
            </w:r>
            <w:r>
              <w:rPr>
                <w:rFonts w:hint="eastAsia"/>
                <w:color w:val="auto"/>
                <w:lang w:val="en-US" w:eastAsia="zh-CN"/>
              </w:rPr>
              <w:t>.</w:t>
            </w:r>
            <w:r>
              <w:rPr>
                <w:rFonts w:hint="eastAsia"/>
                <w:color w:val="auto"/>
              </w:rPr>
              <w:t>具有其他标准及规范的，按照最新的标准及规范执行。</w:t>
            </w:r>
          </w:p>
        </w:tc>
      </w:tr>
      <w:tr w14:paraId="37A366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523" w:type="dxa"/>
            <w:tcBorders>
              <w:top w:val="single" w:color="auto" w:sz="4" w:space="0"/>
              <w:bottom w:val="single" w:color="auto" w:sz="4" w:space="0"/>
              <w:right w:val="single" w:color="auto" w:sz="4" w:space="0"/>
            </w:tcBorders>
            <w:noWrap w:val="0"/>
            <w:vAlign w:val="center"/>
          </w:tcPr>
          <w:p w14:paraId="2C849ADF">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ascii="宋体" w:hAnsi="宋体" w:cs="宋体"/>
                <w:color w:val="auto"/>
                <w:szCs w:val="21"/>
              </w:rPr>
            </w:pPr>
            <w:r>
              <w:rPr>
                <w:rFonts w:hint="eastAsia" w:ascii="宋体" w:hAnsi="宋体" w:cs="宋体"/>
                <w:color w:val="auto"/>
                <w:szCs w:val="21"/>
              </w:rPr>
              <w:t>验收</w:t>
            </w:r>
          </w:p>
        </w:tc>
        <w:tc>
          <w:tcPr>
            <w:tcW w:w="8016" w:type="dxa"/>
            <w:tcBorders>
              <w:top w:val="single" w:color="auto" w:sz="4" w:space="0"/>
              <w:left w:val="single" w:color="auto" w:sz="4" w:space="0"/>
              <w:bottom w:val="single" w:color="auto" w:sz="4" w:space="0"/>
            </w:tcBorders>
            <w:noWrap w:val="0"/>
            <w:vAlign w:val="center"/>
          </w:tcPr>
          <w:p w14:paraId="03FFE8F0">
            <w:pPr>
              <w:keepNext w:val="0"/>
              <w:keepLines w:val="0"/>
              <w:pageBreakBefore w:val="0"/>
              <w:widowControl w:val="0"/>
              <w:tabs>
                <w:tab w:val="left" w:pos="0"/>
              </w:tabs>
              <w:kinsoku/>
              <w:wordWrap/>
              <w:overflowPunct/>
              <w:topLinePunct w:val="0"/>
              <w:autoSpaceDE/>
              <w:autoSpaceDN/>
              <w:bidi w:val="0"/>
              <w:adjustRightInd/>
              <w:snapToGrid/>
              <w:spacing w:line="336" w:lineRule="auto"/>
              <w:textAlignment w:val="auto"/>
              <w:rPr>
                <w:color w:val="auto"/>
              </w:rPr>
            </w:pPr>
            <w:r>
              <w:rPr>
                <w:rFonts w:hint="eastAsia"/>
                <w:color w:val="auto"/>
              </w:rPr>
              <w:t>1</w:t>
            </w:r>
            <w:r>
              <w:rPr>
                <w:rFonts w:hint="eastAsia"/>
                <w:color w:val="auto"/>
                <w:lang w:val="en-US" w:eastAsia="zh-CN"/>
              </w:rPr>
              <w:t>.</w:t>
            </w:r>
            <w:r>
              <w:rPr>
                <w:rFonts w:hint="eastAsia"/>
                <w:color w:val="auto"/>
              </w:rPr>
              <w:t>中标人交货前应对产品作出全面检查和对验收文件进行整理，并列出清单，作为采购人收货验收和使用的技术条件依据，检验的结果应随货物交采购人；</w:t>
            </w:r>
          </w:p>
          <w:p w14:paraId="10A65DE2">
            <w:pPr>
              <w:pStyle w:val="18"/>
              <w:keepNext w:val="0"/>
              <w:keepLines w:val="0"/>
              <w:pageBreakBefore w:val="0"/>
              <w:widowControl w:val="0"/>
              <w:tabs>
                <w:tab w:val="left" w:pos="0"/>
              </w:tabs>
              <w:kinsoku/>
              <w:wordWrap/>
              <w:overflowPunct/>
              <w:topLinePunct w:val="0"/>
              <w:autoSpaceDE/>
              <w:autoSpaceDN/>
              <w:bidi w:val="0"/>
              <w:adjustRightInd/>
              <w:snapToGrid/>
              <w:spacing w:line="336" w:lineRule="auto"/>
              <w:ind w:firstLine="0"/>
              <w:textAlignment w:val="auto"/>
              <w:rPr>
                <w:rFonts w:hint="eastAsia" w:ascii="Times New Roman" w:hAnsi="Times New Roman"/>
                <w:color w:val="auto"/>
                <w:spacing w:val="0"/>
                <w:sz w:val="21"/>
                <w:szCs w:val="24"/>
                <w:lang w:val="en-US" w:eastAsia="zh-CN"/>
              </w:rPr>
            </w:pPr>
            <w:r>
              <w:rPr>
                <w:rFonts w:ascii="Times New Roman" w:hAnsi="Times New Roman"/>
                <w:color w:val="auto"/>
                <w:spacing w:val="0"/>
                <w:sz w:val="21"/>
                <w:szCs w:val="24"/>
                <w:lang w:val="en-US" w:eastAsia="zh-CN"/>
              </w:rPr>
              <w:t>2</w:t>
            </w:r>
            <w:r>
              <w:rPr>
                <w:rFonts w:hint="eastAsia" w:ascii="Times New Roman" w:hAnsi="Times New Roman"/>
                <w:color w:val="auto"/>
                <w:spacing w:val="0"/>
                <w:sz w:val="21"/>
                <w:szCs w:val="24"/>
                <w:lang w:val="en-US" w:eastAsia="zh-CN"/>
              </w:rPr>
              <w:t>.最终验收以采购人通知时间为准。</w:t>
            </w:r>
          </w:p>
        </w:tc>
      </w:tr>
      <w:tr w14:paraId="2DBE91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523" w:type="dxa"/>
            <w:tcBorders>
              <w:top w:val="single" w:color="auto" w:sz="4" w:space="0"/>
              <w:bottom w:val="single" w:color="auto" w:sz="4" w:space="0"/>
              <w:right w:val="single" w:color="auto" w:sz="4" w:space="0"/>
            </w:tcBorders>
            <w:noWrap w:val="0"/>
            <w:vAlign w:val="center"/>
          </w:tcPr>
          <w:p w14:paraId="434FF656">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ascii="宋体" w:hAnsi="宋体" w:cs="宋体"/>
                <w:color w:val="auto"/>
                <w:szCs w:val="21"/>
              </w:rPr>
            </w:pPr>
            <w:r>
              <w:rPr>
                <w:rFonts w:hint="eastAsia" w:ascii="宋体" w:hAnsi="宋体" w:cs="宋体"/>
                <w:color w:val="auto"/>
                <w:szCs w:val="21"/>
              </w:rPr>
              <w:t>签订合同时间</w:t>
            </w:r>
          </w:p>
        </w:tc>
        <w:tc>
          <w:tcPr>
            <w:tcW w:w="8016" w:type="dxa"/>
            <w:tcBorders>
              <w:top w:val="single" w:color="auto" w:sz="4" w:space="0"/>
              <w:left w:val="single" w:color="auto" w:sz="4" w:space="0"/>
              <w:bottom w:val="single" w:color="auto" w:sz="4" w:space="0"/>
            </w:tcBorders>
            <w:noWrap w:val="0"/>
            <w:vAlign w:val="center"/>
          </w:tcPr>
          <w:p w14:paraId="5F205D4D">
            <w:pPr>
              <w:keepNext w:val="0"/>
              <w:keepLines w:val="0"/>
              <w:pageBreakBefore w:val="0"/>
              <w:widowControl w:val="0"/>
              <w:tabs>
                <w:tab w:val="left" w:pos="0"/>
              </w:tabs>
              <w:kinsoku/>
              <w:wordWrap/>
              <w:overflowPunct/>
              <w:topLinePunct w:val="0"/>
              <w:autoSpaceDE/>
              <w:autoSpaceDN/>
              <w:bidi w:val="0"/>
              <w:adjustRightInd/>
              <w:snapToGrid/>
              <w:spacing w:line="336" w:lineRule="auto"/>
              <w:textAlignment w:val="auto"/>
              <w:rPr>
                <w:color w:val="auto"/>
              </w:rPr>
            </w:pPr>
            <w:r>
              <w:rPr>
                <w:rFonts w:hint="eastAsia"/>
                <w:color w:val="auto"/>
              </w:rPr>
              <w:t>中标通知书发出之日起30日内签订合同，具体签约时间以采购人通知为准。</w:t>
            </w:r>
          </w:p>
        </w:tc>
      </w:tr>
      <w:tr w14:paraId="423D83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523" w:type="dxa"/>
            <w:tcBorders>
              <w:top w:val="single" w:color="auto" w:sz="4" w:space="0"/>
              <w:bottom w:val="single" w:color="auto" w:sz="4" w:space="0"/>
              <w:right w:val="single" w:color="auto" w:sz="4" w:space="0"/>
            </w:tcBorders>
            <w:noWrap w:val="0"/>
            <w:vAlign w:val="center"/>
          </w:tcPr>
          <w:p w14:paraId="5A7F3FCE">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ascii="宋体" w:hAnsi="宋体" w:cs="宋体"/>
                <w:color w:val="auto"/>
                <w:szCs w:val="21"/>
              </w:rPr>
            </w:pPr>
            <w:r>
              <w:rPr>
                <w:rFonts w:hint="eastAsia" w:ascii="宋体" w:hAnsi="宋体" w:cs="宋体"/>
                <w:color w:val="auto"/>
                <w:szCs w:val="21"/>
              </w:rPr>
              <w:t>合同款项支付条件及方式</w:t>
            </w:r>
          </w:p>
        </w:tc>
        <w:tc>
          <w:tcPr>
            <w:tcW w:w="8016" w:type="dxa"/>
            <w:tcBorders>
              <w:top w:val="single" w:color="auto" w:sz="4" w:space="0"/>
              <w:left w:val="single" w:color="auto" w:sz="4" w:space="0"/>
              <w:bottom w:val="single" w:color="auto" w:sz="4" w:space="0"/>
            </w:tcBorders>
            <w:noWrap w:val="0"/>
            <w:vAlign w:val="center"/>
          </w:tcPr>
          <w:p w14:paraId="7916FA4E">
            <w:pPr>
              <w:keepNext w:val="0"/>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cs="宋体"/>
                <w:color w:val="auto"/>
                <w:szCs w:val="22"/>
              </w:rPr>
            </w:pPr>
            <w:r>
              <w:rPr>
                <w:rFonts w:hint="eastAsia" w:ascii="宋体" w:hAnsi="宋体" w:cs="宋体"/>
                <w:color w:val="auto"/>
                <w:szCs w:val="22"/>
                <w:lang w:val="en-US" w:eastAsia="zh-CN"/>
              </w:rPr>
              <w:t>1.</w:t>
            </w:r>
            <w:r>
              <w:rPr>
                <w:rFonts w:hint="eastAsia" w:ascii="宋体" w:hAnsi="宋体" w:cs="宋体"/>
                <w:color w:val="auto"/>
                <w:szCs w:val="22"/>
              </w:rPr>
              <w:t>合同签订后7个工作日内支付合同金额的40%；</w:t>
            </w:r>
          </w:p>
          <w:p w14:paraId="3B98947B">
            <w:pPr>
              <w:keepNext w:val="0"/>
              <w:keepLines w:val="0"/>
              <w:pageBreakBefore w:val="0"/>
              <w:widowControl w:val="0"/>
              <w:kinsoku/>
              <w:wordWrap/>
              <w:overflowPunct/>
              <w:topLinePunct w:val="0"/>
              <w:autoSpaceDE/>
              <w:autoSpaceDN/>
              <w:bidi w:val="0"/>
              <w:adjustRightInd/>
              <w:snapToGrid/>
              <w:spacing w:line="336" w:lineRule="auto"/>
              <w:textAlignment w:val="auto"/>
              <w:rPr>
                <w:color w:val="auto"/>
              </w:rPr>
            </w:pPr>
            <w:r>
              <w:rPr>
                <w:rFonts w:hint="eastAsia" w:ascii="宋体" w:hAnsi="宋体" w:cs="宋体"/>
                <w:color w:val="auto"/>
                <w:szCs w:val="22"/>
                <w:lang w:val="en-US" w:eastAsia="zh-CN"/>
              </w:rPr>
              <w:t>2.</w:t>
            </w:r>
            <w:r>
              <w:rPr>
                <w:rFonts w:hint="eastAsia" w:ascii="宋体" w:hAnsi="宋体" w:cs="宋体"/>
                <w:color w:val="auto"/>
                <w:szCs w:val="22"/>
              </w:rPr>
              <w:t>全部货到采购人指定地点经安装、调试且经采购人最终验收合格后7个工作日</w:t>
            </w:r>
            <w:r>
              <w:rPr>
                <w:rFonts w:hint="eastAsia" w:ascii="宋体" w:hAnsi="宋体" w:cs="宋体"/>
                <w:color w:val="auto"/>
                <w:szCs w:val="22"/>
                <w:lang w:val="en-US" w:eastAsia="zh-CN"/>
              </w:rPr>
              <w:t>内</w:t>
            </w:r>
            <w:r>
              <w:rPr>
                <w:rFonts w:hint="eastAsia" w:ascii="宋体" w:hAnsi="宋体" w:cs="宋体"/>
                <w:color w:val="auto"/>
                <w:szCs w:val="22"/>
              </w:rPr>
              <w:t>，支付合同金额的60%。</w:t>
            </w:r>
          </w:p>
        </w:tc>
      </w:tr>
      <w:tr w14:paraId="3BB3D4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523" w:type="dxa"/>
            <w:tcBorders>
              <w:top w:val="single" w:color="auto" w:sz="4" w:space="0"/>
              <w:bottom w:val="single" w:color="auto" w:sz="4" w:space="0"/>
              <w:right w:val="single" w:color="auto" w:sz="4" w:space="0"/>
            </w:tcBorders>
            <w:noWrap w:val="0"/>
            <w:vAlign w:val="center"/>
          </w:tcPr>
          <w:p w14:paraId="0F3CA098">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ascii="宋体" w:hAnsi="宋体" w:cs="宋体"/>
                <w:color w:val="auto"/>
                <w:szCs w:val="21"/>
              </w:rPr>
            </w:pPr>
            <w:r>
              <w:rPr>
                <w:rFonts w:hint="eastAsia" w:ascii="宋体" w:hAnsi="宋体" w:cs="宋体"/>
                <w:color w:val="auto"/>
                <w:szCs w:val="21"/>
              </w:rPr>
              <w:t>履约保证金</w:t>
            </w:r>
          </w:p>
        </w:tc>
        <w:tc>
          <w:tcPr>
            <w:tcW w:w="8016" w:type="dxa"/>
            <w:tcBorders>
              <w:top w:val="single" w:color="auto" w:sz="4" w:space="0"/>
              <w:left w:val="single" w:color="auto" w:sz="4" w:space="0"/>
              <w:bottom w:val="single" w:color="auto" w:sz="4" w:space="0"/>
            </w:tcBorders>
            <w:noWrap w:val="0"/>
            <w:vAlign w:val="center"/>
          </w:tcPr>
          <w:p w14:paraId="07BB4057">
            <w:pPr>
              <w:keepNext w:val="0"/>
              <w:keepLines w:val="0"/>
              <w:pageBreakBefore w:val="0"/>
              <w:widowControl w:val="0"/>
              <w:kinsoku/>
              <w:wordWrap/>
              <w:overflowPunct/>
              <w:topLinePunct w:val="0"/>
              <w:autoSpaceDE/>
              <w:autoSpaceDN/>
              <w:bidi w:val="0"/>
              <w:adjustRightInd/>
              <w:snapToGrid/>
              <w:spacing w:line="336" w:lineRule="auto"/>
              <w:textAlignment w:val="auto"/>
              <w:rPr>
                <w:rFonts w:ascii="宋体" w:hAnsi="宋体" w:cs="宋体"/>
                <w:color w:val="auto"/>
                <w:szCs w:val="22"/>
              </w:rPr>
            </w:pPr>
            <w:r>
              <w:rPr>
                <w:rFonts w:hint="eastAsia" w:ascii="宋体" w:hAnsi="宋体" w:cs="宋体"/>
                <w:color w:val="auto"/>
                <w:szCs w:val="22"/>
              </w:rPr>
              <w:t>本项目不要求提供履约保证金。</w:t>
            </w:r>
          </w:p>
        </w:tc>
      </w:tr>
      <w:tr w14:paraId="194A84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523" w:type="dxa"/>
            <w:tcBorders>
              <w:top w:val="single" w:color="auto" w:sz="4" w:space="0"/>
              <w:bottom w:val="single" w:color="auto" w:sz="4" w:space="0"/>
              <w:right w:val="single" w:color="auto" w:sz="4" w:space="0"/>
            </w:tcBorders>
            <w:noWrap w:val="0"/>
            <w:vAlign w:val="center"/>
          </w:tcPr>
          <w:p w14:paraId="5CFA6A69">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ascii="宋体" w:hAnsi="宋体" w:cs="宋体"/>
                <w:color w:val="auto"/>
                <w:szCs w:val="21"/>
              </w:rPr>
            </w:pPr>
            <w:r>
              <w:rPr>
                <w:rFonts w:hint="eastAsia" w:ascii="宋体" w:hAnsi="宋体" w:cs="宋体"/>
                <w:color w:val="auto"/>
              </w:rPr>
              <w:t>发票要求</w:t>
            </w:r>
          </w:p>
        </w:tc>
        <w:tc>
          <w:tcPr>
            <w:tcW w:w="8016" w:type="dxa"/>
            <w:tcBorders>
              <w:top w:val="single" w:color="auto" w:sz="4" w:space="0"/>
              <w:left w:val="single" w:color="auto" w:sz="4" w:space="0"/>
              <w:bottom w:val="single" w:color="auto" w:sz="4" w:space="0"/>
            </w:tcBorders>
            <w:noWrap w:val="0"/>
            <w:vAlign w:val="center"/>
          </w:tcPr>
          <w:p w14:paraId="18C7349A">
            <w:pPr>
              <w:keepNext w:val="0"/>
              <w:keepLines w:val="0"/>
              <w:pageBreakBefore w:val="0"/>
              <w:widowControl w:val="0"/>
              <w:kinsoku/>
              <w:wordWrap/>
              <w:overflowPunct/>
              <w:topLinePunct w:val="0"/>
              <w:autoSpaceDE/>
              <w:autoSpaceDN/>
              <w:bidi w:val="0"/>
              <w:adjustRightInd/>
              <w:snapToGrid/>
              <w:spacing w:line="336" w:lineRule="auto"/>
              <w:textAlignment w:val="auto"/>
              <w:rPr>
                <w:rFonts w:ascii="宋体" w:hAnsi="宋体" w:cs="宋体"/>
                <w:color w:val="auto"/>
                <w:szCs w:val="22"/>
              </w:rPr>
            </w:pPr>
            <w:r>
              <w:rPr>
                <w:rFonts w:hint="eastAsia" w:ascii="宋体" w:hAnsi="宋体" w:cs="宋体"/>
                <w:color w:val="auto"/>
                <w:szCs w:val="22"/>
              </w:rPr>
              <w:t>1</w:t>
            </w:r>
            <w:r>
              <w:rPr>
                <w:rFonts w:hint="eastAsia" w:ascii="宋体" w:hAnsi="宋体" w:cs="宋体"/>
                <w:color w:val="auto"/>
                <w:szCs w:val="22"/>
                <w:lang w:val="en-US" w:eastAsia="zh-CN"/>
              </w:rPr>
              <w:t>.</w:t>
            </w:r>
            <w:r>
              <w:rPr>
                <w:rFonts w:hint="eastAsia" w:ascii="宋体" w:hAnsi="宋体" w:cs="宋体"/>
                <w:color w:val="auto"/>
                <w:szCs w:val="22"/>
              </w:rPr>
              <w:t>中标人应在采购人支付费用前，依据相应的金额，先行向采购人提供足额且符合税法规定的增值税发票。采购人在收到中标人提供的增值税发票后在合同约定的时间支付相应款项，否则采购人有权延迟支付相应费用而不被视为违约，亦无须承担任何违约责任。</w:t>
            </w:r>
          </w:p>
          <w:p w14:paraId="01684FAE">
            <w:pPr>
              <w:keepNext w:val="0"/>
              <w:keepLines w:val="0"/>
              <w:pageBreakBefore w:val="0"/>
              <w:widowControl w:val="0"/>
              <w:kinsoku/>
              <w:wordWrap/>
              <w:overflowPunct/>
              <w:topLinePunct w:val="0"/>
              <w:autoSpaceDE/>
              <w:autoSpaceDN/>
              <w:bidi w:val="0"/>
              <w:adjustRightInd/>
              <w:snapToGrid/>
              <w:spacing w:line="336" w:lineRule="auto"/>
              <w:textAlignment w:val="auto"/>
              <w:rPr>
                <w:rFonts w:ascii="宋体" w:hAnsi="宋体" w:cs="宋体"/>
                <w:color w:val="auto"/>
                <w:szCs w:val="22"/>
              </w:rPr>
            </w:pPr>
            <w:r>
              <w:rPr>
                <w:rFonts w:hint="eastAsia" w:ascii="宋体" w:hAnsi="宋体" w:cs="宋体"/>
                <w:color w:val="auto"/>
                <w:szCs w:val="22"/>
              </w:rPr>
              <w:t>2</w:t>
            </w:r>
            <w:r>
              <w:rPr>
                <w:rFonts w:hint="eastAsia" w:ascii="宋体" w:hAnsi="宋体" w:cs="宋体"/>
                <w:color w:val="auto"/>
                <w:szCs w:val="22"/>
                <w:lang w:val="en-US" w:eastAsia="zh-CN"/>
              </w:rPr>
              <w:t>.</w:t>
            </w:r>
            <w:r>
              <w:rPr>
                <w:rFonts w:hint="eastAsia" w:ascii="宋体" w:hAnsi="宋体" w:cs="宋体"/>
                <w:color w:val="auto"/>
                <w:szCs w:val="22"/>
              </w:rPr>
              <w:t>如因中标人未按期提供发票或发票不合规等原因，自行承担由此对采购人造成的一切损失。</w:t>
            </w:r>
          </w:p>
          <w:p w14:paraId="7FAB2F42">
            <w:pPr>
              <w:keepNext w:val="0"/>
              <w:keepLines w:val="0"/>
              <w:pageBreakBefore w:val="0"/>
              <w:widowControl w:val="0"/>
              <w:kinsoku/>
              <w:wordWrap/>
              <w:overflowPunct/>
              <w:topLinePunct w:val="0"/>
              <w:autoSpaceDE/>
              <w:autoSpaceDN/>
              <w:bidi w:val="0"/>
              <w:adjustRightInd/>
              <w:snapToGrid/>
              <w:spacing w:line="336" w:lineRule="auto"/>
              <w:textAlignment w:val="auto"/>
              <w:rPr>
                <w:rFonts w:ascii="宋体" w:hAnsi="宋体" w:cs="宋体"/>
                <w:color w:val="auto"/>
                <w:szCs w:val="22"/>
              </w:rPr>
            </w:pPr>
            <w:r>
              <w:rPr>
                <w:rFonts w:hint="eastAsia" w:ascii="宋体" w:hAnsi="宋体" w:cs="宋体"/>
                <w:color w:val="auto"/>
                <w:szCs w:val="22"/>
              </w:rPr>
              <w:t>3</w:t>
            </w:r>
            <w:r>
              <w:rPr>
                <w:rFonts w:hint="eastAsia" w:ascii="宋体" w:hAnsi="宋体" w:cs="宋体"/>
                <w:color w:val="auto"/>
                <w:szCs w:val="22"/>
                <w:lang w:val="en-US" w:eastAsia="zh-CN"/>
              </w:rPr>
              <w:t>.</w:t>
            </w:r>
            <w:r>
              <w:rPr>
                <w:rFonts w:hint="eastAsia" w:ascii="宋体" w:hAnsi="宋体" w:cs="宋体"/>
                <w:color w:val="auto"/>
                <w:szCs w:val="22"/>
              </w:rPr>
              <w:t>本项目合同签署的中标人名称与发票开具单位及收款单位一致，中标人不得以其他理由在合同执行过程中要求调整发票开具单位或收款单位（依法变更单位名称除外），否则视为中标人违约并自行承担相关责任，且须承担由此对采购人造成的一切损失。</w:t>
            </w:r>
          </w:p>
        </w:tc>
      </w:tr>
      <w:tr w14:paraId="641E40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523" w:type="dxa"/>
            <w:tcBorders>
              <w:top w:val="single" w:color="auto" w:sz="4" w:space="0"/>
              <w:bottom w:val="single" w:color="auto" w:sz="4" w:space="0"/>
              <w:right w:val="single" w:color="auto" w:sz="4" w:space="0"/>
            </w:tcBorders>
            <w:noWrap w:val="0"/>
            <w:vAlign w:val="center"/>
          </w:tcPr>
          <w:p w14:paraId="3A09C67E">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ascii="宋体" w:hAnsi="宋体" w:cs="宋体"/>
                <w:color w:val="auto"/>
                <w:szCs w:val="21"/>
              </w:rPr>
            </w:pPr>
            <w:r>
              <w:rPr>
                <w:rFonts w:hint="eastAsia" w:ascii="宋体" w:hAnsi="宋体" w:cs="宋体"/>
                <w:color w:val="auto"/>
              </w:rPr>
              <w:t>质保及售后服务要求</w:t>
            </w:r>
          </w:p>
        </w:tc>
        <w:tc>
          <w:tcPr>
            <w:tcW w:w="8016" w:type="dxa"/>
            <w:tcBorders>
              <w:top w:val="single" w:color="auto" w:sz="4" w:space="0"/>
              <w:left w:val="single" w:color="auto" w:sz="4" w:space="0"/>
              <w:bottom w:val="single" w:color="auto" w:sz="4" w:space="0"/>
            </w:tcBorders>
            <w:noWrap w:val="0"/>
            <w:vAlign w:val="center"/>
          </w:tcPr>
          <w:p w14:paraId="1DA7BE4D">
            <w:pPr>
              <w:keepNext w:val="0"/>
              <w:keepLines w:val="0"/>
              <w:pageBreakBefore w:val="0"/>
              <w:widowControl w:val="0"/>
              <w:kinsoku/>
              <w:wordWrap/>
              <w:overflowPunct/>
              <w:topLinePunct w:val="0"/>
              <w:autoSpaceDE/>
              <w:autoSpaceDN/>
              <w:bidi w:val="0"/>
              <w:adjustRightInd/>
              <w:snapToGrid/>
              <w:spacing w:line="336" w:lineRule="auto"/>
              <w:textAlignment w:val="auto"/>
              <w:rPr>
                <w:rFonts w:hint="eastAsia"/>
                <w:color w:val="auto"/>
                <w:lang w:val="zh-CN"/>
              </w:rPr>
            </w:pPr>
            <w:r>
              <w:rPr>
                <w:rFonts w:hint="eastAsia"/>
                <w:color w:val="auto"/>
              </w:rPr>
              <w:t>1</w:t>
            </w:r>
            <w:r>
              <w:rPr>
                <w:rFonts w:hint="eastAsia"/>
                <w:color w:val="auto"/>
                <w:lang w:val="en-US" w:eastAsia="zh-CN"/>
              </w:rPr>
              <w:t>.中标人须</w:t>
            </w:r>
            <w:r>
              <w:rPr>
                <w:rFonts w:hint="eastAsia"/>
                <w:color w:val="auto"/>
              </w:rPr>
              <w:t>提供7×24小时技术支持</w:t>
            </w:r>
            <w:r>
              <w:rPr>
                <w:rFonts w:hint="eastAsia"/>
                <w:color w:val="auto"/>
                <w:lang w:eastAsia="zh-CN"/>
              </w:rPr>
              <w:t>，</w:t>
            </w:r>
            <w:r>
              <w:rPr>
                <w:rFonts w:hint="eastAsia"/>
                <w:color w:val="auto"/>
              </w:rPr>
              <w:t>在接到采购人的系统、设备故障申告后，故障响应不超过1小时，现场运维不超过4小时；</w:t>
            </w:r>
            <w:r>
              <w:rPr>
                <w:color w:val="auto"/>
              </w:rPr>
              <w:t>12</w:t>
            </w:r>
            <w:r>
              <w:rPr>
                <w:rFonts w:hint="eastAsia"/>
                <w:color w:val="auto"/>
              </w:rPr>
              <w:t>小时内排除故障，如</w:t>
            </w:r>
            <w:r>
              <w:rPr>
                <w:color w:val="auto"/>
              </w:rPr>
              <w:t>12</w:t>
            </w:r>
            <w:r>
              <w:rPr>
                <w:rFonts w:hint="eastAsia"/>
                <w:color w:val="auto"/>
              </w:rPr>
              <w:t>小时内未能排除故障的，投标人应在</w:t>
            </w:r>
            <w:r>
              <w:rPr>
                <w:color w:val="auto"/>
              </w:rPr>
              <w:t>24</w:t>
            </w:r>
            <w:r>
              <w:rPr>
                <w:rFonts w:hint="eastAsia"/>
                <w:color w:val="auto"/>
              </w:rPr>
              <w:t>小时内提供备用设备，以确保采购人数字法庭系统的正常运行。</w:t>
            </w:r>
          </w:p>
          <w:p w14:paraId="4B520065">
            <w:pPr>
              <w:keepNext w:val="0"/>
              <w:keepLines w:val="0"/>
              <w:pageBreakBefore w:val="0"/>
              <w:widowControl w:val="0"/>
              <w:kinsoku/>
              <w:wordWrap/>
              <w:overflowPunct/>
              <w:topLinePunct w:val="0"/>
              <w:autoSpaceDE/>
              <w:autoSpaceDN/>
              <w:bidi w:val="0"/>
              <w:adjustRightInd/>
              <w:snapToGrid/>
              <w:spacing w:line="336" w:lineRule="auto"/>
              <w:textAlignment w:val="auto"/>
              <w:rPr>
                <w:rFonts w:hint="eastAsia"/>
                <w:color w:val="auto"/>
                <w:lang w:val="zh-CN"/>
              </w:rPr>
            </w:pPr>
            <w:r>
              <w:rPr>
                <w:rFonts w:hint="eastAsia"/>
                <w:color w:val="auto"/>
              </w:rPr>
              <w:t>2</w:t>
            </w:r>
            <w:r>
              <w:rPr>
                <w:rFonts w:hint="eastAsia"/>
                <w:color w:val="auto"/>
                <w:lang w:val="en-US" w:eastAsia="zh-CN"/>
              </w:rPr>
              <w:t>.</w:t>
            </w:r>
            <w:r>
              <w:rPr>
                <w:rFonts w:hint="eastAsia"/>
                <w:color w:val="auto"/>
                <w:lang w:val="zh-CN"/>
              </w:rPr>
              <w:t>中标人须对合同中规定的整套设备提供设备通过最终验收合格次日起至少</w:t>
            </w:r>
            <w:r>
              <w:rPr>
                <w:rFonts w:hint="eastAsia"/>
                <w:color w:val="auto"/>
              </w:rPr>
              <w:t>3年</w:t>
            </w:r>
            <w:r>
              <w:rPr>
                <w:rFonts w:hint="eastAsia"/>
                <w:color w:val="auto"/>
                <w:lang w:val="zh-CN"/>
              </w:rPr>
              <w:t>的原厂质保</w:t>
            </w:r>
            <w:r>
              <w:rPr>
                <w:rFonts w:hint="eastAsia"/>
                <w:b/>
                <w:bCs/>
                <w:color w:val="auto"/>
                <w:lang w:val="zh-CN"/>
              </w:rPr>
              <w:t>。</w:t>
            </w:r>
            <w:r>
              <w:rPr>
                <w:rFonts w:hint="eastAsia"/>
                <w:color w:val="auto"/>
                <w:lang w:val="zh-CN"/>
              </w:rPr>
              <w:t>质保期内因不能排除的故障而影响工作的情况每发生一次，其质保期相应延长60天，质保期内因货物本身缺陷造成各种故障应由中标人免费予以更换，否则将扣除</w:t>
            </w:r>
            <w:r>
              <w:rPr>
                <w:rFonts w:hint="eastAsia"/>
                <w:color w:val="auto"/>
              </w:rPr>
              <w:t>违约金</w:t>
            </w:r>
            <w:r>
              <w:rPr>
                <w:rFonts w:hint="eastAsia"/>
                <w:color w:val="auto"/>
                <w:lang w:val="zh-CN"/>
              </w:rPr>
              <w:t>作为对采购人的补偿。</w:t>
            </w:r>
          </w:p>
          <w:p w14:paraId="57C1B8E3">
            <w:pPr>
              <w:keepNext w:val="0"/>
              <w:keepLines w:val="0"/>
              <w:pageBreakBefore w:val="0"/>
              <w:widowControl w:val="0"/>
              <w:kinsoku/>
              <w:wordWrap/>
              <w:overflowPunct/>
              <w:topLinePunct w:val="0"/>
              <w:autoSpaceDE/>
              <w:autoSpaceDN/>
              <w:bidi w:val="0"/>
              <w:adjustRightInd/>
              <w:snapToGrid/>
              <w:spacing w:line="336" w:lineRule="auto"/>
              <w:textAlignment w:val="auto"/>
              <w:rPr>
                <w:rFonts w:hint="eastAsia"/>
                <w:color w:val="auto"/>
                <w:lang w:val="zh-CN"/>
              </w:rPr>
            </w:pPr>
            <w:r>
              <w:rPr>
                <w:rFonts w:hint="eastAsia"/>
                <w:color w:val="auto"/>
              </w:rPr>
              <w:t>3</w:t>
            </w:r>
            <w:r>
              <w:rPr>
                <w:rFonts w:hint="eastAsia"/>
                <w:color w:val="auto"/>
                <w:lang w:val="en-US" w:eastAsia="zh-CN"/>
              </w:rPr>
              <w:t>.</w:t>
            </w:r>
            <w:r>
              <w:rPr>
                <w:rFonts w:hint="eastAsia"/>
                <w:color w:val="auto"/>
                <w:lang w:val="zh-CN"/>
              </w:rPr>
              <w:t>质保期内的工作应包括对所有常规检查、调整和维修。保修期内所有工作费用免费，保修期后为采购人提供一套完整的运行记录。</w:t>
            </w:r>
          </w:p>
          <w:p w14:paraId="716FA420">
            <w:pPr>
              <w:keepNext w:val="0"/>
              <w:keepLines w:val="0"/>
              <w:pageBreakBefore w:val="0"/>
              <w:widowControl w:val="0"/>
              <w:kinsoku/>
              <w:wordWrap/>
              <w:overflowPunct/>
              <w:topLinePunct w:val="0"/>
              <w:autoSpaceDE/>
              <w:autoSpaceDN/>
              <w:bidi w:val="0"/>
              <w:adjustRightInd/>
              <w:snapToGrid/>
              <w:spacing w:line="336" w:lineRule="auto"/>
              <w:textAlignment w:val="auto"/>
              <w:rPr>
                <w:rFonts w:hint="eastAsia"/>
                <w:color w:val="auto"/>
                <w:lang w:val="zh-CN"/>
              </w:rPr>
            </w:pPr>
            <w:r>
              <w:rPr>
                <w:rFonts w:hint="eastAsia"/>
                <w:color w:val="auto"/>
              </w:rPr>
              <w:t>4</w:t>
            </w:r>
            <w:r>
              <w:rPr>
                <w:rFonts w:hint="eastAsia"/>
                <w:color w:val="auto"/>
                <w:lang w:val="en-US" w:eastAsia="zh-CN"/>
              </w:rPr>
              <w:t>.</w:t>
            </w:r>
            <w:r>
              <w:rPr>
                <w:rFonts w:hint="eastAsia"/>
                <w:color w:val="auto"/>
                <w:lang w:val="zh-CN"/>
              </w:rPr>
              <w:t>质保期内中标人须自行付费，负责修理和替换任何由于设备自身的质量问题造成的损坏及故障。</w:t>
            </w:r>
          </w:p>
          <w:p w14:paraId="7E5CCD34">
            <w:pPr>
              <w:keepNext w:val="0"/>
              <w:keepLines w:val="0"/>
              <w:pageBreakBefore w:val="0"/>
              <w:widowControl w:val="0"/>
              <w:kinsoku/>
              <w:wordWrap/>
              <w:overflowPunct/>
              <w:topLinePunct w:val="0"/>
              <w:autoSpaceDE/>
              <w:autoSpaceDN/>
              <w:bidi w:val="0"/>
              <w:adjustRightInd/>
              <w:snapToGrid/>
              <w:spacing w:line="336" w:lineRule="auto"/>
              <w:textAlignment w:val="auto"/>
              <w:rPr>
                <w:color w:val="auto"/>
              </w:rPr>
            </w:pPr>
            <w:r>
              <w:rPr>
                <w:rFonts w:hint="eastAsia"/>
                <w:color w:val="auto"/>
              </w:rPr>
              <w:t>5</w:t>
            </w:r>
            <w:r>
              <w:rPr>
                <w:rFonts w:hint="eastAsia"/>
                <w:color w:val="auto"/>
                <w:lang w:val="en-US" w:eastAsia="zh-CN"/>
              </w:rPr>
              <w:t>.</w:t>
            </w:r>
            <w:r>
              <w:rPr>
                <w:rFonts w:hint="eastAsia" w:ascii="宋体" w:hAnsi="宋体" w:cs="宋体"/>
                <w:color w:val="auto"/>
                <w:szCs w:val="21"/>
              </w:rPr>
              <w:t>质保期满后，仅收取零配件成本费用，免人工费。</w:t>
            </w:r>
          </w:p>
        </w:tc>
      </w:tr>
      <w:tr w14:paraId="70456D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523" w:type="dxa"/>
            <w:tcBorders>
              <w:top w:val="single" w:color="auto" w:sz="4" w:space="0"/>
              <w:bottom w:val="single" w:color="auto" w:sz="4" w:space="0"/>
              <w:right w:val="single" w:color="auto" w:sz="4" w:space="0"/>
            </w:tcBorders>
            <w:noWrap w:val="0"/>
            <w:vAlign w:val="center"/>
          </w:tcPr>
          <w:p w14:paraId="298FEE71">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default" w:ascii="宋体" w:hAnsi="宋体" w:eastAsia="宋体" w:cs="宋体"/>
                <w:color w:val="auto"/>
                <w:lang w:val="en-US" w:eastAsia="zh-CN"/>
              </w:rPr>
            </w:pPr>
            <w:r>
              <w:rPr>
                <w:rFonts w:hint="eastAsia" w:ascii="宋体" w:hAnsi="宋体" w:cs="宋体"/>
                <w:color w:val="auto"/>
                <w:lang w:val="en-US" w:eastAsia="zh-CN"/>
              </w:rPr>
              <w:t>安全要求</w:t>
            </w:r>
          </w:p>
        </w:tc>
        <w:tc>
          <w:tcPr>
            <w:tcW w:w="8016" w:type="dxa"/>
            <w:tcBorders>
              <w:top w:val="single" w:color="auto" w:sz="4" w:space="0"/>
              <w:left w:val="single" w:color="auto" w:sz="4" w:space="0"/>
              <w:bottom w:val="single" w:color="auto" w:sz="4" w:space="0"/>
            </w:tcBorders>
            <w:noWrap w:val="0"/>
            <w:vAlign w:val="center"/>
          </w:tcPr>
          <w:p w14:paraId="68C78B7E">
            <w:pPr>
              <w:keepNext w:val="0"/>
              <w:keepLines w:val="0"/>
              <w:pageBreakBefore w:val="0"/>
              <w:widowControl w:val="0"/>
              <w:kinsoku/>
              <w:wordWrap/>
              <w:overflowPunct/>
              <w:topLinePunct w:val="0"/>
              <w:autoSpaceDE/>
              <w:autoSpaceDN/>
              <w:bidi w:val="0"/>
              <w:adjustRightInd/>
              <w:snapToGrid/>
              <w:spacing w:line="336" w:lineRule="auto"/>
              <w:textAlignment w:val="auto"/>
              <w:rPr>
                <w:rFonts w:hint="eastAsia"/>
                <w:color w:val="auto"/>
              </w:rPr>
            </w:pPr>
            <w:r>
              <w:rPr>
                <w:rFonts w:hint="eastAsia"/>
                <w:color w:val="auto"/>
              </w:rPr>
              <w:t>符合法院行业安全相关要求；</w:t>
            </w:r>
          </w:p>
        </w:tc>
      </w:tr>
      <w:tr w14:paraId="72F752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523" w:type="dxa"/>
            <w:tcBorders>
              <w:top w:val="single" w:color="auto" w:sz="4" w:space="0"/>
              <w:bottom w:val="single" w:color="auto" w:sz="4" w:space="0"/>
              <w:right w:val="single" w:color="auto" w:sz="4" w:space="0"/>
            </w:tcBorders>
            <w:noWrap w:val="0"/>
            <w:vAlign w:val="center"/>
          </w:tcPr>
          <w:p w14:paraId="32176E2E">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ascii="宋体" w:hAnsi="宋体" w:cs="宋体"/>
                <w:color w:val="auto"/>
              </w:rPr>
            </w:pPr>
            <w:r>
              <w:rPr>
                <w:rFonts w:hint="eastAsia" w:ascii="宋体" w:hAnsi="宋体" w:cs="宋体"/>
                <w:color w:val="auto"/>
              </w:rPr>
              <w:t>培训要求</w:t>
            </w:r>
          </w:p>
        </w:tc>
        <w:tc>
          <w:tcPr>
            <w:tcW w:w="8016" w:type="dxa"/>
            <w:tcBorders>
              <w:top w:val="single" w:color="auto" w:sz="4" w:space="0"/>
              <w:left w:val="single" w:color="auto" w:sz="4" w:space="0"/>
              <w:bottom w:val="single" w:color="auto" w:sz="4" w:space="0"/>
            </w:tcBorders>
            <w:noWrap w:val="0"/>
            <w:vAlign w:val="center"/>
          </w:tcPr>
          <w:p w14:paraId="6D08358C">
            <w:pPr>
              <w:keepNext w:val="0"/>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cs="宋体"/>
                <w:color w:val="auto"/>
                <w:szCs w:val="21"/>
                <w:lang w:val="zh-CN"/>
              </w:rPr>
            </w:pPr>
            <w:r>
              <w:rPr>
                <w:rFonts w:hint="eastAsia" w:ascii="宋体" w:hAnsi="宋体" w:cs="宋体"/>
                <w:color w:val="auto"/>
                <w:szCs w:val="21"/>
                <w:lang w:val="zh-CN"/>
              </w:rPr>
              <w:t>1</w:t>
            </w:r>
            <w:r>
              <w:rPr>
                <w:rFonts w:hint="eastAsia" w:ascii="宋体" w:hAnsi="宋体" w:cs="宋体"/>
                <w:color w:val="auto"/>
                <w:szCs w:val="21"/>
                <w:lang w:val="en-US" w:eastAsia="zh-CN"/>
              </w:rPr>
              <w:t>.</w:t>
            </w:r>
            <w:r>
              <w:rPr>
                <w:rFonts w:hint="eastAsia" w:ascii="宋体" w:hAnsi="宋体" w:cs="宋体"/>
                <w:color w:val="auto"/>
                <w:szCs w:val="21"/>
                <w:lang w:val="zh-CN"/>
              </w:rPr>
              <w:t>培训：</w:t>
            </w:r>
          </w:p>
          <w:p w14:paraId="59976B19">
            <w:pPr>
              <w:keepNext w:val="0"/>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cs="宋体"/>
                <w:color w:val="auto"/>
                <w:szCs w:val="21"/>
                <w:lang w:val="zh-CN"/>
              </w:rPr>
            </w:pPr>
            <w:r>
              <w:rPr>
                <w:rFonts w:hint="eastAsia" w:ascii="宋体" w:hAnsi="宋体" w:cs="宋体"/>
                <w:color w:val="auto"/>
                <w:szCs w:val="21"/>
                <w:lang w:val="zh-CN"/>
              </w:rPr>
              <w:t>1.1投标人应对招标人提供相应的培训计划并免费进行培训，使之能够独立操作和进行日常维护，独立排除可能的所有软件故障和常见的硬件故障，</w:t>
            </w:r>
            <w:r>
              <w:rPr>
                <w:color w:val="auto"/>
                <w:spacing w:val="-6"/>
                <w:szCs w:val="21"/>
              </w:rPr>
              <w:t>不少于2次免费上门培训，</w:t>
            </w:r>
            <w:r>
              <w:rPr>
                <w:rFonts w:hint="eastAsia" w:ascii="宋体" w:hAnsi="宋体" w:cs="宋体"/>
                <w:color w:val="auto"/>
                <w:szCs w:val="21"/>
                <w:lang w:val="zh-CN"/>
              </w:rPr>
              <w:t>免费</w:t>
            </w:r>
            <w:r>
              <w:rPr>
                <w:rFonts w:hint="eastAsia" w:ascii="宋体" w:hAnsi="宋体" w:cs="宋体"/>
                <w:color w:val="auto"/>
                <w:szCs w:val="21"/>
                <w:lang w:val="en-US" w:eastAsia="zh-CN"/>
              </w:rPr>
              <w:t>提供</w:t>
            </w:r>
            <w:r>
              <w:rPr>
                <w:rFonts w:hint="eastAsia" w:ascii="宋体" w:hAnsi="宋体" w:cs="宋体"/>
                <w:color w:val="auto"/>
                <w:szCs w:val="21"/>
                <w:lang w:val="zh-CN"/>
              </w:rPr>
              <w:t>系统升级服务，保障系统与法院现有业务系统无缝对接；</w:t>
            </w:r>
            <w:r>
              <w:rPr>
                <w:color w:val="auto"/>
                <w:spacing w:val="-6"/>
                <w:szCs w:val="21"/>
              </w:rPr>
              <w:t>参与培训的人员由采购人安排。</w:t>
            </w:r>
          </w:p>
          <w:p w14:paraId="783B3A1A">
            <w:pPr>
              <w:keepNext w:val="0"/>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cs="宋体"/>
                <w:color w:val="auto"/>
                <w:szCs w:val="21"/>
                <w:lang w:val="zh-CN"/>
              </w:rPr>
            </w:pPr>
            <w:r>
              <w:rPr>
                <w:rFonts w:hint="eastAsia" w:ascii="宋体" w:hAnsi="宋体" w:cs="宋体"/>
                <w:color w:val="auto"/>
                <w:szCs w:val="21"/>
                <w:lang w:val="zh-CN"/>
              </w:rPr>
              <w:t>1.2采购人有权要求更换中标人指派的不合格技术人员，由此产生的费用由中标人承担。</w:t>
            </w:r>
          </w:p>
          <w:p w14:paraId="176969DA">
            <w:pPr>
              <w:keepNext w:val="0"/>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cs="宋体"/>
                <w:color w:val="auto"/>
                <w:szCs w:val="21"/>
                <w:lang w:val="zh-CN"/>
              </w:rPr>
            </w:pPr>
            <w:r>
              <w:rPr>
                <w:rFonts w:hint="eastAsia" w:ascii="宋体" w:hAnsi="宋体" w:cs="宋体"/>
                <w:color w:val="auto"/>
                <w:szCs w:val="21"/>
                <w:lang w:val="zh-CN"/>
              </w:rPr>
              <w:t>1.3投标人应对上述内容的实现方式、地点、人数、时间在投标文件中详细说明。</w:t>
            </w:r>
          </w:p>
          <w:p w14:paraId="077BAA3A">
            <w:pPr>
              <w:keepNext w:val="0"/>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cs="宋体"/>
                <w:color w:val="auto"/>
                <w:szCs w:val="21"/>
                <w:lang w:val="zh-CN"/>
              </w:rPr>
            </w:pPr>
            <w:r>
              <w:rPr>
                <w:rFonts w:hint="eastAsia" w:ascii="宋体" w:hAnsi="宋体" w:cs="宋体"/>
                <w:color w:val="auto"/>
                <w:szCs w:val="21"/>
                <w:lang w:val="zh-CN"/>
              </w:rPr>
              <w:t>2</w:t>
            </w:r>
            <w:r>
              <w:rPr>
                <w:rFonts w:hint="eastAsia" w:ascii="宋体" w:hAnsi="宋体" w:cs="宋体"/>
                <w:color w:val="auto"/>
                <w:szCs w:val="21"/>
                <w:lang w:val="en-US" w:eastAsia="zh-CN"/>
              </w:rPr>
              <w:t>.</w:t>
            </w:r>
            <w:r>
              <w:rPr>
                <w:rFonts w:hint="eastAsia" w:ascii="宋体" w:hAnsi="宋体" w:cs="宋体"/>
                <w:color w:val="auto"/>
                <w:szCs w:val="21"/>
                <w:lang w:val="zh-CN"/>
              </w:rPr>
              <w:t>技术支持：</w:t>
            </w:r>
          </w:p>
          <w:p w14:paraId="4163F54B">
            <w:pPr>
              <w:keepNext w:val="0"/>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cs="宋体"/>
                <w:color w:val="auto"/>
                <w:szCs w:val="21"/>
                <w:lang w:val="zh-CN"/>
              </w:rPr>
            </w:pPr>
            <w:r>
              <w:rPr>
                <w:rFonts w:hint="eastAsia" w:ascii="宋体" w:hAnsi="宋体" w:cs="宋体"/>
                <w:color w:val="auto"/>
                <w:szCs w:val="21"/>
                <w:lang w:val="zh-CN"/>
              </w:rPr>
              <w:t>中标人应及时免费提供合同货物新功能和应用的资料。</w:t>
            </w:r>
          </w:p>
          <w:p w14:paraId="5F4427E8">
            <w:pPr>
              <w:keepNext w:val="0"/>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cs="宋体"/>
                <w:color w:val="auto"/>
                <w:szCs w:val="21"/>
                <w:lang w:val="zh-CN"/>
              </w:rPr>
            </w:pPr>
            <w:r>
              <w:rPr>
                <w:rFonts w:hint="eastAsia" w:ascii="宋体" w:hAnsi="宋体" w:cs="宋体"/>
                <w:color w:val="auto"/>
                <w:szCs w:val="21"/>
                <w:lang w:val="zh-CN"/>
              </w:rPr>
              <w:t>3</w:t>
            </w:r>
            <w:r>
              <w:rPr>
                <w:rFonts w:hint="eastAsia" w:ascii="宋体" w:hAnsi="宋体" w:cs="宋体"/>
                <w:color w:val="auto"/>
                <w:szCs w:val="21"/>
                <w:lang w:val="en-US" w:eastAsia="zh-CN"/>
              </w:rPr>
              <w:t>.</w:t>
            </w:r>
            <w:r>
              <w:rPr>
                <w:rFonts w:hint="eastAsia" w:ascii="宋体" w:hAnsi="宋体" w:cs="宋体"/>
                <w:color w:val="auto"/>
                <w:szCs w:val="21"/>
                <w:lang w:val="zh-CN"/>
              </w:rPr>
              <w:t>安装调试：</w:t>
            </w:r>
          </w:p>
          <w:p w14:paraId="3DC87CC5">
            <w:pPr>
              <w:keepNext w:val="0"/>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cs="宋体"/>
                <w:color w:val="auto"/>
                <w:szCs w:val="21"/>
                <w:lang w:val="zh-CN"/>
              </w:rPr>
            </w:pPr>
            <w:r>
              <w:rPr>
                <w:rFonts w:hint="eastAsia" w:ascii="宋体" w:hAnsi="宋体" w:cs="宋体"/>
                <w:color w:val="auto"/>
                <w:szCs w:val="21"/>
                <w:lang w:val="zh-CN"/>
              </w:rPr>
              <w:t>3.1安装地点：招标人指定地点。</w:t>
            </w:r>
          </w:p>
          <w:p w14:paraId="260EFDD3">
            <w:pPr>
              <w:keepNext w:val="0"/>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cs="宋体"/>
                <w:color w:val="auto"/>
                <w:szCs w:val="21"/>
                <w:lang w:val="zh-CN"/>
              </w:rPr>
            </w:pPr>
            <w:r>
              <w:rPr>
                <w:rFonts w:hint="eastAsia" w:ascii="宋体" w:hAnsi="宋体" w:cs="宋体"/>
                <w:color w:val="auto"/>
                <w:szCs w:val="21"/>
                <w:lang w:val="zh-CN"/>
              </w:rPr>
              <w:t>3.2安装标准：符合我国国家有关技术规范要求和技术标准，所有的硬件必须保证同时安装到位。</w:t>
            </w:r>
          </w:p>
          <w:p w14:paraId="3E995448">
            <w:pPr>
              <w:keepNext w:val="0"/>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cs="宋体"/>
                <w:color w:val="auto"/>
                <w:szCs w:val="21"/>
                <w:lang w:val="zh-CN"/>
              </w:rPr>
            </w:pPr>
            <w:r>
              <w:rPr>
                <w:rFonts w:hint="eastAsia" w:ascii="宋体" w:hAnsi="宋体" w:cs="宋体"/>
                <w:color w:val="auto"/>
                <w:szCs w:val="21"/>
                <w:lang w:val="zh-CN"/>
              </w:rPr>
              <w:t>3.3中标人免费提供合同货物的安装服务。</w:t>
            </w:r>
          </w:p>
          <w:p w14:paraId="3B10E404">
            <w:pPr>
              <w:keepNext w:val="0"/>
              <w:keepLines w:val="0"/>
              <w:pageBreakBefore w:val="0"/>
              <w:widowControl w:val="0"/>
              <w:kinsoku/>
              <w:wordWrap/>
              <w:overflowPunct/>
              <w:topLinePunct w:val="0"/>
              <w:autoSpaceDE/>
              <w:autoSpaceDN/>
              <w:bidi w:val="0"/>
              <w:adjustRightInd/>
              <w:snapToGrid/>
              <w:spacing w:line="336" w:lineRule="auto"/>
              <w:textAlignment w:val="auto"/>
              <w:rPr>
                <w:rFonts w:ascii="宋体" w:hAnsi="宋体" w:cs="宋体"/>
                <w:color w:val="auto"/>
                <w:szCs w:val="22"/>
              </w:rPr>
            </w:pPr>
            <w:r>
              <w:rPr>
                <w:rFonts w:hint="eastAsia" w:ascii="宋体" w:hAnsi="宋体" w:cs="宋体"/>
                <w:color w:val="auto"/>
                <w:szCs w:val="21"/>
                <w:lang w:val="zh-CN"/>
              </w:rPr>
              <w:t>3.4中标人在投标文件中应提供安装调试计划、对安装场地和环境的要求。</w:t>
            </w:r>
          </w:p>
        </w:tc>
      </w:tr>
      <w:tr w14:paraId="30086E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523" w:type="dxa"/>
            <w:tcBorders>
              <w:top w:val="single" w:color="auto" w:sz="4" w:space="0"/>
              <w:bottom w:val="single" w:color="auto" w:sz="4" w:space="0"/>
              <w:right w:val="single" w:color="auto" w:sz="4" w:space="0"/>
            </w:tcBorders>
            <w:noWrap w:val="0"/>
            <w:vAlign w:val="center"/>
          </w:tcPr>
          <w:p w14:paraId="659B9CBA">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ascii="宋体" w:hAnsi="宋体" w:cs="宋体"/>
                <w:color w:val="auto"/>
                <w:szCs w:val="21"/>
              </w:rPr>
            </w:pPr>
            <w:r>
              <w:rPr>
                <w:rFonts w:hint="eastAsia" w:ascii="宋体" w:hAnsi="宋体" w:cs="宋体"/>
                <w:color w:val="auto"/>
                <w:szCs w:val="21"/>
              </w:rPr>
              <w:t>产品要求</w:t>
            </w:r>
          </w:p>
        </w:tc>
        <w:tc>
          <w:tcPr>
            <w:tcW w:w="8016" w:type="dxa"/>
            <w:tcBorders>
              <w:top w:val="single" w:color="auto" w:sz="4" w:space="0"/>
              <w:left w:val="single" w:color="auto" w:sz="4" w:space="0"/>
              <w:bottom w:val="single" w:color="auto" w:sz="4" w:space="0"/>
            </w:tcBorders>
            <w:noWrap w:val="0"/>
            <w:vAlign w:val="center"/>
          </w:tcPr>
          <w:p w14:paraId="7127CB24">
            <w:pPr>
              <w:keepNext w:val="0"/>
              <w:keepLines w:val="0"/>
              <w:pageBreakBefore w:val="0"/>
              <w:widowControl w:val="0"/>
              <w:kinsoku/>
              <w:wordWrap/>
              <w:overflowPunct/>
              <w:topLinePunct w:val="0"/>
              <w:autoSpaceDE/>
              <w:autoSpaceDN/>
              <w:bidi w:val="0"/>
              <w:adjustRightInd/>
              <w:snapToGrid/>
              <w:spacing w:line="336" w:lineRule="auto"/>
              <w:textAlignment w:val="auto"/>
              <w:rPr>
                <w:rFonts w:ascii="宋体" w:hAnsi="宋体" w:cs="宋体"/>
                <w:color w:val="auto"/>
                <w:szCs w:val="22"/>
              </w:rPr>
            </w:pPr>
            <w:r>
              <w:rPr>
                <w:rFonts w:hint="eastAsia" w:ascii="宋体" w:hAnsi="宋体" w:cs="宋体"/>
                <w:color w:val="auto"/>
                <w:szCs w:val="22"/>
              </w:rPr>
              <w:t>供应商所供应的产品及其所有部件必须是全新原装最新合格产品,在中国境内采购人拥有合法的产权和使用权。如发生产品与合同不符,采购人有权拒收或退货,由此产生的一切责任和后果由供应商承担。</w:t>
            </w:r>
          </w:p>
        </w:tc>
      </w:tr>
      <w:tr w14:paraId="3D84E4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523" w:type="dxa"/>
            <w:tcBorders>
              <w:top w:val="single" w:color="auto" w:sz="4" w:space="0"/>
              <w:bottom w:val="single" w:color="auto" w:sz="4" w:space="0"/>
              <w:right w:val="single" w:color="auto" w:sz="4" w:space="0"/>
            </w:tcBorders>
            <w:noWrap w:val="0"/>
            <w:vAlign w:val="center"/>
          </w:tcPr>
          <w:p w14:paraId="549D598F">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ascii="宋体" w:hAnsi="宋体" w:cs="宋体"/>
                <w:color w:val="auto"/>
                <w:szCs w:val="21"/>
              </w:rPr>
            </w:pPr>
            <w:r>
              <w:rPr>
                <w:rFonts w:hint="eastAsia" w:ascii="宋体" w:hAnsi="宋体" w:cs="宋体"/>
                <w:color w:val="auto"/>
                <w:szCs w:val="21"/>
              </w:rPr>
              <w:t>其他</w:t>
            </w:r>
          </w:p>
        </w:tc>
        <w:tc>
          <w:tcPr>
            <w:tcW w:w="8016" w:type="dxa"/>
            <w:tcBorders>
              <w:top w:val="single" w:color="auto" w:sz="4" w:space="0"/>
              <w:left w:val="single" w:color="auto" w:sz="4" w:space="0"/>
              <w:bottom w:val="single" w:color="auto" w:sz="4" w:space="0"/>
            </w:tcBorders>
            <w:noWrap w:val="0"/>
            <w:vAlign w:val="center"/>
          </w:tcPr>
          <w:p w14:paraId="4F2EF163">
            <w:pPr>
              <w:keepNext w:val="0"/>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cs="宋体"/>
                <w:color w:val="auto"/>
                <w:szCs w:val="21"/>
                <w:lang w:val="zh-CN"/>
              </w:rPr>
            </w:pPr>
            <w:r>
              <w:rPr>
                <w:rFonts w:hint="eastAsia" w:ascii="宋体" w:hAnsi="宋体" w:cs="宋体"/>
                <w:color w:val="auto"/>
                <w:szCs w:val="21"/>
                <w:lang w:val="zh-CN"/>
              </w:rPr>
              <w:t>1.中标人如不遵守招标文件或投标文件各项条款的邀约与要约，或在接到中标通知书后借故拖延，拒签合同的，采购人将按《浙江省政府采购供应商注册及诚信管理暂行办法》的规定上报诚信状况。给采购人造成的损失的还应当予以赔偿。</w:t>
            </w:r>
          </w:p>
          <w:p w14:paraId="788BFCD2">
            <w:pPr>
              <w:keepNext w:val="0"/>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cs="宋体"/>
                <w:color w:val="auto"/>
                <w:szCs w:val="21"/>
                <w:lang w:val="zh-CN"/>
              </w:rPr>
            </w:pPr>
            <w:r>
              <w:rPr>
                <w:rFonts w:hint="eastAsia" w:ascii="宋体" w:hAnsi="宋体" w:cs="宋体"/>
                <w:color w:val="auto"/>
                <w:szCs w:val="21"/>
                <w:lang w:val="zh-CN"/>
              </w:rPr>
              <w:t>2.中标人必须负责将产品运输至采购人指定的地点，运输费及保险费等一切费用由中标人承担。产品在验收合格之前所有风险由中标人承担。如在运输、搬运、安装过程中造成货物损坏，采购人有权不签收并由中标人承担相应经济损失，因搬运或安装过程中造成采购人范围内物品损坏，采购人有权从中标人货款中直接扣除相应赔偿金额。</w:t>
            </w:r>
          </w:p>
          <w:p w14:paraId="610E5B0E">
            <w:pPr>
              <w:keepNext w:val="0"/>
              <w:keepLines w:val="0"/>
              <w:pageBreakBefore w:val="0"/>
              <w:widowControl w:val="0"/>
              <w:kinsoku/>
              <w:wordWrap/>
              <w:overflowPunct/>
              <w:topLinePunct w:val="0"/>
              <w:autoSpaceDE/>
              <w:autoSpaceDN/>
              <w:bidi w:val="0"/>
              <w:adjustRightInd/>
              <w:snapToGrid/>
              <w:spacing w:line="336" w:lineRule="auto"/>
              <w:textAlignment w:val="auto"/>
              <w:rPr>
                <w:rFonts w:ascii="宋体" w:hAnsi="宋体" w:cs="宋体"/>
                <w:color w:val="auto"/>
                <w:szCs w:val="22"/>
              </w:rPr>
            </w:pPr>
            <w:r>
              <w:rPr>
                <w:rFonts w:hint="eastAsia" w:ascii="宋体" w:hAnsi="宋体" w:cs="宋体"/>
                <w:color w:val="auto"/>
                <w:szCs w:val="21"/>
                <w:lang w:val="zh-CN"/>
              </w:rPr>
              <w:t>3.在采购及合同执行过程中，供应商应承担由于其行为所造成的人身伤害、财产损失或损坏的责任，无论何种原因所造成，采购人均不负责。</w:t>
            </w:r>
          </w:p>
        </w:tc>
      </w:tr>
    </w:tbl>
    <w:p w14:paraId="3C23C715">
      <w:pPr>
        <w:widowControl/>
        <w:numPr>
          <w:ilvl w:val="0"/>
          <w:numId w:val="2"/>
        </w:numPr>
        <w:spacing w:line="360" w:lineRule="auto"/>
        <w:jc w:val="left"/>
        <w:rPr>
          <w:rFonts w:hint="eastAsia" w:ascii="宋体" w:hAnsi="宋体" w:eastAsia="宋体" w:cs="宋体"/>
          <w:b/>
          <w:bCs/>
          <w:color w:val="auto"/>
          <w:sz w:val="21"/>
          <w:szCs w:val="21"/>
          <w:highlight w:val="none"/>
        </w:rPr>
      </w:pPr>
      <w:r>
        <w:rPr>
          <w:rFonts w:ascii="宋体"/>
          <w:color w:val="auto"/>
          <w:sz w:val="24"/>
          <w:szCs w:val="24"/>
          <w:highlight w:val="none"/>
        </w:rPr>
        <w:br w:type="page"/>
      </w:r>
      <w:r>
        <w:rPr>
          <w:rFonts w:hint="eastAsia" w:ascii="宋体" w:hAnsi="宋体" w:eastAsia="宋体" w:cs="宋体"/>
          <w:b/>
          <w:bCs/>
          <w:color w:val="auto"/>
          <w:sz w:val="21"/>
          <w:szCs w:val="21"/>
          <w:highlight w:val="none"/>
        </w:rPr>
        <w:t>技术要求</w:t>
      </w:r>
    </w:p>
    <w:p w14:paraId="480E4743">
      <w:pPr>
        <w:spacing w:line="360" w:lineRule="auto"/>
        <w:ind w:firstLine="420" w:firstLineChars="200"/>
        <w:jc w:val="left"/>
        <w:rPr>
          <w:rFonts w:hint="eastAsia" w:ascii="宋体" w:hAnsi="宋体" w:eastAsia="宋体" w:cs="宋体"/>
          <w:color w:val="000000" w:themeColor="text1"/>
          <w:sz w:val="21"/>
          <w:szCs w:val="21"/>
          <w14:textFill>
            <w14:solidFill>
              <w14:schemeClr w14:val="tx1"/>
            </w14:solidFill>
          </w14:textFill>
        </w:rPr>
      </w:pPr>
      <w:bookmarkStart w:id="48" w:name="_Toc136345093"/>
      <w:bookmarkStart w:id="49" w:name="_Toc136017645"/>
      <w:bookmarkStart w:id="50" w:name="_Toc141797672"/>
      <w:r>
        <w:rPr>
          <w:rFonts w:hint="eastAsia" w:ascii="宋体" w:hAnsi="宋体" w:eastAsia="宋体" w:cs="宋体"/>
          <w:b/>
          <w:bCs/>
          <w:color w:val="000000" w:themeColor="text1"/>
          <w:sz w:val="21"/>
          <w:szCs w:val="21"/>
          <w:lang w:val="en-US" w:eastAsia="zh-CN"/>
          <w14:textFill>
            <w14:solidFill>
              <w14:schemeClr w14:val="tx1"/>
            </w14:solidFill>
          </w14:textFill>
        </w:rPr>
        <w:t>(一）</w:t>
      </w:r>
      <w:r>
        <w:rPr>
          <w:rFonts w:hint="eastAsia" w:ascii="宋体" w:hAnsi="宋体" w:eastAsia="宋体" w:cs="宋体"/>
          <w:b/>
          <w:bCs/>
          <w:color w:val="000000" w:themeColor="text1"/>
          <w:sz w:val="21"/>
          <w:szCs w:val="21"/>
          <w14:textFill>
            <w14:solidFill>
              <w14:schemeClr w14:val="tx1"/>
            </w14:solidFill>
          </w14:textFill>
        </w:rPr>
        <w:t>项目建设内容</w:t>
      </w:r>
    </w:p>
    <w:p w14:paraId="1FFD914E">
      <w:pPr>
        <w:spacing w:line="360" w:lineRule="auto"/>
        <w:ind w:firstLine="420" w:firstLineChars="20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建设内容：审前调解指导中心新建2间数字法庭，主要包括庭审主机子系统、视频子系统、扩音子系统、显示子系统、庭审公告屏子系统，互联网庭审子系统、庭审录音备份子系统、数字法庭综合布线子系统、以及配套设备等。</w:t>
      </w:r>
    </w:p>
    <w:p w14:paraId="14A264B1">
      <w:pPr>
        <w:spacing w:line="360" w:lineRule="auto"/>
        <w:ind w:firstLine="420" w:firstLineChars="200"/>
        <w:jc w:val="left"/>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w:t>
      </w:r>
      <w:r>
        <w:rPr>
          <w:rFonts w:hint="eastAsia" w:ascii="宋体" w:hAnsi="宋体" w:cs="宋体"/>
          <w:b/>
          <w:bCs/>
          <w:color w:val="000000" w:themeColor="text1"/>
          <w:sz w:val="21"/>
          <w:szCs w:val="21"/>
          <w:lang w:val="en-US" w:eastAsia="zh-CN"/>
          <w14:textFill>
            <w14:solidFill>
              <w14:schemeClr w14:val="tx1"/>
            </w14:solidFill>
          </w14:textFill>
        </w:rPr>
        <w:t>二</w:t>
      </w:r>
      <w:r>
        <w:rPr>
          <w:rFonts w:hint="eastAsia" w:ascii="宋体" w:hAnsi="宋体" w:eastAsia="宋体" w:cs="宋体"/>
          <w:b/>
          <w:bCs/>
          <w:color w:val="000000" w:themeColor="text1"/>
          <w:sz w:val="21"/>
          <w:szCs w:val="21"/>
          <w:lang w:val="en-US" w:eastAsia="zh-CN"/>
          <w14:textFill>
            <w14:solidFill>
              <w14:schemeClr w14:val="tx1"/>
            </w14:solidFill>
          </w14:textFill>
        </w:rPr>
        <w:t>）</w:t>
      </w:r>
      <w:r>
        <w:rPr>
          <w:rFonts w:hint="eastAsia" w:ascii="宋体" w:hAnsi="宋体" w:eastAsia="宋体" w:cs="宋体"/>
          <w:b/>
          <w:bCs/>
          <w:color w:val="000000" w:themeColor="text1"/>
          <w:sz w:val="21"/>
          <w:szCs w:val="21"/>
          <w14:textFill>
            <w14:solidFill>
              <w14:schemeClr w14:val="tx1"/>
            </w14:solidFill>
          </w14:textFill>
        </w:rPr>
        <w:t>项目建设的依据</w:t>
      </w:r>
    </w:p>
    <w:p w14:paraId="2253C443">
      <w:pPr>
        <w:spacing w:line="360" w:lineRule="auto"/>
        <w:ind w:firstLine="420" w:firstLineChars="20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遵循国家和最高法院相关标准和规范的要求，围绕“浙江全域数字法院”建设和全省审判法庭信息化智能化建设要求，结合江北法院当前数字法院改革实际情况和审前调解指导中心特色定位，建设符合要求的审前调解指导中心信息化、智能化软硬件系统，满足审前调解指导中心实际业务开展的信息化、高效化、智能化需求。</w:t>
      </w:r>
    </w:p>
    <w:p w14:paraId="730543F8">
      <w:pPr>
        <w:spacing w:line="360" w:lineRule="auto"/>
        <w:ind w:firstLine="420" w:firstLineChars="200"/>
        <w:jc w:val="left"/>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w:t>
      </w:r>
      <w:r>
        <w:rPr>
          <w:rFonts w:hint="eastAsia" w:ascii="宋体" w:hAnsi="宋体" w:cs="宋体"/>
          <w:b/>
          <w:bCs/>
          <w:color w:val="000000" w:themeColor="text1"/>
          <w:sz w:val="21"/>
          <w:szCs w:val="21"/>
          <w:lang w:val="en-US" w:eastAsia="zh-CN"/>
          <w14:textFill>
            <w14:solidFill>
              <w14:schemeClr w14:val="tx1"/>
            </w14:solidFill>
          </w14:textFill>
        </w:rPr>
        <w:t>三</w:t>
      </w:r>
      <w:r>
        <w:rPr>
          <w:rFonts w:hint="eastAsia" w:ascii="宋体" w:hAnsi="宋体" w:eastAsia="宋体" w:cs="宋体"/>
          <w:b/>
          <w:bCs/>
          <w:color w:val="000000" w:themeColor="text1"/>
          <w:sz w:val="21"/>
          <w:szCs w:val="21"/>
          <w:lang w:val="en-US" w:eastAsia="zh-CN"/>
          <w14:textFill>
            <w14:solidFill>
              <w14:schemeClr w14:val="tx1"/>
            </w14:solidFill>
          </w14:textFill>
        </w:rPr>
        <w:t>）</w:t>
      </w:r>
      <w:r>
        <w:rPr>
          <w:rFonts w:hint="eastAsia" w:ascii="宋体" w:hAnsi="宋体" w:eastAsia="宋体" w:cs="宋体"/>
          <w:b/>
          <w:bCs/>
          <w:color w:val="000000" w:themeColor="text1"/>
          <w:sz w:val="21"/>
          <w:szCs w:val="21"/>
          <w14:textFill>
            <w14:solidFill>
              <w14:schemeClr w14:val="tx1"/>
            </w14:solidFill>
          </w14:textFill>
        </w:rPr>
        <w:t>特别说明</w:t>
      </w:r>
    </w:p>
    <w:p w14:paraId="772D3432">
      <w:pPr>
        <w:spacing w:line="360" w:lineRule="auto"/>
        <w:ind w:firstLine="420" w:firstLineChars="200"/>
        <w:jc w:val="left"/>
        <w:rPr>
          <w:rFonts w:hint="eastAsia" w:ascii="宋体" w:hAnsi="宋体" w:eastAsia="宋体" w:cs="宋体"/>
          <w:color w:val="000000" w:themeColor="text1"/>
          <w:sz w:val="21"/>
          <w:szCs w:val="21"/>
          <w14:textFill>
            <w14:solidFill>
              <w14:schemeClr w14:val="tx1"/>
            </w14:solidFill>
          </w14:textFill>
        </w:rPr>
      </w:pPr>
      <w:bookmarkStart w:id="51" w:name="_Toc28864"/>
      <w:r>
        <w:rPr>
          <w:rFonts w:hint="eastAsia" w:ascii="宋体" w:hAnsi="宋体" w:eastAsia="宋体" w:cs="宋体"/>
          <w:color w:val="000000" w:themeColor="text1"/>
          <w:sz w:val="21"/>
          <w:szCs w:val="21"/>
          <w14:textFill>
            <w14:solidFill>
              <w14:schemeClr w14:val="tx1"/>
            </w14:solidFill>
          </w14:textFill>
        </w:rPr>
        <w:t>1.必须完成数字法庭系统的互联互通工作，保证在法院专网中的数据交换不存在兼容性问题。</w:t>
      </w:r>
    </w:p>
    <w:p w14:paraId="6841256A">
      <w:pPr>
        <w:spacing w:line="360" w:lineRule="auto"/>
        <w:ind w:firstLine="420" w:firstLineChars="20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2.负责适配江北法院现有数字法庭信息管理平台与全国法院办案办公平台，实现数字法庭开庭、休庭、复庭、闭庭、在线直播与点播等功能。</w:t>
      </w:r>
    </w:p>
    <w:p w14:paraId="0931F050">
      <w:pPr>
        <w:spacing w:line="360" w:lineRule="auto"/>
        <w:ind w:firstLine="420" w:firstLineChars="20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3.根据浙高法办[2023]8号关于印发《浙江法院数字法庭智能化建设技术规范》《浙江法院数字法庭智能化升级改造指引》的通知等规范要求，对审前调解指导中心数字法庭深化设计并安装调试。</w:t>
      </w:r>
    </w:p>
    <w:p w14:paraId="4482C251">
      <w:pPr>
        <w:spacing w:line="360" w:lineRule="auto"/>
        <w:ind w:firstLine="420" w:firstLineChars="20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4.提供7×24小时的技术热线支持。在出现设备故障的60分钟内响应并给予问题的解答，如必要，在故障发生的4小时内，派技术人员赶赴现场。</w:t>
      </w:r>
    </w:p>
    <w:p w14:paraId="6D2A27B0">
      <w:pPr>
        <w:spacing w:line="360" w:lineRule="auto"/>
        <w:ind w:firstLine="420" w:firstLineChars="20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5.质保期：本项目所有产品质保期三年，要求免费上门服务。</w:t>
      </w:r>
    </w:p>
    <w:bookmarkEnd w:id="51"/>
    <w:p w14:paraId="0786A1DE">
      <w:pPr>
        <w:spacing w:line="360" w:lineRule="auto"/>
        <w:ind w:firstLine="420" w:firstLineChars="200"/>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w:t>
      </w:r>
      <w:r>
        <w:rPr>
          <w:rFonts w:hint="eastAsia" w:ascii="宋体" w:hAnsi="宋体" w:cs="宋体"/>
          <w:b/>
          <w:bCs/>
          <w:color w:val="000000" w:themeColor="text1"/>
          <w:sz w:val="21"/>
          <w:szCs w:val="21"/>
          <w:lang w:val="en-US" w:eastAsia="zh-CN"/>
          <w14:textFill>
            <w14:solidFill>
              <w14:schemeClr w14:val="tx1"/>
            </w14:solidFill>
          </w14:textFill>
        </w:rPr>
        <w:t>四</w:t>
      </w:r>
      <w:r>
        <w:rPr>
          <w:rFonts w:hint="eastAsia" w:ascii="宋体" w:hAnsi="宋体" w:eastAsia="宋体" w:cs="宋体"/>
          <w:b/>
          <w:bCs/>
          <w:color w:val="000000" w:themeColor="text1"/>
          <w:sz w:val="21"/>
          <w:szCs w:val="21"/>
          <w:lang w:val="en-US" w:eastAsia="zh-CN"/>
          <w14:textFill>
            <w14:solidFill>
              <w14:schemeClr w14:val="tx1"/>
            </w14:solidFill>
          </w14:textFill>
        </w:rPr>
        <w:t>）</w:t>
      </w:r>
      <w:r>
        <w:rPr>
          <w:rFonts w:hint="eastAsia" w:ascii="宋体" w:hAnsi="宋体" w:eastAsia="宋体" w:cs="宋体"/>
          <w:b/>
          <w:bCs/>
          <w:color w:val="000000" w:themeColor="text1"/>
          <w:sz w:val="21"/>
          <w:szCs w:val="21"/>
          <w14:textFill>
            <w14:solidFill>
              <w14:schemeClr w14:val="tx1"/>
            </w14:solidFill>
          </w14:textFill>
        </w:rPr>
        <w:t>采购清单及技术参数要求</w:t>
      </w:r>
    </w:p>
    <w:tbl>
      <w:tblPr>
        <w:tblStyle w:val="38"/>
        <w:tblW w:w="4998" w:type="pct"/>
        <w:jc w:val="center"/>
        <w:tblLayout w:type="autofit"/>
        <w:tblCellMar>
          <w:top w:w="0" w:type="dxa"/>
          <w:left w:w="108" w:type="dxa"/>
          <w:bottom w:w="0" w:type="dxa"/>
          <w:right w:w="108" w:type="dxa"/>
        </w:tblCellMar>
      </w:tblPr>
      <w:tblGrid>
        <w:gridCol w:w="491"/>
        <w:gridCol w:w="1683"/>
        <w:gridCol w:w="5518"/>
        <w:gridCol w:w="494"/>
        <w:gridCol w:w="532"/>
      </w:tblGrid>
      <w:tr w14:paraId="07F33CBA">
        <w:tblPrEx>
          <w:tblCellMar>
            <w:top w:w="0" w:type="dxa"/>
            <w:left w:w="108" w:type="dxa"/>
            <w:bottom w:w="0" w:type="dxa"/>
            <w:right w:w="108" w:type="dxa"/>
          </w:tblCellMar>
        </w:tblPrEx>
        <w:trPr>
          <w:trHeight w:val="225" w:hRule="atLeast"/>
          <w:jc w:val="center"/>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5CC395">
            <w:pPr>
              <w:widowControl/>
              <w:spacing w:line="360" w:lineRule="auto"/>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rPr>
              <w:t>序号</w:t>
            </w:r>
          </w:p>
        </w:tc>
        <w:tc>
          <w:tcPr>
            <w:tcW w:w="9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4B6DE5">
            <w:pPr>
              <w:widowControl/>
              <w:spacing w:line="360" w:lineRule="auto"/>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rPr>
              <w:t>产品名称</w:t>
            </w:r>
          </w:p>
        </w:tc>
        <w:tc>
          <w:tcPr>
            <w:tcW w:w="316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5A1A28">
            <w:pPr>
              <w:widowControl/>
              <w:spacing w:line="360" w:lineRule="auto"/>
              <w:jc w:val="center"/>
              <w:textAlignment w:val="center"/>
              <w:rPr>
                <w:rFonts w:hint="eastAsia" w:ascii="宋体" w:hAnsi="宋体" w:eastAsia="宋体" w:cs="宋体"/>
                <w:b/>
                <w:bCs/>
                <w:color w:val="000000"/>
                <w:sz w:val="21"/>
                <w:szCs w:val="21"/>
                <w:lang w:val="en-US" w:eastAsia="zh-CN"/>
              </w:rPr>
            </w:pPr>
            <w:r>
              <w:rPr>
                <w:rFonts w:hint="eastAsia" w:ascii="宋体" w:hAnsi="宋体" w:eastAsia="宋体" w:cs="宋体"/>
                <w:b/>
                <w:bCs/>
                <w:color w:val="000000"/>
                <w:kern w:val="0"/>
                <w:sz w:val="21"/>
                <w:szCs w:val="21"/>
              </w:rPr>
              <w:t>参数</w:t>
            </w:r>
            <w:r>
              <w:rPr>
                <w:rFonts w:hint="eastAsia" w:ascii="宋体" w:hAnsi="宋体" w:cs="宋体"/>
                <w:b/>
                <w:bCs/>
                <w:color w:val="000000"/>
                <w:kern w:val="0"/>
                <w:sz w:val="21"/>
                <w:szCs w:val="21"/>
                <w:lang w:val="en-US" w:eastAsia="zh-CN"/>
              </w:rPr>
              <w:t>要求</w:t>
            </w:r>
          </w:p>
        </w:tc>
        <w:tc>
          <w:tcPr>
            <w:tcW w:w="2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7885F5">
            <w:pPr>
              <w:widowControl/>
              <w:spacing w:line="360" w:lineRule="auto"/>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rPr>
              <w:t>单位</w:t>
            </w:r>
          </w:p>
        </w:tc>
        <w:tc>
          <w:tcPr>
            <w:tcW w:w="3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578E51">
            <w:pPr>
              <w:widowControl/>
              <w:spacing w:line="360" w:lineRule="auto"/>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rPr>
              <w:t>数量</w:t>
            </w:r>
          </w:p>
        </w:tc>
      </w:tr>
      <w:tr w14:paraId="6984EABE">
        <w:tblPrEx>
          <w:tblCellMar>
            <w:top w:w="0" w:type="dxa"/>
            <w:left w:w="108" w:type="dxa"/>
            <w:bottom w:w="0" w:type="dxa"/>
            <w:right w:w="108" w:type="dxa"/>
          </w:tblCellMar>
        </w:tblPrEx>
        <w:trPr>
          <w:trHeight w:val="225" w:hRule="atLeast"/>
          <w:jc w:val="center"/>
        </w:trPr>
        <w:tc>
          <w:tcPr>
            <w:tcW w:w="4411" w:type="pct"/>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27D9D698">
            <w:pPr>
              <w:widowControl/>
              <w:spacing w:line="360" w:lineRule="auto"/>
              <w:jc w:val="left"/>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rPr>
              <w:t>（一）科技法庭基础法庭设备</w:t>
            </w:r>
          </w:p>
        </w:tc>
        <w:tc>
          <w:tcPr>
            <w:tcW w:w="2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CBF32C">
            <w:pPr>
              <w:spacing w:line="360" w:lineRule="auto"/>
              <w:jc w:val="center"/>
              <w:rPr>
                <w:rFonts w:hint="eastAsia" w:ascii="宋体" w:hAnsi="宋体" w:eastAsia="宋体" w:cs="宋体"/>
                <w:b/>
                <w:bCs/>
                <w:color w:val="000000"/>
                <w:sz w:val="21"/>
                <w:szCs w:val="21"/>
              </w:rPr>
            </w:pPr>
          </w:p>
        </w:tc>
        <w:tc>
          <w:tcPr>
            <w:tcW w:w="3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159703">
            <w:pPr>
              <w:spacing w:line="360" w:lineRule="auto"/>
              <w:jc w:val="center"/>
              <w:rPr>
                <w:rFonts w:hint="eastAsia" w:ascii="宋体" w:hAnsi="宋体" w:eastAsia="宋体" w:cs="宋体"/>
                <w:b/>
                <w:bCs/>
                <w:color w:val="000000"/>
                <w:sz w:val="21"/>
                <w:szCs w:val="21"/>
              </w:rPr>
            </w:pPr>
          </w:p>
        </w:tc>
      </w:tr>
      <w:tr w14:paraId="0E55F2A6">
        <w:tblPrEx>
          <w:tblCellMar>
            <w:top w:w="0" w:type="dxa"/>
            <w:left w:w="108" w:type="dxa"/>
            <w:bottom w:w="0" w:type="dxa"/>
            <w:right w:w="108" w:type="dxa"/>
          </w:tblCellMar>
        </w:tblPrEx>
        <w:trPr>
          <w:trHeight w:val="400" w:hRule="atLeast"/>
          <w:jc w:val="center"/>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30F169">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1</w:t>
            </w:r>
          </w:p>
        </w:tc>
        <w:tc>
          <w:tcPr>
            <w:tcW w:w="9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0CB539">
            <w:pPr>
              <w:widowControl/>
              <w:spacing w:line="360" w:lineRule="auto"/>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4K全景</w:t>
            </w:r>
          </w:p>
          <w:p w14:paraId="0B99883D">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摄像机</w:t>
            </w:r>
          </w:p>
        </w:tc>
        <w:tc>
          <w:tcPr>
            <w:tcW w:w="316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04C3CC">
            <w:pPr>
              <w:widowControl/>
              <w:spacing w:line="36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1</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4K会议摄像机，</w:t>
            </w:r>
            <w:r>
              <w:rPr>
                <w:rFonts w:hint="eastAsia" w:ascii="宋体" w:hAnsi="宋体" w:eastAsia="宋体" w:cs="宋体"/>
                <w:kern w:val="0"/>
                <w:sz w:val="21"/>
                <w:szCs w:val="21"/>
              </w:rPr>
              <w:t>≥8</w:t>
            </w:r>
            <w:r>
              <w:rPr>
                <w:rFonts w:hint="eastAsia" w:ascii="宋体" w:hAnsi="宋体" w:eastAsia="宋体" w:cs="宋体"/>
                <w:color w:val="000000"/>
                <w:kern w:val="0"/>
                <w:sz w:val="21"/>
                <w:szCs w:val="21"/>
              </w:rPr>
              <w:t>51万像素的CMOS传感器，可实现4K（3840×2160）超高分辨率的优质图像。并且向下兼容1080P、720P等多种分辨率。</w:t>
            </w:r>
            <w:r>
              <w:rPr>
                <w:rFonts w:hint="eastAsia" w:ascii="宋体" w:hAnsi="宋体" w:eastAsia="宋体" w:cs="宋体"/>
                <w:color w:val="000000"/>
                <w:kern w:val="0"/>
                <w:sz w:val="21"/>
                <w:szCs w:val="21"/>
              </w:rPr>
              <w:br w:type="textWrapping"/>
            </w:r>
            <w:r>
              <w:rPr>
                <w:rFonts w:hint="eastAsia" w:ascii="宋体" w:hAnsi="宋体" w:eastAsia="宋体" w:cs="宋体"/>
                <w:color w:val="000000"/>
                <w:kern w:val="0"/>
                <w:sz w:val="21"/>
                <w:szCs w:val="21"/>
              </w:rPr>
              <w:t>2</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支持HDMI、网络接口，可输出4K视频；具有3G-SDI输出接口。</w:t>
            </w:r>
            <w:r>
              <w:rPr>
                <w:rFonts w:hint="eastAsia" w:ascii="宋体" w:hAnsi="宋体" w:eastAsia="宋体" w:cs="宋体"/>
                <w:color w:val="000000"/>
                <w:kern w:val="0"/>
                <w:sz w:val="21"/>
                <w:szCs w:val="21"/>
              </w:rPr>
              <w:br w:type="textWrapping"/>
            </w:r>
            <w:r>
              <w:rPr>
                <w:rFonts w:hint="eastAsia" w:ascii="宋体" w:hAnsi="宋体" w:eastAsia="宋体" w:cs="宋体"/>
                <w:color w:val="000000"/>
                <w:kern w:val="0"/>
                <w:sz w:val="21"/>
                <w:szCs w:val="21"/>
              </w:rPr>
              <w:t>3</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具有≥12倍光学变焦广角镜头，最大视场角≥70°。</w:t>
            </w:r>
            <w:r>
              <w:rPr>
                <w:rFonts w:hint="eastAsia" w:ascii="宋体" w:hAnsi="宋体" w:eastAsia="宋体" w:cs="宋体"/>
                <w:color w:val="000000"/>
                <w:kern w:val="0"/>
                <w:sz w:val="21"/>
                <w:szCs w:val="21"/>
              </w:rPr>
              <w:br w:type="textWrapping"/>
            </w:r>
            <w:r>
              <w:rPr>
                <w:rFonts w:hint="eastAsia" w:ascii="宋体" w:hAnsi="宋体" w:eastAsia="宋体" w:cs="宋体"/>
                <w:color w:val="000000"/>
                <w:kern w:val="0"/>
                <w:sz w:val="21"/>
                <w:szCs w:val="21"/>
              </w:rPr>
              <w:t>4</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支持RS232、RS485、RJ45接口，可对摄像机进行远程控制。</w:t>
            </w:r>
            <w:r>
              <w:rPr>
                <w:rFonts w:hint="eastAsia" w:ascii="宋体" w:hAnsi="宋体" w:eastAsia="宋体" w:cs="宋体"/>
                <w:color w:val="000000"/>
                <w:kern w:val="0"/>
                <w:sz w:val="21"/>
                <w:szCs w:val="21"/>
              </w:rPr>
              <w:br w:type="textWrapping"/>
            </w:r>
            <w:r>
              <w:rPr>
                <w:rFonts w:hint="eastAsia" w:ascii="宋体" w:hAnsi="宋体" w:eastAsia="宋体" w:cs="宋体"/>
                <w:color w:val="000000"/>
                <w:kern w:val="0"/>
                <w:sz w:val="21"/>
                <w:szCs w:val="21"/>
              </w:rPr>
              <w:t>5</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含安装支架，电源。</w:t>
            </w:r>
            <w:r>
              <w:rPr>
                <w:rFonts w:hint="eastAsia" w:ascii="宋体" w:hAnsi="宋体" w:eastAsia="宋体" w:cs="宋体"/>
                <w:color w:val="000000"/>
                <w:kern w:val="0"/>
                <w:sz w:val="21"/>
                <w:szCs w:val="21"/>
              </w:rPr>
              <w:br w:type="textWrapping"/>
            </w:r>
            <w:r>
              <w:rPr>
                <w:rFonts w:hint="eastAsia" w:ascii="宋体" w:hAnsi="宋体" w:eastAsia="宋体" w:cs="宋体"/>
                <w:color w:val="000000"/>
                <w:kern w:val="0"/>
                <w:sz w:val="21"/>
                <w:szCs w:val="21"/>
              </w:rPr>
              <w:t>6</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能够和庭审主机兼容，能接收庭审主机发出的控制指令，实现庭审主机语音激励调用摄像头预制位。</w:t>
            </w:r>
          </w:p>
        </w:tc>
        <w:tc>
          <w:tcPr>
            <w:tcW w:w="2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8FC0B8">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台</w:t>
            </w:r>
          </w:p>
        </w:tc>
        <w:tc>
          <w:tcPr>
            <w:tcW w:w="3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DE6BAA">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2</w:t>
            </w:r>
          </w:p>
        </w:tc>
      </w:tr>
      <w:tr w14:paraId="0D2ADE20">
        <w:tblPrEx>
          <w:tblCellMar>
            <w:top w:w="0" w:type="dxa"/>
            <w:left w:w="108" w:type="dxa"/>
            <w:bottom w:w="0" w:type="dxa"/>
            <w:right w:w="108" w:type="dxa"/>
          </w:tblCellMar>
        </w:tblPrEx>
        <w:trPr>
          <w:trHeight w:val="600" w:hRule="atLeast"/>
          <w:jc w:val="center"/>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589717">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2</w:t>
            </w:r>
          </w:p>
        </w:tc>
        <w:tc>
          <w:tcPr>
            <w:tcW w:w="9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44537E">
            <w:pPr>
              <w:widowControl/>
              <w:spacing w:line="360" w:lineRule="auto"/>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4K定点</w:t>
            </w:r>
          </w:p>
          <w:p w14:paraId="5C7CD20A">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摄像机</w:t>
            </w:r>
          </w:p>
        </w:tc>
        <w:tc>
          <w:tcPr>
            <w:tcW w:w="316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808BF7">
            <w:pPr>
              <w:widowControl/>
              <w:spacing w:line="36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bdr w:val="single" w:color="000000" w:sz="4" w:space="0"/>
                <w:shd w:val="clear" w:color="auto" w:fill="FFFFFF"/>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66700" cy="12700"/>
                  <wp:effectExtent l="0" t="0" r="0" b="0"/>
                  <wp:wrapNone/>
                  <wp:docPr id="1" name="Picture_1_SpCnt_1"/>
                  <wp:cNvGraphicFramePr/>
                  <a:graphic xmlns:a="http://schemas.openxmlformats.org/drawingml/2006/main">
                    <a:graphicData uri="http://schemas.openxmlformats.org/drawingml/2006/picture">
                      <pic:pic xmlns:pic="http://schemas.openxmlformats.org/drawingml/2006/picture">
                        <pic:nvPicPr>
                          <pic:cNvPr id="1" name="Picture_1_SpCnt_1"/>
                          <pic:cNvPicPr/>
                        </pic:nvPicPr>
                        <pic:blipFill>
                          <a:blip r:embed="rId16"/>
                          <a:stretch>
                            <a:fillRect/>
                          </a:stretch>
                        </pic:blipFill>
                        <pic:spPr>
                          <a:xfrm>
                            <a:off x="0" y="0"/>
                            <a:ext cx="266700" cy="12700"/>
                          </a:xfrm>
                          <a:prstGeom prst="rect">
                            <a:avLst/>
                          </a:prstGeom>
                          <a:noFill/>
                          <a:ln>
                            <a:noFill/>
                          </a:ln>
                        </pic:spPr>
                      </pic:pic>
                    </a:graphicData>
                  </a:graphic>
                </wp:anchor>
              </w:drawing>
            </w:r>
            <w:r>
              <w:rPr>
                <w:rFonts w:hint="eastAsia" w:ascii="宋体" w:hAnsi="宋体" w:eastAsia="宋体" w:cs="宋体"/>
                <w:color w:val="000000"/>
                <w:kern w:val="0"/>
                <w:sz w:val="21"/>
                <w:szCs w:val="21"/>
              </w:rPr>
              <w:t>1</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4K枪式变焦摄像头，支持4K（3840×2160）超高分辨率的优质图像。并且向下兼容1080P、720P等多种分辨率。</w:t>
            </w:r>
            <w:r>
              <w:rPr>
                <w:rFonts w:hint="eastAsia" w:ascii="宋体" w:hAnsi="宋体" w:eastAsia="宋体" w:cs="宋体"/>
                <w:color w:val="000000"/>
                <w:kern w:val="0"/>
                <w:sz w:val="21"/>
                <w:szCs w:val="21"/>
              </w:rPr>
              <w:br w:type="textWrapping"/>
            </w:r>
            <w:r>
              <w:rPr>
                <w:rFonts w:hint="eastAsia" w:ascii="宋体" w:hAnsi="宋体" w:eastAsia="宋体" w:cs="宋体"/>
                <w:color w:val="000000"/>
                <w:kern w:val="0"/>
                <w:sz w:val="21"/>
                <w:szCs w:val="21"/>
              </w:rPr>
              <w:t>2</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支持HDMI输出4K（3840×2160）视频；具有3G-SDI输出接口。</w:t>
            </w:r>
            <w:r>
              <w:rPr>
                <w:rFonts w:hint="eastAsia" w:ascii="宋体" w:hAnsi="宋体" w:eastAsia="宋体" w:cs="宋体"/>
                <w:color w:val="000000"/>
                <w:kern w:val="0"/>
                <w:sz w:val="21"/>
                <w:szCs w:val="21"/>
              </w:rPr>
              <w:br w:type="textWrapping"/>
            </w:r>
            <w:r>
              <w:rPr>
                <w:rFonts w:hint="eastAsia" w:ascii="宋体" w:hAnsi="宋体" w:eastAsia="宋体" w:cs="宋体"/>
                <w:color w:val="000000"/>
                <w:kern w:val="0"/>
                <w:sz w:val="21"/>
                <w:szCs w:val="21"/>
              </w:rPr>
              <w:t>3</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具有≥12倍光学变焦，自动聚焦。</w:t>
            </w:r>
            <w:r>
              <w:rPr>
                <w:rFonts w:hint="eastAsia" w:ascii="宋体" w:hAnsi="宋体" w:eastAsia="宋体" w:cs="宋体"/>
                <w:color w:val="000000"/>
                <w:kern w:val="0"/>
                <w:sz w:val="21"/>
                <w:szCs w:val="21"/>
              </w:rPr>
              <w:br w:type="textWrapping"/>
            </w:r>
            <w:r>
              <w:rPr>
                <w:rFonts w:hint="eastAsia" w:ascii="宋体" w:hAnsi="宋体" w:eastAsia="宋体" w:cs="宋体"/>
                <w:color w:val="000000"/>
                <w:kern w:val="0"/>
                <w:sz w:val="21"/>
                <w:szCs w:val="21"/>
              </w:rPr>
              <w:t>4</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具备网络通信接口，可对摄像机进行WEB管理与控制。</w:t>
            </w:r>
            <w:r>
              <w:rPr>
                <w:rFonts w:hint="eastAsia" w:ascii="宋体" w:hAnsi="宋体" w:eastAsia="宋体" w:cs="宋体"/>
                <w:color w:val="000000"/>
                <w:kern w:val="0"/>
                <w:sz w:val="21"/>
                <w:szCs w:val="21"/>
              </w:rPr>
              <w:br w:type="textWrapping"/>
            </w:r>
            <w:r>
              <w:rPr>
                <w:rFonts w:hint="eastAsia" w:ascii="宋体" w:hAnsi="宋体" w:eastAsia="宋体" w:cs="宋体"/>
                <w:color w:val="000000"/>
                <w:kern w:val="0"/>
                <w:sz w:val="21"/>
                <w:szCs w:val="21"/>
              </w:rPr>
              <w:t>5</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含安装支架，电源。</w:t>
            </w:r>
          </w:p>
        </w:tc>
        <w:tc>
          <w:tcPr>
            <w:tcW w:w="2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087310">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台</w:t>
            </w:r>
          </w:p>
        </w:tc>
        <w:tc>
          <w:tcPr>
            <w:tcW w:w="3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703BA9">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8</w:t>
            </w:r>
          </w:p>
        </w:tc>
      </w:tr>
      <w:tr w14:paraId="1D36B955">
        <w:tblPrEx>
          <w:tblCellMar>
            <w:top w:w="0" w:type="dxa"/>
            <w:left w:w="108" w:type="dxa"/>
            <w:bottom w:w="0" w:type="dxa"/>
            <w:right w:w="108" w:type="dxa"/>
          </w:tblCellMar>
        </w:tblPrEx>
        <w:trPr>
          <w:trHeight w:val="90" w:hRule="atLeast"/>
          <w:jc w:val="center"/>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6A2888">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3</w:t>
            </w:r>
          </w:p>
        </w:tc>
        <w:tc>
          <w:tcPr>
            <w:tcW w:w="9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2584A6">
            <w:pPr>
              <w:widowControl/>
              <w:spacing w:line="360" w:lineRule="auto"/>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4K标准</w:t>
            </w:r>
          </w:p>
          <w:p w14:paraId="0817AC1E">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庭审主机</w:t>
            </w:r>
          </w:p>
        </w:tc>
        <w:tc>
          <w:tcPr>
            <w:tcW w:w="316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D63CC1">
            <w:pPr>
              <w:widowControl/>
              <w:snapToGrid w:val="0"/>
              <w:spacing w:line="360" w:lineRule="auto"/>
              <w:textAlignment w:val="center"/>
              <w:rPr>
                <w:rFonts w:hint="eastAsia" w:ascii="宋体" w:hAnsi="宋体" w:eastAsia="宋体" w:cs="宋体"/>
                <w:kern w:val="0"/>
                <w:sz w:val="21"/>
                <w:szCs w:val="21"/>
              </w:rPr>
            </w:pPr>
            <w:r>
              <w:rPr>
                <w:rFonts w:hint="eastAsia" w:ascii="宋体" w:hAnsi="宋体" w:eastAsia="宋体" w:cs="宋体"/>
                <w:kern w:val="0"/>
                <w:sz w:val="21"/>
                <w:szCs w:val="21"/>
              </w:rPr>
              <w:t>★1</w:t>
            </w:r>
            <w:r>
              <w:rPr>
                <w:rFonts w:hint="eastAsia" w:ascii="宋体" w:hAnsi="宋体" w:eastAsia="宋体" w:cs="宋体"/>
                <w:kern w:val="0"/>
                <w:sz w:val="21"/>
                <w:szCs w:val="21"/>
                <w:lang w:val="en-US" w:eastAsia="zh-CN"/>
              </w:rPr>
              <w:t>.</w:t>
            </w:r>
            <w:r>
              <w:rPr>
                <w:rFonts w:hint="eastAsia" w:ascii="宋体" w:hAnsi="宋体" w:eastAsia="宋体" w:cs="宋体"/>
                <w:kern w:val="0"/>
                <w:sz w:val="21"/>
                <w:szCs w:val="21"/>
              </w:rPr>
              <w:t>需与江北法院现有数字法庭信息管理平台与全国法院办案办公平台无缝衔接。(</w:t>
            </w:r>
            <w:r>
              <w:rPr>
                <w:rFonts w:hint="eastAsia" w:ascii="宋体" w:hAnsi="宋体" w:eastAsia="宋体" w:cs="宋体"/>
                <w:b/>
                <w:bCs/>
                <w:kern w:val="0"/>
                <w:sz w:val="21"/>
                <w:szCs w:val="21"/>
              </w:rPr>
              <w:t>要求投标时提供无缝衔接承诺函加盖公章</w:t>
            </w:r>
            <w:r>
              <w:rPr>
                <w:rFonts w:hint="eastAsia" w:ascii="宋体" w:hAnsi="宋体" w:cs="宋体"/>
                <w:b/>
                <w:bCs/>
                <w:kern w:val="0"/>
                <w:sz w:val="21"/>
                <w:szCs w:val="21"/>
                <w:lang w:eastAsia="zh-CN"/>
              </w:rPr>
              <w:t>，</w:t>
            </w:r>
            <w:r>
              <w:rPr>
                <w:rFonts w:hint="eastAsia" w:ascii="宋体" w:hAnsi="宋体" w:cs="宋体"/>
                <w:b/>
                <w:bCs/>
                <w:kern w:val="0"/>
                <w:sz w:val="21"/>
                <w:szCs w:val="21"/>
                <w:lang w:val="en-US" w:eastAsia="zh-CN"/>
              </w:rPr>
              <w:t>格式自拟</w:t>
            </w:r>
            <w:r>
              <w:rPr>
                <w:rFonts w:hint="eastAsia" w:ascii="宋体" w:hAnsi="宋体" w:eastAsia="宋体" w:cs="宋体"/>
                <w:b/>
                <w:bCs/>
                <w:kern w:val="0"/>
                <w:sz w:val="21"/>
                <w:szCs w:val="21"/>
              </w:rPr>
              <w:t>)</w:t>
            </w:r>
            <w:r>
              <w:rPr>
                <w:rFonts w:hint="eastAsia" w:ascii="宋体" w:hAnsi="宋体" w:eastAsia="宋体" w:cs="宋体"/>
                <w:b/>
                <w:bCs/>
                <w:kern w:val="0"/>
                <w:sz w:val="21"/>
                <w:szCs w:val="21"/>
              </w:rPr>
              <w:br w:type="textWrapping"/>
            </w:r>
            <w:r>
              <w:rPr>
                <w:rFonts w:hint="eastAsia" w:ascii="宋体" w:hAnsi="宋体" w:eastAsia="宋体" w:cs="宋体"/>
                <w:kern w:val="0"/>
                <w:sz w:val="21"/>
                <w:szCs w:val="21"/>
              </w:rPr>
              <w:t>★2</w:t>
            </w:r>
            <w:r>
              <w:rPr>
                <w:rFonts w:hint="eastAsia" w:ascii="宋体" w:hAnsi="宋体" w:eastAsia="宋体" w:cs="宋体"/>
                <w:kern w:val="0"/>
                <w:sz w:val="21"/>
                <w:szCs w:val="21"/>
                <w:lang w:val="en-US" w:eastAsia="zh-CN"/>
              </w:rPr>
              <w:t>.</w:t>
            </w:r>
            <w:r>
              <w:rPr>
                <w:rFonts w:hint="eastAsia" w:ascii="宋体" w:hAnsi="宋体" w:eastAsia="宋体" w:cs="宋体"/>
                <w:kern w:val="0"/>
                <w:sz w:val="21"/>
                <w:szCs w:val="21"/>
              </w:rPr>
              <w:t>内置不少于8个RJ45网口，其中不少于6个网口支持POE供电功能。（提供投标设备背板接口照片）</w:t>
            </w:r>
            <w:r>
              <w:rPr>
                <w:rFonts w:hint="eastAsia" w:ascii="宋体" w:hAnsi="宋体" w:eastAsia="宋体" w:cs="宋体"/>
                <w:kern w:val="0"/>
                <w:sz w:val="21"/>
                <w:szCs w:val="21"/>
              </w:rPr>
              <w:br w:type="textWrapping"/>
            </w:r>
            <w:r>
              <w:rPr>
                <w:rFonts w:hint="eastAsia" w:ascii="宋体" w:hAnsi="宋体" w:eastAsia="宋体" w:cs="宋体"/>
                <w:kern w:val="0"/>
                <w:sz w:val="21"/>
                <w:szCs w:val="21"/>
              </w:rPr>
              <w:t>3</w:t>
            </w:r>
            <w:r>
              <w:rPr>
                <w:rFonts w:hint="eastAsia" w:ascii="宋体" w:hAnsi="宋体" w:eastAsia="宋体" w:cs="宋体"/>
                <w:kern w:val="0"/>
                <w:sz w:val="21"/>
                <w:szCs w:val="21"/>
                <w:lang w:val="en-US" w:eastAsia="zh-CN"/>
              </w:rPr>
              <w:t>.</w:t>
            </w:r>
            <w:r>
              <w:rPr>
                <w:rFonts w:hint="eastAsia" w:ascii="宋体" w:hAnsi="宋体" w:eastAsia="宋体" w:cs="宋体"/>
                <w:kern w:val="0"/>
                <w:sz w:val="21"/>
                <w:szCs w:val="21"/>
              </w:rPr>
              <w:t>内置不少于4块硬盘安装槽位，主机内置1块不小于4T硬盘；内置不小于7英寸电容屏，可实时视频预览；可设置多画面选择与合成、视频输出口信号切换及分辨率设置。</w:t>
            </w:r>
            <w:r>
              <w:rPr>
                <w:rFonts w:hint="eastAsia" w:ascii="宋体" w:hAnsi="宋体" w:eastAsia="宋体" w:cs="宋体"/>
                <w:kern w:val="0"/>
                <w:sz w:val="21"/>
                <w:szCs w:val="21"/>
              </w:rPr>
              <w:br w:type="textWrapping"/>
            </w:r>
            <w:r>
              <w:rPr>
                <w:rFonts w:hint="eastAsia" w:ascii="宋体" w:hAnsi="宋体" w:eastAsia="宋体" w:cs="宋体"/>
                <w:kern w:val="0"/>
                <w:sz w:val="21"/>
                <w:szCs w:val="21"/>
              </w:rPr>
              <w:t>★4、视频输入接口要求不少于8路HDMI、8路SDI和4路VGA接口；视频输出接口要求不少于10路HDMI接口。（提供投标设备视频输入输出接口照片）</w:t>
            </w:r>
            <w:r>
              <w:rPr>
                <w:rFonts w:hint="eastAsia" w:ascii="宋体" w:hAnsi="宋体" w:eastAsia="宋体" w:cs="宋体"/>
                <w:kern w:val="0"/>
                <w:sz w:val="21"/>
                <w:szCs w:val="21"/>
              </w:rPr>
              <w:br w:type="textWrapping"/>
            </w:r>
            <w:r>
              <w:rPr>
                <w:rFonts w:hint="eastAsia" w:ascii="宋体" w:hAnsi="宋体" w:eastAsia="宋体" w:cs="宋体"/>
                <w:kern w:val="0"/>
                <w:sz w:val="21"/>
                <w:szCs w:val="21"/>
              </w:rPr>
              <w:t>5</w:t>
            </w:r>
            <w:r>
              <w:rPr>
                <w:rFonts w:hint="eastAsia" w:ascii="宋体" w:hAnsi="宋体" w:eastAsia="宋体" w:cs="宋体"/>
                <w:kern w:val="0"/>
                <w:sz w:val="21"/>
                <w:szCs w:val="21"/>
                <w:lang w:val="en-US" w:eastAsia="zh-CN"/>
              </w:rPr>
              <w:t>.</w:t>
            </w:r>
            <w:r>
              <w:rPr>
                <w:rFonts w:hint="eastAsia" w:ascii="宋体" w:hAnsi="宋体" w:eastAsia="宋体" w:cs="宋体"/>
                <w:kern w:val="0"/>
                <w:sz w:val="21"/>
                <w:szCs w:val="21"/>
              </w:rPr>
              <w:t>支持语音激励摄像追踪功能，画面切换自然过渡。</w:t>
            </w:r>
            <w:r>
              <w:rPr>
                <w:rFonts w:hint="eastAsia" w:ascii="宋体" w:hAnsi="宋体" w:eastAsia="宋体" w:cs="宋体"/>
                <w:kern w:val="0"/>
                <w:sz w:val="21"/>
                <w:szCs w:val="21"/>
              </w:rPr>
              <w:br w:type="textWrapping"/>
            </w:r>
            <w:r>
              <w:rPr>
                <w:rFonts w:hint="eastAsia" w:ascii="宋体" w:hAnsi="宋体" w:eastAsia="宋体" w:cs="宋体"/>
                <w:kern w:val="0"/>
                <w:sz w:val="21"/>
                <w:szCs w:val="21"/>
              </w:rPr>
              <w:t>6</w:t>
            </w:r>
            <w:r>
              <w:rPr>
                <w:rFonts w:hint="eastAsia" w:ascii="宋体" w:hAnsi="宋体" w:eastAsia="宋体" w:cs="宋体"/>
                <w:kern w:val="0"/>
                <w:sz w:val="21"/>
                <w:szCs w:val="21"/>
                <w:lang w:val="en-US" w:eastAsia="zh-CN"/>
              </w:rPr>
              <w:t>.</w:t>
            </w:r>
            <w:r>
              <w:rPr>
                <w:rFonts w:hint="eastAsia" w:ascii="宋体" w:hAnsi="宋体" w:eastAsia="宋体" w:cs="宋体"/>
                <w:kern w:val="0"/>
                <w:sz w:val="21"/>
                <w:szCs w:val="21"/>
              </w:rPr>
              <w:t>支持2路不小于4K（3840×2160）视频实时编解码；支持同时接入至少8路不低于4K 30 fps HDMI视频；支持通过HDMI输出不少于2路不低于4K30fps实时复合画面或独立画面。</w:t>
            </w:r>
            <w:r>
              <w:rPr>
                <w:rFonts w:hint="eastAsia" w:ascii="宋体" w:hAnsi="宋体" w:eastAsia="宋体" w:cs="宋体"/>
                <w:kern w:val="0"/>
                <w:sz w:val="21"/>
                <w:szCs w:val="21"/>
              </w:rPr>
              <w:br w:type="textWrapping"/>
            </w:r>
            <w:r>
              <w:rPr>
                <w:rFonts w:hint="eastAsia" w:ascii="宋体" w:hAnsi="宋体" w:eastAsia="宋体" w:cs="宋体"/>
                <w:kern w:val="0"/>
                <w:sz w:val="21"/>
                <w:szCs w:val="21"/>
              </w:rPr>
              <w:t>7</w:t>
            </w:r>
            <w:r>
              <w:rPr>
                <w:rFonts w:hint="eastAsia" w:ascii="宋体" w:hAnsi="宋体" w:eastAsia="宋体" w:cs="宋体"/>
                <w:kern w:val="0"/>
                <w:sz w:val="21"/>
                <w:szCs w:val="21"/>
                <w:lang w:val="en-US" w:eastAsia="zh-CN"/>
              </w:rPr>
              <w:t>.</w:t>
            </w:r>
            <w:r>
              <w:rPr>
                <w:rFonts w:hint="eastAsia" w:ascii="宋体" w:hAnsi="宋体" w:eastAsia="宋体" w:cs="宋体"/>
                <w:kern w:val="0"/>
                <w:sz w:val="21"/>
                <w:szCs w:val="21"/>
              </w:rPr>
              <w:t>7+1画面合成模式，支持同时接入至少6路的网络摄像头，以RTSP或RTMP视频流方式接入。</w:t>
            </w:r>
          </w:p>
          <w:p w14:paraId="33B4FF13">
            <w:pPr>
              <w:widowControl/>
              <w:spacing w:line="360" w:lineRule="auto"/>
              <w:jc w:val="left"/>
              <w:textAlignment w:val="center"/>
              <w:rPr>
                <w:rFonts w:hint="eastAsia" w:ascii="宋体" w:hAnsi="宋体" w:eastAsia="宋体" w:cs="宋体"/>
                <w:color w:val="000000"/>
                <w:sz w:val="21"/>
                <w:szCs w:val="21"/>
              </w:rPr>
            </w:pPr>
            <w:r>
              <w:rPr>
                <w:rFonts w:hint="eastAsia" w:ascii="宋体" w:hAnsi="宋体" w:eastAsia="宋体" w:cs="宋体"/>
                <w:kern w:val="0"/>
                <w:sz w:val="21"/>
                <w:szCs w:val="21"/>
              </w:rPr>
              <w:t>8</w:t>
            </w:r>
            <w:r>
              <w:rPr>
                <w:rFonts w:hint="eastAsia" w:ascii="宋体" w:hAnsi="宋体" w:eastAsia="宋体" w:cs="宋体"/>
                <w:kern w:val="0"/>
                <w:sz w:val="21"/>
                <w:szCs w:val="21"/>
                <w:lang w:val="en-US" w:eastAsia="zh-CN"/>
              </w:rPr>
              <w:t>.</w:t>
            </w:r>
            <w:r>
              <w:rPr>
                <w:rFonts w:hint="eastAsia" w:ascii="宋体" w:hAnsi="宋体" w:eastAsia="宋体" w:cs="宋体"/>
                <w:kern w:val="0"/>
                <w:sz w:val="21"/>
                <w:szCs w:val="21"/>
              </w:rPr>
              <w:t>支持同时接入不少于2路本地示证视频；支持合成画面及独立画面分辨率不低于4K（3840×2160），图像流畅，无明显卡顿。</w:t>
            </w:r>
            <w:r>
              <w:rPr>
                <w:rFonts w:hint="eastAsia" w:ascii="宋体" w:hAnsi="宋体" w:eastAsia="宋体" w:cs="宋体"/>
                <w:kern w:val="0"/>
                <w:sz w:val="21"/>
                <w:szCs w:val="21"/>
              </w:rPr>
              <w:br w:type="textWrapping"/>
            </w:r>
            <w:r>
              <w:rPr>
                <w:rFonts w:hint="eastAsia" w:ascii="宋体" w:hAnsi="宋体" w:eastAsia="宋体" w:cs="宋体"/>
                <w:kern w:val="0"/>
                <w:sz w:val="21"/>
                <w:szCs w:val="21"/>
              </w:rPr>
              <w:t>9</w:t>
            </w:r>
            <w:r>
              <w:rPr>
                <w:rFonts w:hint="eastAsia" w:ascii="宋体" w:hAnsi="宋体" w:eastAsia="宋体" w:cs="宋体"/>
                <w:kern w:val="0"/>
                <w:sz w:val="21"/>
                <w:szCs w:val="21"/>
                <w:lang w:val="en-US" w:eastAsia="zh-CN"/>
              </w:rPr>
              <w:t>.</w:t>
            </w:r>
            <w:r>
              <w:rPr>
                <w:rFonts w:hint="eastAsia" w:ascii="宋体" w:hAnsi="宋体" w:eastAsia="宋体" w:cs="宋体"/>
                <w:kern w:val="0"/>
                <w:sz w:val="21"/>
                <w:szCs w:val="21"/>
              </w:rPr>
              <w:t>具有不少于6路Line In接口、6路Line Out接口；内置至少16路48V幻象供电接口，可连接麦克风并为其供电。每路开关可独立控制，可接驳点对点麦克风，每路可独立控制音量大小。</w:t>
            </w:r>
          </w:p>
        </w:tc>
        <w:tc>
          <w:tcPr>
            <w:tcW w:w="2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201ED8">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台</w:t>
            </w:r>
          </w:p>
        </w:tc>
        <w:tc>
          <w:tcPr>
            <w:tcW w:w="3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A5779C">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2</w:t>
            </w:r>
          </w:p>
        </w:tc>
      </w:tr>
      <w:tr w14:paraId="0D9EFF0C">
        <w:tblPrEx>
          <w:tblCellMar>
            <w:top w:w="0" w:type="dxa"/>
            <w:left w:w="108" w:type="dxa"/>
            <w:bottom w:w="0" w:type="dxa"/>
            <w:right w:w="108" w:type="dxa"/>
          </w:tblCellMar>
        </w:tblPrEx>
        <w:trPr>
          <w:trHeight w:val="600" w:hRule="atLeast"/>
          <w:jc w:val="center"/>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3220E8">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4</w:t>
            </w:r>
          </w:p>
        </w:tc>
        <w:tc>
          <w:tcPr>
            <w:tcW w:w="9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B264B9">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HDMI高清视频矩阵</w:t>
            </w:r>
          </w:p>
        </w:tc>
        <w:tc>
          <w:tcPr>
            <w:tcW w:w="3162" w:type="pct"/>
            <w:tcBorders>
              <w:top w:val="single" w:color="000000" w:sz="4" w:space="0"/>
              <w:left w:val="single" w:color="000000" w:sz="4" w:space="0"/>
              <w:bottom w:val="single" w:color="000000" w:sz="4" w:space="0"/>
              <w:right w:val="single" w:color="000000" w:sz="4" w:space="0"/>
            </w:tcBorders>
            <w:shd w:val="clear" w:color="auto" w:fill="FFFFFF"/>
          </w:tcPr>
          <w:p w14:paraId="6BD79E3F">
            <w:pPr>
              <w:widowControl/>
              <w:spacing w:line="360" w:lineRule="auto"/>
              <w:jc w:val="left"/>
              <w:textAlignment w:val="top"/>
              <w:rPr>
                <w:rFonts w:hint="eastAsia" w:ascii="宋体" w:hAnsi="宋体" w:eastAsia="宋体" w:cs="宋体"/>
                <w:color w:val="000000"/>
                <w:sz w:val="21"/>
                <w:szCs w:val="21"/>
              </w:rPr>
            </w:pPr>
            <w:r>
              <w:rPr>
                <w:rFonts w:hint="eastAsia" w:ascii="宋体" w:hAnsi="宋体" w:eastAsia="宋体" w:cs="宋体"/>
                <w:color w:val="000000"/>
                <w:kern w:val="0"/>
                <w:sz w:val="21"/>
                <w:szCs w:val="21"/>
              </w:rPr>
              <w:t>1</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机架式安装、</w:t>
            </w:r>
            <w:r>
              <w:rPr>
                <w:rFonts w:hint="eastAsia" w:ascii="宋体" w:hAnsi="宋体" w:eastAsia="宋体" w:cs="宋体"/>
                <w:kern w:val="0"/>
                <w:sz w:val="21"/>
                <w:szCs w:val="21"/>
              </w:rPr>
              <w:t>≥8</w:t>
            </w:r>
            <w:r>
              <w:rPr>
                <w:rFonts w:hint="eastAsia" w:ascii="宋体" w:hAnsi="宋体" w:eastAsia="宋体" w:cs="宋体"/>
                <w:color w:val="000000"/>
                <w:kern w:val="0"/>
                <w:sz w:val="21"/>
                <w:szCs w:val="21"/>
              </w:rPr>
              <w:t>8路HDMI信号输入，</w:t>
            </w:r>
            <w:bookmarkStart w:id="52" w:name="OLE_LINK5"/>
            <w:r>
              <w:rPr>
                <w:rFonts w:hint="eastAsia" w:ascii="宋体" w:hAnsi="宋体" w:eastAsia="宋体" w:cs="宋体"/>
                <w:kern w:val="0"/>
                <w:sz w:val="21"/>
                <w:szCs w:val="21"/>
              </w:rPr>
              <w:t>≥</w:t>
            </w:r>
            <w:bookmarkEnd w:id="52"/>
            <w:r>
              <w:rPr>
                <w:rFonts w:hint="eastAsia" w:ascii="宋体" w:hAnsi="宋体" w:eastAsia="宋体" w:cs="宋体"/>
                <w:kern w:val="0"/>
                <w:sz w:val="21"/>
                <w:szCs w:val="21"/>
              </w:rPr>
              <w:t>8</w:t>
            </w:r>
            <w:r>
              <w:rPr>
                <w:rFonts w:hint="eastAsia" w:ascii="宋体" w:hAnsi="宋体" w:eastAsia="宋体" w:cs="宋体"/>
                <w:color w:val="000000"/>
                <w:kern w:val="0"/>
                <w:sz w:val="21"/>
                <w:szCs w:val="21"/>
              </w:rPr>
              <w:t>8路HDMI信号输出；</w:t>
            </w:r>
            <w:r>
              <w:rPr>
                <w:rFonts w:hint="eastAsia" w:ascii="宋体" w:hAnsi="宋体" w:eastAsia="宋体" w:cs="宋体"/>
                <w:color w:val="000000"/>
                <w:kern w:val="0"/>
                <w:sz w:val="21"/>
                <w:szCs w:val="21"/>
              </w:rPr>
              <w:br w:type="textWrapping"/>
            </w:r>
            <w:r>
              <w:rPr>
                <w:rFonts w:hint="eastAsia" w:ascii="宋体" w:hAnsi="宋体" w:eastAsia="宋体" w:cs="宋体"/>
                <w:color w:val="000000"/>
                <w:kern w:val="0"/>
                <w:sz w:val="21"/>
                <w:szCs w:val="21"/>
              </w:rPr>
              <w:t>2</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自动读取保存EDID，支持高清分辨</w:t>
            </w:r>
            <w:r>
              <w:rPr>
                <w:rFonts w:hint="eastAsia" w:ascii="宋体" w:hAnsi="宋体" w:eastAsia="宋体" w:cs="宋体"/>
                <w:kern w:val="0"/>
                <w:sz w:val="21"/>
                <w:szCs w:val="21"/>
              </w:rPr>
              <w:t>1920*1080</w:t>
            </w:r>
            <w:r>
              <w:rPr>
                <w:rFonts w:hint="eastAsia" w:ascii="宋体" w:hAnsi="宋体" w:eastAsia="宋体" w:cs="宋体"/>
                <w:color w:val="FF0000"/>
                <w:kern w:val="0"/>
                <w:sz w:val="21"/>
                <w:szCs w:val="21"/>
              </w:rPr>
              <w:t>、</w:t>
            </w:r>
            <w:r>
              <w:rPr>
                <w:rFonts w:hint="eastAsia" w:ascii="宋体" w:hAnsi="宋体" w:eastAsia="宋体" w:cs="宋体"/>
                <w:color w:val="000000"/>
                <w:kern w:val="0"/>
                <w:sz w:val="21"/>
                <w:szCs w:val="21"/>
              </w:rPr>
              <w:t>3840*2160，支持4K；</w:t>
            </w:r>
            <w:r>
              <w:rPr>
                <w:rFonts w:hint="eastAsia" w:ascii="宋体" w:hAnsi="宋体" w:eastAsia="宋体" w:cs="宋体"/>
                <w:color w:val="000000"/>
                <w:kern w:val="0"/>
                <w:sz w:val="21"/>
                <w:szCs w:val="21"/>
              </w:rPr>
              <w:br w:type="textWrapping"/>
            </w:r>
            <w:r>
              <w:rPr>
                <w:rFonts w:hint="eastAsia" w:ascii="宋体" w:hAnsi="宋体" w:eastAsia="宋体" w:cs="宋体"/>
                <w:color w:val="000000"/>
                <w:kern w:val="0"/>
                <w:sz w:val="21"/>
                <w:szCs w:val="21"/>
              </w:rPr>
              <w:t>3</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FPGA可编程逻辑阵列电路，支持12.5GHz高带宽芯片，高速数字交换技术，图像清晰，解决串扰、重影与拖尾现象；</w:t>
            </w:r>
            <w:r>
              <w:rPr>
                <w:rFonts w:hint="eastAsia" w:ascii="宋体" w:hAnsi="宋体" w:eastAsia="宋体" w:cs="宋体"/>
                <w:color w:val="000000"/>
                <w:kern w:val="0"/>
                <w:sz w:val="21"/>
                <w:szCs w:val="21"/>
              </w:rPr>
              <w:br w:type="textWrapping"/>
            </w:r>
            <w:r>
              <w:rPr>
                <w:rFonts w:hint="eastAsia" w:ascii="宋体" w:hAnsi="宋体" w:eastAsia="宋体" w:cs="宋体"/>
                <w:color w:val="000000"/>
                <w:kern w:val="0"/>
                <w:sz w:val="21"/>
                <w:szCs w:val="21"/>
              </w:rPr>
              <w:t>4</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具有RS232通信功能和网络控制功能，带有断电现现场切换记忆保护功能。</w:t>
            </w:r>
          </w:p>
        </w:tc>
        <w:tc>
          <w:tcPr>
            <w:tcW w:w="2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2DFF73">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台</w:t>
            </w:r>
          </w:p>
        </w:tc>
        <w:tc>
          <w:tcPr>
            <w:tcW w:w="3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7A4123">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2</w:t>
            </w:r>
          </w:p>
        </w:tc>
      </w:tr>
      <w:tr w14:paraId="621DFF00">
        <w:tblPrEx>
          <w:tblCellMar>
            <w:top w:w="0" w:type="dxa"/>
            <w:left w:w="108" w:type="dxa"/>
            <w:bottom w:w="0" w:type="dxa"/>
            <w:right w:w="108" w:type="dxa"/>
          </w:tblCellMar>
        </w:tblPrEx>
        <w:trPr>
          <w:trHeight w:val="600" w:hRule="atLeast"/>
          <w:jc w:val="center"/>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EE5D35">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5</w:t>
            </w:r>
          </w:p>
        </w:tc>
        <w:tc>
          <w:tcPr>
            <w:tcW w:w="9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773753">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方形麦克风</w:t>
            </w:r>
          </w:p>
        </w:tc>
        <w:tc>
          <w:tcPr>
            <w:tcW w:w="3162" w:type="pct"/>
            <w:tcBorders>
              <w:top w:val="single" w:color="000000" w:sz="4" w:space="0"/>
              <w:left w:val="single" w:color="000000" w:sz="4" w:space="0"/>
              <w:bottom w:val="single" w:color="000000" w:sz="4" w:space="0"/>
              <w:right w:val="single" w:color="000000" w:sz="4" w:space="0"/>
            </w:tcBorders>
            <w:shd w:val="clear" w:color="auto" w:fill="FFFFFF"/>
          </w:tcPr>
          <w:p w14:paraId="5886D0AF">
            <w:pPr>
              <w:widowControl/>
              <w:spacing w:line="360" w:lineRule="auto"/>
              <w:jc w:val="left"/>
              <w:textAlignment w:val="top"/>
              <w:rPr>
                <w:rFonts w:hint="eastAsia" w:ascii="宋体" w:hAnsi="宋体" w:eastAsia="宋体" w:cs="宋体"/>
                <w:color w:val="000000"/>
                <w:sz w:val="21"/>
                <w:szCs w:val="21"/>
              </w:rPr>
            </w:pPr>
            <w:r>
              <w:rPr>
                <w:rFonts w:hint="eastAsia" w:ascii="宋体" w:hAnsi="宋体" w:eastAsia="宋体" w:cs="宋体"/>
                <w:color w:val="000000"/>
                <w:kern w:val="0"/>
                <w:sz w:val="21"/>
                <w:szCs w:val="21"/>
              </w:rPr>
              <w:t>1</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采用方形话筒管和电容式心形指向咪芯，可精准拾取声音，抑制环境噪音。</w:t>
            </w:r>
            <w:r>
              <w:rPr>
                <w:rFonts w:hint="eastAsia" w:ascii="宋体" w:hAnsi="宋体" w:eastAsia="宋体" w:cs="宋体"/>
                <w:color w:val="000000"/>
                <w:kern w:val="0"/>
                <w:sz w:val="21"/>
                <w:szCs w:val="21"/>
              </w:rPr>
              <w:br w:type="textWrapping"/>
            </w:r>
            <w:r>
              <w:rPr>
                <w:rFonts w:hint="eastAsia" w:ascii="宋体" w:hAnsi="宋体" w:eastAsia="宋体" w:cs="宋体"/>
                <w:color w:val="000000"/>
                <w:kern w:val="0"/>
                <w:sz w:val="21"/>
                <w:szCs w:val="21"/>
              </w:rPr>
              <w:t>2</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内置音头前置供电及放大器组件，工作电压直流48V。</w:t>
            </w:r>
            <w:r>
              <w:rPr>
                <w:rFonts w:hint="eastAsia" w:ascii="宋体" w:hAnsi="宋体" w:eastAsia="宋体" w:cs="宋体"/>
                <w:color w:val="000000"/>
                <w:kern w:val="0"/>
                <w:sz w:val="21"/>
                <w:szCs w:val="21"/>
              </w:rPr>
              <w:br w:type="textWrapping"/>
            </w:r>
            <w:r>
              <w:rPr>
                <w:rFonts w:hint="eastAsia" w:ascii="宋体" w:hAnsi="宋体" w:eastAsia="宋体" w:cs="宋体"/>
                <w:color w:val="000000"/>
                <w:kern w:val="0"/>
                <w:sz w:val="21"/>
                <w:szCs w:val="21"/>
              </w:rPr>
              <w:t>3</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话筒杆与底座采用4针航空插结构，带锁定螺母固定。</w:t>
            </w:r>
            <w:r>
              <w:rPr>
                <w:rFonts w:hint="eastAsia" w:ascii="宋体" w:hAnsi="宋体" w:eastAsia="宋体" w:cs="宋体"/>
                <w:color w:val="000000"/>
                <w:kern w:val="0"/>
                <w:sz w:val="21"/>
                <w:szCs w:val="21"/>
              </w:rPr>
              <w:br w:type="textWrapping"/>
            </w:r>
            <w:r>
              <w:rPr>
                <w:rFonts w:hint="eastAsia" w:ascii="宋体" w:hAnsi="宋体" w:eastAsia="宋体" w:cs="宋体"/>
                <w:color w:val="000000"/>
                <w:kern w:val="0"/>
                <w:sz w:val="21"/>
                <w:szCs w:val="21"/>
              </w:rPr>
              <w:t>4</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无开关设计，话筒随音响系统自启动。</w:t>
            </w:r>
            <w:r>
              <w:rPr>
                <w:rFonts w:hint="eastAsia" w:ascii="宋体" w:hAnsi="宋体" w:eastAsia="宋体" w:cs="宋体"/>
                <w:color w:val="000000"/>
                <w:kern w:val="0"/>
                <w:sz w:val="21"/>
                <w:szCs w:val="21"/>
              </w:rPr>
              <w:br w:type="textWrapping"/>
            </w:r>
            <w:r>
              <w:rPr>
                <w:rFonts w:hint="eastAsia" w:ascii="宋体" w:hAnsi="宋体" w:eastAsia="宋体" w:cs="宋体"/>
                <w:color w:val="000000"/>
                <w:kern w:val="0"/>
                <w:sz w:val="21"/>
                <w:szCs w:val="21"/>
              </w:rPr>
              <w:t>5</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简捷、快速的安装方式，话筒底座输出端为标准的3针卡侬公头XLRM。</w:t>
            </w:r>
            <w:r>
              <w:rPr>
                <w:rFonts w:hint="eastAsia" w:ascii="宋体" w:hAnsi="宋体" w:eastAsia="宋体" w:cs="宋体"/>
                <w:color w:val="000000"/>
                <w:kern w:val="0"/>
                <w:sz w:val="21"/>
                <w:szCs w:val="21"/>
              </w:rPr>
              <w:br w:type="textWrapping"/>
            </w:r>
            <w:r>
              <w:rPr>
                <w:rFonts w:hint="eastAsia" w:ascii="宋体" w:hAnsi="宋体" w:eastAsia="宋体" w:cs="宋体"/>
                <w:color w:val="000000"/>
                <w:kern w:val="0"/>
                <w:sz w:val="21"/>
                <w:szCs w:val="21"/>
              </w:rPr>
              <w:t>6</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灵敏度：不低于-40dBV/Pa，拾音范围宽，确保庭审参与人各种姿态发言均能拾取。</w:t>
            </w:r>
            <w:r>
              <w:rPr>
                <w:rFonts w:hint="eastAsia" w:ascii="宋体" w:hAnsi="宋体" w:eastAsia="宋体" w:cs="宋体"/>
                <w:color w:val="000000"/>
                <w:kern w:val="0"/>
                <w:sz w:val="21"/>
                <w:szCs w:val="21"/>
              </w:rPr>
              <w:br w:type="textWrapping"/>
            </w:r>
            <w:r>
              <w:rPr>
                <w:rFonts w:hint="eastAsia" w:ascii="宋体" w:hAnsi="宋体" w:eastAsia="宋体" w:cs="宋体"/>
                <w:color w:val="000000"/>
                <w:kern w:val="0"/>
                <w:sz w:val="21"/>
                <w:szCs w:val="21"/>
              </w:rPr>
              <w:t>7</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频率响应：20Hz-20KHz。</w:t>
            </w:r>
          </w:p>
        </w:tc>
        <w:tc>
          <w:tcPr>
            <w:tcW w:w="2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AABCB4">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套</w:t>
            </w:r>
          </w:p>
        </w:tc>
        <w:tc>
          <w:tcPr>
            <w:tcW w:w="3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991EC9">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14</w:t>
            </w:r>
          </w:p>
        </w:tc>
      </w:tr>
      <w:tr w14:paraId="188E02BB">
        <w:tblPrEx>
          <w:tblCellMar>
            <w:top w:w="0" w:type="dxa"/>
            <w:left w:w="108" w:type="dxa"/>
            <w:bottom w:w="0" w:type="dxa"/>
            <w:right w:w="108" w:type="dxa"/>
          </w:tblCellMar>
        </w:tblPrEx>
        <w:trPr>
          <w:trHeight w:val="600" w:hRule="atLeast"/>
          <w:jc w:val="center"/>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D19CEF">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6</w:t>
            </w:r>
          </w:p>
        </w:tc>
        <w:tc>
          <w:tcPr>
            <w:tcW w:w="9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DAF921">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音频处理器</w:t>
            </w:r>
          </w:p>
        </w:tc>
        <w:tc>
          <w:tcPr>
            <w:tcW w:w="316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509240">
            <w:pPr>
              <w:widowControl/>
              <w:spacing w:line="360" w:lineRule="auto"/>
              <w:jc w:val="left"/>
              <w:textAlignment w:val="center"/>
              <w:rPr>
                <w:rFonts w:hint="eastAsia" w:ascii="宋体" w:hAnsi="宋体" w:eastAsia="宋体" w:cs="宋体"/>
                <w:color w:val="000000"/>
                <w:sz w:val="21"/>
                <w:szCs w:val="21"/>
              </w:rPr>
            </w:pPr>
            <w:r>
              <w:rPr>
                <w:rFonts w:hint="eastAsia" w:ascii="宋体" w:hAnsi="宋体" w:eastAsia="宋体" w:cs="宋体"/>
                <w:kern w:val="0"/>
                <w:sz w:val="21"/>
                <w:szCs w:val="21"/>
              </w:rPr>
              <w:t>1</w:t>
            </w:r>
            <w:r>
              <w:rPr>
                <w:rFonts w:hint="eastAsia" w:ascii="宋体" w:hAnsi="宋体" w:eastAsia="宋体" w:cs="宋体"/>
                <w:kern w:val="0"/>
                <w:sz w:val="21"/>
                <w:szCs w:val="21"/>
                <w:lang w:val="en-US" w:eastAsia="zh-CN"/>
              </w:rPr>
              <w:t>.</w:t>
            </w:r>
            <w:r>
              <w:rPr>
                <w:rFonts w:hint="eastAsia" w:ascii="宋体" w:hAnsi="宋体" w:eastAsia="宋体" w:cs="宋体"/>
                <w:kern w:val="0"/>
                <w:sz w:val="21"/>
                <w:szCs w:val="21"/>
              </w:rPr>
              <w:t>音频输入：支持不少于16路平衡式话筒/线路输入，每个输入通道有独立的压限器、均衡器、噪声门、自动增益，每个输入通道的线路输入可以根据需要选取灵敏度。</w:t>
            </w:r>
            <w:r>
              <w:rPr>
                <w:rFonts w:hint="eastAsia" w:ascii="宋体" w:hAnsi="宋体" w:eastAsia="宋体" w:cs="宋体"/>
                <w:kern w:val="0"/>
                <w:sz w:val="21"/>
                <w:szCs w:val="21"/>
              </w:rPr>
              <w:br w:type="textWrapping"/>
            </w:r>
            <w:r>
              <w:rPr>
                <w:rFonts w:hint="eastAsia" w:ascii="宋体" w:hAnsi="宋体" w:eastAsia="宋体" w:cs="宋体"/>
                <w:kern w:val="0"/>
                <w:sz w:val="21"/>
                <w:szCs w:val="21"/>
              </w:rPr>
              <w:t>2</w:t>
            </w:r>
            <w:r>
              <w:rPr>
                <w:rFonts w:hint="eastAsia" w:ascii="宋体" w:hAnsi="宋体" w:eastAsia="宋体" w:cs="宋体"/>
                <w:kern w:val="0"/>
                <w:sz w:val="21"/>
                <w:szCs w:val="21"/>
                <w:lang w:val="en-US" w:eastAsia="zh-CN"/>
              </w:rPr>
              <w:t>.</w:t>
            </w:r>
            <w:r>
              <w:rPr>
                <w:rFonts w:hint="eastAsia" w:ascii="宋体" w:hAnsi="宋体" w:eastAsia="宋体" w:cs="宋体"/>
                <w:kern w:val="0"/>
                <w:sz w:val="21"/>
                <w:szCs w:val="21"/>
              </w:rPr>
              <w:t>音频输出：不少于16路平衡音频输出，每个输出通道有独立的八段参数均衡器、延时器、分频器、压限器模块，可根据环境需要输出不同音效。</w:t>
            </w:r>
            <w:r>
              <w:rPr>
                <w:rFonts w:hint="eastAsia" w:ascii="宋体" w:hAnsi="宋体" w:eastAsia="宋体" w:cs="宋体"/>
                <w:kern w:val="0"/>
                <w:sz w:val="21"/>
                <w:szCs w:val="21"/>
              </w:rPr>
              <w:br w:type="textWrapping"/>
            </w:r>
            <w:r>
              <w:rPr>
                <w:rFonts w:hint="eastAsia" w:ascii="宋体" w:hAnsi="宋体" w:eastAsia="宋体" w:cs="宋体"/>
                <w:kern w:val="0"/>
                <w:sz w:val="21"/>
                <w:szCs w:val="21"/>
              </w:rPr>
              <w:t>3</w:t>
            </w:r>
            <w:r>
              <w:rPr>
                <w:rFonts w:hint="eastAsia" w:ascii="宋体" w:hAnsi="宋体" w:eastAsia="宋体" w:cs="宋体"/>
                <w:kern w:val="0"/>
                <w:sz w:val="21"/>
                <w:szCs w:val="21"/>
                <w:lang w:val="en-US" w:eastAsia="zh-CN"/>
              </w:rPr>
              <w:t>.</w:t>
            </w:r>
            <w:r>
              <w:rPr>
                <w:rFonts w:hint="eastAsia" w:ascii="宋体" w:hAnsi="宋体" w:eastAsia="宋体" w:cs="宋体"/>
                <w:kern w:val="0"/>
                <w:sz w:val="21"/>
                <w:szCs w:val="21"/>
              </w:rPr>
              <w:t>支持rs232/net控制信号输出,支持配合庭审主机实现不同席位的语音激励。</w:t>
            </w:r>
            <w:r>
              <w:rPr>
                <w:rFonts w:hint="eastAsia" w:ascii="宋体" w:hAnsi="宋体" w:eastAsia="宋体" w:cs="宋体"/>
                <w:kern w:val="0"/>
                <w:sz w:val="21"/>
                <w:szCs w:val="21"/>
              </w:rPr>
              <w:br w:type="textWrapping"/>
            </w:r>
            <w:r>
              <w:rPr>
                <w:rFonts w:hint="eastAsia" w:ascii="宋体" w:hAnsi="宋体" w:eastAsia="宋体" w:cs="宋体"/>
                <w:kern w:val="0"/>
                <w:sz w:val="21"/>
                <w:szCs w:val="21"/>
              </w:rPr>
              <w:t>4</w:t>
            </w:r>
            <w:r>
              <w:rPr>
                <w:rFonts w:hint="eastAsia" w:ascii="宋体" w:hAnsi="宋体" w:eastAsia="宋体" w:cs="宋体"/>
                <w:kern w:val="0"/>
                <w:sz w:val="21"/>
                <w:szCs w:val="21"/>
                <w:lang w:val="en-US" w:eastAsia="zh-CN"/>
              </w:rPr>
              <w:t>.</w:t>
            </w:r>
            <w:r>
              <w:rPr>
                <w:rFonts w:hint="eastAsia" w:ascii="宋体" w:hAnsi="宋体" w:eastAsia="宋体" w:cs="宋体"/>
                <w:kern w:val="0"/>
                <w:sz w:val="21"/>
                <w:szCs w:val="21"/>
              </w:rPr>
              <w:t>音频输出不少于2路混合音，以满足庭审录音需要。</w:t>
            </w:r>
            <w:r>
              <w:rPr>
                <w:rFonts w:hint="eastAsia" w:ascii="宋体" w:hAnsi="宋体" w:eastAsia="宋体" w:cs="宋体"/>
                <w:kern w:val="0"/>
                <w:sz w:val="21"/>
                <w:szCs w:val="21"/>
              </w:rPr>
              <w:br w:type="textWrapping"/>
            </w:r>
            <w:r>
              <w:rPr>
                <w:rFonts w:hint="eastAsia" w:ascii="宋体" w:hAnsi="宋体" w:eastAsia="宋体" w:cs="宋体"/>
                <w:kern w:val="0"/>
                <w:sz w:val="21"/>
                <w:szCs w:val="21"/>
              </w:rPr>
              <w:t>5</w:t>
            </w:r>
            <w:r>
              <w:rPr>
                <w:rFonts w:hint="eastAsia" w:ascii="宋体" w:hAnsi="宋体" w:eastAsia="宋体" w:cs="宋体"/>
                <w:kern w:val="0"/>
                <w:sz w:val="21"/>
                <w:szCs w:val="21"/>
                <w:lang w:val="en-US" w:eastAsia="zh-CN"/>
              </w:rPr>
              <w:t>.</w:t>
            </w:r>
            <w:r>
              <w:rPr>
                <w:rFonts w:hint="eastAsia" w:ascii="宋体" w:hAnsi="宋体" w:eastAsia="宋体" w:cs="宋体"/>
                <w:kern w:val="0"/>
                <w:sz w:val="21"/>
                <w:szCs w:val="21"/>
              </w:rPr>
              <w:t>音频输出不少于4组编组输出，以满足庭审录音特殊需要。</w:t>
            </w:r>
            <w:r>
              <w:rPr>
                <w:rFonts w:hint="eastAsia" w:ascii="宋体" w:hAnsi="宋体" w:eastAsia="宋体" w:cs="宋体"/>
                <w:kern w:val="0"/>
                <w:sz w:val="21"/>
                <w:szCs w:val="21"/>
              </w:rPr>
              <w:br w:type="textWrapping"/>
            </w:r>
            <w:r>
              <w:rPr>
                <w:rFonts w:hint="eastAsia" w:ascii="宋体" w:hAnsi="宋体" w:eastAsia="宋体" w:cs="宋体"/>
                <w:kern w:val="0"/>
                <w:sz w:val="21"/>
                <w:szCs w:val="21"/>
              </w:rPr>
              <w:t>6</w:t>
            </w:r>
            <w:r>
              <w:rPr>
                <w:rFonts w:hint="eastAsia" w:ascii="宋体" w:hAnsi="宋体" w:eastAsia="宋体" w:cs="宋体"/>
                <w:kern w:val="0"/>
                <w:sz w:val="21"/>
                <w:szCs w:val="21"/>
                <w:lang w:val="en-US" w:eastAsia="zh-CN"/>
              </w:rPr>
              <w:t>.</w:t>
            </w:r>
            <w:r>
              <w:rPr>
                <w:rFonts w:hint="eastAsia" w:ascii="宋体" w:hAnsi="宋体" w:eastAsia="宋体" w:cs="宋体"/>
                <w:kern w:val="0"/>
                <w:sz w:val="21"/>
                <w:szCs w:val="21"/>
              </w:rPr>
              <w:t>提供不少于16路音频输入设备的状态检测。</w:t>
            </w:r>
            <w:r>
              <w:rPr>
                <w:rFonts w:hint="eastAsia" w:ascii="宋体" w:hAnsi="宋体" w:eastAsia="宋体" w:cs="宋体"/>
                <w:kern w:val="0"/>
                <w:sz w:val="21"/>
                <w:szCs w:val="21"/>
              </w:rPr>
              <w:br w:type="textWrapping"/>
            </w:r>
            <w:r>
              <w:rPr>
                <w:rFonts w:hint="eastAsia" w:ascii="宋体" w:hAnsi="宋体" w:eastAsia="宋体" w:cs="宋体"/>
                <w:kern w:val="0"/>
                <w:sz w:val="21"/>
                <w:szCs w:val="21"/>
              </w:rPr>
              <w:t>7</w:t>
            </w:r>
            <w:r>
              <w:rPr>
                <w:rFonts w:hint="eastAsia" w:ascii="宋体" w:hAnsi="宋体" w:eastAsia="宋体" w:cs="宋体"/>
                <w:kern w:val="0"/>
                <w:sz w:val="21"/>
                <w:szCs w:val="21"/>
                <w:lang w:val="en-US" w:eastAsia="zh-CN"/>
              </w:rPr>
              <w:t>.</w:t>
            </w:r>
            <w:r>
              <w:rPr>
                <w:rFonts w:hint="eastAsia" w:ascii="宋体" w:hAnsi="宋体" w:eastAsia="宋体" w:cs="宋体"/>
                <w:kern w:val="0"/>
                <w:sz w:val="21"/>
                <w:szCs w:val="21"/>
              </w:rPr>
              <w:t>内置数字音效器，可根据法庭环境调整每路音频输入输出的音质，确保不同环境都能得到最真实的录音效果。</w:t>
            </w:r>
            <w:r>
              <w:rPr>
                <w:rFonts w:hint="eastAsia" w:ascii="宋体" w:hAnsi="宋体" w:eastAsia="宋体" w:cs="宋体"/>
                <w:kern w:val="0"/>
                <w:sz w:val="21"/>
                <w:szCs w:val="21"/>
              </w:rPr>
              <w:br w:type="textWrapping"/>
            </w:r>
            <w:r>
              <w:rPr>
                <w:rFonts w:hint="eastAsia" w:ascii="宋体" w:hAnsi="宋体" w:eastAsia="宋体" w:cs="宋体"/>
                <w:sz w:val="21"/>
                <w:szCs w:val="21"/>
              </w:rPr>
              <w:t>★</w:t>
            </w:r>
            <w:r>
              <w:rPr>
                <w:rFonts w:hint="eastAsia" w:ascii="宋体" w:hAnsi="宋体" w:eastAsia="宋体" w:cs="宋体"/>
                <w:kern w:val="0"/>
                <w:sz w:val="21"/>
                <w:szCs w:val="21"/>
              </w:rPr>
              <w:t>8</w:t>
            </w:r>
            <w:r>
              <w:rPr>
                <w:rFonts w:hint="eastAsia" w:ascii="宋体" w:hAnsi="宋体" w:eastAsia="宋体" w:cs="宋体"/>
                <w:kern w:val="0"/>
                <w:sz w:val="21"/>
                <w:szCs w:val="21"/>
                <w:lang w:val="en-US" w:eastAsia="zh-CN"/>
              </w:rPr>
              <w:t>.</w:t>
            </w:r>
            <w:r>
              <w:rPr>
                <w:rFonts w:hint="eastAsia" w:ascii="宋体" w:hAnsi="宋体" w:eastAsia="宋体" w:cs="宋体"/>
                <w:kern w:val="0"/>
                <w:sz w:val="21"/>
                <w:szCs w:val="21"/>
              </w:rPr>
              <w:t>可通过全国法院办案办公平台数字法庭开庭页面控制音量大小、实时动态观看音频波纹、实时监控音频输入设备状态、监看系统录音和运行状态。（提供清晰精要且能呈现全流程操作说明的功能截图）</w:t>
            </w:r>
            <w:r>
              <w:rPr>
                <w:rFonts w:hint="eastAsia" w:ascii="宋体" w:hAnsi="宋体" w:eastAsia="宋体" w:cs="宋体"/>
                <w:kern w:val="0"/>
                <w:sz w:val="21"/>
                <w:szCs w:val="21"/>
              </w:rPr>
              <w:br w:type="textWrapping"/>
            </w:r>
            <w:r>
              <w:rPr>
                <w:rFonts w:hint="eastAsia" w:ascii="宋体" w:hAnsi="宋体" w:eastAsia="宋体" w:cs="宋体"/>
                <w:kern w:val="0"/>
                <w:sz w:val="21"/>
                <w:szCs w:val="21"/>
              </w:rPr>
              <w:t>9</w:t>
            </w:r>
            <w:r>
              <w:rPr>
                <w:rFonts w:hint="eastAsia" w:ascii="宋体" w:hAnsi="宋体" w:eastAsia="宋体" w:cs="宋体"/>
                <w:kern w:val="0"/>
                <w:sz w:val="21"/>
                <w:szCs w:val="21"/>
                <w:lang w:val="en-US" w:eastAsia="zh-CN"/>
              </w:rPr>
              <w:t>.</w:t>
            </w:r>
            <w:r>
              <w:rPr>
                <w:rFonts w:hint="eastAsia" w:ascii="宋体" w:hAnsi="宋体" w:eastAsia="宋体" w:cs="宋体"/>
                <w:kern w:val="0"/>
                <w:sz w:val="21"/>
                <w:szCs w:val="21"/>
              </w:rPr>
              <w:t>点播时可任意选取播放通道，播放内容有混合音或独立音。</w:t>
            </w:r>
          </w:p>
        </w:tc>
        <w:tc>
          <w:tcPr>
            <w:tcW w:w="2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1A6025">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台</w:t>
            </w:r>
          </w:p>
        </w:tc>
        <w:tc>
          <w:tcPr>
            <w:tcW w:w="3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9C7695">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2</w:t>
            </w:r>
          </w:p>
        </w:tc>
      </w:tr>
      <w:tr w14:paraId="6659BE49">
        <w:tblPrEx>
          <w:tblCellMar>
            <w:top w:w="0" w:type="dxa"/>
            <w:left w:w="108" w:type="dxa"/>
            <w:bottom w:w="0" w:type="dxa"/>
            <w:right w:w="108" w:type="dxa"/>
          </w:tblCellMar>
        </w:tblPrEx>
        <w:trPr>
          <w:trHeight w:val="600" w:hRule="atLeast"/>
          <w:jc w:val="center"/>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7B558B">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7</w:t>
            </w:r>
          </w:p>
        </w:tc>
        <w:tc>
          <w:tcPr>
            <w:tcW w:w="9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B54535">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数字反馈抑制器</w:t>
            </w:r>
          </w:p>
        </w:tc>
        <w:tc>
          <w:tcPr>
            <w:tcW w:w="316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ACE19A">
            <w:pPr>
              <w:widowControl/>
              <w:snapToGrid w:val="0"/>
              <w:spacing w:line="360" w:lineRule="auto"/>
              <w:jc w:val="left"/>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US" w:eastAsia="zh-CN"/>
              </w:rPr>
              <w:t>.</w:t>
            </w:r>
            <w:r>
              <w:rPr>
                <w:rFonts w:hint="eastAsia" w:ascii="宋体" w:hAnsi="宋体" w:eastAsia="宋体" w:cs="宋体"/>
                <w:sz w:val="21"/>
                <w:szCs w:val="21"/>
              </w:rPr>
              <w:t>支持不少于10路麦克风接入、不少于1路线性输入。</w:t>
            </w:r>
          </w:p>
          <w:p w14:paraId="2F59F372">
            <w:pPr>
              <w:widowControl/>
              <w:snapToGrid w:val="0"/>
              <w:spacing w:line="360" w:lineRule="auto"/>
              <w:jc w:val="left"/>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val="en-US" w:eastAsia="zh-CN"/>
              </w:rPr>
              <w:t>.</w:t>
            </w:r>
            <w:r>
              <w:rPr>
                <w:rFonts w:hint="eastAsia" w:ascii="宋体" w:hAnsi="宋体" w:eastAsia="宋体" w:cs="宋体"/>
                <w:sz w:val="21"/>
                <w:szCs w:val="21"/>
              </w:rPr>
              <w:t>支持不少于10路线性输出。</w:t>
            </w:r>
          </w:p>
          <w:p w14:paraId="3082AF5D">
            <w:pPr>
              <w:widowControl/>
              <w:snapToGrid w:val="0"/>
              <w:spacing w:line="360" w:lineRule="auto"/>
              <w:jc w:val="left"/>
              <w:rPr>
                <w:rFonts w:hint="eastAsia" w:ascii="宋体" w:hAnsi="宋体" w:eastAsia="宋体" w:cs="宋体"/>
                <w:sz w:val="21"/>
                <w:szCs w:val="21"/>
              </w:rPr>
            </w:pPr>
            <w:r>
              <w:rPr>
                <w:rFonts w:hint="eastAsia" w:ascii="宋体" w:hAnsi="宋体" w:eastAsia="宋体" w:cs="宋体"/>
                <w:sz w:val="21"/>
                <w:szCs w:val="21"/>
              </w:rPr>
              <w:t>3</w:t>
            </w:r>
            <w:r>
              <w:rPr>
                <w:rFonts w:hint="eastAsia" w:ascii="宋体" w:hAnsi="宋体" w:eastAsia="宋体" w:cs="宋体"/>
                <w:sz w:val="21"/>
                <w:szCs w:val="21"/>
                <w:lang w:val="en-US" w:eastAsia="zh-CN"/>
              </w:rPr>
              <w:t>.</w:t>
            </w:r>
            <w:r>
              <w:rPr>
                <w:rFonts w:hint="eastAsia" w:ascii="宋体" w:hAnsi="宋体" w:eastAsia="宋体" w:cs="宋体"/>
                <w:sz w:val="21"/>
                <w:szCs w:val="21"/>
              </w:rPr>
              <w:t>每路提供独立48V幻象供电。</w:t>
            </w:r>
          </w:p>
          <w:p w14:paraId="580C5FA8">
            <w:pPr>
              <w:widowControl/>
              <w:snapToGrid w:val="0"/>
              <w:spacing w:line="360" w:lineRule="auto"/>
              <w:jc w:val="left"/>
              <w:rPr>
                <w:rFonts w:hint="eastAsia" w:ascii="宋体" w:hAnsi="宋体" w:eastAsia="宋体" w:cs="宋体"/>
                <w:sz w:val="21"/>
                <w:szCs w:val="21"/>
              </w:rPr>
            </w:pPr>
            <w:r>
              <w:rPr>
                <w:rFonts w:hint="eastAsia" w:ascii="宋体" w:hAnsi="宋体" w:eastAsia="宋体" w:cs="宋体"/>
                <w:sz w:val="21"/>
                <w:szCs w:val="21"/>
              </w:rPr>
              <w:t>4</w:t>
            </w:r>
            <w:r>
              <w:rPr>
                <w:rFonts w:hint="eastAsia" w:ascii="宋体" w:hAnsi="宋体" w:eastAsia="宋体" w:cs="宋体"/>
                <w:sz w:val="21"/>
                <w:szCs w:val="21"/>
                <w:lang w:val="en-US" w:eastAsia="zh-CN"/>
              </w:rPr>
              <w:t>.</w:t>
            </w:r>
            <w:r>
              <w:rPr>
                <w:rFonts w:hint="eastAsia" w:ascii="宋体" w:hAnsi="宋体" w:eastAsia="宋体" w:cs="宋体"/>
                <w:sz w:val="21"/>
                <w:szCs w:val="21"/>
              </w:rPr>
              <w:t>每路提供独立全双工回声消除算法，智能降噪，语音不受损失。</w:t>
            </w:r>
          </w:p>
          <w:p w14:paraId="00DFE5FC">
            <w:pPr>
              <w:widowControl/>
              <w:snapToGrid w:val="0"/>
              <w:spacing w:line="360" w:lineRule="auto"/>
              <w:jc w:val="left"/>
              <w:rPr>
                <w:rFonts w:hint="eastAsia" w:ascii="宋体" w:hAnsi="宋体" w:eastAsia="宋体" w:cs="宋体"/>
                <w:sz w:val="21"/>
                <w:szCs w:val="21"/>
              </w:rPr>
            </w:pPr>
            <w:r>
              <w:rPr>
                <w:rFonts w:hint="eastAsia" w:ascii="宋体" w:hAnsi="宋体" w:eastAsia="宋体" w:cs="宋体"/>
                <w:sz w:val="21"/>
                <w:szCs w:val="21"/>
              </w:rPr>
              <w:t>5</w:t>
            </w:r>
            <w:r>
              <w:rPr>
                <w:rFonts w:hint="eastAsia" w:ascii="宋体" w:hAnsi="宋体" w:eastAsia="宋体" w:cs="宋体"/>
                <w:sz w:val="21"/>
                <w:szCs w:val="21"/>
                <w:lang w:val="en-US" w:eastAsia="zh-CN"/>
              </w:rPr>
              <w:t>.</w:t>
            </w:r>
            <w:r>
              <w:rPr>
                <w:rFonts w:hint="eastAsia" w:ascii="宋体" w:hAnsi="宋体" w:eastAsia="宋体" w:cs="宋体"/>
                <w:sz w:val="21"/>
                <w:szCs w:val="21"/>
              </w:rPr>
              <w:t>采用国产DSP芯片，采样率48K 24bit。</w:t>
            </w:r>
          </w:p>
          <w:p w14:paraId="28BC2A1C">
            <w:pPr>
              <w:widowControl/>
              <w:snapToGrid w:val="0"/>
              <w:spacing w:line="360" w:lineRule="auto"/>
              <w:jc w:val="left"/>
              <w:rPr>
                <w:rFonts w:hint="eastAsia" w:ascii="宋体" w:hAnsi="宋体" w:eastAsia="宋体" w:cs="宋体"/>
                <w:sz w:val="21"/>
                <w:szCs w:val="21"/>
              </w:rPr>
            </w:pPr>
            <w:r>
              <w:rPr>
                <w:rFonts w:hint="eastAsia" w:ascii="宋体" w:hAnsi="宋体" w:eastAsia="宋体" w:cs="宋体"/>
                <w:sz w:val="21"/>
                <w:szCs w:val="21"/>
              </w:rPr>
              <w:t>6</w:t>
            </w:r>
            <w:r>
              <w:rPr>
                <w:rFonts w:hint="eastAsia" w:ascii="宋体" w:hAnsi="宋体" w:eastAsia="宋体" w:cs="宋体"/>
                <w:sz w:val="21"/>
                <w:szCs w:val="21"/>
                <w:lang w:val="en-US" w:eastAsia="zh-CN"/>
              </w:rPr>
              <w:t>.</w:t>
            </w:r>
            <w:r>
              <w:rPr>
                <w:rFonts w:hint="eastAsia" w:ascii="宋体" w:hAnsi="宋体" w:eastAsia="宋体" w:cs="宋体"/>
                <w:sz w:val="21"/>
                <w:szCs w:val="21"/>
              </w:rPr>
              <w:t>通道隔离度＞85dB。</w:t>
            </w:r>
          </w:p>
          <w:p w14:paraId="33C5F43F">
            <w:pPr>
              <w:widowControl/>
              <w:spacing w:line="360" w:lineRule="auto"/>
              <w:jc w:val="left"/>
              <w:textAlignment w:val="center"/>
              <w:rPr>
                <w:rFonts w:hint="eastAsia" w:ascii="宋体" w:hAnsi="宋体" w:eastAsia="宋体" w:cs="宋体"/>
                <w:color w:val="000000"/>
                <w:sz w:val="21"/>
                <w:szCs w:val="21"/>
              </w:rPr>
            </w:pPr>
            <w:r>
              <w:rPr>
                <w:rFonts w:hint="eastAsia" w:ascii="宋体" w:hAnsi="宋体" w:eastAsia="宋体" w:cs="宋体"/>
                <w:sz w:val="21"/>
                <w:szCs w:val="21"/>
              </w:rPr>
              <w:t>★7</w:t>
            </w:r>
            <w:r>
              <w:rPr>
                <w:rFonts w:hint="eastAsia" w:ascii="宋体" w:hAnsi="宋体" w:eastAsia="宋体" w:cs="宋体"/>
                <w:sz w:val="21"/>
                <w:szCs w:val="21"/>
                <w:lang w:val="en-US" w:eastAsia="zh-CN"/>
              </w:rPr>
              <w:t>.</w:t>
            </w:r>
            <w:r>
              <w:rPr>
                <w:rFonts w:hint="eastAsia" w:ascii="宋体" w:hAnsi="宋体" w:eastAsia="宋体" w:cs="宋体"/>
                <w:sz w:val="21"/>
                <w:szCs w:val="21"/>
              </w:rPr>
              <w:t>具有与庭审主机兼容，实现针对不同席位语音自动激励功能；具有麦克风插拔检测功能。（提供清晰精要且能呈现全流程操作说明的功能截图）</w:t>
            </w:r>
          </w:p>
        </w:tc>
        <w:tc>
          <w:tcPr>
            <w:tcW w:w="2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7F0755">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台</w:t>
            </w:r>
          </w:p>
        </w:tc>
        <w:tc>
          <w:tcPr>
            <w:tcW w:w="3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A70348">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2</w:t>
            </w:r>
          </w:p>
        </w:tc>
      </w:tr>
      <w:tr w14:paraId="7653C38C">
        <w:tblPrEx>
          <w:tblCellMar>
            <w:top w:w="0" w:type="dxa"/>
            <w:left w:w="108" w:type="dxa"/>
            <w:bottom w:w="0" w:type="dxa"/>
            <w:right w:w="108" w:type="dxa"/>
          </w:tblCellMar>
        </w:tblPrEx>
        <w:trPr>
          <w:trHeight w:val="600" w:hRule="atLeast"/>
          <w:jc w:val="center"/>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3F604F">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8</w:t>
            </w:r>
          </w:p>
        </w:tc>
        <w:tc>
          <w:tcPr>
            <w:tcW w:w="9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10D13E">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四通道功放</w:t>
            </w:r>
          </w:p>
        </w:tc>
        <w:tc>
          <w:tcPr>
            <w:tcW w:w="316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DB29C7">
            <w:pPr>
              <w:widowControl/>
              <w:spacing w:line="36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1</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不小于4*300W/8Ω，不小于4*500W/4Ω的输出通道。</w:t>
            </w:r>
            <w:r>
              <w:rPr>
                <w:rFonts w:hint="eastAsia" w:ascii="宋体" w:hAnsi="宋体" w:eastAsia="宋体" w:cs="宋体"/>
                <w:color w:val="000000"/>
                <w:kern w:val="0"/>
                <w:sz w:val="21"/>
                <w:szCs w:val="21"/>
              </w:rPr>
              <w:br w:type="textWrapping"/>
            </w:r>
            <w:r>
              <w:rPr>
                <w:rFonts w:hint="eastAsia" w:ascii="宋体" w:hAnsi="宋体" w:eastAsia="宋体" w:cs="宋体"/>
                <w:color w:val="000000"/>
                <w:kern w:val="0"/>
                <w:sz w:val="21"/>
                <w:szCs w:val="21"/>
              </w:rPr>
              <w:t>2</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Class D类放大线路。</w:t>
            </w:r>
            <w:r>
              <w:rPr>
                <w:rFonts w:hint="eastAsia" w:ascii="宋体" w:hAnsi="宋体" w:eastAsia="宋体" w:cs="宋体"/>
                <w:color w:val="000000"/>
                <w:kern w:val="0"/>
                <w:sz w:val="21"/>
                <w:szCs w:val="21"/>
              </w:rPr>
              <w:br w:type="textWrapping"/>
            </w:r>
            <w:r>
              <w:rPr>
                <w:rFonts w:hint="eastAsia" w:ascii="宋体" w:hAnsi="宋体" w:eastAsia="宋体" w:cs="宋体"/>
                <w:color w:val="000000"/>
                <w:kern w:val="0"/>
                <w:sz w:val="21"/>
                <w:szCs w:val="21"/>
              </w:rPr>
              <w:t>3</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具有内嵌式的可恢复过载保护断路器。</w:t>
            </w:r>
            <w:r>
              <w:rPr>
                <w:rFonts w:hint="eastAsia" w:ascii="宋体" w:hAnsi="宋体" w:eastAsia="宋体" w:cs="宋体"/>
                <w:color w:val="000000"/>
                <w:kern w:val="0"/>
                <w:sz w:val="21"/>
                <w:szCs w:val="21"/>
              </w:rPr>
              <w:br w:type="textWrapping"/>
            </w:r>
            <w:r>
              <w:rPr>
                <w:rFonts w:hint="eastAsia" w:ascii="宋体" w:hAnsi="宋体" w:eastAsia="宋体" w:cs="宋体"/>
                <w:color w:val="000000"/>
                <w:kern w:val="0"/>
                <w:sz w:val="21"/>
                <w:szCs w:val="21"/>
              </w:rPr>
              <w:t>4</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具有风冷散热系统，保证设备在使用时能高效稳定的工作。</w:t>
            </w:r>
            <w:r>
              <w:rPr>
                <w:rFonts w:hint="eastAsia" w:ascii="宋体" w:hAnsi="宋体" w:eastAsia="宋体" w:cs="宋体"/>
                <w:color w:val="000000"/>
                <w:kern w:val="0"/>
                <w:sz w:val="21"/>
                <w:szCs w:val="21"/>
              </w:rPr>
              <w:br w:type="textWrapping"/>
            </w:r>
            <w:r>
              <w:rPr>
                <w:rFonts w:hint="eastAsia" w:ascii="宋体" w:hAnsi="宋体" w:eastAsia="宋体" w:cs="宋体"/>
                <w:color w:val="000000"/>
                <w:kern w:val="0"/>
                <w:sz w:val="21"/>
                <w:szCs w:val="21"/>
              </w:rPr>
              <w:t>5</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具有前置的输出信号状态指示灯，显示当前输出信号的电平。</w:t>
            </w:r>
            <w:r>
              <w:rPr>
                <w:rFonts w:hint="eastAsia" w:ascii="宋体" w:hAnsi="宋体" w:eastAsia="宋体" w:cs="宋体"/>
                <w:color w:val="000000"/>
                <w:kern w:val="0"/>
                <w:sz w:val="21"/>
                <w:szCs w:val="21"/>
              </w:rPr>
              <w:br w:type="textWrapping"/>
            </w:r>
            <w:r>
              <w:rPr>
                <w:rFonts w:hint="eastAsia" w:ascii="宋体" w:hAnsi="宋体" w:eastAsia="宋体" w:cs="宋体"/>
                <w:color w:val="000000"/>
                <w:kern w:val="0"/>
                <w:sz w:val="21"/>
                <w:szCs w:val="21"/>
              </w:rPr>
              <w:t>6</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输入阻抗：平衡20KΩ，非平衡10KΩ。</w:t>
            </w:r>
            <w:r>
              <w:rPr>
                <w:rFonts w:hint="eastAsia" w:ascii="宋体" w:hAnsi="宋体" w:eastAsia="宋体" w:cs="宋体"/>
                <w:color w:val="000000"/>
                <w:kern w:val="0"/>
                <w:sz w:val="21"/>
                <w:szCs w:val="21"/>
              </w:rPr>
              <w:br w:type="textWrapping"/>
            </w:r>
            <w:r>
              <w:rPr>
                <w:rFonts w:hint="eastAsia" w:ascii="宋体" w:hAnsi="宋体" w:eastAsia="宋体" w:cs="宋体"/>
                <w:color w:val="000000"/>
                <w:kern w:val="0"/>
                <w:sz w:val="21"/>
                <w:szCs w:val="21"/>
              </w:rPr>
              <w:t>7</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阻尼系数：＞300@1Khz。</w:t>
            </w:r>
            <w:r>
              <w:rPr>
                <w:rFonts w:hint="eastAsia" w:ascii="宋体" w:hAnsi="宋体" w:eastAsia="宋体" w:cs="宋体"/>
                <w:color w:val="000000"/>
                <w:kern w:val="0"/>
                <w:sz w:val="21"/>
                <w:szCs w:val="21"/>
              </w:rPr>
              <w:br w:type="textWrapping"/>
            </w:r>
            <w:r>
              <w:rPr>
                <w:rFonts w:hint="eastAsia" w:ascii="宋体" w:hAnsi="宋体" w:eastAsia="宋体" w:cs="宋体"/>
                <w:color w:val="000000"/>
                <w:kern w:val="0"/>
                <w:sz w:val="21"/>
                <w:szCs w:val="21"/>
              </w:rPr>
              <w:t>8</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失真度：＜0.05%。</w:t>
            </w:r>
          </w:p>
        </w:tc>
        <w:tc>
          <w:tcPr>
            <w:tcW w:w="2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8F134C">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台</w:t>
            </w:r>
          </w:p>
        </w:tc>
        <w:tc>
          <w:tcPr>
            <w:tcW w:w="3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3176E7">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3</w:t>
            </w:r>
          </w:p>
        </w:tc>
      </w:tr>
      <w:tr w14:paraId="070E9B9D">
        <w:tblPrEx>
          <w:tblCellMar>
            <w:top w:w="0" w:type="dxa"/>
            <w:left w:w="108" w:type="dxa"/>
            <w:bottom w:w="0" w:type="dxa"/>
            <w:right w:w="108" w:type="dxa"/>
          </w:tblCellMar>
        </w:tblPrEx>
        <w:trPr>
          <w:trHeight w:val="600" w:hRule="atLeast"/>
          <w:jc w:val="center"/>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36D747">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9</w:t>
            </w:r>
          </w:p>
        </w:tc>
        <w:tc>
          <w:tcPr>
            <w:tcW w:w="9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43286E">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吸顶音箱</w:t>
            </w:r>
          </w:p>
        </w:tc>
        <w:tc>
          <w:tcPr>
            <w:tcW w:w="3162" w:type="pct"/>
            <w:tcBorders>
              <w:top w:val="single" w:color="000000" w:sz="4" w:space="0"/>
              <w:left w:val="single" w:color="000000" w:sz="4" w:space="0"/>
              <w:bottom w:val="single" w:color="000000" w:sz="4" w:space="0"/>
              <w:right w:val="single" w:color="000000" w:sz="4" w:space="0"/>
            </w:tcBorders>
            <w:shd w:val="clear" w:color="auto" w:fill="FFFFFF"/>
          </w:tcPr>
          <w:p w14:paraId="1F321D74">
            <w:pPr>
              <w:widowControl/>
              <w:spacing w:line="360" w:lineRule="auto"/>
              <w:jc w:val="left"/>
              <w:textAlignment w:val="top"/>
              <w:rPr>
                <w:rFonts w:hint="eastAsia" w:ascii="宋体" w:hAnsi="宋体" w:eastAsia="宋体" w:cs="宋体"/>
                <w:color w:val="000000"/>
                <w:sz w:val="21"/>
                <w:szCs w:val="21"/>
              </w:rPr>
            </w:pPr>
            <w:r>
              <w:rPr>
                <w:rFonts w:hint="eastAsia" w:ascii="宋体" w:hAnsi="宋体" w:eastAsia="宋体" w:cs="宋体"/>
                <w:color w:val="000000"/>
                <w:kern w:val="0"/>
                <w:sz w:val="21"/>
                <w:szCs w:val="21"/>
              </w:rPr>
              <w:t>1</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驱动器：不小于6.5寸全频单元；</w:t>
            </w:r>
            <w:r>
              <w:rPr>
                <w:rFonts w:hint="eastAsia" w:ascii="宋体" w:hAnsi="宋体" w:eastAsia="宋体" w:cs="宋体"/>
                <w:color w:val="000000"/>
                <w:kern w:val="0"/>
                <w:sz w:val="21"/>
                <w:szCs w:val="21"/>
              </w:rPr>
              <w:br w:type="textWrapping"/>
            </w:r>
            <w:r>
              <w:rPr>
                <w:rFonts w:hint="eastAsia" w:ascii="宋体" w:hAnsi="宋体" w:eastAsia="宋体" w:cs="宋体"/>
                <w:color w:val="000000"/>
                <w:kern w:val="0"/>
                <w:sz w:val="21"/>
                <w:szCs w:val="21"/>
              </w:rPr>
              <w:t>2</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额定功率：不小于100W；</w:t>
            </w:r>
            <w:r>
              <w:rPr>
                <w:rFonts w:hint="eastAsia" w:ascii="宋体" w:hAnsi="宋体" w:eastAsia="宋体" w:cs="宋体"/>
                <w:color w:val="000000"/>
                <w:kern w:val="0"/>
                <w:sz w:val="21"/>
                <w:szCs w:val="21"/>
              </w:rPr>
              <w:br w:type="textWrapping"/>
            </w:r>
            <w:r>
              <w:rPr>
                <w:rFonts w:hint="eastAsia" w:ascii="宋体" w:hAnsi="宋体" w:eastAsia="宋体" w:cs="宋体"/>
                <w:color w:val="000000"/>
                <w:kern w:val="0"/>
                <w:sz w:val="21"/>
                <w:szCs w:val="21"/>
              </w:rPr>
              <w:t>3</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灵敏度：不小于90dB；</w:t>
            </w:r>
          </w:p>
        </w:tc>
        <w:tc>
          <w:tcPr>
            <w:tcW w:w="2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C655E4">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套</w:t>
            </w:r>
          </w:p>
        </w:tc>
        <w:tc>
          <w:tcPr>
            <w:tcW w:w="3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8EECAA">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10</w:t>
            </w:r>
          </w:p>
        </w:tc>
      </w:tr>
      <w:tr w14:paraId="34BEDD4F">
        <w:tblPrEx>
          <w:tblCellMar>
            <w:top w:w="0" w:type="dxa"/>
            <w:left w:w="108" w:type="dxa"/>
            <w:bottom w:w="0" w:type="dxa"/>
            <w:right w:w="108" w:type="dxa"/>
          </w:tblCellMar>
        </w:tblPrEx>
        <w:trPr>
          <w:trHeight w:val="600" w:hRule="atLeast"/>
          <w:jc w:val="center"/>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E8F05C">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10</w:t>
            </w:r>
          </w:p>
        </w:tc>
        <w:tc>
          <w:tcPr>
            <w:tcW w:w="9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53CD8D">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数字音频录制主机</w:t>
            </w:r>
          </w:p>
        </w:tc>
        <w:tc>
          <w:tcPr>
            <w:tcW w:w="316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3650C9">
            <w:pPr>
              <w:widowControl/>
              <w:spacing w:line="36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1</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支持不少于8路音频录制；音频输入接口：3芯端子。</w:t>
            </w:r>
            <w:r>
              <w:rPr>
                <w:rFonts w:hint="eastAsia" w:ascii="宋体" w:hAnsi="宋体" w:eastAsia="宋体" w:cs="宋体"/>
                <w:color w:val="000000"/>
                <w:kern w:val="0"/>
                <w:sz w:val="21"/>
                <w:szCs w:val="21"/>
              </w:rPr>
              <w:br w:type="textWrapping"/>
            </w:r>
            <w:r>
              <w:rPr>
                <w:rFonts w:hint="eastAsia" w:ascii="宋体" w:hAnsi="宋体" w:eastAsia="宋体" w:cs="宋体"/>
                <w:color w:val="000000"/>
                <w:kern w:val="0"/>
                <w:sz w:val="21"/>
                <w:szCs w:val="21"/>
              </w:rPr>
              <w:t>2</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音频输入电平：2.0Vp-p，音量控制范围不小于83DB；音频输入阻抗：不低于1000Ω。</w:t>
            </w:r>
            <w:r>
              <w:rPr>
                <w:rFonts w:hint="eastAsia" w:ascii="宋体" w:hAnsi="宋体" w:eastAsia="宋体" w:cs="宋体"/>
                <w:color w:val="000000"/>
                <w:kern w:val="0"/>
                <w:sz w:val="21"/>
                <w:szCs w:val="21"/>
              </w:rPr>
              <w:br w:type="textWrapping"/>
            </w:r>
            <w:r>
              <w:rPr>
                <w:rFonts w:hint="eastAsia" w:ascii="宋体" w:hAnsi="宋体" w:eastAsia="宋体" w:cs="宋体"/>
                <w:color w:val="000000"/>
                <w:kern w:val="0"/>
                <w:sz w:val="21"/>
                <w:szCs w:val="21"/>
              </w:rPr>
              <w:t>3</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网络接口：两个RJ45网口10M/100M。</w:t>
            </w:r>
            <w:r>
              <w:rPr>
                <w:rFonts w:hint="eastAsia" w:ascii="宋体" w:hAnsi="宋体" w:eastAsia="宋体" w:cs="宋体"/>
                <w:color w:val="000000"/>
                <w:kern w:val="0"/>
                <w:sz w:val="21"/>
                <w:szCs w:val="21"/>
              </w:rPr>
              <w:br w:type="textWrapping"/>
            </w:r>
            <w:r>
              <w:rPr>
                <w:rFonts w:hint="eastAsia" w:ascii="宋体" w:hAnsi="宋体" w:eastAsia="宋体" w:cs="宋体"/>
                <w:color w:val="000000"/>
                <w:kern w:val="0"/>
                <w:sz w:val="21"/>
                <w:szCs w:val="21"/>
              </w:rPr>
              <w:t>4</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音频压缩标准：AAC/Ogg；音频采样率：32kHz可调节；音频采样位：16bit；音频输出码率：48kbps。</w:t>
            </w:r>
            <w:r>
              <w:rPr>
                <w:rFonts w:hint="eastAsia" w:ascii="宋体" w:hAnsi="宋体" w:eastAsia="宋体" w:cs="宋体"/>
                <w:color w:val="000000"/>
                <w:kern w:val="0"/>
                <w:sz w:val="21"/>
                <w:szCs w:val="21"/>
              </w:rPr>
              <w:br w:type="textWrapping"/>
            </w:r>
            <w:r>
              <w:rPr>
                <w:rFonts w:hint="eastAsia" w:ascii="宋体" w:hAnsi="宋体" w:eastAsia="宋体" w:cs="宋体"/>
                <w:color w:val="000000"/>
                <w:kern w:val="0"/>
                <w:sz w:val="21"/>
                <w:szCs w:val="21"/>
              </w:rPr>
              <w:t>5</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能够以系统服务模式运行，无须登录系统。</w:t>
            </w:r>
            <w:r>
              <w:rPr>
                <w:rFonts w:hint="eastAsia" w:ascii="宋体" w:hAnsi="宋体" w:eastAsia="宋体" w:cs="宋体"/>
                <w:color w:val="000000"/>
                <w:kern w:val="0"/>
                <w:sz w:val="21"/>
                <w:szCs w:val="21"/>
              </w:rPr>
              <w:br w:type="textWrapping"/>
            </w:r>
            <w:r>
              <w:rPr>
                <w:rFonts w:hint="eastAsia" w:ascii="宋体" w:hAnsi="宋体" w:eastAsia="宋体" w:cs="宋体"/>
                <w:color w:val="000000"/>
                <w:kern w:val="0"/>
                <w:sz w:val="21"/>
                <w:szCs w:val="21"/>
              </w:rPr>
              <w:t>6</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提供数字法庭音频配置和管理。</w:t>
            </w:r>
            <w:r>
              <w:rPr>
                <w:rFonts w:hint="eastAsia" w:ascii="宋体" w:hAnsi="宋体" w:eastAsia="宋体" w:cs="宋体"/>
                <w:color w:val="000000"/>
                <w:kern w:val="0"/>
                <w:sz w:val="21"/>
                <w:szCs w:val="21"/>
              </w:rPr>
              <w:br w:type="textWrapping"/>
            </w:r>
            <w:r>
              <w:rPr>
                <w:rFonts w:hint="eastAsia" w:ascii="宋体" w:hAnsi="宋体" w:eastAsia="宋体" w:cs="宋体"/>
                <w:color w:val="000000"/>
                <w:kern w:val="0"/>
                <w:sz w:val="21"/>
                <w:szCs w:val="21"/>
              </w:rPr>
              <w:t>7</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音频文件保存格式：AAC。</w:t>
            </w:r>
            <w:r>
              <w:rPr>
                <w:rFonts w:hint="eastAsia" w:ascii="宋体" w:hAnsi="宋体" w:eastAsia="宋体" w:cs="宋体"/>
                <w:color w:val="000000"/>
                <w:kern w:val="0"/>
                <w:sz w:val="21"/>
                <w:szCs w:val="21"/>
              </w:rPr>
              <w:br w:type="textWrapping"/>
            </w:r>
            <w:r>
              <w:rPr>
                <w:rFonts w:hint="eastAsia" w:ascii="宋体" w:hAnsi="宋体" w:eastAsia="宋体" w:cs="宋体"/>
                <w:color w:val="000000"/>
                <w:kern w:val="0"/>
                <w:sz w:val="21"/>
                <w:szCs w:val="21"/>
              </w:rPr>
              <w:t>8</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可通过全国法院办案办公平台数字法庭开庭页面实时同步录音、录像文件，记录数字法庭系统开庭、休庭、复庭、闭庭等状态。</w:t>
            </w:r>
          </w:p>
        </w:tc>
        <w:tc>
          <w:tcPr>
            <w:tcW w:w="2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E593B2">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台</w:t>
            </w:r>
          </w:p>
        </w:tc>
        <w:tc>
          <w:tcPr>
            <w:tcW w:w="3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F9E4BC">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2</w:t>
            </w:r>
          </w:p>
        </w:tc>
      </w:tr>
      <w:tr w14:paraId="1D8306C1">
        <w:tblPrEx>
          <w:tblCellMar>
            <w:top w:w="0" w:type="dxa"/>
            <w:left w:w="108" w:type="dxa"/>
            <w:bottom w:w="0" w:type="dxa"/>
            <w:right w:w="108" w:type="dxa"/>
          </w:tblCellMar>
        </w:tblPrEx>
        <w:trPr>
          <w:trHeight w:val="600" w:hRule="atLeast"/>
          <w:jc w:val="center"/>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E61325">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11</w:t>
            </w:r>
          </w:p>
        </w:tc>
        <w:tc>
          <w:tcPr>
            <w:tcW w:w="9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0F967A">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调音台</w:t>
            </w:r>
          </w:p>
        </w:tc>
        <w:tc>
          <w:tcPr>
            <w:tcW w:w="316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B683F5">
            <w:pPr>
              <w:widowControl/>
              <w:spacing w:line="36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1</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不小于6个话筒输入、不小于12个线路输入（4个单声道+4个立体声）；2编组母线+1立体声母线；2路AUX（包括FX）；</w:t>
            </w:r>
            <w:r>
              <w:rPr>
                <w:rFonts w:hint="eastAsia" w:ascii="宋体" w:hAnsi="宋体" w:eastAsia="宋体" w:cs="宋体"/>
                <w:color w:val="000000"/>
                <w:kern w:val="0"/>
                <w:sz w:val="21"/>
                <w:szCs w:val="21"/>
              </w:rPr>
              <w:br w:type="textWrapping"/>
            </w:r>
            <w:r>
              <w:rPr>
                <w:rFonts w:hint="eastAsia" w:ascii="宋体" w:hAnsi="宋体" w:eastAsia="宋体" w:cs="宋体"/>
                <w:color w:val="000000"/>
                <w:kern w:val="0"/>
                <w:sz w:val="21"/>
                <w:szCs w:val="21"/>
              </w:rPr>
              <w:t>2</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“D-PRE”话放，带有倒向晶体管电路。单旋钮压缩器；单声道输入通道上的PAD开关；+48V幻象供电；XLR平衡输出；金属机身。</w:t>
            </w:r>
          </w:p>
        </w:tc>
        <w:tc>
          <w:tcPr>
            <w:tcW w:w="2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3B6358">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台</w:t>
            </w:r>
          </w:p>
        </w:tc>
        <w:tc>
          <w:tcPr>
            <w:tcW w:w="3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27B401">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2</w:t>
            </w:r>
          </w:p>
        </w:tc>
      </w:tr>
      <w:tr w14:paraId="6D058C4B">
        <w:tblPrEx>
          <w:tblCellMar>
            <w:top w:w="0" w:type="dxa"/>
            <w:left w:w="108" w:type="dxa"/>
            <w:bottom w:w="0" w:type="dxa"/>
            <w:right w:w="108" w:type="dxa"/>
          </w:tblCellMar>
        </w:tblPrEx>
        <w:trPr>
          <w:trHeight w:val="675" w:hRule="atLeast"/>
          <w:jc w:val="center"/>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34490D">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12</w:t>
            </w:r>
          </w:p>
        </w:tc>
        <w:tc>
          <w:tcPr>
            <w:tcW w:w="9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7C13E4">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内网交换机</w:t>
            </w:r>
          </w:p>
        </w:tc>
        <w:tc>
          <w:tcPr>
            <w:tcW w:w="316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199F73">
            <w:pPr>
              <w:widowControl/>
              <w:spacing w:line="36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全千兆二层以太网交换机/交换容量</w:t>
            </w:r>
            <w:r>
              <w:rPr>
                <w:rFonts w:hint="eastAsia" w:ascii="宋体" w:hAnsi="宋体" w:eastAsia="宋体" w:cs="宋体"/>
                <w:kern w:val="0"/>
                <w:sz w:val="21"/>
                <w:szCs w:val="21"/>
              </w:rPr>
              <w:t>≥</w:t>
            </w:r>
            <w:r>
              <w:rPr>
                <w:rFonts w:hint="eastAsia" w:ascii="宋体" w:hAnsi="宋体" w:eastAsia="宋体" w:cs="宋体"/>
                <w:color w:val="000000"/>
                <w:kern w:val="0"/>
                <w:sz w:val="21"/>
                <w:szCs w:val="21"/>
              </w:rPr>
              <w:t>336Gbps/包转发率</w:t>
            </w:r>
            <w:r>
              <w:rPr>
                <w:rFonts w:hint="eastAsia" w:ascii="宋体" w:hAnsi="宋体" w:eastAsia="宋体" w:cs="宋体"/>
                <w:kern w:val="0"/>
                <w:sz w:val="21"/>
                <w:szCs w:val="21"/>
              </w:rPr>
              <w:t>≥</w:t>
            </w:r>
            <w:r>
              <w:rPr>
                <w:rFonts w:hint="eastAsia" w:ascii="宋体" w:hAnsi="宋体" w:eastAsia="宋体" w:cs="宋体"/>
                <w:color w:val="000000"/>
                <w:kern w:val="0"/>
                <w:sz w:val="21"/>
                <w:szCs w:val="21"/>
              </w:rPr>
              <w:t>108Mpps/单电源/</w:t>
            </w:r>
            <w:r>
              <w:rPr>
                <w:rFonts w:hint="eastAsia" w:ascii="宋体" w:hAnsi="宋体" w:eastAsia="宋体" w:cs="宋体"/>
                <w:kern w:val="0"/>
                <w:sz w:val="21"/>
                <w:szCs w:val="21"/>
              </w:rPr>
              <w:t>≥</w:t>
            </w:r>
            <w:r>
              <w:rPr>
                <w:rFonts w:hint="eastAsia" w:ascii="宋体" w:hAnsi="宋体" w:eastAsia="宋体" w:cs="宋体"/>
                <w:color w:val="000000"/>
                <w:kern w:val="0"/>
                <w:sz w:val="21"/>
                <w:szCs w:val="21"/>
              </w:rPr>
              <w:t>24个10/100/1000Base-T以太网端口/4个1000Base-X以太网端口/支持IPv4/支持IPv6/支持堆叠/标配软件</w:t>
            </w:r>
          </w:p>
        </w:tc>
        <w:tc>
          <w:tcPr>
            <w:tcW w:w="2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866E91">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台</w:t>
            </w:r>
          </w:p>
        </w:tc>
        <w:tc>
          <w:tcPr>
            <w:tcW w:w="3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FEB18E">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2</w:t>
            </w:r>
          </w:p>
        </w:tc>
      </w:tr>
      <w:tr w14:paraId="404D0DFF">
        <w:tblPrEx>
          <w:tblCellMar>
            <w:top w:w="0" w:type="dxa"/>
            <w:left w:w="108" w:type="dxa"/>
            <w:bottom w:w="0" w:type="dxa"/>
            <w:right w:w="108" w:type="dxa"/>
          </w:tblCellMar>
        </w:tblPrEx>
        <w:trPr>
          <w:trHeight w:val="330" w:hRule="atLeast"/>
          <w:jc w:val="center"/>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D5F85E">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13</w:t>
            </w:r>
          </w:p>
        </w:tc>
        <w:tc>
          <w:tcPr>
            <w:tcW w:w="9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52BA45">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外网小交换机</w:t>
            </w:r>
          </w:p>
        </w:tc>
        <w:tc>
          <w:tcPr>
            <w:tcW w:w="316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F925E0">
            <w:pPr>
              <w:widowControl/>
              <w:spacing w:line="36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8口千兆小交换机</w:t>
            </w:r>
          </w:p>
        </w:tc>
        <w:tc>
          <w:tcPr>
            <w:tcW w:w="2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AAA123">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台</w:t>
            </w:r>
          </w:p>
        </w:tc>
        <w:tc>
          <w:tcPr>
            <w:tcW w:w="3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5D21ED">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2</w:t>
            </w:r>
          </w:p>
        </w:tc>
      </w:tr>
      <w:tr w14:paraId="1DEB2107">
        <w:tblPrEx>
          <w:tblCellMar>
            <w:top w:w="0" w:type="dxa"/>
            <w:left w:w="108" w:type="dxa"/>
            <w:bottom w:w="0" w:type="dxa"/>
            <w:right w:w="108" w:type="dxa"/>
          </w:tblCellMar>
        </w:tblPrEx>
        <w:trPr>
          <w:trHeight w:val="315" w:hRule="atLeast"/>
          <w:jc w:val="center"/>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13D208">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14</w:t>
            </w:r>
          </w:p>
        </w:tc>
        <w:tc>
          <w:tcPr>
            <w:tcW w:w="9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B6CC08">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机柜</w:t>
            </w:r>
          </w:p>
        </w:tc>
        <w:tc>
          <w:tcPr>
            <w:tcW w:w="316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CC8CE7">
            <w:pPr>
              <w:widowControl/>
              <w:spacing w:line="360" w:lineRule="auto"/>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高度：1600mm，宽度：600mm，深度：800mm，</w:t>
            </w:r>
          </w:p>
        </w:tc>
        <w:tc>
          <w:tcPr>
            <w:tcW w:w="2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3188FC">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台</w:t>
            </w:r>
          </w:p>
        </w:tc>
        <w:tc>
          <w:tcPr>
            <w:tcW w:w="3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5E73F8">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2</w:t>
            </w:r>
          </w:p>
        </w:tc>
      </w:tr>
      <w:tr w14:paraId="7C148DF6">
        <w:tblPrEx>
          <w:tblCellMar>
            <w:top w:w="0" w:type="dxa"/>
            <w:left w:w="108" w:type="dxa"/>
            <w:bottom w:w="0" w:type="dxa"/>
            <w:right w:w="108" w:type="dxa"/>
          </w:tblCellMar>
        </w:tblPrEx>
        <w:trPr>
          <w:trHeight w:val="315" w:hRule="atLeast"/>
          <w:jc w:val="center"/>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51A96B">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15</w:t>
            </w:r>
          </w:p>
        </w:tc>
        <w:tc>
          <w:tcPr>
            <w:tcW w:w="9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769109">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示证显示屏</w:t>
            </w:r>
          </w:p>
        </w:tc>
        <w:tc>
          <w:tcPr>
            <w:tcW w:w="316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5F17B7">
            <w:pPr>
              <w:widowControl/>
              <w:spacing w:line="36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1</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屏幕尺寸:55英寸；分辨率:4K；屏幕比例:16:9；刷屏率：60Hz；非触摸LED屏，存储内存：</w:t>
            </w:r>
            <w:r>
              <w:rPr>
                <w:rFonts w:hint="eastAsia" w:ascii="宋体" w:hAnsi="宋体" w:eastAsia="宋体" w:cs="宋体"/>
                <w:kern w:val="0"/>
                <w:sz w:val="21"/>
                <w:szCs w:val="21"/>
              </w:rPr>
              <w:t>≥</w:t>
            </w:r>
            <w:r>
              <w:rPr>
                <w:rFonts w:hint="eastAsia" w:ascii="宋体" w:hAnsi="宋体" w:eastAsia="宋体" w:cs="宋体"/>
                <w:color w:val="000000"/>
                <w:kern w:val="0"/>
                <w:sz w:val="21"/>
                <w:szCs w:val="21"/>
              </w:rPr>
              <w:t>16GB；运行内存：</w:t>
            </w:r>
            <w:r>
              <w:rPr>
                <w:rFonts w:hint="eastAsia" w:ascii="宋体" w:hAnsi="宋体" w:eastAsia="宋体" w:cs="宋体"/>
                <w:kern w:val="0"/>
                <w:sz w:val="21"/>
                <w:szCs w:val="21"/>
              </w:rPr>
              <w:t>≥</w:t>
            </w:r>
            <w:r>
              <w:rPr>
                <w:rFonts w:hint="eastAsia" w:ascii="宋体" w:hAnsi="宋体" w:eastAsia="宋体" w:cs="宋体"/>
                <w:color w:val="000000"/>
                <w:kern w:val="0"/>
                <w:sz w:val="21"/>
                <w:szCs w:val="21"/>
              </w:rPr>
              <w:t>2GB；HDMI2.0接口：</w:t>
            </w:r>
            <w:r>
              <w:rPr>
                <w:rFonts w:hint="eastAsia" w:ascii="宋体" w:hAnsi="宋体" w:eastAsia="宋体" w:cs="宋体"/>
                <w:kern w:val="0"/>
                <w:sz w:val="21"/>
                <w:szCs w:val="21"/>
              </w:rPr>
              <w:t>≥</w:t>
            </w:r>
            <w:r>
              <w:rPr>
                <w:rFonts w:hint="eastAsia" w:ascii="宋体" w:hAnsi="宋体" w:eastAsia="宋体" w:cs="宋体"/>
                <w:color w:val="000000"/>
                <w:kern w:val="0"/>
                <w:sz w:val="21"/>
                <w:szCs w:val="21"/>
              </w:rPr>
              <w:t>2个。</w:t>
            </w:r>
            <w:r>
              <w:rPr>
                <w:rFonts w:hint="eastAsia" w:ascii="宋体" w:hAnsi="宋体" w:eastAsia="宋体" w:cs="宋体"/>
                <w:color w:val="000000"/>
                <w:kern w:val="0"/>
                <w:sz w:val="21"/>
                <w:szCs w:val="21"/>
              </w:rPr>
              <w:br w:type="textWrapping"/>
            </w:r>
            <w:r>
              <w:rPr>
                <w:rFonts w:hint="eastAsia" w:ascii="宋体" w:hAnsi="宋体" w:eastAsia="宋体" w:cs="宋体"/>
                <w:color w:val="000000"/>
                <w:kern w:val="0"/>
                <w:sz w:val="21"/>
                <w:szCs w:val="21"/>
              </w:rPr>
              <w:t>2</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商用类电视机，支持加电自动启动；机柜加电，无需遥控器开启电视机，即可显示庭审主机输出信号。</w:t>
            </w:r>
          </w:p>
        </w:tc>
        <w:tc>
          <w:tcPr>
            <w:tcW w:w="2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A8CAB8">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台</w:t>
            </w:r>
          </w:p>
        </w:tc>
        <w:tc>
          <w:tcPr>
            <w:tcW w:w="3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D98D25">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2</w:t>
            </w:r>
          </w:p>
        </w:tc>
      </w:tr>
      <w:tr w14:paraId="73003928">
        <w:tblPrEx>
          <w:tblCellMar>
            <w:top w:w="0" w:type="dxa"/>
            <w:left w:w="108" w:type="dxa"/>
            <w:bottom w:w="0" w:type="dxa"/>
            <w:right w:w="108" w:type="dxa"/>
          </w:tblCellMar>
        </w:tblPrEx>
        <w:trPr>
          <w:trHeight w:val="315" w:hRule="atLeast"/>
          <w:jc w:val="center"/>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C9A125">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16</w:t>
            </w:r>
          </w:p>
        </w:tc>
        <w:tc>
          <w:tcPr>
            <w:tcW w:w="9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99D6C3">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电视机支架</w:t>
            </w:r>
          </w:p>
        </w:tc>
        <w:tc>
          <w:tcPr>
            <w:tcW w:w="316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B2D834">
            <w:pPr>
              <w:widowControl/>
              <w:spacing w:line="36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55寸电视机支架，根据现场定制</w:t>
            </w:r>
          </w:p>
        </w:tc>
        <w:tc>
          <w:tcPr>
            <w:tcW w:w="2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549C78">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个</w:t>
            </w:r>
          </w:p>
        </w:tc>
        <w:tc>
          <w:tcPr>
            <w:tcW w:w="3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23AF34">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2</w:t>
            </w:r>
          </w:p>
        </w:tc>
      </w:tr>
      <w:tr w14:paraId="4B4FA358">
        <w:tblPrEx>
          <w:tblCellMar>
            <w:top w:w="0" w:type="dxa"/>
            <w:left w:w="108" w:type="dxa"/>
            <w:bottom w:w="0" w:type="dxa"/>
            <w:right w:w="108" w:type="dxa"/>
          </w:tblCellMar>
        </w:tblPrEx>
        <w:trPr>
          <w:trHeight w:val="105" w:hRule="atLeast"/>
          <w:jc w:val="center"/>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AAA3F6">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17</w:t>
            </w:r>
          </w:p>
        </w:tc>
        <w:tc>
          <w:tcPr>
            <w:tcW w:w="9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72A235">
            <w:pPr>
              <w:widowControl/>
              <w:spacing w:line="360" w:lineRule="auto"/>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显示屏</w:t>
            </w:r>
          </w:p>
          <w:p w14:paraId="729E6598">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折叠支架</w:t>
            </w:r>
          </w:p>
        </w:tc>
        <w:tc>
          <w:tcPr>
            <w:tcW w:w="3162" w:type="pct"/>
            <w:tcBorders>
              <w:top w:val="single" w:color="000000" w:sz="4" w:space="0"/>
              <w:left w:val="single" w:color="000000" w:sz="4" w:space="0"/>
              <w:bottom w:val="single" w:color="000000" w:sz="4" w:space="0"/>
              <w:right w:val="single" w:color="000000" w:sz="4" w:space="0"/>
            </w:tcBorders>
            <w:shd w:val="clear" w:color="auto" w:fill="FFFFFF"/>
          </w:tcPr>
          <w:p w14:paraId="73800B8C">
            <w:pPr>
              <w:widowControl/>
              <w:spacing w:line="360" w:lineRule="auto"/>
              <w:jc w:val="left"/>
              <w:textAlignment w:val="top"/>
              <w:rPr>
                <w:rFonts w:hint="eastAsia" w:ascii="宋体" w:hAnsi="宋体" w:eastAsia="宋体" w:cs="宋体"/>
                <w:color w:val="000000"/>
                <w:sz w:val="21"/>
                <w:szCs w:val="21"/>
              </w:rPr>
            </w:pPr>
            <w:r>
              <w:rPr>
                <w:rFonts w:hint="eastAsia" w:ascii="宋体" w:hAnsi="宋体" w:eastAsia="宋体" w:cs="宋体"/>
                <w:color w:val="000000"/>
                <w:kern w:val="0"/>
                <w:sz w:val="21"/>
                <w:szCs w:val="21"/>
              </w:rPr>
              <w:t>系统说明：各席位显示器的折叠支架。</w:t>
            </w:r>
            <w:r>
              <w:rPr>
                <w:rFonts w:hint="eastAsia" w:ascii="宋体" w:hAnsi="宋体" w:eastAsia="宋体" w:cs="宋体"/>
                <w:color w:val="000000"/>
                <w:kern w:val="0"/>
                <w:sz w:val="21"/>
                <w:szCs w:val="21"/>
              </w:rPr>
              <w:br w:type="textWrapping"/>
            </w:r>
            <w:r>
              <w:rPr>
                <w:rFonts w:hint="eastAsia" w:ascii="宋体" w:hAnsi="宋体" w:eastAsia="宋体" w:cs="宋体"/>
                <w:color w:val="000000"/>
                <w:kern w:val="0"/>
                <w:sz w:val="21"/>
                <w:szCs w:val="21"/>
              </w:rPr>
              <w:t>1</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显示器折叠底座。</w:t>
            </w:r>
            <w:r>
              <w:rPr>
                <w:rFonts w:hint="eastAsia" w:ascii="宋体" w:hAnsi="宋体" w:eastAsia="宋体" w:cs="宋体"/>
                <w:color w:val="000000"/>
                <w:kern w:val="0"/>
                <w:sz w:val="21"/>
                <w:szCs w:val="21"/>
              </w:rPr>
              <w:br w:type="textWrapping"/>
            </w:r>
            <w:r>
              <w:rPr>
                <w:rFonts w:hint="eastAsia" w:ascii="宋体" w:hAnsi="宋体" w:eastAsia="宋体" w:cs="宋体"/>
                <w:color w:val="000000"/>
                <w:kern w:val="0"/>
                <w:sz w:val="21"/>
                <w:szCs w:val="21"/>
              </w:rPr>
              <w:t>2</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产品颜色：黑色</w:t>
            </w:r>
            <w:r>
              <w:rPr>
                <w:rFonts w:hint="eastAsia" w:ascii="宋体" w:hAnsi="宋体" w:eastAsia="宋体" w:cs="宋体"/>
                <w:color w:val="000000"/>
                <w:kern w:val="0"/>
                <w:sz w:val="21"/>
                <w:szCs w:val="21"/>
              </w:rPr>
              <w:br w:type="textWrapping"/>
            </w:r>
            <w:r>
              <w:rPr>
                <w:rFonts w:hint="eastAsia" w:ascii="宋体" w:hAnsi="宋体" w:eastAsia="宋体" w:cs="宋体"/>
                <w:color w:val="000000"/>
                <w:kern w:val="0"/>
                <w:sz w:val="21"/>
                <w:szCs w:val="21"/>
              </w:rPr>
              <w:t>3</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承重范围：</w:t>
            </w:r>
            <w:r>
              <w:rPr>
                <w:rFonts w:hint="eastAsia" w:ascii="宋体" w:hAnsi="宋体" w:eastAsia="宋体" w:cs="宋体"/>
                <w:kern w:val="0"/>
                <w:sz w:val="21"/>
                <w:szCs w:val="21"/>
              </w:rPr>
              <w:t>≥</w:t>
            </w:r>
            <w:r>
              <w:rPr>
                <w:rFonts w:hint="eastAsia" w:ascii="宋体" w:hAnsi="宋体" w:eastAsia="宋体" w:cs="宋体"/>
                <w:color w:val="000000"/>
                <w:kern w:val="0"/>
                <w:sz w:val="21"/>
                <w:szCs w:val="21"/>
              </w:rPr>
              <w:t>6KG</w:t>
            </w:r>
            <w:r>
              <w:rPr>
                <w:rFonts w:hint="eastAsia" w:ascii="宋体" w:hAnsi="宋体" w:eastAsia="宋体" w:cs="宋体"/>
                <w:color w:val="000000"/>
                <w:kern w:val="0"/>
                <w:sz w:val="21"/>
                <w:szCs w:val="21"/>
              </w:rPr>
              <w:br w:type="textWrapping"/>
            </w:r>
            <w:r>
              <w:rPr>
                <w:rFonts w:hint="eastAsia" w:ascii="宋体" w:hAnsi="宋体" w:eastAsia="宋体" w:cs="宋体"/>
                <w:color w:val="000000"/>
                <w:kern w:val="0"/>
                <w:sz w:val="21"/>
                <w:szCs w:val="21"/>
              </w:rPr>
              <w:t>4</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安装方式：桌面</w:t>
            </w:r>
            <w:r>
              <w:rPr>
                <w:rFonts w:hint="eastAsia" w:ascii="宋体" w:hAnsi="宋体" w:eastAsia="宋体" w:cs="宋体"/>
                <w:color w:val="000000"/>
                <w:kern w:val="0"/>
                <w:sz w:val="21"/>
                <w:szCs w:val="21"/>
              </w:rPr>
              <w:br w:type="textWrapping"/>
            </w:r>
            <w:r>
              <w:rPr>
                <w:rFonts w:hint="eastAsia" w:ascii="宋体" w:hAnsi="宋体" w:eastAsia="宋体" w:cs="宋体"/>
                <w:color w:val="000000"/>
                <w:kern w:val="0"/>
                <w:sz w:val="21"/>
                <w:szCs w:val="21"/>
              </w:rPr>
              <w:t>5</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适用孔距：100*100MM</w:t>
            </w:r>
          </w:p>
        </w:tc>
        <w:tc>
          <w:tcPr>
            <w:tcW w:w="2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64D635">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个</w:t>
            </w:r>
          </w:p>
        </w:tc>
        <w:tc>
          <w:tcPr>
            <w:tcW w:w="3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91DB02">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10</w:t>
            </w:r>
          </w:p>
        </w:tc>
      </w:tr>
      <w:tr w14:paraId="02FAAB7B">
        <w:tblPrEx>
          <w:tblCellMar>
            <w:top w:w="0" w:type="dxa"/>
            <w:left w:w="108" w:type="dxa"/>
            <w:bottom w:w="0" w:type="dxa"/>
            <w:right w:w="108" w:type="dxa"/>
          </w:tblCellMar>
        </w:tblPrEx>
        <w:trPr>
          <w:trHeight w:val="600" w:hRule="atLeast"/>
          <w:jc w:val="center"/>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23CDD8">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18</w:t>
            </w:r>
          </w:p>
        </w:tc>
        <w:tc>
          <w:tcPr>
            <w:tcW w:w="9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98194D">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HDMI分配器</w:t>
            </w:r>
          </w:p>
        </w:tc>
        <w:tc>
          <w:tcPr>
            <w:tcW w:w="316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DDD110">
            <w:pPr>
              <w:widowControl/>
              <w:spacing w:line="36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1</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输入接口：HDMI输入：1×HDMI Type A母头；</w:t>
            </w:r>
            <w:r>
              <w:rPr>
                <w:rFonts w:hint="eastAsia" w:ascii="宋体" w:hAnsi="宋体" w:eastAsia="宋体" w:cs="宋体"/>
                <w:color w:val="000000"/>
                <w:kern w:val="0"/>
                <w:sz w:val="21"/>
                <w:szCs w:val="21"/>
              </w:rPr>
              <w:br w:type="textWrapping"/>
            </w:r>
            <w:r>
              <w:rPr>
                <w:rFonts w:hint="eastAsia" w:ascii="宋体" w:hAnsi="宋体" w:eastAsia="宋体" w:cs="宋体"/>
                <w:color w:val="000000"/>
                <w:kern w:val="0"/>
                <w:sz w:val="21"/>
                <w:szCs w:val="21"/>
              </w:rPr>
              <w:t>2</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输出接口：HDMI输出：4×HDMI Type A母头；</w:t>
            </w:r>
            <w:r>
              <w:rPr>
                <w:rFonts w:hint="eastAsia" w:ascii="宋体" w:hAnsi="宋体" w:eastAsia="宋体" w:cs="宋体"/>
                <w:color w:val="000000"/>
                <w:kern w:val="0"/>
                <w:sz w:val="21"/>
                <w:szCs w:val="21"/>
              </w:rPr>
              <w:br w:type="textWrapping"/>
            </w:r>
            <w:r>
              <w:rPr>
                <w:rFonts w:hint="eastAsia" w:ascii="宋体" w:hAnsi="宋体" w:eastAsia="宋体" w:cs="宋体"/>
                <w:color w:val="000000"/>
                <w:kern w:val="0"/>
                <w:sz w:val="21"/>
                <w:szCs w:val="21"/>
              </w:rPr>
              <w:t>3</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分辨率：视频分辨率：4K×2K，1080p；</w:t>
            </w:r>
          </w:p>
        </w:tc>
        <w:tc>
          <w:tcPr>
            <w:tcW w:w="2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2B74E4">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个</w:t>
            </w:r>
          </w:p>
        </w:tc>
        <w:tc>
          <w:tcPr>
            <w:tcW w:w="3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EADD06">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4</w:t>
            </w:r>
          </w:p>
        </w:tc>
      </w:tr>
      <w:tr w14:paraId="7ADE89A4">
        <w:tblPrEx>
          <w:tblCellMar>
            <w:top w:w="0" w:type="dxa"/>
            <w:left w:w="108" w:type="dxa"/>
            <w:bottom w:w="0" w:type="dxa"/>
            <w:right w:w="108" w:type="dxa"/>
          </w:tblCellMar>
        </w:tblPrEx>
        <w:trPr>
          <w:trHeight w:val="600" w:hRule="atLeast"/>
          <w:jc w:val="center"/>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DE6197">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19</w:t>
            </w:r>
          </w:p>
        </w:tc>
        <w:tc>
          <w:tcPr>
            <w:tcW w:w="9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EB1D9B">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审判长HDMI KVM切换器</w:t>
            </w:r>
          </w:p>
        </w:tc>
        <w:tc>
          <w:tcPr>
            <w:tcW w:w="316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DEC607">
            <w:pPr>
              <w:widowControl/>
              <w:spacing w:line="36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4端口HDMI USB3.0 KVM多电脑切换器，通过前面板按键及键盘热键，独立切换电脑、USB接口设备、及音频功能，支持4K分辨率</w:t>
            </w:r>
          </w:p>
        </w:tc>
        <w:tc>
          <w:tcPr>
            <w:tcW w:w="2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C3FE8C">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个</w:t>
            </w:r>
          </w:p>
        </w:tc>
        <w:tc>
          <w:tcPr>
            <w:tcW w:w="3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77ED2B">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2</w:t>
            </w:r>
          </w:p>
        </w:tc>
      </w:tr>
      <w:tr w14:paraId="672825CE">
        <w:tblPrEx>
          <w:tblCellMar>
            <w:top w:w="0" w:type="dxa"/>
            <w:left w:w="108" w:type="dxa"/>
            <w:bottom w:w="0" w:type="dxa"/>
            <w:right w:w="108" w:type="dxa"/>
          </w:tblCellMar>
        </w:tblPrEx>
        <w:trPr>
          <w:trHeight w:val="225" w:hRule="atLeast"/>
          <w:jc w:val="center"/>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47DCF9">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20</w:t>
            </w:r>
          </w:p>
        </w:tc>
        <w:tc>
          <w:tcPr>
            <w:tcW w:w="9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DAE160">
            <w:pPr>
              <w:widowControl/>
              <w:spacing w:line="36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桌面多功能盒</w:t>
            </w:r>
          </w:p>
        </w:tc>
        <w:tc>
          <w:tcPr>
            <w:tcW w:w="316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7F6EEB">
            <w:pPr>
              <w:widowControl/>
              <w:spacing w:line="36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HDMI*1，网络*2，3.5音频*1，电源*1桌面多功能盒</w:t>
            </w:r>
          </w:p>
        </w:tc>
        <w:tc>
          <w:tcPr>
            <w:tcW w:w="2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1BB78A">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套</w:t>
            </w:r>
          </w:p>
        </w:tc>
        <w:tc>
          <w:tcPr>
            <w:tcW w:w="3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F3BE31">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4</w:t>
            </w:r>
          </w:p>
        </w:tc>
      </w:tr>
      <w:tr w14:paraId="312E8108">
        <w:tblPrEx>
          <w:tblCellMar>
            <w:top w:w="0" w:type="dxa"/>
            <w:left w:w="108" w:type="dxa"/>
            <w:bottom w:w="0" w:type="dxa"/>
            <w:right w:w="108" w:type="dxa"/>
          </w:tblCellMar>
        </w:tblPrEx>
        <w:trPr>
          <w:trHeight w:val="225" w:hRule="atLeast"/>
          <w:jc w:val="center"/>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0FFC2C">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21</w:t>
            </w:r>
          </w:p>
        </w:tc>
        <w:tc>
          <w:tcPr>
            <w:tcW w:w="9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52C2DF">
            <w:pPr>
              <w:widowControl/>
              <w:spacing w:line="36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无线键盘鼠标</w:t>
            </w:r>
          </w:p>
        </w:tc>
        <w:tc>
          <w:tcPr>
            <w:tcW w:w="316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40AF8E">
            <w:pPr>
              <w:widowControl/>
              <w:spacing w:line="36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无线键盘鼠标</w:t>
            </w:r>
          </w:p>
        </w:tc>
        <w:tc>
          <w:tcPr>
            <w:tcW w:w="2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5B2D24">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套</w:t>
            </w:r>
          </w:p>
        </w:tc>
        <w:tc>
          <w:tcPr>
            <w:tcW w:w="3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BB9A50">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2</w:t>
            </w:r>
          </w:p>
        </w:tc>
      </w:tr>
      <w:tr w14:paraId="7D992208">
        <w:tblPrEx>
          <w:tblCellMar>
            <w:top w:w="0" w:type="dxa"/>
            <w:left w:w="108" w:type="dxa"/>
            <w:bottom w:w="0" w:type="dxa"/>
            <w:right w:w="108" w:type="dxa"/>
          </w:tblCellMar>
        </w:tblPrEx>
        <w:trPr>
          <w:trHeight w:val="225" w:hRule="atLeast"/>
          <w:jc w:val="center"/>
        </w:trPr>
        <w:tc>
          <w:tcPr>
            <w:tcW w:w="4411" w:type="pct"/>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1B4B8BBF">
            <w:pPr>
              <w:widowControl/>
              <w:spacing w:line="360" w:lineRule="auto"/>
              <w:jc w:val="left"/>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rPr>
              <w:t>（二）智慧庭审设备</w:t>
            </w:r>
          </w:p>
        </w:tc>
        <w:tc>
          <w:tcPr>
            <w:tcW w:w="2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29ADEB">
            <w:pPr>
              <w:spacing w:line="360" w:lineRule="auto"/>
              <w:jc w:val="center"/>
              <w:rPr>
                <w:rFonts w:hint="eastAsia" w:ascii="宋体" w:hAnsi="宋体" w:eastAsia="宋体" w:cs="宋体"/>
                <w:color w:val="000000"/>
                <w:sz w:val="21"/>
                <w:szCs w:val="21"/>
              </w:rPr>
            </w:pPr>
          </w:p>
        </w:tc>
        <w:tc>
          <w:tcPr>
            <w:tcW w:w="3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ADB33B">
            <w:pPr>
              <w:spacing w:line="360" w:lineRule="auto"/>
              <w:jc w:val="center"/>
              <w:rPr>
                <w:rFonts w:hint="eastAsia" w:ascii="宋体" w:hAnsi="宋体" w:eastAsia="宋体" w:cs="宋体"/>
                <w:color w:val="000000"/>
                <w:sz w:val="21"/>
                <w:szCs w:val="21"/>
              </w:rPr>
            </w:pPr>
          </w:p>
        </w:tc>
      </w:tr>
      <w:tr w14:paraId="6DC25AD3">
        <w:tblPrEx>
          <w:tblCellMar>
            <w:top w:w="0" w:type="dxa"/>
            <w:left w:w="108" w:type="dxa"/>
            <w:bottom w:w="0" w:type="dxa"/>
            <w:right w:w="108" w:type="dxa"/>
          </w:tblCellMar>
        </w:tblPrEx>
        <w:trPr>
          <w:trHeight w:val="600" w:hRule="atLeast"/>
          <w:jc w:val="center"/>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364D6D">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1</w:t>
            </w:r>
          </w:p>
        </w:tc>
        <w:tc>
          <w:tcPr>
            <w:tcW w:w="9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697311">
            <w:pPr>
              <w:widowControl/>
              <w:spacing w:line="36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庭审语音识别</w:t>
            </w:r>
          </w:p>
        </w:tc>
        <w:tc>
          <w:tcPr>
            <w:tcW w:w="316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627BFB">
            <w:pPr>
              <w:widowControl/>
              <w:spacing w:line="360" w:lineRule="auto"/>
              <w:jc w:val="left"/>
              <w:textAlignment w:val="center"/>
              <w:rPr>
                <w:rFonts w:hint="eastAsia" w:ascii="宋体" w:hAnsi="宋体" w:eastAsia="宋体" w:cs="宋体"/>
                <w:kern w:val="0"/>
                <w:sz w:val="21"/>
                <w:szCs w:val="21"/>
              </w:rPr>
            </w:pPr>
            <w:r>
              <w:rPr>
                <w:rFonts w:hint="eastAsia" w:ascii="宋体" w:hAnsi="宋体" w:eastAsia="宋体" w:cs="宋体"/>
                <w:kern w:val="0"/>
                <w:sz w:val="21"/>
                <w:szCs w:val="21"/>
              </w:rPr>
              <w:t>1</w:t>
            </w:r>
            <w:r>
              <w:rPr>
                <w:rFonts w:hint="eastAsia" w:ascii="宋体" w:hAnsi="宋体" w:eastAsia="宋体" w:cs="宋体"/>
                <w:kern w:val="0"/>
                <w:sz w:val="21"/>
                <w:szCs w:val="21"/>
                <w:lang w:val="en-US" w:eastAsia="zh-CN"/>
              </w:rPr>
              <w:t>.</w:t>
            </w:r>
            <w:r>
              <w:rPr>
                <w:rFonts w:hint="eastAsia" w:ascii="宋体" w:hAnsi="宋体" w:eastAsia="宋体" w:cs="宋体"/>
                <w:kern w:val="0"/>
                <w:sz w:val="21"/>
                <w:szCs w:val="21"/>
              </w:rPr>
              <w:t>采用B/S架构国产化语音识别系统，采用国产自主音频信号传输协议。</w:t>
            </w:r>
          </w:p>
          <w:p w14:paraId="539B79FF">
            <w:pPr>
              <w:widowControl/>
              <w:spacing w:line="360" w:lineRule="auto"/>
              <w:jc w:val="left"/>
              <w:textAlignment w:val="center"/>
              <w:rPr>
                <w:rFonts w:hint="eastAsia" w:ascii="宋体" w:hAnsi="宋体" w:eastAsia="宋体" w:cs="宋体"/>
                <w:kern w:val="0"/>
                <w:sz w:val="21"/>
                <w:szCs w:val="21"/>
              </w:rPr>
            </w:pPr>
            <w:r>
              <w:rPr>
                <w:rFonts w:hint="eastAsia" w:ascii="宋体" w:hAnsi="宋体" w:eastAsia="宋体" w:cs="宋体"/>
                <w:kern w:val="0"/>
                <w:sz w:val="21"/>
                <w:szCs w:val="21"/>
              </w:rPr>
              <w:t>2</w:t>
            </w:r>
            <w:r>
              <w:rPr>
                <w:rFonts w:hint="eastAsia" w:ascii="宋体" w:hAnsi="宋体" w:eastAsia="宋体" w:cs="宋体"/>
                <w:kern w:val="0"/>
                <w:sz w:val="21"/>
                <w:szCs w:val="21"/>
                <w:lang w:val="en-US" w:eastAsia="zh-CN"/>
              </w:rPr>
              <w:t>.</w:t>
            </w:r>
            <w:r>
              <w:rPr>
                <w:rFonts w:hint="eastAsia" w:ascii="宋体" w:hAnsi="宋体" w:eastAsia="宋体" w:cs="宋体"/>
                <w:kern w:val="0"/>
                <w:sz w:val="21"/>
                <w:szCs w:val="21"/>
              </w:rPr>
              <w:t>用于庭审语音的转写，在实现本地庭审语音转写需求基础上，兼顾互联网庭审当事人、远程提审被告人等音频接入法庭时的转写需求，国产化系统中包含的配套语音识别声卡，最低须满足10路不同角色音源的输入。</w:t>
            </w:r>
          </w:p>
          <w:p w14:paraId="35190E16">
            <w:pPr>
              <w:widowControl/>
              <w:spacing w:line="360" w:lineRule="auto"/>
              <w:jc w:val="left"/>
              <w:textAlignment w:val="center"/>
              <w:rPr>
                <w:rFonts w:hint="eastAsia" w:ascii="宋体" w:hAnsi="宋体" w:eastAsia="宋体" w:cs="宋体"/>
                <w:kern w:val="0"/>
                <w:sz w:val="21"/>
                <w:szCs w:val="21"/>
              </w:rPr>
            </w:pPr>
            <w:r>
              <w:rPr>
                <w:rFonts w:hint="eastAsia" w:ascii="宋体" w:hAnsi="宋体" w:eastAsia="宋体" w:cs="宋体"/>
                <w:kern w:val="0"/>
                <w:sz w:val="21"/>
                <w:szCs w:val="21"/>
              </w:rPr>
              <w:t>3</w:t>
            </w:r>
            <w:r>
              <w:rPr>
                <w:rFonts w:hint="eastAsia" w:ascii="宋体" w:hAnsi="宋体" w:eastAsia="宋体" w:cs="宋体"/>
                <w:kern w:val="0"/>
                <w:sz w:val="21"/>
                <w:szCs w:val="21"/>
                <w:lang w:val="en-US" w:eastAsia="zh-CN"/>
              </w:rPr>
              <w:t>.</w:t>
            </w:r>
            <w:r>
              <w:rPr>
                <w:rFonts w:hint="eastAsia" w:ascii="宋体" w:hAnsi="宋体" w:eastAsia="宋体" w:cs="宋体"/>
                <w:kern w:val="0"/>
                <w:sz w:val="21"/>
                <w:szCs w:val="21"/>
              </w:rPr>
              <w:t>支持多台级连与最多64路音频同时传输，支持跨网段音频流数据传输。</w:t>
            </w:r>
          </w:p>
          <w:p w14:paraId="214F0C58">
            <w:pPr>
              <w:widowControl/>
              <w:spacing w:line="360" w:lineRule="auto"/>
              <w:jc w:val="left"/>
              <w:textAlignment w:val="center"/>
              <w:rPr>
                <w:rFonts w:hint="eastAsia" w:ascii="宋体" w:hAnsi="宋体" w:eastAsia="宋体" w:cs="宋体"/>
                <w:kern w:val="0"/>
                <w:sz w:val="21"/>
                <w:szCs w:val="21"/>
              </w:rPr>
            </w:pPr>
            <w:r>
              <w:rPr>
                <w:rFonts w:hint="eastAsia" w:ascii="宋体" w:hAnsi="宋体" w:eastAsia="宋体" w:cs="宋体"/>
                <w:kern w:val="0"/>
                <w:sz w:val="21"/>
                <w:szCs w:val="21"/>
              </w:rPr>
              <w:t>4</w:t>
            </w:r>
            <w:r>
              <w:rPr>
                <w:rFonts w:hint="eastAsia" w:ascii="宋体" w:hAnsi="宋体" w:eastAsia="宋体" w:cs="宋体"/>
                <w:kern w:val="0"/>
                <w:sz w:val="21"/>
                <w:szCs w:val="21"/>
                <w:lang w:val="en-US" w:eastAsia="zh-CN"/>
              </w:rPr>
              <w:t>.</w:t>
            </w:r>
            <w:r>
              <w:rPr>
                <w:rFonts w:hint="eastAsia" w:ascii="宋体" w:hAnsi="宋体" w:eastAsia="宋体" w:cs="宋体"/>
                <w:kern w:val="0"/>
                <w:sz w:val="21"/>
                <w:szCs w:val="21"/>
              </w:rPr>
              <w:t>频响范围宽于或等于：20Hz to 20kHz(+/-0.1db)。</w:t>
            </w:r>
          </w:p>
          <w:p w14:paraId="2D135D71">
            <w:pPr>
              <w:widowControl/>
              <w:spacing w:line="360" w:lineRule="auto"/>
              <w:jc w:val="left"/>
              <w:textAlignment w:val="center"/>
              <w:rPr>
                <w:rFonts w:hint="eastAsia" w:ascii="宋体" w:hAnsi="宋体" w:eastAsia="宋体" w:cs="宋体"/>
                <w:kern w:val="0"/>
                <w:sz w:val="21"/>
                <w:szCs w:val="21"/>
              </w:rPr>
            </w:pPr>
            <w:r>
              <w:rPr>
                <w:rFonts w:hint="eastAsia" w:ascii="宋体" w:hAnsi="宋体" w:eastAsia="宋体" w:cs="宋体"/>
                <w:kern w:val="0"/>
                <w:sz w:val="21"/>
                <w:szCs w:val="21"/>
              </w:rPr>
              <w:t>5</w:t>
            </w:r>
            <w:r>
              <w:rPr>
                <w:rFonts w:hint="eastAsia" w:ascii="宋体" w:hAnsi="宋体" w:eastAsia="宋体" w:cs="宋体"/>
                <w:kern w:val="0"/>
                <w:sz w:val="21"/>
                <w:szCs w:val="21"/>
                <w:lang w:val="en-US" w:eastAsia="zh-CN"/>
              </w:rPr>
              <w:t>.</w:t>
            </w:r>
            <w:r>
              <w:rPr>
                <w:rFonts w:hint="eastAsia" w:ascii="宋体" w:hAnsi="宋体" w:eastAsia="宋体" w:cs="宋体"/>
                <w:kern w:val="0"/>
                <w:sz w:val="21"/>
                <w:szCs w:val="21"/>
              </w:rPr>
              <w:t>输入模/数动态范围(A计权)：≥115dB、输出数/模动态范围(A计权)：≥120dB。</w:t>
            </w:r>
          </w:p>
          <w:p w14:paraId="6D85F96A">
            <w:pPr>
              <w:widowControl/>
              <w:spacing w:line="360" w:lineRule="auto"/>
              <w:jc w:val="left"/>
              <w:textAlignment w:val="center"/>
              <w:rPr>
                <w:rFonts w:hint="eastAsia" w:ascii="宋体" w:hAnsi="宋体" w:eastAsia="宋体" w:cs="宋体"/>
                <w:color w:val="000000"/>
                <w:sz w:val="21"/>
                <w:szCs w:val="21"/>
              </w:rPr>
            </w:pPr>
            <w:r>
              <w:rPr>
                <w:rFonts w:hint="eastAsia" w:ascii="宋体" w:hAnsi="宋体" w:eastAsia="宋体" w:cs="宋体"/>
                <w:kern w:val="0"/>
                <w:sz w:val="21"/>
                <w:szCs w:val="21"/>
              </w:rPr>
              <w:t>6</w:t>
            </w:r>
            <w:r>
              <w:rPr>
                <w:rFonts w:hint="eastAsia" w:ascii="宋体" w:hAnsi="宋体" w:eastAsia="宋体" w:cs="宋体"/>
                <w:kern w:val="0"/>
                <w:sz w:val="21"/>
                <w:szCs w:val="21"/>
                <w:lang w:val="en-US" w:eastAsia="zh-CN"/>
              </w:rPr>
              <w:t>.</w:t>
            </w:r>
            <w:r>
              <w:rPr>
                <w:rFonts w:hint="eastAsia" w:ascii="宋体" w:hAnsi="宋体" w:eastAsia="宋体" w:cs="宋体"/>
                <w:kern w:val="0"/>
                <w:sz w:val="21"/>
                <w:szCs w:val="21"/>
              </w:rPr>
              <w:t>为确保在语音识别设备质保期内相应转写服务连续不间断，系统应标配不低于3年的语音转写服务(含转写软件、保障服务、培训与升级服务等)。</w:t>
            </w:r>
          </w:p>
        </w:tc>
        <w:tc>
          <w:tcPr>
            <w:tcW w:w="2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4F7702">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庭</w:t>
            </w:r>
          </w:p>
        </w:tc>
        <w:tc>
          <w:tcPr>
            <w:tcW w:w="3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2FE404">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1</w:t>
            </w:r>
          </w:p>
        </w:tc>
      </w:tr>
      <w:tr w14:paraId="68D62095">
        <w:tblPrEx>
          <w:tblCellMar>
            <w:top w:w="0" w:type="dxa"/>
            <w:left w:w="108" w:type="dxa"/>
            <w:bottom w:w="0" w:type="dxa"/>
            <w:right w:w="108" w:type="dxa"/>
          </w:tblCellMar>
        </w:tblPrEx>
        <w:trPr>
          <w:trHeight w:val="600" w:hRule="atLeast"/>
          <w:jc w:val="center"/>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3EE067">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2</w:t>
            </w:r>
          </w:p>
        </w:tc>
        <w:tc>
          <w:tcPr>
            <w:tcW w:w="9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BE965E">
            <w:pPr>
              <w:widowControl/>
              <w:spacing w:line="36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庭审公告屏（含公告软件与后台）</w:t>
            </w:r>
          </w:p>
        </w:tc>
        <w:tc>
          <w:tcPr>
            <w:tcW w:w="316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73A4C6">
            <w:pPr>
              <w:widowControl/>
              <w:spacing w:line="36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bdr w:val="single" w:color="000000" w:sz="4" w:space="0"/>
                <w:shd w:val="clear" w:color="auto" w:fill="FFFFFF"/>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66700" cy="12700"/>
                  <wp:effectExtent l="0" t="0" r="0" b="0"/>
                  <wp:wrapNone/>
                  <wp:docPr id="3" name="Picture_1_SpCnt_2"/>
                  <wp:cNvGraphicFramePr/>
                  <a:graphic xmlns:a="http://schemas.openxmlformats.org/drawingml/2006/main">
                    <a:graphicData uri="http://schemas.openxmlformats.org/drawingml/2006/picture">
                      <pic:pic xmlns:pic="http://schemas.openxmlformats.org/drawingml/2006/picture">
                        <pic:nvPicPr>
                          <pic:cNvPr id="3" name="Picture_1_SpCnt_2"/>
                          <pic:cNvPicPr/>
                        </pic:nvPicPr>
                        <pic:blipFill>
                          <a:blip r:embed="rId17"/>
                          <a:stretch>
                            <a:fillRect/>
                          </a:stretch>
                        </pic:blipFill>
                        <pic:spPr>
                          <a:xfrm>
                            <a:off x="0" y="0"/>
                            <a:ext cx="266700" cy="12700"/>
                          </a:xfrm>
                          <a:prstGeom prst="rect">
                            <a:avLst/>
                          </a:prstGeom>
                          <a:noFill/>
                          <a:ln>
                            <a:noFill/>
                          </a:ln>
                        </pic:spPr>
                      </pic:pic>
                    </a:graphicData>
                  </a:graphic>
                </wp:anchor>
              </w:drawing>
            </w:r>
            <w:r>
              <w:rPr>
                <w:rFonts w:hint="eastAsia" w:ascii="宋体" w:hAnsi="宋体" w:eastAsia="宋体" w:cs="宋体"/>
                <w:color w:val="000000"/>
                <w:kern w:val="0"/>
                <w:sz w:val="21"/>
                <w:szCs w:val="21"/>
              </w:rPr>
              <w:t>随机预装庭审公告软件与服务器后台服务软件。</w:t>
            </w:r>
            <w:r>
              <w:rPr>
                <w:rFonts w:hint="eastAsia" w:ascii="宋体" w:hAnsi="宋体" w:eastAsia="宋体" w:cs="宋体"/>
                <w:color w:val="000000"/>
                <w:kern w:val="0"/>
                <w:sz w:val="21"/>
                <w:szCs w:val="21"/>
              </w:rPr>
              <w:br w:type="textWrapping"/>
            </w:r>
            <w:r>
              <w:rPr>
                <w:rFonts w:hint="eastAsia" w:ascii="宋体" w:hAnsi="宋体" w:eastAsia="宋体" w:cs="宋体"/>
                <w:color w:val="000000"/>
                <w:kern w:val="0"/>
                <w:sz w:val="21"/>
                <w:szCs w:val="21"/>
              </w:rPr>
              <w:t>（一）功能要求</w:t>
            </w:r>
            <w:r>
              <w:rPr>
                <w:rFonts w:hint="eastAsia" w:ascii="宋体" w:hAnsi="宋体" w:eastAsia="宋体" w:cs="宋体"/>
                <w:color w:val="000000"/>
                <w:kern w:val="0"/>
                <w:sz w:val="21"/>
                <w:szCs w:val="21"/>
              </w:rPr>
              <w:br w:type="textWrapping"/>
            </w:r>
            <w:r>
              <w:rPr>
                <w:rFonts w:hint="eastAsia" w:ascii="宋体" w:hAnsi="宋体" w:eastAsia="宋体" w:cs="宋体"/>
                <w:color w:val="000000"/>
                <w:kern w:val="0"/>
                <w:sz w:val="21"/>
                <w:szCs w:val="21"/>
              </w:rPr>
              <w:t>★1</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应具备实时显示开庭视频画面的功能；应具备实时显示开庭状态信息的功能；应具备显示近期开庭计划的信息的功能；不开庭时可显示法院对外宣传的海报图片；支持自定义播放图片，可自定义上传在非展示庭审视频状态下播放的图片功能。（提供清晰精要且能呈现全流程操作说明的功能截图）</w:t>
            </w:r>
            <w:r>
              <w:rPr>
                <w:rFonts w:hint="eastAsia" w:ascii="宋体" w:hAnsi="宋体" w:eastAsia="宋体" w:cs="宋体"/>
                <w:color w:val="000000"/>
                <w:kern w:val="0"/>
                <w:sz w:val="21"/>
                <w:szCs w:val="21"/>
              </w:rPr>
              <w:br w:type="textWrapping"/>
            </w:r>
            <w:r>
              <w:rPr>
                <w:rFonts w:hint="eastAsia" w:ascii="宋体" w:hAnsi="宋体" w:eastAsia="宋体" w:cs="宋体"/>
                <w:color w:val="000000"/>
                <w:kern w:val="0"/>
                <w:sz w:val="21"/>
                <w:szCs w:val="21"/>
              </w:rPr>
              <w:t>（二）硬件要求</w:t>
            </w:r>
            <w:r>
              <w:rPr>
                <w:rFonts w:hint="eastAsia" w:ascii="宋体" w:hAnsi="宋体" w:eastAsia="宋体" w:cs="宋体"/>
                <w:color w:val="000000"/>
                <w:kern w:val="0"/>
                <w:sz w:val="21"/>
                <w:szCs w:val="21"/>
              </w:rPr>
              <w:br w:type="textWrapping"/>
            </w:r>
            <w:r>
              <w:rPr>
                <w:rFonts w:hint="eastAsia" w:ascii="宋体" w:hAnsi="宋体" w:eastAsia="宋体" w:cs="宋体"/>
                <w:color w:val="000000"/>
                <w:kern w:val="0"/>
                <w:sz w:val="21"/>
                <w:szCs w:val="21"/>
              </w:rPr>
              <w:t>1</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不小于24寸窄边框显示屏，分辨率不低于1920×1080，屏幕比例16:9。</w:t>
            </w:r>
            <w:r>
              <w:rPr>
                <w:rFonts w:hint="eastAsia" w:ascii="宋体" w:hAnsi="宋体" w:eastAsia="宋体" w:cs="宋体"/>
                <w:color w:val="000000"/>
                <w:kern w:val="0"/>
                <w:sz w:val="21"/>
                <w:szCs w:val="21"/>
              </w:rPr>
              <w:br w:type="textWrapping"/>
            </w:r>
            <w:r>
              <w:rPr>
                <w:rFonts w:hint="eastAsia" w:ascii="宋体" w:hAnsi="宋体" w:eastAsia="宋体" w:cs="宋体"/>
                <w:color w:val="000000"/>
                <w:kern w:val="0"/>
                <w:sz w:val="21"/>
                <w:szCs w:val="21"/>
              </w:rPr>
              <w:t>2</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含内嵌式安装支架。</w:t>
            </w:r>
            <w:r>
              <w:rPr>
                <w:rFonts w:hint="eastAsia" w:ascii="宋体" w:hAnsi="宋体" w:eastAsia="宋体" w:cs="宋体"/>
                <w:color w:val="000000"/>
                <w:kern w:val="0"/>
                <w:sz w:val="21"/>
                <w:szCs w:val="21"/>
              </w:rPr>
              <w:br w:type="textWrapping"/>
            </w:r>
            <w:r>
              <w:rPr>
                <w:rFonts w:hint="eastAsia" w:ascii="宋体" w:hAnsi="宋体" w:eastAsia="宋体" w:cs="宋体"/>
                <w:color w:val="000000"/>
                <w:kern w:val="0"/>
                <w:sz w:val="21"/>
                <w:szCs w:val="21"/>
              </w:rPr>
              <w:t>（三）数据库对接要求</w:t>
            </w:r>
            <w:r>
              <w:rPr>
                <w:rFonts w:hint="eastAsia" w:ascii="宋体" w:hAnsi="宋体" w:eastAsia="宋体" w:cs="宋体"/>
                <w:color w:val="000000"/>
                <w:kern w:val="0"/>
                <w:sz w:val="21"/>
                <w:szCs w:val="21"/>
              </w:rPr>
              <w:br w:type="textWrapping"/>
            </w:r>
            <w:r>
              <w:rPr>
                <w:rFonts w:hint="eastAsia" w:ascii="宋体" w:hAnsi="宋体" w:eastAsia="宋体" w:cs="宋体"/>
                <w:color w:val="000000"/>
                <w:kern w:val="0"/>
                <w:sz w:val="21"/>
                <w:szCs w:val="21"/>
              </w:rPr>
              <w:t>1</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提供庭审公告系统管理软件，与全国法院办案办公平台（审判系统）数据库对接，实现功能：实时读取法庭庭审数据，实时显示各法庭案件庭审信息。接口接入不受审判庭数量限制。</w:t>
            </w:r>
            <w:r>
              <w:rPr>
                <w:rFonts w:hint="eastAsia" w:ascii="宋体" w:hAnsi="宋体" w:eastAsia="宋体" w:cs="宋体"/>
                <w:color w:val="000000"/>
                <w:kern w:val="0"/>
                <w:sz w:val="21"/>
                <w:szCs w:val="21"/>
              </w:rPr>
              <w:br w:type="textWrapping"/>
            </w:r>
            <w:r>
              <w:rPr>
                <w:rFonts w:hint="eastAsia" w:ascii="宋体" w:hAnsi="宋体" w:eastAsia="宋体" w:cs="宋体"/>
                <w:color w:val="000000"/>
                <w:kern w:val="0"/>
                <w:sz w:val="21"/>
                <w:szCs w:val="21"/>
              </w:rPr>
              <w:t>2</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对接高清庭审主机，实时读取开庭视频画面视频流，实现实时显示开庭视频画面的功能。</w:t>
            </w:r>
            <w:r>
              <w:rPr>
                <w:rFonts w:hint="eastAsia" w:ascii="宋体" w:hAnsi="宋体" w:eastAsia="宋体" w:cs="宋体"/>
                <w:color w:val="000000"/>
                <w:kern w:val="0"/>
                <w:sz w:val="21"/>
                <w:szCs w:val="21"/>
              </w:rPr>
              <w:br w:type="textWrapping"/>
            </w:r>
            <w:r>
              <w:rPr>
                <w:rFonts w:hint="eastAsia" w:ascii="宋体" w:hAnsi="宋体" w:eastAsia="宋体" w:cs="宋体"/>
                <w:color w:val="000000"/>
                <w:kern w:val="0"/>
                <w:sz w:val="21"/>
                <w:szCs w:val="21"/>
              </w:rPr>
              <w:t>3</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负责对接数据库服务，且包含对接相关技术服务费用。</w:t>
            </w:r>
          </w:p>
        </w:tc>
        <w:tc>
          <w:tcPr>
            <w:tcW w:w="2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4F313E">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套</w:t>
            </w:r>
          </w:p>
        </w:tc>
        <w:tc>
          <w:tcPr>
            <w:tcW w:w="3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ED9028">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2</w:t>
            </w:r>
          </w:p>
        </w:tc>
      </w:tr>
      <w:tr w14:paraId="77A1B302">
        <w:tblPrEx>
          <w:tblCellMar>
            <w:top w:w="0" w:type="dxa"/>
            <w:left w:w="108" w:type="dxa"/>
            <w:bottom w:w="0" w:type="dxa"/>
            <w:right w:w="108" w:type="dxa"/>
          </w:tblCellMar>
        </w:tblPrEx>
        <w:trPr>
          <w:trHeight w:val="600" w:hRule="atLeast"/>
          <w:jc w:val="center"/>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965840">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3</w:t>
            </w:r>
          </w:p>
        </w:tc>
        <w:tc>
          <w:tcPr>
            <w:tcW w:w="9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64DDD9">
            <w:pPr>
              <w:widowControl/>
              <w:spacing w:line="36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网控时序电源</w:t>
            </w:r>
          </w:p>
        </w:tc>
        <w:tc>
          <w:tcPr>
            <w:tcW w:w="316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584005">
            <w:pPr>
              <w:widowControl/>
              <w:spacing w:line="36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1.前面板内置LCD显示屏，灵活显示实时电流.实时电压与设备IP等信息；</w:t>
            </w:r>
            <w:r>
              <w:rPr>
                <w:rFonts w:hint="eastAsia" w:ascii="宋体" w:hAnsi="宋体" w:eastAsia="宋体" w:cs="宋体"/>
                <w:color w:val="000000"/>
                <w:kern w:val="0"/>
                <w:sz w:val="21"/>
                <w:szCs w:val="21"/>
              </w:rPr>
              <w:br w:type="textWrapping"/>
            </w:r>
            <w:r>
              <w:rPr>
                <w:rFonts w:hint="eastAsia" w:ascii="宋体" w:hAnsi="宋体" w:eastAsia="宋体" w:cs="宋体"/>
                <w:color w:val="000000"/>
                <w:kern w:val="0"/>
                <w:sz w:val="21"/>
                <w:szCs w:val="21"/>
              </w:rPr>
              <w:t>2.电源输出通道数：≥8路；单通道最大电流≥10A，总输入电流容量≥40A；</w:t>
            </w:r>
            <w:r>
              <w:rPr>
                <w:rFonts w:hint="eastAsia" w:ascii="宋体" w:hAnsi="宋体" w:eastAsia="宋体" w:cs="宋体"/>
                <w:color w:val="000000"/>
                <w:kern w:val="0"/>
                <w:sz w:val="21"/>
                <w:szCs w:val="21"/>
              </w:rPr>
              <w:br w:type="textWrapping"/>
            </w:r>
            <w:r>
              <w:rPr>
                <w:rFonts w:hint="eastAsia" w:ascii="宋体" w:hAnsi="宋体" w:eastAsia="宋体" w:cs="宋体"/>
                <w:color w:val="000000"/>
                <w:kern w:val="0"/>
                <w:sz w:val="21"/>
                <w:szCs w:val="21"/>
              </w:rPr>
              <w:t>3.控制方式：支持TCP/IP协议和串口协议控制；可通过面板按键对输出端口单独或全部进行控制；</w:t>
            </w:r>
            <w:r>
              <w:rPr>
                <w:rFonts w:hint="eastAsia" w:ascii="宋体" w:hAnsi="宋体" w:eastAsia="宋体" w:cs="宋体"/>
                <w:color w:val="000000"/>
                <w:kern w:val="0"/>
                <w:sz w:val="21"/>
                <w:szCs w:val="21"/>
              </w:rPr>
              <w:br w:type="textWrapping"/>
            </w:r>
            <w:r>
              <w:rPr>
                <w:rFonts w:hint="eastAsia" w:ascii="宋体" w:hAnsi="宋体" w:eastAsia="宋体" w:cs="宋体"/>
                <w:color w:val="000000"/>
                <w:kern w:val="0"/>
                <w:sz w:val="21"/>
                <w:szCs w:val="21"/>
              </w:rPr>
              <w:t>4.配合电源控制智能面板，可实现通过网口，RS485接口对设备进行控制；</w:t>
            </w:r>
            <w:r>
              <w:rPr>
                <w:rFonts w:hint="eastAsia" w:ascii="宋体" w:hAnsi="宋体" w:eastAsia="宋体" w:cs="宋体"/>
                <w:color w:val="000000"/>
                <w:kern w:val="0"/>
                <w:sz w:val="21"/>
                <w:szCs w:val="21"/>
              </w:rPr>
              <w:br w:type="textWrapping"/>
            </w:r>
            <w:r>
              <w:rPr>
                <w:rFonts w:hint="eastAsia" w:ascii="宋体" w:hAnsi="宋体" w:eastAsia="宋体" w:cs="宋体"/>
                <w:color w:val="000000"/>
                <w:kern w:val="0"/>
                <w:sz w:val="21"/>
                <w:szCs w:val="21"/>
              </w:rPr>
              <w:t>5.每路电源通道均可独立设定延时时间（优于1秒~5小时）。</w:t>
            </w:r>
            <w:r>
              <w:rPr>
                <w:rFonts w:hint="eastAsia" w:ascii="宋体" w:hAnsi="宋体" w:eastAsia="宋体" w:cs="宋体"/>
                <w:color w:val="000000"/>
                <w:kern w:val="0"/>
                <w:sz w:val="21"/>
                <w:szCs w:val="21"/>
              </w:rPr>
              <w:br w:type="textWrapping"/>
            </w:r>
            <w:r>
              <w:rPr>
                <w:rFonts w:hint="eastAsia" w:ascii="宋体" w:hAnsi="宋体" w:eastAsia="宋体" w:cs="宋体"/>
                <w:color w:val="000000"/>
                <w:kern w:val="0"/>
                <w:sz w:val="21"/>
                <w:szCs w:val="21"/>
              </w:rPr>
              <w:t>6</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支持全国办案办公平台数字法庭开庭界面国产化书记员端实现电源控制功能。</w:t>
            </w:r>
          </w:p>
        </w:tc>
        <w:tc>
          <w:tcPr>
            <w:tcW w:w="2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E586F7">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台</w:t>
            </w:r>
          </w:p>
        </w:tc>
        <w:tc>
          <w:tcPr>
            <w:tcW w:w="3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368EC0">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2</w:t>
            </w:r>
          </w:p>
        </w:tc>
      </w:tr>
      <w:tr w14:paraId="6CED58E6">
        <w:tblPrEx>
          <w:tblCellMar>
            <w:top w:w="0" w:type="dxa"/>
            <w:left w:w="108" w:type="dxa"/>
            <w:bottom w:w="0" w:type="dxa"/>
            <w:right w:w="108" w:type="dxa"/>
          </w:tblCellMar>
        </w:tblPrEx>
        <w:trPr>
          <w:trHeight w:val="225" w:hRule="atLeast"/>
          <w:jc w:val="center"/>
        </w:trPr>
        <w:tc>
          <w:tcPr>
            <w:tcW w:w="4411" w:type="pct"/>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2FE03B80">
            <w:pPr>
              <w:widowControl/>
              <w:spacing w:line="360" w:lineRule="auto"/>
              <w:jc w:val="left"/>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rPr>
              <w:t>（三）互联网庭审设备</w:t>
            </w:r>
          </w:p>
        </w:tc>
        <w:tc>
          <w:tcPr>
            <w:tcW w:w="2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188447">
            <w:pPr>
              <w:spacing w:line="360" w:lineRule="auto"/>
              <w:jc w:val="center"/>
              <w:rPr>
                <w:rFonts w:hint="eastAsia" w:ascii="宋体" w:hAnsi="宋体" w:eastAsia="宋体" w:cs="宋体"/>
                <w:color w:val="000000"/>
                <w:sz w:val="21"/>
                <w:szCs w:val="21"/>
              </w:rPr>
            </w:pPr>
          </w:p>
        </w:tc>
        <w:tc>
          <w:tcPr>
            <w:tcW w:w="3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E6F939">
            <w:pPr>
              <w:spacing w:line="360" w:lineRule="auto"/>
              <w:jc w:val="center"/>
              <w:rPr>
                <w:rFonts w:hint="eastAsia" w:ascii="宋体" w:hAnsi="宋体" w:eastAsia="宋体" w:cs="宋体"/>
                <w:color w:val="000000"/>
                <w:sz w:val="21"/>
                <w:szCs w:val="21"/>
              </w:rPr>
            </w:pPr>
          </w:p>
        </w:tc>
      </w:tr>
      <w:tr w14:paraId="6CA28055">
        <w:tblPrEx>
          <w:tblCellMar>
            <w:top w:w="0" w:type="dxa"/>
            <w:left w:w="108" w:type="dxa"/>
            <w:bottom w:w="0" w:type="dxa"/>
            <w:right w:w="108" w:type="dxa"/>
          </w:tblCellMar>
        </w:tblPrEx>
        <w:trPr>
          <w:trHeight w:val="600" w:hRule="atLeast"/>
          <w:jc w:val="center"/>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BEFEA1">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1</w:t>
            </w:r>
          </w:p>
        </w:tc>
        <w:tc>
          <w:tcPr>
            <w:tcW w:w="9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D797A3">
            <w:pPr>
              <w:widowControl/>
              <w:spacing w:line="36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远程互联终端</w:t>
            </w:r>
          </w:p>
        </w:tc>
        <w:tc>
          <w:tcPr>
            <w:tcW w:w="316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6F36A6">
            <w:pPr>
              <w:widowControl/>
              <w:snapToGrid w:val="0"/>
              <w:spacing w:line="360" w:lineRule="auto"/>
              <w:jc w:val="left"/>
              <w:textAlignment w:val="center"/>
              <w:rPr>
                <w:rFonts w:hint="eastAsia" w:ascii="宋体" w:hAnsi="宋体" w:eastAsia="宋体" w:cs="宋体"/>
                <w:kern w:val="0"/>
                <w:sz w:val="21"/>
                <w:szCs w:val="21"/>
              </w:rPr>
            </w:pPr>
            <w:r>
              <w:rPr>
                <w:rFonts w:hint="eastAsia" w:ascii="宋体" w:hAnsi="宋体" w:eastAsia="宋体" w:cs="宋体"/>
                <w:kern w:val="0"/>
                <w:sz w:val="21"/>
                <w:szCs w:val="21"/>
              </w:rPr>
              <w:t>1</w:t>
            </w:r>
            <w:r>
              <w:rPr>
                <w:rFonts w:hint="eastAsia" w:ascii="宋体" w:hAnsi="宋体" w:eastAsia="宋体" w:cs="宋体"/>
                <w:kern w:val="0"/>
                <w:sz w:val="21"/>
                <w:szCs w:val="21"/>
                <w:lang w:val="en-US" w:eastAsia="zh-CN"/>
              </w:rPr>
              <w:t>.</w:t>
            </w:r>
            <w:r>
              <w:rPr>
                <w:rFonts w:hint="eastAsia" w:ascii="宋体" w:hAnsi="宋体" w:eastAsia="宋体" w:cs="宋体"/>
                <w:kern w:val="0"/>
                <w:sz w:val="21"/>
                <w:szCs w:val="21"/>
              </w:rPr>
              <w:t>设备须符合最高法2022年03月01日起施行《人民法院在线运行规则》相关规定，以“人民法院在线服务平台”作为人民法院通过互联网向人民群众提供在线服务的统一入口。设备须正式接入“人民法院在线服务（全国版）”，实现在线庭审功能，并稳定运行6个月以上。</w:t>
            </w:r>
          </w:p>
          <w:p w14:paraId="6516078B">
            <w:pPr>
              <w:widowControl/>
              <w:snapToGrid w:val="0"/>
              <w:spacing w:line="360" w:lineRule="auto"/>
              <w:jc w:val="left"/>
              <w:textAlignment w:val="center"/>
              <w:rPr>
                <w:rFonts w:hint="eastAsia" w:ascii="宋体" w:hAnsi="宋体" w:eastAsia="宋体" w:cs="宋体"/>
                <w:kern w:val="0"/>
                <w:sz w:val="21"/>
                <w:szCs w:val="21"/>
              </w:rPr>
            </w:pPr>
            <w:r>
              <w:rPr>
                <w:rFonts w:hint="eastAsia" w:ascii="宋体" w:hAnsi="宋体" w:eastAsia="宋体" w:cs="宋体"/>
                <w:kern w:val="0"/>
                <w:sz w:val="21"/>
                <w:szCs w:val="21"/>
              </w:rPr>
              <w:t>2</w:t>
            </w:r>
            <w:r>
              <w:rPr>
                <w:rFonts w:hint="eastAsia" w:ascii="宋体" w:hAnsi="宋体" w:eastAsia="宋体" w:cs="宋体"/>
                <w:kern w:val="0"/>
                <w:sz w:val="21"/>
                <w:szCs w:val="21"/>
                <w:lang w:val="en-US" w:eastAsia="zh-CN"/>
              </w:rPr>
              <w:t>.</w:t>
            </w:r>
            <w:r>
              <w:rPr>
                <w:rFonts w:hint="eastAsia" w:ascii="宋体" w:hAnsi="宋体" w:eastAsia="宋体" w:cs="宋体"/>
                <w:kern w:val="0"/>
                <w:sz w:val="21"/>
                <w:szCs w:val="21"/>
              </w:rPr>
              <w:t>采用硬件分体式结构，嵌入式操作系统，非PC架构、非工控机架构；主机≤1.5U，机架安装，具备视音频编解码、SDI矩阵、HDMI矩阵(支持音频)、可编程RS-232与千兆网口。</w:t>
            </w:r>
          </w:p>
          <w:p w14:paraId="28AC024F">
            <w:pPr>
              <w:widowControl/>
              <w:snapToGrid w:val="0"/>
              <w:spacing w:line="360" w:lineRule="auto"/>
              <w:jc w:val="left"/>
              <w:textAlignment w:val="center"/>
              <w:rPr>
                <w:rFonts w:hint="eastAsia" w:ascii="宋体" w:hAnsi="宋体" w:eastAsia="宋体" w:cs="宋体"/>
                <w:kern w:val="0"/>
                <w:sz w:val="21"/>
                <w:szCs w:val="21"/>
              </w:rPr>
            </w:pPr>
            <w:r>
              <w:rPr>
                <w:rFonts w:hint="eastAsia" w:ascii="宋体" w:hAnsi="宋体" w:eastAsia="宋体" w:cs="宋体"/>
                <w:kern w:val="0"/>
                <w:sz w:val="21"/>
                <w:szCs w:val="21"/>
              </w:rPr>
              <w:t>★3</w:t>
            </w:r>
            <w:r>
              <w:rPr>
                <w:rFonts w:hint="eastAsia" w:ascii="宋体" w:hAnsi="宋体" w:eastAsia="宋体" w:cs="宋体"/>
                <w:kern w:val="0"/>
                <w:sz w:val="21"/>
                <w:szCs w:val="21"/>
                <w:lang w:val="en-US" w:eastAsia="zh-CN"/>
              </w:rPr>
              <w:t>.</w:t>
            </w:r>
            <w:r>
              <w:rPr>
                <w:rFonts w:hint="eastAsia" w:ascii="宋体" w:hAnsi="宋体" w:eastAsia="宋体" w:cs="宋体"/>
                <w:kern w:val="0"/>
                <w:sz w:val="21"/>
                <w:szCs w:val="21"/>
              </w:rPr>
              <w:t>前面板配置多点触屏，支持自由切换4种庭审模式，满足不同庭审场景需求且基于I/O电平检测模式的语音激励功能，采用凤凰接口，主机支持法庭全景声系统。（提供清晰精要且能呈现全流程操作说明的功能截图）</w:t>
            </w:r>
          </w:p>
          <w:p w14:paraId="18420FD3">
            <w:pPr>
              <w:widowControl/>
              <w:snapToGrid w:val="0"/>
              <w:spacing w:line="360" w:lineRule="auto"/>
              <w:jc w:val="left"/>
              <w:textAlignment w:val="center"/>
              <w:rPr>
                <w:rFonts w:hint="eastAsia" w:ascii="宋体" w:hAnsi="宋体" w:eastAsia="宋体" w:cs="宋体"/>
                <w:kern w:val="0"/>
                <w:sz w:val="21"/>
                <w:szCs w:val="21"/>
              </w:rPr>
            </w:pPr>
            <w:r>
              <w:rPr>
                <w:rFonts w:hint="eastAsia" w:ascii="宋体" w:hAnsi="宋体" w:eastAsia="宋体" w:cs="宋体"/>
                <w:kern w:val="0"/>
                <w:sz w:val="21"/>
                <w:szCs w:val="21"/>
              </w:rPr>
              <w:t>4</w:t>
            </w:r>
            <w:r>
              <w:rPr>
                <w:rFonts w:hint="eastAsia" w:ascii="宋体" w:hAnsi="宋体" w:eastAsia="宋体" w:cs="宋体"/>
                <w:kern w:val="0"/>
                <w:sz w:val="21"/>
                <w:szCs w:val="21"/>
                <w:lang w:val="en-US" w:eastAsia="zh-CN"/>
              </w:rPr>
              <w:t>.</w:t>
            </w:r>
            <w:r>
              <w:rPr>
                <w:rFonts w:hint="eastAsia" w:ascii="宋体" w:hAnsi="宋体" w:eastAsia="宋体" w:cs="宋体"/>
                <w:kern w:val="0"/>
                <w:sz w:val="21"/>
                <w:szCs w:val="21"/>
              </w:rPr>
              <w:t>输入信号：主机≥6路1080P/720P高清信号输入，接口为SDI或HDMI；输出信号：主机≥6路1080P/720P高清信号输出，接口为SDI或HDMI。</w:t>
            </w:r>
          </w:p>
          <w:p w14:paraId="0317F879">
            <w:pPr>
              <w:widowControl/>
              <w:snapToGrid w:val="0"/>
              <w:spacing w:line="360" w:lineRule="auto"/>
              <w:jc w:val="left"/>
              <w:textAlignment w:val="center"/>
              <w:rPr>
                <w:rFonts w:hint="eastAsia" w:ascii="宋体" w:hAnsi="宋体" w:eastAsia="宋体" w:cs="宋体"/>
                <w:kern w:val="0"/>
                <w:sz w:val="21"/>
                <w:szCs w:val="21"/>
              </w:rPr>
            </w:pPr>
            <w:r>
              <w:rPr>
                <w:rFonts w:hint="eastAsia" w:ascii="宋体" w:hAnsi="宋体" w:eastAsia="宋体" w:cs="宋体"/>
                <w:kern w:val="0"/>
                <w:sz w:val="21"/>
                <w:szCs w:val="21"/>
              </w:rPr>
              <w:t>5</w:t>
            </w:r>
            <w:r>
              <w:rPr>
                <w:rFonts w:hint="eastAsia" w:ascii="宋体" w:hAnsi="宋体" w:eastAsia="宋体" w:cs="宋体"/>
                <w:kern w:val="0"/>
                <w:sz w:val="21"/>
                <w:szCs w:val="21"/>
                <w:lang w:val="en-US" w:eastAsia="zh-CN"/>
              </w:rPr>
              <w:t>.</w:t>
            </w:r>
            <w:r>
              <w:rPr>
                <w:rFonts w:hint="eastAsia" w:ascii="宋体" w:hAnsi="宋体" w:eastAsia="宋体" w:cs="宋体"/>
                <w:kern w:val="0"/>
                <w:sz w:val="21"/>
                <w:szCs w:val="21"/>
              </w:rPr>
              <w:t>支持≥2路音视频信号编码推流，支持SDI、HDMI接口选择接入（1路庭审复合画面推流、1路庭审示证画面推流）；支持≥2路线上当事人音视频信号解码为物理信号独立显示，支持SDI、HDMI接口（支持远程原告与远程被告画面独立输出，分辨率≥1080P）。</w:t>
            </w:r>
          </w:p>
          <w:p w14:paraId="6877AAF5">
            <w:pPr>
              <w:widowControl/>
              <w:snapToGrid w:val="0"/>
              <w:spacing w:line="360" w:lineRule="auto"/>
              <w:jc w:val="left"/>
              <w:textAlignment w:val="center"/>
              <w:rPr>
                <w:rFonts w:hint="eastAsia" w:ascii="宋体" w:hAnsi="宋体" w:eastAsia="宋体" w:cs="宋体"/>
                <w:kern w:val="0"/>
                <w:sz w:val="21"/>
                <w:szCs w:val="21"/>
              </w:rPr>
            </w:pPr>
            <w:r>
              <w:rPr>
                <w:rFonts w:hint="eastAsia" w:ascii="宋体" w:hAnsi="宋体" w:eastAsia="宋体" w:cs="宋体"/>
                <w:kern w:val="0"/>
                <w:sz w:val="21"/>
                <w:szCs w:val="21"/>
              </w:rPr>
              <w:t>6</w:t>
            </w:r>
            <w:r>
              <w:rPr>
                <w:rFonts w:hint="eastAsia" w:ascii="宋体" w:hAnsi="宋体" w:eastAsia="宋体" w:cs="宋体"/>
                <w:kern w:val="0"/>
                <w:sz w:val="21"/>
                <w:szCs w:val="21"/>
                <w:lang w:val="en-US" w:eastAsia="zh-CN"/>
              </w:rPr>
              <w:t>.</w:t>
            </w:r>
            <w:r>
              <w:rPr>
                <w:rFonts w:hint="eastAsia" w:ascii="宋体" w:hAnsi="宋体" w:eastAsia="宋体" w:cs="宋体"/>
                <w:kern w:val="0"/>
                <w:sz w:val="21"/>
                <w:szCs w:val="21"/>
              </w:rPr>
              <w:t>支持≥8路线上人员视频墙独立显示，支持SDI、HDMI接口（显示分辨率≥1080P）；内置≥8进8出SDI高清视频矩阵（外部接口≥3组），支持摄像机画面接入与输出，正常庭审时显示当庭画面，互联网庭审时显示互联网端画面。</w:t>
            </w:r>
          </w:p>
          <w:p w14:paraId="1CA05B41">
            <w:pPr>
              <w:widowControl/>
              <w:snapToGrid w:val="0"/>
              <w:spacing w:line="360" w:lineRule="auto"/>
              <w:jc w:val="left"/>
              <w:textAlignment w:val="center"/>
              <w:rPr>
                <w:rFonts w:hint="eastAsia" w:ascii="宋体" w:hAnsi="宋体" w:eastAsia="宋体" w:cs="宋体"/>
                <w:kern w:val="0"/>
                <w:sz w:val="21"/>
                <w:szCs w:val="21"/>
              </w:rPr>
            </w:pPr>
            <w:r>
              <w:rPr>
                <w:rFonts w:hint="eastAsia" w:ascii="宋体" w:hAnsi="宋体" w:eastAsia="宋体" w:cs="宋体"/>
                <w:kern w:val="0"/>
                <w:sz w:val="21"/>
                <w:szCs w:val="21"/>
              </w:rPr>
              <w:t>7</w:t>
            </w:r>
            <w:r>
              <w:rPr>
                <w:rFonts w:hint="eastAsia" w:ascii="宋体" w:hAnsi="宋体" w:eastAsia="宋体" w:cs="宋体"/>
                <w:kern w:val="0"/>
                <w:sz w:val="21"/>
                <w:szCs w:val="21"/>
                <w:lang w:val="en-US" w:eastAsia="zh-CN"/>
              </w:rPr>
              <w:t>.</w:t>
            </w:r>
            <w:r>
              <w:rPr>
                <w:rFonts w:hint="eastAsia" w:ascii="宋体" w:hAnsi="宋体" w:eastAsia="宋体" w:cs="宋体"/>
                <w:kern w:val="0"/>
                <w:sz w:val="21"/>
                <w:szCs w:val="21"/>
              </w:rPr>
              <w:t>互联网庭审音视频采用模拟信号进行传输，符合法院内外网双网物理隔离安全标准。</w:t>
            </w:r>
          </w:p>
          <w:p w14:paraId="7585160E">
            <w:pPr>
              <w:widowControl/>
              <w:spacing w:line="360" w:lineRule="auto"/>
              <w:jc w:val="left"/>
              <w:textAlignment w:val="center"/>
              <w:rPr>
                <w:rFonts w:hint="eastAsia" w:ascii="宋体" w:hAnsi="宋体" w:eastAsia="宋体" w:cs="宋体"/>
                <w:color w:val="000000"/>
                <w:sz w:val="21"/>
                <w:szCs w:val="21"/>
              </w:rPr>
            </w:pPr>
            <w:r>
              <w:rPr>
                <w:rFonts w:hint="eastAsia" w:ascii="宋体" w:hAnsi="宋体" w:eastAsia="宋体" w:cs="宋体"/>
                <w:kern w:val="0"/>
                <w:sz w:val="21"/>
                <w:szCs w:val="21"/>
              </w:rPr>
              <w:t>8</w:t>
            </w:r>
            <w:r>
              <w:rPr>
                <w:rFonts w:hint="eastAsia" w:ascii="宋体" w:hAnsi="宋体" w:eastAsia="宋体" w:cs="宋体"/>
                <w:kern w:val="0"/>
                <w:sz w:val="21"/>
                <w:szCs w:val="21"/>
                <w:lang w:val="en-US" w:eastAsia="zh-CN"/>
              </w:rPr>
              <w:t>.</w:t>
            </w:r>
            <w:r>
              <w:rPr>
                <w:rFonts w:hint="eastAsia" w:ascii="宋体" w:hAnsi="宋体" w:eastAsia="宋体" w:cs="宋体"/>
                <w:kern w:val="0"/>
                <w:sz w:val="21"/>
                <w:szCs w:val="21"/>
              </w:rPr>
              <w:t>支持远程接入当事人分角色音频输出并接入语音识别声卡；独立输出远程原告方音频接入声卡，独立输出远程被告方音频接入声卡。</w:t>
            </w:r>
          </w:p>
        </w:tc>
        <w:tc>
          <w:tcPr>
            <w:tcW w:w="2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829646">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台</w:t>
            </w:r>
          </w:p>
        </w:tc>
        <w:tc>
          <w:tcPr>
            <w:tcW w:w="3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69E93A">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1</w:t>
            </w:r>
          </w:p>
        </w:tc>
      </w:tr>
      <w:tr w14:paraId="7F062691">
        <w:tblPrEx>
          <w:tblCellMar>
            <w:top w:w="0" w:type="dxa"/>
            <w:left w:w="108" w:type="dxa"/>
            <w:bottom w:w="0" w:type="dxa"/>
            <w:right w:w="108" w:type="dxa"/>
          </w:tblCellMar>
        </w:tblPrEx>
        <w:trPr>
          <w:trHeight w:val="600" w:hRule="atLeast"/>
          <w:jc w:val="center"/>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56BC1C">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2</w:t>
            </w:r>
          </w:p>
        </w:tc>
        <w:tc>
          <w:tcPr>
            <w:tcW w:w="9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DD4C65">
            <w:pPr>
              <w:widowControl/>
              <w:spacing w:line="36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庭审操作触屏</w:t>
            </w:r>
          </w:p>
        </w:tc>
        <w:tc>
          <w:tcPr>
            <w:tcW w:w="316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693037">
            <w:pPr>
              <w:widowControl/>
              <w:spacing w:line="36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1</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根据现场法官桌面情况,竖屏与横屏可选；不小于10.1寸触摸屏，≥1280*800分辨率，支持≥10点电容触摸。</w:t>
            </w:r>
            <w:r>
              <w:rPr>
                <w:rFonts w:hint="eastAsia" w:ascii="宋体" w:hAnsi="宋体" w:eastAsia="宋体" w:cs="宋体"/>
                <w:color w:val="000000"/>
                <w:kern w:val="0"/>
                <w:sz w:val="21"/>
                <w:szCs w:val="21"/>
              </w:rPr>
              <w:br w:type="textWrapping"/>
            </w:r>
            <w:r>
              <w:rPr>
                <w:rFonts w:hint="eastAsia" w:ascii="宋体" w:hAnsi="宋体" w:eastAsia="宋体" w:cs="宋体"/>
                <w:kern w:val="0"/>
                <w:sz w:val="21"/>
                <w:szCs w:val="21"/>
              </w:rPr>
              <w:t>★</w:t>
            </w:r>
            <w:r>
              <w:rPr>
                <w:rFonts w:hint="eastAsia" w:ascii="宋体" w:hAnsi="宋体" w:eastAsia="宋体" w:cs="宋体"/>
                <w:color w:val="000000"/>
                <w:kern w:val="0"/>
                <w:sz w:val="21"/>
                <w:szCs w:val="21"/>
              </w:rPr>
              <w:t>2</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含配套操作软件，软件功能（提供清晰精要且能呈现全流程操作说明的功能截图）：</w:t>
            </w:r>
            <w:r>
              <w:rPr>
                <w:rFonts w:hint="eastAsia" w:ascii="宋体" w:hAnsi="宋体" w:eastAsia="宋体" w:cs="宋体"/>
                <w:color w:val="000000"/>
                <w:kern w:val="0"/>
                <w:sz w:val="21"/>
                <w:szCs w:val="21"/>
              </w:rPr>
              <w:br w:type="textWrapping"/>
            </w:r>
            <w:r>
              <w:rPr>
                <w:rFonts w:hint="eastAsia" w:ascii="宋体" w:hAnsi="宋体" w:eastAsia="宋体" w:cs="宋体"/>
                <w:color w:val="000000"/>
                <w:kern w:val="0"/>
                <w:sz w:val="21"/>
                <w:szCs w:val="21"/>
              </w:rPr>
              <w:t>A</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开庭前，法官扫描二维码选择法庭、选择案件，一键开庭。</w:t>
            </w:r>
            <w:r>
              <w:rPr>
                <w:rFonts w:hint="eastAsia" w:ascii="宋体" w:hAnsi="宋体" w:eastAsia="宋体" w:cs="宋体"/>
                <w:color w:val="000000"/>
                <w:kern w:val="0"/>
                <w:sz w:val="21"/>
                <w:szCs w:val="21"/>
              </w:rPr>
              <w:br w:type="textWrapping"/>
            </w:r>
            <w:r>
              <w:rPr>
                <w:rFonts w:hint="eastAsia" w:ascii="宋体" w:hAnsi="宋体" w:eastAsia="宋体" w:cs="宋体"/>
                <w:color w:val="000000"/>
                <w:kern w:val="0"/>
                <w:sz w:val="21"/>
                <w:szCs w:val="21"/>
              </w:rPr>
              <w:t>B</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庭审中，法官对远端当事人进行画面与声音的操作控制，包括禁言、退庭、回庭等操作，用于远端当事人连线对话，下线旁听操作。</w:t>
            </w:r>
          </w:p>
        </w:tc>
        <w:tc>
          <w:tcPr>
            <w:tcW w:w="2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1C9BAD">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台</w:t>
            </w:r>
          </w:p>
        </w:tc>
        <w:tc>
          <w:tcPr>
            <w:tcW w:w="3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A00441">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1</w:t>
            </w:r>
          </w:p>
        </w:tc>
      </w:tr>
      <w:tr w14:paraId="48730CA9">
        <w:tblPrEx>
          <w:tblCellMar>
            <w:top w:w="0" w:type="dxa"/>
            <w:left w:w="108" w:type="dxa"/>
            <w:bottom w:w="0" w:type="dxa"/>
            <w:right w:w="108" w:type="dxa"/>
          </w:tblCellMar>
        </w:tblPrEx>
        <w:trPr>
          <w:trHeight w:val="400" w:hRule="atLeast"/>
          <w:jc w:val="center"/>
        </w:trPr>
        <w:tc>
          <w:tcPr>
            <w:tcW w:w="4411" w:type="pct"/>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7693A437">
            <w:pPr>
              <w:widowControl/>
              <w:spacing w:line="360" w:lineRule="auto"/>
              <w:jc w:val="left"/>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rPr>
              <w:t>（四）信创电脑设备</w:t>
            </w:r>
          </w:p>
        </w:tc>
        <w:tc>
          <w:tcPr>
            <w:tcW w:w="2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74D3D8">
            <w:pPr>
              <w:spacing w:line="360" w:lineRule="auto"/>
              <w:jc w:val="center"/>
              <w:rPr>
                <w:rFonts w:hint="eastAsia" w:ascii="宋体" w:hAnsi="宋体" w:eastAsia="宋体" w:cs="宋体"/>
                <w:b/>
                <w:bCs/>
                <w:color w:val="000000"/>
                <w:sz w:val="21"/>
                <w:szCs w:val="21"/>
              </w:rPr>
            </w:pPr>
          </w:p>
        </w:tc>
        <w:tc>
          <w:tcPr>
            <w:tcW w:w="3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A33D77">
            <w:pPr>
              <w:spacing w:line="360" w:lineRule="auto"/>
              <w:jc w:val="center"/>
              <w:rPr>
                <w:rFonts w:hint="eastAsia" w:ascii="宋体" w:hAnsi="宋体" w:eastAsia="宋体" w:cs="宋体"/>
                <w:b/>
                <w:bCs/>
                <w:color w:val="000000"/>
                <w:sz w:val="21"/>
                <w:szCs w:val="21"/>
              </w:rPr>
            </w:pPr>
          </w:p>
        </w:tc>
      </w:tr>
      <w:tr w14:paraId="7745AC73">
        <w:tblPrEx>
          <w:tblCellMar>
            <w:top w:w="0" w:type="dxa"/>
            <w:left w:w="108" w:type="dxa"/>
            <w:bottom w:w="0" w:type="dxa"/>
            <w:right w:w="108" w:type="dxa"/>
          </w:tblCellMar>
        </w:tblPrEx>
        <w:trPr>
          <w:trHeight w:val="680" w:hRule="atLeast"/>
          <w:jc w:val="center"/>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61CFD5">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1</w:t>
            </w:r>
          </w:p>
        </w:tc>
        <w:tc>
          <w:tcPr>
            <w:tcW w:w="9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19E204">
            <w:pPr>
              <w:widowControl/>
              <w:spacing w:line="36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高清显示器</w:t>
            </w:r>
          </w:p>
        </w:tc>
        <w:tc>
          <w:tcPr>
            <w:tcW w:w="3162" w:type="pct"/>
            <w:tcBorders>
              <w:top w:val="single" w:color="000000" w:sz="4" w:space="0"/>
              <w:left w:val="single" w:color="000000" w:sz="4" w:space="0"/>
              <w:bottom w:val="single" w:color="000000" w:sz="4" w:space="0"/>
              <w:right w:val="single" w:color="000000" w:sz="4" w:space="0"/>
            </w:tcBorders>
            <w:shd w:val="clear" w:color="auto" w:fill="FFFFFF"/>
          </w:tcPr>
          <w:p w14:paraId="4D34BB42">
            <w:pPr>
              <w:widowControl/>
              <w:spacing w:line="360" w:lineRule="auto"/>
              <w:jc w:val="left"/>
              <w:textAlignment w:val="top"/>
              <w:rPr>
                <w:rFonts w:hint="eastAsia" w:ascii="宋体" w:hAnsi="宋体" w:eastAsia="宋体" w:cs="宋体"/>
                <w:color w:val="000000"/>
                <w:sz w:val="21"/>
                <w:szCs w:val="21"/>
              </w:rPr>
            </w:pPr>
            <w:r>
              <w:rPr>
                <w:rFonts w:hint="eastAsia" w:ascii="宋体" w:hAnsi="宋体" w:eastAsia="宋体" w:cs="宋体"/>
                <w:color w:val="000000"/>
                <w:kern w:val="0"/>
                <w:sz w:val="21"/>
                <w:szCs w:val="21"/>
              </w:rPr>
              <w:t>1</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屏幕类型:LED</w:t>
            </w:r>
            <w:r>
              <w:rPr>
                <w:rFonts w:hint="eastAsia" w:ascii="宋体" w:hAnsi="宋体" w:eastAsia="宋体" w:cs="宋体"/>
                <w:color w:val="000000"/>
                <w:kern w:val="0"/>
                <w:sz w:val="21"/>
                <w:szCs w:val="21"/>
              </w:rPr>
              <w:br w:type="textWrapping"/>
            </w:r>
            <w:r>
              <w:rPr>
                <w:rFonts w:hint="eastAsia" w:ascii="宋体" w:hAnsi="宋体" w:eastAsia="宋体" w:cs="宋体"/>
                <w:color w:val="000000"/>
                <w:kern w:val="0"/>
                <w:sz w:val="21"/>
                <w:szCs w:val="21"/>
              </w:rPr>
              <w:t>2</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屏幕尺寸:29英寸</w:t>
            </w:r>
            <w:r>
              <w:rPr>
                <w:rFonts w:hint="eastAsia" w:ascii="宋体" w:hAnsi="宋体" w:eastAsia="宋体" w:cs="宋体"/>
                <w:color w:val="000000"/>
                <w:kern w:val="0"/>
                <w:sz w:val="21"/>
                <w:szCs w:val="21"/>
              </w:rPr>
              <w:br w:type="textWrapping"/>
            </w:r>
            <w:r>
              <w:rPr>
                <w:rFonts w:hint="eastAsia" w:ascii="宋体" w:hAnsi="宋体" w:eastAsia="宋体" w:cs="宋体"/>
                <w:color w:val="000000"/>
                <w:kern w:val="0"/>
                <w:sz w:val="21"/>
                <w:szCs w:val="21"/>
              </w:rPr>
              <w:t>3</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屏幕比例:21:9</w:t>
            </w:r>
            <w:r>
              <w:rPr>
                <w:rFonts w:hint="eastAsia" w:ascii="宋体" w:hAnsi="宋体" w:eastAsia="宋体" w:cs="宋体"/>
                <w:color w:val="000000"/>
                <w:kern w:val="0"/>
                <w:sz w:val="21"/>
                <w:szCs w:val="21"/>
              </w:rPr>
              <w:br w:type="textWrapping"/>
            </w:r>
            <w:r>
              <w:rPr>
                <w:rFonts w:hint="eastAsia" w:ascii="宋体" w:hAnsi="宋体" w:eastAsia="宋体" w:cs="宋体"/>
                <w:color w:val="000000"/>
                <w:kern w:val="0"/>
                <w:sz w:val="21"/>
                <w:szCs w:val="21"/>
              </w:rPr>
              <w:t>4</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接口类型:HDMI</w:t>
            </w:r>
            <w:r>
              <w:rPr>
                <w:rFonts w:hint="eastAsia" w:ascii="宋体" w:hAnsi="宋体" w:eastAsia="宋体" w:cs="宋体"/>
                <w:color w:val="000000"/>
                <w:kern w:val="0"/>
                <w:sz w:val="21"/>
                <w:szCs w:val="21"/>
              </w:rPr>
              <w:br w:type="textWrapping"/>
            </w:r>
            <w:r>
              <w:rPr>
                <w:rFonts w:hint="eastAsia" w:ascii="宋体" w:hAnsi="宋体" w:eastAsia="宋体" w:cs="宋体"/>
                <w:color w:val="000000"/>
                <w:kern w:val="0"/>
                <w:sz w:val="21"/>
                <w:szCs w:val="21"/>
              </w:rPr>
              <w:t>5</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垂直/水平可视角度:178°</w:t>
            </w:r>
            <w:r>
              <w:rPr>
                <w:rFonts w:hint="eastAsia" w:ascii="宋体" w:hAnsi="宋体" w:eastAsia="宋体" w:cs="宋体"/>
                <w:color w:val="000000"/>
                <w:kern w:val="0"/>
                <w:sz w:val="21"/>
                <w:szCs w:val="21"/>
              </w:rPr>
              <w:br w:type="textWrapping"/>
            </w:r>
            <w:r>
              <w:rPr>
                <w:rFonts w:hint="eastAsia" w:ascii="宋体" w:hAnsi="宋体" w:eastAsia="宋体" w:cs="宋体"/>
                <w:color w:val="000000"/>
                <w:kern w:val="0"/>
                <w:sz w:val="21"/>
                <w:szCs w:val="21"/>
              </w:rPr>
              <w:t>6</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面板类型:IPS</w:t>
            </w:r>
            <w:r>
              <w:rPr>
                <w:rFonts w:hint="eastAsia" w:ascii="宋体" w:hAnsi="宋体" w:eastAsia="宋体" w:cs="宋体"/>
                <w:color w:val="000000"/>
                <w:kern w:val="0"/>
                <w:sz w:val="21"/>
                <w:szCs w:val="21"/>
              </w:rPr>
              <w:br w:type="textWrapping"/>
            </w:r>
            <w:r>
              <w:rPr>
                <w:rFonts w:hint="eastAsia" w:ascii="宋体" w:hAnsi="宋体" w:eastAsia="宋体" w:cs="宋体"/>
                <w:color w:val="000000"/>
                <w:kern w:val="0"/>
                <w:sz w:val="21"/>
                <w:szCs w:val="21"/>
              </w:rPr>
              <w:t>7</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分辨率:</w:t>
            </w:r>
            <w:bookmarkStart w:id="53" w:name="OLE_LINK7"/>
            <w:r>
              <w:rPr>
                <w:rFonts w:hint="eastAsia" w:ascii="宋体" w:hAnsi="宋体" w:eastAsia="宋体" w:cs="宋体"/>
                <w:kern w:val="0"/>
                <w:sz w:val="21"/>
                <w:szCs w:val="21"/>
              </w:rPr>
              <w:t>≥</w:t>
            </w:r>
            <w:bookmarkEnd w:id="53"/>
            <w:r>
              <w:rPr>
                <w:rFonts w:hint="eastAsia" w:ascii="宋体" w:hAnsi="宋体" w:eastAsia="宋体" w:cs="宋体"/>
                <w:color w:val="000000"/>
                <w:kern w:val="0"/>
                <w:sz w:val="21"/>
                <w:szCs w:val="21"/>
              </w:rPr>
              <w:t>2560*1080（超宽全</w:t>
            </w:r>
            <w:r>
              <w:rPr>
                <w:rFonts w:hint="eastAsia" w:ascii="宋体" w:hAnsi="宋体" w:eastAsia="宋体" w:cs="宋体"/>
                <w:kern w:val="0"/>
                <w:sz w:val="21"/>
                <w:szCs w:val="21"/>
              </w:rPr>
              <w:t>高清）</w:t>
            </w:r>
            <w:r>
              <w:rPr>
                <w:rFonts w:hint="eastAsia" w:ascii="宋体" w:hAnsi="宋体" w:eastAsia="宋体" w:cs="宋体"/>
                <w:kern w:val="0"/>
                <w:sz w:val="21"/>
                <w:szCs w:val="21"/>
              </w:rPr>
              <w:br w:type="textWrapping"/>
            </w:r>
            <w:r>
              <w:rPr>
                <w:rFonts w:hint="eastAsia" w:ascii="宋体" w:hAnsi="宋体" w:eastAsia="宋体" w:cs="宋体"/>
                <w:kern w:val="0"/>
                <w:sz w:val="21"/>
                <w:szCs w:val="21"/>
              </w:rPr>
              <w:t>8</w:t>
            </w:r>
            <w:r>
              <w:rPr>
                <w:rFonts w:hint="eastAsia" w:ascii="宋体" w:hAnsi="宋体" w:eastAsia="宋体" w:cs="宋体"/>
                <w:kern w:val="0"/>
                <w:sz w:val="21"/>
                <w:szCs w:val="21"/>
                <w:lang w:val="en-US" w:eastAsia="zh-CN"/>
              </w:rPr>
              <w:t>.</w:t>
            </w:r>
            <w:r>
              <w:rPr>
                <w:rFonts w:hint="eastAsia" w:ascii="宋体" w:hAnsi="宋体" w:eastAsia="宋体" w:cs="宋体"/>
                <w:kern w:val="0"/>
                <w:sz w:val="21"/>
                <w:szCs w:val="21"/>
              </w:rPr>
              <w:t>支持VESA标准孔距：100*100 mm或75×75mm</w:t>
            </w:r>
          </w:p>
        </w:tc>
        <w:tc>
          <w:tcPr>
            <w:tcW w:w="2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692EC1">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台</w:t>
            </w:r>
          </w:p>
        </w:tc>
        <w:tc>
          <w:tcPr>
            <w:tcW w:w="3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C40BFC">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10</w:t>
            </w:r>
          </w:p>
        </w:tc>
      </w:tr>
      <w:tr w14:paraId="40346F64">
        <w:tblPrEx>
          <w:tblCellMar>
            <w:top w:w="0" w:type="dxa"/>
            <w:left w:w="108" w:type="dxa"/>
            <w:bottom w:w="0" w:type="dxa"/>
            <w:right w:w="108" w:type="dxa"/>
          </w:tblCellMar>
        </w:tblPrEx>
        <w:trPr>
          <w:trHeight w:val="400" w:hRule="atLeast"/>
          <w:jc w:val="center"/>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A291F8">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2</w:t>
            </w:r>
          </w:p>
        </w:tc>
        <w:tc>
          <w:tcPr>
            <w:tcW w:w="9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9D8C58">
            <w:pPr>
              <w:widowControl/>
              <w:spacing w:line="36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席位电脑主机</w:t>
            </w:r>
          </w:p>
        </w:tc>
        <w:tc>
          <w:tcPr>
            <w:tcW w:w="316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FDAC1E">
            <w:pPr>
              <w:widowControl/>
              <w:spacing w:line="360" w:lineRule="auto"/>
              <w:jc w:val="left"/>
              <w:textAlignment w:val="center"/>
              <w:rPr>
                <w:rFonts w:hint="eastAsia" w:ascii="宋体" w:hAnsi="宋体" w:eastAsia="宋体" w:cs="宋体"/>
                <w:kern w:val="0"/>
                <w:sz w:val="21"/>
                <w:szCs w:val="21"/>
              </w:rPr>
            </w:pPr>
            <w:r>
              <w:rPr>
                <w:rFonts w:hint="eastAsia" w:ascii="宋体" w:hAnsi="宋体" w:eastAsia="宋体" w:cs="宋体"/>
                <w:kern w:val="0"/>
                <w:sz w:val="21"/>
                <w:szCs w:val="21"/>
              </w:rPr>
              <w:t>1</w:t>
            </w:r>
            <w:r>
              <w:rPr>
                <w:rFonts w:hint="eastAsia" w:ascii="宋体" w:hAnsi="宋体" w:eastAsia="宋体" w:cs="宋体"/>
                <w:kern w:val="0"/>
                <w:sz w:val="21"/>
                <w:szCs w:val="21"/>
                <w:lang w:val="en-US" w:eastAsia="zh-CN"/>
              </w:rPr>
              <w:t>.</w:t>
            </w:r>
            <w:r>
              <w:rPr>
                <w:rFonts w:hint="eastAsia" w:ascii="宋体" w:hAnsi="宋体" w:eastAsia="宋体" w:cs="宋体"/>
                <w:kern w:val="0"/>
                <w:sz w:val="21"/>
                <w:szCs w:val="21"/>
              </w:rPr>
              <w:t>符合信创要求</w:t>
            </w:r>
          </w:p>
          <w:p w14:paraId="6293DCEB">
            <w:pPr>
              <w:widowControl/>
              <w:spacing w:line="360" w:lineRule="auto"/>
              <w:jc w:val="left"/>
              <w:textAlignment w:val="center"/>
              <w:rPr>
                <w:rFonts w:hint="eastAsia" w:ascii="宋体" w:hAnsi="宋体" w:eastAsia="宋体" w:cs="宋体"/>
                <w:kern w:val="0"/>
                <w:sz w:val="21"/>
                <w:szCs w:val="21"/>
              </w:rPr>
            </w:pPr>
            <w:r>
              <w:rPr>
                <w:rFonts w:hint="eastAsia" w:ascii="宋体" w:hAnsi="宋体" w:eastAsia="宋体" w:cs="宋体"/>
                <w:kern w:val="0"/>
                <w:sz w:val="21"/>
                <w:szCs w:val="21"/>
              </w:rPr>
              <w:t>2</w:t>
            </w:r>
            <w:r>
              <w:rPr>
                <w:rFonts w:hint="eastAsia" w:ascii="宋体" w:hAnsi="宋体" w:eastAsia="宋体" w:cs="宋体"/>
                <w:kern w:val="0"/>
                <w:sz w:val="21"/>
                <w:szCs w:val="21"/>
                <w:lang w:val="en-US" w:eastAsia="zh-CN"/>
              </w:rPr>
              <w:t>.</w:t>
            </w:r>
            <w:r>
              <w:rPr>
                <w:rFonts w:hint="eastAsia" w:ascii="宋体" w:hAnsi="宋体" w:eastAsia="宋体" w:cs="宋体"/>
                <w:kern w:val="0"/>
                <w:sz w:val="21"/>
                <w:szCs w:val="21"/>
              </w:rPr>
              <w:t>CPU，不低于2.5GHz，不小于8核心；不小于16GB内存，不小于512G SSD，不小于2G独显，原厂USB键盘、鼠标，三年原厂整机免费上门保修。</w:t>
            </w:r>
          </w:p>
          <w:p w14:paraId="130EA45C">
            <w:pPr>
              <w:widowControl/>
              <w:spacing w:line="360" w:lineRule="auto"/>
              <w:jc w:val="left"/>
              <w:textAlignment w:val="center"/>
              <w:rPr>
                <w:rFonts w:hint="eastAsia" w:ascii="宋体" w:hAnsi="宋体" w:eastAsia="宋体" w:cs="宋体"/>
                <w:sz w:val="21"/>
                <w:szCs w:val="21"/>
              </w:rPr>
            </w:pPr>
            <w:r>
              <w:rPr>
                <w:rFonts w:hint="eastAsia" w:ascii="宋体" w:hAnsi="宋体" w:eastAsia="宋体" w:cs="宋体"/>
                <w:kern w:val="0"/>
                <w:sz w:val="21"/>
                <w:szCs w:val="21"/>
              </w:rPr>
              <w:t>3</w:t>
            </w:r>
            <w:r>
              <w:rPr>
                <w:rFonts w:hint="eastAsia" w:ascii="宋体" w:hAnsi="宋体" w:eastAsia="宋体" w:cs="宋体"/>
                <w:kern w:val="0"/>
                <w:sz w:val="21"/>
                <w:szCs w:val="21"/>
                <w:lang w:val="en-US" w:eastAsia="zh-CN"/>
              </w:rPr>
              <w:t>.</w:t>
            </w:r>
            <w:r>
              <w:rPr>
                <w:rFonts w:hint="eastAsia" w:ascii="宋体" w:hAnsi="宋体" w:eastAsia="宋体" w:cs="宋体"/>
                <w:kern w:val="0"/>
                <w:sz w:val="21"/>
                <w:szCs w:val="21"/>
              </w:rPr>
              <w:t>正式版统信桌面操作系统V20。</w:t>
            </w:r>
          </w:p>
        </w:tc>
        <w:tc>
          <w:tcPr>
            <w:tcW w:w="28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16B68C">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台</w:t>
            </w:r>
          </w:p>
        </w:tc>
        <w:tc>
          <w:tcPr>
            <w:tcW w:w="30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4ECA5F">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2</w:t>
            </w:r>
          </w:p>
        </w:tc>
      </w:tr>
      <w:tr w14:paraId="0558F2FC">
        <w:tblPrEx>
          <w:tblCellMar>
            <w:top w:w="0" w:type="dxa"/>
            <w:left w:w="108" w:type="dxa"/>
            <w:bottom w:w="0" w:type="dxa"/>
            <w:right w:w="108" w:type="dxa"/>
          </w:tblCellMar>
        </w:tblPrEx>
        <w:trPr>
          <w:trHeight w:val="400" w:hRule="atLeast"/>
          <w:jc w:val="center"/>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6776C8">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3</w:t>
            </w:r>
          </w:p>
        </w:tc>
        <w:tc>
          <w:tcPr>
            <w:tcW w:w="9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225981">
            <w:pPr>
              <w:widowControl/>
              <w:spacing w:line="36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版式软件</w:t>
            </w:r>
          </w:p>
        </w:tc>
        <w:tc>
          <w:tcPr>
            <w:tcW w:w="316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1E2C41">
            <w:pPr>
              <w:widowControl/>
              <w:spacing w:line="36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具备主页管理、文件管理、页面管理、注释管理、视图管理、编辑管理、语义管理、签章管理、插件管理、打印管理等基本功能，支持水印、流版转换，兼容国内外主流版式软件。并可作为浏览器组件集成到业务应用系统中，实现文件签批、模板套打等公务扩展功能。</w:t>
            </w:r>
          </w:p>
        </w:tc>
        <w:tc>
          <w:tcPr>
            <w:tcW w:w="28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6EF1FF">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套</w:t>
            </w:r>
          </w:p>
        </w:tc>
        <w:tc>
          <w:tcPr>
            <w:tcW w:w="30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B59E5B">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2</w:t>
            </w:r>
          </w:p>
        </w:tc>
      </w:tr>
      <w:tr w14:paraId="5A1AE351">
        <w:tblPrEx>
          <w:tblCellMar>
            <w:top w:w="0" w:type="dxa"/>
            <w:left w:w="108" w:type="dxa"/>
            <w:bottom w:w="0" w:type="dxa"/>
            <w:right w:w="108" w:type="dxa"/>
          </w:tblCellMar>
        </w:tblPrEx>
        <w:trPr>
          <w:trHeight w:val="400" w:hRule="atLeast"/>
          <w:jc w:val="center"/>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DE3934">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4</w:t>
            </w:r>
          </w:p>
        </w:tc>
        <w:tc>
          <w:tcPr>
            <w:tcW w:w="9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88F1ED">
            <w:pPr>
              <w:widowControl/>
              <w:spacing w:line="36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流式软件</w:t>
            </w:r>
          </w:p>
        </w:tc>
        <w:tc>
          <w:tcPr>
            <w:tcW w:w="316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7E260A">
            <w:pPr>
              <w:widowControl/>
              <w:spacing w:line="36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具备主界面、文件管理、页面设置、视图管理、编辑管理、插入管理、格式管理、工具、表格管理、对象管理、审阅管理、引用管理、插件管理、打印管理等基本功能，提供文字处理、电子表格、文档演示三大应用，支持PDF阅读和流版转换，支持国内外文档标准规范，兼容国内外主流流式软件。</w:t>
            </w:r>
          </w:p>
        </w:tc>
        <w:tc>
          <w:tcPr>
            <w:tcW w:w="28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ED013D">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套</w:t>
            </w:r>
          </w:p>
        </w:tc>
        <w:tc>
          <w:tcPr>
            <w:tcW w:w="30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EEF591">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2</w:t>
            </w:r>
          </w:p>
        </w:tc>
      </w:tr>
      <w:tr w14:paraId="19EB5695">
        <w:tblPrEx>
          <w:tblCellMar>
            <w:top w:w="0" w:type="dxa"/>
            <w:left w:w="108" w:type="dxa"/>
            <w:bottom w:w="0" w:type="dxa"/>
            <w:right w:w="108" w:type="dxa"/>
          </w:tblCellMar>
        </w:tblPrEx>
        <w:trPr>
          <w:trHeight w:val="400" w:hRule="atLeast"/>
          <w:jc w:val="center"/>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19CF9A">
            <w:pPr>
              <w:widowControl/>
              <w:spacing w:line="360" w:lineRule="auto"/>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5</w:t>
            </w:r>
          </w:p>
        </w:tc>
        <w:tc>
          <w:tcPr>
            <w:tcW w:w="9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2DEAE4">
            <w:pPr>
              <w:widowControl/>
              <w:spacing w:line="360" w:lineRule="auto"/>
              <w:jc w:val="left"/>
              <w:textAlignment w:val="center"/>
              <w:rPr>
                <w:rFonts w:hint="eastAsia" w:ascii="宋体" w:hAnsi="宋体" w:eastAsia="宋体" w:cs="宋体"/>
                <w:sz w:val="21"/>
                <w:szCs w:val="21"/>
              </w:rPr>
            </w:pPr>
            <w:r>
              <w:rPr>
                <w:rFonts w:hint="eastAsia" w:ascii="宋体" w:hAnsi="宋体" w:eastAsia="宋体" w:cs="宋体"/>
                <w:kern w:val="0"/>
                <w:sz w:val="21"/>
                <w:szCs w:val="21"/>
              </w:rPr>
              <w:t>浏览器</w:t>
            </w:r>
          </w:p>
        </w:tc>
        <w:tc>
          <w:tcPr>
            <w:tcW w:w="316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E68D05">
            <w:pPr>
              <w:widowControl/>
              <w:spacing w:line="360" w:lineRule="auto"/>
              <w:jc w:val="left"/>
              <w:textAlignment w:val="center"/>
              <w:rPr>
                <w:rFonts w:hint="eastAsia" w:ascii="宋体" w:hAnsi="宋体" w:eastAsia="宋体" w:cs="宋体"/>
                <w:sz w:val="21"/>
                <w:szCs w:val="21"/>
              </w:rPr>
            </w:pPr>
            <w:r>
              <w:rPr>
                <w:rFonts w:hint="eastAsia" w:ascii="宋体" w:hAnsi="宋体" w:eastAsia="宋体" w:cs="宋体"/>
                <w:kern w:val="0"/>
                <w:sz w:val="21"/>
                <w:szCs w:val="21"/>
              </w:rPr>
              <w:t>1</w:t>
            </w:r>
            <w:r>
              <w:rPr>
                <w:rFonts w:hint="eastAsia" w:ascii="宋体" w:hAnsi="宋体" w:eastAsia="宋体" w:cs="宋体"/>
                <w:kern w:val="0"/>
                <w:sz w:val="21"/>
                <w:szCs w:val="21"/>
                <w:lang w:val="en-US" w:eastAsia="zh-CN"/>
              </w:rPr>
              <w:t>.</w:t>
            </w:r>
            <w:r>
              <w:rPr>
                <w:rFonts w:hint="eastAsia" w:ascii="宋体" w:hAnsi="宋体" w:eastAsia="宋体" w:cs="宋体"/>
                <w:kern w:val="0"/>
                <w:sz w:val="21"/>
                <w:szCs w:val="21"/>
              </w:rPr>
              <w:t>环境要求：支持CPU，鲲鹏、龙芯、兆芯、飞腾、海光；支持操作系统，统信等；</w:t>
            </w:r>
            <w:r>
              <w:rPr>
                <w:rFonts w:hint="eastAsia" w:ascii="宋体" w:hAnsi="宋体" w:eastAsia="宋体" w:cs="宋体"/>
                <w:kern w:val="0"/>
                <w:sz w:val="21"/>
                <w:szCs w:val="21"/>
              </w:rPr>
              <w:br w:type="textWrapping"/>
            </w:r>
            <w:r>
              <w:rPr>
                <w:rFonts w:hint="eastAsia" w:ascii="宋体" w:hAnsi="宋体" w:eastAsia="宋体" w:cs="宋体"/>
                <w:kern w:val="0"/>
                <w:sz w:val="21"/>
                <w:szCs w:val="21"/>
              </w:rPr>
              <w:t>2</w:t>
            </w:r>
            <w:r>
              <w:rPr>
                <w:rFonts w:hint="eastAsia" w:ascii="宋体" w:hAnsi="宋体" w:eastAsia="宋体" w:cs="宋体"/>
                <w:kern w:val="0"/>
                <w:sz w:val="21"/>
                <w:szCs w:val="21"/>
                <w:lang w:val="en-US" w:eastAsia="zh-CN"/>
              </w:rPr>
              <w:t>.</w:t>
            </w:r>
            <w:r>
              <w:rPr>
                <w:rFonts w:hint="eastAsia" w:ascii="宋体" w:hAnsi="宋体" w:eastAsia="宋体" w:cs="宋体"/>
                <w:kern w:val="0"/>
                <w:sz w:val="21"/>
                <w:szCs w:val="21"/>
              </w:rPr>
              <w:t>控制中心采用B/S架构，支持以时间轴维度统计当前管理系统中设备在线趋势，对已安装浏览器客户端设备的查看、授权管理，支持应用接入管理、应用导航策略管理；</w:t>
            </w:r>
            <w:r>
              <w:rPr>
                <w:rFonts w:hint="eastAsia" w:ascii="宋体" w:hAnsi="宋体" w:eastAsia="宋体" w:cs="宋体"/>
                <w:kern w:val="0"/>
                <w:sz w:val="21"/>
                <w:szCs w:val="21"/>
              </w:rPr>
              <w:br w:type="textWrapping"/>
            </w:r>
            <w:r>
              <w:rPr>
                <w:rFonts w:hint="eastAsia" w:ascii="宋体" w:hAnsi="宋体" w:eastAsia="宋体" w:cs="宋体"/>
                <w:kern w:val="0"/>
                <w:sz w:val="21"/>
                <w:szCs w:val="21"/>
              </w:rPr>
              <w:t>3</w:t>
            </w:r>
            <w:r>
              <w:rPr>
                <w:rFonts w:hint="eastAsia" w:ascii="宋体" w:hAnsi="宋体" w:eastAsia="宋体" w:cs="宋体"/>
                <w:kern w:val="0"/>
                <w:sz w:val="21"/>
                <w:szCs w:val="21"/>
                <w:lang w:val="en-US" w:eastAsia="zh-CN"/>
              </w:rPr>
              <w:t>.</w:t>
            </w:r>
            <w:r>
              <w:rPr>
                <w:rFonts w:hint="eastAsia" w:ascii="宋体" w:hAnsi="宋体" w:eastAsia="宋体" w:cs="宋体"/>
                <w:kern w:val="0"/>
                <w:sz w:val="21"/>
                <w:szCs w:val="21"/>
              </w:rPr>
              <w:t>账户登陆：支持账号登陆体系，可实现同步收藏夹数据，保护用户的隐私收藏；</w:t>
            </w:r>
            <w:r>
              <w:rPr>
                <w:rFonts w:hint="eastAsia" w:ascii="宋体" w:hAnsi="宋体" w:eastAsia="宋体" w:cs="宋体"/>
                <w:kern w:val="0"/>
                <w:sz w:val="21"/>
                <w:szCs w:val="21"/>
              </w:rPr>
              <w:br w:type="textWrapping"/>
            </w:r>
            <w:r>
              <w:rPr>
                <w:rFonts w:hint="eastAsia" w:ascii="宋体" w:hAnsi="宋体" w:eastAsia="宋体" w:cs="宋体"/>
                <w:kern w:val="0"/>
                <w:sz w:val="21"/>
                <w:szCs w:val="21"/>
              </w:rPr>
              <w:t>4</w:t>
            </w:r>
            <w:r>
              <w:rPr>
                <w:rFonts w:hint="eastAsia" w:ascii="宋体" w:hAnsi="宋体" w:eastAsia="宋体" w:cs="宋体"/>
                <w:kern w:val="0"/>
                <w:sz w:val="21"/>
                <w:szCs w:val="21"/>
                <w:lang w:val="en-US" w:eastAsia="zh-CN"/>
              </w:rPr>
              <w:t>.</w:t>
            </w:r>
            <w:r>
              <w:rPr>
                <w:rFonts w:hint="eastAsia" w:ascii="宋体" w:hAnsi="宋体" w:eastAsia="宋体" w:cs="宋体"/>
                <w:kern w:val="0"/>
                <w:sz w:val="21"/>
                <w:szCs w:val="21"/>
              </w:rPr>
              <w:t>扩展商店：具备扩展商店，可通过扩展商店使用第三方扩展程序；</w:t>
            </w:r>
            <w:r>
              <w:rPr>
                <w:rFonts w:hint="eastAsia" w:ascii="宋体" w:hAnsi="宋体" w:eastAsia="宋体" w:cs="宋体"/>
                <w:kern w:val="0"/>
                <w:sz w:val="21"/>
                <w:szCs w:val="21"/>
              </w:rPr>
              <w:br w:type="textWrapping"/>
            </w:r>
            <w:r>
              <w:rPr>
                <w:rFonts w:hint="eastAsia" w:ascii="宋体" w:hAnsi="宋体" w:eastAsia="宋体" w:cs="宋体"/>
                <w:kern w:val="0"/>
                <w:sz w:val="21"/>
                <w:szCs w:val="21"/>
              </w:rPr>
              <w:t>5</w:t>
            </w:r>
            <w:r>
              <w:rPr>
                <w:rFonts w:hint="eastAsia" w:ascii="宋体" w:hAnsi="宋体" w:eastAsia="宋体" w:cs="宋体"/>
                <w:kern w:val="0"/>
                <w:sz w:val="21"/>
                <w:szCs w:val="21"/>
                <w:lang w:val="en-US" w:eastAsia="zh-CN"/>
              </w:rPr>
              <w:t>.</w:t>
            </w:r>
            <w:r>
              <w:rPr>
                <w:rFonts w:hint="eastAsia" w:ascii="宋体" w:hAnsi="宋体" w:eastAsia="宋体" w:cs="宋体"/>
                <w:kern w:val="0"/>
                <w:sz w:val="21"/>
                <w:szCs w:val="21"/>
              </w:rPr>
              <w:t>Flash插件授权，支持企业版Flash Player插件，提供Adobe Flash在Linux系统上浏览器产品的正版使用授权；-需提供授权合同扫描件；</w:t>
            </w:r>
          </w:p>
        </w:tc>
        <w:tc>
          <w:tcPr>
            <w:tcW w:w="28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AF25C8">
            <w:pPr>
              <w:widowControl/>
              <w:spacing w:line="360" w:lineRule="auto"/>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套</w:t>
            </w:r>
          </w:p>
        </w:tc>
        <w:tc>
          <w:tcPr>
            <w:tcW w:w="30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B21687">
            <w:pPr>
              <w:widowControl/>
              <w:spacing w:line="360" w:lineRule="auto"/>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2</w:t>
            </w:r>
          </w:p>
        </w:tc>
      </w:tr>
      <w:tr w14:paraId="6EB11F0C">
        <w:tblPrEx>
          <w:tblCellMar>
            <w:top w:w="0" w:type="dxa"/>
            <w:left w:w="108" w:type="dxa"/>
            <w:bottom w:w="0" w:type="dxa"/>
            <w:right w:w="108" w:type="dxa"/>
          </w:tblCellMar>
        </w:tblPrEx>
        <w:trPr>
          <w:trHeight w:val="400" w:hRule="atLeast"/>
          <w:jc w:val="center"/>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C1883F">
            <w:pPr>
              <w:widowControl/>
              <w:spacing w:line="360" w:lineRule="auto"/>
              <w:jc w:val="center"/>
              <w:textAlignment w:val="center"/>
              <w:rPr>
                <w:rFonts w:hint="eastAsia" w:ascii="宋体" w:hAnsi="宋体" w:eastAsia="宋体" w:cs="宋体"/>
                <w:kern w:val="0"/>
                <w:sz w:val="21"/>
                <w:szCs w:val="21"/>
              </w:rPr>
            </w:pPr>
            <w:r>
              <w:rPr>
                <w:rFonts w:hint="eastAsia" w:ascii="宋体" w:hAnsi="宋体" w:eastAsia="宋体" w:cs="宋体"/>
                <w:kern w:val="0"/>
                <w:sz w:val="21"/>
                <w:szCs w:val="21"/>
              </w:rPr>
              <w:t>6</w:t>
            </w:r>
          </w:p>
        </w:tc>
        <w:tc>
          <w:tcPr>
            <w:tcW w:w="9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9739DF">
            <w:pPr>
              <w:widowControl/>
              <w:spacing w:line="360" w:lineRule="auto"/>
              <w:jc w:val="left"/>
              <w:textAlignment w:val="center"/>
              <w:rPr>
                <w:rFonts w:hint="eastAsia" w:ascii="宋体" w:hAnsi="宋体" w:eastAsia="宋体" w:cs="宋体"/>
                <w:kern w:val="0"/>
                <w:sz w:val="21"/>
                <w:szCs w:val="21"/>
              </w:rPr>
            </w:pPr>
            <w:r>
              <w:rPr>
                <w:rFonts w:hint="eastAsia" w:ascii="宋体" w:hAnsi="宋体" w:eastAsia="宋体" w:cs="宋体"/>
                <w:kern w:val="0"/>
                <w:sz w:val="21"/>
                <w:szCs w:val="21"/>
              </w:rPr>
              <w:t>杀毒软件</w:t>
            </w:r>
          </w:p>
        </w:tc>
        <w:tc>
          <w:tcPr>
            <w:tcW w:w="316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BF8115">
            <w:pPr>
              <w:widowControl/>
              <w:spacing w:line="360" w:lineRule="auto"/>
              <w:jc w:val="left"/>
              <w:textAlignment w:val="center"/>
              <w:rPr>
                <w:rFonts w:hint="eastAsia" w:ascii="宋体" w:hAnsi="宋体" w:eastAsia="宋体" w:cs="宋体"/>
                <w:kern w:val="0"/>
                <w:sz w:val="21"/>
                <w:szCs w:val="21"/>
              </w:rPr>
            </w:pPr>
            <w:r>
              <w:rPr>
                <w:rFonts w:hint="eastAsia" w:ascii="宋体" w:hAnsi="宋体" w:eastAsia="宋体" w:cs="宋体"/>
                <w:kern w:val="0"/>
                <w:sz w:val="21"/>
                <w:szCs w:val="21"/>
              </w:rPr>
              <w:t>网络版杀毒软件，适配用户现有的杀毒软件，能实现全网杀毒联动</w:t>
            </w:r>
          </w:p>
        </w:tc>
        <w:tc>
          <w:tcPr>
            <w:tcW w:w="28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F2D5E0">
            <w:pPr>
              <w:widowControl/>
              <w:spacing w:line="360" w:lineRule="auto"/>
              <w:jc w:val="center"/>
              <w:textAlignment w:val="center"/>
              <w:rPr>
                <w:rFonts w:hint="eastAsia" w:ascii="宋体" w:hAnsi="宋体" w:eastAsia="宋体" w:cs="宋体"/>
                <w:kern w:val="0"/>
                <w:sz w:val="21"/>
                <w:szCs w:val="21"/>
              </w:rPr>
            </w:pPr>
            <w:r>
              <w:rPr>
                <w:rFonts w:hint="eastAsia" w:ascii="宋体" w:hAnsi="宋体" w:eastAsia="宋体" w:cs="宋体"/>
                <w:kern w:val="0"/>
                <w:sz w:val="21"/>
                <w:szCs w:val="21"/>
              </w:rPr>
              <w:t>套</w:t>
            </w:r>
          </w:p>
        </w:tc>
        <w:tc>
          <w:tcPr>
            <w:tcW w:w="30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283DFD">
            <w:pPr>
              <w:widowControl/>
              <w:spacing w:line="360" w:lineRule="auto"/>
              <w:jc w:val="center"/>
              <w:textAlignment w:val="center"/>
              <w:rPr>
                <w:rFonts w:hint="eastAsia" w:ascii="宋体" w:hAnsi="宋体" w:eastAsia="宋体" w:cs="宋体"/>
                <w:kern w:val="0"/>
                <w:sz w:val="21"/>
                <w:szCs w:val="21"/>
              </w:rPr>
            </w:pPr>
            <w:r>
              <w:rPr>
                <w:rFonts w:hint="eastAsia" w:ascii="宋体" w:hAnsi="宋体" w:eastAsia="宋体" w:cs="宋体"/>
                <w:kern w:val="0"/>
                <w:sz w:val="21"/>
                <w:szCs w:val="21"/>
              </w:rPr>
              <w:t>2</w:t>
            </w:r>
          </w:p>
        </w:tc>
      </w:tr>
      <w:tr w14:paraId="0413C2F8">
        <w:tblPrEx>
          <w:tblCellMar>
            <w:top w:w="0" w:type="dxa"/>
            <w:left w:w="108" w:type="dxa"/>
            <w:bottom w:w="0" w:type="dxa"/>
            <w:right w:w="108" w:type="dxa"/>
          </w:tblCellMar>
        </w:tblPrEx>
        <w:trPr>
          <w:trHeight w:val="400" w:hRule="atLeast"/>
          <w:jc w:val="center"/>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CEAD2A">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7</w:t>
            </w:r>
          </w:p>
        </w:tc>
        <w:tc>
          <w:tcPr>
            <w:tcW w:w="9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86248E">
            <w:pPr>
              <w:widowControl/>
              <w:spacing w:line="36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打印机</w:t>
            </w:r>
          </w:p>
        </w:tc>
        <w:tc>
          <w:tcPr>
            <w:tcW w:w="316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FA7490">
            <w:pPr>
              <w:widowControl/>
              <w:spacing w:line="360" w:lineRule="auto"/>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1.A4黑色激光打印机，平均一分钟打印</w:t>
            </w:r>
            <w:r>
              <w:rPr>
                <w:rFonts w:hint="eastAsia" w:ascii="宋体" w:hAnsi="宋体" w:eastAsia="宋体" w:cs="宋体"/>
                <w:kern w:val="0"/>
                <w:sz w:val="21"/>
                <w:szCs w:val="21"/>
              </w:rPr>
              <w:t>≥</w:t>
            </w:r>
            <w:r>
              <w:rPr>
                <w:rFonts w:hint="eastAsia" w:ascii="宋体" w:hAnsi="宋体" w:eastAsia="宋体" w:cs="宋体"/>
                <w:color w:val="000000"/>
                <w:kern w:val="0"/>
                <w:sz w:val="21"/>
                <w:szCs w:val="21"/>
              </w:rPr>
              <w:t>28页，</w:t>
            </w:r>
            <w:r>
              <w:rPr>
                <w:rFonts w:hint="eastAsia" w:ascii="宋体" w:hAnsi="宋体" w:eastAsia="宋体" w:cs="宋体"/>
                <w:color w:val="000000"/>
                <w:kern w:val="0"/>
                <w:sz w:val="21"/>
                <w:szCs w:val="21"/>
              </w:rPr>
              <w:br w:type="textWrapping"/>
            </w:r>
            <w:r>
              <w:rPr>
                <w:rFonts w:hint="eastAsia" w:ascii="宋体" w:hAnsi="宋体" w:eastAsia="宋体" w:cs="宋体"/>
                <w:color w:val="000000"/>
                <w:kern w:val="0"/>
                <w:sz w:val="21"/>
                <w:szCs w:val="21"/>
              </w:rPr>
              <w:t>2</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支持自动双面、网络打印、PC端打印状态监视。</w:t>
            </w:r>
            <w:r>
              <w:rPr>
                <w:rFonts w:hint="eastAsia" w:ascii="宋体" w:hAnsi="宋体" w:eastAsia="宋体" w:cs="宋体"/>
                <w:color w:val="000000"/>
                <w:kern w:val="0"/>
                <w:sz w:val="21"/>
                <w:szCs w:val="21"/>
              </w:rPr>
              <w:br w:type="textWrapping"/>
            </w:r>
            <w:r>
              <w:rPr>
                <w:rFonts w:hint="eastAsia" w:ascii="宋体" w:hAnsi="宋体" w:eastAsia="宋体" w:cs="宋体"/>
                <w:color w:val="000000"/>
                <w:kern w:val="0"/>
                <w:sz w:val="21"/>
                <w:szCs w:val="21"/>
              </w:rPr>
              <w:t>3</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接口：USB、RJ45，</w:t>
            </w:r>
          </w:p>
        </w:tc>
        <w:tc>
          <w:tcPr>
            <w:tcW w:w="2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1556FE">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台</w:t>
            </w:r>
          </w:p>
        </w:tc>
        <w:tc>
          <w:tcPr>
            <w:tcW w:w="3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9F1359">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2</w:t>
            </w:r>
          </w:p>
        </w:tc>
      </w:tr>
      <w:tr w14:paraId="348B1080">
        <w:tblPrEx>
          <w:tblCellMar>
            <w:top w:w="0" w:type="dxa"/>
            <w:left w:w="108" w:type="dxa"/>
            <w:bottom w:w="0" w:type="dxa"/>
            <w:right w:w="108" w:type="dxa"/>
          </w:tblCellMar>
        </w:tblPrEx>
        <w:trPr>
          <w:trHeight w:val="400" w:hRule="atLeast"/>
          <w:jc w:val="center"/>
        </w:trPr>
        <w:tc>
          <w:tcPr>
            <w:tcW w:w="4411" w:type="pct"/>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0705B757">
            <w:pPr>
              <w:widowControl/>
              <w:spacing w:line="360" w:lineRule="auto"/>
              <w:jc w:val="left"/>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rPr>
              <w:t>（五）庭审录音备份</w:t>
            </w:r>
          </w:p>
        </w:tc>
        <w:tc>
          <w:tcPr>
            <w:tcW w:w="2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1D37F5">
            <w:pPr>
              <w:spacing w:line="360" w:lineRule="auto"/>
              <w:jc w:val="center"/>
              <w:rPr>
                <w:rFonts w:hint="eastAsia" w:ascii="宋体" w:hAnsi="宋体" w:eastAsia="宋体" w:cs="宋体"/>
                <w:b/>
                <w:bCs/>
                <w:color w:val="000000"/>
                <w:sz w:val="21"/>
                <w:szCs w:val="21"/>
              </w:rPr>
            </w:pPr>
          </w:p>
        </w:tc>
        <w:tc>
          <w:tcPr>
            <w:tcW w:w="3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5775E1">
            <w:pPr>
              <w:spacing w:line="360" w:lineRule="auto"/>
              <w:jc w:val="center"/>
              <w:rPr>
                <w:rFonts w:hint="eastAsia" w:ascii="宋体" w:hAnsi="宋体" w:eastAsia="宋体" w:cs="宋体"/>
                <w:b/>
                <w:bCs/>
                <w:color w:val="000000"/>
                <w:sz w:val="21"/>
                <w:szCs w:val="21"/>
              </w:rPr>
            </w:pPr>
          </w:p>
        </w:tc>
      </w:tr>
      <w:tr w14:paraId="55961589">
        <w:tblPrEx>
          <w:tblCellMar>
            <w:top w:w="0" w:type="dxa"/>
            <w:left w:w="108" w:type="dxa"/>
            <w:bottom w:w="0" w:type="dxa"/>
            <w:right w:w="108" w:type="dxa"/>
          </w:tblCellMar>
        </w:tblPrEx>
        <w:trPr>
          <w:trHeight w:val="400" w:hRule="atLeast"/>
          <w:jc w:val="center"/>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63382F">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1</w:t>
            </w:r>
          </w:p>
        </w:tc>
        <w:tc>
          <w:tcPr>
            <w:tcW w:w="9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26358F">
            <w:pPr>
              <w:widowControl/>
              <w:spacing w:line="36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录播音频主机</w:t>
            </w:r>
          </w:p>
        </w:tc>
        <w:tc>
          <w:tcPr>
            <w:tcW w:w="316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9C1334">
            <w:pPr>
              <w:widowControl/>
              <w:spacing w:line="36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1.拾音器通道：≥8路；录音通道数量：≥8路；</w:t>
            </w:r>
            <w:r>
              <w:rPr>
                <w:rFonts w:hint="eastAsia" w:ascii="宋体" w:hAnsi="宋体" w:eastAsia="宋体" w:cs="宋体"/>
                <w:color w:val="000000"/>
                <w:kern w:val="0"/>
                <w:sz w:val="21"/>
                <w:szCs w:val="21"/>
              </w:rPr>
              <w:br w:type="textWrapping"/>
            </w:r>
            <w:r>
              <w:rPr>
                <w:rFonts w:hint="eastAsia" w:ascii="宋体" w:hAnsi="宋体" w:eastAsia="宋体" w:cs="宋体"/>
                <w:color w:val="000000"/>
                <w:kern w:val="0"/>
                <w:sz w:val="21"/>
                <w:szCs w:val="21"/>
              </w:rPr>
              <w:t>2.音频输入接口：3芯端子；音频输入电平电平：2.0Vp-p，音量控制范围83DB；</w:t>
            </w:r>
            <w:r>
              <w:rPr>
                <w:rFonts w:hint="eastAsia" w:ascii="宋体" w:hAnsi="宋体" w:eastAsia="宋体" w:cs="宋体"/>
                <w:color w:val="000000"/>
                <w:kern w:val="0"/>
                <w:sz w:val="21"/>
                <w:szCs w:val="21"/>
              </w:rPr>
              <w:br w:type="textWrapping"/>
            </w:r>
            <w:r>
              <w:rPr>
                <w:rFonts w:hint="eastAsia" w:ascii="宋体" w:hAnsi="宋体" w:eastAsia="宋体" w:cs="宋体"/>
                <w:color w:val="000000"/>
                <w:kern w:val="0"/>
                <w:sz w:val="21"/>
                <w:szCs w:val="21"/>
              </w:rPr>
              <w:t>3.音频输入阻抗阻抗：</w:t>
            </w:r>
            <w:bookmarkStart w:id="54" w:name="OLE_LINK10"/>
            <w:r>
              <w:rPr>
                <w:rFonts w:hint="eastAsia" w:ascii="宋体" w:hAnsi="宋体" w:eastAsia="宋体" w:cs="宋体"/>
                <w:kern w:val="0"/>
                <w:sz w:val="21"/>
                <w:szCs w:val="21"/>
              </w:rPr>
              <w:t>≥</w:t>
            </w:r>
            <w:bookmarkEnd w:id="54"/>
            <w:r>
              <w:rPr>
                <w:rFonts w:hint="eastAsia" w:ascii="宋体" w:hAnsi="宋体" w:eastAsia="宋体" w:cs="宋体"/>
                <w:color w:val="000000"/>
                <w:kern w:val="0"/>
                <w:sz w:val="21"/>
                <w:szCs w:val="21"/>
              </w:rPr>
              <w:t>1000Ω；</w:t>
            </w:r>
            <w:r>
              <w:rPr>
                <w:rFonts w:hint="eastAsia" w:ascii="宋体" w:hAnsi="宋体" w:eastAsia="宋体" w:cs="宋体"/>
                <w:color w:val="000000"/>
                <w:kern w:val="0"/>
                <w:sz w:val="21"/>
                <w:szCs w:val="21"/>
              </w:rPr>
              <w:br w:type="textWrapping"/>
            </w:r>
            <w:r>
              <w:rPr>
                <w:rFonts w:hint="eastAsia" w:ascii="宋体" w:hAnsi="宋体" w:eastAsia="宋体" w:cs="宋体"/>
                <w:color w:val="000000"/>
                <w:kern w:val="0"/>
                <w:sz w:val="21"/>
                <w:szCs w:val="21"/>
              </w:rPr>
              <w:t>4.音频压缩标准：AAC；音频采样位：</w:t>
            </w:r>
            <w:r>
              <w:rPr>
                <w:rFonts w:hint="eastAsia" w:ascii="宋体" w:hAnsi="宋体" w:eastAsia="宋体" w:cs="宋体"/>
                <w:kern w:val="0"/>
                <w:sz w:val="21"/>
                <w:szCs w:val="21"/>
              </w:rPr>
              <w:t>≥</w:t>
            </w:r>
            <w:r>
              <w:rPr>
                <w:rFonts w:hint="eastAsia" w:ascii="宋体" w:hAnsi="宋体" w:eastAsia="宋体" w:cs="宋体"/>
                <w:color w:val="000000"/>
                <w:kern w:val="0"/>
                <w:sz w:val="21"/>
                <w:szCs w:val="21"/>
              </w:rPr>
              <w:t>16bit；音频输出码率：</w:t>
            </w:r>
            <w:r>
              <w:rPr>
                <w:rFonts w:hint="eastAsia" w:ascii="宋体" w:hAnsi="宋体" w:eastAsia="宋体" w:cs="宋体"/>
                <w:kern w:val="0"/>
                <w:sz w:val="21"/>
                <w:szCs w:val="21"/>
              </w:rPr>
              <w:t>≥</w:t>
            </w:r>
            <w:r>
              <w:rPr>
                <w:rFonts w:hint="eastAsia" w:ascii="宋体" w:hAnsi="宋体" w:eastAsia="宋体" w:cs="宋体"/>
                <w:color w:val="000000"/>
                <w:kern w:val="0"/>
                <w:sz w:val="21"/>
                <w:szCs w:val="21"/>
              </w:rPr>
              <w:t>48kbps；</w:t>
            </w:r>
            <w:r>
              <w:rPr>
                <w:rFonts w:hint="eastAsia" w:ascii="宋体" w:hAnsi="宋体" w:eastAsia="宋体" w:cs="宋体"/>
                <w:color w:val="000000"/>
                <w:kern w:val="0"/>
                <w:sz w:val="21"/>
                <w:szCs w:val="21"/>
              </w:rPr>
              <w:br w:type="textWrapping"/>
            </w:r>
            <w:r>
              <w:rPr>
                <w:rFonts w:hint="eastAsia" w:ascii="宋体" w:hAnsi="宋体" w:eastAsia="宋体" w:cs="宋体"/>
                <w:color w:val="000000"/>
                <w:kern w:val="0"/>
                <w:sz w:val="21"/>
                <w:szCs w:val="21"/>
              </w:rPr>
              <w:t>5.网络接口：RJ45网口10M/100M；</w:t>
            </w:r>
            <w:r>
              <w:rPr>
                <w:rFonts w:hint="eastAsia" w:ascii="宋体" w:hAnsi="宋体" w:eastAsia="宋体" w:cs="宋体"/>
                <w:color w:val="000000"/>
                <w:kern w:val="0"/>
                <w:sz w:val="21"/>
                <w:szCs w:val="21"/>
              </w:rPr>
              <w:br w:type="textWrapping"/>
            </w:r>
            <w:r>
              <w:rPr>
                <w:rFonts w:hint="eastAsia" w:ascii="宋体" w:hAnsi="宋体" w:eastAsia="宋体" w:cs="宋体"/>
                <w:color w:val="000000"/>
                <w:kern w:val="0"/>
                <w:sz w:val="21"/>
                <w:szCs w:val="21"/>
              </w:rPr>
              <w:t>6.内部硬盘容</w:t>
            </w:r>
            <w:r>
              <w:rPr>
                <w:rFonts w:hint="eastAsia" w:ascii="宋体" w:hAnsi="宋体" w:eastAsia="宋体" w:cs="宋体"/>
                <w:kern w:val="0"/>
                <w:sz w:val="21"/>
                <w:szCs w:val="21"/>
              </w:rPr>
              <w:t>量：内置4TBSATA硬盘</w:t>
            </w:r>
            <w:r>
              <w:rPr>
                <w:rFonts w:hint="eastAsia" w:ascii="宋体" w:hAnsi="宋体" w:eastAsia="宋体" w:cs="宋体"/>
                <w:color w:val="000000"/>
                <w:kern w:val="0"/>
                <w:sz w:val="21"/>
                <w:szCs w:val="21"/>
              </w:rPr>
              <w:br w:type="textWrapping"/>
            </w:r>
            <w:r>
              <w:rPr>
                <w:rFonts w:hint="eastAsia" w:ascii="宋体" w:hAnsi="宋体" w:eastAsia="宋体" w:cs="宋体"/>
                <w:color w:val="000000"/>
                <w:kern w:val="0"/>
                <w:sz w:val="21"/>
                <w:szCs w:val="21"/>
              </w:rPr>
              <w:t>7.状态指示网络通断、录音状态指示、硬盘状态指示</w:t>
            </w:r>
            <w:r>
              <w:rPr>
                <w:rFonts w:hint="eastAsia" w:ascii="宋体" w:hAnsi="宋体" w:eastAsia="宋体" w:cs="宋体"/>
                <w:color w:val="000000"/>
                <w:kern w:val="0"/>
                <w:sz w:val="21"/>
                <w:szCs w:val="21"/>
              </w:rPr>
              <w:br w:type="textWrapping"/>
            </w:r>
            <w:r>
              <w:rPr>
                <w:rFonts w:hint="eastAsia" w:ascii="宋体" w:hAnsi="宋体" w:eastAsia="宋体" w:cs="宋体"/>
                <w:color w:val="000000"/>
                <w:kern w:val="0"/>
                <w:sz w:val="21"/>
                <w:szCs w:val="21"/>
              </w:rPr>
              <w:t>8.具备LCD屏可以直观显示设备的各种状态，断线，在线，是否录音，硬盘状态，存储容量等信息，可通过显示面板，判断设备运行情况，</w:t>
            </w:r>
            <w:r>
              <w:rPr>
                <w:rFonts w:hint="eastAsia" w:ascii="宋体" w:hAnsi="宋体" w:eastAsia="宋体" w:cs="宋体"/>
                <w:color w:val="000000"/>
                <w:kern w:val="0"/>
                <w:sz w:val="21"/>
                <w:szCs w:val="21"/>
              </w:rPr>
              <w:br w:type="textWrapping"/>
            </w:r>
            <w:r>
              <w:rPr>
                <w:rFonts w:hint="eastAsia" w:ascii="宋体" w:hAnsi="宋体" w:eastAsia="宋体" w:cs="宋体"/>
                <w:color w:val="000000"/>
                <w:kern w:val="0"/>
                <w:sz w:val="21"/>
                <w:szCs w:val="21"/>
              </w:rPr>
              <w:t>9</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支持联网管理和脱机管理两种方式，系统设置好以后，主机可以脱离管理平台进行实时录音，不会因为网络系统瘫痪而影响设备正常录音；</w:t>
            </w:r>
          </w:p>
        </w:tc>
        <w:tc>
          <w:tcPr>
            <w:tcW w:w="2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D67171">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台</w:t>
            </w:r>
          </w:p>
        </w:tc>
        <w:tc>
          <w:tcPr>
            <w:tcW w:w="3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DAEF4D">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1</w:t>
            </w:r>
          </w:p>
        </w:tc>
      </w:tr>
      <w:tr w14:paraId="6141B1D0">
        <w:tblPrEx>
          <w:tblCellMar>
            <w:top w:w="0" w:type="dxa"/>
            <w:left w:w="108" w:type="dxa"/>
            <w:bottom w:w="0" w:type="dxa"/>
            <w:right w:w="108" w:type="dxa"/>
          </w:tblCellMar>
        </w:tblPrEx>
        <w:trPr>
          <w:trHeight w:val="400" w:hRule="atLeast"/>
          <w:jc w:val="center"/>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F12BF5">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2</w:t>
            </w:r>
          </w:p>
        </w:tc>
        <w:tc>
          <w:tcPr>
            <w:tcW w:w="9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26454F">
            <w:pPr>
              <w:widowControl/>
              <w:spacing w:line="36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全向拾音器</w:t>
            </w:r>
          </w:p>
        </w:tc>
        <w:tc>
          <w:tcPr>
            <w:tcW w:w="316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89687F">
            <w:pPr>
              <w:widowControl/>
              <w:spacing w:line="360" w:lineRule="auto"/>
              <w:jc w:val="left"/>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w:t>
            </w:r>
            <w:r>
              <w:rPr>
                <w:rFonts w:hint="eastAsia" w:ascii="宋体" w:hAnsi="宋体" w:eastAsia="宋体" w:cs="宋体"/>
                <w:color w:val="000000"/>
                <w:kern w:val="0"/>
                <w:sz w:val="21"/>
                <w:szCs w:val="21"/>
                <w:lang w:eastAsia="zh-CN"/>
              </w:rPr>
              <w:t>.</w:t>
            </w:r>
            <w:r>
              <w:rPr>
                <w:rFonts w:hint="eastAsia" w:ascii="宋体" w:hAnsi="宋体" w:eastAsia="宋体" w:cs="宋体"/>
                <w:color w:val="000000"/>
                <w:kern w:val="0"/>
                <w:sz w:val="21"/>
                <w:szCs w:val="21"/>
              </w:rPr>
              <w:t>拾音距离：10～80平方米；</w:t>
            </w:r>
          </w:p>
          <w:p w14:paraId="41F5023D">
            <w:pPr>
              <w:widowControl/>
              <w:spacing w:line="360" w:lineRule="auto"/>
              <w:jc w:val="left"/>
              <w:textAlignment w:val="center"/>
              <w:rPr>
                <w:rFonts w:hint="eastAsia" w:ascii="宋体" w:hAnsi="宋体" w:eastAsia="宋体" w:cs="宋体"/>
                <w:kern w:val="0"/>
                <w:sz w:val="21"/>
                <w:szCs w:val="21"/>
              </w:rPr>
            </w:pPr>
            <w:r>
              <w:rPr>
                <w:rFonts w:hint="eastAsia" w:ascii="宋体" w:hAnsi="宋体" w:eastAsia="宋体" w:cs="宋体"/>
                <w:kern w:val="0"/>
                <w:sz w:val="21"/>
                <w:szCs w:val="21"/>
              </w:rPr>
              <w:t>2</w:t>
            </w:r>
            <w:r>
              <w:rPr>
                <w:rFonts w:hint="eastAsia" w:ascii="宋体" w:hAnsi="宋体" w:eastAsia="宋体" w:cs="宋体"/>
                <w:kern w:val="0"/>
                <w:sz w:val="21"/>
                <w:szCs w:val="21"/>
                <w:lang w:eastAsia="zh-CN"/>
              </w:rPr>
              <w:t>.</w:t>
            </w:r>
            <w:r>
              <w:rPr>
                <w:rFonts w:hint="eastAsia" w:ascii="宋体" w:hAnsi="宋体" w:eastAsia="宋体" w:cs="宋体"/>
                <w:kern w:val="0"/>
                <w:sz w:val="21"/>
                <w:szCs w:val="21"/>
              </w:rPr>
              <w:t>灵敏度：-46dB</w:t>
            </w:r>
            <w:bookmarkStart w:id="55" w:name="OLE_LINK9"/>
            <w:r>
              <w:rPr>
                <w:rFonts w:hint="eastAsia" w:ascii="宋体" w:hAnsi="宋体" w:eastAsia="宋体" w:cs="宋体"/>
                <w:kern w:val="0"/>
                <w:sz w:val="21"/>
                <w:szCs w:val="21"/>
              </w:rPr>
              <w:t>或以下</w:t>
            </w:r>
            <w:bookmarkEnd w:id="55"/>
            <w:r>
              <w:rPr>
                <w:rFonts w:hint="eastAsia" w:ascii="宋体" w:hAnsi="宋体" w:eastAsia="宋体" w:cs="宋体"/>
                <w:kern w:val="0"/>
                <w:sz w:val="21"/>
                <w:szCs w:val="21"/>
              </w:rPr>
              <w:t>；</w:t>
            </w:r>
          </w:p>
          <w:p w14:paraId="1D768494">
            <w:pPr>
              <w:widowControl/>
              <w:spacing w:line="360" w:lineRule="auto"/>
              <w:jc w:val="left"/>
              <w:textAlignment w:val="center"/>
              <w:rPr>
                <w:rFonts w:hint="eastAsia" w:ascii="宋体" w:hAnsi="宋体" w:eastAsia="宋体" w:cs="宋体"/>
                <w:kern w:val="0"/>
                <w:sz w:val="21"/>
                <w:szCs w:val="21"/>
              </w:rPr>
            </w:pPr>
            <w:r>
              <w:rPr>
                <w:rFonts w:hint="eastAsia" w:ascii="宋体" w:hAnsi="宋体" w:eastAsia="宋体" w:cs="宋体"/>
                <w:kern w:val="0"/>
                <w:sz w:val="21"/>
                <w:szCs w:val="21"/>
              </w:rPr>
              <w:t>3</w:t>
            </w:r>
            <w:r>
              <w:rPr>
                <w:rFonts w:hint="eastAsia" w:ascii="宋体" w:hAnsi="宋体" w:eastAsia="宋体" w:cs="宋体"/>
                <w:kern w:val="0"/>
                <w:sz w:val="21"/>
                <w:szCs w:val="21"/>
                <w:lang w:eastAsia="zh-CN"/>
              </w:rPr>
              <w:t>.</w:t>
            </w:r>
            <w:r>
              <w:rPr>
                <w:rFonts w:hint="eastAsia" w:ascii="宋体" w:hAnsi="宋体" w:eastAsia="宋体" w:cs="宋体"/>
                <w:kern w:val="0"/>
                <w:sz w:val="21"/>
                <w:szCs w:val="21"/>
              </w:rPr>
              <w:t>频率响应：20Hz～20kHz；</w:t>
            </w:r>
          </w:p>
          <w:p w14:paraId="67F00EA4">
            <w:pPr>
              <w:widowControl/>
              <w:spacing w:line="360" w:lineRule="auto"/>
              <w:jc w:val="left"/>
              <w:textAlignment w:val="center"/>
              <w:rPr>
                <w:rFonts w:hint="eastAsia" w:ascii="宋体" w:hAnsi="宋体" w:eastAsia="宋体" w:cs="宋体"/>
                <w:kern w:val="0"/>
                <w:sz w:val="21"/>
                <w:szCs w:val="21"/>
              </w:rPr>
            </w:pPr>
            <w:r>
              <w:rPr>
                <w:rFonts w:hint="eastAsia" w:ascii="宋体" w:hAnsi="宋体" w:eastAsia="宋体" w:cs="宋体"/>
                <w:kern w:val="0"/>
                <w:sz w:val="21"/>
                <w:szCs w:val="21"/>
              </w:rPr>
              <w:t>4</w:t>
            </w:r>
            <w:r>
              <w:rPr>
                <w:rFonts w:hint="eastAsia" w:ascii="宋体" w:hAnsi="宋体" w:eastAsia="宋体" w:cs="宋体"/>
                <w:kern w:val="0"/>
                <w:sz w:val="21"/>
                <w:szCs w:val="21"/>
                <w:lang w:eastAsia="zh-CN"/>
              </w:rPr>
              <w:t>.</w:t>
            </w:r>
            <w:r>
              <w:rPr>
                <w:rFonts w:hint="eastAsia" w:ascii="宋体" w:hAnsi="宋体" w:eastAsia="宋体" w:cs="宋体"/>
                <w:kern w:val="0"/>
                <w:sz w:val="21"/>
                <w:szCs w:val="21"/>
              </w:rPr>
              <w:t>指向特性：全指向性；</w:t>
            </w:r>
          </w:p>
          <w:p w14:paraId="7289179D">
            <w:pPr>
              <w:widowControl/>
              <w:spacing w:line="360" w:lineRule="auto"/>
              <w:jc w:val="left"/>
              <w:textAlignment w:val="center"/>
              <w:rPr>
                <w:rFonts w:hint="eastAsia" w:ascii="宋体" w:hAnsi="宋体" w:eastAsia="宋体" w:cs="宋体"/>
                <w:kern w:val="0"/>
                <w:sz w:val="21"/>
                <w:szCs w:val="21"/>
              </w:rPr>
            </w:pPr>
            <w:r>
              <w:rPr>
                <w:rFonts w:hint="eastAsia" w:ascii="宋体" w:hAnsi="宋体" w:eastAsia="宋体" w:cs="宋体"/>
                <w:kern w:val="0"/>
                <w:sz w:val="21"/>
                <w:szCs w:val="21"/>
              </w:rPr>
              <w:t>5</w:t>
            </w:r>
            <w:bookmarkStart w:id="56" w:name="OLE_LINK11"/>
            <w:r>
              <w:rPr>
                <w:rFonts w:hint="eastAsia" w:ascii="宋体" w:hAnsi="宋体" w:eastAsia="宋体" w:cs="宋体"/>
                <w:kern w:val="0"/>
                <w:sz w:val="21"/>
                <w:szCs w:val="21"/>
                <w:lang w:eastAsia="zh-CN"/>
              </w:rPr>
              <w:t>.</w:t>
            </w:r>
            <w:r>
              <w:rPr>
                <w:rFonts w:hint="eastAsia" w:ascii="宋体" w:hAnsi="宋体" w:eastAsia="宋体" w:cs="宋体"/>
                <w:kern w:val="0"/>
                <w:sz w:val="21"/>
                <w:szCs w:val="21"/>
              </w:rPr>
              <w:t>信噪比：≥68dB（1米40dB音源）；动态范围：≥50dB（1KHz at Max dB SPL）；</w:t>
            </w:r>
          </w:p>
          <w:bookmarkEnd w:id="56"/>
          <w:p w14:paraId="3443999A">
            <w:pPr>
              <w:widowControl/>
              <w:spacing w:line="360" w:lineRule="auto"/>
              <w:jc w:val="left"/>
              <w:textAlignment w:val="center"/>
              <w:rPr>
                <w:rFonts w:hint="eastAsia" w:ascii="宋体" w:hAnsi="宋体" w:eastAsia="宋体" w:cs="宋体"/>
                <w:kern w:val="0"/>
                <w:sz w:val="21"/>
                <w:szCs w:val="21"/>
              </w:rPr>
            </w:pPr>
            <w:r>
              <w:rPr>
                <w:rFonts w:hint="eastAsia" w:ascii="宋体" w:hAnsi="宋体" w:eastAsia="宋体" w:cs="宋体"/>
                <w:kern w:val="0"/>
                <w:sz w:val="21"/>
                <w:szCs w:val="21"/>
              </w:rPr>
              <w:t>6</w:t>
            </w:r>
            <w:r>
              <w:rPr>
                <w:rFonts w:hint="eastAsia" w:ascii="宋体" w:hAnsi="宋体" w:eastAsia="宋体" w:cs="宋体"/>
                <w:kern w:val="0"/>
                <w:sz w:val="21"/>
                <w:szCs w:val="21"/>
                <w:lang w:eastAsia="zh-CN"/>
              </w:rPr>
              <w:t>.</w:t>
            </w:r>
            <w:r>
              <w:rPr>
                <w:rFonts w:hint="eastAsia" w:ascii="宋体" w:hAnsi="宋体" w:eastAsia="宋体" w:cs="宋体"/>
                <w:kern w:val="0"/>
                <w:sz w:val="21"/>
                <w:szCs w:val="21"/>
              </w:rPr>
              <w:t>最大承受音压：≥120dB SPL（1KHz，THD 1%）；输出阻抗：≥600欧姆非平衡；</w:t>
            </w:r>
          </w:p>
          <w:p w14:paraId="544B249D">
            <w:pPr>
              <w:widowControl/>
              <w:spacing w:line="360" w:lineRule="auto"/>
              <w:jc w:val="left"/>
              <w:textAlignment w:val="center"/>
              <w:rPr>
                <w:rFonts w:hint="eastAsia" w:ascii="宋体" w:hAnsi="宋体" w:eastAsia="宋体" w:cs="宋体"/>
                <w:kern w:val="0"/>
                <w:sz w:val="21"/>
                <w:szCs w:val="21"/>
              </w:rPr>
            </w:pPr>
            <w:r>
              <w:rPr>
                <w:rFonts w:hint="eastAsia" w:ascii="宋体" w:hAnsi="宋体" w:eastAsia="宋体" w:cs="宋体"/>
                <w:kern w:val="0"/>
                <w:sz w:val="21"/>
                <w:szCs w:val="21"/>
              </w:rPr>
              <w:t>7</w:t>
            </w:r>
            <w:r>
              <w:rPr>
                <w:rFonts w:hint="eastAsia" w:ascii="宋体" w:hAnsi="宋体" w:eastAsia="宋体" w:cs="宋体"/>
                <w:kern w:val="0"/>
                <w:sz w:val="21"/>
                <w:szCs w:val="21"/>
                <w:lang w:eastAsia="zh-CN"/>
              </w:rPr>
              <w:t>.</w:t>
            </w:r>
            <w:r>
              <w:rPr>
                <w:rFonts w:hint="eastAsia" w:ascii="宋体" w:hAnsi="宋体" w:eastAsia="宋体" w:cs="宋体"/>
                <w:kern w:val="0"/>
                <w:sz w:val="21"/>
                <w:szCs w:val="21"/>
              </w:rPr>
              <w:t>麦克风：高灵敏度电容咪头；咪头数量：双咪头；</w:t>
            </w:r>
          </w:p>
          <w:p w14:paraId="2A53A079">
            <w:pPr>
              <w:widowControl/>
              <w:spacing w:line="360" w:lineRule="auto"/>
              <w:jc w:val="left"/>
              <w:textAlignment w:val="center"/>
              <w:rPr>
                <w:rFonts w:hint="eastAsia" w:ascii="宋体" w:hAnsi="宋体" w:eastAsia="宋体" w:cs="宋体"/>
                <w:kern w:val="0"/>
                <w:sz w:val="21"/>
                <w:szCs w:val="21"/>
              </w:rPr>
            </w:pPr>
            <w:r>
              <w:rPr>
                <w:rFonts w:hint="eastAsia" w:ascii="宋体" w:hAnsi="宋体" w:eastAsia="宋体" w:cs="宋体"/>
                <w:kern w:val="0"/>
                <w:sz w:val="21"/>
                <w:szCs w:val="21"/>
              </w:rPr>
              <w:t>8</w:t>
            </w:r>
            <w:r>
              <w:rPr>
                <w:rFonts w:hint="eastAsia" w:ascii="宋体" w:hAnsi="宋体" w:eastAsia="宋体" w:cs="宋体"/>
                <w:kern w:val="0"/>
                <w:sz w:val="21"/>
                <w:szCs w:val="21"/>
                <w:lang w:eastAsia="zh-CN"/>
              </w:rPr>
              <w:t>.</w:t>
            </w:r>
            <w:r>
              <w:rPr>
                <w:rFonts w:hint="eastAsia" w:ascii="宋体" w:hAnsi="宋体" w:eastAsia="宋体" w:cs="宋体"/>
                <w:kern w:val="0"/>
                <w:sz w:val="21"/>
                <w:szCs w:val="21"/>
              </w:rPr>
              <w:t>信号处理电路：数字降噪；</w:t>
            </w:r>
          </w:p>
          <w:p w14:paraId="387EB91A">
            <w:pPr>
              <w:widowControl/>
              <w:spacing w:line="360" w:lineRule="auto"/>
              <w:jc w:val="left"/>
              <w:textAlignment w:val="center"/>
              <w:rPr>
                <w:rFonts w:hint="eastAsia" w:ascii="宋体" w:hAnsi="宋体" w:eastAsia="宋体" w:cs="宋体"/>
                <w:color w:val="000000"/>
                <w:sz w:val="21"/>
                <w:szCs w:val="21"/>
              </w:rPr>
            </w:pPr>
            <w:r>
              <w:rPr>
                <w:rFonts w:hint="eastAsia" w:ascii="宋体" w:hAnsi="宋体" w:eastAsia="宋体" w:cs="宋体"/>
                <w:kern w:val="0"/>
                <w:sz w:val="21"/>
                <w:szCs w:val="21"/>
              </w:rPr>
              <w:t>9</w:t>
            </w:r>
            <w:r>
              <w:rPr>
                <w:rFonts w:hint="eastAsia" w:ascii="宋体" w:hAnsi="宋体" w:eastAsia="宋体" w:cs="宋体"/>
                <w:kern w:val="0"/>
                <w:sz w:val="21"/>
                <w:szCs w:val="21"/>
                <w:lang w:eastAsia="zh-CN"/>
              </w:rPr>
              <w:t>.</w:t>
            </w:r>
            <w:r>
              <w:rPr>
                <w:rFonts w:hint="eastAsia" w:ascii="宋体" w:hAnsi="宋体" w:eastAsia="宋体" w:cs="宋体"/>
                <w:kern w:val="0"/>
                <w:sz w:val="21"/>
                <w:szCs w:val="21"/>
              </w:rPr>
              <w:t>户内防潮，支持雷击保护、电源极性反转保护，内置前置放大电路。</w:t>
            </w:r>
          </w:p>
        </w:tc>
        <w:tc>
          <w:tcPr>
            <w:tcW w:w="2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8EB7F1">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个</w:t>
            </w:r>
          </w:p>
        </w:tc>
        <w:tc>
          <w:tcPr>
            <w:tcW w:w="3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CBA514">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2</w:t>
            </w:r>
          </w:p>
        </w:tc>
      </w:tr>
      <w:tr w14:paraId="698DB0E7">
        <w:tblPrEx>
          <w:tblCellMar>
            <w:top w:w="0" w:type="dxa"/>
            <w:left w:w="108" w:type="dxa"/>
            <w:bottom w:w="0" w:type="dxa"/>
            <w:right w:w="108" w:type="dxa"/>
          </w:tblCellMar>
        </w:tblPrEx>
        <w:trPr>
          <w:trHeight w:val="225" w:hRule="atLeast"/>
          <w:jc w:val="center"/>
        </w:trPr>
        <w:tc>
          <w:tcPr>
            <w:tcW w:w="4411" w:type="pct"/>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45A4668F">
            <w:pPr>
              <w:widowControl/>
              <w:spacing w:line="360" w:lineRule="auto"/>
              <w:jc w:val="left"/>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rPr>
              <w:t>（六）工程材料与集成费用</w:t>
            </w:r>
          </w:p>
        </w:tc>
        <w:tc>
          <w:tcPr>
            <w:tcW w:w="2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2B99E9">
            <w:pPr>
              <w:spacing w:line="360" w:lineRule="auto"/>
              <w:jc w:val="center"/>
              <w:rPr>
                <w:rFonts w:hint="eastAsia" w:ascii="宋体" w:hAnsi="宋体" w:eastAsia="宋体" w:cs="宋体"/>
                <w:color w:val="000000"/>
                <w:sz w:val="21"/>
                <w:szCs w:val="21"/>
              </w:rPr>
            </w:pPr>
          </w:p>
        </w:tc>
        <w:tc>
          <w:tcPr>
            <w:tcW w:w="3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3AFA97">
            <w:pPr>
              <w:spacing w:line="360" w:lineRule="auto"/>
              <w:jc w:val="center"/>
              <w:rPr>
                <w:rFonts w:hint="eastAsia" w:ascii="宋体" w:hAnsi="宋体" w:eastAsia="宋体" w:cs="宋体"/>
                <w:color w:val="000000"/>
                <w:sz w:val="21"/>
                <w:szCs w:val="21"/>
              </w:rPr>
            </w:pPr>
          </w:p>
        </w:tc>
      </w:tr>
      <w:tr w14:paraId="53F1B8A5">
        <w:tblPrEx>
          <w:tblCellMar>
            <w:top w:w="0" w:type="dxa"/>
            <w:left w:w="108" w:type="dxa"/>
            <w:bottom w:w="0" w:type="dxa"/>
            <w:right w:w="108" w:type="dxa"/>
          </w:tblCellMar>
        </w:tblPrEx>
        <w:trPr>
          <w:trHeight w:val="400" w:hRule="atLeast"/>
          <w:jc w:val="center"/>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29B6FC">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1</w:t>
            </w:r>
          </w:p>
        </w:tc>
        <w:tc>
          <w:tcPr>
            <w:tcW w:w="9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EFC7D3">
            <w:pPr>
              <w:widowControl/>
              <w:spacing w:line="36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摄像头电源线</w:t>
            </w:r>
          </w:p>
        </w:tc>
        <w:tc>
          <w:tcPr>
            <w:tcW w:w="316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B1883B">
            <w:pPr>
              <w:widowControl/>
              <w:spacing w:line="36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RVV 2×0.75mm2</w:t>
            </w:r>
          </w:p>
        </w:tc>
        <w:tc>
          <w:tcPr>
            <w:tcW w:w="2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F22BB7">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米</w:t>
            </w:r>
          </w:p>
        </w:tc>
        <w:tc>
          <w:tcPr>
            <w:tcW w:w="3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5C3923">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185</w:t>
            </w:r>
          </w:p>
        </w:tc>
      </w:tr>
      <w:tr w14:paraId="2194D864">
        <w:tblPrEx>
          <w:tblCellMar>
            <w:top w:w="0" w:type="dxa"/>
            <w:left w:w="108" w:type="dxa"/>
            <w:bottom w:w="0" w:type="dxa"/>
            <w:right w:w="108" w:type="dxa"/>
          </w:tblCellMar>
        </w:tblPrEx>
        <w:trPr>
          <w:trHeight w:val="400" w:hRule="atLeast"/>
          <w:jc w:val="center"/>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846337">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2</w:t>
            </w:r>
          </w:p>
        </w:tc>
        <w:tc>
          <w:tcPr>
            <w:tcW w:w="9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FE1947">
            <w:pPr>
              <w:widowControl/>
              <w:spacing w:line="36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音响线</w:t>
            </w:r>
          </w:p>
        </w:tc>
        <w:tc>
          <w:tcPr>
            <w:tcW w:w="316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ACDE30">
            <w:pPr>
              <w:widowControl/>
              <w:spacing w:line="36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150支音响线</w:t>
            </w:r>
          </w:p>
        </w:tc>
        <w:tc>
          <w:tcPr>
            <w:tcW w:w="2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997F14">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米</w:t>
            </w:r>
          </w:p>
        </w:tc>
        <w:tc>
          <w:tcPr>
            <w:tcW w:w="3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C04F95">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180</w:t>
            </w:r>
          </w:p>
        </w:tc>
      </w:tr>
      <w:tr w14:paraId="4AAF1D03">
        <w:tblPrEx>
          <w:tblCellMar>
            <w:top w:w="0" w:type="dxa"/>
            <w:left w:w="108" w:type="dxa"/>
            <w:bottom w:w="0" w:type="dxa"/>
            <w:right w:w="108" w:type="dxa"/>
          </w:tblCellMar>
        </w:tblPrEx>
        <w:trPr>
          <w:trHeight w:val="400" w:hRule="atLeast"/>
          <w:jc w:val="center"/>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7606A6">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3</w:t>
            </w:r>
          </w:p>
        </w:tc>
        <w:tc>
          <w:tcPr>
            <w:tcW w:w="9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6619D1">
            <w:pPr>
              <w:widowControl/>
              <w:spacing w:line="36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音频线</w:t>
            </w:r>
          </w:p>
        </w:tc>
        <w:tc>
          <w:tcPr>
            <w:tcW w:w="316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DB81B7">
            <w:pPr>
              <w:widowControl/>
              <w:spacing w:line="36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HTP2*0.3</w:t>
            </w:r>
          </w:p>
        </w:tc>
        <w:tc>
          <w:tcPr>
            <w:tcW w:w="2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FEF967">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米</w:t>
            </w:r>
          </w:p>
        </w:tc>
        <w:tc>
          <w:tcPr>
            <w:tcW w:w="3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3F61D8">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270</w:t>
            </w:r>
          </w:p>
        </w:tc>
      </w:tr>
      <w:tr w14:paraId="1D1BC58B">
        <w:tblPrEx>
          <w:tblCellMar>
            <w:top w:w="0" w:type="dxa"/>
            <w:left w:w="108" w:type="dxa"/>
            <w:bottom w:w="0" w:type="dxa"/>
            <w:right w:w="108" w:type="dxa"/>
          </w:tblCellMar>
        </w:tblPrEx>
        <w:trPr>
          <w:trHeight w:val="400" w:hRule="atLeast"/>
          <w:jc w:val="center"/>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FBAFC5">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4</w:t>
            </w:r>
          </w:p>
        </w:tc>
        <w:tc>
          <w:tcPr>
            <w:tcW w:w="9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22C873">
            <w:pPr>
              <w:widowControl/>
              <w:spacing w:line="36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设备电源线</w:t>
            </w:r>
          </w:p>
        </w:tc>
        <w:tc>
          <w:tcPr>
            <w:tcW w:w="316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D07BF8">
            <w:pPr>
              <w:widowControl/>
              <w:spacing w:line="36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RVV 3*1.5</w:t>
            </w:r>
          </w:p>
        </w:tc>
        <w:tc>
          <w:tcPr>
            <w:tcW w:w="2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FCA51C">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米</w:t>
            </w:r>
          </w:p>
        </w:tc>
        <w:tc>
          <w:tcPr>
            <w:tcW w:w="3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5A9238">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180</w:t>
            </w:r>
          </w:p>
        </w:tc>
      </w:tr>
      <w:tr w14:paraId="031CA00A">
        <w:tblPrEx>
          <w:tblCellMar>
            <w:top w:w="0" w:type="dxa"/>
            <w:left w:w="108" w:type="dxa"/>
            <w:bottom w:w="0" w:type="dxa"/>
            <w:right w:w="108" w:type="dxa"/>
          </w:tblCellMar>
        </w:tblPrEx>
        <w:trPr>
          <w:trHeight w:val="400" w:hRule="atLeast"/>
          <w:jc w:val="center"/>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71401F">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5</w:t>
            </w:r>
          </w:p>
        </w:tc>
        <w:tc>
          <w:tcPr>
            <w:tcW w:w="9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AD2C12">
            <w:pPr>
              <w:widowControl/>
              <w:spacing w:line="36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6类网线</w:t>
            </w:r>
          </w:p>
        </w:tc>
        <w:tc>
          <w:tcPr>
            <w:tcW w:w="316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B97279">
            <w:pPr>
              <w:widowControl/>
              <w:spacing w:line="36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6类网线</w:t>
            </w:r>
          </w:p>
        </w:tc>
        <w:tc>
          <w:tcPr>
            <w:tcW w:w="2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2001CD">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米</w:t>
            </w:r>
          </w:p>
        </w:tc>
        <w:tc>
          <w:tcPr>
            <w:tcW w:w="3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693B22">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540</w:t>
            </w:r>
          </w:p>
        </w:tc>
      </w:tr>
      <w:tr w14:paraId="78C3A98F">
        <w:tblPrEx>
          <w:tblCellMar>
            <w:top w:w="0" w:type="dxa"/>
            <w:left w:w="108" w:type="dxa"/>
            <w:bottom w:w="0" w:type="dxa"/>
            <w:right w:w="108" w:type="dxa"/>
          </w:tblCellMar>
        </w:tblPrEx>
        <w:trPr>
          <w:trHeight w:val="400" w:hRule="atLeast"/>
          <w:jc w:val="center"/>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14254C">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6</w:t>
            </w:r>
          </w:p>
        </w:tc>
        <w:tc>
          <w:tcPr>
            <w:tcW w:w="9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FFD8D4">
            <w:pPr>
              <w:widowControl/>
              <w:spacing w:line="36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10米HDMI线</w:t>
            </w:r>
          </w:p>
        </w:tc>
        <w:tc>
          <w:tcPr>
            <w:tcW w:w="316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3D4913">
            <w:pPr>
              <w:widowControl/>
              <w:spacing w:line="36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10米HDMI工程序成品线</w:t>
            </w:r>
          </w:p>
        </w:tc>
        <w:tc>
          <w:tcPr>
            <w:tcW w:w="2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6C21EE">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根</w:t>
            </w:r>
          </w:p>
        </w:tc>
        <w:tc>
          <w:tcPr>
            <w:tcW w:w="3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18CF64">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12</w:t>
            </w:r>
          </w:p>
        </w:tc>
      </w:tr>
      <w:tr w14:paraId="65A0F3BE">
        <w:tblPrEx>
          <w:tblCellMar>
            <w:top w:w="0" w:type="dxa"/>
            <w:left w:w="108" w:type="dxa"/>
            <w:bottom w:w="0" w:type="dxa"/>
            <w:right w:w="108" w:type="dxa"/>
          </w:tblCellMar>
        </w:tblPrEx>
        <w:trPr>
          <w:trHeight w:val="400" w:hRule="atLeast"/>
          <w:jc w:val="center"/>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54623F">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7</w:t>
            </w:r>
          </w:p>
        </w:tc>
        <w:tc>
          <w:tcPr>
            <w:tcW w:w="9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4D54A0">
            <w:pPr>
              <w:widowControl/>
              <w:spacing w:line="36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15米HDMI线</w:t>
            </w:r>
          </w:p>
        </w:tc>
        <w:tc>
          <w:tcPr>
            <w:tcW w:w="316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42B1D0">
            <w:pPr>
              <w:widowControl/>
              <w:spacing w:line="36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15米HDMI工程序成品线</w:t>
            </w:r>
          </w:p>
        </w:tc>
        <w:tc>
          <w:tcPr>
            <w:tcW w:w="2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2F7816">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根</w:t>
            </w:r>
          </w:p>
        </w:tc>
        <w:tc>
          <w:tcPr>
            <w:tcW w:w="3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CA8D70">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8</w:t>
            </w:r>
          </w:p>
        </w:tc>
      </w:tr>
      <w:tr w14:paraId="77422F28">
        <w:tblPrEx>
          <w:tblCellMar>
            <w:top w:w="0" w:type="dxa"/>
            <w:left w:w="108" w:type="dxa"/>
            <w:bottom w:w="0" w:type="dxa"/>
            <w:right w:w="108" w:type="dxa"/>
          </w:tblCellMar>
        </w:tblPrEx>
        <w:trPr>
          <w:trHeight w:val="400" w:hRule="atLeast"/>
          <w:jc w:val="center"/>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272D97">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8</w:t>
            </w:r>
          </w:p>
        </w:tc>
        <w:tc>
          <w:tcPr>
            <w:tcW w:w="9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21C4A8">
            <w:pPr>
              <w:widowControl/>
              <w:spacing w:line="36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20米HDMI线</w:t>
            </w:r>
          </w:p>
        </w:tc>
        <w:tc>
          <w:tcPr>
            <w:tcW w:w="316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9F416E">
            <w:pPr>
              <w:widowControl/>
              <w:spacing w:line="36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20米HDMI工程序成品线</w:t>
            </w:r>
          </w:p>
        </w:tc>
        <w:tc>
          <w:tcPr>
            <w:tcW w:w="2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52DB67">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根</w:t>
            </w:r>
          </w:p>
        </w:tc>
        <w:tc>
          <w:tcPr>
            <w:tcW w:w="3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2E443E">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4</w:t>
            </w:r>
          </w:p>
        </w:tc>
      </w:tr>
      <w:tr w14:paraId="3D2FA9FF">
        <w:tblPrEx>
          <w:tblCellMar>
            <w:top w:w="0" w:type="dxa"/>
            <w:left w:w="108" w:type="dxa"/>
            <w:bottom w:w="0" w:type="dxa"/>
            <w:right w:w="108" w:type="dxa"/>
          </w:tblCellMar>
        </w:tblPrEx>
        <w:trPr>
          <w:trHeight w:val="400" w:hRule="atLeast"/>
          <w:jc w:val="center"/>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110B68">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9</w:t>
            </w:r>
          </w:p>
        </w:tc>
        <w:tc>
          <w:tcPr>
            <w:tcW w:w="9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1B247D">
            <w:pPr>
              <w:widowControl/>
              <w:spacing w:line="36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RVSP2*1双绞线</w:t>
            </w:r>
          </w:p>
        </w:tc>
        <w:tc>
          <w:tcPr>
            <w:tcW w:w="316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ACCB3B">
            <w:pPr>
              <w:widowControl/>
              <w:spacing w:line="36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RVSP2*1双绞线</w:t>
            </w:r>
          </w:p>
        </w:tc>
        <w:tc>
          <w:tcPr>
            <w:tcW w:w="2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6B7C2D">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米</w:t>
            </w:r>
          </w:p>
        </w:tc>
        <w:tc>
          <w:tcPr>
            <w:tcW w:w="3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1FD6C6">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50</w:t>
            </w:r>
          </w:p>
        </w:tc>
      </w:tr>
      <w:tr w14:paraId="7B5C5F24">
        <w:tblPrEx>
          <w:tblCellMar>
            <w:top w:w="0" w:type="dxa"/>
            <w:left w:w="108" w:type="dxa"/>
            <w:bottom w:w="0" w:type="dxa"/>
            <w:right w:w="108" w:type="dxa"/>
          </w:tblCellMar>
        </w:tblPrEx>
        <w:trPr>
          <w:trHeight w:val="400" w:hRule="atLeast"/>
          <w:jc w:val="center"/>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FCD3BF">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10</w:t>
            </w:r>
          </w:p>
        </w:tc>
        <w:tc>
          <w:tcPr>
            <w:tcW w:w="9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D2DAA2">
            <w:pPr>
              <w:widowControl/>
              <w:spacing w:line="36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配管</w:t>
            </w:r>
          </w:p>
        </w:tc>
        <w:tc>
          <w:tcPr>
            <w:tcW w:w="316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463837">
            <w:pPr>
              <w:widowControl/>
              <w:spacing w:line="36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25 PVC配管</w:t>
            </w:r>
          </w:p>
        </w:tc>
        <w:tc>
          <w:tcPr>
            <w:tcW w:w="2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F9E108">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米</w:t>
            </w:r>
          </w:p>
        </w:tc>
        <w:tc>
          <w:tcPr>
            <w:tcW w:w="3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26AA48">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500</w:t>
            </w:r>
          </w:p>
        </w:tc>
      </w:tr>
      <w:tr w14:paraId="23F16A5F">
        <w:tblPrEx>
          <w:tblCellMar>
            <w:top w:w="0" w:type="dxa"/>
            <w:left w:w="108" w:type="dxa"/>
            <w:bottom w:w="0" w:type="dxa"/>
            <w:right w:w="108" w:type="dxa"/>
          </w:tblCellMar>
        </w:tblPrEx>
        <w:trPr>
          <w:trHeight w:val="400" w:hRule="atLeast"/>
          <w:jc w:val="center"/>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E167ED">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11</w:t>
            </w:r>
          </w:p>
        </w:tc>
        <w:tc>
          <w:tcPr>
            <w:tcW w:w="9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5CC22D">
            <w:pPr>
              <w:widowControl/>
              <w:spacing w:line="36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6孔电源面板</w:t>
            </w:r>
          </w:p>
        </w:tc>
        <w:tc>
          <w:tcPr>
            <w:tcW w:w="316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0B581B">
            <w:pPr>
              <w:widowControl/>
              <w:spacing w:line="36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6孔电源面板</w:t>
            </w:r>
          </w:p>
        </w:tc>
        <w:tc>
          <w:tcPr>
            <w:tcW w:w="2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6556D2">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个</w:t>
            </w:r>
          </w:p>
        </w:tc>
        <w:tc>
          <w:tcPr>
            <w:tcW w:w="3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4842EC">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6</w:t>
            </w:r>
          </w:p>
        </w:tc>
      </w:tr>
      <w:tr w14:paraId="398F592F">
        <w:tblPrEx>
          <w:tblCellMar>
            <w:top w:w="0" w:type="dxa"/>
            <w:left w:w="108" w:type="dxa"/>
            <w:bottom w:w="0" w:type="dxa"/>
            <w:right w:w="108" w:type="dxa"/>
          </w:tblCellMar>
        </w:tblPrEx>
        <w:trPr>
          <w:trHeight w:val="400" w:hRule="atLeast"/>
          <w:jc w:val="center"/>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520E96">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12</w:t>
            </w:r>
          </w:p>
        </w:tc>
        <w:tc>
          <w:tcPr>
            <w:tcW w:w="9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9DA1EF">
            <w:pPr>
              <w:widowControl/>
              <w:spacing w:line="36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5孔电源面板</w:t>
            </w:r>
          </w:p>
        </w:tc>
        <w:tc>
          <w:tcPr>
            <w:tcW w:w="316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4D7EE8">
            <w:pPr>
              <w:widowControl/>
              <w:spacing w:line="36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5孔电源面板</w:t>
            </w:r>
          </w:p>
        </w:tc>
        <w:tc>
          <w:tcPr>
            <w:tcW w:w="2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1E710D">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个</w:t>
            </w:r>
          </w:p>
        </w:tc>
        <w:tc>
          <w:tcPr>
            <w:tcW w:w="3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01002C">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8</w:t>
            </w:r>
          </w:p>
        </w:tc>
      </w:tr>
      <w:tr w14:paraId="72D81621">
        <w:tblPrEx>
          <w:tblCellMar>
            <w:top w:w="0" w:type="dxa"/>
            <w:left w:w="108" w:type="dxa"/>
            <w:bottom w:w="0" w:type="dxa"/>
            <w:right w:w="108" w:type="dxa"/>
          </w:tblCellMar>
        </w:tblPrEx>
        <w:trPr>
          <w:trHeight w:val="400" w:hRule="atLeast"/>
          <w:jc w:val="center"/>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820461">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13</w:t>
            </w:r>
          </w:p>
        </w:tc>
        <w:tc>
          <w:tcPr>
            <w:tcW w:w="9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C78BCA">
            <w:pPr>
              <w:widowControl/>
              <w:spacing w:line="36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3孔插头</w:t>
            </w:r>
          </w:p>
        </w:tc>
        <w:tc>
          <w:tcPr>
            <w:tcW w:w="316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2EAC8C">
            <w:pPr>
              <w:widowControl/>
              <w:spacing w:line="36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3孔插头</w:t>
            </w:r>
          </w:p>
        </w:tc>
        <w:tc>
          <w:tcPr>
            <w:tcW w:w="2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FACFC0">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个</w:t>
            </w:r>
          </w:p>
        </w:tc>
        <w:tc>
          <w:tcPr>
            <w:tcW w:w="3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83FC23">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12</w:t>
            </w:r>
          </w:p>
        </w:tc>
      </w:tr>
      <w:tr w14:paraId="3386ACAE">
        <w:tblPrEx>
          <w:tblCellMar>
            <w:top w:w="0" w:type="dxa"/>
            <w:left w:w="108" w:type="dxa"/>
            <w:bottom w:w="0" w:type="dxa"/>
            <w:right w:w="108" w:type="dxa"/>
          </w:tblCellMar>
        </w:tblPrEx>
        <w:trPr>
          <w:trHeight w:val="400" w:hRule="atLeast"/>
          <w:jc w:val="center"/>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98CBCF">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14</w:t>
            </w:r>
          </w:p>
        </w:tc>
        <w:tc>
          <w:tcPr>
            <w:tcW w:w="9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F68342">
            <w:pPr>
              <w:widowControl/>
              <w:spacing w:line="36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网络模块</w:t>
            </w:r>
          </w:p>
        </w:tc>
        <w:tc>
          <w:tcPr>
            <w:tcW w:w="316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8E0D0F">
            <w:pPr>
              <w:widowControl/>
              <w:spacing w:line="36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六类网络模块</w:t>
            </w:r>
          </w:p>
        </w:tc>
        <w:tc>
          <w:tcPr>
            <w:tcW w:w="2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DFB693">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个</w:t>
            </w:r>
          </w:p>
        </w:tc>
        <w:tc>
          <w:tcPr>
            <w:tcW w:w="3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9C0E3F">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12</w:t>
            </w:r>
          </w:p>
        </w:tc>
      </w:tr>
      <w:tr w14:paraId="562F327F">
        <w:tblPrEx>
          <w:tblCellMar>
            <w:top w:w="0" w:type="dxa"/>
            <w:left w:w="108" w:type="dxa"/>
            <w:bottom w:w="0" w:type="dxa"/>
            <w:right w:w="108" w:type="dxa"/>
          </w:tblCellMar>
        </w:tblPrEx>
        <w:trPr>
          <w:trHeight w:val="400" w:hRule="atLeast"/>
          <w:jc w:val="center"/>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16533A">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15</w:t>
            </w:r>
          </w:p>
        </w:tc>
        <w:tc>
          <w:tcPr>
            <w:tcW w:w="9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6058D7">
            <w:pPr>
              <w:widowControl/>
              <w:spacing w:line="36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双口网络面板</w:t>
            </w:r>
          </w:p>
        </w:tc>
        <w:tc>
          <w:tcPr>
            <w:tcW w:w="316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3C2C25">
            <w:pPr>
              <w:widowControl/>
              <w:spacing w:line="36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双口网络面板</w:t>
            </w:r>
          </w:p>
        </w:tc>
        <w:tc>
          <w:tcPr>
            <w:tcW w:w="2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F2AD2A">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个</w:t>
            </w:r>
          </w:p>
        </w:tc>
        <w:tc>
          <w:tcPr>
            <w:tcW w:w="3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378E1F">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6</w:t>
            </w:r>
          </w:p>
        </w:tc>
      </w:tr>
      <w:tr w14:paraId="6E43AD48">
        <w:tblPrEx>
          <w:tblCellMar>
            <w:top w:w="0" w:type="dxa"/>
            <w:left w:w="108" w:type="dxa"/>
            <w:bottom w:w="0" w:type="dxa"/>
            <w:right w:w="108" w:type="dxa"/>
          </w:tblCellMar>
        </w:tblPrEx>
        <w:trPr>
          <w:trHeight w:val="400" w:hRule="atLeast"/>
          <w:jc w:val="center"/>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AD79E8">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16</w:t>
            </w:r>
          </w:p>
        </w:tc>
        <w:tc>
          <w:tcPr>
            <w:tcW w:w="9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6A7F83">
            <w:pPr>
              <w:widowControl/>
              <w:spacing w:line="36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配线架</w:t>
            </w:r>
          </w:p>
        </w:tc>
        <w:tc>
          <w:tcPr>
            <w:tcW w:w="316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F780AA">
            <w:pPr>
              <w:widowControl/>
              <w:spacing w:line="36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六类24口配线架</w:t>
            </w:r>
          </w:p>
        </w:tc>
        <w:tc>
          <w:tcPr>
            <w:tcW w:w="2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14DA45">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个</w:t>
            </w:r>
          </w:p>
        </w:tc>
        <w:tc>
          <w:tcPr>
            <w:tcW w:w="3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72E191">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2</w:t>
            </w:r>
          </w:p>
        </w:tc>
      </w:tr>
      <w:tr w14:paraId="44BF6258">
        <w:tblPrEx>
          <w:tblCellMar>
            <w:top w:w="0" w:type="dxa"/>
            <w:left w:w="108" w:type="dxa"/>
            <w:bottom w:w="0" w:type="dxa"/>
            <w:right w:w="108" w:type="dxa"/>
          </w:tblCellMar>
        </w:tblPrEx>
        <w:trPr>
          <w:trHeight w:val="400" w:hRule="atLeast"/>
          <w:jc w:val="center"/>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5AD78B">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17</w:t>
            </w:r>
          </w:p>
        </w:tc>
        <w:tc>
          <w:tcPr>
            <w:tcW w:w="9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3D9EDE">
            <w:pPr>
              <w:widowControl/>
              <w:spacing w:line="36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理线架</w:t>
            </w:r>
          </w:p>
        </w:tc>
        <w:tc>
          <w:tcPr>
            <w:tcW w:w="316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11548C">
            <w:pPr>
              <w:widowControl/>
              <w:spacing w:line="36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1U配线架</w:t>
            </w:r>
          </w:p>
        </w:tc>
        <w:tc>
          <w:tcPr>
            <w:tcW w:w="2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1FB9E8">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个</w:t>
            </w:r>
          </w:p>
        </w:tc>
        <w:tc>
          <w:tcPr>
            <w:tcW w:w="3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07AA45">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2</w:t>
            </w:r>
          </w:p>
        </w:tc>
      </w:tr>
      <w:tr w14:paraId="23739ECD">
        <w:tblPrEx>
          <w:tblCellMar>
            <w:top w:w="0" w:type="dxa"/>
            <w:left w:w="108" w:type="dxa"/>
            <w:bottom w:w="0" w:type="dxa"/>
            <w:right w:w="108" w:type="dxa"/>
          </w:tblCellMar>
        </w:tblPrEx>
        <w:trPr>
          <w:trHeight w:val="400" w:hRule="atLeast"/>
          <w:jc w:val="center"/>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B602F4">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18</w:t>
            </w:r>
          </w:p>
        </w:tc>
        <w:tc>
          <w:tcPr>
            <w:tcW w:w="9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D86E25">
            <w:pPr>
              <w:widowControl/>
              <w:spacing w:line="36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1米网络跳线</w:t>
            </w:r>
          </w:p>
        </w:tc>
        <w:tc>
          <w:tcPr>
            <w:tcW w:w="316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17F872">
            <w:pPr>
              <w:widowControl/>
              <w:spacing w:line="36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1米网络跳线</w:t>
            </w:r>
          </w:p>
        </w:tc>
        <w:tc>
          <w:tcPr>
            <w:tcW w:w="2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902000">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根</w:t>
            </w:r>
          </w:p>
        </w:tc>
        <w:tc>
          <w:tcPr>
            <w:tcW w:w="3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942534">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24</w:t>
            </w:r>
          </w:p>
        </w:tc>
      </w:tr>
      <w:tr w14:paraId="5DC55E2E">
        <w:tblPrEx>
          <w:tblCellMar>
            <w:top w:w="0" w:type="dxa"/>
            <w:left w:w="108" w:type="dxa"/>
            <w:bottom w:w="0" w:type="dxa"/>
            <w:right w:w="108" w:type="dxa"/>
          </w:tblCellMar>
        </w:tblPrEx>
        <w:trPr>
          <w:trHeight w:val="400" w:hRule="atLeast"/>
          <w:jc w:val="center"/>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D40F4A">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19</w:t>
            </w:r>
          </w:p>
        </w:tc>
        <w:tc>
          <w:tcPr>
            <w:tcW w:w="9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C6C57D">
            <w:pPr>
              <w:widowControl/>
              <w:spacing w:line="36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2米网络跳线</w:t>
            </w:r>
          </w:p>
        </w:tc>
        <w:tc>
          <w:tcPr>
            <w:tcW w:w="316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65AE49">
            <w:pPr>
              <w:widowControl/>
              <w:spacing w:line="36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2米网络跳线</w:t>
            </w:r>
          </w:p>
        </w:tc>
        <w:tc>
          <w:tcPr>
            <w:tcW w:w="2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0E290A">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根</w:t>
            </w:r>
          </w:p>
        </w:tc>
        <w:tc>
          <w:tcPr>
            <w:tcW w:w="3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982D2D">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8</w:t>
            </w:r>
          </w:p>
        </w:tc>
      </w:tr>
      <w:tr w14:paraId="326BCAB6">
        <w:tblPrEx>
          <w:tblCellMar>
            <w:top w:w="0" w:type="dxa"/>
            <w:left w:w="108" w:type="dxa"/>
            <w:bottom w:w="0" w:type="dxa"/>
            <w:right w:w="108" w:type="dxa"/>
          </w:tblCellMar>
        </w:tblPrEx>
        <w:trPr>
          <w:trHeight w:val="400" w:hRule="atLeast"/>
          <w:jc w:val="center"/>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1C7F35">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20</w:t>
            </w:r>
          </w:p>
        </w:tc>
        <w:tc>
          <w:tcPr>
            <w:tcW w:w="9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370232">
            <w:pPr>
              <w:widowControl/>
              <w:spacing w:line="36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1.5米HDMI线</w:t>
            </w:r>
          </w:p>
        </w:tc>
        <w:tc>
          <w:tcPr>
            <w:tcW w:w="316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1D7DA2">
            <w:pPr>
              <w:widowControl/>
              <w:spacing w:line="36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1.5米HDMI线</w:t>
            </w:r>
          </w:p>
        </w:tc>
        <w:tc>
          <w:tcPr>
            <w:tcW w:w="2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928758">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根</w:t>
            </w:r>
          </w:p>
        </w:tc>
        <w:tc>
          <w:tcPr>
            <w:tcW w:w="3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C4CB0F">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8</w:t>
            </w:r>
          </w:p>
        </w:tc>
      </w:tr>
      <w:tr w14:paraId="04A82E10">
        <w:tblPrEx>
          <w:tblCellMar>
            <w:top w:w="0" w:type="dxa"/>
            <w:left w:w="108" w:type="dxa"/>
            <w:bottom w:w="0" w:type="dxa"/>
            <w:right w:w="108" w:type="dxa"/>
          </w:tblCellMar>
        </w:tblPrEx>
        <w:trPr>
          <w:trHeight w:val="90" w:hRule="atLeast"/>
          <w:jc w:val="center"/>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A704ED">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21</w:t>
            </w:r>
          </w:p>
        </w:tc>
        <w:tc>
          <w:tcPr>
            <w:tcW w:w="9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35716B">
            <w:pPr>
              <w:widowControl/>
              <w:spacing w:line="36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3米HDMI线</w:t>
            </w:r>
          </w:p>
        </w:tc>
        <w:tc>
          <w:tcPr>
            <w:tcW w:w="316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7A05D6">
            <w:pPr>
              <w:widowControl/>
              <w:spacing w:line="36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3米HDMI线</w:t>
            </w:r>
          </w:p>
        </w:tc>
        <w:tc>
          <w:tcPr>
            <w:tcW w:w="2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0F9301">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根</w:t>
            </w:r>
          </w:p>
        </w:tc>
        <w:tc>
          <w:tcPr>
            <w:tcW w:w="3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9BF4C7">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4</w:t>
            </w:r>
          </w:p>
        </w:tc>
      </w:tr>
      <w:tr w14:paraId="545EA7D1">
        <w:tblPrEx>
          <w:tblCellMar>
            <w:top w:w="0" w:type="dxa"/>
            <w:left w:w="108" w:type="dxa"/>
            <w:bottom w:w="0" w:type="dxa"/>
            <w:right w:w="108" w:type="dxa"/>
          </w:tblCellMar>
        </w:tblPrEx>
        <w:trPr>
          <w:trHeight w:val="400" w:hRule="atLeast"/>
          <w:jc w:val="center"/>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C4D744">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22</w:t>
            </w:r>
          </w:p>
        </w:tc>
        <w:tc>
          <w:tcPr>
            <w:tcW w:w="9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ABF507">
            <w:pPr>
              <w:widowControl/>
              <w:spacing w:line="36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摄像头支架</w:t>
            </w:r>
          </w:p>
        </w:tc>
        <w:tc>
          <w:tcPr>
            <w:tcW w:w="316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1E594D">
            <w:pPr>
              <w:widowControl/>
              <w:spacing w:line="36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摄像头支架</w:t>
            </w:r>
          </w:p>
        </w:tc>
        <w:tc>
          <w:tcPr>
            <w:tcW w:w="2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93CDB2">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个</w:t>
            </w:r>
          </w:p>
        </w:tc>
        <w:tc>
          <w:tcPr>
            <w:tcW w:w="3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142832">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8</w:t>
            </w:r>
          </w:p>
        </w:tc>
      </w:tr>
      <w:tr w14:paraId="1831CB4C">
        <w:tblPrEx>
          <w:tblCellMar>
            <w:top w:w="0" w:type="dxa"/>
            <w:left w:w="108" w:type="dxa"/>
            <w:bottom w:w="0" w:type="dxa"/>
            <w:right w:w="108" w:type="dxa"/>
          </w:tblCellMar>
        </w:tblPrEx>
        <w:trPr>
          <w:trHeight w:val="400" w:hRule="atLeast"/>
          <w:jc w:val="center"/>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103343">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23</w:t>
            </w:r>
          </w:p>
        </w:tc>
        <w:tc>
          <w:tcPr>
            <w:tcW w:w="9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64B932">
            <w:pPr>
              <w:widowControl/>
              <w:spacing w:line="36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电源插板</w:t>
            </w:r>
          </w:p>
        </w:tc>
        <w:tc>
          <w:tcPr>
            <w:tcW w:w="316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6F006B">
            <w:pPr>
              <w:widowControl/>
              <w:spacing w:line="36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6个三孔电源插板</w:t>
            </w:r>
          </w:p>
        </w:tc>
        <w:tc>
          <w:tcPr>
            <w:tcW w:w="2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7787DE">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个</w:t>
            </w:r>
          </w:p>
        </w:tc>
        <w:tc>
          <w:tcPr>
            <w:tcW w:w="3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02FE64">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8</w:t>
            </w:r>
          </w:p>
        </w:tc>
      </w:tr>
      <w:tr w14:paraId="14799CEF">
        <w:tblPrEx>
          <w:tblCellMar>
            <w:top w:w="0" w:type="dxa"/>
            <w:left w:w="108" w:type="dxa"/>
            <w:bottom w:w="0" w:type="dxa"/>
            <w:right w:w="108" w:type="dxa"/>
          </w:tblCellMar>
        </w:tblPrEx>
        <w:trPr>
          <w:trHeight w:val="400" w:hRule="atLeast"/>
          <w:jc w:val="center"/>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643289">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24</w:t>
            </w:r>
          </w:p>
        </w:tc>
        <w:tc>
          <w:tcPr>
            <w:tcW w:w="9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AB6318">
            <w:pPr>
              <w:widowControl/>
              <w:spacing w:line="36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机柜PDU</w:t>
            </w:r>
          </w:p>
        </w:tc>
        <w:tc>
          <w:tcPr>
            <w:tcW w:w="316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A9A8FC">
            <w:pPr>
              <w:widowControl/>
              <w:spacing w:line="36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10A机柜8工位PDU</w:t>
            </w:r>
          </w:p>
        </w:tc>
        <w:tc>
          <w:tcPr>
            <w:tcW w:w="2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E45D76">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个</w:t>
            </w:r>
          </w:p>
        </w:tc>
        <w:tc>
          <w:tcPr>
            <w:tcW w:w="3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2DEF9F">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2</w:t>
            </w:r>
          </w:p>
        </w:tc>
      </w:tr>
      <w:tr w14:paraId="76FD6F27">
        <w:tblPrEx>
          <w:tblCellMar>
            <w:top w:w="0" w:type="dxa"/>
            <w:left w:w="108" w:type="dxa"/>
            <w:bottom w:w="0" w:type="dxa"/>
            <w:right w:w="108" w:type="dxa"/>
          </w:tblCellMar>
        </w:tblPrEx>
        <w:trPr>
          <w:trHeight w:val="400" w:hRule="atLeast"/>
          <w:jc w:val="center"/>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8CD3D0">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25</w:t>
            </w:r>
          </w:p>
        </w:tc>
        <w:tc>
          <w:tcPr>
            <w:tcW w:w="9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AD9DD9">
            <w:pPr>
              <w:widowControl/>
              <w:spacing w:line="36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辅材</w:t>
            </w:r>
          </w:p>
        </w:tc>
        <w:tc>
          <w:tcPr>
            <w:tcW w:w="316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CFDE24">
            <w:pPr>
              <w:widowControl/>
              <w:spacing w:line="36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明盒、暗盒、32铁管卡、软管、卡农公、卡农母、莲花头、3.5音频头等辅材</w:t>
            </w:r>
          </w:p>
        </w:tc>
        <w:tc>
          <w:tcPr>
            <w:tcW w:w="2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F92BF7">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批</w:t>
            </w:r>
          </w:p>
        </w:tc>
        <w:tc>
          <w:tcPr>
            <w:tcW w:w="3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DE0912">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2</w:t>
            </w:r>
          </w:p>
        </w:tc>
      </w:tr>
      <w:tr w14:paraId="10FDEA4E">
        <w:tblPrEx>
          <w:tblCellMar>
            <w:top w:w="0" w:type="dxa"/>
            <w:left w:w="108" w:type="dxa"/>
            <w:bottom w:w="0" w:type="dxa"/>
            <w:right w:w="108" w:type="dxa"/>
          </w:tblCellMar>
        </w:tblPrEx>
        <w:trPr>
          <w:trHeight w:val="90" w:hRule="atLeast"/>
          <w:jc w:val="center"/>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6A3097">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26</w:t>
            </w:r>
          </w:p>
        </w:tc>
        <w:tc>
          <w:tcPr>
            <w:tcW w:w="9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658DAC">
            <w:pPr>
              <w:widowControl/>
              <w:spacing w:line="36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系统集成费</w:t>
            </w:r>
          </w:p>
        </w:tc>
        <w:tc>
          <w:tcPr>
            <w:tcW w:w="316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814626">
            <w:pPr>
              <w:widowControl/>
              <w:spacing w:line="36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1</w:t>
            </w:r>
            <w:r>
              <w:rPr>
                <w:rFonts w:hint="eastAsia" w:ascii="宋体" w:hAnsi="宋体" w:eastAsia="宋体" w:cs="宋体"/>
                <w:color w:val="000000"/>
                <w:kern w:val="0"/>
                <w:sz w:val="21"/>
                <w:szCs w:val="21"/>
                <w:lang w:eastAsia="zh-CN"/>
              </w:rPr>
              <w:t>.</w:t>
            </w:r>
            <w:r>
              <w:rPr>
                <w:rFonts w:hint="eastAsia" w:ascii="宋体" w:hAnsi="宋体" w:eastAsia="宋体" w:cs="宋体"/>
                <w:color w:val="000000"/>
                <w:kern w:val="0"/>
                <w:sz w:val="21"/>
                <w:szCs w:val="21"/>
              </w:rPr>
              <w:t>项目整体设备安装调试集成费用;</w:t>
            </w:r>
            <w:r>
              <w:rPr>
                <w:rFonts w:hint="eastAsia" w:ascii="宋体" w:hAnsi="宋体" w:eastAsia="宋体" w:cs="宋体"/>
                <w:color w:val="000000"/>
                <w:kern w:val="0"/>
                <w:sz w:val="21"/>
                <w:szCs w:val="21"/>
              </w:rPr>
              <w:br w:type="textWrapping"/>
            </w:r>
            <w:r>
              <w:rPr>
                <w:rFonts w:hint="eastAsia" w:ascii="宋体" w:hAnsi="宋体" w:eastAsia="宋体" w:cs="宋体"/>
                <w:color w:val="000000"/>
                <w:kern w:val="0"/>
                <w:sz w:val="21"/>
                <w:szCs w:val="21"/>
              </w:rPr>
              <w:t>2</w:t>
            </w:r>
            <w:r>
              <w:rPr>
                <w:rFonts w:hint="eastAsia" w:ascii="宋体" w:hAnsi="宋体" w:eastAsia="宋体" w:cs="宋体"/>
                <w:color w:val="000000"/>
                <w:kern w:val="0"/>
                <w:sz w:val="21"/>
                <w:szCs w:val="21"/>
                <w:lang w:eastAsia="zh-CN"/>
              </w:rPr>
              <w:t>.</w:t>
            </w:r>
            <w:r>
              <w:rPr>
                <w:rFonts w:hint="eastAsia" w:ascii="宋体" w:hAnsi="宋体" w:eastAsia="宋体" w:cs="宋体"/>
                <w:color w:val="000000"/>
                <w:kern w:val="0"/>
                <w:sz w:val="21"/>
                <w:szCs w:val="21"/>
              </w:rPr>
              <w:t>负责对接江北法院现有数字法庭信息管理平台与全国法院办案办公平台，实现数字法庭开庭、休庭、复庭、闭庭、在线直播与点播等功能;</w:t>
            </w:r>
            <w:r>
              <w:rPr>
                <w:rFonts w:hint="eastAsia" w:ascii="宋体" w:hAnsi="宋体" w:eastAsia="宋体" w:cs="宋体"/>
                <w:color w:val="000000"/>
                <w:kern w:val="0"/>
                <w:sz w:val="21"/>
                <w:szCs w:val="21"/>
              </w:rPr>
              <w:br w:type="textWrapping"/>
            </w:r>
            <w:r>
              <w:rPr>
                <w:rFonts w:hint="eastAsia" w:ascii="宋体" w:hAnsi="宋体" w:eastAsia="宋体" w:cs="宋体"/>
                <w:color w:val="000000"/>
                <w:kern w:val="0"/>
                <w:sz w:val="21"/>
                <w:szCs w:val="21"/>
              </w:rPr>
              <w:t>3</w:t>
            </w:r>
            <w:r>
              <w:rPr>
                <w:rFonts w:hint="eastAsia" w:ascii="宋体" w:hAnsi="宋体" w:eastAsia="宋体" w:cs="宋体"/>
                <w:color w:val="000000"/>
                <w:kern w:val="0"/>
                <w:sz w:val="21"/>
                <w:szCs w:val="21"/>
                <w:lang w:eastAsia="zh-CN"/>
              </w:rPr>
              <w:t>.</w:t>
            </w:r>
            <w:r>
              <w:rPr>
                <w:rFonts w:hint="eastAsia" w:ascii="宋体" w:hAnsi="宋体" w:eastAsia="宋体" w:cs="宋体"/>
                <w:color w:val="000000"/>
                <w:kern w:val="0"/>
                <w:sz w:val="21"/>
                <w:szCs w:val="21"/>
              </w:rPr>
              <w:t>项目管理协调费用。</w:t>
            </w:r>
          </w:p>
        </w:tc>
        <w:tc>
          <w:tcPr>
            <w:tcW w:w="2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3F9298">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庭</w:t>
            </w:r>
          </w:p>
        </w:tc>
        <w:tc>
          <w:tcPr>
            <w:tcW w:w="3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F61F17">
            <w:pPr>
              <w:widowControl/>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2</w:t>
            </w:r>
          </w:p>
        </w:tc>
      </w:tr>
    </w:tbl>
    <w:p w14:paraId="3869C834">
      <w:pPr>
        <w:pStyle w:val="50"/>
        <w:ind w:left="0" w:leftChars="0" w:firstLine="0" w:firstLineChars="0"/>
        <w:rPr>
          <w:rFonts w:hint="eastAsia" w:ascii="宋体" w:hAnsi="宋体" w:cs="宋体"/>
          <w:b/>
          <w:bCs/>
          <w:color w:val="auto"/>
          <w:sz w:val="21"/>
          <w:szCs w:val="21"/>
          <w:highlight w:val="none"/>
          <w:vertAlign w:val="baseline"/>
          <w:lang w:val="en-US" w:eastAsia="zh-CN"/>
        </w:rPr>
      </w:pPr>
    </w:p>
    <w:p w14:paraId="4236033A">
      <w:pPr>
        <w:pStyle w:val="50"/>
        <w:rPr>
          <w:rFonts w:hint="eastAsia" w:ascii="宋体" w:hAnsi="宋体" w:cs="宋体"/>
          <w:b/>
          <w:bCs/>
          <w:color w:val="auto"/>
          <w:sz w:val="21"/>
          <w:szCs w:val="21"/>
          <w:highlight w:val="none"/>
          <w:vertAlign w:val="baseline"/>
          <w:lang w:val="en-US" w:eastAsia="zh-CN"/>
        </w:rPr>
      </w:pPr>
    </w:p>
    <w:bookmarkEnd w:id="48"/>
    <w:bookmarkEnd w:id="49"/>
    <w:p w14:paraId="13480B4F">
      <w:pPr>
        <w:pStyle w:val="3"/>
        <w:spacing w:before="286" w:after="286"/>
        <w:rPr>
          <w:color w:val="auto"/>
          <w:sz w:val="32"/>
          <w:szCs w:val="32"/>
          <w:highlight w:val="none"/>
        </w:rPr>
      </w:pPr>
      <w:r>
        <w:rPr>
          <w:rFonts w:hint="eastAsia" w:cs="宋体"/>
          <w:color w:val="auto"/>
          <w:sz w:val="32"/>
          <w:szCs w:val="32"/>
          <w:highlight w:val="none"/>
        </w:rPr>
        <w:t>第三部分投标资料表</w:t>
      </w:r>
      <w:bookmarkEnd w:id="50"/>
    </w:p>
    <w:p w14:paraId="5B3613AF">
      <w:pPr>
        <w:spacing w:line="360" w:lineRule="auto"/>
        <w:ind w:firstLine="420" w:firstLineChars="200"/>
        <w:rPr>
          <w:rFonts w:ascii="宋体"/>
          <w:color w:val="auto"/>
          <w:highlight w:val="none"/>
        </w:rPr>
      </w:pPr>
      <w:r>
        <w:rPr>
          <w:rFonts w:hint="eastAsia" w:ascii="宋体" w:hAnsi="宋体" w:cs="宋体"/>
          <w:color w:val="auto"/>
          <w:highlight w:val="none"/>
        </w:rPr>
        <w:t>本部分关于本次招标项目的具体要求是对“投标人须知</w:t>
      </w:r>
      <w:r>
        <w:rPr>
          <w:rFonts w:hint="eastAsia" w:ascii="宋体" w:cs="宋体"/>
          <w:color w:val="auto"/>
          <w:highlight w:val="none"/>
        </w:rPr>
        <w:t>”</w:t>
      </w:r>
      <w:r>
        <w:rPr>
          <w:rFonts w:hint="eastAsia" w:ascii="宋体" w:hAnsi="宋体" w:cs="宋体"/>
          <w:color w:val="auto"/>
          <w:highlight w:val="none"/>
        </w:rPr>
        <w:t>和</w:t>
      </w:r>
      <w:r>
        <w:rPr>
          <w:rFonts w:hint="eastAsia" w:ascii="宋体" w:cs="宋体"/>
          <w:color w:val="auto"/>
          <w:highlight w:val="none"/>
        </w:rPr>
        <w:t>“</w:t>
      </w:r>
      <w:r>
        <w:rPr>
          <w:rFonts w:hint="eastAsia" w:ascii="宋体" w:hAnsi="宋体" w:cs="宋体"/>
          <w:color w:val="auto"/>
          <w:highlight w:val="none"/>
        </w:rPr>
        <w:t>合同格式</w:t>
      </w:r>
      <w:r>
        <w:rPr>
          <w:rFonts w:hint="eastAsia" w:ascii="宋体" w:cs="宋体"/>
          <w:color w:val="auto"/>
          <w:highlight w:val="none"/>
        </w:rPr>
        <w:t>”</w:t>
      </w:r>
      <w:r>
        <w:rPr>
          <w:rFonts w:hint="eastAsia" w:ascii="宋体" w:hAnsi="宋体" w:cs="宋体"/>
          <w:color w:val="auto"/>
          <w:highlight w:val="none"/>
        </w:rPr>
        <w:t>的相关条款的补充和修改，如有矛盾，应以此为准。</w:t>
      </w:r>
    </w:p>
    <w:tbl>
      <w:tblPr>
        <w:tblStyle w:val="38"/>
        <w:tblW w:w="8559" w:type="dxa"/>
        <w:tblInd w:w="-106" w:type="dxa"/>
        <w:tblBorders>
          <w:top w:val="single" w:color="000000" w:sz="12" w:space="0"/>
          <w:left w:val="single" w:color="000000" w:sz="12" w:space="0"/>
          <w:bottom w:val="single" w:color="auto" w:sz="4"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093"/>
        <w:gridCol w:w="7466"/>
      </w:tblGrid>
      <w:tr w14:paraId="386DF76E">
        <w:tblPrEx>
          <w:tblBorders>
            <w:top w:val="single" w:color="000000" w:sz="12" w:space="0"/>
            <w:left w:val="single" w:color="000000" w:sz="12" w:space="0"/>
            <w:bottom w:val="single" w:color="auto" w:sz="4"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87" w:hRule="atLeast"/>
          <w:tblHeader/>
        </w:trPr>
        <w:tc>
          <w:tcPr>
            <w:tcW w:w="1093" w:type="dxa"/>
            <w:tcBorders>
              <w:top w:val="single" w:color="000000" w:sz="12" w:space="0"/>
            </w:tcBorders>
            <w:vAlign w:val="center"/>
          </w:tcPr>
          <w:p w14:paraId="379A973B">
            <w:pPr>
              <w:spacing w:before="143" w:beforeLines="50" w:line="360" w:lineRule="auto"/>
              <w:jc w:val="center"/>
              <w:rPr>
                <w:rFonts w:ascii="宋体"/>
                <w:color w:val="auto"/>
                <w:highlight w:val="none"/>
              </w:rPr>
            </w:pPr>
            <w:r>
              <w:rPr>
                <w:rFonts w:hint="eastAsia" w:ascii="宋体" w:hAnsi="宋体" w:cs="宋体"/>
                <w:color w:val="auto"/>
                <w:highlight w:val="none"/>
              </w:rPr>
              <w:t>条款号</w:t>
            </w:r>
          </w:p>
        </w:tc>
        <w:tc>
          <w:tcPr>
            <w:tcW w:w="7466" w:type="dxa"/>
            <w:tcBorders>
              <w:top w:val="single" w:color="000000" w:sz="12" w:space="0"/>
            </w:tcBorders>
            <w:vAlign w:val="center"/>
          </w:tcPr>
          <w:p w14:paraId="7D5B3003">
            <w:pPr>
              <w:spacing w:before="143" w:beforeLines="50" w:line="360" w:lineRule="auto"/>
              <w:jc w:val="center"/>
              <w:rPr>
                <w:rFonts w:ascii="宋体"/>
                <w:b/>
                <w:bCs/>
                <w:color w:val="auto"/>
                <w:highlight w:val="none"/>
              </w:rPr>
            </w:pPr>
            <w:r>
              <w:rPr>
                <w:rFonts w:hint="eastAsia" w:ascii="宋体" w:hAnsi="宋体" w:cs="宋体"/>
                <w:b/>
                <w:bCs/>
                <w:color w:val="auto"/>
                <w:highlight w:val="none"/>
              </w:rPr>
              <w:t>条款内容</w:t>
            </w:r>
          </w:p>
        </w:tc>
      </w:tr>
      <w:tr w14:paraId="0849D24D">
        <w:tblPrEx>
          <w:tblBorders>
            <w:top w:val="single" w:color="000000" w:sz="12" w:space="0"/>
            <w:left w:val="single" w:color="000000" w:sz="12" w:space="0"/>
            <w:bottom w:val="single" w:color="auto" w:sz="4"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511" w:hRule="atLeast"/>
        </w:trPr>
        <w:tc>
          <w:tcPr>
            <w:tcW w:w="1093" w:type="dxa"/>
            <w:vMerge w:val="restart"/>
            <w:vAlign w:val="center"/>
          </w:tcPr>
          <w:p w14:paraId="3735C2E7">
            <w:pPr>
              <w:spacing w:before="143" w:beforeLines="50" w:line="360" w:lineRule="auto"/>
              <w:jc w:val="center"/>
              <w:rPr>
                <w:rFonts w:ascii="宋体"/>
                <w:color w:val="auto"/>
                <w:highlight w:val="none"/>
              </w:rPr>
            </w:pPr>
            <w:r>
              <w:rPr>
                <w:rFonts w:ascii="宋体" w:hAnsi="宋体" w:cs="宋体"/>
                <w:color w:val="auto"/>
                <w:highlight w:val="none"/>
              </w:rPr>
              <w:t>1.1</w:t>
            </w:r>
          </w:p>
        </w:tc>
        <w:tc>
          <w:tcPr>
            <w:tcW w:w="7466" w:type="dxa"/>
            <w:vAlign w:val="center"/>
          </w:tcPr>
          <w:p w14:paraId="23579B5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color w:val="auto"/>
                <w:highlight w:val="none"/>
                <w:lang w:eastAsia="zh-CN"/>
              </w:rPr>
            </w:pPr>
            <w:r>
              <w:rPr>
                <w:rFonts w:hint="eastAsia" w:ascii="宋体"/>
                <w:color w:val="auto"/>
                <w:highlight w:val="none"/>
                <w:lang w:val="en-US" w:eastAsia="zh-CN"/>
              </w:rPr>
              <w:t>采购人</w:t>
            </w:r>
            <w:r>
              <w:rPr>
                <w:rFonts w:hint="eastAsia" w:ascii="宋体"/>
                <w:color w:val="auto"/>
                <w:highlight w:val="none"/>
              </w:rPr>
              <w:t>名称：</w:t>
            </w:r>
            <w:r>
              <w:rPr>
                <w:rFonts w:hint="eastAsia" w:ascii="宋体"/>
                <w:color w:val="auto"/>
                <w:highlight w:val="none"/>
                <w:lang w:eastAsia="zh-CN"/>
              </w:rPr>
              <w:t>宁波市江北区人民法院</w:t>
            </w:r>
          </w:p>
          <w:p w14:paraId="3204E5B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color w:val="auto"/>
                <w:highlight w:val="none"/>
              </w:rPr>
            </w:pPr>
            <w:r>
              <w:rPr>
                <w:rFonts w:hint="eastAsia" w:ascii="宋体"/>
                <w:color w:val="auto"/>
                <w:highlight w:val="none"/>
              </w:rPr>
              <w:t>地址：宁波市江北区清河路28号</w:t>
            </w:r>
          </w:p>
          <w:p w14:paraId="36117EE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color w:val="auto"/>
                <w:highlight w:val="none"/>
                <w:lang w:val="en-US" w:eastAsia="zh-CN"/>
              </w:rPr>
            </w:pPr>
            <w:r>
              <w:rPr>
                <w:rFonts w:hint="eastAsia" w:ascii="宋体"/>
                <w:color w:val="auto"/>
                <w:highlight w:val="none"/>
              </w:rPr>
              <w:t>项目联系人（询问）：</w:t>
            </w:r>
            <w:r>
              <w:rPr>
                <w:rFonts w:hint="eastAsia" w:ascii="宋体"/>
                <w:color w:val="auto"/>
                <w:highlight w:val="none"/>
                <w:lang w:val="en-US" w:eastAsia="zh-CN"/>
              </w:rPr>
              <w:t>张老师</w:t>
            </w:r>
          </w:p>
          <w:p w14:paraId="4B472CD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color w:val="auto"/>
                <w:highlight w:val="none"/>
              </w:rPr>
            </w:pPr>
            <w:r>
              <w:rPr>
                <w:rFonts w:hint="eastAsia" w:ascii="宋体"/>
                <w:color w:val="auto"/>
                <w:highlight w:val="none"/>
              </w:rPr>
              <w:t>项目联系方式（询问）：0574-56103026</w:t>
            </w:r>
          </w:p>
        </w:tc>
      </w:tr>
      <w:tr w14:paraId="73CBAB73">
        <w:tblPrEx>
          <w:tblBorders>
            <w:top w:val="single" w:color="000000" w:sz="12" w:space="0"/>
            <w:left w:val="single" w:color="000000" w:sz="12" w:space="0"/>
            <w:bottom w:val="single" w:color="auto" w:sz="4"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527" w:hRule="atLeast"/>
        </w:trPr>
        <w:tc>
          <w:tcPr>
            <w:tcW w:w="1093" w:type="dxa"/>
            <w:vMerge w:val="continue"/>
            <w:vAlign w:val="center"/>
          </w:tcPr>
          <w:p w14:paraId="0DCE2C2D">
            <w:pPr>
              <w:spacing w:before="143" w:beforeLines="50" w:line="360" w:lineRule="auto"/>
              <w:jc w:val="center"/>
              <w:rPr>
                <w:rFonts w:ascii="宋体"/>
                <w:color w:val="auto"/>
                <w:highlight w:val="none"/>
              </w:rPr>
            </w:pPr>
          </w:p>
        </w:tc>
        <w:tc>
          <w:tcPr>
            <w:tcW w:w="7466" w:type="dxa"/>
            <w:vAlign w:val="center"/>
          </w:tcPr>
          <w:p w14:paraId="5594EAA6">
            <w:pPr>
              <w:spacing w:line="360" w:lineRule="auto"/>
              <w:rPr>
                <w:rFonts w:hint="eastAsia" w:ascii="宋体" w:hAnsi="宋体" w:eastAsia="宋体"/>
                <w:color w:val="auto"/>
                <w:highlight w:val="none"/>
                <w:u w:val="single"/>
                <w:lang w:eastAsia="zh-CN"/>
              </w:rPr>
            </w:pPr>
            <w:r>
              <w:rPr>
                <w:rFonts w:hint="eastAsia" w:ascii="宋体" w:hAnsi="宋体"/>
                <w:color w:val="auto"/>
                <w:highlight w:val="none"/>
              </w:rPr>
              <w:t>采购代理机构名称：</w:t>
            </w:r>
            <w:r>
              <w:rPr>
                <w:rFonts w:hint="eastAsia" w:ascii="宋体" w:hAnsi="宋体"/>
                <w:color w:val="auto"/>
                <w:highlight w:val="none"/>
                <w:lang w:eastAsia="zh-CN"/>
              </w:rPr>
              <w:t>宇阳工程咨询（宁波）有限公司</w:t>
            </w:r>
          </w:p>
          <w:p w14:paraId="1C0C45FD">
            <w:pPr>
              <w:spacing w:line="400" w:lineRule="exact"/>
              <w:rPr>
                <w:rFonts w:hint="eastAsia" w:ascii="宋体" w:hAnsi="宋体"/>
                <w:color w:val="auto"/>
                <w:szCs w:val="21"/>
                <w:highlight w:val="none"/>
                <w:lang w:eastAsia="zh-CN"/>
              </w:rPr>
            </w:pPr>
            <w:r>
              <w:rPr>
                <w:rFonts w:hint="eastAsia" w:ascii="宋体" w:hAnsi="宋体"/>
                <w:color w:val="auto"/>
                <w:szCs w:val="21"/>
                <w:highlight w:val="none"/>
              </w:rPr>
              <w:t>地址：浙江省宁波市江北区金隅大成时代5号楼9楼</w:t>
            </w:r>
          </w:p>
          <w:p w14:paraId="10D22AF1">
            <w:pPr>
              <w:spacing w:line="400" w:lineRule="exact"/>
              <w:rPr>
                <w:rFonts w:hint="eastAsia" w:ascii="宋体" w:hAnsi="宋体"/>
                <w:color w:val="auto"/>
                <w:szCs w:val="21"/>
                <w:highlight w:val="none"/>
              </w:rPr>
            </w:pPr>
            <w:r>
              <w:rPr>
                <w:rFonts w:hint="eastAsia" w:ascii="宋体" w:hAnsi="宋体"/>
                <w:color w:val="auto"/>
                <w:szCs w:val="21"/>
                <w:highlight w:val="none"/>
              </w:rPr>
              <w:t>项目联系人（询问）：刘翠央、</w:t>
            </w:r>
            <w:r>
              <w:rPr>
                <w:rFonts w:hint="eastAsia" w:ascii="宋体" w:hAnsi="宋体"/>
                <w:color w:val="auto"/>
                <w:szCs w:val="21"/>
                <w:highlight w:val="none"/>
                <w:lang w:val="en-US" w:eastAsia="zh-CN"/>
              </w:rPr>
              <w:t>丁一珊、周王军、官钰敏、朱晓祺、</w:t>
            </w:r>
            <w:r>
              <w:rPr>
                <w:rFonts w:hint="eastAsia" w:ascii="宋体" w:hAnsi="宋体"/>
                <w:color w:val="auto"/>
                <w:szCs w:val="21"/>
                <w:highlight w:val="none"/>
              </w:rPr>
              <w:t>李娜</w:t>
            </w:r>
          </w:p>
          <w:p w14:paraId="73910E94">
            <w:pPr>
              <w:spacing w:line="400" w:lineRule="exact"/>
              <w:rPr>
                <w:rFonts w:ascii="宋体"/>
                <w:color w:val="auto"/>
                <w:highlight w:val="none"/>
              </w:rPr>
            </w:pPr>
            <w:r>
              <w:rPr>
                <w:rFonts w:hint="eastAsia" w:ascii="宋体" w:hAnsi="宋体"/>
                <w:color w:val="auto"/>
                <w:szCs w:val="21"/>
                <w:highlight w:val="none"/>
              </w:rPr>
              <w:t>项目联系方式（询问）：0574-87313002</w:t>
            </w:r>
          </w:p>
        </w:tc>
      </w:tr>
      <w:tr w14:paraId="758439B8">
        <w:tblPrEx>
          <w:tblBorders>
            <w:top w:val="single" w:color="000000" w:sz="12" w:space="0"/>
            <w:left w:val="single" w:color="000000" w:sz="12" w:space="0"/>
            <w:bottom w:val="single" w:color="auto" w:sz="4"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05" w:hRule="atLeast"/>
        </w:trPr>
        <w:tc>
          <w:tcPr>
            <w:tcW w:w="1093" w:type="dxa"/>
            <w:vMerge w:val="continue"/>
            <w:vAlign w:val="center"/>
          </w:tcPr>
          <w:p w14:paraId="60E27BDD">
            <w:pPr>
              <w:spacing w:before="143" w:beforeLines="50" w:line="360" w:lineRule="auto"/>
              <w:jc w:val="center"/>
              <w:rPr>
                <w:rFonts w:ascii="宋体"/>
                <w:color w:val="auto"/>
                <w:highlight w:val="none"/>
              </w:rPr>
            </w:pPr>
          </w:p>
        </w:tc>
        <w:tc>
          <w:tcPr>
            <w:tcW w:w="7466" w:type="dxa"/>
            <w:vAlign w:val="bottom"/>
          </w:tcPr>
          <w:p w14:paraId="4210FE08">
            <w:pPr>
              <w:wordWrap w:val="0"/>
              <w:adjustRightInd w:val="0"/>
              <w:snapToGrid w:val="0"/>
              <w:spacing w:line="400" w:lineRule="exact"/>
              <w:rPr>
                <w:rFonts w:hint="eastAsia" w:ascii="宋体" w:eastAsia="宋体"/>
                <w:color w:val="auto"/>
                <w:highlight w:val="none"/>
                <w:lang w:eastAsia="zh-CN"/>
              </w:rPr>
            </w:pPr>
            <w:r>
              <w:rPr>
                <w:rFonts w:hint="eastAsia" w:ascii="宋体" w:hAnsi="宋体" w:cs="宋体"/>
                <w:color w:val="auto"/>
                <w:highlight w:val="none"/>
              </w:rPr>
              <w:t>项目名称：</w:t>
            </w:r>
            <w:r>
              <w:rPr>
                <w:rFonts w:hint="eastAsia" w:ascii="宋体" w:hAnsi="宋体" w:cs="宋体"/>
                <w:color w:val="auto"/>
                <w:highlight w:val="none"/>
                <w:lang w:eastAsia="zh-CN"/>
              </w:rPr>
              <w:t>宁波市江北区人民法院审前调解指导中心数字法庭设备建设招标项目</w:t>
            </w:r>
          </w:p>
        </w:tc>
      </w:tr>
      <w:tr w14:paraId="0B16F953">
        <w:tblPrEx>
          <w:tblBorders>
            <w:top w:val="single" w:color="000000" w:sz="12" w:space="0"/>
            <w:left w:val="single" w:color="000000" w:sz="12" w:space="0"/>
            <w:bottom w:val="single" w:color="auto" w:sz="4"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72" w:hRule="atLeast"/>
        </w:trPr>
        <w:tc>
          <w:tcPr>
            <w:tcW w:w="1093" w:type="dxa"/>
            <w:vAlign w:val="center"/>
          </w:tcPr>
          <w:p w14:paraId="39A76E9D">
            <w:pPr>
              <w:spacing w:before="143" w:beforeLines="50" w:line="360" w:lineRule="auto"/>
              <w:jc w:val="center"/>
              <w:rPr>
                <w:rFonts w:ascii="宋体"/>
                <w:color w:val="auto"/>
                <w:highlight w:val="none"/>
              </w:rPr>
            </w:pPr>
            <w:r>
              <w:rPr>
                <w:rFonts w:hint="eastAsia" w:ascii="宋体" w:hAnsi="宋体" w:cs="宋体"/>
                <w:color w:val="auto"/>
                <w:highlight w:val="none"/>
              </w:rPr>
              <w:t>3</w:t>
            </w:r>
            <w:r>
              <w:rPr>
                <w:rFonts w:ascii="宋体" w:hAnsi="宋体" w:cs="宋体"/>
                <w:color w:val="auto"/>
                <w:highlight w:val="none"/>
              </w:rPr>
              <w:t>.1</w:t>
            </w:r>
          </w:p>
        </w:tc>
        <w:tc>
          <w:tcPr>
            <w:tcW w:w="7466" w:type="dxa"/>
            <w:vAlign w:val="center"/>
          </w:tcPr>
          <w:p w14:paraId="5FA80B40">
            <w:pPr>
              <w:spacing w:line="400" w:lineRule="exact"/>
              <w:jc w:val="left"/>
              <w:rPr>
                <w:rFonts w:ascii="宋体"/>
                <w:color w:val="auto"/>
                <w:highlight w:val="none"/>
              </w:rPr>
            </w:pPr>
            <w:r>
              <w:rPr>
                <w:rFonts w:hint="eastAsia" w:ascii="宋体" w:hAnsi="宋体" w:cs="宋体"/>
                <w:color w:val="auto"/>
                <w:highlight w:val="none"/>
              </w:rPr>
              <w:t>招标范围：</w:t>
            </w:r>
            <w:r>
              <w:rPr>
                <w:rFonts w:hint="eastAsia" w:ascii="宋体" w:hAnsi="宋体"/>
                <w:color w:val="auto"/>
                <w:highlight w:val="none"/>
              </w:rPr>
              <w:t>详见招标文件第二部分“</w:t>
            </w:r>
            <w:r>
              <w:rPr>
                <w:rFonts w:hint="eastAsia" w:ascii="宋体" w:hAnsi="宋体"/>
                <w:color w:val="auto"/>
                <w:highlight w:val="none"/>
                <w:lang w:eastAsia="zh-CN"/>
              </w:rPr>
              <w:t>采购需求</w:t>
            </w:r>
            <w:r>
              <w:rPr>
                <w:rFonts w:hint="eastAsia" w:ascii="宋体" w:hAnsi="宋体"/>
                <w:color w:val="auto"/>
                <w:highlight w:val="none"/>
              </w:rPr>
              <w:t>”</w:t>
            </w:r>
            <w:r>
              <w:rPr>
                <w:rFonts w:hint="eastAsia" w:ascii="宋体" w:hAnsi="宋体" w:cs="宋体"/>
                <w:color w:val="auto"/>
                <w:highlight w:val="none"/>
              </w:rPr>
              <w:t>。</w:t>
            </w:r>
          </w:p>
        </w:tc>
      </w:tr>
      <w:tr w14:paraId="12210A32">
        <w:tblPrEx>
          <w:tblBorders>
            <w:top w:val="single" w:color="000000" w:sz="12" w:space="0"/>
            <w:left w:val="single" w:color="000000" w:sz="12" w:space="0"/>
            <w:bottom w:val="single" w:color="auto" w:sz="4"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794" w:hRule="atLeast"/>
        </w:trPr>
        <w:tc>
          <w:tcPr>
            <w:tcW w:w="1093" w:type="dxa"/>
            <w:vAlign w:val="center"/>
          </w:tcPr>
          <w:p w14:paraId="262F8477">
            <w:pPr>
              <w:spacing w:before="143" w:beforeLines="50" w:line="360" w:lineRule="auto"/>
              <w:jc w:val="center"/>
              <w:rPr>
                <w:rFonts w:ascii="宋体" w:hAnsi="宋体" w:cs="宋体"/>
                <w:color w:val="auto"/>
                <w:highlight w:val="none"/>
              </w:rPr>
            </w:pPr>
            <w:r>
              <w:rPr>
                <w:rFonts w:hint="eastAsia" w:ascii="宋体" w:hAnsi="宋体" w:cs="宋体"/>
                <w:color w:val="auto"/>
                <w:highlight w:val="none"/>
              </w:rPr>
              <w:t>3.2</w:t>
            </w:r>
          </w:p>
        </w:tc>
        <w:tc>
          <w:tcPr>
            <w:tcW w:w="7466" w:type="dxa"/>
            <w:vAlign w:val="center"/>
          </w:tcPr>
          <w:p w14:paraId="20FC69EF">
            <w:pPr>
              <w:spacing w:line="400" w:lineRule="exact"/>
              <w:jc w:val="left"/>
              <w:rPr>
                <w:rFonts w:ascii="宋体" w:hAnsi="宋体"/>
                <w:color w:val="auto"/>
                <w:highlight w:val="none"/>
              </w:rPr>
            </w:pPr>
            <w:r>
              <w:rPr>
                <w:rFonts w:ascii="Wingdings" w:hAnsi="Wingdings"/>
                <w:color w:val="auto"/>
                <w:highlight w:val="none"/>
              </w:rPr>
              <w:sym w:font="Wingdings" w:char="00A8"/>
            </w:r>
            <w:r>
              <w:rPr>
                <w:rFonts w:hint="eastAsia" w:ascii="宋体" w:hAnsi="宋体"/>
                <w:color w:val="auto"/>
                <w:highlight w:val="none"/>
              </w:rPr>
              <w:t>A同意将非主体、非关键性的等工作分包。</w:t>
            </w:r>
          </w:p>
          <w:p w14:paraId="4A7D8C5B">
            <w:pPr>
              <w:spacing w:line="400" w:lineRule="exact"/>
              <w:jc w:val="left"/>
              <w:rPr>
                <w:rFonts w:ascii="宋体" w:hAnsi="宋体" w:cs="宋体"/>
                <w:color w:val="auto"/>
                <w:highlight w:val="none"/>
              </w:rPr>
            </w:pPr>
            <w:r>
              <w:rPr>
                <w:rFonts w:ascii="Wingdings" w:hAnsi="Wingdings"/>
                <w:color w:val="auto"/>
                <w:highlight w:val="none"/>
              </w:rPr>
              <w:sym w:font="Wingdings" w:char="00FE"/>
            </w:r>
            <w:r>
              <w:rPr>
                <w:rFonts w:hint="eastAsia" w:ascii="宋体" w:hAnsi="宋体"/>
                <w:color w:val="auto"/>
                <w:highlight w:val="none"/>
              </w:rPr>
              <w:t>B不同意分包。</w:t>
            </w:r>
          </w:p>
        </w:tc>
      </w:tr>
      <w:tr w14:paraId="1B3FCBE4">
        <w:tblPrEx>
          <w:tblBorders>
            <w:top w:val="single" w:color="000000" w:sz="12" w:space="0"/>
            <w:left w:val="single" w:color="000000" w:sz="12" w:space="0"/>
            <w:bottom w:val="single" w:color="auto" w:sz="4"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794" w:hRule="atLeast"/>
        </w:trPr>
        <w:tc>
          <w:tcPr>
            <w:tcW w:w="1093" w:type="dxa"/>
            <w:vAlign w:val="center"/>
          </w:tcPr>
          <w:p w14:paraId="436A4497">
            <w:pPr>
              <w:spacing w:before="143" w:beforeLines="50" w:line="360" w:lineRule="auto"/>
              <w:jc w:val="center"/>
              <w:rPr>
                <w:rFonts w:ascii="宋体"/>
                <w:color w:val="auto"/>
                <w:highlight w:val="none"/>
              </w:rPr>
            </w:pPr>
            <w:r>
              <w:rPr>
                <w:rFonts w:hint="eastAsia" w:ascii="宋体" w:hAnsi="宋体"/>
                <w:b/>
                <w:color w:val="auto"/>
                <w:highlight w:val="none"/>
                <w:lang w:eastAsia="zh-CN"/>
              </w:rPr>
              <w:t>▲</w:t>
            </w:r>
            <w:r>
              <w:rPr>
                <w:rFonts w:hint="eastAsia" w:ascii="宋体" w:hAnsi="宋体" w:cs="宋体"/>
                <w:color w:val="auto"/>
                <w:highlight w:val="none"/>
              </w:rPr>
              <w:t>4.1</w:t>
            </w:r>
          </w:p>
        </w:tc>
        <w:tc>
          <w:tcPr>
            <w:tcW w:w="7466" w:type="dxa"/>
            <w:vAlign w:val="center"/>
          </w:tcPr>
          <w:p w14:paraId="09111591">
            <w:pPr>
              <w:spacing w:line="400" w:lineRule="exact"/>
              <w:rPr>
                <w:rFonts w:ascii="宋体"/>
                <w:color w:val="auto"/>
                <w:highlight w:val="none"/>
              </w:rPr>
            </w:pPr>
            <w:r>
              <w:rPr>
                <w:rFonts w:hint="eastAsia" w:ascii="宋体" w:hAnsi="宋体"/>
                <w:color w:val="auto"/>
                <w:highlight w:val="none"/>
              </w:rPr>
              <w:t>合格投标人的资格要求（本项目采用资格后审）：详见采购公告“二、申请人的资格要求”</w:t>
            </w:r>
          </w:p>
        </w:tc>
      </w:tr>
      <w:tr w14:paraId="40931BD0">
        <w:tblPrEx>
          <w:tblBorders>
            <w:top w:val="single" w:color="000000" w:sz="12" w:space="0"/>
            <w:left w:val="single" w:color="000000" w:sz="12" w:space="0"/>
            <w:bottom w:val="single" w:color="auto" w:sz="4"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794" w:hRule="atLeast"/>
        </w:trPr>
        <w:tc>
          <w:tcPr>
            <w:tcW w:w="1093" w:type="dxa"/>
            <w:vAlign w:val="center"/>
          </w:tcPr>
          <w:p w14:paraId="02021BC1">
            <w:pPr>
              <w:spacing w:before="143" w:beforeLines="50" w:line="360" w:lineRule="auto"/>
              <w:jc w:val="center"/>
              <w:rPr>
                <w:rFonts w:ascii="宋体"/>
                <w:b/>
                <w:bCs/>
                <w:color w:val="auto"/>
                <w:highlight w:val="none"/>
              </w:rPr>
            </w:pPr>
            <w:r>
              <w:rPr>
                <w:rFonts w:hint="eastAsia" w:ascii="宋体" w:hAnsi="宋体" w:cs="宋体"/>
                <w:color w:val="auto"/>
                <w:highlight w:val="none"/>
              </w:rPr>
              <w:t>8.1</w:t>
            </w:r>
          </w:p>
        </w:tc>
        <w:tc>
          <w:tcPr>
            <w:tcW w:w="7466" w:type="dxa"/>
            <w:vAlign w:val="center"/>
          </w:tcPr>
          <w:p w14:paraId="51BA00C4">
            <w:pPr>
              <w:spacing w:line="400" w:lineRule="exact"/>
              <w:jc w:val="left"/>
              <w:rPr>
                <w:rFonts w:ascii="宋体" w:hAnsi="宋体"/>
                <w:color w:val="auto"/>
                <w:highlight w:val="none"/>
              </w:rPr>
            </w:pPr>
            <w:r>
              <w:rPr>
                <w:rFonts w:hint="eastAsia" w:ascii="宋体" w:hAnsi="宋体"/>
                <w:color w:val="auto"/>
                <w:highlight w:val="none"/>
              </w:rPr>
              <w:t>现场考察：</w:t>
            </w:r>
            <w:r>
              <w:rPr>
                <w:rFonts w:ascii="Wingdings" w:hAnsi="Wingdings"/>
                <w:color w:val="auto"/>
                <w:highlight w:val="none"/>
              </w:rPr>
              <w:sym w:font="Wingdings" w:char="00FE"/>
            </w:r>
            <w:r>
              <w:rPr>
                <w:rFonts w:hint="eastAsia" w:ascii="宋体" w:hAnsi="宋体"/>
                <w:color w:val="auto"/>
                <w:highlight w:val="none"/>
              </w:rPr>
              <w:t>不组织☐组织，时间：地点：</w:t>
            </w:r>
          </w:p>
          <w:p w14:paraId="6872EDB9">
            <w:pPr>
              <w:spacing w:line="400" w:lineRule="exact"/>
              <w:jc w:val="left"/>
              <w:rPr>
                <w:rFonts w:ascii="宋体" w:cs="宋体"/>
                <w:b/>
                <w:bCs/>
                <w:color w:val="auto"/>
                <w:highlight w:val="none"/>
              </w:rPr>
            </w:pPr>
            <w:r>
              <w:rPr>
                <w:rFonts w:hint="eastAsia" w:ascii="宋体" w:hAnsi="宋体"/>
                <w:color w:val="auto"/>
                <w:highlight w:val="none"/>
              </w:rPr>
              <w:t>答疑会：</w:t>
            </w:r>
            <w:r>
              <w:rPr>
                <w:rFonts w:ascii="Wingdings" w:hAnsi="Wingdings"/>
                <w:color w:val="auto"/>
                <w:highlight w:val="none"/>
              </w:rPr>
              <w:sym w:font="Wingdings" w:char="00FE"/>
            </w:r>
            <w:r>
              <w:rPr>
                <w:rFonts w:hint="eastAsia" w:ascii="宋体" w:hAnsi="宋体"/>
                <w:color w:val="auto"/>
                <w:highlight w:val="none"/>
              </w:rPr>
              <w:t>不组织☐组织，时间：地点：</w:t>
            </w:r>
          </w:p>
        </w:tc>
      </w:tr>
      <w:tr w14:paraId="3B61D4FF">
        <w:tblPrEx>
          <w:tblBorders>
            <w:top w:val="single" w:color="000000" w:sz="12" w:space="0"/>
            <w:left w:val="single" w:color="000000" w:sz="12" w:space="0"/>
            <w:bottom w:val="single" w:color="auto" w:sz="4"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521" w:hRule="atLeast"/>
        </w:trPr>
        <w:tc>
          <w:tcPr>
            <w:tcW w:w="1093" w:type="dxa"/>
            <w:vAlign w:val="center"/>
          </w:tcPr>
          <w:p w14:paraId="395047E3">
            <w:pPr>
              <w:spacing w:before="143" w:beforeLines="50" w:line="360" w:lineRule="auto"/>
              <w:jc w:val="center"/>
              <w:rPr>
                <w:rFonts w:ascii="宋体"/>
                <w:color w:val="auto"/>
                <w:highlight w:val="none"/>
              </w:rPr>
            </w:pPr>
            <w:r>
              <w:rPr>
                <w:rFonts w:hint="eastAsia" w:ascii="宋体" w:hAnsi="宋体"/>
                <w:b/>
                <w:color w:val="auto"/>
                <w:highlight w:val="none"/>
                <w:lang w:eastAsia="zh-CN"/>
              </w:rPr>
              <w:t>▲</w:t>
            </w:r>
            <w:r>
              <w:rPr>
                <w:rFonts w:hint="eastAsia" w:ascii="宋体" w:hAnsi="宋体" w:cs="宋体"/>
                <w:color w:val="auto"/>
                <w:highlight w:val="none"/>
              </w:rPr>
              <w:t>9.1</w:t>
            </w:r>
          </w:p>
        </w:tc>
        <w:tc>
          <w:tcPr>
            <w:tcW w:w="7466" w:type="dxa"/>
            <w:vAlign w:val="center"/>
          </w:tcPr>
          <w:p w14:paraId="46B86463">
            <w:pPr>
              <w:widowControl/>
              <w:spacing w:line="360" w:lineRule="auto"/>
              <w:rPr>
                <w:color w:val="auto"/>
                <w:highlight w:val="none"/>
              </w:rPr>
            </w:pPr>
            <w:r>
              <w:rPr>
                <w:rFonts w:hint="eastAsia"/>
                <w:color w:val="auto"/>
                <w:highlight w:val="none"/>
              </w:rPr>
              <w:t>投标文件组成：本项目实行网上投标，投标人应准备以下投标文件：</w:t>
            </w:r>
          </w:p>
          <w:p w14:paraId="4F9FB3C8">
            <w:pPr>
              <w:widowControl/>
              <w:spacing w:line="360" w:lineRule="auto"/>
              <w:jc w:val="left"/>
              <w:rPr>
                <w:color w:val="auto"/>
                <w:highlight w:val="none"/>
              </w:rPr>
            </w:pPr>
            <w:r>
              <w:rPr>
                <w:rFonts w:hint="eastAsia"/>
                <w:color w:val="auto"/>
                <w:highlight w:val="none"/>
              </w:rPr>
              <w:t>9.1.1.资格文件</w:t>
            </w:r>
          </w:p>
          <w:p w14:paraId="10864F13">
            <w:pPr>
              <w:widowControl/>
              <w:spacing w:line="360" w:lineRule="auto"/>
              <w:ind w:firstLine="420" w:firstLineChars="200"/>
              <w:jc w:val="left"/>
              <w:rPr>
                <w:color w:val="auto"/>
                <w:highlight w:val="none"/>
              </w:rPr>
            </w:pPr>
            <w:r>
              <w:rPr>
                <w:rFonts w:hint="eastAsia"/>
                <w:color w:val="auto"/>
                <w:highlight w:val="none"/>
              </w:rPr>
              <w:t>（1）符合参加政府采购活动应当具备的一般条件的承诺函；</w:t>
            </w:r>
          </w:p>
          <w:p w14:paraId="30D961FC">
            <w:pPr>
              <w:widowControl/>
              <w:spacing w:line="360" w:lineRule="auto"/>
              <w:ind w:firstLine="420" w:firstLineChars="200"/>
              <w:jc w:val="left"/>
              <w:rPr>
                <w:color w:val="auto"/>
                <w:highlight w:val="none"/>
              </w:rPr>
            </w:pPr>
            <w:r>
              <w:rPr>
                <w:rFonts w:hint="eastAsia"/>
                <w:color w:val="auto"/>
                <w:highlight w:val="none"/>
              </w:rPr>
              <w:t>（2）有效的企业法人营业执照（或事业法人登记证）、其他组织（个体工商户的营业执照或者民办非企业单位登记证书复印件。投标人如果有名称变更的，应提供由行政主管部门出具的变更证明文件；</w:t>
            </w:r>
          </w:p>
          <w:p w14:paraId="26FAD833">
            <w:pPr>
              <w:widowControl/>
              <w:spacing w:line="360" w:lineRule="auto"/>
              <w:ind w:firstLine="420" w:firstLineChars="200"/>
              <w:jc w:val="left"/>
              <w:rPr>
                <w:color w:val="auto"/>
                <w:highlight w:val="none"/>
              </w:rPr>
            </w:pPr>
            <w:r>
              <w:rPr>
                <w:rFonts w:hint="eastAsia"/>
                <w:color w:val="auto"/>
                <w:highlight w:val="none"/>
              </w:rPr>
              <w:t>（3）落实政府采购政策需满足的资格要求：</w:t>
            </w:r>
            <w:r>
              <w:rPr>
                <w:rFonts w:hint="eastAsia"/>
                <w:color w:val="auto"/>
                <w:highlight w:val="none"/>
                <w:lang w:val="en-US" w:eastAsia="zh-CN"/>
              </w:rPr>
              <w:t>无</w:t>
            </w:r>
            <w:r>
              <w:rPr>
                <w:rFonts w:hint="eastAsia"/>
                <w:color w:val="auto"/>
                <w:highlight w:val="none"/>
              </w:rPr>
              <w:t>；</w:t>
            </w:r>
          </w:p>
          <w:p w14:paraId="76D3E477">
            <w:pPr>
              <w:tabs>
                <w:tab w:val="left" w:pos="1418"/>
              </w:tabs>
              <w:spacing w:line="360" w:lineRule="auto"/>
              <w:ind w:firstLine="420" w:firstLineChars="200"/>
              <w:contextualSpacing/>
              <w:rPr>
                <w:rFonts w:hint="eastAsia"/>
                <w:color w:val="auto"/>
                <w:highlight w:val="none"/>
              </w:rPr>
            </w:pPr>
            <w:r>
              <w:rPr>
                <w:rFonts w:hint="eastAsia"/>
                <w:color w:val="auto"/>
                <w:highlight w:val="none"/>
              </w:rPr>
              <w:t>（4）投标人的特定条件的证明文件（如有）。</w:t>
            </w:r>
          </w:p>
          <w:p w14:paraId="5DB36485">
            <w:pPr>
              <w:widowControl/>
              <w:spacing w:line="360" w:lineRule="auto"/>
              <w:jc w:val="left"/>
              <w:rPr>
                <w:color w:val="auto"/>
                <w:highlight w:val="none"/>
              </w:rPr>
            </w:pPr>
            <w:r>
              <w:rPr>
                <w:rFonts w:hint="eastAsia"/>
                <w:color w:val="auto"/>
                <w:highlight w:val="none"/>
              </w:rPr>
              <w:t>9.1.2.商务技术文件</w:t>
            </w:r>
          </w:p>
          <w:p w14:paraId="2DFB3882">
            <w:pPr>
              <w:widowControl/>
              <w:spacing w:line="360" w:lineRule="auto"/>
              <w:ind w:firstLine="420" w:firstLineChars="200"/>
              <w:jc w:val="left"/>
              <w:rPr>
                <w:color w:val="auto"/>
                <w:highlight w:val="none"/>
              </w:rPr>
            </w:pPr>
            <w:r>
              <w:rPr>
                <w:rFonts w:hint="eastAsia"/>
                <w:color w:val="auto"/>
                <w:highlight w:val="none"/>
              </w:rPr>
              <w:t>（1）单位负责人的身份证明或单位负责人授权书（投标人的代表若不为单位负责人的，必须提交单位负责人授权书），并提供单位负责人和授权代表的身份证正反两面复印件；</w:t>
            </w:r>
          </w:p>
          <w:p w14:paraId="53B99D19">
            <w:pPr>
              <w:widowControl/>
              <w:spacing w:line="360" w:lineRule="auto"/>
              <w:ind w:firstLine="420" w:firstLineChars="200"/>
              <w:jc w:val="left"/>
              <w:rPr>
                <w:color w:val="auto"/>
                <w:highlight w:val="none"/>
              </w:rPr>
            </w:pPr>
            <w:r>
              <w:rPr>
                <w:rFonts w:hint="eastAsia"/>
                <w:color w:val="auto"/>
                <w:highlight w:val="none"/>
              </w:rPr>
              <w:t>（2）投标人基本情况表；</w:t>
            </w:r>
          </w:p>
          <w:p w14:paraId="0F7D2F98">
            <w:pPr>
              <w:widowControl/>
              <w:spacing w:line="360" w:lineRule="auto"/>
              <w:ind w:firstLine="420" w:firstLineChars="200"/>
              <w:jc w:val="left"/>
              <w:rPr>
                <w:color w:val="auto"/>
                <w:highlight w:val="none"/>
              </w:rPr>
            </w:pPr>
            <w:r>
              <w:rPr>
                <w:rFonts w:hint="eastAsia"/>
                <w:color w:val="auto"/>
                <w:highlight w:val="none"/>
              </w:rPr>
              <w:t>（3）技术条款偏离表；</w:t>
            </w:r>
          </w:p>
          <w:p w14:paraId="381F7992">
            <w:pPr>
              <w:widowControl/>
              <w:spacing w:line="360" w:lineRule="auto"/>
              <w:ind w:firstLine="420" w:firstLineChars="200"/>
              <w:jc w:val="left"/>
              <w:rPr>
                <w:color w:val="auto"/>
                <w:highlight w:val="none"/>
              </w:rPr>
            </w:pPr>
            <w:r>
              <w:rPr>
                <w:rFonts w:hint="eastAsia"/>
                <w:color w:val="auto"/>
                <w:highlight w:val="none"/>
              </w:rPr>
              <w:t>（4）商务条款偏离表；</w:t>
            </w:r>
          </w:p>
          <w:p w14:paraId="50CE6F53">
            <w:pPr>
              <w:widowControl/>
              <w:spacing w:line="360" w:lineRule="auto"/>
              <w:ind w:firstLine="420" w:firstLineChars="200"/>
              <w:jc w:val="left"/>
              <w:rPr>
                <w:color w:val="auto"/>
                <w:highlight w:val="none"/>
              </w:rPr>
            </w:pPr>
            <w:r>
              <w:rPr>
                <w:rFonts w:hint="eastAsia"/>
                <w:color w:val="auto"/>
                <w:highlight w:val="none"/>
              </w:rPr>
              <w:t>（5）第</w:t>
            </w:r>
            <w:r>
              <w:rPr>
                <w:rFonts w:hint="eastAsia"/>
                <w:color w:val="auto"/>
                <w:highlight w:val="none"/>
                <w:lang w:val="en-US" w:eastAsia="zh-CN"/>
              </w:rPr>
              <w:t>五</w:t>
            </w:r>
            <w:r>
              <w:rPr>
                <w:rFonts w:hint="eastAsia"/>
                <w:color w:val="auto"/>
                <w:highlight w:val="none"/>
              </w:rPr>
              <w:t>部分“评标办法”中“评分标准”要求提供的资料（如有需提供）。</w:t>
            </w:r>
          </w:p>
          <w:p w14:paraId="67B83E71">
            <w:pPr>
              <w:widowControl/>
              <w:spacing w:line="360" w:lineRule="auto"/>
              <w:jc w:val="left"/>
              <w:rPr>
                <w:color w:val="auto"/>
                <w:highlight w:val="none"/>
              </w:rPr>
            </w:pPr>
            <w:r>
              <w:rPr>
                <w:rFonts w:hint="eastAsia"/>
                <w:color w:val="auto"/>
                <w:highlight w:val="none"/>
              </w:rPr>
              <w:t>9.1.3.报价文件</w:t>
            </w:r>
          </w:p>
          <w:p w14:paraId="07C4FB58">
            <w:pPr>
              <w:tabs>
                <w:tab w:val="left" w:pos="1418"/>
              </w:tabs>
              <w:spacing w:line="360" w:lineRule="auto"/>
              <w:ind w:firstLine="420" w:firstLineChars="200"/>
              <w:contextualSpacing/>
              <w:rPr>
                <w:color w:val="auto"/>
                <w:highlight w:val="none"/>
              </w:rPr>
            </w:pPr>
            <w:r>
              <w:rPr>
                <w:rFonts w:hint="eastAsia"/>
                <w:color w:val="auto"/>
                <w:highlight w:val="none"/>
              </w:rPr>
              <w:t>（1）投标函；</w:t>
            </w:r>
          </w:p>
          <w:p w14:paraId="2E61BDE5">
            <w:pPr>
              <w:tabs>
                <w:tab w:val="left" w:pos="1418"/>
              </w:tabs>
              <w:spacing w:line="360" w:lineRule="auto"/>
              <w:ind w:firstLine="420" w:firstLineChars="200"/>
              <w:contextualSpacing/>
              <w:rPr>
                <w:color w:val="auto"/>
                <w:highlight w:val="none"/>
              </w:rPr>
            </w:pPr>
            <w:r>
              <w:rPr>
                <w:rFonts w:hint="eastAsia"/>
                <w:color w:val="auto"/>
                <w:highlight w:val="none"/>
              </w:rPr>
              <w:t>（2）开标一览表；</w:t>
            </w:r>
          </w:p>
          <w:p w14:paraId="5C3ADB7E">
            <w:pPr>
              <w:tabs>
                <w:tab w:val="left" w:pos="1418"/>
              </w:tabs>
              <w:spacing w:line="360" w:lineRule="auto"/>
              <w:ind w:firstLine="420" w:firstLineChars="200"/>
              <w:contextualSpacing/>
              <w:rPr>
                <w:rFonts w:hint="eastAsia"/>
                <w:color w:val="auto"/>
                <w:highlight w:val="none"/>
              </w:rPr>
            </w:pPr>
            <w:r>
              <w:rPr>
                <w:rFonts w:hint="eastAsia"/>
                <w:color w:val="auto"/>
                <w:highlight w:val="none"/>
              </w:rPr>
              <w:t>（3）投标分项报价表；</w:t>
            </w:r>
          </w:p>
          <w:p w14:paraId="153C51AC">
            <w:pPr>
              <w:pStyle w:val="37"/>
              <w:ind w:left="0" w:leftChars="0" w:firstLine="420" w:firstLineChars="200"/>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（4）关于符合本国产品标准的声明函或财政部会同有关部门规定的有关证明文件（如有）；</w:t>
            </w:r>
          </w:p>
          <w:p w14:paraId="3451A09E">
            <w:pPr>
              <w:tabs>
                <w:tab w:val="left" w:pos="1418"/>
              </w:tabs>
              <w:spacing w:line="360" w:lineRule="auto"/>
              <w:ind w:firstLine="420" w:firstLineChars="200"/>
              <w:contextualSpacing/>
              <w:rPr>
                <w:rFonts w:hint="eastAsia"/>
                <w:color w:val="auto"/>
                <w:highlight w:val="none"/>
              </w:rPr>
            </w:pPr>
            <w:r>
              <w:rPr>
                <w:rFonts w:hint="eastAsia"/>
                <w:color w:val="auto"/>
                <w:highlight w:val="none"/>
              </w:rPr>
              <w:t>（</w:t>
            </w:r>
            <w:r>
              <w:rPr>
                <w:rFonts w:hint="eastAsia"/>
                <w:color w:val="auto"/>
                <w:highlight w:val="none"/>
                <w:lang w:val="en-US" w:eastAsia="zh-CN"/>
              </w:rPr>
              <w:t>5</w:t>
            </w:r>
            <w:r>
              <w:rPr>
                <w:rFonts w:hint="eastAsia"/>
                <w:color w:val="auto"/>
                <w:highlight w:val="none"/>
              </w:rPr>
              <w:t>）享受政府采购价格优惠政策需提供的证明资料（如有）。</w:t>
            </w:r>
          </w:p>
          <w:p w14:paraId="44706E8C">
            <w:pPr>
              <w:widowControl/>
              <w:spacing w:line="360" w:lineRule="auto"/>
              <w:ind w:firstLine="420" w:firstLineChars="200"/>
              <w:jc w:val="left"/>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附件1：中小企业声明函</w:t>
            </w:r>
          </w:p>
          <w:p w14:paraId="101A79CB">
            <w:pPr>
              <w:widowControl/>
              <w:spacing w:line="360" w:lineRule="auto"/>
              <w:ind w:firstLine="420" w:firstLineChars="200"/>
              <w:jc w:val="left"/>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附件2：残疾人福利性单位声明函</w:t>
            </w:r>
          </w:p>
          <w:p w14:paraId="4843DE56">
            <w:pPr>
              <w:widowControl/>
              <w:spacing w:line="360" w:lineRule="auto"/>
              <w:ind w:firstLine="420" w:firstLineChars="200"/>
              <w:jc w:val="left"/>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附件3：关于符合本国产品标准的声明函</w:t>
            </w:r>
          </w:p>
          <w:p w14:paraId="2E126F47">
            <w:pPr>
              <w:widowControl/>
              <w:spacing w:line="360" w:lineRule="auto"/>
              <w:jc w:val="left"/>
              <w:rPr>
                <w:color w:val="auto"/>
                <w:highlight w:val="none"/>
              </w:rPr>
            </w:pPr>
            <w:r>
              <w:rPr>
                <w:rFonts w:hint="eastAsia"/>
                <w:color w:val="auto"/>
                <w:highlight w:val="none"/>
              </w:rPr>
              <w:t>9.1.4.注意事项</w:t>
            </w:r>
          </w:p>
          <w:p w14:paraId="0C63EA6B">
            <w:pPr>
              <w:widowControl/>
              <w:spacing w:line="360" w:lineRule="auto"/>
              <w:jc w:val="left"/>
              <w:rPr>
                <w:color w:val="auto"/>
                <w:highlight w:val="none"/>
              </w:rPr>
            </w:pPr>
            <w:r>
              <w:rPr>
                <w:rFonts w:hint="eastAsia"/>
                <w:color w:val="auto"/>
                <w:highlight w:val="none"/>
                <w:lang w:eastAsia="zh-CN"/>
              </w:rPr>
              <w:t>▲</w:t>
            </w:r>
            <w:r>
              <w:rPr>
                <w:rFonts w:hint="eastAsia"/>
                <w:color w:val="auto"/>
                <w:highlight w:val="none"/>
              </w:rPr>
              <w:t>（1）电子投标文件中所须加盖公章部分均采用CA签章。</w:t>
            </w:r>
          </w:p>
          <w:p w14:paraId="536A65B4">
            <w:pPr>
              <w:numPr>
                <w:ilvl w:val="0"/>
                <w:numId w:val="3"/>
              </w:numPr>
              <w:spacing w:line="400" w:lineRule="exact"/>
              <w:rPr>
                <w:rFonts w:ascii="宋体" w:hAnsi="宋体" w:cs="宋体"/>
                <w:b/>
                <w:bCs/>
                <w:color w:val="auto"/>
                <w:highlight w:val="none"/>
              </w:rPr>
            </w:pPr>
            <w:r>
              <w:rPr>
                <w:rFonts w:hint="eastAsia"/>
                <w:color w:val="auto"/>
                <w:highlight w:val="none"/>
              </w:rPr>
              <w:t>上述组成投标文件的各项资料中本招标文件的有规定格式的，应统一按本招标文件的规定格式填写。未有规定格式的资料，投标人应自行编制，但至少要包含以上要求的内容。</w:t>
            </w:r>
          </w:p>
        </w:tc>
      </w:tr>
      <w:tr w14:paraId="3370A76A">
        <w:tblPrEx>
          <w:tblBorders>
            <w:top w:val="single" w:color="000000" w:sz="12" w:space="0"/>
            <w:left w:val="single" w:color="000000" w:sz="12" w:space="0"/>
            <w:bottom w:val="single" w:color="auto" w:sz="4"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54" w:hRule="atLeast"/>
        </w:trPr>
        <w:tc>
          <w:tcPr>
            <w:tcW w:w="1093" w:type="dxa"/>
            <w:vAlign w:val="center"/>
          </w:tcPr>
          <w:p w14:paraId="4BB600DD">
            <w:pPr>
              <w:spacing w:before="143" w:beforeLines="50" w:line="360" w:lineRule="auto"/>
              <w:jc w:val="center"/>
              <w:rPr>
                <w:rFonts w:ascii="宋体"/>
                <w:color w:val="auto"/>
                <w:highlight w:val="none"/>
              </w:rPr>
            </w:pPr>
            <w:r>
              <w:rPr>
                <w:rFonts w:hint="eastAsia" w:ascii="宋体" w:hAnsi="宋体"/>
                <w:b/>
                <w:color w:val="auto"/>
                <w:highlight w:val="none"/>
                <w:lang w:eastAsia="zh-CN"/>
              </w:rPr>
              <w:t>▲</w:t>
            </w:r>
            <w:r>
              <w:rPr>
                <w:rFonts w:hint="eastAsia" w:ascii="宋体" w:hAnsi="宋体" w:cs="宋体"/>
                <w:color w:val="auto"/>
                <w:highlight w:val="none"/>
              </w:rPr>
              <w:t>10.1</w:t>
            </w:r>
          </w:p>
        </w:tc>
        <w:tc>
          <w:tcPr>
            <w:tcW w:w="7466" w:type="dxa"/>
            <w:vAlign w:val="center"/>
          </w:tcPr>
          <w:p w14:paraId="1C5603D1">
            <w:pPr>
              <w:spacing w:line="400" w:lineRule="exact"/>
              <w:rPr>
                <w:rFonts w:hint="eastAsia" w:cs="宋体"/>
                <w:bCs/>
                <w:color w:val="auto"/>
                <w:highlight w:val="none"/>
              </w:rPr>
            </w:pPr>
            <w:r>
              <w:rPr>
                <w:rFonts w:hint="eastAsia" w:ascii="宋体" w:hAnsi="宋体" w:cs="宋体"/>
                <w:color w:val="auto"/>
                <w:highlight w:val="none"/>
              </w:rPr>
              <w:t>投标报价应是招标文件所确定的招标范围内全部工作内容的价格表现，</w:t>
            </w:r>
            <w:r>
              <w:rPr>
                <w:rFonts w:hint="eastAsia" w:cs="宋体"/>
                <w:bCs/>
                <w:color w:val="auto"/>
                <w:highlight w:val="none"/>
              </w:rPr>
              <w:t>包括但不限于</w:t>
            </w:r>
            <w:r>
              <w:rPr>
                <w:rFonts w:hint="eastAsia" w:cs="宋体"/>
                <w:bCs/>
                <w:color w:val="auto"/>
                <w:highlight w:val="none"/>
                <w:u w:val="single"/>
              </w:rPr>
              <w:t>设备费、软件服务费、系统对接费、备品备件费、专用工具费、人工差旅费、运输及保险费、安装调试费、售后服务费用、产品检测费用、培训费、税费、代理服务费等一切费用</w:t>
            </w:r>
            <w:r>
              <w:rPr>
                <w:rFonts w:hint="eastAsia" w:cs="宋体"/>
                <w:bCs/>
                <w:color w:val="auto"/>
                <w:highlight w:val="none"/>
              </w:rPr>
              <w:t>。</w:t>
            </w:r>
          </w:p>
          <w:p w14:paraId="6BF972A8">
            <w:pPr>
              <w:spacing w:line="400" w:lineRule="exact"/>
              <w:rPr>
                <w:rFonts w:ascii="宋体" w:hAnsi="宋体" w:cs="宋体"/>
                <w:color w:val="auto"/>
                <w:highlight w:val="none"/>
              </w:rPr>
            </w:pPr>
            <w:r>
              <w:rPr>
                <w:rFonts w:hint="eastAsia" w:ascii="宋体" w:hAnsi="宋体" w:cs="宋体"/>
                <w:color w:val="auto"/>
                <w:highlight w:val="none"/>
              </w:rPr>
              <w:t>投标人应承担其参加本招标活动自身所发生的费用。项目实施过程中可能发生的风险和费用均由中标人承担。</w:t>
            </w:r>
          </w:p>
        </w:tc>
      </w:tr>
      <w:tr w14:paraId="498F843C">
        <w:tblPrEx>
          <w:tblBorders>
            <w:top w:val="single" w:color="000000" w:sz="12" w:space="0"/>
            <w:left w:val="single" w:color="000000" w:sz="12" w:space="0"/>
            <w:bottom w:val="single" w:color="auto" w:sz="4"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794" w:hRule="atLeast"/>
        </w:trPr>
        <w:tc>
          <w:tcPr>
            <w:tcW w:w="1093" w:type="dxa"/>
            <w:vAlign w:val="center"/>
          </w:tcPr>
          <w:p w14:paraId="5CC2B199">
            <w:pPr>
              <w:spacing w:before="143" w:beforeLines="50" w:line="360" w:lineRule="auto"/>
              <w:jc w:val="center"/>
              <w:rPr>
                <w:rFonts w:ascii="宋体"/>
                <w:color w:val="auto"/>
                <w:highlight w:val="none"/>
              </w:rPr>
            </w:pPr>
            <w:r>
              <w:rPr>
                <w:rFonts w:hint="eastAsia" w:ascii="宋体" w:cs="宋体"/>
                <w:b/>
                <w:bCs/>
                <w:color w:val="auto"/>
                <w:highlight w:val="none"/>
                <w:lang w:eastAsia="zh-CN"/>
              </w:rPr>
              <w:t>▲</w:t>
            </w:r>
            <w:r>
              <w:rPr>
                <w:rFonts w:hint="eastAsia" w:ascii="宋体" w:hAnsi="宋体" w:cs="宋体"/>
                <w:color w:val="auto"/>
                <w:highlight w:val="none"/>
              </w:rPr>
              <w:t>10</w:t>
            </w:r>
            <w:r>
              <w:rPr>
                <w:rFonts w:ascii="宋体" w:hAnsi="宋体" w:cs="宋体"/>
                <w:color w:val="auto"/>
                <w:highlight w:val="none"/>
              </w:rPr>
              <w:t>.</w:t>
            </w:r>
            <w:r>
              <w:rPr>
                <w:rFonts w:hint="eastAsia" w:ascii="宋体" w:hAnsi="宋体" w:cs="宋体"/>
                <w:color w:val="auto"/>
                <w:highlight w:val="none"/>
              </w:rPr>
              <w:t>5</w:t>
            </w:r>
          </w:p>
        </w:tc>
        <w:tc>
          <w:tcPr>
            <w:tcW w:w="7466" w:type="dxa"/>
            <w:vAlign w:val="center"/>
          </w:tcPr>
          <w:p w14:paraId="3D1E8078">
            <w:pPr>
              <w:spacing w:line="400" w:lineRule="exact"/>
              <w:rPr>
                <w:rFonts w:ascii="宋体"/>
                <w:b/>
                <w:bCs/>
                <w:color w:val="auto"/>
                <w:highlight w:val="none"/>
              </w:rPr>
            </w:pPr>
            <w:r>
              <w:rPr>
                <w:rFonts w:hint="eastAsia" w:ascii="宋体" w:hAnsi="宋体" w:cs="宋体"/>
                <w:b/>
                <w:bCs/>
                <w:color w:val="auto"/>
                <w:highlight w:val="none"/>
              </w:rPr>
              <w:t>本项目采用最高投标限价，超过最高限价的投标将被判定为无效投标。</w:t>
            </w:r>
          </w:p>
          <w:p w14:paraId="452767F0">
            <w:pPr>
              <w:spacing w:line="400" w:lineRule="exact"/>
              <w:rPr>
                <w:rFonts w:hint="eastAsia" w:ascii="宋体" w:eastAsia="宋体"/>
                <w:b/>
                <w:bCs/>
                <w:color w:val="auto"/>
                <w:highlight w:val="none"/>
                <w:lang w:eastAsia="zh-CN"/>
              </w:rPr>
            </w:pPr>
            <w:r>
              <w:rPr>
                <w:rFonts w:hint="eastAsia" w:ascii="宋体" w:hAnsi="宋体" w:cs="宋体"/>
                <w:b/>
                <w:bCs/>
                <w:color w:val="auto"/>
                <w:highlight w:val="none"/>
              </w:rPr>
              <w:t>本项目最高限价为</w:t>
            </w:r>
            <w:r>
              <w:rPr>
                <w:rFonts w:hint="eastAsia" w:ascii="宋体" w:hAnsi="宋体" w:cs="宋体"/>
                <w:b/>
                <w:bCs/>
                <w:color w:val="auto"/>
                <w:highlight w:val="none"/>
                <w:u w:val="single"/>
                <w:lang w:eastAsia="zh-CN"/>
              </w:rPr>
              <w:t>600000</w:t>
            </w:r>
            <w:r>
              <w:rPr>
                <w:rFonts w:hint="eastAsia" w:ascii="宋体" w:hAnsi="宋体" w:cs="宋体"/>
                <w:b/>
                <w:bCs/>
                <w:color w:val="auto"/>
                <w:highlight w:val="none"/>
                <w:u w:val="single"/>
              </w:rPr>
              <w:t>元</w:t>
            </w:r>
            <w:r>
              <w:rPr>
                <w:rFonts w:hint="eastAsia" w:ascii="宋体" w:hAnsi="宋体" w:cs="宋体"/>
                <w:b/>
                <w:bCs/>
                <w:color w:val="auto"/>
                <w:highlight w:val="none"/>
                <w:lang w:eastAsia="zh-CN"/>
              </w:rPr>
              <w:t>；</w:t>
            </w:r>
          </w:p>
        </w:tc>
      </w:tr>
      <w:tr w14:paraId="6E32554D">
        <w:tblPrEx>
          <w:tblBorders>
            <w:top w:val="single" w:color="000000" w:sz="12" w:space="0"/>
            <w:left w:val="single" w:color="000000" w:sz="12" w:space="0"/>
            <w:bottom w:val="single" w:color="auto" w:sz="4"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51" w:hRule="atLeast"/>
        </w:trPr>
        <w:tc>
          <w:tcPr>
            <w:tcW w:w="1093" w:type="dxa"/>
            <w:vAlign w:val="center"/>
          </w:tcPr>
          <w:p w14:paraId="777CD3E4">
            <w:pPr>
              <w:spacing w:before="143" w:beforeLines="50" w:line="360" w:lineRule="auto"/>
              <w:jc w:val="center"/>
              <w:rPr>
                <w:rFonts w:ascii="宋体"/>
                <w:color w:val="auto"/>
                <w:highlight w:val="none"/>
              </w:rPr>
            </w:pPr>
            <w:r>
              <w:rPr>
                <w:rFonts w:hint="eastAsia" w:ascii="宋体" w:hAnsi="宋体" w:cs="宋体"/>
                <w:color w:val="auto"/>
                <w:highlight w:val="none"/>
              </w:rPr>
              <w:t>11.3</w:t>
            </w:r>
          </w:p>
        </w:tc>
        <w:tc>
          <w:tcPr>
            <w:tcW w:w="7466" w:type="dxa"/>
            <w:vAlign w:val="center"/>
          </w:tcPr>
          <w:p w14:paraId="5336FD79">
            <w:pPr>
              <w:widowControl/>
              <w:spacing w:line="400" w:lineRule="exact"/>
              <w:rPr>
                <w:rFonts w:cs="宋体" w:asciiTheme="minorEastAsia" w:hAnsiTheme="minorEastAsia" w:eastAsiaTheme="minorEastAsia"/>
                <w:b/>
                <w:color w:val="auto"/>
                <w:highlight w:val="none"/>
              </w:rPr>
            </w:pPr>
            <w:r>
              <w:rPr>
                <w:rFonts w:hint="eastAsia" w:cs="宋体" w:asciiTheme="minorEastAsia" w:hAnsiTheme="minorEastAsia" w:eastAsiaTheme="minorEastAsia"/>
                <w:b/>
                <w:color w:val="auto"/>
                <w:highlight w:val="none"/>
              </w:rPr>
              <w:t>投标文件数量要求：</w:t>
            </w:r>
          </w:p>
          <w:p w14:paraId="444E5BB3">
            <w:pPr>
              <w:widowControl/>
              <w:spacing w:line="400" w:lineRule="exact"/>
              <w:rPr>
                <w:rFonts w:cs="宋体" w:asciiTheme="minorEastAsia" w:hAnsiTheme="minorEastAsia" w:eastAsiaTheme="minorEastAsia"/>
                <w:color w:val="auto"/>
                <w:kern w:val="0"/>
                <w:sz w:val="24"/>
                <w:highlight w:val="none"/>
              </w:rPr>
            </w:pPr>
            <w:r>
              <w:rPr>
                <w:rFonts w:hint="eastAsia" w:ascii="宋体" w:hAnsi="宋体" w:eastAsiaTheme="minorEastAsia"/>
                <w:b/>
                <w:color w:val="auto"/>
                <w:highlight w:val="none"/>
                <w:lang w:eastAsia="zh-CN"/>
              </w:rPr>
              <w:t>▲</w:t>
            </w:r>
            <w:r>
              <w:rPr>
                <w:rFonts w:hint="eastAsia" w:cs="宋体" w:asciiTheme="minorEastAsia" w:hAnsiTheme="minorEastAsia" w:eastAsiaTheme="minorEastAsia"/>
                <w:color w:val="auto"/>
                <w:kern w:val="0"/>
                <w:highlight w:val="none"/>
              </w:rPr>
              <w:t>1、上传到政府采购云平台的电子投标文件（含资格文件1份、商务技术文件1份、报价文件1份）。</w:t>
            </w:r>
          </w:p>
          <w:p w14:paraId="0D7D8053">
            <w:pPr>
              <w:widowControl/>
              <w:spacing w:line="400" w:lineRule="exact"/>
              <w:rPr>
                <w:rFonts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kern w:val="0"/>
                <w:highlight w:val="none"/>
              </w:rPr>
              <w:t>2、以U盘形式存储的电子备份投标文件（含资格文件1份、商务技术文件1份、报价文件1份）。</w:t>
            </w:r>
          </w:p>
          <w:p w14:paraId="43DE1346">
            <w:pPr>
              <w:widowControl/>
              <w:spacing w:line="400" w:lineRule="exact"/>
              <w:rPr>
                <w:rFonts w:cs="宋体" w:asciiTheme="minorEastAsia" w:hAnsiTheme="minorEastAsia" w:eastAsiaTheme="minorEastAsia"/>
                <w:color w:val="auto"/>
                <w:kern w:val="0"/>
                <w:highlight w:val="none"/>
              </w:rPr>
            </w:pPr>
            <w:r>
              <w:rPr>
                <w:rFonts w:hint="eastAsia" w:cs="宋体" w:asciiTheme="minorEastAsia" w:hAnsiTheme="minorEastAsia" w:eastAsiaTheme="minorEastAsia"/>
                <w:b/>
                <w:bCs/>
                <w:color w:val="auto"/>
                <w:kern w:val="0"/>
                <w:highlight w:val="none"/>
              </w:rPr>
              <w:t>注：（1）电子备份投标文件不作实质性要求，是否提交由投标人自行决定。</w:t>
            </w:r>
          </w:p>
        </w:tc>
      </w:tr>
      <w:tr w14:paraId="13DBF068">
        <w:tblPrEx>
          <w:tblBorders>
            <w:top w:val="single" w:color="000000" w:sz="12" w:space="0"/>
            <w:left w:val="single" w:color="000000" w:sz="12" w:space="0"/>
            <w:bottom w:val="single" w:color="auto" w:sz="4"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72" w:hRule="atLeast"/>
        </w:trPr>
        <w:tc>
          <w:tcPr>
            <w:tcW w:w="1093" w:type="dxa"/>
            <w:vAlign w:val="center"/>
          </w:tcPr>
          <w:p w14:paraId="799D435B">
            <w:pPr>
              <w:spacing w:before="143" w:beforeLines="50" w:line="360" w:lineRule="auto"/>
              <w:jc w:val="center"/>
              <w:rPr>
                <w:rFonts w:ascii="宋体"/>
                <w:color w:val="auto"/>
                <w:highlight w:val="none"/>
              </w:rPr>
            </w:pPr>
            <w:r>
              <w:rPr>
                <w:rFonts w:hint="eastAsia" w:ascii="宋体" w:hAnsi="宋体" w:cs="宋体"/>
                <w:color w:val="auto"/>
                <w:highlight w:val="none"/>
              </w:rPr>
              <w:t>12.1</w:t>
            </w:r>
          </w:p>
        </w:tc>
        <w:tc>
          <w:tcPr>
            <w:tcW w:w="7466" w:type="dxa"/>
            <w:vAlign w:val="center"/>
          </w:tcPr>
          <w:p w14:paraId="192AD819">
            <w:pPr>
              <w:spacing w:line="400" w:lineRule="exact"/>
              <w:rPr>
                <w:rFonts w:ascii="宋体"/>
                <w:color w:val="auto"/>
                <w:highlight w:val="none"/>
              </w:rPr>
            </w:pPr>
            <w:r>
              <w:rPr>
                <w:rFonts w:hint="eastAsia" w:ascii="宋体" w:hAnsi="宋体" w:cs="宋体"/>
                <w:b/>
                <w:bCs/>
                <w:color w:val="auto"/>
                <w:highlight w:val="none"/>
              </w:rPr>
              <w:t>投标有效期</w:t>
            </w:r>
            <w:r>
              <w:rPr>
                <w:rFonts w:hint="eastAsia" w:ascii="宋体" w:hAnsi="宋体" w:cs="宋体"/>
                <w:color w:val="auto"/>
                <w:highlight w:val="none"/>
              </w:rPr>
              <w:t>：</w:t>
            </w:r>
            <w:r>
              <w:rPr>
                <w:rFonts w:ascii="宋体" w:hAnsi="宋体" w:cs="宋体"/>
                <w:color w:val="auto"/>
                <w:highlight w:val="none"/>
              </w:rPr>
              <w:t>90</w:t>
            </w:r>
            <w:r>
              <w:rPr>
                <w:rFonts w:hint="eastAsia" w:ascii="宋体" w:hAnsi="宋体" w:cs="宋体"/>
                <w:color w:val="auto"/>
                <w:highlight w:val="none"/>
              </w:rPr>
              <w:t>天</w:t>
            </w:r>
          </w:p>
        </w:tc>
      </w:tr>
      <w:tr w14:paraId="648CC75A">
        <w:tblPrEx>
          <w:tblBorders>
            <w:top w:val="single" w:color="000000" w:sz="12" w:space="0"/>
            <w:left w:val="single" w:color="000000" w:sz="12" w:space="0"/>
            <w:bottom w:val="single" w:color="auto" w:sz="4"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72" w:hRule="atLeast"/>
        </w:trPr>
        <w:tc>
          <w:tcPr>
            <w:tcW w:w="1093" w:type="dxa"/>
            <w:vAlign w:val="center"/>
          </w:tcPr>
          <w:p w14:paraId="04A201A8">
            <w:pPr>
              <w:spacing w:before="143" w:beforeLines="50" w:line="360" w:lineRule="auto"/>
              <w:jc w:val="center"/>
              <w:rPr>
                <w:rFonts w:ascii="宋体"/>
                <w:color w:val="auto"/>
                <w:highlight w:val="none"/>
              </w:rPr>
            </w:pPr>
            <w:r>
              <w:rPr>
                <w:rFonts w:ascii="宋体" w:hAnsi="宋体" w:cs="宋体"/>
                <w:color w:val="auto"/>
                <w:highlight w:val="none"/>
              </w:rPr>
              <w:t>1</w:t>
            </w:r>
            <w:r>
              <w:rPr>
                <w:rFonts w:hint="eastAsia" w:ascii="宋体" w:hAnsi="宋体" w:cs="宋体"/>
                <w:color w:val="auto"/>
                <w:highlight w:val="none"/>
              </w:rPr>
              <w:t>3</w:t>
            </w:r>
            <w:r>
              <w:rPr>
                <w:rFonts w:ascii="宋体" w:hAnsi="宋体" w:cs="宋体"/>
                <w:color w:val="auto"/>
                <w:highlight w:val="none"/>
              </w:rPr>
              <w:t>.1</w:t>
            </w:r>
          </w:p>
        </w:tc>
        <w:tc>
          <w:tcPr>
            <w:tcW w:w="7466" w:type="dxa"/>
            <w:vAlign w:val="center"/>
          </w:tcPr>
          <w:p w14:paraId="5CA21A77">
            <w:pPr>
              <w:spacing w:line="400" w:lineRule="exact"/>
              <w:rPr>
                <w:rFonts w:ascii="宋体"/>
                <w:b/>
                <w:bCs/>
                <w:color w:val="auto"/>
                <w:highlight w:val="none"/>
              </w:rPr>
            </w:pPr>
            <w:r>
              <w:rPr>
                <w:rFonts w:hint="eastAsia" w:ascii="宋体" w:hAnsi="宋体" w:cs="宋体"/>
                <w:b/>
                <w:bCs/>
                <w:color w:val="auto"/>
                <w:highlight w:val="none"/>
              </w:rPr>
              <w:t>投标保证金金额：</w:t>
            </w:r>
            <w:r>
              <w:rPr>
                <w:rFonts w:hint="eastAsia" w:ascii="宋体" w:hAnsi="宋体" w:cs="宋体"/>
                <w:color w:val="auto"/>
                <w:highlight w:val="none"/>
              </w:rPr>
              <w:t>无</w:t>
            </w:r>
            <w:r>
              <w:rPr>
                <w:rFonts w:hint="eastAsia" w:ascii="宋体" w:hAnsi="宋体" w:cs="宋体"/>
                <w:b/>
                <w:bCs/>
                <w:color w:val="auto"/>
                <w:highlight w:val="none"/>
              </w:rPr>
              <w:t>。</w:t>
            </w:r>
          </w:p>
        </w:tc>
      </w:tr>
      <w:tr w14:paraId="296B0EFC">
        <w:tblPrEx>
          <w:tblBorders>
            <w:top w:val="single" w:color="000000" w:sz="12" w:space="0"/>
            <w:left w:val="single" w:color="000000" w:sz="12" w:space="0"/>
            <w:bottom w:val="single" w:color="auto" w:sz="4"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72" w:hRule="atLeast"/>
        </w:trPr>
        <w:tc>
          <w:tcPr>
            <w:tcW w:w="1093" w:type="dxa"/>
            <w:vAlign w:val="center"/>
          </w:tcPr>
          <w:p w14:paraId="1BF7343E">
            <w:pPr>
              <w:spacing w:before="143" w:beforeLines="50" w:line="360" w:lineRule="auto"/>
              <w:jc w:val="center"/>
              <w:rPr>
                <w:rFonts w:ascii="宋体"/>
                <w:color w:val="auto"/>
                <w:highlight w:val="none"/>
              </w:rPr>
            </w:pPr>
            <w:r>
              <w:rPr>
                <w:rFonts w:ascii="宋体" w:hAnsi="宋体" w:cs="宋体"/>
                <w:color w:val="auto"/>
                <w:highlight w:val="none"/>
              </w:rPr>
              <w:t>1</w:t>
            </w:r>
            <w:r>
              <w:rPr>
                <w:rFonts w:hint="eastAsia" w:ascii="宋体" w:hAnsi="宋体" w:cs="宋体"/>
                <w:color w:val="auto"/>
                <w:highlight w:val="none"/>
              </w:rPr>
              <w:t>5</w:t>
            </w:r>
            <w:r>
              <w:rPr>
                <w:rFonts w:ascii="宋体" w:hAnsi="宋体" w:cs="宋体"/>
                <w:color w:val="auto"/>
                <w:highlight w:val="none"/>
              </w:rPr>
              <w:t>.1</w:t>
            </w:r>
          </w:p>
        </w:tc>
        <w:tc>
          <w:tcPr>
            <w:tcW w:w="7466" w:type="dxa"/>
            <w:vAlign w:val="center"/>
          </w:tcPr>
          <w:p w14:paraId="023F64C7">
            <w:pPr>
              <w:spacing w:line="400" w:lineRule="exact"/>
              <w:rPr>
                <w:rFonts w:hint="default" w:ascii="宋体" w:eastAsia="宋体"/>
                <w:color w:val="auto"/>
                <w:highlight w:val="none"/>
                <w:lang w:val="en-US" w:eastAsia="zh-CN"/>
              </w:rPr>
            </w:pPr>
            <w:r>
              <w:rPr>
                <w:rFonts w:hint="eastAsia" w:ascii="宋体" w:hAnsi="宋体" w:cs="宋体"/>
                <w:color w:val="auto"/>
                <w:highlight w:val="none"/>
                <w:u w:val="none"/>
              </w:rPr>
              <w:t>投标截止时间：</w:t>
            </w:r>
            <w:r>
              <w:rPr>
                <w:rFonts w:hint="eastAsia" w:ascii="宋体" w:hAnsi="宋体" w:cs="宋体"/>
                <w:color w:val="auto"/>
                <w:highlight w:val="none"/>
                <w:u w:val="none"/>
                <w:lang w:val="en-US" w:eastAsia="zh-CN"/>
              </w:rPr>
              <w:t>同招标公告。</w:t>
            </w:r>
          </w:p>
        </w:tc>
      </w:tr>
      <w:tr w14:paraId="7D87D019">
        <w:tblPrEx>
          <w:tblBorders>
            <w:top w:val="single" w:color="000000" w:sz="12" w:space="0"/>
            <w:left w:val="single" w:color="000000" w:sz="12" w:space="0"/>
            <w:bottom w:val="single" w:color="auto" w:sz="4"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72" w:hRule="atLeast"/>
        </w:trPr>
        <w:tc>
          <w:tcPr>
            <w:tcW w:w="1093" w:type="dxa"/>
            <w:vAlign w:val="center"/>
          </w:tcPr>
          <w:p w14:paraId="27FC90CE">
            <w:pPr>
              <w:spacing w:line="380" w:lineRule="exact"/>
              <w:jc w:val="center"/>
              <w:rPr>
                <w:rFonts w:ascii="宋体" w:hAnsi="宋体" w:cs="宋体"/>
                <w:color w:val="auto"/>
                <w:highlight w:val="none"/>
              </w:rPr>
            </w:pPr>
            <w:r>
              <w:rPr>
                <w:rFonts w:hint="eastAsia" w:ascii="宋体" w:hAnsi="宋体" w:cs="宋体"/>
                <w:color w:val="auto"/>
                <w:szCs w:val="21"/>
                <w:highlight w:val="none"/>
              </w:rPr>
              <w:t>28.1</w:t>
            </w:r>
          </w:p>
        </w:tc>
        <w:tc>
          <w:tcPr>
            <w:tcW w:w="7466" w:type="dxa"/>
            <w:vAlign w:val="center"/>
          </w:tcPr>
          <w:p w14:paraId="6CE93CC5">
            <w:pPr>
              <w:spacing w:line="380" w:lineRule="exact"/>
              <w:jc w:val="left"/>
              <w:rPr>
                <w:rFonts w:hint="eastAsia" w:ascii="宋体" w:hAnsi="宋体" w:cs="宋体"/>
                <w:color w:val="auto"/>
                <w:highlight w:val="none"/>
              </w:rPr>
            </w:pPr>
            <w:r>
              <w:rPr>
                <w:rFonts w:hint="eastAsia" w:ascii="宋体" w:hAnsi="宋体" w:eastAsia="宋体" w:cs="宋体"/>
                <w:bCs/>
                <w:color w:val="auto"/>
                <w:sz w:val="21"/>
                <w:szCs w:val="21"/>
                <w:highlight w:val="none"/>
                <w:lang w:val="en-US" w:eastAsia="zh-CN"/>
              </w:rPr>
              <w:t>招标代理费：暂按采购预算</w:t>
            </w:r>
            <w:r>
              <w:rPr>
                <w:rFonts w:hint="eastAsia" w:ascii="宋体" w:hAnsi="宋体" w:cs="宋体"/>
                <w:bCs/>
                <w:color w:val="auto"/>
                <w:sz w:val="21"/>
                <w:szCs w:val="21"/>
                <w:highlight w:val="none"/>
                <w:lang w:val="en-US" w:eastAsia="zh-CN"/>
              </w:rPr>
              <w:t>60</w:t>
            </w:r>
            <w:r>
              <w:rPr>
                <w:rFonts w:hint="eastAsia" w:ascii="宋体" w:hAnsi="宋体" w:eastAsia="宋体" w:cs="宋体"/>
                <w:bCs/>
                <w:color w:val="auto"/>
                <w:sz w:val="21"/>
                <w:szCs w:val="21"/>
                <w:highlight w:val="none"/>
                <w:lang w:val="en-US" w:eastAsia="zh-CN"/>
              </w:rPr>
              <w:t>万元作为计费基数计算,结算以中标单位的中标价作为计费基数，招标代理费按照《宁波市招标(采购)代理服务收费标准指引》货物类收费标准结合</w:t>
            </w:r>
            <w:r>
              <w:rPr>
                <w:rFonts w:hint="eastAsia" w:ascii="宋体" w:hAnsi="宋体" w:cs="宋体"/>
                <w:bCs/>
                <w:color w:val="auto"/>
                <w:sz w:val="21"/>
                <w:szCs w:val="21"/>
                <w:highlight w:val="none"/>
                <w:lang w:val="en-US" w:eastAsia="zh-CN"/>
              </w:rPr>
              <w:t>中选价格</w:t>
            </w:r>
            <w:r>
              <w:rPr>
                <w:rFonts w:hint="eastAsia" w:ascii="宋体" w:hAnsi="宋体" w:eastAsia="宋体" w:cs="宋体"/>
                <w:bCs/>
                <w:color w:val="auto"/>
                <w:sz w:val="21"/>
                <w:szCs w:val="21"/>
                <w:highlight w:val="none"/>
                <w:lang w:val="en-US" w:eastAsia="zh-CN"/>
              </w:rPr>
              <w:t>8640元计取，专家费由采购人支付，招标费用由中标人支付。</w:t>
            </w:r>
          </w:p>
        </w:tc>
      </w:tr>
      <w:tr w14:paraId="2B11BFCB">
        <w:tblPrEx>
          <w:tblBorders>
            <w:top w:val="single" w:color="000000" w:sz="12" w:space="0"/>
            <w:left w:val="single" w:color="000000" w:sz="12" w:space="0"/>
            <w:bottom w:val="single" w:color="auto" w:sz="4"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334" w:hRule="atLeast"/>
        </w:trPr>
        <w:tc>
          <w:tcPr>
            <w:tcW w:w="1093" w:type="dxa"/>
            <w:vAlign w:val="center"/>
          </w:tcPr>
          <w:p w14:paraId="5955233B">
            <w:pPr>
              <w:spacing w:before="143" w:beforeLines="50" w:line="360" w:lineRule="auto"/>
              <w:jc w:val="center"/>
              <w:rPr>
                <w:rFonts w:ascii="宋体"/>
                <w:color w:val="auto"/>
                <w:highlight w:val="none"/>
              </w:rPr>
            </w:pPr>
            <w:r>
              <w:rPr>
                <w:rFonts w:hint="eastAsia" w:ascii="宋体" w:hAnsi="宋体" w:cs="宋体"/>
                <w:color w:val="auto"/>
                <w:highlight w:val="none"/>
              </w:rPr>
              <w:t>29</w:t>
            </w:r>
          </w:p>
        </w:tc>
        <w:tc>
          <w:tcPr>
            <w:tcW w:w="7466" w:type="dxa"/>
            <w:vAlign w:val="center"/>
          </w:tcPr>
          <w:p w14:paraId="274EC2CB">
            <w:pPr>
              <w:keepNext w:val="0"/>
              <w:keepLines w:val="0"/>
              <w:pageBreakBefore w:val="0"/>
              <w:widowControl w:val="0"/>
              <w:kinsoku/>
              <w:wordWrap w:val="0"/>
              <w:overflowPunct/>
              <w:topLinePunct w:val="0"/>
              <w:autoSpaceDE/>
              <w:autoSpaceDN/>
              <w:bidi w:val="0"/>
              <w:adjustRightInd/>
              <w:snapToGrid/>
              <w:spacing w:line="38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发布本项目招标公告、中标公示的媒体：</w:t>
            </w:r>
          </w:p>
          <w:p w14:paraId="74D6FFB6">
            <w:pPr>
              <w:keepNext w:val="0"/>
              <w:keepLines w:val="0"/>
              <w:pageBreakBefore w:val="0"/>
              <w:widowControl w:val="0"/>
              <w:kinsoku/>
              <w:wordWrap w:val="0"/>
              <w:overflowPunct/>
              <w:topLinePunct w:val="0"/>
              <w:autoSpaceDE/>
              <w:autoSpaceDN/>
              <w:bidi w:val="0"/>
              <w:adjustRightInd/>
              <w:snapToGrid/>
              <w:spacing w:line="38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浙江政府采购网https://zfcg.czt.zj.gov.cn/</w:t>
            </w:r>
          </w:p>
          <w:p w14:paraId="7D6559AD">
            <w:pPr>
              <w:keepNext w:val="0"/>
              <w:keepLines w:val="0"/>
              <w:pageBreakBefore w:val="0"/>
              <w:widowControl w:val="0"/>
              <w:kinsoku/>
              <w:wordWrap w:val="0"/>
              <w:overflowPunct/>
              <w:topLinePunct w:val="0"/>
              <w:autoSpaceDE/>
              <w:autoSpaceDN/>
              <w:bidi w:val="0"/>
              <w:adjustRightInd/>
              <w:snapToGrid/>
              <w:spacing w:line="38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宁波政府采购网http://www.nbzfcg.cn/</w:t>
            </w:r>
          </w:p>
          <w:p w14:paraId="4D77B6C5">
            <w:pPr>
              <w:keepNext w:val="0"/>
              <w:keepLines w:val="0"/>
              <w:pageBreakBefore w:val="0"/>
              <w:widowControl w:val="0"/>
              <w:kinsoku/>
              <w:wordWrap w:val="0"/>
              <w:overflowPunct/>
              <w:topLinePunct w:val="0"/>
              <w:autoSpaceDE/>
              <w:autoSpaceDN/>
              <w:bidi w:val="0"/>
              <w:adjustRightInd/>
              <w:snapToGrid/>
              <w:spacing w:line="380" w:lineRule="exact"/>
              <w:textAlignment w:val="auto"/>
              <w:rPr>
                <w:color w:val="auto"/>
                <w:highlight w:val="none"/>
              </w:rPr>
            </w:pPr>
            <w:r>
              <w:rPr>
                <w:rFonts w:hint="eastAsia" w:ascii="宋体" w:hAnsi="宋体" w:eastAsia="宋体" w:cs="宋体"/>
                <w:color w:val="auto"/>
                <w:highlight w:val="none"/>
              </w:rPr>
              <w:t>宁波市公共资源交易电子服务系统https://jyxt.zwb.ningbo.gov.cn:4011/website/home</w:t>
            </w:r>
          </w:p>
        </w:tc>
      </w:tr>
      <w:tr w14:paraId="36CCCEED">
        <w:tblPrEx>
          <w:tblBorders>
            <w:top w:val="single" w:color="000000" w:sz="12" w:space="0"/>
            <w:left w:val="single" w:color="000000" w:sz="12" w:space="0"/>
            <w:bottom w:val="single" w:color="auto" w:sz="4"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721" w:hRule="atLeast"/>
        </w:trPr>
        <w:tc>
          <w:tcPr>
            <w:tcW w:w="1093" w:type="dxa"/>
            <w:tcBorders>
              <w:bottom w:val="single" w:color="auto" w:sz="12" w:space="0"/>
            </w:tcBorders>
            <w:vAlign w:val="center"/>
          </w:tcPr>
          <w:p w14:paraId="04E3ACFB">
            <w:pPr>
              <w:spacing w:before="143" w:beforeLines="50" w:line="360" w:lineRule="auto"/>
              <w:jc w:val="center"/>
              <w:rPr>
                <w:rFonts w:ascii="宋体" w:hAnsi="宋体" w:cs="宋体"/>
                <w:color w:val="auto"/>
                <w:highlight w:val="none"/>
              </w:rPr>
            </w:pPr>
            <w:r>
              <w:rPr>
                <w:rFonts w:hint="eastAsia" w:ascii="宋体" w:hAnsi="宋体" w:cs="宋体"/>
                <w:color w:val="auto"/>
                <w:highlight w:val="none"/>
              </w:rPr>
              <w:t>31.1</w:t>
            </w:r>
          </w:p>
        </w:tc>
        <w:tc>
          <w:tcPr>
            <w:tcW w:w="7466" w:type="dxa"/>
            <w:tcBorders>
              <w:bottom w:val="single" w:color="auto" w:sz="12" w:space="0"/>
            </w:tcBorders>
            <w:vAlign w:val="center"/>
          </w:tcPr>
          <w:p w14:paraId="458FA0AF">
            <w:pPr>
              <w:spacing w:line="400" w:lineRule="exact"/>
              <w:rPr>
                <w:rFonts w:ascii="宋体" w:hAnsi="宋体" w:cs="宋体"/>
                <w:color w:val="auto"/>
                <w:highlight w:val="none"/>
              </w:rPr>
            </w:pPr>
            <w:r>
              <w:rPr>
                <w:rFonts w:hint="eastAsia" w:ascii="宋体" w:hAnsi="宋体" w:cs="宋体"/>
                <w:color w:val="auto"/>
                <w:highlight w:val="none"/>
              </w:rPr>
              <w:t>本项目对应的中小企业划分标准所属行业：</w:t>
            </w:r>
            <w:r>
              <w:rPr>
                <w:rFonts w:hint="eastAsia" w:ascii="宋体" w:hAnsi="宋体" w:cs="宋体"/>
                <w:b/>
                <w:bCs/>
                <w:color w:val="auto"/>
                <w:highlight w:val="none"/>
                <w:u w:val="single"/>
              </w:rPr>
              <w:t>工业</w:t>
            </w:r>
          </w:p>
        </w:tc>
      </w:tr>
    </w:tbl>
    <w:p w14:paraId="5991479E">
      <w:pPr>
        <w:pStyle w:val="3"/>
        <w:spacing w:before="286" w:after="286"/>
        <w:rPr>
          <w:rFonts w:cs="宋体"/>
          <w:color w:val="auto"/>
          <w:sz w:val="32"/>
          <w:szCs w:val="32"/>
          <w:highlight w:val="none"/>
        </w:rPr>
        <w:sectPr>
          <w:headerReference r:id="rId6" w:type="default"/>
          <w:pgSz w:w="11907" w:h="16840"/>
          <w:pgMar w:top="1111" w:right="1701" w:bottom="1428" w:left="1701" w:header="720" w:footer="720" w:gutter="0"/>
          <w:pgBorders>
            <w:top w:val="none" w:sz="0" w:space="0"/>
            <w:left w:val="none" w:sz="0" w:space="0"/>
            <w:bottom w:val="none" w:sz="0" w:space="0"/>
            <w:right w:val="none" w:sz="0" w:space="0"/>
          </w:pgBorders>
          <w:pgNumType w:fmt="decimal"/>
          <w:cols w:space="720" w:num="1"/>
          <w:docGrid w:type="linesAndChars" w:linePitch="286" w:charSpace="0"/>
        </w:sectPr>
      </w:pPr>
      <w:bookmarkStart w:id="57" w:name="_Toc316649292"/>
    </w:p>
    <w:bookmarkEnd w:id="57"/>
    <w:p w14:paraId="507AAABE">
      <w:pPr>
        <w:jc w:val="center"/>
        <w:outlineLvl w:val="1"/>
        <w:rPr>
          <w:rFonts w:ascii="宋体" w:hAnsi="宋体" w:cs="宋体"/>
          <w:b/>
          <w:bCs/>
          <w:color w:val="auto"/>
          <w:sz w:val="28"/>
          <w:szCs w:val="28"/>
          <w:highlight w:val="none"/>
        </w:rPr>
      </w:pPr>
      <w:bookmarkStart w:id="58" w:name="_Toc513798900"/>
      <w:bookmarkStart w:id="59" w:name="_Toc440276561"/>
      <w:bookmarkStart w:id="60" w:name="_Toc520902394"/>
      <w:bookmarkStart w:id="61" w:name="_Toc141797114"/>
      <w:bookmarkStart w:id="62" w:name="_Toc513799071"/>
      <w:bookmarkStart w:id="63" w:name="_Toc497935707"/>
      <w:bookmarkStart w:id="64" w:name="_Toc481153623"/>
      <w:bookmarkStart w:id="65" w:name="_Toc501721199"/>
      <w:bookmarkStart w:id="66" w:name="_Toc501721316"/>
      <w:bookmarkStart w:id="67" w:name="_Toc316649293"/>
      <w:bookmarkStart w:id="68" w:name="_Toc501721427"/>
      <w:bookmarkStart w:id="69" w:name="_Toc502819341"/>
      <w:bookmarkStart w:id="70" w:name="_Toc481153658"/>
    </w:p>
    <w:p w14:paraId="42BD401B">
      <w:pPr>
        <w:pStyle w:val="3"/>
        <w:spacing w:before="286" w:after="286"/>
        <w:rPr>
          <w:color w:val="auto"/>
          <w:sz w:val="32"/>
          <w:szCs w:val="32"/>
          <w:highlight w:val="none"/>
        </w:rPr>
        <w:sectPr>
          <w:headerReference r:id="rId7" w:type="default"/>
          <w:type w:val="continuous"/>
          <w:pgSz w:w="11907" w:h="16840"/>
          <w:pgMar w:top="1111" w:right="1701" w:bottom="1428" w:left="1701" w:header="720" w:footer="720" w:gutter="0"/>
          <w:pgBorders>
            <w:top w:val="none" w:sz="0" w:space="0"/>
            <w:left w:val="none" w:sz="0" w:space="0"/>
            <w:bottom w:val="none" w:sz="0" w:space="0"/>
            <w:right w:val="none" w:sz="0" w:space="0"/>
          </w:pgBorders>
          <w:pgNumType w:fmt="decimal"/>
          <w:cols w:space="720" w:num="1"/>
          <w:docGrid w:type="linesAndChars" w:linePitch="286" w:charSpace="0"/>
        </w:sectPr>
      </w:pPr>
      <w:bookmarkStart w:id="71" w:name="_Toc141797673"/>
      <w:bookmarkStart w:id="72" w:name="_Toc136345100"/>
    </w:p>
    <w:p w14:paraId="692A772C">
      <w:pPr>
        <w:pStyle w:val="3"/>
        <w:spacing w:before="286" w:after="286"/>
        <w:rPr>
          <w:color w:val="auto"/>
          <w:sz w:val="32"/>
          <w:szCs w:val="32"/>
          <w:highlight w:val="none"/>
        </w:rPr>
      </w:pPr>
      <w:r>
        <w:rPr>
          <w:rFonts w:hint="eastAsia"/>
          <w:color w:val="auto"/>
          <w:sz w:val="32"/>
          <w:szCs w:val="32"/>
          <w:highlight w:val="none"/>
        </w:rPr>
        <w:t>第四部分投标人须知</w:t>
      </w:r>
      <w:bookmarkEnd w:id="71"/>
      <w:bookmarkEnd w:id="72"/>
    </w:p>
    <w:p w14:paraId="798501F4">
      <w:pPr>
        <w:jc w:val="center"/>
        <w:outlineLvl w:val="1"/>
        <w:rPr>
          <w:rFonts w:ascii="宋体"/>
          <w:b/>
          <w:bCs/>
          <w:color w:val="auto"/>
          <w:sz w:val="28"/>
          <w:szCs w:val="28"/>
          <w:highlight w:val="none"/>
        </w:rPr>
      </w:pPr>
      <w:bookmarkStart w:id="73" w:name="_Toc141797674"/>
      <w:r>
        <w:rPr>
          <w:rFonts w:ascii="宋体" w:hAnsi="宋体" w:cs="宋体"/>
          <w:b/>
          <w:bCs/>
          <w:color w:val="auto"/>
          <w:sz w:val="28"/>
          <w:szCs w:val="28"/>
          <w:highlight w:val="none"/>
        </w:rPr>
        <w:t>A</w:t>
      </w:r>
      <w:r>
        <w:rPr>
          <w:rFonts w:hint="eastAsia" w:ascii="宋体" w:hAnsi="宋体" w:cs="宋体"/>
          <w:b/>
          <w:bCs/>
          <w:color w:val="auto"/>
          <w:sz w:val="28"/>
          <w:szCs w:val="28"/>
          <w:highlight w:val="none"/>
        </w:rPr>
        <w:t>总则</w:t>
      </w:r>
      <w:bookmarkEnd w:id="58"/>
      <w:bookmarkEnd w:id="59"/>
      <w:bookmarkEnd w:id="60"/>
      <w:bookmarkEnd w:id="61"/>
      <w:bookmarkEnd w:id="62"/>
      <w:bookmarkEnd w:id="73"/>
    </w:p>
    <w:p w14:paraId="216CE875">
      <w:pPr>
        <w:spacing w:line="360" w:lineRule="auto"/>
        <w:rPr>
          <w:rFonts w:ascii="宋体"/>
          <w:b/>
          <w:bCs/>
          <w:color w:val="auto"/>
          <w:highlight w:val="none"/>
        </w:rPr>
      </w:pPr>
      <w:r>
        <w:rPr>
          <w:rFonts w:ascii="宋体" w:hAnsi="宋体" w:cs="宋体"/>
          <w:b/>
          <w:bCs/>
          <w:color w:val="auto"/>
          <w:highlight w:val="none"/>
        </w:rPr>
        <w:t>1.</w:t>
      </w:r>
      <w:r>
        <w:rPr>
          <w:rFonts w:hint="eastAsia" w:ascii="宋体" w:hAnsi="宋体" w:cs="宋体"/>
          <w:b/>
          <w:bCs/>
          <w:color w:val="auto"/>
          <w:highlight w:val="none"/>
        </w:rPr>
        <w:t>适用范围</w:t>
      </w:r>
    </w:p>
    <w:p w14:paraId="73986E7F">
      <w:pPr>
        <w:spacing w:line="360" w:lineRule="auto"/>
        <w:ind w:firstLine="420" w:firstLineChars="200"/>
        <w:rPr>
          <w:rFonts w:ascii="宋体"/>
          <w:color w:val="auto"/>
          <w:highlight w:val="none"/>
        </w:rPr>
      </w:pPr>
      <w:r>
        <w:rPr>
          <w:rFonts w:hint="eastAsia" w:ascii="宋体" w:hAnsi="宋体" w:cs="宋体"/>
          <w:color w:val="auto"/>
          <w:highlight w:val="none"/>
        </w:rPr>
        <w:t>本招标文件适用于本项目的招标、投标、评标、定标、验收、合同履约、付款等行为（法律、法规另有规定的，从其规定）。</w:t>
      </w:r>
    </w:p>
    <w:p w14:paraId="4D110927">
      <w:pPr>
        <w:spacing w:line="360" w:lineRule="auto"/>
        <w:rPr>
          <w:rFonts w:ascii="宋体"/>
          <w:b/>
          <w:bCs/>
          <w:color w:val="auto"/>
          <w:highlight w:val="none"/>
        </w:rPr>
      </w:pPr>
    </w:p>
    <w:p w14:paraId="3C57D628">
      <w:pPr>
        <w:spacing w:line="360" w:lineRule="auto"/>
        <w:rPr>
          <w:rFonts w:ascii="宋体"/>
          <w:b/>
          <w:bCs/>
          <w:color w:val="auto"/>
          <w:highlight w:val="none"/>
        </w:rPr>
      </w:pPr>
      <w:r>
        <w:rPr>
          <w:rFonts w:ascii="宋体" w:hAnsi="宋体" w:cs="宋体"/>
          <w:b/>
          <w:bCs/>
          <w:color w:val="auto"/>
          <w:highlight w:val="none"/>
        </w:rPr>
        <w:t>2.</w:t>
      </w:r>
      <w:r>
        <w:rPr>
          <w:rFonts w:hint="eastAsia" w:ascii="宋体" w:hAnsi="宋体" w:cs="宋体"/>
          <w:b/>
          <w:bCs/>
          <w:color w:val="auto"/>
          <w:highlight w:val="none"/>
        </w:rPr>
        <w:t>定义</w:t>
      </w:r>
    </w:p>
    <w:p w14:paraId="26C9B553">
      <w:pPr>
        <w:spacing w:line="360" w:lineRule="auto"/>
        <w:rPr>
          <w:rFonts w:ascii="宋体"/>
          <w:color w:val="auto"/>
          <w:highlight w:val="none"/>
        </w:rPr>
      </w:pPr>
      <w:r>
        <w:rPr>
          <w:rFonts w:ascii="宋体" w:hAnsi="宋体" w:cs="宋体"/>
          <w:b/>
          <w:bCs/>
          <w:color w:val="auto"/>
          <w:highlight w:val="none"/>
        </w:rPr>
        <w:t>2.1</w:t>
      </w:r>
      <w:r>
        <w:rPr>
          <w:rFonts w:hint="eastAsia" w:ascii="宋体" w:hAnsi="宋体" w:cs="宋体"/>
          <w:color w:val="auto"/>
          <w:highlight w:val="none"/>
        </w:rPr>
        <w:t>“采购人”、“采购代理机构”和“项目名称”：见“投标资料表”。</w:t>
      </w:r>
    </w:p>
    <w:p w14:paraId="65569FB0">
      <w:pPr>
        <w:spacing w:line="360" w:lineRule="auto"/>
        <w:rPr>
          <w:rFonts w:ascii="宋体"/>
          <w:color w:val="auto"/>
          <w:highlight w:val="none"/>
        </w:rPr>
      </w:pPr>
      <w:r>
        <w:rPr>
          <w:rFonts w:ascii="宋体" w:hAnsi="宋体" w:cs="宋体"/>
          <w:b/>
          <w:bCs/>
          <w:color w:val="auto"/>
          <w:highlight w:val="none"/>
        </w:rPr>
        <w:t>2.2</w:t>
      </w:r>
      <w:r>
        <w:rPr>
          <w:rFonts w:hint="eastAsia" w:ascii="宋体" w:hAnsi="宋体" w:cs="宋体"/>
          <w:color w:val="auto"/>
          <w:highlight w:val="none"/>
        </w:rPr>
        <w:t>“投标人”</w:t>
      </w:r>
      <w:r>
        <w:rPr>
          <w:rFonts w:hint="eastAsia" w:ascii="宋体" w:hAnsi="宋体" w:cs="宋体"/>
          <w:bCs/>
          <w:color w:val="auto"/>
          <w:highlight w:val="none"/>
        </w:rPr>
        <w:t>系指采购人发布招标公告后，所有对招标项目有意向、并有可能参加本项目投标的法人、其他组织或者自然人。</w:t>
      </w:r>
    </w:p>
    <w:p w14:paraId="61ED2ECA">
      <w:pPr>
        <w:spacing w:line="360" w:lineRule="auto"/>
        <w:rPr>
          <w:rFonts w:ascii="宋体"/>
          <w:color w:val="auto"/>
          <w:highlight w:val="none"/>
        </w:rPr>
      </w:pPr>
      <w:r>
        <w:rPr>
          <w:rFonts w:ascii="宋体" w:hAnsi="宋体" w:cs="宋体"/>
          <w:b/>
          <w:bCs/>
          <w:color w:val="auto"/>
          <w:highlight w:val="none"/>
        </w:rPr>
        <w:t>2.3</w:t>
      </w:r>
      <w:r>
        <w:rPr>
          <w:rFonts w:hint="eastAsia" w:ascii="宋体" w:hAnsi="宋体" w:cs="宋体"/>
          <w:color w:val="auto"/>
          <w:highlight w:val="none"/>
        </w:rPr>
        <w:t>“产品”系指投标人按招标文件规定，须向采购人提供的一切设备、保险、税金、备品备件、工具、手册及其它有关技术资料和材料。</w:t>
      </w:r>
    </w:p>
    <w:p w14:paraId="020B7A6E">
      <w:pPr>
        <w:spacing w:line="360" w:lineRule="auto"/>
        <w:rPr>
          <w:rFonts w:ascii="宋体"/>
          <w:color w:val="auto"/>
          <w:highlight w:val="none"/>
        </w:rPr>
      </w:pPr>
      <w:r>
        <w:rPr>
          <w:rFonts w:ascii="宋体" w:hAnsi="宋体" w:cs="宋体"/>
          <w:b/>
          <w:bCs/>
          <w:color w:val="auto"/>
          <w:highlight w:val="none"/>
        </w:rPr>
        <w:t>2.4</w:t>
      </w:r>
      <w:r>
        <w:rPr>
          <w:rFonts w:hint="eastAsia" w:ascii="宋体" w:hAnsi="宋体" w:cs="宋体"/>
          <w:color w:val="auto"/>
          <w:highlight w:val="none"/>
        </w:rPr>
        <w:t>“服务”系指招标文件规定投标人须承担的安装、调试、技术协助、校准、培训、技术指导以及其它类似的义务。</w:t>
      </w:r>
    </w:p>
    <w:p w14:paraId="33C3F772">
      <w:pPr>
        <w:spacing w:line="360" w:lineRule="auto"/>
        <w:rPr>
          <w:rFonts w:ascii="宋体"/>
          <w:color w:val="auto"/>
          <w:highlight w:val="none"/>
        </w:rPr>
      </w:pPr>
      <w:r>
        <w:rPr>
          <w:rFonts w:ascii="宋体" w:hAnsi="宋体" w:cs="宋体"/>
          <w:b/>
          <w:bCs/>
          <w:color w:val="auto"/>
          <w:highlight w:val="none"/>
        </w:rPr>
        <w:t>2.5</w:t>
      </w:r>
      <w:r>
        <w:rPr>
          <w:rFonts w:hint="eastAsia" w:ascii="宋体" w:hAnsi="宋体" w:cs="宋体"/>
          <w:color w:val="auto"/>
          <w:highlight w:val="none"/>
        </w:rPr>
        <w:t>“项目”系指投标人按招标文件规定向采购人提供的货物或服务。</w:t>
      </w:r>
    </w:p>
    <w:p w14:paraId="6BC789CA">
      <w:pPr>
        <w:spacing w:line="360" w:lineRule="auto"/>
        <w:rPr>
          <w:rFonts w:ascii="宋体"/>
          <w:color w:val="auto"/>
          <w:highlight w:val="none"/>
        </w:rPr>
      </w:pPr>
      <w:r>
        <w:rPr>
          <w:rFonts w:ascii="宋体" w:hAnsi="宋体" w:cs="宋体"/>
          <w:b/>
          <w:bCs/>
          <w:color w:val="auto"/>
          <w:highlight w:val="none"/>
        </w:rPr>
        <w:t>2.6</w:t>
      </w:r>
      <w:r>
        <w:rPr>
          <w:rFonts w:hint="eastAsia" w:ascii="宋体" w:hAnsi="宋体" w:cs="宋体"/>
          <w:color w:val="auto"/>
          <w:highlight w:val="none"/>
        </w:rPr>
        <w:t>“书面形式”包括信函、传真、邮件等。</w:t>
      </w:r>
    </w:p>
    <w:p w14:paraId="276EF964">
      <w:pPr>
        <w:spacing w:line="400" w:lineRule="exact"/>
        <w:rPr>
          <w:rFonts w:hint="eastAsia" w:ascii="宋体" w:hAnsi="宋体" w:cs="宋体"/>
          <w:color w:val="auto"/>
          <w:highlight w:val="none"/>
        </w:rPr>
      </w:pPr>
      <w:r>
        <w:rPr>
          <w:rFonts w:ascii="宋体" w:hAnsi="宋体" w:cs="宋体"/>
          <w:b/>
          <w:bCs/>
          <w:color w:val="auto"/>
          <w:highlight w:val="none"/>
        </w:rPr>
        <w:t>2.7</w:t>
      </w:r>
      <w:r>
        <w:rPr>
          <w:rFonts w:hint="eastAsia" w:ascii="宋体" w:hAnsi="宋体" w:cs="宋体"/>
          <w:color w:val="auto"/>
          <w:highlight w:val="none"/>
        </w:rPr>
        <w:t>“</w:t>
      </w:r>
      <w:r>
        <w:rPr>
          <w:rFonts w:hint="eastAsia" w:ascii="宋体" w:hAnsi="宋体" w:cs="宋体"/>
          <w:color w:val="auto"/>
          <w:highlight w:val="none"/>
          <w:lang w:eastAsia="zh-CN"/>
        </w:rPr>
        <w:t>▲</w:t>
      </w:r>
      <w:r>
        <w:rPr>
          <w:rFonts w:hint="eastAsia" w:ascii="宋体" w:hAnsi="宋体" w:cs="宋体"/>
          <w:color w:val="auto"/>
          <w:highlight w:val="none"/>
        </w:rPr>
        <w:t>”系指实质性要求条款。投标文件对这些条款的任何负偏离将导致投标无效。</w:t>
      </w:r>
    </w:p>
    <w:p w14:paraId="35C134CB">
      <w:pPr>
        <w:spacing w:line="360" w:lineRule="auto"/>
        <w:rPr>
          <w:rFonts w:ascii="宋体"/>
          <w:b/>
          <w:bCs/>
          <w:color w:val="auto"/>
          <w:highlight w:val="none"/>
        </w:rPr>
      </w:pPr>
    </w:p>
    <w:p w14:paraId="606EDDCC">
      <w:pPr>
        <w:spacing w:line="360" w:lineRule="auto"/>
        <w:rPr>
          <w:rFonts w:ascii="宋体"/>
          <w:b/>
          <w:bCs/>
          <w:color w:val="auto"/>
          <w:highlight w:val="none"/>
        </w:rPr>
      </w:pPr>
      <w:r>
        <w:rPr>
          <w:rFonts w:ascii="宋体" w:hAnsi="宋体" w:cs="宋体"/>
          <w:b/>
          <w:bCs/>
          <w:color w:val="auto"/>
          <w:highlight w:val="none"/>
        </w:rPr>
        <w:t>3.</w:t>
      </w:r>
      <w:r>
        <w:rPr>
          <w:rFonts w:hint="eastAsia" w:ascii="宋体" w:hAnsi="宋体" w:cs="宋体"/>
          <w:b/>
          <w:bCs/>
          <w:color w:val="auto"/>
          <w:highlight w:val="none"/>
        </w:rPr>
        <w:t>招标范围</w:t>
      </w:r>
    </w:p>
    <w:p w14:paraId="15D255C6">
      <w:pPr>
        <w:spacing w:line="360" w:lineRule="auto"/>
        <w:rPr>
          <w:rFonts w:ascii="宋体"/>
          <w:color w:val="auto"/>
          <w:highlight w:val="none"/>
        </w:rPr>
      </w:pPr>
      <w:r>
        <w:rPr>
          <w:rFonts w:ascii="宋体" w:hAnsi="宋体" w:cs="宋体"/>
          <w:b/>
          <w:bCs/>
          <w:color w:val="auto"/>
          <w:highlight w:val="none"/>
        </w:rPr>
        <w:t>3.1</w:t>
      </w:r>
      <w:r>
        <w:rPr>
          <w:rFonts w:hint="eastAsia" w:ascii="宋体" w:hAnsi="宋体" w:cs="宋体"/>
          <w:color w:val="auto"/>
          <w:highlight w:val="none"/>
        </w:rPr>
        <w:t>招标范围：见“投标资料表”。</w:t>
      </w:r>
    </w:p>
    <w:p w14:paraId="2D0C5E8C">
      <w:pPr>
        <w:spacing w:line="360" w:lineRule="auto"/>
        <w:rPr>
          <w:rFonts w:ascii="宋体"/>
          <w:color w:val="auto"/>
          <w:highlight w:val="none"/>
        </w:rPr>
      </w:pPr>
      <w:r>
        <w:rPr>
          <w:rFonts w:ascii="宋体" w:hAnsi="宋体" w:cs="宋体"/>
          <w:b/>
          <w:bCs/>
          <w:color w:val="auto"/>
          <w:highlight w:val="none"/>
        </w:rPr>
        <w:t>3.2</w:t>
      </w:r>
      <w:r>
        <w:rPr>
          <w:rFonts w:hint="eastAsia" w:ascii="宋体" w:hAnsi="宋体" w:cs="宋体"/>
          <w:color w:val="auto"/>
          <w:highlight w:val="none"/>
        </w:rPr>
        <w:t>本项目不得转包、分包。</w:t>
      </w:r>
    </w:p>
    <w:p w14:paraId="3C35625A">
      <w:pPr>
        <w:spacing w:line="360" w:lineRule="auto"/>
        <w:ind w:firstLine="210" w:firstLineChars="100"/>
        <w:rPr>
          <w:rFonts w:ascii="宋体"/>
          <w:b/>
          <w:bCs/>
          <w:color w:val="auto"/>
          <w:highlight w:val="none"/>
        </w:rPr>
      </w:pPr>
    </w:p>
    <w:p w14:paraId="0A8248ED">
      <w:pPr>
        <w:spacing w:line="360" w:lineRule="auto"/>
        <w:rPr>
          <w:rFonts w:ascii="宋体"/>
          <w:b/>
          <w:bCs/>
          <w:color w:val="auto"/>
          <w:highlight w:val="none"/>
        </w:rPr>
      </w:pPr>
      <w:r>
        <w:rPr>
          <w:rFonts w:ascii="宋体" w:hAnsi="宋体" w:cs="宋体"/>
          <w:b/>
          <w:bCs/>
          <w:color w:val="auto"/>
          <w:highlight w:val="none"/>
        </w:rPr>
        <w:t>4.</w:t>
      </w:r>
      <w:r>
        <w:rPr>
          <w:rFonts w:hint="eastAsia" w:ascii="宋体" w:hAnsi="宋体" w:cs="宋体"/>
          <w:b/>
          <w:bCs/>
          <w:color w:val="auto"/>
          <w:highlight w:val="none"/>
        </w:rPr>
        <w:t>合格的投标人</w:t>
      </w:r>
    </w:p>
    <w:p w14:paraId="1C83F734">
      <w:pPr>
        <w:spacing w:line="360" w:lineRule="auto"/>
        <w:rPr>
          <w:rFonts w:ascii="宋体"/>
          <w:color w:val="auto"/>
          <w:highlight w:val="none"/>
        </w:rPr>
      </w:pPr>
      <w:r>
        <w:rPr>
          <w:rFonts w:ascii="宋体" w:hAnsi="宋体" w:cs="宋体"/>
          <w:b/>
          <w:bCs/>
          <w:color w:val="auto"/>
          <w:highlight w:val="none"/>
        </w:rPr>
        <w:t>4.1</w:t>
      </w:r>
      <w:r>
        <w:rPr>
          <w:rFonts w:hint="eastAsia" w:ascii="宋体" w:hAnsi="宋体" w:cs="宋体"/>
          <w:color w:val="auto"/>
          <w:highlight w:val="none"/>
        </w:rPr>
        <w:t>合格的投标人应该是：</w:t>
      </w:r>
    </w:p>
    <w:p w14:paraId="51B9A3E1">
      <w:pPr>
        <w:spacing w:line="440" w:lineRule="exact"/>
        <w:ind w:firstLine="420" w:firstLineChars="200"/>
        <w:rPr>
          <w:rFonts w:ascii="宋体" w:hAnsi="宋体"/>
          <w:color w:val="auto"/>
          <w:highlight w:val="none"/>
        </w:rPr>
      </w:pPr>
      <w:r>
        <w:rPr>
          <w:rFonts w:hint="eastAsia" w:ascii="宋体" w:hAnsi="宋体"/>
          <w:color w:val="auto"/>
          <w:highlight w:val="none"/>
        </w:rPr>
        <w:t>是指向采购人提供货物、工程或者服务的法人、其他组织或者自然人。除金融、保险、通讯、石油石化、电力等特定行业的全国性企业所设立的区域性分支机构允许投标外，其他法人的分支机构不允许参加投标。</w:t>
      </w:r>
    </w:p>
    <w:p w14:paraId="226D0583">
      <w:pPr>
        <w:spacing w:line="440" w:lineRule="exact"/>
        <w:ind w:firstLine="420" w:firstLineChars="200"/>
        <w:rPr>
          <w:rFonts w:ascii="宋体" w:hAnsi="宋体"/>
          <w:color w:val="auto"/>
          <w:highlight w:val="none"/>
        </w:rPr>
      </w:pPr>
      <w:r>
        <w:rPr>
          <w:rFonts w:hint="eastAsia" w:ascii="宋体" w:hAnsi="宋体"/>
          <w:color w:val="auto"/>
          <w:highlight w:val="none"/>
        </w:rPr>
        <w:t>单位负责人为同一人或者存在直接控股、管理关系的不同投标人，不得参加同一合同项下的政府采购活动。除单一来源采购项目外，为采购项目提供整体设计、规范编制或者项目管理、监理、检测等服务的投标人，不得再参加该采购项目的其他采购活动。</w:t>
      </w:r>
    </w:p>
    <w:p w14:paraId="0508EA33">
      <w:pPr>
        <w:spacing w:line="440" w:lineRule="exact"/>
        <w:ind w:firstLine="420" w:firstLineChars="200"/>
        <w:rPr>
          <w:rFonts w:ascii="宋体"/>
          <w:b/>
          <w:bCs/>
          <w:color w:val="auto"/>
          <w:highlight w:val="none"/>
        </w:rPr>
      </w:pPr>
      <w:r>
        <w:rPr>
          <w:rFonts w:hint="eastAsia" w:ascii="宋体" w:hAnsi="宋体" w:cs="宋体"/>
          <w:b/>
          <w:bCs/>
          <w:color w:val="auto"/>
          <w:highlight w:val="none"/>
        </w:rPr>
        <w:t>根据政府采购相关法律、法规、规章、文件规定并满足招标文件规定资格条件的区域性分支机构、个人独资企业、合伙企业参加本项目投标并由单位负责人签署的相关投标资料与本招标文件规定由法定代表人签署的文件材料具有同等效力。</w:t>
      </w:r>
    </w:p>
    <w:p w14:paraId="79C6912E">
      <w:pPr>
        <w:spacing w:line="400" w:lineRule="exact"/>
        <w:rPr>
          <w:rFonts w:ascii="宋体"/>
          <w:color w:val="auto"/>
          <w:highlight w:val="none"/>
        </w:rPr>
      </w:pPr>
      <w:r>
        <w:rPr>
          <w:rFonts w:ascii="宋体" w:hAnsi="宋体" w:cs="宋体"/>
          <w:b/>
          <w:bCs/>
          <w:color w:val="auto"/>
          <w:highlight w:val="none"/>
        </w:rPr>
        <w:t>4.2</w:t>
      </w:r>
      <w:r>
        <w:rPr>
          <w:rFonts w:hint="eastAsia" w:ascii="宋体" w:hAnsi="宋体" w:cs="宋体"/>
          <w:color w:val="auto"/>
          <w:highlight w:val="none"/>
        </w:rPr>
        <w:t>符合本招标文件载明的对上述</w:t>
      </w:r>
      <w:r>
        <w:rPr>
          <w:rFonts w:ascii="宋体" w:hAnsi="宋体" w:cs="宋体"/>
          <w:b/>
          <w:bCs/>
          <w:color w:val="auto"/>
          <w:highlight w:val="none"/>
        </w:rPr>
        <w:t>4.1</w:t>
      </w:r>
      <w:r>
        <w:rPr>
          <w:rFonts w:hint="eastAsia" w:ascii="宋体" w:hAnsi="宋体" w:cs="宋体"/>
          <w:color w:val="auto"/>
          <w:highlight w:val="none"/>
        </w:rPr>
        <w:t>条的例外的规定或对投标人资格的其他补充要求：详见招标公告。</w:t>
      </w:r>
    </w:p>
    <w:p w14:paraId="56D6CE0C">
      <w:pPr>
        <w:spacing w:line="400" w:lineRule="exact"/>
        <w:rPr>
          <w:rFonts w:ascii="宋体"/>
          <w:color w:val="auto"/>
          <w:highlight w:val="none"/>
        </w:rPr>
      </w:pPr>
    </w:p>
    <w:p w14:paraId="2C3BF5FB">
      <w:pPr>
        <w:spacing w:line="400" w:lineRule="exact"/>
        <w:rPr>
          <w:rFonts w:ascii="宋体"/>
          <w:b/>
          <w:bCs/>
          <w:color w:val="auto"/>
          <w:highlight w:val="none"/>
        </w:rPr>
      </w:pPr>
      <w:r>
        <w:rPr>
          <w:rFonts w:ascii="宋体" w:hAnsi="宋体" w:cs="宋体"/>
          <w:b/>
          <w:bCs/>
          <w:color w:val="auto"/>
          <w:highlight w:val="none"/>
        </w:rPr>
        <w:t>5.</w:t>
      </w:r>
      <w:r>
        <w:rPr>
          <w:rFonts w:hint="eastAsia" w:ascii="宋体" w:hAnsi="宋体" w:cs="宋体"/>
          <w:b/>
          <w:bCs/>
          <w:color w:val="auto"/>
          <w:highlight w:val="none"/>
        </w:rPr>
        <w:t>投标人代表</w:t>
      </w:r>
    </w:p>
    <w:p w14:paraId="0815D0F8">
      <w:pPr>
        <w:spacing w:line="400" w:lineRule="exact"/>
        <w:rPr>
          <w:rFonts w:ascii="宋体"/>
          <w:color w:val="auto"/>
          <w:highlight w:val="none"/>
        </w:rPr>
      </w:pPr>
      <w:r>
        <w:rPr>
          <w:rFonts w:ascii="宋体" w:hAnsi="宋体" w:cs="宋体"/>
          <w:b/>
          <w:bCs/>
          <w:color w:val="auto"/>
          <w:highlight w:val="none"/>
        </w:rPr>
        <w:t>5.1</w:t>
      </w:r>
      <w:r>
        <w:rPr>
          <w:rFonts w:hint="eastAsia" w:ascii="宋体" w:hAnsi="宋体" w:cs="宋体"/>
          <w:color w:val="auto"/>
          <w:highlight w:val="none"/>
        </w:rPr>
        <w:t>投标人代表须持有“单位负责人授权书”。单位负责人是指单位法定代表人或者法律、行政法规规定代表单位行使职权的主要负责人（下同）。</w:t>
      </w:r>
    </w:p>
    <w:p w14:paraId="65DF82D9">
      <w:pPr>
        <w:spacing w:line="400" w:lineRule="exact"/>
        <w:rPr>
          <w:rFonts w:ascii="宋体"/>
          <w:color w:val="auto"/>
          <w:highlight w:val="none"/>
          <w:shd w:val="pct10" w:color="auto" w:fill="FFFFFF"/>
        </w:rPr>
      </w:pPr>
      <w:r>
        <w:rPr>
          <w:rFonts w:ascii="宋体" w:hAnsi="宋体" w:cs="宋体"/>
          <w:b/>
          <w:bCs/>
          <w:color w:val="auto"/>
          <w:highlight w:val="none"/>
        </w:rPr>
        <w:t>5.2</w:t>
      </w:r>
      <w:r>
        <w:rPr>
          <w:rFonts w:hint="eastAsia" w:ascii="宋体" w:hAnsi="宋体" w:cs="宋体"/>
          <w:color w:val="auto"/>
          <w:highlight w:val="none"/>
        </w:rPr>
        <w:t>若投标人代表是单位负责人的，则须符合本须知第</w:t>
      </w:r>
      <w:r>
        <w:rPr>
          <w:rFonts w:ascii="宋体" w:hAnsi="宋体" w:cs="宋体"/>
          <w:b/>
          <w:bCs/>
          <w:color w:val="auto"/>
          <w:highlight w:val="none"/>
        </w:rPr>
        <w:t>9.1</w:t>
      </w:r>
      <w:r>
        <w:rPr>
          <w:rFonts w:hint="eastAsia" w:ascii="宋体" w:hAnsi="宋体" w:cs="宋体"/>
          <w:color w:val="auto"/>
          <w:highlight w:val="none"/>
        </w:rPr>
        <w:t>条的要求。</w:t>
      </w:r>
    </w:p>
    <w:p w14:paraId="0E545ECA">
      <w:pPr>
        <w:spacing w:line="400" w:lineRule="exact"/>
        <w:rPr>
          <w:rFonts w:ascii="宋体"/>
          <w:color w:val="auto"/>
          <w:highlight w:val="none"/>
        </w:rPr>
      </w:pPr>
    </w:p>
    <w:p w14:paraId="757558AC">
      <w:pPr>
        <w:spacing w:line="400" w:lineRule="exact"/>
        <w:rPr>
          <w:rFonts w:ascii="宋体"/>
          <w:color w:val="auto"/>
          <w:highlight w:val="none"/>
        </w:rPr>
      </w:pPr>
      <w:r>
        <w:rPr>
          <w:rFonts w:ascii="宋体" w:hAnsi="宋体" w:cs="宋体"/>
          <w:b/>
          <w:bCs/>
          <w:color w:val="auto"/>
          <w:highlight w:val="none"/>
        </w:rPr>
        <w:t>6.</w:t>
      </w:r>
      <w:r>
        <w:rPr>
          <w:rFonts w:hint="eastAsia" w:ascii="宋体" w:hAnsi="宋体" w:cs="宋体"/>
          <w:b/>
          <w:bCs/>
          <w:color w:val="auto"/>
          <w:highlight w:val="none"/>
        </w:rPr>
        <w:t>投标费用</w:t>
      </w:r>
    </w:p>
    <w:p w14:paraId="6AF9E90B">
      <w:pPr>
        <w:spacing w:line="400" w:lineRule="exact"/>
        <w:rPr>
          <w:rFonts w:ascii="宋体"/>
          <w:color w:val="auto"/>
          <w:highlight w:val="none"/>
        </w:rPr>
      </w:pPr>
      <w:r>
        <w:rPr>
          <w:rFonts w:ascii="宋体" w:hAnsi="宋体" w:cs="宋体"/>
          <w:b/>
          <w:bCs/>
          <w:color w:val="auto"/>
          <w:highlight w:val="none"/>
        </w:rPr>
        <w:t>6.1</w:t>
      </w:r>
      <w:r>
        <w:rPr>
          <w:rFonts w:hint="eastAsia" w:ascii="宋体" w:hAnsi="宋体" w:cs="宋体"/>
          <w:color w:val="auto"/>
          <w:highlight w:val="none"/>
        </w:rPr>
        <w:t>不论招标的结果如何，投标人自行承担其参加本次投标有关的全部费用。</w:t>
      </w:r>
    </w:p>
    <w:p w14:paraId="29560AF3">
      <w:pPr>
        <w:spacing w:line="400" w:lineRule="exact"/>
        <w:jc w:val="center"/>
        <w:rPr>
          <w:rFonts w:ascii="宋体"/>
          <w:b/>
          <w:bCs/>
          <w:color w:val="auto"/>
          <w:sz w:val="28"/>
          <w:szCs w:val="28"/>
          <w:highlight w:val="none"/>
        </w:rPr>
      </w:pPr>
    </w:p>
    <w:p w14:paraId="3335FE46">
      <w:pPr>
        <w:jc w:val="center"/>
        <w:outlineLvl w:val="1"/>
        <w:rPr>
          <w:rFonts w:ascii="宋体"/>
          <w:b/>
          <w:bCs/>
          <w:color w:val="auto"/>
          <w:sz w:val="28"/>
          <w:szCs w:val="28"/>
          <w:highlight w:val="none"/>
        </w:rPr>
      </w:pPr>
      <w:bookmarkStart w:id="74" w:name="_Toc141797115"/>
      <w:bookmarkStart w:id="75" w:name="_Toc440276562"/>
      <w:bookmarkStart w:id="76" w:name="_Toc141797675"/>
      <w:bookmarkStart w:id="77" w:name="_Toc513798901"/>
      <w:bookmarkStart w:id="78" w:name="_Toc520902395"/>
      <w:bookmarkStart w:id="79" w:name="_Toc513799072"/>
      <w:r>
        <w:rPr>
          <w:rFonts w:ascii="宋体" w:hAnsi="宋体" w:cs="宋体"/>
          <w:b/>
          <w:bCs/>
          <w:color w:val="auto"/>
          <w:sz w:val="28"/>
          <w:szCs w:val="28"/>
          <w:highlight w:val="none"/>
        </w:rPr>
        <w:t>B</w:t>
      </w:r>
      <w:r>
        <w:rPr>
          <w:rFonts w:hint="eastAsia" w:ascii="宋体" w:hAnsi="宋体" w:cs="宋体"/>
          <w:b/>
          <w:bCs/>
          <w:color w:val="auto"/>
          <w:sz w:val="28"/>
          <w:szCs w:val="28"/>
          <w:highlight w:val="none"/>
        </w:rPr>
        <w:t>招标文件</w:t>
      </w:r>
      <w:bookmarkEnd w:id="74"/>
      <w:bookmarkEnd w:id="75"/>
      <w:bookmarkEnd w:id="76"/>
      <w:bookmarkEnd w:id="77"/>
      <w:bookmarkEnd w:id="78"/>
      <w:bookmarkEnd w:id="79"/>
    </w:p>
    <w:p w14:paraId="18E79232">
      <w:pPr>
        <w:spacing w:line="400" w:lineRule="exact"/>
        <w:rPr>
          <w:rFonts w:ascii="宋体"/>
          <w:color w:val="auto"/>
          <w:highlight w:val="none"/>
        </w:rPr>
      </w:pPr>
      <w:r>
        <w:rPr>
          <w:rFonts w:ascii="宋体" w:hAnsi="宋体" w:cs="宋体"/>
          <w:b/>
          <w:bCs/>
          <w:color w:val="auto"/>
          <w:highlight w:val="none"/>
        </w:rPr>
        <w:t>7.</w:t>
      </w:r>
      <w:r>
        <w:rPr>
          <w:rFonts w:hint="eastAsia" w:ascii="宋体" w:hAnsi="宋体" w:cs="宋体"/>
          <w:b/>
          <w:bCs/>
          <w:color w:val="auto"/>
          <w:highlight w:val="none"/>
        </w:rPr>
        <w:t>招标文件的构成</w:t>
      </w:r>
    </w:p>
    <w:p w14:paraId="70905D58">
      <w:pPr>
        <w:spacing w:line="400" w:lineRule="exact"/>
        <w:rPr>
          <w:rFonts w:ascii="宋体"/>
          <w:color w:val="auto"/>
          <w:highlight w:val="none"/>
        </w:rPr>
      </w:pPr>
      <w:r>
        <w:rPr>
          <w:rFonts w:ascii="宋体" w:hAnsi="宋体" w:cs="宋体"/>
          <w:b/>
          <w:bCs/>
          <w:color w:val="auto"/>
          <w:highlight w:val="none"/>
        </w:rPr>
        <w:t>7.1</w:t>
      </w:r>
      <w:r>
        <w:rPr>
          <w:rFonts w:hint="eastAsia" w:ascii="宋体" w:hAnsi="宋体" w:cs="宋体"/>
          <w:color w:val="auto"/>
          <w:highlight w:val="none"/>
        </w:rPr>
        <w:t>招标文件共有七部分。内容如下：</w:t>
      </w:r>
    </w:p>
    <w:p w14:paraId="69ED32B6">
      <w:pPr>
        <w:spacing w:line="400" w:lineRule="exact"/>
        <w:ind w:left="281" w:leftChars="134"/>
        <w:rPr>
          <w:rFonts w:ascii="宋体" w:hAnsi="宋体" w:cs="宋体"/>
          <w:color w:val="auto"/>
          <w:highlight w:val="none"/>
        </w:rPr>
      </w:pPr>
      <w:r>
        <w:rPr>
          <w:rFonts w:hint="eastAsia" w:ascii="宋体" w:hAnsi="宋体" w:cs="宋体"/>
          <w:color w:val="auto"/>
          <w:highlight w:val="none"/>
        </w:rPr>
        <w:t>第一部分招标公告</w:t>
      </w:r>
    </w:p>
    <w:p w14:paraId="5ECF5E16">
      <w:pPr>
        <w:spacing w:line="400" w:lineRule="exact"/>
        <w:ind w:left="281" w:leftChars="134"/>
        <w:rPr>
          <w:rFonts w:hint="eastAsia" w:ascii="宋体" w:hAnsi="宋体" w:eastAsia="宋体" w:cs="宋体"/>
          <w:color w:val="auto"/>
          <w:highlight w:val="none"/>
          <w:lang w:eastAsia="zh-CN"/>
        </w:rPr>
      </w:pPr>
      <w:r>
        <w:rPr>
          <w:rFonts w:hint="eastAsia" w:ascii="宋体" w:hAnsi="宋体" w:cs="宋体"/>
          <w:color w:val="auto"/>
          <w:highlight w:val="none"/>
        </w:rPr>
        <w:t>第二部分</w:t>
      </w:r>
      <w:r>
        <w:rPr>
          <w:rFonts w:hint="eastAsia" w:ascii="宋体" w:hAnsi="宋体" w:cs="宋体"/>
          <w:color w:val="auto"/>
          <w:highlight w:val="none"/>
          <w:lang w:eastAsia="zh-CN"/>
        </w:rPr>
        <w:t>采购需求</w:t>
      </w:r>
    </w:p>
    <w:p w14:paraId="3A3A9A29">
      <w:pPr>
        <w:spacing w:line="400" w:lineRule="exact"/>
        <w:ind w:left="281" w:leftChars="134"/>
        <w:rPr>
          <w:rFonts w:ascii="宋体" w:hAnsi="宋体" w:cs="宋体"/>
          <w:color w:val="auto"/>
          <w:highlight w:val="none"/>
        </w:rPr>
      </w:pPr>
      <w:r>
        <w:rPr>
          <w:rFonts w:hint="eastAsia" w:ascii="宋体" w:hAnsi="宋体" w:cs="宋体"/>
          <w:color w:val="auto"/>
          <w:highlight w:val="none"/>
        </w:rPr>
        <w:t>第三部分投标资料表</w:t>
      </w:r>
    </w:p>
    <w:p w14:paraId="6856F285">
      <w:pPr>
        <w:spacing w:line="400" w:lineRule="exact"/>
        <w:ind w:left="281" w:leftChars="134"/>
        <w:rPr>
          <w:rFonts w:ascii="宋体" w:hAnsi="宋体" w:cs="宋体"/>
          <w:color w:val="auto"/>
          <w:highlight w:val="none"/>
        </w:rPr>
      </w:pPr>
      <w:r>
        <w:rPr>
          <w:rFonts w:hint="eastAsia" w:ascii="宋体" w:hAnsi="宋体" w:cs="宋体"/>
          <w:color w:val="auto"/>
          <w:highlight w:val="none"/>
        </w:rPr>
        <w:t>第四部分投标人须知</w:t>
      </w:r>
    </w:p>
    <w:p w14:paraId="06E80C3F">
      <w:pPr>
        <w:spacing w:line="400" w:lineRule="exact"/>
        <w:ind w:left="281" w:leftChars="134"/>
        <w:rPr>
          <w:rFonts w:ascii="宋体" w:hAnsi="宋体" w:cs="宋体"/>
          <w:color w:val="auto"/>
          <w:highlight w:val="none"/>
        </w:rPr>
      </w:pPr>
      <w:r>
        <w:rPr>
          <w:rFonts w:hint="eastAsia" w:ascii="宋体" w:hAnsi="宋体" w:cs="宋体"/>
          <w:color w:val="auto"/>
          <w:highlight w:val="none"/>
        </w:rPr>
        <w:t>第</w:t>
      </w:r>
      <w:r>
        <w:rPr>
          <w:rFonts w:hint="eastAsia" w:ascii="宋体" w:hAnsi="宋体" w:cs="宋体"/>
          <w:color w:val="auto"/>
          <w:highlight w:val="none"/>
          <w:lang w:val="en-US" w:eastAsia="zh-CN"/>
        </w:rPr>
        <w:t>五</w:t>
      </w:r>
      <w:r>
        <w:rPr>
          <w:rFonts w:hint="eastAsia" w:ascii="宋体" w:hAnsi="宋体" w:cs="宋体"/>
          <w:color w:val="auto"/>
          <w:highlight w:val="none"/>
        </w:rPr>
        <w:t>部分评标办法</w:t>
      </w:r>
    </w:p>
    <w:p w14:paraId="2EBFEA7E">
      <w:pPr>
        <w:spacing w:line="400" w:lineRule="exact"/>
        <w:ind w:left="281" w:leftChars="134"/>
        <w:rPr>
          <w:rFonts w:ascii="宋体" w:hAnsi="宋体" w:cs="宋体"/>
          <w:color w:val="auto"/>
          <w:highlight w:val="none"/>
        </w:rPr>
      </w:pPr>
      <w:r>
        <w:rPr>
          <w:rFonts w:hint="eastAsia" w:ascii="宋体" w:hAnsi="宋体" w:cs="宋体"/>
          <w:color w:val="auto"/>
          <w:highlight w:val="none"/>
        </w:rPr>
        <w:t>第</w:t>
      </w:r>
      <w:r>
        <w:rPr>
          <w:rFonts w:hint="eastAsia" w:ascii="宋体" w:hAnsi="宋体" w:cs="宋体"/>
          <w:color w:val="auto"/>
          <w:highlight w:val="none"/>
          <w:lang w:val="en-US" w:eastAsia="zh-CN"/>
        </w:rPr>
        <w:t>六</w:t>
      </w:r>
      <w:r>
        <w:rPr>
          <w:rFonts w:hint="eastAsia" w:ascii="宋体" w:hAnsi="宋体" w:cs="宋体"/>
          <w:color w:val="auto"/>
          <w:highlight w:val="none"/>
        </w:rPr>
        <w:t>部分合同格式</w:t>
      </w:r>
    </w:p>
    <w:p w14:paraId="1F3CDB4D">
      <w:pPr>
        <w:spacing w:line="400" w:lineRule="exact"/>
        <w:ind w:left="281" w:leftChars="134"/>
        <w:rPr>
          <w:rFonts w:ascii="宋体"/>
          <w:color w:val="auto"/>
          <w:highlight w:val="none"/>
        </w:rPr>
      </w:pPr>
      <w:r>
        <w:rPr>
          <w:rFonts w:hint="eastAsia" w:ascii="宋体" w:hAnsi="宋体" w:cs="宋体"/>
          <w:color w:val="auto"/>
          <w:highlight w:val="none"/>
        </w:rPr>
        <w:t>第七部分附件（投标文件格式）</w:t>
      </w:r>
    </w:p>
    <w:p w14:paraId="55B67594">
      <w:pPr>
        <w:spacing w:line="400" w:lineRule="exact"/>
        <w:ind w:firstLine="462" w:firstLineChars="220"/>
        <w:rPr>
          <w:rFonts w:ascii="宋体" w:hAnsi="宋体" w:cs="宋体"/>
          <w:b/>
          <w:bCs/>
          <w:color w:val="auto"/>
          <w:highlight w:val="none"/>
        </w:rPr>
      </w:pPr>
      <w:r>
        <w:rPr>
          <w:rFonts w:hint="eastAsia" w:ascii="宋体" w:hAnsi="宋体" w:cs="宋体"/>
          <w:b/>
          <w:bCs/>
          <w:color w:val="auto"/>
          <w:highlight w:val="none"/>
        </w:rPr>
        <w:t>投标人应详细阅读招标文件的全部内容和要求，不按招标文件的要求提供投标文件和资料导致的风险由投标人承担。</w:t>
      </w:r>
    </w:p>
    <w:p w14:paraId="06C10940">
      <w:pPr>
        <w:spacing w:line="400" w:lineRule="exact"/>
        <w:rPr>
          <w:rFonts w:ascii="宋体" w:hAnsi="宋体" w:cs="宋体"/>
          <w:color w:val="auto"/>
          <w:highlight w:val="none"/>
        </w:rPr>
      </w:pPr>
      <w:r>
        <w:rPr>
          <w:rFonts w:hint="eastAsia" w:ascii="宋体" w:hAnsi="宋体" w:cs="宋体"/>
          <w:b/>
          <w:color w:val="auto"/>
          <w:highlight w:val="none"/>
        </w:rPr>
        <w:t>7.2</w:t>
      </w:r>
      <w:r>
        <w:rPr>
          <w:rFonts w:hint="eastAsia" w:ascii="宋体" w:hAnsi="宋体" w:cs="宋体"/>
          <w:color w:val="auto"/>
          <w:highlight w:val="none"/>
        </w:rPr>
        <w:t>与本项目有关的澄清或者修改的内容为招标文件的组成部分。</w:t>
      </w:r>
    </w:p>
    <w:p w14:paraId="4E34650D">
      <w:pPr>
        <w:spacing w:line="400" w:lineRule="exact"/>
        <w:ind w:firstLine="210" w:firstLineChars="100"/>
        <w:rPr>
          <w:rFonts w:ascii="宋体"/>
          <w:b/>
          <w:bCs/>
          <w:color w:val="auto"/>
          <w:highlight w:val="none"/>
        </w:rPr>
      </w:pPr>
    </w:p>
    <w:p w14:paraId="1A5DA616">
      <w:pPr>
        <w:spacing w:line="400" w:lineRule="exact"/>
        <w:rPr>
          <w:rFonts w:ascii="宋体"/>
          <w:b/>
          <w:bCs/>
          <w:color w:val="auto"/>
          <w:highlight w:val="none"/>
        </w:rPr>
      </w:pPr>
      <w:r>
        <w:rPr>
          <w:rFonts w:ascii="宋体" w:hAnsi="宋体" w:cs="宋体"/>
          <w:b/>
          <w:bCs/>
          <w:color w:val="auto"/>
          <w:highlight w:val="none"/>
        </w:rPr>
        <w:t>8.</w:t>
      </w:r>
      <w:r>
        <w:rPr>
          <w:rFonts w:hint="eastAsia" w:ascii="宋体" w:hAnsi="宋体" w:cs="宋体"/>
          <w:b/>
          <w:bCs/>
          <w:color w:val="auto"/>
          <w:highlight w:val="none"/>
        </w:rPr>
        <w:t>招标文件的澄清和修改</w:t>
      </w:r>
    </w:p>
    <w:p w14:paraId="5412B690">
      <w:pPr>
        <w:spacing w:line="400" w:lineRule="exact"/>
        <w:rPr>
          <w:rFonts w:ascii="宋体" w:hAnsi="宋体" w:cs="宋体"/>
          <w:color w:val="auto"/>
          <w:highlight w:val="none"/>
        </w:rPr>
      </w:pPr>
      <w:r>
        <w:rPr>
          <w:rFonts w:hint="eastAsia" w:ascii="宋体" w:hAnsi="宋体" w:cs="宋体"/>
          <w:b/>
          <w:color w:val="auto"/>
          <w:highlight w:val="none"/>
        </w:rPr>
        <w:t>8.1</w:t>
      </w:r>
      <w:r>
        <w:rPr>
          <w:rFonts w:hint="eastAsia" w:ascii="宋体" w:hAnsi="宋体" w:cs="宋体"/>
          <w:color w:val="auto"/>
          <w:highlight w:val="none"/>
        </w:rPr>
        <w:t>采购人或者采购代理机构可以在招标文件提供期限截止后，组织已获取招标文件的潜在投标人现场考察或者召开开标前答疑会。组织现场考察或者召开答疑会的在招标文件“投标资料表”中载明。</w:t>
      </w:r>
    </w:p>
    <w:p w14:paraId="0B35B84E">
      <w:pPr>
        <w:spacing w:line="400" w:lineRule="exact"/>
        <w:rPr>
          <w:rFonts w:ascii="宋体" w:hAnsi="宋体" w:cs="宋体"/>
          <w:color w:val="auto"/>
          <w:highlight w:val="none"/>
        </w:rPr>
      </w:pPr>
      <w:r>
        <w:rPr>
          <w:rFonts w:hint="eastAsia" w:ascii="宋体" w:hAnsi="宋体" w:cs="宋体"/>
          <w:b/>
          <w:color w:val="auto"/>
          <w:highlight w:val="none"/>
        </w:rPr>
        <w:t>8.2</w:t>
      </w:r>
      <w:r>
        <w:rPr>
          <w:rFonts w:hint="eastAsia" w:ascii="宋体" w:hAnsi="宋体" w:cs="宋体"/>
          <w:color w:val="auto"/>
          <w:highlight w:val="none"/>
        </w:rPr>
        <w:t>若潜在投标人对招标文件有疑点，要求采购人澄清的，应以书面形式通知采购代理机构，要求澄清的截止时间同有效质疑的截止时间。</w:t>
      </w:r>
    </w:p>
    <w:p w14:paraId="6AD1A238">
      <w:pPr>
        <w:spacing w:line="400" w:lineRule="exact"/>
        <w:rPr>
          <w:rFonts w:ascii="宋体" w:hAnsi="宋体" w:cs="宋体"/>
          <w:color w:val="auto"/>
          <w:highlight w:val="none"/>
        </w:rPr>
      </w:pPr>
      <w:r>
        <w:rPr>
          <w:rFonts w:hint="eastAsia" w:ascii="宋体" w:hAnsi="宋体" w:cs="宋体"/>
          <w:b/>
          <w:color w:val="auto"/>
          <w:highlight w:val="none"/>
        </w:rPr>
        <w:t>8.3</w:t>
      </w:r>
      <w:r>
        <w:rPr>
          <w:rFonts w:hint="eastAsia" w:ascii="宋体" w:hAnsi="宋体" w:cs="宋体"/>
          <w:color w:val="auto"/>
          <w:highlight w:val="none"/>
        </w:rPr>
        <w:t>采购人或者采购代理机构可以对已发出的招标文件进行必要的澄清或者修改，但不得改变采购标的和资格条件。澄清或者修改在原公告发布媒体上发布更正公告。更正公告为招标文件的组成部分，一经在网站发布，视同已通知所有招标文件的收受人，不再采用其它方式传达相关信息，若因未能及时了解到上述网站上发布的相关信息而导致的一切后果由投标人自行承担。</w:t>
      </w:r>
    </w:p>
    <w:p w14:paraId="2B9CB4F6">
      <w:pPr>
        <w:spacing w:line="400" w:lineRule="exact"/>
        <w:rPr>
          <w:rFonts w:ascii="宋体" w:hAnsi="宋体" w:cs="宋体"/>
          <w:color w:val="auto"/>
          <w:highlight w:val="none"/>
        </w:rPr>
      </w:pPr>
      <w:r>
        <w:rPr>
          <w:rFonts w:hint="eastAsia" w:ascii="宋体" w:hAnsi="宋体" w:cs="宋体"/>
          <w:b/>
          <w:color w:val="auto"/>
          <w:highlight w:val="none"/>
        </w:rPr>
        <w:t>8.4</w:t>
      </w:r>
      <w:r>
        <w:rPr>
          <w:rFonts w:hint="eastAsia" w:ascii="宋体" w:hAnsi="宋体" w:cs="宋体"/>
          <w:color w:val="auto"/>
          <w:highlight w:val="none"/>
        </w:rPr>
        <w:t>澄清或者修改的内容可能影响投标文件编制的，采购人或者采购代理机构在投标截止时间至少15日前，以书面形式（纸质、传真或电子邮件形式）通知所有获取招标文件的潜在投标人；不足15日的，采购人或者采购代理机构顺延提交投标文件的截止时间。</w:t>
      </w:r>
    </w:p>
    <w:p w14:paraId="5A199CA8">
      <w:pPr>
        <w:spacing w:line="400" w:lineRule="exact"/>
        <w:rPr>
          <w:rFonts w:ascii="宋体"/>
          <w:color w:val="auto"/>
          <w:highlight w:val="none"/>
          <w:u w:val="single"/>
        </w:rPr>
      </w:pPr>
    </w:p>
    <w:p w14:paraId="756545C5">
      <w:pPr>
        <w:jc w:val="center"/>
        <w:outlineLvl w:val="1"/>
        <w:rPr>
          <w:rFonts w:ascii="宋体"/>
          <w:b/>
          <w:bCs/>
          <w:color w:val="auto"/>
          <w:sz w:val="28"/>
          <w:szCs w:val="28"/>
          <w:highlight w:val="none"/>
        </w:rPr>
      </w:pPr>
      <w:bookmarkStart w:id="80" w:name="_Toc141797676"/>
      <w:bookmarkStart w:id="81" w:name="_Toc520902396"/>
      <w:bookmarkStart w:id="82" w:name="_Toc513798902"/>
      <w:bookmarkStart w:id="83" w:name="_Toc513799073"/>
      <w:bookmarkStart w:id="84" w:name="_Toc141797116"/>
      <w:bookmarkStart w:id="85" w:name="_Toc440276563"/>
      <w:r>
        <w:rPr>
          <w:rFonts w:ascii="宋体" w:hAnsi="宋体" w:cs="宋体"/>
          <w:b/>
          <w:bCs/>
          <w:color w:val="auto"/>
          <w:sz w:val="28"/>
          <w:szCs w:val="28"/>
          <w:highlight w:val="none"/>
        </w:rPr>
        <w:t>C</w:t>
      </w:r>
      <w:r>
        <w:rPr>
          <w:rFonts w:hint="eastAsia" w:ascii="宋体" w:hAnsi="宋体" w:cs="宋体"/>
          <w:b/>
          <w:bCs/>
          <w:color w:val="auto"/>
          <w:sz w:val="28"/>
          <w:szCs w:val="28"/>
          <w:highlight w:val="none"/>
        </w:rPr>
        <w:t>投标文件</w:t>
      </w:r>
      <w:bookmarkEnd w:id="80"/>
      <w:bookmarkEnd w:id="81"/>
      <w:bookmarkEnd w:id="82"/>
      <w:bookmarkEnd w:id="83"/>
      <w:bookmarkEnd w:id="84"/>
      <w:bookmarkEnd w:id="85"/>
    </w:p>
    <w:p w14:paraId="4235FAC3">
      <w:pPr>
        <w:spacing w:line="360" w:lineRule="auto"/>
        <w:rPr>
          <w:rFonts w:ascii="宋体"/>
          <w:b/>
          <w:bCs/>
          <w:color w:val="auto"/>
          <w:highlight w:val="none"/>
        </w:rPr>
      </w:pPr>
      <w:r>
        <w:rPr>
          <w:rFonts w:ascii="宋体" w:hAnsi="宋体" w:cs="宋体"/>
          <w:b/>
          <w:bCs/>
          <w:color w:val="auto"/>
          <w:highlight w:val="none"/>
        </w:rPr>
        <w:t>9.</w:t>
      </w:r>
      <w:r>
        <w:rPr>
          <w:rFonts w:hint="eastAsia" w:ascii="宋体" w:hAnsi="宋体" w:cs="宋体"/>
          <w:b/>
          <w:bCs/>
          <w:color w:val="auto"/>
          <w:highlight w:val="none"/>
        </w:rPr>
        <w:t>投标文件的组成</w:t>
      </w:r>
    </w:p>
    <w:p w14:paraId="36BE9E72">
      <w:pPr>
        <w:spacing w:line="400" w:lineRule="exact"/>
        <w:rPr>
          <w:rFonts w:ascii="宋体"/>
          <w:color w:val="auto"/>
          <w:kern w:val="0"/>
          <w:sz w:val="24"/>
          <w:szCs w:val="24"/>
          <w:highlight w:val="none"/>
        </w:rPr>
      </w:pPr>
      <w:r>
        <w:rPr>
          <w:rFonts w:ascii="宋体" w:hAnsi="宋体" w:cs="宋体"/>
          <w:b/>
          <w:bCs/>
          <w:color w:val="auto"/>
          <w:highlight w:val="none"/>
        </w:rPr>
        <w:t>9.1</w:t>
      </w:r>
      <w:r>
        <w:rPr>
          <w:rFonts w:hint="eastAsia" w:ascii="宋体" w:hAnsi="宋体" w:cs="宋体"/>
          <w:b/>
          <w:bCs/>
          <w:color w:val="auto"/>
          <w:kern w:val="0"/>
          <w:highlight w:val="none"/>
        </w:rPr>
        <w:t>投标文件的形式和效力</w:t>
      </w:r>
    </w:p>
    <w:p w14:paraId="3FEBE538">
      <w:pPr>
        <w:widowControl/>
        <w:spacing w:line="360" w:lineRule="auto"/>
        <w:ind w:firstLine="420" w:firstLineChars="200"/>
        <w:jc w:val="left"/>
        <w:rPr>
          <w:rFonts w:ascii="宋体"/>
          <w:color w:val="auto"/>
          <w:kern w:val="0"/>
          <w:sz w:val="24"/>
          <w:szCs w:val="24"/>
          <w:highlight w:val="none"/>
        </w:rPr>
      </w:pPr>
      <w:r>
        <w:rPr>
          <w:rFonts w:hint="eastAsia" w:ascii="宋体" w:hAnsi="宋体" w:cs="宋体"/>
          <w:color w:val="auto"/>
          <w:kern w:val="0"/>
          <w:highlight w:val="none"/>
        </w:rPr>
        <w:t>（</w:t>
      </w:r>
      <w:r>
        <w:rPr>
          <w:rFonts w:ascii="宋体" w:hAnsi="宋体" w:cs="宋体"/>
          <w:color w:val="auto"/>
          <w:kern w:val="0"/>
          <w:highlight w:val="none"/>
        </w:rPr>
        <w:t>1</w:t>
      </w:r>
      <w:r>
        <w:rPr>
          <w:rFonts w:hint="eastAsia" w:ascii="宋体" w:hAnsi="宋体" w:cs="宋体"/>
          <w:color w:val="auto"/>
          <w:kern w:val="0"/>
          <w:highlight w:val="none"/>
        </w:rPr>
        <w:t>）投标文件分为电子投标文件以及备份投标文件，备份投标文件为以</w:t>
      </w:r>
      <w:r>
        <w:rPr>
          <w:rFonts w:ascii="宋体" w:hAnsi="宋体" w:cs="宋体"/>
          <w:color w:val="auto"/>
          <w:kern w:val="0"/>
          <w:highlight w:val="none"/>
        </w:rPr>
        <w:t>U</w:t>
      </w:r>
      <w:r>
        <w:rPr>
          <w:rFonts w:hint="eastAsia" w:ascii="宋体" w:hAnsi="宋体" w:cs="宋体"/>
          <w:color w:val="auto"/>
          <w:kern w:val="0"/>
          <w:highlight w:val="none"/>
        </w:rPr>
        <w:t>盘存储的电子备份投标文件。</w:t>
      </w:r>
    </w:p>
    <w:p w14:paraId="7AE174CB">
      <w:pPr>
        <w:widowControl/>
        <w:spacing w:line="360" w:lineRule="auto"/>
        <w:ind w:firstLine="420" w:firstLineChars="200"/>
        <w:jc w:val="left"/>
        <w:rPr>
          <w:rFonts w:ascii="宋体"/>
          <w:color w:val="auto"/>
          <w:kern w:val="0"/>
          <w:sz w:val="24"/>
          <w:szCs w:val="24"/>
          <w:highlight w:val="none"/>
        </w:rPr>
      </w:pPr>
      <w:r>
        <w:rPr>
          <w:rFonts w:hint="eastAsia" w:ascii="宋体" w:hAnsi="宋体" w:cs="宋体"/>
          <w:color w:val="auto"/>
          <w:kern w:val="0"/>
          <w:highlight w:val="none"/>
        </w:rPr>
        <w:t>（</w:t>
      </w:r>
      <w:r>
        <w:rPr>
          <w:rFonts w:ascii="宋体" w:hAnsi="宋体" w:cs="宋体"/>
          <w:color w:val="auto"/>
          <w:kern w:val="0"/>
          <w:highlight w:val="none"/>
        </w:rPr>
        <w:t>2</w:t>
      </w:r>
      <w:r>
        <w:rPr>
          <w:rFonts w:hint="eastAsia" w:ascii="宋体" w:hAnsi="宋体" w:cs="宋体"/>
          <w:color w:val="auto"/>
          <w:kern w:val="0"/>
          <w:highlight w:val="none"/>
        </w:rPr>
        <w:t>）电子投标文件，按“政采云供应商项目采购</w:t>
      </w:r>
      <w:r>
        <w:rPr>
          <w:rFonts w:ascii="宋体" w:cs="宋体"/>
          <w:color w:val="auto"/>
          <w:kern w:val="0"/>
          <w:highlight w:val="none"/>
        </w:rPr>
        <w:t>-</w:t>
      </w:r>
      <w:r>
        <w:rPr>
          <w:rFonts w:hint="eastAsia" w:ascii="宋体" w:hAnsi="宋体" w:cs="宋体"/>
          <w:color w:val="auto"/>
          <w:kern w:val="0"/>
          <w:highlight w:val="none"/>
        </w:rPr>
        <w:t>电子招投标操作指南”及本招标文件要求制作、加密并递交。</w:t>
      </w:r>
    </w:p>
    <w:p w14:paraId="61B0D634">
      <w:pPr>
        <w:widowControl/>
        <w:spacing w:line="360" w:lineRule="auto"/>
        <w:ind w:firstLine="420" w:firstLineChars="200"/>
        <w:jc w:val="left"/>
        <w:rPr>
          <w:rFonts w:ascii="宋体"/>
          <w:color w:val="auto"/>
          <w:kern w:val="0"/>
          <w:sz w:val="24"/>
          <w:szCs w:val="24"/>
          <w:highlight w:val="none"/>
        </w:rPr>
      </w:pPr>
      <w:r>
        <w:rPr>
          <w:rFonts w:hint="eastAsia" w:ascii="宋体" w:hAnsi="宋体" w:cs="宋体"/>
          <w:color w:val="auto"/>
          <w:kern w:val="0"/>
          <w:highlight w:val="none"/>
        </w:rPr>
        <w:t>（</w:t>
      </w:r>
      <w:r>
        <w:rPr>
          <w:rFonts w:ascii="宋体" w:hAnsi="宋体" w:cs="宋体"/>
          <w:color w:val="auto"/>
          <w:kern w:val="0"/>
          <w:highlight w:val="none"/>
        </w:rPr>
        <w:t>3</w:t>
      </w:r>
      <w:r>
        <w:rPr>
          <w:rFonts w:hint="eastAsia" w:ascii="宋体" w:hAnsi="宋体" w:cs="宋体"/>
          <w:color w:val="auto"/>
          <w:kern w:val="0"/>
          <w:highlight w:val="none"/>
        </w:rPr>
        <w:t>）以</w:t>
      </w:r>
      <w:r>
        <w:rPr>
          <w:rFonts w:ascii="宋体" w:hAnsi="宋体" w:cs="宋体"/>
          <w:color w:val="auto"/>
          <w:kern w:val="0"/>
          <w:highlight w:val="none"/>
        </w:rPr>
        <w:t>U</w:t>
      </w:r>
      <w:r>
        <w:rPr>
          <w:rFonts w:hint="eastAsia" w:ascii="宋体" w:hAnsi="宋体" w:cs="宋体"/>
          <w:color w:val="auto"/>
          <w:kern w:val="0"/>
          <w:highlight w:val="none"/>
        </w:rPr>
        <w:t>盘存储的电子备份投标文件，须按“政采云供应商项目采购</w:t>
      </w:r>
      <w:r>
        <w:rPr>
          <w:rFonts w:ascii="宋体" w:cs="宋体"/>
          <w:color w:val="auto"/>
          <w:kern w:val="0"/>
          <w:highlight w:val="none"/>
        </w:rPr>
        <w:t>-</w:t>
      </w:r>
      <w:r>
        <w:rPr>
          <w:rFonts w:hint="eastAsia" w:ascii="宋体" w:hAnsi="宋体" w:cs="宋体"/>
          <w:color w:val="auto"/>
          <w:kern w:val="0"/>
          <w:highlight w:val="none"/>
        </w:rPr>
        <w:t>电子招投标操作指南”制作的备份文件（后缀格式为“</w:t>
      </w:r>
      <w:r>
        <w:rPr>
          <w:rFonts w:ascii="宋体" w:hAnsi="宋体" w:cs="宋体"/>
          <w:color w:val="auto"/>
          <w:kern w:val="0"/>
          <w:highlight w:val="none"/>
        </w:rPr>
        <w:t>.bfbs</w:t>
      </w:r>
      <w:r>
        <w:rPr>
          <w:rFonts w:hint="eastAsia" w:ascii="宋体" w:hAnsi="宋体" w:cs="宋体"/>
          <w:color w:val="auto"/>
          <w:kern w:val="0"/>
          <w:highlight w:val="none"/>
        </w:rPr>
        <w:t>”）。因</w:t>
      </w:r>
      <w:r>
        <w:rPr>
          <w:rFonts w:ascii="宋体" w:hAnsi="宋体" w:cs="宋体"/>
          <w:color w:val="auto"/>
          <w:kern w:val="0"/>
          <w:highlight w:val="none"/>
        </w:rPr>
        <w:t>U</w:t>
      </w:r>
      <w:r>
        <w:rPr>
          <w:rFonts w:hint="eastAsia" w:ascii="宋体" w:hAnsi="宋体" w:cs="宋体"/>
          <w:color w:val="auto"/>
          <w:kern w:val="0"/>
          <w:highlight w:val="none"/>
        </w:rPr>
        <w:t>盘损坏无法正常获取电子备份文件或</w:t>
      </w:r>
      <w:r>
        <w:rPr>
          <w:rFonts w:ascii="宋体" w:hAnsi="宋体" w:cs="宋体"/>
          <w:color w:val="auto"/>
          <w:kern w:val="0"/>
          <w:highlight w:val="none"/>
        </w:rPr>
        <w:t>U</w:t>
      </w:r>
      <w:r>
        <w:rPr>
          <w:rFonts w:hint="eastAsia" w:ascii="宋体" w:hAnsi="宋体" w:cs="宋体"/>
          <w:color w:val="auto"/>
          <w:kern w:val="0"/>
          <w:highlight w:val="none"/>
        </w:rPr>
        <w:t>盘存储的电子备份投标文件格式原因未能成功上传政采云系统的均作无效标处理，一切责任由投标人自行负责。</w:t>
      </w:r>
    </w:p>
    <w:p w14:paraId="2332C70F">
      <w:pPr>
        <w:spacing w:line="400" w:lineRule="exact"/>
        <w:ind w:firstLine="420" w:firstLineChars="200"/>
        <w:rPr>
          <w:rFonts w:ascii="宋体"/>
          <w:color w:val="auto"/>
          <w:highlight w:val="none"/>
        </w:rPr>
      </w:pPr>
      <w:r>
        <w:rPr>
          <w:rFonts w:hint="eastAsia" w:ascii="宋体" w:hAnsi="宋体" w:cs="宋体"/>
          <w:b/>
          <w:bCs/>
          <w:color w:val="auto"/>
          <w:kern w:val="0"/>
          <w:highlight w:val="none"/>
        </w:rPr>
        <w:t>（</w:t>
      </w:r>
      <w:r>
        <w:rPr>
          <w:rFonts w:ascii="宋体" w:hAnsi="宋体" w:cs="宋体"/>
          <w:b/>
          <w:bCs/>
          <w:color w:val="auto"/>
          <w:kern w:val="0"/>
          <w:highlight w:val="none"/>
        </w:rPr>
        <w:t>4</w:t>
      </w:r>
      <w:r>
        <w:rPr>
          <w:rFonts w:hint="eastAsia" w:ascii="宋体" w:hAnsi="宋体" w:cs="宋体"/>
          <w:b/>
          <w:bCs/>
          <w:color w:val="auto"/>
          <w:kern w:val="0"/>
          <w:highlight w:val="none"/>
        </w:rPr>
        <w:t>）投标文件的效力：投标文件的启用，按先后顺位分别为电子投标文件、以</w:t>
      </w:r>
      <w:r>
        <w:rPr>
          <w:rFonts w:ascii="宋体" w:hAnsi="宋体" w:cs="宋体"/>
          <w:b/>
          <w:bCs/>
          <w:color w:val="auto"/>
          <w:kern w:val="0"/>
          <w:highlight w:val="none"/>
        </w:rPr>
        <w:t>U</w:t>
      </w:r>
      <w:r>
        <w:rPr>
          <w:rFonts w:hint="eastAsia" w:ascii="宋体" w:hAnsi="宋体" w:cs="宋体"/>
          <w:b/>
          <w:bCs/>
          <w:color w:val="auto"/>
          <w:kern w:val="0"/>
          <w:highlight w:val="none"/>
        </w:rPr>
        <w:t>盘存储的电子备份投标文件。在下一顺位的投标文件启用时，前一顺位的投标文件自动失效。电子投标文件未能按时解密，供应商提供了电子备份投标文件，以电子备份投标文件作为依据，否则视为投标文件撤回。电子投标文件已按时解密的，电子备份投标文件自动失效。</w:t>
      </w:r>
    </w:p>
    <w:p w14:paraId="7866A1AB">
      <w:pPr>
        <w:spacing w:line="400" w:lineRule="exact"/>
        <w:rPr>
          <w:rFonts w:ascii="宋体"/>
          <w:color w:val="auto"/>
          <w:highlight w:val="none"/>
        </w:rPr>
      </w:pPr>
      <w:r>
        <w:rPr>
          <w:rFonts w:ascii="宋体" w:hAnsi="宋体" w:cs="宋体"/>
          <w:b/>
          <w:bCs/>
          <w:color w:val="auto"/>
          <w:highlight w:val="none"/>
        </w:rPr>
        <w:t>9.2</w:t>
      </w:r>
      <w:r>
        <w:rPr>
          <w:rFonts w:hint="eastAsia" w:ascii="宋体" w:hAnsi="宋体" w:cs="宋体"/>
          <w:color w:val="auto"/>
          <w:kern w:val="0"/>
          <w:highlight w:val="none"/>
        </w:rPr>
        <w:t>投标文件由资格文件、商务技术文件和报价文件三部分组成，资格文件、商务技术文件、报价文件分别编制；电子投标文件中所须加盖公章部分均采用</w:t>
      </w:r>
      <w:r>
        <w:rPr>
          <w:rFonts w:ascii="宋体" w:hAnsi="宋体" w:cs="宋体"/>
          <w:color w:val="auto"/>
          <w:kern w:val="0"/>
          <w:highlight w:val="none"/>
        </w:rPr>
        <w:t>CA</w:t>
      </w:r>
      <w:r>
        <w:rPr>
          <w:rFonts w:hint="eastAsia" w:ascii="宋体" w:hAnsi="宋体" w:cs="宋体"/>
          <w:color w:val="auto"/>
          <w:kern w:val="0"/>
          <w:highlight w:val="none"/>
        </w:rPr>
        <w:t>签章。</w:t>
      </w:r>
      <w:r>
        <w:rPr>
          <w:rFonts w:hint="eastAsia" w:ascii="宋体" w:hAnsi="宋体" w:cs="宋体"/>
          <w:color w:val="auto"/>
          <w:highlight w:val="none"/>
        </w:rPr>
        <w:t>具体组成内容在本招标文件“投标资料表”中做出规定。</w:t>
      </w:r>
    </w:p>
    <w:p w14:paraId="7848F0ED">
      <w:pPr>
        <w:spacing w:line="440" w:lineRule="exact"/>
        <w:rPr>
          <w:rFonts w:ascii="宋体"/>
          <w:color w:val="auto"/>
          <w:highlight w:val="none"/>
        </w:rPr>
      </w:pPr>
      <w:r>
        <w:rPr>
          <w:rFonts w:ascii="宋体" w:hAnsi="宋体" w:cs="宋体"/>
          <w:b/>
          <w:bCs/>
          <w:color w:val="auto"/>
          <w:highlight w:val="none"/>
        </w:rPr>
        <w:t>9.3</w:t>
      </w:r>
      <w:r>
        <w:rPr>
          <w:rFonts w:hint="eastAsia" w:ascii="宋体" w:hAnsi="宋体" w:cs="宋体"/>
          <w:color w:val="auto"/>
          <w:highlight w:val="none"/>
        </w:rPr>
        <w:t>组成投标文件的各项资料中本招标书的有规定格式的，应统一按本招标书的规定格式填写。未有规定格式的资料，投标人应自行编制，但至少要包含组成投标文件要求的内容。</w:t>
      </w:r>
    </w:p>
    <w:p w14:paraId="6DB996D3">
      <w:pPr>
        <w:spacing w:line="440" w:lineRule="exact"/>
        <w:rPr>
          <w:rFonts w:ascii="宋体"/>
          <w:color w:val="auto"/>
          <w:highlight w:val="none"/>
        </w:rPr>
      </w:pPr>
    </w:p>
    <w:p w14:paraId="2D174B74">
      <w:pPr>
        <w:spacing w:line="400" w:lineRule="exact"/>
        <w:rPr>
          <w:rFonts w:ascii="宋体"/>
          <w:b/>
          <w:bCs/>
          <w:color w:val="auto"/>
          <w:highlight w:val="none"/>
        </w:rPr>
      </w:pPr>
      <w:r>
        <w:rPr>
          <w:rFonts w:ascii="宋体" w:hAnsi="宋体" w:cs="宋体"/>
          <w:b/>
          <w:bCs/>
          <w:color w:val="auto"/>
          <w:highlight w:val="none"/>
        </w:rPr>
        <w:t>10.</w:t>
      </w:r>
      <w:r>
        <w:rPr>
          <w:rFonts w:hint="eastAsia" w:ascii="宋体" w:hAnsi="宋体" w:cs="宋体"/>
          <w:b/>
          <w:bCs/>
          <w:color w:val="auto"/>
          <w:highlight w:val="none"/>
        </w:rPr>
        <w:t>投标报价</w:t>
      </w:r>
    </w:p>
    <w:p w14:paraId="3471AC3E">
      <w:pPr>
        <w:spacing w:line="400" w:lineRule="exact"/>
        <w:rPr>
          <w:rFonts w:ascii="宋体"/>
          <w:color w:val="auto"/>
          <w:highlight w:val="none"/>
        </w:rPr>
      </w:pPr>
      <w:r>
        <w:rPr>
          <w:rFonts w:ascii="宋体" w:hAnsi="宋体" w:cs="宋体"/>
          <w:b/>
          <w:bCs/>
          <w:color w:val="auto"/>
          <w:highlight w:val="none"/>
        </w:rPr>
        <w:t>10.1</w:t>
      </w:r>
      <w:r>
        <w:rPr>
          <w:rFonts w:hint="eastAsia" w:ascii="宋体" w:hAnsi="宋体" w:cs="宋体"/>
          <w:color w:val="auto"/>
          <w:highlight w:val="none"/>
        </w:rPr>
        <w:t>本次招标对投标报价组成的具体要求在招标文件“投标资料表”中做出规定。</w:t>
      </w:r>
    </w:p>
    <w:p w14:paraId="68577A14">
      <w:pPr>
        <w:spacing w:line="400" w:lineRule="exact"/>
        <w:rPr>
          <w:rFonts w:ascii="宋体"/>
          <w:color w:val="auto"/>
          <w:highlight w:val="none"/>
        </w:rPr>
      </w:pPr>
      <w:r>
        <w:rPr>
          <w:rFonts w:ascii="宋体" w:hAnsi="宋体" w:cs="宋体"/>
          <w:b/>
          <w:bCs/>
          <w:color w:val="auto"/>
          <w:highlight w:val="none"/>
        </w:rPr>
        <w:t>10.2</w:t>
      </w:r>
      <w:r>
        <w:rPr>
          <w:rFonts w:hint="eastAsia" w:ascii="宋体" w:hAnsi="宋体" w:cs="宋体"/>
          <w:color w:val="auto"/>
          <w:highlight w:val="none"/>
        </w:rPr>
        <w:t>投标人要按照招标文件中的“开标一览表”格式和内容完整填写投标总价及其他事项。</w:t>
      </w:r>
    </w:p>
    <w:p w14:paraId="21EA07E2">
      <w:pPr>
        <w:spacing w:line="400" w:lineRule="exact"/>
        <w:rPr>
          <w:rFonts w:ascii="宋体"/>
          <w:color w:val="auto"/>
          <w:highlight w:val="none"/>
        </w:rPr>
      </w:pPr>
      <w:r>
        <w:rPr>
          <w:rFonts w:ascii="宋体" w:hAnsi="宋体" w:cs="宋体"/>
          <w:b/>
          <w:bCs/>
          <w:color w:val="auto"/>
          <w:highlight w:val="none"/>
        </w:rPr>
        <w:t>10.3</w:t>
      </w:r>
      <w:r>
        <w:rPr>
          <w:rFonts w:hint="eastAsia" w:ascii="宋体" w:hAnsi="宋体" w:cs="宋体"/>
          <w:color w:val="auto"/>
          <w:highlight w:val="none"/>
        </w:rPr>
        <w:t>除非招标文件另有备选投标方案的规定，投标应该只有一个投标报价。投标人若有投标声明，应载明在“开标一览表”中，供开标时唱出，未经唱出的声明在评标时不作考虑。</w:t>
      </w:r>
    </w:p>
    <w:p w14:paraId="1C10329E">
      <w:pPr>
        <w:spacing w:line="400" w:lineRule="exact"/>
        <w:rPr>
          <w:rFonts w:ascii="宋体"/>
          <w:b/>
          <w:bCs/>
          <w:color w:val="auto"/>
          <w:highlight w:val="none"/>
        </w:rPr>
      </w:pPr>
      <w:r>
        <w:rPr>
          <w:rFonts w:ascii="宋体" w:hAnsi="宋体" w:cs="宋体"/>
          <w:b/>
          <w:bCs/>
          <w:color w:val="auto"/>
          <w:highlight w:val="none"/>
        </w:rPr>
        <w:t>10.4</w:t>
      </w:r>
      <w:r>
        <w:rPr>
          <w:rFonts w:hint="eastAsia" w:ascii="宋体" w:hAnsi="宋体" w:cs="宋体"/>
          <w:color w:val="auto"/>
          <w:highlight w:val="none"/>
        </w:rPr>
        <w:t>开标后以及在评标及中标后的合同执行过程中，投标人不得以任何理由变更投标价格。</w:t>
      </w:r>
      <w:r>
        <w:rPr>
          <w:rFonts w:hint="eastAsia" w:ascii="宋体" w:hAnsi="宋体" w:cs="宋体"/>
          <w:b/>
          <w:bCs/>
          <w:color w:val="auto"/>
          <w:highlight w:val="none"/>
        </w:rPr>
        <w:t>若投标人在中标以后做出任何改变投标价格的决定，将被视作撤标而失去中标资格。</w:t>
      </w:r>
    </w:p>
    <w:p w14:paraId="16C68028">
      <w:pPr>
        <w:spacing w:line="400" w:lineRule="exact"/>
        <w:rPr>
          <w:rFonts w:ascii="宋体"/>
          <w:b/>
          <w:bCs/>
          <w:color w:val="auto"/>
          <w:highlight w:val="none"/>
        </w:rPr>
      </w:pPr>
      <w:r>
        <w:rPr>
          <w:rFonts w:ascii="宋体" w:hAnsi="宋体" w:cs="宋体"/>
          <w:b/>
          <w:bCs/>
          <w:color w:val="auto"/>
          <w:highlight w:val="none"/>
        </w:rPr>
        <w:t>10.5</w:t>
      </w:r>
      <w:r>
        <w:rPr>
          <w:rFonts w:hint="eastAsia" w:ascii="宋体" w:hAnsi="宋体" w:cs="宋体"/>
          <w:b/>
          <w:bCs/>
          <w:color w:val="auto"/>
          <w:highlight w:val="none"/>
        </w:rPr>
        <w:t>本项目采用最高投标限价，超过最高限价的投标文件无效。</w:t>
      </w:r>
    </w:p>
    <w:p w14:paraId="0544BE5B">
      <w:pPr>
        <w:spacing w:line="400" w:lineRule="exact"/>
        <w:rPr>
          <w:rFonts w:ascii="宋体"/>
          <w:b/>
          <w:bCs/>
          <w:color w:val="auto"/>
          <w:highlight w:val="none"/>
        </w:rPr>
      </w:pPr>
      <w:r>
        <w:rPr>
          <w:rFonts w:ascii="宋体" w:hAnsi="宋体" w:cs="宋体"/>
          <w:b/>
          <w:bCs/>
          <w:color w:val="auto"/>
          <w:highlight w:val="none"/>
        </w:rPr>
        <w:t>10.6</w:t>
      </w:r>
      <w:r>
        <w:rPr>
          <w:rFonts w:hint="eastAsia" w:ascii="宋体" w:hAnsi="宋体" w:cs="宋体"/>
          <w:color w:val="auto"/>
          <w:highlight w:val="none"/>
        </w:rPr>
        <w:t>本项目的投标货币为人民币。</w:t>
      </w:r>
    </w:p>
    <w:p w14:paraId="79F2EACC">
      <w:pPr>
        <w:spacing w:line="400" w:lineRule="exact"/>
        <w:rPr>
          <w:rFonts w:ascii="宋体"/>
          <w:b/>
          <w:bCs/>
          <w:color w:val="auto"/>
          <w:highlight w:val="none"/>
        </w:rPr>
      </w:pPr>
    </w:p>
    <w:p w14:paraId="000DE4EE">
      <w:pPr>
        <w:spacing w:line="400" w:lineRule="exact"/>
        <w:rPr>
          <w:rFonts w:ascii="宋体"/>
          <w:color w:val="auto"/>
          <w:highlight w:val="none"/>
        </w:rPr>
      </w:pPr>
      <w:r>
        <w:rPr>
          <w:rFonts w:ascii="宋体" w:hAnsi="宋体" w:cs="宋体"/>
          <w:b/>
          <w:bCs/>
          <w:color w:val="auto"/>
          <w:highlight w:val="none"/>
        </w:rPr>
        <w:t>11.</w:t>
      </w:r>
      <w:r>
        <w:rPr>
          <w:rFonts w:hint="eastAsia" w:ascii="宋体" w:hAnsi="宋体" w:cs="宋体"/>
          <w:b/>
          <w:bCs/>
          <w:color w:val="auto"/>
          <w:highlight w:val="none"/>
        </w:rPr>
        <w:t>投标文件的格式和编写</w:t>
      </w:r>
    </w:p>
    <w:p w14:paraId="4604799D">
      <w:pPr>
        <w:spacing w:line="400" w:lineRule="exact"/>
        <w:rPr>
          <w:rFonts w:ascii="宋体" w:hAnsi="宋体" w:cs="宋体"/>
          <w:color w:val="auto"/>
          <w:highlight w:val="none"/>
        </w:rPr>
      </w:pPr>
      <w:r>
        <w:rPr>
          <w:rFonts w:hint="eastAsia" w:ascii="宋体" w:hAnsi="宋体" w:cs="宋体"/>
          <w:b/>
          <w:color w:val="auto"/>
          <w:highlight w:val="none"/>
        </w:rPr>
        <w:t>11.1</w:t>
      </w:r>
      <w:r>
        <w:rPr>
          <w:rFonts w:hint="eastAsia" w:ascii="宋体" w:hAnsi="宋体" w:cs="宋体"/>
          <w:color w:val="auto"/>
          <w:highlight w:val="none"/>
        </w:rPr>
        <w:t>投标文件须按“投标文件的有关格式”提供的统一格式填写、签署和加盖公章。</w:t>
      </w:r>
    </w:p>
    <w:p w14:paraId="3FD1A676">
      <w:pPr>
        <w:spacing w:line="400" w:lineRule="exact"/>
        <w:rPr>
          <w:rFonts w:ascii="宋体" w:hAnsi="宋体" w:cs="宋体"/>
          <w:color w:val="auto"/>
          <w:highlight w:val="none"/>
        </w:rPr>
      </w:pPr>
      <w:r>
        <w:rPr>
          <w:rFonts w:hint="eastAsia" w:ascii="宋体" w:hAnsi="宋体" w:cs="宋体"/>
          <w:b/>
          <w:color w:val="auto"/>
          <w:highlight w:val="none"/>
        </w:rPr>
        <w:t>11.2</w:t>
      </w:r>
      <w:r>
        <w:rPr>
          <w:rFonts w:hint="eastAsia" w:ascii="宋体" w:hAnsi="宋体" w:cs="宋体"/>
          <w:color w:val="auto"/>
          <w:highlight w:val="none"/>
        </w:rPr>
        <w:t>“开标一览表”应按照统一格式填写，不得自行增减内容。</w:t>
      </w:r>
    </w:p>
    <w:p w14:paraId="44F4243E">
      <w:pPr>
        <w:widowControl/>
        <w:spacing w:line="360" w:lineRule="auto"/>
        <w:rPr>
          <w:rFonts w:ascii="宋体" w:hAnsi="宋体" w:cs="宋体"/>
          <w:color w:val="auto"/>
          <w:highlight w:val="none"/>
        </w:rPr>
      </w:pPr>
      <w:r>
        <w:rPr>
          <w:rFonts w:hint="eastAsia" w:cs="宋体" w:asciiTheme="minorEastAsia" w:hAnsiTheme="minorEastAsia" w:eastAsiaTheme="minorEastAsia"/>
          <w:b/>
          <w:color w:val="auto"/>
          <w:highlight w:val="none"/>
        </w:rPr>
        <w:t>11.3</w:t>
      </w:r>
      <w:r>
        <w:rPr>
          <w:rFonts w:hint="eastAsia" w:cs="宋体" w:asciiTheme="minorEastAsia" w:hAnsiTheme="minorEastAsia" w:eastAsiaTheme="minorEastAsia"/>
          <w:bCs/>
          <w:color w:val="auto"/>
          <w:highlight w:val="none"/>
        </w:rPr>
        <w:t>投标书文件数量</w:t>
      </w:r>
      <w:r>
        <w:rPr>
          <w:rFonts w:hint="eastAsia" w:ascii="宋体" w:hAnsi="宋体" w:cs="宋体"/>
          <w:color w:val="auto"/>
          <w:highlight w:val="none"/>
        </w:rPr>
        <w:t>的具体要求在招标文件“投标资料表”中做出规定。</w:t>
      </w:r>
    </w:p>
    <w:p w14:paraId="06513234">
      <w:pPr>
        <w:widowControl/>
        <w:spacing w:line="360" w:lineRule="auto"/>
        <w:jc w:val="left"/>
        <w:rPr>
          <w:rFonts w:cs="宋体" w:asciiTheme="minorEastAsia" w:hAnsiTheme="minorEastAsia" w:eastAsiaTheme="minorEastAsia"/>
          <w:color w:val="auto"/>
          <w:kern w:val="0"/>
          <w:sz w:val="24"/>
          <w:highlight w:val="none"/>
        </w:rPr>
      </w:pPr>
      <w:r>
        <w:rPr>
          <w:rFonts w:hint="eastAsia" w:cs="宋体" w:asciiTheme="minorEastAsia" w:hAnsiTheme="minorEastAsia" w:eastAsiaTheme="minorEastAsia"/>
          <w:b/>
          <w:color w:val="auto"/>
          <w:highlight w:val="none"/>
        </w:rPr>
        <w:t>1.4</w:t>
      </w:r>
      <w:r>
        <w:rPr>
          <w:rFonts w:hint="eastAsia" w:cs="宋体" w:asciiTheme="minorEastAsia" w:hAnsiTheme="minorEastAsia" w:eastAsiaTheme="minorEastAsia"/>
          <w:b/>
          <w:bCs/>
          <w:color w:val="auto"/>
          <w:kern w:val="0"/>
          <w:highlight w:val="none"/>
        </w:rPr>
        <w:t>电子投标文件部分：投标人应根据“政采云供应商项目采购-电子招投标操作指南”及本招标文件规定的格式和顺序编制电子投标文件并进行关联定位；电子投标文件中须加盖投标人公章部分均采用CA签章，签字部分可用CA锁法人章（如有），未申请法人章的将签名部分签好后以扫描件形式上传至投标文件（具体操作请咨询政采云400-8817190）。</w:t>
      </w:r>
    </w:p>
    <w:p w14:paraId="0BD0EC14">
      <w:pPr>
        <w:spacing w:line="400" w:lineRule="exact"/>
        <w:rPr>
          <w:rFonts w:ascii="宋体" w:hAnsi="宋体" w:cs="宋体"/>
          <w:b/>
          <w:color w:val="auto"/>
          <w:highlight w:val="none"/>
        </w:rPr>
      </w:pPr>
      <w:r>
        <w:rPr>
          <w:rFonts w:hint="eastAsia" w:ascii="宋体" w:hAnsi="宋体" w:cs="宋体"/>
          <w:b/>
          <w:color w:val="auto"/>
          <w:highlight w:val="none"/>
        </w:rPr>
        <w:t>11.5</w:t>
      </w:r>
      <w:r>
        <w:rPr>
          <w:rFonts w:hint="eastAsia" w:ascii="宋体" w:hAnsi="宋体" w:cs="宋体"/>
          <w:color w:val="auto"/>
          <w:highlight w:val="none"/>
        </w:rPr>
        <w:t>除招标文件有特殊要求外，投标文件中所使用的计量单位应采用国家法定计量单位。</w:t>
      </w:r>
    </w:p>
    <w:p w14:paraId="647CC4B8">
      <w:pPr>
        <w:spacing w:line="400" w:lineRule="exact"/>
        <w:rPr>
          <w:rFonts w:ascii="宋体" w:hAnsi="宋体" w:cs="宋体"/>
          <w:color w:val="auto"/>
          <w:highlight w:val="none"/>
        </w:rPr>
      </w:pPr>
    </w:p>
    <w:p w14:paraId="2E385709">
      <w:pPr>
        <w:spacing w:line="400" w:lineRule="exact"/>
        <w:rPr>
          <w:rFonts w:ascii="宋体"/>
          <w:color w:val="auto"/>
          <w:highlight w:val="none"/>
        </w:rPr>
      </w:pPr>
      <w:r>
        <w:rPr>
          <w:rFonts w:ascii="宋体" w:hAnsi="宋体" w:cs="宋体"/>
          <w:b/>
          <w:bCs/>
          <w:color w:val="auto"/>
          <w:highlight w:val="none"/>
        </w:rPr>
        <w:t>12.</w:t>
      </w:r>
      <w:r>
        <w:rPr>
          <w:rFonts w:hint="eastAsia" w:ascii="宋体" w:hAnsi="宋体" w:cs="宋体"/>
          <w:b/>
          <w:bCs/>
          <w:color w:val="auto"/>
          <w:highlight w:val="none"/>
        </w:rPr>
        <w:t>投标有效期</w:t>
      </w:r>
    </w:p>
    <w:p w14:paraId="374D6767">
      <w:pPr>
        <w:spacing w:line="400" w:lineRule="exact"/>
        <w:rPr>
          <w:rFonts w:ascii="宋体"/>
          <w:color w:val="auto"/>
          <w:highlight w:val="none"/>
        </w:rPr>
      </w:pPr>
      <w:r>
        <w:rPr>
          <w:rFonts w:ascii="宋体" w:hAnsi="宋体" w:cs="宋体"/>
          <w:b/>
          <w:bCs/>
          <w:color w:val="auto"/>
          <w:highlight w:val="none"/>
        </w:rPr>
        <w:t>12.1</w:t>
      </w:r>
      <w:r>
        <w:rPr>
          <w:rFonts w:hint="eastAsia" w:ascii="宋体" w:hAnsi="宋体" w:cs="宋体"/>
          <w:color w:val="auto"/>
          <w:highlight w:val="none"/>
        </w:rPr>
        <w:t>投标有效期在本招标文件“投标资料表”中做出规定。投标有效期从提交投标文件的截止之日起算。投标文件中承诺的投标有效期应当不少于招标文件中载明的投标有效期。投标有效期内投标人撤销投标文件的，采购人或者采购代理机构可以不退还投标保证金。</w:t>
      </w:r>
    </w:p>
    <w:p w14:paraId="67FF2D10">
      <w:pPr>
        <w:spacing w:line="400" w:lineRule="exact"/>
        <w:rPr>
          <w:rFonts w:ascii="宋体"/>
          <w:color w:val="auto"/>
          <w:highlight w:val="none"/>
        </w:rPr>
      </w:pPr>
      <w:r>
        <w:rPr>
          <w:rFonts w:ascii="宋体" w:hAnsi="宋体" w:cs="宋体"/>
          <w:b/>
          <w:bCs/>
          <w:color w:val="auto"/>
          <w:highlight w:val="none"/>
        </w:rPr>
        <w:t>12.2</w:t>
      </w:r>
      <w:r>
        <w:rPr>
          <w:rFonts w:hint="eastAsia" w:ascii="宋体" w:hAnsi="宋体" w:cs="宋体"/>
          <w:color w:val="auto"/>
          <w:highlight w:val="none"/>
        </w:rPr>
        <w:t>在特殊情况下，在原投标有效期截止之前，应采购人要求，采购代理机构可要求投标人延长投标有效期，这种要求的提出和投标人的答复都应以书面（含传真）的形式进行。同意延长有效期的投标人不会被要求或允许修改其投标文件。若投标人不接受延期要求，则其投标失效，其投标保证金予以退还。</w:t>
      </w:r>
    </w:p>
    <w:p w14:paraId="40E7FDAF">
      <w:pPr>
        <w:spacing w:line="400" w:lineRule="exact"/>
        <w:rPr>
          <w:rFonts w:ascii="宋体"/>
          <w:color w:val="auto"/>
          <w:highlight w:val="none"/>
        </w:rPr>
      </w:pPr>
    </w:p>
    <w:p w14:paraId="7165DE67">
      <w:pPr>
        <w:spacing w:line="400" w:lineRule="exact"/>
        <w:rPr>
          <w:rFonts w:ascii="宋体"/>
          <w:color w:val="auto"/>
          <w:highlight w:val="none"/>
        </w:rPr>
      </w:pPr>
      <w:r>
        <w:rPr>
          <w:rFonts w:ascii="宋体" w:hAnsi="宋体" w:cs="宋体"/>
          <w:b/>
          <w:bCs/>
          <w:color w:val="auto"/>
          <w:highlight w:val="none"/>
        </w:rPr>
        <w:t>13</w:t>
      </w:r>
      <w:r>
        <w:rPr>
          <w:rFonts w:hint="eastAsia" w:ascii="宋体" w:hAnsi="宋体" w:cs="宋体"/>
          <w:b/>
          <w:bCs/>
          <w:color w:val="auto"/>
          <w:highlight w:val="none"/>
        </w:rPr>
        <w:t>投标保证金</w:t>
      </w:r>
    </w:p>
    <w:p w14:paraId="3D8B0B3D">
      <w:pPr>
        <w:spacing w:line="400" w:lineRule="exact"/>
        <w:rPr>
          <w:rFonts w:ascii="宋体" w:hAnsi="宋体" w:cs="宋体"/>
          <w:color w:val="auto"/>
          <w:highlight w:val="none"/>
        </w:rPr>
      </w:pPr>
      <w:r>
        <w:rPr>
          <w:rFonts w:hint="eastAsia" w:ascii="宋体" w:hAnsi="宋体" w:cs="宋体"/>
          <w:color w:val="auto"/>
          <w:highlight w:val="none"/>
        </w:rPr>
        <w:t>本项目无需缴纳投标保证金。</w:t>
      </w:r>
    </w:p>
    <w:p w14:paraId="0F04B693">
      <w:pPr>
        <w:spacing w:line="400" w:lineRule="exact"/>
        <w:rPr>
          <w:rFonts w:ascii="宋体"/>
          <w:color w:val="auto"/>
          <w:sz w:val="24"/>
          <w:szCs w:val="24"/>
          <w:highlight w:val="none"/>
          <w:u w:val="single"/>
        </w:rPr>
      </w:pPr>
    </w:p>
    <w:p w14:paraId="10511678">
      <w:pPr>
        <w:jc w:val="center"/>
        <w:outlineLvl w:val="1"/>
        <w:rPr>
          <w:rFonts w:ascii="宋体"/>
          <w:b/>
          <w:bCs/>
          <w:color w:val="auto"/>
          <w:sz w:val="28"/>
          <w:szCs w:val="28"/>
          <w:highlight w:val="none"/>
        </w:rPr>
      </w:pPr>
      <w:bookmarkStart w:id="86" w:name="_Toc513798903"/>
      <w:bookmarkStart w:id="87" w:name="_Toc520902397"/>
      <w:bookmarkStart w:id="88" w:name="_Toc440276564"/>
      <w:bookmarkStart w:id="89" w:name="_Toc513799074"/>
      <w:bookmarkStart w:id="90" w:name="_Toc141797677"/>
      <w:bookmarkStart w:id="91" w:name="_Toc141797117"/>
      <w:r>
        <w:rPr>
          <w:rFonts w:ascii="宋体" w:hAnsi="宋体" w:cs="宋体"/>
          <w:b/>
          <w:bCs/>
          <w:color w:val="auto"/>
          <w:sz w:val="28"/>
          <w:szCs w:val="28"/>
          <w:highlight w:val="none"/>
        </w:rPr>
        <w:t>D</w:t>
      </w:r>
      <w:r>
        <w:rPr>
          <w:rFonts w:hint="eastAsia" w:ascii="宋体" w:hAnsi="宋体" w:cs="宋体"/>
          <w:b/>
          <w:bCs/>
          <w:color w:val="auto"/>
          <w:sz w:val="28"/>
          <w:szCs w:val="28"/>
          <w:highlight w:val="none"/>
        </w:rPr>
        <w:t>投标文件的递交</w:t>
      </w:r>
      <w:bookmarkEnd w:id="86"/>
      <w:bookmarkEnd w:id="87"/>
      <w:bookmarkEnd w:id="88"/>
      <w:bookmarkEnd w:id="89"/>
      <w:bookmarkEnd w:id="90"/>
      <w:bookmarkEnd w:id="91"/>
    </w:p>
    <w:p w14:paraId="26A62286">
      <w:pPr>
        <w:spacing w:line="400" w:lineRule="exact"/>
        <w:rPr>
          <w:rFonts w:ascii="宋体"/>
          <w:color w:val="auto"/>
          <w:highlight w:val="none"/>
        </w:rPr>
      </w:pPr>
      <w:r>
        <w:rPr>
          <w:rFonts w:ascii="宋体" w:hAnsi="宋体" w:cs="宋体"/>
          <w:b/>
          <w:bCs/>
          <w:color w:val="auto"/>
          <w:highlight w:val="none"/>
        </w:rPr>
        <w:t>14.</w:t>
      </w:r>
      <w:r>
        <w:rPr>
          <w:rFonts w:hint="eastAsia" w:ascii="宋体" w:hAnsi="宋体" w:cs="宋体"/>
          <w:b/>
          <w:bCs/>
          <w:color w:val="auto"/>
          <w:highlight w:val="none"/>
        </w:rPr>
        <w:t>投标文件的装订、密封、标记和递送</w:t>
      </w:r>
    </w:p>
    <w:p w14:paraId="3D1F65B7">
      <w:pPr>
        <w:widowControl/>
        <w:spacing w:line="360" w:lineRule="auto"/>
        <w:ind w:firstLine="420" w:firstLineChars="200"/>
        <w:jc w:val="left"/>
        <w:rPr>
          <w:rFonts w:ascii="宋体"/>
          <w:color w:val="auto"/>
          <w:kern w:val="0"/>
          <w:sz w:val="24"/>
          <w:szCs w:val="24"/>
          <w:highlight w:val="none"/>
        </w:rPr>
      </w:pPr>
      <w:r>
        <w:rPr>
          <w:rFonts w:ascii="宋体" w:hAnsi="宋体" w:cs="宋体"/>
          <w:b/>
          <w:bCs/>
          <w:color w:val="auto"/>
          <w:highlight w:val="none"/>
        </w:rPr>
        <w:t>14.1</w:t>
      </w:r>
      <w:r>
        <w:rPr>
          <w:rFonts w:hint="eastAsia" w:ascii="宋体" w:hAnsi="宋体" w:cs="宋体"/>
          <w:color w:val="auto"/>
          <w:kern w:val="0"/>
          <w:highlight w:val="none"/>
        </w:rPr>
        <w:t>电子投标文件：供应商应根据“项目采购</w:t>
      </w:r>
      <w:r>
        <w:rPr>
          <w:rFonts w:ascii="宋体" w:cs="宋体"/>
          <w:color w:val="auto"/>
          <w:kern w:val="0"/>
          <w:highlight w:val="none"/>
        </w:rPr>
        <w:t>-</w:t>
      </w:r>
      <w:r>
        <w:rPr>
          <w:rFonts w:hint="eastAsia" w:ascii="宋体" w:hAnsi="宋体" w:cs="宋体"/>
          <w:color w:val="auto"/>
          <w:kern w:val="0"/>
          <w:highlight w:val="none"/>
        </w:rPr>
        <w:t>电子招投标操作指南”及本招标文件规定的格式和顺序编制电子投标文件并进行关联定位。</w:t>
      </w:r>
    </w:p>
    <w:p w14:paraId="19F50611">
      <w:pPr>
        <w:widowControl/>
        <w:spacing w:line="360" w:lineRule="auto"/>
        <w:ind w:firstLine="420" w:firstLineChars="200"/>
        <w:jc w:val="left"/>
        <w:rPr>
          <w:rFonts w:ascii="宋体"/>
          <w:color w:val="auto"/>
          <w:kern w:val="0"/>
          <w:sz w:val="24"/>
          <w:szCs w:val="24"/>
          <w:highlight w:val="none"/>
        </w:rPr>
      </w:pPr>
      <w:r>
        <w:rPr>
          <w:rFonts w:ascii="宋体" w:hAnsi="宋体" w:cs="宋体"/>
          <w:b/>
          <w:bCs/>
          <w:color w:val="auto"/>
          <w:highlight w:val="none"/>
        </w:rPr>
        <w:t>14.</w:t>
      </w:r>
      <w:r>
        <w:rPr>
          <w:rFonts w:ascii="宋体" w:hAnsi="宋体" w:cs="宋体"/>
          <w:b/>
          <w:bCs/>
          <w:color w:val="auto"/>
          <w:kern w:val="0"/>
          <w:highlight w:val="none"/>
        </w:rPr>
        <w:t>2</w:t>
      </w:r>
      <w:r>
        <w:rPr>
          <w:rFonts w:hint="eastAsia" w:ascii="宋体" w:hAnsi="宋体" w:cs="宋体"/>
          <w:b/>
          <w:bCs/>
          <w:color w:val="auto"/>
          <w:kern w:val="0"/>
          <w:highlight w:val="none"/>
        </w:rPr>
        <w:t>电子备份投标文件：单独包封，外包装封面上应注明投标人名称、投标人地址、投标文件名称（电子投标文件的备份文件）、投标项目名称、项目编号及“开标时启封”字样，并加盖投标人公章。</w:t>
      </w:r>
    </w:p>
    <w:p w14:paraId="66D74C2D">
      <w:pPr>
        <w:widowControl/>
        <w:spacing w:line="360" w:lineRule="auto"/>
        <w:ind w:firstLine="420" w:firstLineChars="200"/>
        <w:jc w:val="left"/>
        <w:rPr>
          <w:rFonts w:ascii="宋体"/>
          <w:color w:val="auto"/>
          <w:kern w:val="0"/>
          <w:sz w:val="24"/>
          <w:szCs w:val="24"/>
          <w:highlight w:val="none"/>
        </w:rPr>
      </w:pPr>
      <w:r>
        <w:rPr>
          <w:rFonts w:ascii="宋体" w:hAnsi="宋体" w:cs="宋体"/>
          <w:b/>
          <w:bCs/>
          <w:color w:val="auto"/>
          <w:highlight w:val="none"/>
        </w:rPr>
        <w:t>14.</w:t>
      </w:r>
      <w:r>
        <w:rPr>
          <w:rFonts w:ascii="宋体" w:hAnsi="宋体" w:cs="宋体"/>
          <w:b/>
          <w:bCs/>
          <w:color w:val="auto"/>
          <w:kern w:val="0"/>
          <w:highlight w:val="none"/>
        </w:rPr>
        <w:t>3</w:t>
      </w:r>
      <w:r>
        <w:rPr>
          <w:rFonts w:hint="eastAsia" w:ascii="宋体" w:hAnsi="宋体" w:cs="宋体"/>
          <w:b/>
          <w:bCs/>
          <w:color w:val="auto"/>
          <w:kern w:val="0"/>
          <w:highlight w:val="none"/>
        </w:rPr>
        <w:t>未按规定密封或标记的投标文件，采购人有权拒绝接受其投标。</w:t>
      </w:r>
    </w:p>
    <w:p w14:paraId="20915995">
      <w:pPr>
        <w:spacing w:line="400" w:lineRule="exact"/>
        <w:ind w:firstLine="420" w:firstLineChars="200"/>
        <w:rPr>
          <w:rFonts w:ascii="宋体"/>
          <w:color w:val="auto"/>
          <w:highlight w:val="none"/>
        </w:rPr>
      </w:pPr>
      <w:r>
        <w:rPr>
          <w:rFonts w:ascii="宋体" w:hAnsi="宋体" w:cs="宋体"/>
          <w:color w:val="auto"/>
          <w:highlight w:val="none"/>
        </w:rPr>
        <w:t>14.</w:t>
      </w:r>
      <w:r>
        <w:rPr>
          <w:rFonts w:ascii="宋体" w:hAnsi="宋体" w:cs="宋体"/>
          <w:color w:val="auto"/>
          <w:kern w:val="0"/>
          <w:highlight w:val="none"/>
        </w:rPr>
        <w:t>4</w:t>
      </w:r>
      <w:r>
        <w:rPr>
          <w:rFonts w:hint="eastAsia" w:ascii="宋体" w:hAnsi="宋体" w:cs="宋体"/>
          <w:color w:val="auto"/>
          <w:kern w:val="0"/>
          <w:highlight w:val="none"/>
        </w:rPr>
        <w:t>如果投标人未按上述要求密封或标记而造成投标文件被误投或提前拆封的风险由投标人承担。</w:t>
      </w:r>
    </w:p>
    <w:p w14:paraId="52BF2A9D">
      <w:pPr>
        <w:spacing w:line="400" w:lineRule="exact"/>
        <w:rPr>
          <w:rFonts w:ascii="宋体" w:hAnsi="宋体" w:cs="宋体"/>
          <w:b/>
          <w:bCs/>
          <w:color w:val="auto"/>
          <w:highlight w:val="none"/>
        </w:rPr>
      </w:pPr>
    </w:p>
    <w:p w14:paraId="75EB30A4">
      <w:pPr>
        <w:spacing w:line="400" w:lineRule="exact"/>
        <w:rPr>
          <w:rFonts w:ascii="宋体"/>
          <w:color w:val="auto"/>
          <w:highlight w:val="none"/>
        </w:rPr>
      </w:pPr>
      <w:r>
        <w:rPr>
          <w:rFonts w:ascii="宋体" w:hAnsi="宋体" w:cs="宋体"/>
          <w:b/>
          <w:bCs/>
          <w:color w:val="auto"/>
          <w:highlight w:val="none"/>
        </w:rPr>
        <w:t>15.</w:t>
      </w:r>
      <w:r>
        <w:rPr>
          <w:rFonts w:hint="eastAsia" w:ascii="宋体" w:hAnsi="宋体" w:cs="宋体"/>
          <w:b/>
          <w:bCs/>
          <w:color w:val="auto"/>
          <w:highlight w:val="none"/>
        </w:rPr>
        <w:t>投标截止时间</w:t>
      </w:r>
    </w:p>
    <w:p w14:paraId="4DBEB8C6">
      <w:pPr>
        <w:spacing w:line="400" w:lineRule="exact"/>
        <w:rPr>
          <w:rFonts w:ascii="宋体"/>
          <w:color w:val="auto"/>
          <w:highlight w:val="none"/>
        </w:rPr>
      </w:pPr>
      <w:r>
        <w:rPr>
          <w:rFonts w:ascii="宋体" w:hAnsi="宋体" w:cs="宋体"/>
          <w:b/>
          <w:bCs/>
          <w:color w:val="auto"/>
          <w:highlight w:val="none"/>
        </w:rPr>
        <w:t>15.1</w:t>
      </w:r>
      <w:r>
        <w:rPr>
          <w:rFonts w:hint="eastAsia" w:ascii="宋体" w:hAnsi="宋体" w:cs="宋体"/>
          <w:color w:val="auto"/>
          <w:highlight w:val="none"/>
        </w:rPr>
        <w:t>投标人应在招标文件要求提交（上传）投标文件的截止时间前，将投标文件上传至政府采购云平台。采购代理机构</w:t>
      </w:r>
      <w:r>
        <w:rPr>
          <w:rFonts w:hint="eastAsia" w:ascii="宋体" w:hAnsi="宋体" w:cs="宋体"/>
          <w:b/>
          <w:bCs/>
          <w:color w:val="auto"/>
          <w:highlight w:val="none"/>
        </w:rPr>
        <w:t>拒绝接收在投标截止时间以后提交（上传）的投标文件</w:t>
      </w:r>
      <w:r>
        <w:rPr>
          <w:rFonts w:hint="eastAsia" w:ascii="宋体" w:hAnsi="宋体" w:cs="宋体"/>
          <w:color w:val="auto"/>
          <w:highlight w:val="none"/>
        </w:rPr>
        <w:t>。</w:t>
      </w:r>
    </w:p>
    <w:p w14:paraId="786657EA">
      <w:pPr>
        <w:spacing w:line="400" w:lineRule="exact"/>
        <w:rPr>
          <w:rFonts w:ascii="宋体"/>
          <w:color w:val="auto"/>
          <w:highlight w:val="none"/>
        </w:rPr>
      </w:pPr>
      <w:r>
        <w:rPr>
          <w:rFonts w:ascii="宋体" w:hAnsi="宋体" w:cs="宋体"/>
          <w:b/>
          <w:bCs/>
          <w:color w:val="auto"/>
          <w:highlight w:val="none"/>
        </w:rPr>
        <w:t>15.2</w:t>
      </w:r>
      <w:r>
        <w:rPr>
          <w:rFonts w:hint="eastAsia" w:ascii="宋体" w:hAnsi="宋体" w:cs="宋体"/>
          <w:color w:val="auto"/>
          <w:highlight w:val="none"/>
        </w:rPr>
        <w:t>采购代理机构因故需推迟投标截止时间、开标时间时，应提前以公告或书面的形式通知购买招标文件的所有潜在投标人。潜在投标人在收到通知后应立即以书面形式回复采购代理机构。在这种情况下，采购代理机构和潜在投标人相应的权利和义务将受到新的截止期的约束。</w:t>
      </w:r>
    </w:p>
    <w:p w14:paraId="57313AE1">
      <w:pPr>
        <w:spacing w:line="400" w:lineRule="exact"/>
        <w:rPr>
          <w:rFonts w:ascii="宋体"/>
          <w:color w:val="auto"/>
          <w:highlight w:val="none"/>
        </w:rPr>
      </w:pPr>
    </w:p>
    <w:p w14:paraId="61A427F7">
      <w:pPr>
        <w:spacing w:line="400" w:lineRule="exact"/>
        <w:rPr>
          <w:rFonts w:ascii="宋体"/>
          <w:color w:val="auto"/>
          <w:highlight w:val="none"/>
        </w:rPr>
      </w:pPr>
      <w:r>
        <w:rPr>
          <w:rFonts w:ascii="宋体" w:hAnsi="宋体" w:cs="宋体"/>
          <w:b/>
          <w:bCs/>
          <w:color w:val="auto"/>
          <w:highlight w:val="none"/>
        </w:rPr>
        <w:t>16.</w:t>
      </w:r>
      <w:r>
        <w:rPr>
          <w:rFonts w:hint="eastAsia" w:ascii="宋体" w:hAnsi="宋体" w:cs="宋体"/>
          <w:b/>
          <w:bCs/>
          <w:color w:val="auto"/>
          <w:highlight w:val="none"/>
        </w:rPr>
        <w:t>投标文件的修改和撤回</w:t>
      </w:r>
    </w:p>
    <w:p w14:paraId="02742ABB">
      <w:pPr>
        <w:spacing w:line="400" w:lineRule="exact"/>
        <w:rPr>
          <w:rFonts w:ascii="宋体" w:hAnsi="宋体" w:cs="宋体"/>
          <w:color w:val="auto"/>
          <w:highlight w:val="none"/>
        </w:rPr>
      </w:pPr>
      <w:r>
        <w:rPr>
          <w:rFonts w:hint="eastAsia" w:ascii="宋体" w:hAnsi="宋体" w:cs="宋体"/>
          <w:b/>
          <w:color w:val="auto"/>
          <w:highlight w:val="none"/>
        </w:rPr>
        <w:t>16.1</w:t>
      </w:r>
      <w:r>
        <w:rPr>
          <w:rFonts w:hint="eastAsia" w:ascii="宋体" w:hAnsi="宋体" w:cs="宋体"/>
          <w:color w:val="auto"/>
          <w:highlight w:val="none"/>
        </w:rPr>
        <w:t>投标人在投标截止时间前，可以对已经提交的投标文件进行补充、修改或者撤回。</w:t>
      </w:r>
    </w:p>
    <w:p w14:paraId="21ADCB7B">
      <w:pPr>
        <w:spacing w:line="400" w:lineRule="exact"/>
        <w:ind w:firstLine="630" w:firstLineChars="300"/>
        <w:rPr>
          <w:rFonts w:ascii="宋体" w:hAnsi="宋体" w:cs="宋体"/>
          <w:color w:val="auto"/>
          <w:highlight w:val="none"/>
        </w:rPr>
      </w:pPr>
      <w:r>
        <w:rPr>
          <w:rFonts w:hint="eastAsia" w:ascii="宋体" w:hAnsi="宋体" w:cs="宋体"/>
          <w:color w:val="auto"/>
          <w:highlight w:val="none"/>
        </w:rPr>
        <w:t>对已经完成传输递交的电子加密投标文件进行补充或者修改的，应当先行撤回原文件，补充、修改后重新传输递交。投标人在投标截止时间前未重新完成传输递交的，视为撤回投标文件。投标截止时间后递交的电子加密投标文件，电子交易平台将拒收。</w:t>
      </w:r>
    </w:p>
    <w:p w14:paraId="7800DEF3">
      <w:pPr>
        <w:spacing w:line="400" w:lineRule="exact"/>
        <w:ind w:firstLine="630" w:firstLineChars="300"/>
        <w:rPr>
          <w:rFonts w:ascii="宋体" w:hAnsi="宋体" w:cs="宋体"/>
          <w:color w:val="auto"/>
          <w:highlight w:val="none"/>
        </w:rPr>
      </w:pPr>
      <w:r>
        <w:rPr>
          <w:rFonts w:hint="eastAsia" w:ascii="宋体" w:hAnsi="宋体" w:cs="宋体"/>
          <w:color w:val="auto"/>
          <w:highlight w:val="none"/>
        </w:rPr>
        <w:t>投标人在投标截止时间前递交了需要补充或修改的电子加密投标文件的备份投标文件，可以重新提交补充或修改后的备份投标文件。</w:t>
      </w:r>
    </w:p>
    <w:p w14:paraId="056C9405">
      <w:pPr>
        <w:spacing w:line="400" w:lineRule="exact"/>
        <w:rPr>
          <w:rFonts w:ascii="宋体" w:hAnsi="宋体" w:cs="宋体"/>
          <w:color w:val="auto"/>
          <w:highlight w:val="none"/>
        </w:rPr>
      </w:pPr>
      <w:r>
        <w:rPr>
          <w:rFonts w:hint="eastAsia" w:ascii="宋体" w:hAnsi="宋体" w:cs="宋体"/>
          <w:b/>
          <w:color w:val="auto"/>
          <w:highlight w:val="none"/>
        </w:rPr>
        <w:t>16.2</w:t>
      </w:r>
      <w:r>
        <w:rPr>
          <w:rFonts w:hint="eastAsia" w:ascii="宋体" w:hAnsi="宋体" w:cs="宋体"/>
          <w:color w:val="auto"/>
          <w:highlight w:val="none"/>
        </w:rPr>
        <w:t>投标截止时间后，投标人不得对其投标文件进行补充、修改。</w:t>
      </w:r>
    </w:p>
    <w:p w14:paraId="1FDA67DA">
      <w:pPr>
        <w:spacing w:line="400" w:lineRule="exact"/>
        <w:rPr>
          <w:rFonts w:ascii="宋体"/>
          <w:color w:val="auto"/>
          <w:highlight w:val="none"/>
        </w:rPr>
      </w:pPr>
    </w:p>
    <w:p w14:paraId="2E609A59">
      <w:pPr>
        <w:jc w:val="center"/>
        <w:outlineLvl w:val="1"/>
        <w:rPr>
          <w:rFonts w:ascii="宋体"/>
          <w:b/>
          <w:bCs/>
          <w:color w:val="auto"/>
          <w:sz w:val="28"/>
          <w:szCs w:val="28"/>
          <w:highlight w:val="none"/>
        </w:rPr>
      </w:pPr>
      <w:bookmarkStart w:id="92" w:name="_Toc513798904"/>
      <w:bookmarkStart w:id="93" w:name="_Toc520902398"/>
      <w:bookmarkStart w:id="94" w:name="_Toc513799075"/>
      <w:bookmarkStart w:id="95" w:name="_Toc440276565"/>
      <w:bookmarkStart w:id="96" w:name="_Toc141797118"/>
      <w:bookmarkStart w:id="97" w:name="_Toc141797678"/>
      <w:r>
        <w:rPr>
          <w:rFonts w:ascii="宋体" w:hAnsi="宋体" w:cs="宋体"/>
          <w:b/>
          <w:bCs/>
          <w:color w:val="auto"/>
          <w:sz w:val="28"/>
          <w:szCs w:val="28"/>
          <w:highlight w:val="none"/>
        </w:rPr>
        <w:t>E</w:t>
      </w:r>
      <w:r>
        <w:rPr>
          <w:rFonts w:hint="eastAsia" w:ascii="宋体" w:hAnsi="宋体" w:cs="宋体"/>
          <w:b/>
          <w:bCs/>
          <w:color w:val="auto"/>
          <w:sz w:val="28"/>
          <w:szCs w:val="28"/>
          <w:highlight w:val="none"/>
        </w:rPr>
        <w:t>开标</w:t>
      </w:r>
      <w:bookmarkEnd w:id="92"/>
      <w:bookmarkEnd w:id="93"/>
      <w:bookmarkEnd w:id="94"/>
      <w:bookmarkEnd w:id="95"/>
      <w:bookmarkEnd w:id="96"/>
      <w:bookmarkEnd w:id="97"/>
    </w:p>
    <w:p w14:paraId="22F19AA6">
      <w:pPr>
        <w:spacing w:line="400" w:lineRule="exact"/>
        <w:rPr>
          <w:rFonts w:ascii="宋体"/>
          <w:color w:val="auto"/>
          <w:highlight w:val="none"/>
        </w:rPr>
      </w:pPr>
      <w:r>
        <w:rPr>
          <w:rFonts w:ascii="宋体" w:hAnsi="宋体" w:cs="宋体"/>
          <w:b/>
          <w:bCs/>
          <w:color w:val="auto"/>
          <w:highlight w:val="none"/>
        </w:rPr>
        <w:t>17</w:t>
      </w:r>
      <w:r>
        <w:rPr>
          <w:rFonts w:ascii="宋体" w:cs="宋体"/>
          <w:color w:val="auto"/>
          <w:highlight w:val="none"/>
        </w:rPr>
        <w:t>.</w:t>
      </w:r>
      <w:r>
        <w:rPr>
          <w:rFonts w:hint="eastAsia" w:ascii="宋体" w:hAnsi="宋体" w:cs="宋体"/>
          <w:b/>
          <w:bCs/>
          <w:color w:val="auto"/>
          <w:highlight w:val="none"/>
        </w:rPr>
        <w:t>开标</w:t>
      </w:r>
    </w:p>
    <w:p w14:paraId="7728D0A1">
      <w:pPr>
        <w:spacing w:line="400" w:lineRule="exact"/>
        <w:rPr>
          <w:rFonts w:cs="宋体" w:asciiTheme="minorEastAsia" w:hAnsiTheme="minorEastAsia" w:eastAsiaTheme="minorEastAsia"/>
          <w:color w:val="auto"/>
          <w:highlight w:val="none"/>
        </w:rPr>
      </w:pPr>
      <w:r>
        <w:rPr>
          <w:rFonts w:hint="eastAsia" w:cs="宋体" w:asciiTheme="minorEastAsia" w:hAnsiTheme="minorEastAsia" w:eastAsiaTheme="minorEastAsia"/>
          <w:b/>
          <w:color w:val="auto"/>
          <w:highlight w:val="none"/>
        </w:rPr>
        <w:t>17.1</w:t>
      </w:r>
      <w:r>
        <w:rPr>
          <w:rFonts w:hint="eastAsia" w:cs="宋体" w:asciiTheme="minorEastAsia" w:hAnsiTheme="minorEastAsia" w:eastAsiaTheme="minorEastAsia"/>
          <w:color w:val="auto"/>
          <w:highlight w:val="none"/>
        </w:rPr>
        <w:t>采购代理机构按招标文件规定的时间、地点主持公开开标。</w:t>
      </w:r>
    </w:p>
    <w:p w14:paraId="36B02A51">
      <w:pPr>
        <w:widowControl/>
        <w:spacing w:line="360" w:lineRule="auto"/>
        <w:jc w:val="left"/>
        <w:rPr>
          <w:rFonts w:cs="宋体" w:asciiTheme="minorEastAsia" w:hAnsiTheme="minorEastAsia" w:eastAsiaTheme="minorEastAsia"/>
          <w:b/>
          <w:bCs/>
          <w:color w:val="auto"/>
          <w:kern w:val="0"/>
          <w:highlight w:val="none"/>
        </w:rPr>
      </w:pPr>
      <w:r>
        <w:rPr>
          <w:rFonts w:hint="eastAsia" w:cs="宋体" w:asciiTheme="minorEastAsia" w:hAnsiTheme="minorEastAsia" w:eastAsiaTheme="minorEastAsia"/>
          <w:b/>
          <w:color w:val="auto"/>
          <w:highlight w:val="none"/>
        </w:rPr>
        <w:t>17.2</w:t>
      </w:r>
      <w:r>
        <w:rPr>
          <w:rFonts w:hint="eastAsia" w:cs="宋体" w:asciiTheme="minorEastAsia" w:hAnsiTheme="minorEastAsia" w:eastAsiaTheme="minorEastAsia"/>
          <w:b/>
          <w:bCs/>
          <w:color w:val="auto"/>
          <w:kern w:val="0"/>
          <w:highlight w:val="none"/>
        </w:rPr>
        <w:t>电子投标开标及评审程序</w:t>
      </w:r>
    </w:p>
    <w:p w14:paraId="28D38A3F">
      <w:pPr>
        <w:widowControl/>
        <w:spacing w:line="360" w:lineRule="auto"/>
        <w:jc w:val="left"/>
        <w:rPr>
          <w:rFonts w:cs="宋体" w:asciiTheme="minorEastAsia" w:hAnsiTheme="minorEastAsia" w:eastAsiaTheme="minorEastAsia"/>
          <w:color w:val="auto"/>
          <w:kern w:val="0"/>
          <w:sz w:val="24"/>
          <w:highlight w:val="none"/>
        </w:rPr>
      </w:pPr>
      <w:r>
        <w:rPr>
          <w:rFonts w:hint="eastAsia" w:cs="宋体" w:asciiTheme="minorEastAsia" w:hAnsiTheme="minorEastAsia" w:eastAsiaTheme="minorEastAsia"/>
          <w:color w:val="auto"/>
          <w:kern w:val="0"/>
          <w:highlight w:val="none"/>
        </w:rPr>
        <w:t>（1）投标截止时间后，投标人登录政采云平台，用“项目采购-开标评标”功能对电子投标文件进行在线解密。在线解密电子投标文件时间为开标时间起</w:t>
      </w:r>
      <w:r>
        <w:rPr>
          <w:rFonts w:hint="eastAsia" w:cs="宋体" w:asciiTheme="minorEastAsia" w:hAnsiTheme="minorEastAsia" w:eastAsiaTheme="minorEastAsia"/>
          <w:b/>
          <w:color w:val="auto"/>
          <w:kern w:val="0"/>
          <w:highlight w:val="none"/>
          <w:u w:val="single"/>
        </w:rPr>
        <w:t>30分钟</w:t>
      </w:r>
      <w:r>
        <w:rPr>
          <w:rFonts w:hint="eastAsia" w:cs="宋体" w:asciiTheme="minorEastAsia" w:hAnsiTheme="minorEastAsia" w:eastAsiaTheme="minorEastAsia"/>
          <w:b/>
          <w:color w:val="auto"/>
          <w:kern w:val="0"/>
          <w:highlight w:val="none"/>
        </w:rPr>
        <w:t>内。</w:t>
      </w:r>
    </w:p>
    <w:p w14:paraId="70F41A64">
      <w:pPr>
        <w:widowControl/>
        <w:spacing w:line="360" w:lineRule="auto"/>
        <w:jc w:val="left"/>
        <w:rPr>
          <w:rFonts w:cs="宋体" w:asciiTheme="minorEastAsia" w:hAnsiTheme="minorEastAsia" w:eastAsiaTheme="minorEastAsia"/>
          <w:color w:val="auto"/>
          <w:kern w:val="0"/>
          <w:sz w:val="24"/>
          <w:highlight w:val="none"/>
        </w:rPr>
      </w:pPr>
      <w:r>
        <w:rPr>
          <w:rFonts w:hint="eastAsia" w:cs="宋体" w:asciiTheme="minorEastAsia" w:hAnsiTheme="minorEastAsia" w:eastAsiaTheme="minorEastAsia"/>
          <w:color w:val="auto"/>
          <w:kern w:val="0"/>
          <w:highlight w:val="none"/>
        </w:rPr>
        <w:t>（2）采购人或代理机构对投标人的资格进行审查。</w:t>
      </w:r>
    </w:p>
    <w:p w14:paraId="0B3845EE">
      <w:pPr>
        <w:widowControl/>
        <w:spacing w:line="360" w:lineRule="auto"/>
        <w:jc w:val="left"/>
        <w:rPr>
          <w:rFonts w:cs="宋体" w:asciiTheme="minorEastAsia" w:hAnsiTheme="minorEastAsia" w:eastAsiaTheme="minorEastAsia"/>
          <w:color w:val="auto"/>
          <w:kern w:val="0"/>
          <w:sz w:val="24"/>
          <w:highlight w:val="none"/>
        </w:rPr>
      </w:pPr>
      <w:r>
        <w:rPr>
          <w:rFonts w:hint="eastAsia" w:cs="宋体" w:asciiTheme="minorEastAsia" w:hAnsiTheme="minorEastAsia" w:eastAsiaTheme="minorEastAsia"/>
          <w:color w:val="auto"/>
          <w:kern w:val="0"/>
          <w:highlight w:val="none"/>
        </w:rPr>
        <w:t>（</w:t>
      </w:r>
      <w:r>
        <w:rPr>
          <w:rFonts w:hint="eastAsia" w:cs="宋体" w:asciiTheme="minorEastAsia" w:hAnsiTheme="minorEastAsia" w:eastAsiaTheme="minorEastAsia"/>
          <w:color w:val="auto"/>
          <w:kern w:val="0"/>
          <w:highlight w:val="none"/>
          <w:lang w:val="en-US" w:eastAsia="zh-CN"/>
        </w:rPr>
        <w:t>3</w:t>
      </w:r>
      <w:r>
        <w:rPr>
          <w:rFonts w:hint="eastAsia" w:cs="宋体" w:asciiTheme="minorEastAsia" w:hAnsiTheme="minorEastAsia" w:eastAsiaTheme="minorEastAsia"/>
          <w:color w:val="auto"/>
          <w:kern w:val="0"/>
          <w:highlight w:val="none"/>
        </w:rPr>
        <w:t>）评标委员会对商务技术文件、报价文件进行评审。</w:t>
      </w:r>
    </w:p>
    <w:p w14:paraId="0C5B66B5">
      <w:pPr>
        <w:widowControl/>
        <w:spacing w:line="360" w:lineRule="auto"/>
        <w:jc w:val="left"/>
        <w:rPr>
          <w:rFonts w:cs="宋体" w:asciiTheme="minorEastAsia" w:hAnsiTheme="minorEastAsia" w:eastAsiaTheme="minorEastAsia"/>
          <w:color w:val="auto"/>
          <w:kern w:val="0"/>
          <w:sz w:val="24"/>
          <w:highlight w:val="none"/>
        </w:rPr>
      </w:pPr>
      <w:r>
        <w:rPr>
          <w:rFonts w:hint="eastAsia" w:cs="宋体" w:asciiTheme="minorEastAsia" w:hAnsiTheme="minorEastAsia" w:eastAsiaTheme="minorEastAsia"/>
          <w:color w:val="auto"/>
          <w:kern w:val="0"/>
          <w:highlight w:val="none"/>
        </w:rPr>
        <w:t>（</w:t>
      </w:r>
      <w:r>
        <w:rPr>
          <w:rFonts w:hint="eastAsia" w:cs="宋体" w:asciiTheme="minorEastAsia" w:hAnsiTheme="minorEastAsia" w:eastAsiaTheme="minorEastAsia"/>
          <w:color w:val="auto"/>
          <w:kern w:val="0"/>
          <w:highlight w:val="none"/>
          <w:lang w:val="en-US" w:eastAsia="zh-CN"/>
        </w:rPr>
        <w:t>4</w:t>
      </w:r>
      <w:r>
        <w:rPr>
          <w:rFonts w:hint="eastAsia" w:cs="宋体" w:asciiTheme="minorEastAsia" w:hAnsiTheme="minorEastAsia" w:eastAsiaTheme="minorEastAsia"/>
          <w:color w:val="auto"/>
          <w:kern w:val="0"/>
          <w:highlight w:val="none"/>
        </w:rPr>
        <w:t>）在系统上公布评审结果。</w:t>
      </w:r>
    </w:p>
    <w:p w14:paraId="0EAA0899">
      <w:pPr>
        <w:widowControl/>
        <w:spacing w:line="360" w:lineRule="auto"/>
        <w:rPr>
          <w:rFonts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kern w:val="0"/>
          <w:highlight w:val="none"/>
        </w:rPr>
        <w:t>注：政采云公司如对电子化开标及评审程序有调整的，按调整后的程序操作。</w:t>
      </w:r>
    </w:p>
    <w:p w14:paraId="12585F1B">
      <w:pPr>
        <w:widowControl/>
        <w:spacing w:line="360" w:lineRule="auto"/>
        <w:jc w:val="left"/>
        <w:rPr>
          <w:rFonts w:cs="宋体" w:asciiTheme="minorEastAsia" w:hAnsiTheme="minorEastAsia" w:eastAsiaTheme="minorEastAsia"/>
          <w:color w:val="auto"/>
          <w:kern w:val="0"/>
          <w:sz w:val="24"/>
          <w:highlight w:val="none"/>
        </w:rPr>
      </w:pPr>
      <w:r>
        <w:rPr>
          <w:rFonts w:hint="eastAsia" w:cs="宋体" w:asciiTheme="minorEastAsia" w:hAnsiTheme="minorEastAsia" w:eastAsiaTheme="minorEastAsia"/>
          <w:b/>
          <w:color w:val="auto"/>
          <w:highlight w:val="none"/>
        </w:rPr>
        <w:t>17.4</w:t>
      </w:r>
      <w:r>
        <w:rPr>
          <w:rFonts w:hint="eastAsia" w:cs="宋体" w:asciiTheme="minorEastAsia" w:hAnsiTheme="minorEastAsia" w:eastAsiaTheme="minorEastAsia"/>
          <w:b/>
          <w:bCs/>
          <w:color w:val="auto"/>
          <w:kern w:val="0"/>
          <w:highlight w:val="none"/>
        </w:rPr>
        <w:t>特别说明</w:t>
      </w:r>
    </w:p>
    <w:p w14:paraId="0F9A925F">
      <w:pPr>
        <w:widowControl/>
        <w:spacing w:line="360" w:lineRule="auto"/>
        <w:ind w:firstLine="420" w:firstLineChars="200"/>
        <w:jc w:val="left"/>
        <w:rPr>
          <w:rFonts w:cs="宋体" w:asciiTheme="minorEastAsia" w:hAnsiTheme="minorEastAsia" w:eastAsiaTheme="minorEastAsia"/>
          <w:color w:val="auto"/>
          <w:kern w:val="0"/>
          <w:sz w:val="24"/>
          <w:highlight w:val="none"/>
        </w:rPr>
      </w:pPr>
      <w:r>
        <w:rPr>
          <w:rFonts w:hint="eastAsia" w:cs="宋体" w:asciiTheme="minorEastAsia" w:hAnsiTheme="minorEastAsia" w:eastAsiaTheme="minorEastAsia"/>
          <w:color w:val="auto"/>
          <w:kern w:val="0"/>
          <w:highlight w:val="none"/>
        </w:rPr>
        <w:t>本项目采用政采云电子投标开标及评审程序，但有下情形之一的，按以下情况处理：</w:t>
      </w:r>
    </w:p>
    <w:p w14:paraId="2E932254">
      <w:pPr>
        <w:widowControl/>
        <w:spacing w:line="360" w:lineRule="auto"/>
        <w:ind w:firstLine="420" w:firstLineChars="200"/>
        <w:jc w:val="left"/>
        <w:rPr>
          <w:rFonts w:cs="宋体" w:asciiTheme="minorEastAsia" w:hAnsiTheme="minorEastAsia" w:eastAsiaTheme="minorEastAsia"/>
          <w:color w:val="auto"/>
          <w:kern w:val="0"/>
          <w:sz w:val="24"/>
          <w:highlight w:val="none"/>
        </w:rPr>
      </w:pPr>
      <w:r>
        <w:rPr>
          <w:rFonts w:hint="eastAsia" w:cs="宋体" w:asciiTheme="minorEastAsia" w:hAnsiTheme="minorEastAsia" w:eastAsiaTheme="minorEastAsia"/>
          <w:color w:val="auto"/>
          <w:kern w:val="0"/>
          <w:highlight w:val="none"/>
        </w:rPr>
        <w:t>1.若投标人在规定时间内无法解密或解密失败，代理机构将开启所有投标人递交的以U盘存储的电子备份投标文件，上传至政采云平台项目采购模块，以完成开标，电子投标文件自动失效。</w:t>
      </w:r>
    </w:p>
    <w:p w14:paraId="359AD288">
      <w:pPr>
        <w:widowControl/>
        <w:spacing w:line="360" w:lineRule="auto"/>
        <w:ind w:firstLine="420" w:firstLineChars="200"/>
        <w:jc w:val="left"/>
        <w:rPr>
          <w:rFonts w:cs="宋体" w:asciiTheme="minorEastAsia" w:hAnsiTheme="minorEastAsia" w:eastAsiaTheme="minorEastAsia"/>
          <w:color w:val="auto"/>
          <w:kern w:val="0"/>
          <w:sz w:val="24"/>
          <w:highlight w:val="none"/>
        </w:rPr>
      </w:pPr>
      <w:r>
        <w:rPr>
          <w:rFonts w:hint="eastAsia" w:cs="宋体" w:asciiTheme="minorEastAsia" w:hAnsiTheme="minorEastAsia" w:eastAsiaTheme="minorEastAsia"/>
          <w:color w:val="auto"/>
          <w:kern w:val="0"/>
          <w:highlight w:val="none"/>
        </w:rPr>
        <w:t>2.采购过程中出现以下情形，导致电子交易平台无法正常运行，或者无法保证电子交易的公平、公正和安全时，采购人（或代理机构）可中止电子交易活动：</w:t>
      </w:r>
    </w:p>
    <w:p w14:paraId="3A0140BF">
      <w:pPr>
        <w:widowControl/>
        <w:spacing w:line="360" w:lineRule="auto"/>
        <w:ind w:firstLine="420" w:firstLineChars="200"/>
        <w:jc w:val="left"/>
        <w:rPr>
          <w:rFonts w:cs="宋体" w:asciiTheme="minorEastAsia" w:hAnsiTheme="minorEastAsia" w:eastAsiaTheme="minorEastAsia"/>
          <w:color w:val="auto"/>
          <w:kern w:val="0"/>
          <w:sz w:val="24"/>
          <w:highlight w:val="none"/>
        </w:rPr>
      </w:pPr>
      <w:r>
        <w:rPr>
          <w:rFonts w:hint="eastAsia" w:cs="宋体" w:asciiTheme="minorEastAsia" w:hAnsiTheme="minorEastAsia" w:eastAsiaTheme="minorEastAsia"/>
          <w:color w:val="auto"/>
          <w:kern w:val="0"/>
          <w:highlight w:val="none"/>
        </w:rPr>
        <w:t>（1）电子交易平台发生故障而无法登录访问的；</w:t>
      </w:r>
    </w:p>
    <w:p w14:paraId="3E016E22">
      <w:pPr>
        <w:widowControl/>
        <w:spacing w:line="360" w:lineRule="auto"/>
        <w:ind w:firstLine="420" w:firstLineChars="200"/>
        <w:jc w:val="left"/>
        <w:rPr>
          <w:rFonts w:cs="宋体" w:asciiTheme="minorEastAsia" w:hAnsiTheme="minorEastAsia" w:eastAsiaTheme="minorEastAsia"/>
          <w:color w:val="auto"/>
          <w:kern w:val="0"/>
          <w:sz w:val="24"/>
          <w:highlight w:val="none"/>
        </w:rPr>
      </w:pPr>
      <w:r>
        <w:rPr>
          <w:rFonts w:hint="eastAsia" w:cs="宋体" w:asciiTheme="minorEastAsia" w:hAnsiTheme="minorEastAsia" w:eastAsiaTheme="minorEastAsia"/>
          <w:color w:val="auto"/>
          <w:kern w:val="0"/>
          <w:highlight w:val="none"/>
        </w:rPr>
        <w:t>（2）电子交易平台应用或数据库出现错误，不能进行正常操作的；</w:t>
      </w:r>
    </w:p>
    <w:p w14:paraId="278BB6CC">
      <w:pPr>
        <w:widowControl/>
        <w:spacing w:line="360" w:lineRule="auto"/>
        <w:ind w:firstLine="420" w:firstLineChars="200"/>
        <w:jc w:val="left"/>
        <w:rPr>
          <w:rFonts w:cs="宋体" w:asciiTheme="minorEastAsia" w:hAnsiTheme="minorEastAsia" w:eastAsiaTheme="minorEastAsia"/>
          <w:color w:val="auto"/>
          <w:kern w:val="0"/>
          <w:sz w:val="24"/>
          <w:highlight w:val="none"/>
        </w:rPr>
      </w:pPr>
      <w:r>
        <w:rPr>
          <w:rFonts w:hint="eastAsia" w:cs="宋体" w:asciiTheme="minorEastAsia" w:hAnsiTheme="minorEastAsia" w:eastAsiaTheme="minorEastAsia"/>
          <w:color w:val="auto"/>
          <w:kern w:val="0"/>
          <w:highlight w:val="none"/>
        </w:rPr>
        <w:t>（3）电子交易平台发现严重安全漏洞，有潜在泄密危险的；</w:t>
      </w:r>
    </w:p>
    <w:p w14:paraId="56FE2756">
      <w:pPr>
        <w:widowControl/>
        <w:spacing w:line="360" w:lineRule="auto"/>
        <w:ind w:firstLine="420" w:firstLineChars="200"/>
        <w:jc w:val="left"/>
        <w:rPr>
          <w:rFonts w:cs="宋体" w:asciiTheme="minorEastAsia" w:hAnsiTheme="minorEastAsia" w:eastAsiaTheme="minorEastAsia"/>
          <w:color w:val="auto"/>
          <w:kern w:val="0"/>
          <w:sz w:val="24"/>
          <w:highlight w:val="none"/>
        </w:rPr>
      </w:pPr>
      <w:r>
        <w:rPr>
          <w:rFonts w:hint="eastAsia" w:cs="宋体" w:asciiTheme="minorEastAsia" w:hAnsiTheme="minorEastAsia" w:eastAsiaTheme="minorEastAsia"/>
          <w:color w:val="auto"/>
          <w:kern w:val="0"/>
          <w:highlight w:val="none"/>
        </w:rPr>
        <w:t>（4）病毒发作导致不能进行正常操作的；</w:t>
      </w:r>
    </w:p>
    <w:p w14:paraId="43876DF6">
      <w:pPr>
        <w:widowControl/>
        <w:spacing w:line="360" w:lineRule="auto"/>
        <w:ind w:firstLine="420" w:firstLineChars="200"/>
        <w:jc w:val="left"/>
        <w:rPr>
          <w:rFonts w:cs="宋体" w:asciiTheme="minorEastAsia" w:hAnsiTheme="minorEastAsia" w:eastAsiaTheme="minorEastAsia"/>
          <w:color w:val="auto"/>
          <w:kern w:val="0"/>
          <w:sz w:val="24"/>
          <w:highlight w:val="none"/>
        </w:rPr>
      </w:pPr>
      <w:r>
        <w:rPr>
          <w:rFonts w:hint="eastAsia" w:cs="宋体" w:asciiTheme="minorEastAsia" w:hAnsiTheme="minorEastAsia" w:eastAsiaTheme="minorEastAsia"/>
          <w:color w:val="auto"/>
          <w:kern w:val="0"/>
          <w:highlight w:val="none"/>
        </w:rPr>
        <w:t>（5）其他无法保证电子交易的公平、公正和安全的情况。</w:t>
      </w:r>
    </w:p>
    <w:p w14:paraId="03806581">
      <w:pPr>
        <w:widowControl/>
        <w:spacing w:line="360" w:lineRule="auto"/>
        <w:ind w:firstLine="420" w:firstLineChars="200"/>
        <w:jc w:val="left"/>
        <w:rPr>
          <w:rFonts w:cs="宋体" w:asciiTheme="minorEastAsia" w:hAnsiTheme="minorEastAsia" w:eastAsiaTheme="minorEastAsia"/>
          <w:color w:val="auto"/>
          <w:kern w:val="0"/>
          <w:sz w:val="24"/>
          <w:highlight w:val="none"/>
        </w:rPr>
      </w:pPr>
      <w:r>
        <w:rPr>
          <w:rFonts w:hint="eastAsia" w:cs="宋体" w:asciiTheme="minorEastAsia" w:hAnsiTheme="minorEastAsia" w:eastAsiaTheme="minorEastAsia"/>
          <w:b/>
          <w:bCs/>
          <w:color w:val="auto"/>
          <w:kern w:val="0"/>
          <w:highlight w:val="none"/>
        </w:rPr>
        <w:t>出现前款规定情形，不影响采购公平、公正性的，采购人（或代理机构）可以待上述情形消除后继续组织电子交易活动。</w:t>
      </w:r>
    </w:p>
    <w:p w14:paraId="7D0E9B6C">
      <w:pPr>
        <w:spacing w:line="400" w:lineRule="exact"/>
        <w:rPr>
          <w:rFonts w:ascii="宋体" w:hAnsi="宋体" w:cs="宋体"/>
          <w:color w:val="auto"/>
          <w:highlight w:val="none"/>
          <w:u w:val="single"/>
        </w:rPr>
      </w:pPr>
      <w:r>
        <w:rPr>
          <w:rFonts w:hint="eastAsia" w:asciiTheme="minorEastAsia" w:hAnsiTheme="minorEastAsia" w:eastAsiaTheme="minorEastAsia"/>
          <w:b/>
          <w:color w:val="auto"/>
          <w:highlight w:val="none"/>
        </w:rPr>
        <w:t>17.5</w:t>
      </w:r>
      <w:r>
        <w:rPr>
          <w:rFonts w:hint="eastAsia" w:asciiTheme="minorEastAsia" w:hAnsiTheme="minorEastAsia" w:eastAsiaTheme="minorEastAsia"/>
          <w:color w:val="auto"/>
          <w:highlight w:val="none"/>
        </w:rPr>
        <w:t>投标截止时间止，投标人不足3家的，不开启招标文件，终止本次采购活动。</w:t>
      </w:r>
    </w:p>
    <w:p w14:paraId="79D07510">
      <w:pPr>
        <w:spacing w:line="400" w:lineRule="exact"/>
        <w:rPr>
          <w:rFonts w:ascii="宋体"/>
          <w:color w:val="auto"/>
          <w:sz w:val="24"/>
          <w:szCs w:val="24"/>
          <w:highlight w:val="none"/>
        </w:rPr>
      </w:pPr>
    </w:p>
    <w:p w14:paraId="7F5876FC">
      <w:pPr>
        <w:spacing w:before="143" w:beforeLines="50" w:after="143" w:afterLines="50"/>
        <w:jc w:val="center"/>
        <w:outlineLvl w:val="1"/>
        <w:rPr>
          <w:rFonts w:ascii="宋体"/>
          <w:b/>
          <w:bCs/>
          <w:color w:val="auto"/>
          <w:sz w:val="28"/>
          <w:szCs w:val="28"/>
          <w:highlight w:val="none"/>
        </w:rPr>
      </w:pPr>
      <w:bookmarkStart w:id="98" w:name="_Toc141797679"/>
      <w:bookmarkStart w:id="99" w:name="_Toc513799076"/>
      <w:bookmarkStart w:id="100" w:name="_Toc513798905"/>
      <w:bookmarkStart w:id="101" w:name="_Toc440276566"/>
      <w:bookmarkStart w:id="102" w:name="_Toc520902399"/>
      <w:bookmarkStart w:id="103" w:name="_Toc141797119"/>
      <w:r>
        <w:rPr>
          <w:rFonts w:ascii="宋体" w:hAnsi="宋体" w:cs="宋体"/>
          <w:b/>
          <w:bCs/>
          <w:color w:val="auto"/>
          <w:sz w:val="28"/>
          <w:szCs w:val="28"/>
          <w:highlight w:val="none"/>
        </w:rPr>
        <w:t>F</w:t>
      </w:r>
      <w:r>
        <w:rPr>
          <w:rFonts w:hint="eastAsia" w:ascii="宋体" w:hAnsi="宋体" w:cs="宋体"/>
          <w:b/>
          <w:bCs/>
          <w:color w:val="auto"/>
          <w:sz w:val="28"/>
          <w:szCs w:val="28"/>
          <w:highlight w:val="none"/>
        </w:rPr>
        <w:t>评标和定标</w:t>
      </w:r>
      <w:bookmarkEnd w:id="98"/>
      <w:bookmarkEnd w:id="99"/>
      <w:bookmarkEnd w:id="100"/>
      <w:bookmarkEnd w:id="101"/>
      <w:bookmarkEnd w:id="102"/>
      <w:bookmarkEnd w:id="103"/>
    </w:p>
    <w:p w14:paraId="46B4596A">
      <w:pPr>
        <w:spacing w:line="400" w:lineRule="exact"/>
        <w:rPr>
          <w:rFonts w:ascii="宋体"/>
          <w:color w:val="auto"/>
          <w:highlight w:val="none"/>
        </w:rPr>
      </w:pPr>
      <w:r>
        <w:rPr>
          <w:rFonts w:ascii="宋体" w:hAnsi="宋体" w:cs="宋体"/>
          <w:b/>
          <w:bCs/>
          <w:color w:val="auto"/>
          <w:highlight w:val="none"/>
        </w:rPr>
        <w:t>18.</w:t>
      </w:r>
      <w:r>
        <w:rPr>
          <w:rFonts w:hint="eastAsia" w:ascii="宋体" w:hAnsi="宋体" w:cs="宋体"/>
          <w:b/>
          <w:bCs/>
          <w:color w:val="auto"/>
          <w:highlight w:val="none"/>
        </w:rPr>
        <w:t>评标委员会及评标</w:t>
      </w:r>
    </w:p>
    <w:p w14:paraId="1FBCB66A">
      <w:pPr>
        <w:spacing w:line="400" w:lineRule="exact"/>
        <w:rPr>
          <w:rFonts w:ascii="宋体" w:hAnsi="宋体" w:cs="宋体"/>
          <w:color w:val="auto"/>
          <w:highlight w:val="none"/>
        </w:rPr>
      </w:pPr>
      <w:r>
        <w:rPr>
          <w:rFonts w:hint="eastAsia" w:ascii="宋体" w:hAnsi="宋体" w:cs="宋体"/>
          <w:b/>
          <w:color w:val="auto"/>
          <w:highlight w:val="none"/>
        </w:rPr>
        <w:t>18.1</w:t>
      </w:r>
      <w:r>
        <w:rPr>
          <w:rFonts w:hint="eastAsia" w:ascii="宋体" w:hAnsi="宋体" w:cs="宋体"/>
          <w:color w:val="auto"/>
          <w:highlight w:val="none"/>
        </w:rPr>
        <w:t>受采购人的委托，采购代理机构依据《中华人民共和国政府采购法》、《中华人民共和国政府采购实施条例》等有关规定组建评标委员会，并主持评标活动。评标委员会由采购人代表和技术、经济专家组成。</w:t>
      </w:r>
      <w:r>
        <w:rPr>
          <w:rFonts w:hint="eastAsia" w:ascii="宋体" w:hAnsi="宋体" w:cs="宋体"/>
          <w:b/>
          <w:color w:val="auto"/>
          <w:highlight w:val="none"/>
          <w:u w:val="single"/>
        </w:rPr>
        <w:t>评标委员会成员名单在招标结果确定之前依法保密</w:t>
      </w:r>
      <w:r>
        <w:rPr>
          <w:rFonts w:hint="eastAsia" w:ascii="宋体" w:hAnsi="宋体" w:cs="宋体"/>
          <w:color w:val="auto"/>
          <w:highlight w:val="none"/>
        </w:rPr>
        <w:t>。</w:t>
      </w:r>
    </w:p>
    <w:p w14:paraId="7B188EA9">
      <w:pPr>
        <w:spacing w:line="400" w:lineRule="exact"/>
        <w:rPr>
          <w:rFonts w:ascii="宋体" w:hAnsi="宋体" w:cs="宋体"/>
          <w:color w:val="auto"/>
          <w:highlight w:val="none"/>
        </w:rPr>
      </w:pPr>
      <w:r>
        <w:rPr>
          <w:rFonts w:hint="eastAsia" w:ascii="宋体" w:hAnsi="宋体" w:cs="宋体"/>
          <w:b/>
          <w:color w:val="auto"/>
          <w:highlight w:val="none"/>
        </w:rPr>
        <w:t>18.2</w:t>
      </w:r>
      <w:r>
        <w:rPr>
          <w:rFonts w:hint="eastAsia" w:ascii="宋体" w:hAnsi="宋体" w:cs="宋体"/>
          <w:color w:val="auto"/>
          <w:highlight w:val="none"/>
        </w:rPr>
        <w:t>评标委员会将遵循公平、公正、科学、廉洁的原则和法定的程序进行评标，并且只依据招标文件要求和投标文件的响应情况进行评审，不依据任何来自开标后的补充声明、修正方案。</w:t>
      </w:r>
    </w:p>
    <w:p w14:paraId="4BFDA5A6">
      <w:pPr>
        <w:spacing w:line="400" w:lineRule="exact"/>
        <w:rPr>
          <w:rFonts w:ascii="宋体"/>
          <w:color w:val="auto"/>
          <w:highlight w:val="none"/>
        </w:rPr>
      </w:pPr>
    </w:p>
    <w:p w14:paraId="3177BC25">
      <w:pPr>
        <w:spacing w:line="400" w:lineRule="exact"/>
        <w:rPr>
          <w:rFonts w:ascii="宋体"/>
          <w:color w:val="auto"/>
          <w:highlight w:val="none"/>
        </w:rPr>
      </w:pPr>
      <w:r>
        <w:rPr>
          <w:rFonts w:ascii="宋体" w:hAnsi="宋体" w:cs="宋体"/>
          <w:b/>
          <w:bCs/>
          <w:color w:val="auto"/>
          <w:highlight w:val="none"/>
        </w:rPr>
        <w:t>19.</w:t>
      </w:r>
      <w:r>
        <w:rPr>
          <w:rFonts w:hint="eastAsia" w:ascii="宋体" w:hAnsi="宋体" w:cs="宋体"/>
          <w:b/>
          <w:bCs/>
          <w:color w:val="auto"/>
          <w:highlight w:val="none"/>
        </w:rPr>
        <w:t>投标的澄清</w:t>
      </w:r>
    </w:p>
    <w:p w14:paraId="3920E2E0">
      <w:pPr>
        <w:spacing w:line="400" w:lineRule="exact"/>
        <w:rPr>
          <w:rFonts w:ascii="宋体" w:hAnsi="宋体" w:cs="宋体"/>
          <w:color w:val="auto"/>
          <w:highlight w:val="none"/>
        </w:rPr>
      </w:pPr>
      <w:r>
        <w:rPr>
          <w:rFonts w:hint="eastAsia" w:ascii="宋体" w:hAnsi="宋体" w:cs="宋体"/>
          <w:b/>
          <w:color w:val="auto"/>
          <w:highlight w:val="none"/>
        </w:rPr>
        <w:t>19.1</w:t>
      </w:r>
      <w:r>
        <w:rPr>
          <w:rFonts w:hint="eastAsia" w:ascii="宋体" w:hAnsi="宋体" w:cs="宋体"/>
          <w:color w:val="auto"/>
          <w:highlight w:val="none"/>
        </w:rPr>
        <w:t>对于投标文件中含义不明确、同类问题表述不一致或者有明显文字和计算错误的内容，评标委员会应当以书面形式要求投标人作出必要的澄清、说明或者补正。</w:t>
      </w:r>
    </w:p>
    <w:p w14:paraId="1180159C">
      <w:pPr>
        <w:spacing w:line="400" w:lineRule="exact"/>
        <w:rPr>
          <w:rFonts w:ascii="宋体" w:hAnsi="宋体" w:cs="宋体"/>
          <w:color w:val="auto"/>
          <w:highlight w:val="none"/>
        </w:rPr>
      </w:pPr>
      <w:r>
        <w:rPr>
          <w:rFonts w:hint="eastAsia" w:ascii="宋体" w:hAnsi="宋体" w:cs="宋体"/>
          <w:b/>
          <w:color w:val="auto"/>
          <w:highlight w:val="none"/>
        </w:rPr>
        <w:t>19.2</w:t>
      </w:r>
      <w:r>
        <w:rPr>
          <w:rFonts w:hint="eastAsia" w:ascii="宋体" w:hAnsi="宋体" w:cs="宋体"/>
          <w:color w:val="auto"/>
          <w:highlight w:val="none"/>
        </w:rPr>
        <w:t>投标人的澄清、说明或者补正应当采用书面形式，并加盖公章，或者由法定代表人或其授权的代表签字。投标人的澄清、说明或者补正不得超出投标文件的范围或者改变投标文件的实质性内容。</w:t>
      </w:r>
    </w:p>
    <w:p w14:paraId="6CF3A7EB">
      <w:pPr>
        <w:spacing w:line="400" w:lineRule="exact"/>
        <w:rPr>
          <w:rFonts w:ascii="宋体" w:hAnsi="宋体" w:cs="宋体"/>
          <w:color w:val="auto"/>
          <w:highlight w:val="none"/>
          <w:u w:val="single"/>
        </w:rPr>
      </w:pPr>
      <w:r>
        <w:rPr>
          <w:rFonts w:hint="eastAsia" w:ascii="宋体" w:hAnsi="宋体" w:cs="宋体"/>
          <w:b/>
          <w:color w:val="auto"/>
          <w:highlight w:val="none"/>
        </w:rPr>
        <w:t>19.3</w:t>
      </w:r>
      <w:r>
        <w:rPr>
          <w:rFonts w:hint="eastAsia" w:ascii="宋体" w:hAnsi="宋体" w:cs="宋体"/>
          <w:color w:val="auto"/>
          <w:highlight w:val="none"/>
        </w:rPr>
        <w:t>采用</w:t>
      </w:r>
      <w:r>
        <w:rPr>
          <w:rFonts w:hint="eastAsia" w:ascii="宋体" w:hAnsi="宋体" w:cs="宋体"/>
          <w:color w:val="auto"/>
          <w:kern w:val="0"/>
          <w:highlight w:val="none"/>
        </w:rPr>
        <w:t>电子招投标的，澄清、说明或者补正通过电子交易平台提交电子版文件</w:t>
      </w:r>
      <w:r>
        <w:rPr>
          <w:rFonts w:hint="eastAsia" w:ascii="宋体" w:hAnsi="宋体" w:cs="宋体"/>
          <w:color w:val="auto"/>
          <w:highlight w:val="none"/>
        </w:rPr>
        <w:t>，并加盖公章，或者由法定代表人或其授权的代表签字</w:t>
      </w:r>
      <w:r>
        <w:rPr>
          <w:rFonts w:hint="eastAsia" w:ascii="宋体" w:hAnsi="宋体" w:cs="宋体"/>
          <w:color w:val="auto"/>
          <w:kern w:val="0"/>
          <w:highlight w:val="none"/>
        </w:rPr>
        <w:t>。投标人提交澄清说明或补正的时间为</w:t>
      </w:r>
      <w:r>
        <w:rPr>
          <w:rFonts w:hint="eastAsia" w:ascii="宋体" w:hAnsi="宋体" w:cs="宋体"/>
          <w:color w:val="auto"/>
          <w:kern w:val="0"/>
          <w:highlight w:val="none"/>
          <w:u w:val="single"/>
        </w:rPr>
        <w:t>30</w:t>
      </w:r>
      <w:r>
        <w:rPr>
          <w:rFonts w:hint="eastAsia" w:ascii="宋体" w:hAnsi="宋体" w:cs="宋体"/>
          <w:color w:val="auto"/>
          <w:kern w:val="0"/>
          <w:highlight w:val="none"/>
        </w:rPr>
        <w:t>分钟。</w:t>
      </w:r>
    </w:p>
    <w:p w14:paraId="7E224F2D">
      <w:pPr>
        <w:spacing w:line="400" w:lineRule="exact"/>
        <w:rPr>
          <w:rFonts w:ascii="宋体" w:hAnsi="宋体" w:cs="宋体"/>
          <w:b/>
          <w:color w:val="auto"/>
          <w:highlight w:val="none"/>
          <w:u w:val="single"/>
        </w:rPr>
      </w:pPr>
      <w:r>
        <w:rPr>
          <w:rFonts w:hint="eastAsia" w:ascii="宋体" w:hAnsi="宋体" w:cs="宋体"/>
          <w:b/>
          <w:color w:val="auto"/>
          <w:highlight w:val="none"/>
        </w:rPr>
        <w:t>19.4</w:t>
      </w:r>
      <w:r>
        <w:rPr>
          <w:rFonts w:hint="eastAsia" w:ascii="宋体" w:hAnsi="宋体" w:cs="宋体"/>
          <w:b/>
          <w:color w:val="auto"/>
          <w:highlight w:val="none"/>
          <w:u w:val="single"/>
        </w:rPr>
        <w:t>若投标人未响应澄清安排的通知进行答疑和澄清，将被视作自动放弃。</w:t>
      </w:r>
    </w:p>
    <w:p w14:paraId="641D72CB">
      <w:pPr>
        <w:spacing w:line="400" w:lineRule="exact"/>
        <w:rPr>
          <w:rFonts w:ascii="宋体"/>
          <w:color w:val="auto"/>
          <w:highlight w:val="none"/>
          <w:u w:val="single"/>
        </w:rPr>
      </w:pPr>
      <w:r>
        <w:rPr>
          <w:rFonts w:ascii="宋体" w:hAnsi="宋体" w:cs="宋体"/>
          <w:b/>
          <w:bCs/>
          <w:color w:val="auto"/>
          <w:highlight w:val="none"/>
        </w:rPr>
        <w:t>20.</w:t>
      </w:r>
      <w:r>
        <w:rPr>
          <w:rFonts w:hint="eastAsia" w:ascii="宋体" w:hAnsi="宋体" w:cs="宋体"/>
          <w:b/>
          <w:bCs/>
          <w:color w:val="auto"/>
          <w:highlight w:val="none"/>
        </w:rPr>
        <w:t>评标办法：</w:t>
      </w:r>
      <w:r>
        <w:rPr>
          <w:rFonts w:hint="eastAsia" w:ascii="宋体" w:hAnsi="宋体" w:cs="宋体"/>
          <w:color w:val="auto"/>
          <w:highlight w:val="none"/>
        </w:rPr>
        <w:t>评标采用的方法有最低评标价法和综合评分法。</w:t>
      </w:r>
      <w:r>
        <w:rPr>
          <w:rFonts w:hint="eastAsia" w:ascii="宋体" w:hAnsi="宋体" w:cs="宋体"/>
          <w:b/>
          <w:bCs/>
          <w:color w:val="auto"/>
          <w:highlight w:val="none"/>
        </w:rPr>
        <w:t>本项目招标采用的评标方法载明在招标文件第五部分“评标办法”中。</w:t>
      </w:r>
    </w:p>
    <w:p w14:paraId="725A2718">
      <w:pPr>
        <w:spacing w:line="400" w:lineRule="exact"/>
        <w:rPr>
          <w:rFonts w:ascii="宋体" w:hAnsi="宋体" w:cs="宋体"/>
          <w:b/>
          <w:bCs/>
          <w:color w:val="auto"/>
          <w:highlight w:val="none"/>
        </w:rPr>
      </w:pPr>
    </w:p>
    <w:p w14:paraId="11A7D919">
      <w:pPr>
        <w:spacing w:line="400" w:lineRule="exact"/>
        <w:rPr>
          <w:rFonts w:ascii="宋体"/>
          <w:color w:val="auto"/>
          <w:highlight w:val="none"/>
        </w:rPr>
      </w:pPr>
      <w:r>
        <w:rPr>
          <w:rFonts w:ascii="宋体" w:hAnsi="宋体" w:cs="宋体"/>
          <w:b/>
          <w:bCs/>
          <w:color w:val="auto"/>
          <w:highlight w:val="none"/>
        </w:rPr>
        <w:t>21.</w:t>
      </w:r>
      <w:r>
        <w:rPr>
          <w:rFonts w:hint="eastAsia" w:ascii="宋体" w:hAnsi="宋体" w:cs="宋体"/>
          <w:b/>
          <w:bCs/>
          <w:color w:val="auto"/>
          <w:highlight w:val="none"/>
        </w:rPr>
        <w:t>评标程序和原则</w:t>
      </w:r>
    </w:p>
    <w:p w14:paraId="04E1A2D6">
      <w:pPr>
        <w:spacing w:line="440" w:lineRule="exact"/>
        <w:rPr>
          <w:rFonts w:ascii="宋体"/>
          <w:color w:val="auto"/>
          <w:highlight w:val="none"/>
          <w:shd w:val="pct10" w:color="auto" w:fill="FFFFFF"/>
        </w:rPr>
      </w:pPr>
      <w:r>
        <w:rPr>
          <w:rFonts w:ascii="宋体" w:hAnsi="宋体" w:cs="宋体"/>
          <w:b/>
          <w:bCs/>
          <w:color w:val="auto"/>
          <w:highlight w:val="none"/>
        </w:rPr>
        <w:t>21.1</w:t>
      </w:r>
      <w:r>
        <w:rPr>
          <w:rFonts w:hint="eastAsia" w:ascii="宋体" w:hAnsi="宋体" w:cs="宋体"/>
          <w:color w:val="auto"/>
          <w:highlight w:val="none"/>
          <w:u w:val="thick"/>
        </w:rPr>
        <w:t>评标程序</w:t>
      </w:r>
      <w:r>
        <w:rPr>
          <w:rFonts w:hint="eastAsia" w:ascii="宋体" w:hAnsi="宋体" w:cs="宋体"/>
          <w:color w:val="auto"/>
          <w:highlight w:val="none"/>
        </w:rPr>
        <w:t>：遵循资格审查、符合性审查、澄清有关问题、比较与评价、推荐中标供应商（或中标候选人）的程序依次进行。</w:t>
      </w:r>
    </w:p>
    <w:p w14:paraId="00E3A451">
      <w:pPr>
        <w:spacing w:line="440" w:lineRule="exact"/>
        <w:rPr>
          <w:rFonts w:ascii="宋体"/>
          <w:color w:val="auto"/>
          <w:highlight w:val="none"/>
        </w:rPr>
      </w:pPr>
      <w:r>
        <w:rPr>
          <w:rFonts w:ascii="宋体" w:hAnsi="宋体" w:cs="宋体"/>
          <w:b/>
          <w:bCs/>
          <w:color w:val="auto"/>
          <w:highlight w:val="none"/>
        </w:rPr>
        <w:t>21.2</w:t>
      </w:r>
      <w:r>
        <w:rPr>
          <w:rFonts w:hint="eastAsia" w:ascii="宋体" w:hAnsi="宋体" w:cs="宋体"/>
          <w:color w:val="auto"/>
          <w:highlight w:val="none"/>
          <w:u w:val="thick"/>
        </w:rPr>
        <w:t>资格审查</w:t>
      </w:r>
      <w:r>
        <w:rPr>
          <w:rFonts w:hint="eastAsia" w:ascii="宋体" w:hAnsi="宋体" w:cs="宋体"/>
          <w:color w:val="auto"/>
          <w:highlight w:val="none"/>
        </w:rPr>
        <w:t>：公开招标采购项目开标结束后，采购人或者采购代理机构应当依法对投标人的资格进行审查。详见招标文件第五部分“评标办法”。</w:t>
      </w:r>
    </w:p>
    <w:p w14:paraId="48D9BA47">
      <w:pPr>
        <w:spacing w:line="440" w:lineRule="exact"/>
        <w:rPr>
          <w:rFonts w:ascii="宋体"/>
          <w:color w:val="auto"/>
          <w:highlight w:val="none"/>
        </w:rPr>
      </w:pPr>
      <w:r>
        <w:rPr>
          <w:rFonts w:ascii="宋体" w:hAnsi="宋体" w:cs="宋体"/>
          <w:b/>
          <w:bCs/>
          <w:color w:val="auto"/>
          <w:highlight w:val="none"/>
        </w:rPr>
        <w:t>21.3</w:t>
      </w:r>
      <w:r>
        <w:rPr>
          <w:rFonts w:hint="eastAsia" w:ascii="宋体" w:hAnsi="宋体" w:cs="宋体"/>
          <w:color w:val="auto"/>
          <w:highlight w:val="none"/>
          <w:u w:val="thick"/>
        </w:rPr>
        <w:t>符合性审查</w:t>
      </w:r>
      <w:r>
        <w:rPr>
          <w:rFonts w:hint="eastAsia" w:ascii="宋体" w:hAnsi="宋体" w:cs="宋体"/>
          <w:color w:val="auto"/>
          <w:highlight w:val="none"/>
        </w:rPr>
        <w:t>：评标委员会应当对符合资格的投标人的投标文件进行符合性审查，以确定其是否满足招标文件的实质性要求。详见招标文件第五部分“评标办法”。</w:t>
      </w:r>
    </w:p>
    <w:p w14:paraId="0CC597A9">
      <w:pPr>
        <w:spacing w:line="440" w:lineRule="exact"/>
        <w:rPr>
          <w:rFonts w:ascii="宋体"/>
          <w:color w:val="auto"/>
          <w:highlight w:val="none"/>
        </w:rPr>
      </w:pPr>
      <w:r>
        <w:rPr>
          <w:rFonts w:ascii="宋体" w:hAnsi="宋体" w:cs="宋体"/>
          <w:b/>
          <w:bCs/>
          <w:color w:val="auto"/>
          <w:highlight w:val="none"/>
        </w:rPr>
        <w:t>21.4</w:t>
      </w:r>
      <w:r>
        <w:rPr>
          <w:rFonts w:hint="eastAsia" w:ascii="宋体" w:hAnsi="宋体" w:cs="宋体"/>
          <w:color w:val="auto"/>
          <w:highlight w:val="none"/>
          <w:u w:val="thick"/>
        </w:rPr>
        <w:t>澄清有关问题</w:t>
      </w:r>
      <w:r>
        <w:rPr>
          <w:rFonts w:hint="eastAsia" w:ascii="宋体" w:hAnsi="宋体" w:cs="宋体"/>
          <w:color w:val="auto"/>
          <w:highlight w:val="none"/>
        </w:rPr>
        <w:t>：按第</w:t>
      </w:r>
      <w:r>
        <w:rPr>
          <w:rFonts w:ascii="宋体" w:hAnsi="宋体" w:cs="宋体"/>
          <w:b/>
          <w:bCs/>
          <w:color w:val="auto"/>
          <w:highlight w:val="none"/>
        </w:rPr>
        <w:t>19</w:t>
      </w:r>
      <w:r>
        <w:rPr>
          <w:rFonts w:hint="eastAsia" w:ascii="宋体" w:hAnsi="宋体" w:cs="宋体"/>
          <w:color w:val="auto"/>
          <w:highlight w:val="none"/>
        </w:rPr>
        <w:t>条规定进行。</w:t>
      </w:r>
    </w:p>
    <w:p w14:paraId="0188C7E9">
      <w:pPr>
        <w:spacing w:line="440" w:lineRule="exact"/>
        <w:rPr>
          <w:rFonts w:ascii="宋体"/>
          <w:color w:val="auto"/>
          <w:highlight w:val="none"/>
        </w:rPr>
      </w:pPr>
      <w:r>
        <w:rPr>
          <w:rFonts w:ascii="宋体" w:hAnsi="宋体" w:cs="宋体"/>
          <w:b/>
          <w:bCs/>
          <w:color w:val="auto"/>
          <w:highlight w:val="none"/>
        </w:rPr>
        <w:t>21.5</w:t>
      </w:r>
      <w:r>
        <w:rPr>
          <w:rFonts w:hint="eastAsia" w:ascii="宋体" w:hAnsi="宋体" w:cs="宋体"/>
          <w:color w:val="auto"/>
          <w:highlight w:val="none"/>
          <w:u w:val="thick"/>
        </w:rPr>
        <w:t>综合比较与评价</w:t>
      </w:r>
      <w:r>
        <w:rPr>
          <w:rFonts w:hint="eastAsia" w:ascii="宋体" w:hAnsi="宋体" w:cs="宋体"/>
          <w:color w:val="auto"/>
          <w:highlight w:val="none"/>
        </w:rPr>
        <w:t>：评标委员会应当按照招标文件中规定的评标方法和标准，对符合性审查合格的投标文件进行商务和技术评估，综合比较与评价。</w:t>
      </w:r>
    </w:p>
    <w:p w14:paraId="2931C96F">
      <w:pPr>
        <w:spacing w:line="440" w:lineRule="exact"/>
        <w:rPr>
          <w:rFonts w:ascii="宋体"/>
          <w:b/>
          <w:bCs/>
          <w:color w:val="auto"/>
          <w:highlight w:val="none"/>
        </w:rPr>
      </w:pPr>
      <w:r>
        <w:rPr>
          <w:rFonts w:ascii="宋体" w:hAnsi="宋体" w:cs="宋体"/>
          <w:b/>
          <w:bCs/>
          <w:color w:val="auto"/>
          <w:highlight w:val="none"/>
        </w:rPr>
        <w:t>21.5.1</w:t>
      </w:r>
      <w:r>
        <w:rPr>
          <w:rFonts w:hint="eastAsia" w:ascii="宋体" w:hAnsi="宋体" w:cs="宋体"/>
          <w:color w:val="auto"/>
          <w:highlight w:val="none"/>
          <w:u w:val="thick"/>
        </w:rPr>
        <w:t>商务评价</w:t>
      </w:r>
      <w:r>
        <w:rPr>
          <w:rFonts w:hint="eastAsia" w:ascii="宋体" w:hAnsi="宋体" w:cs="宋体"/>
          <w:color w:val="auto"/>
          <w:highlight w:val="none"/>
        </w:rPr>
        <w:t>：按照招标文件的要求和“评标标准”对照投标文件的响应进行商务评价，并对其偏差计算相应的商务评分分值。</w:t>
      </w:r>
    </w:p>
    <w:p w14:paraId="58C83565">
      <w:pPr>
        <w:spacing w:line="440" w:lineRule="exact"/>
        <w:rPr>
          <w:rFonts w:ascii="宋体"/>
          <w:color w:val="auto"/>
          <w:highlight w:val="none"/>
        </w:rPr>
      </w:pPr>
      <w:r>
        <w:rPr>
          <w:rFonts w:ascii="宋体" w:hAnsi="宋体" w:cs="宋体"/>
          <w:b/>
          <w:bCs/>
          <w:color w:val="auto"/>
          <w:highlight w:val="none"/>
        </w:rPr>
        <w:t>21.5.2</w:t>
      </w:r>
      <w:r>
        <w:rPr>
          <w:rFonts w:hint="eastAsia" w:ascii="宋体" w:hAnsi="宋体" w:cs="宋体"/>
          <w:color w:val="auto"/>
          <w:highlight w:val="none"/>
          <w:u w:val="thick"/>
        </w:rPr>
        <w:t>技术评价</w:t>
      </w:r>
      <w:r>
        <w:rPr>
          <w:rFonts w:hint="eastAsia" w:ascii="宋体" w:hAnsi="宋体" w:cs="宋体"/>
          <w:color w:val="auto"/>
          <w:highlight w:val="none"/>
        </w:rPr>
        <w:t>：按照招标文件的要求和“评标标准”对照投标文件的响应进行技术评价，评定其偏差程度，并计算其相应的技术评分分值。</w:t>
      </w:r>
    </w:p>
    <w:p w14:paraId="470F1F22">
      <w:pPr>
        <w:spacing w:line="440" w:lineRule="exact"/>
        <w:jc w:val="left"/>
        <w:rPr>
          <w:rFonts w:ascii="宋体"/>
          <w:color w:val="auto"/>
          <w:highlight w:val="none"/>
        </w:rPr>
      </w:pPr>
      <w:r>
        <w:rPr>
          <w:rFonts w:ascii="宋体" w:hAnsi="宋体" w:cs="宋体"/>
          <w:b/>
          <w:bCs/>
          <w:color w:val="auto"/>
          <w:highlight w:val="none"/>
        </w:rPr>
        <w:t>21.5.3</w:t>
      </w:r>
      <w:r>
        <w:rPr>
          <w:rFonts w:hint="eastAsia" w:ascii="宋体" w:hAnsi="宋体" w:cs="宋体"/>
          <w:color w:val="auto"/>
          <w:highlight w:val="none"/>
          <w:u w:val="thick"/>
        </w:rPr>
        <w:t>综合评价</w:t>
      </w:r>
      <w:r>
        <w:rPr>
          <w:rFonts w:hint="eastAsia" w:ascii="宋体" w:hAnsi="宋体" w:cs="宋体"/>
          <w:color w:val="auto"/>
          <w:highlight w:val="none"/>
        </w:rPr>
        <w:t>：对经过商务评价、技术评价的投标，按“评标标准”规定的评价办法进行综合评价，做出评标结果排序。</w:t>
      </w:r>
    </w:p>
    <w:p w14:paraId="1906ED64">
      <w:pPr>
        <w:spacing w:line="440" w:lineRule="exact"/>
        <w:jc w:val="left"/>
        <w:rPr>
          <w:rFonts w:ascii="宋体"/>
          <w:color w:val="auto"/>
          <w:highlight w:val="none"/>
        </w:rPr>
      </w:pPr>
    </w:p>
    <w:p w14:paraId="0C1E5A30">
      <w:pPr>
        <w:spacing w:line="440" w:lineRule="exact"/>
        <w:rPr>
          <w:rFonts w:ascii="宋体"/>
          <w:b/>
          <w:bCs/>
          <w:color w:val="auto"/>
          <w:highlight w:val="none"/>
        </w:rPr>
      </w:pPr>
      <w:r>
        <w:rPr>
          <w:rFonts w:ascii="宋体" w:hAnsi="宋体" w:cs="宋体"/>
          <w:b/>
          <w:bCs/>
          <w:color w:val="auto"/>
          <w:highlight w:val="none"/>
        </w:rPr>
        <w:t>21.6</w:t>
      </w:r>
      <w:r>
        <w:rPr>
          <w:rFonts w:hint="eastAsia" w:ascii="宋体" w:hAnsi="宋体" w:cs="宋体"/>
          <w:b/>
          <w:bCs/>
          <w:color w:val="auto"/>
          <w:highlight w:val="none"/>
        </w:rPr>
        <w:t>评标过程处理原则</w:t>
      </w:r>
    </w:p>
    <w:p w14:paraId="344DD688">
      <w:pPr>
        <w:spacing w:line="440" w:lineRule="exact"/>
        <w:rPr>
          <w:rFonts w:ascii="宋体" w:hAnsi="宋体"/>
          <w:color w:val="auto"/>
          <w:highlight w:val="none"/>
        </w:rPr>
      </w:pPr>
      <w:r>
        <w:rPr>
          <w:rFonts w:hint="eastAsia" w:ascii="宋体" w:hAnsi="宋体"/>
          <w:b/>
          <w:color w:val="auto"/>
          <w:highlight w:val="none"/>
        </w:rPr>
        <w:t>21.6.1</w:t>
      </w:r>
      <w:r>
        <w:rPr>
          <w:rFonts w:hint="eastAsia" w:ascii="宋体" w:hAnsi="宋体"/>
          <w:color w:val="auto"/>
          <w:highlight w:val="none"/>
        </w:rPr>
        <w:t>通过资格审查的投标人不足3家的，评标终止。</w:t>
      </w:r>
    </w:p>
    <w:p w14:paraId="13D46817">
      <w:pPr>
        <w:spacing w:line="440" w:lineRule="exact"/>
        <w:rPr>
          <w:rFonts w:ascii="宋体" w:hAnsi="宋体"/>
          <w:b/>
          <w:color w:val="auto"/>
          <w:highlight w:val="none"/>
        </w:rPr>
      </w:pPr>
      <w:r>
        <w:rPr>
          <w:rFonts w:hint="eastAsia" w:ascii="宋体" w:hAnsi="宋体"/>
          <w:b/>
          <w:color w:val="auto"/>
          <w:highlight w:val="none"/>
        </w:rPr>
        <w:t>21.6.2</w:t>
      </w:r>
      <w:r>
        <w:rPr>
          <w:rFonts w:hint="eastAsia" w:ascii="宋体" w:hAnsi="宋体"/>
          <w:color w:val="auto"/>
          <w:highlight w:val="none"/>
        </w:rPr>
        <w:t>信用信息查询</w:t>
      </w:r>
    </w:p>
    <w:p w14:paraId="133CB7ED">
      <w:pPr>
        <w:spacing w:line="440" w:lineRule="exact"/>
        <w:ind w:firstLine="420" w:firstLineChars="200"/>
        <w:rPr>
          <w:rFonts w:ascii="宋体" w:hAnsi="宋体"/>
          <w:color w:val="auto"/>
          <w:highlight w:val="none"/>
        </w:rPr>
      </w:pPr>
      <w:r>
        <w:rPr>
          <w:rFonts w:hint="eastAsia" w:ascii="宋体" w:hAnsi="宋体"/>
          <w:color w:val="auto"/>
          <w:highlight w:val="none"/>
        </w:rPr>
        <w:t>（1）信用信息查询渠道及截止时间：采购代理机构将通过“信用中国”网站(www.creditchina.gov.cn)、中国政府采购网(www.ccgp.gov.cn)渠道查询投标人投标截止时间当天的信用记录。</w:t>
      </w:r>
    </w:p>
    <w:p w14:paraId="36388CFC">
      <w:pPr>
        <w:spacing w:line="440" w:lineRule="exact"/>
        <w:ind w:firstLine="420" w:firstLineChars="200"/>
        <w:rPr>
          <w:rFonts w:ascii="宋体" w:hAnsi="宋体"/>
          <w:color w:val="auto"/>
          <w:highlight w:val="none"/>
        </w:rPr>
      </w:pPr>
      <w:r>
        <w:rPr>
          <w:rFonts w:hint="eastAsia" w:ascii="宋体" w:hAnsi="宋体"/>
          <w:color w:val="auto"/>
          <w:highlight w:val="none"/>
        </w:rPr>
        <w:t>（2）信用信息查询记录和证据留存的具体方式：现场查询的投标人的信用记录、查询结果经确认后将与招标文件一起存档。</w:t>
      </w:r>
    </w:p>
    <w:p w14:paraId="42810C3D">
      <w:pPr>
        <w:spacing w:line="440" w:lineRule="exact"/>
        <w:ind w:firstLine="420" w:firstLineChars="200"/>
        <w:rPr>
          <w:rFonts w:ascii="宋体" w:hAnsi="宋体"/>
          <w:color w:val="auto"/>
          <w:highlight w:val="none"/>
        </w:rPr>
      </w:pPr>
      <w:r>
        <w:rPr>
          <w:rFonts w:hint="eastAsia" w:ascii="宋体" w:hAnsi="宋体"/>
          <w:color w:val="auto"/>
          <w:highlight w:val="none"/>
        </w:rPr>
        <w:t>（3）信用信息的使用规则：经查询列入失信被执行人名单、重大税收违法案件当事人名单、政府采购严重违法失信行为记录名单的投标人将被拒绝参与政府采购活动。</w:t>
      </w:r>
    </w:p>
    <w:p w14:paraId="7BC55113">
      <w:pPr>
        <w:spacing w:line="440" w:lineRule="exact"/>
        <w:ind w:firstLine="420" w:firstLineChars="200"/>
        <w:rPr>
          <w:rFonts w:ascii="宋体" w:hAnsi="宋体"/>
          <w:color w:val="auto"/>
          <w:highlight w:val="none"/>
        </w:rPr>
      </w:pPr>
      <w:r>
        <w:rPr>
          <w:rFonts w:hint="eastAsia" w:ascii="宋体" w:hAnsi="宋体"/>
          <w:color w:val="auto"/>
          <w:highlight w:val="none"/>
        </w:rPr>
        <w:t>（4）联合体信用信息查询：两个以上的自然人、法人或者其他组织组成一个联合体，以一个投标人的身份共同参加政府采购活动的，应当对所有联合体成员进行信用记录查询，联合体成员存在不良信用记录的，视同联合体存在不良信用记录。</w:t>
      </w:r>
    </w:p>
    <w:p w14:paraId="3A78FF7C">
      <w:pPr>
        <w:spacing w:line="440" w:lineRule="exact"/>
        <w:rPr>
          <w:rFonts w:ascii="宋体" w:hAnsi="宋体"/>
          <w:color w:val="auto"/>
          <w:highlight w:val="none"/>
        </w:rPr>
      </w:pPr>
      <w:r>
        <w:rPr>
          <w:rFonts w:hint="eastAsia" w:ascii="宋体" w:hAnsi="宋体"/>
          <w:b/>
          <w:color w:val="auto"/>
          <w:highlight w:val="none"/>
        </w:rPr>
        <w:t>21.6.3</w:t>
      </w:r>
      <w:r>
        <w:rPr>
          <w:rFonts w:hint="eastAsia" w:ascii="宋体" w:hAnsi="宋体"/>
          <w:color w:val="auto"/>
          <w:highlight w:val="none"/>
        </w:rPr>
        <w:t>投标文件报价出现前后不一致的，除招标文件另有规定外，按照下列规定修正：</w:t>
      </w:r>
    </w:p>
    <w:p w14:paraId="718D8291">
      <w:pPr>
        <w:spacing w:line="440" w:lineRule="exact"/>
        <w:ind w:firstLine="449" w:firstLineChars="214"/>
        <w:rPr>
          <w:rFonts w:ascii="宋体" w:hAnsi="宋体"/>
          <w:color w:val="auto"/>
          <w:highlight w:val="none"/>
        </w:rPr>
      </w:pPr>
      <w:r>
        <w:rPr>
          <w:rFonts w:hint="eastAsia" w:ascii="宋体" w:hAnsi="宋体"/>
          <w:color w:val="auto"/>
          <w:highlight w:val="none"/>
        </w:rPr>
        <w:t>（一）投标文件中开标一览表(报价表)内容与投标文件中相应内容不一致的，以开标一览表(报价表)为准；</w:t>
      </w:r>
    </w:p>
    <w:p w14:paraId="1696DB85">
      <w:pPr>
        <w:spacing w:line="440" w:lineRule="exact"/>
        <w:ind w:firstLine="449" w:firstLineChars="214"/>
        <w:rPr>
          <w:rFonts w:ascii="宋体" w:hAnsi="宋体"/>
          <w:color w:val="auto"/>
          <w:highlight w:val="none"/>
        </w:rPr>
      </w:pPr>
      <w:r>
        <w:rPr>
          <w:rFonts w:hint="eastAsia" w:ascii="宋体" w:hAnsi="宋体"/>
          <w:color w:val="auto"/>
          <w:highlight w:val="none"/>
        </w:rPr>
        <w:t>（二）大写金额和小写金额不一致的，以大写金额为准；</w:t>
      </w:r>
    </w:p>
    <w:p w14:paraId="396E1F3A">
      <w:pPr>
        <w:spacing w:line="440" w:lineRule="exact"/>
        <w:ind w:firstLine="449" w:firstLineChars="214"/>
        <w:rPr>
          <w:rFonts w:ascii="宋体" w:hAnsi="宋体"/>
          <w:color w:val="auto"/>
          <w:highlight w:val="none"/>
        </w:rPr>
      </w:pPr>
      <w:r>
        <w:rPr>
          <w:rFonts w:hint="eastAsia" w:ascii="宋体" w:hAnsi="宋体"/>
          <w:color w:val="auto"/>
          <w:highlight w:val="none"/>
        </w:rPr>
        <w:t>（三）单价金额小数点或者百分比有明显错位的，以开标一览表的总价为准，并修改单价；</w:t>
      </w:r>
    </w:p>
    <w:p w14:paraId="5175D626">
      <w:pPr>
        <w:spacing w:line="440" w:lineRule="exact"/>
        <w:ind w:firstLine="449" w:firstLineChars="214"/>
        <w:rPr>
          <w:rFonts w:ascii="宋体" w:hAnsi="宋体"/>
          <w:color w:val="auto"/>
          <w:highlight w:val="none"/>
        </w:rPr>
      </w:pPr>
      <w:r>
        <w:rPr>
          <w:rFonts w:hint="eastAsia" w:ascii="宋体" w:hAnsi="宋体"/>
          <w:color w:val="auto"/>
          <w:highlight w:val="none"/>
        </w:rPr>
        <w:t>（四）总价金额与按单价汇总金额不一致的，以单价金额计算结果为准。</w:t>
      </w:r>
    </w:p>
    <w:p w14:paraId="3168CF0F">
      <w:pPr>
        <w:spacing w:line="440" w:lineRule="exact"/>
        <w:ind w:firstLine="449" w:firstLineChars="214"/>
        <w:rPr>
          <w:rFonts w:ascii="宋体" w:hAnsi="宋体"/>
          <w:color w:val="auto"/>
          <w:highlight w:val="none"/>
        </w:rPr>
      </w:pPr>
      <w:r>
        <w:rPr>
          <w:rFonts w:hint="eastAsia" w:ascii="宋体" w:hAnsi="宋体"/>
          <w:color w:val="auto"/>
          <w:highlight w:val="none"/>
        </w:rPr>
        <w:t>同时出现两种以上不一致的，按照前款规定的顺序修正。修正后的报价按照本须知19.2条的规定经投标人确认后产生约束力，投标人不确认的，其投标无效。</w:t>
      </w:r>
    </w:p>
    <w:p w14:paraId="2D99F8C1">
      <w:pPr>
        <w:spacing w:line="440" w:lineRule="exact"/>
        <w:rPr>
          <w:rFonts w:ascii="宋体" w:hAnsi="宋体"/>
          <w:color w:val="auto"/>
          <w:highlight w:val="none"/>
        </w:rPr>
      </w:pPr>
      <w:r>
        <w:rPr>
          <w:rFonts w:hint="eastAsia" w:ascii="宋体" w:hAnsi="宋体"/>
          <w:b/>
          <w:color w:val="auto"/>
          <w:highlight w:val="none"/>
        </w:rPr>
        <w:t>21.6.4</w:t>
      </w:r>
      <w:r>
        <w:rPr>
          <w:rFonts w:hint="eastAsia" w:ascii="宋体" w:hAnsi="宋体"/>
          <w:color w:val="auto"/>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7C8BDAD2">
      <w:pPr>
        <w:spacing w:line="440" w:lineRule="exact"/>
        <w:rPr>
          <w:rFonts w:ascii="宋体" w:hAnsi="宋体"/>
          <w:color w:val="auto"/>
          <w:highlight w:val="none"/>
        </w:rPr>
      </w:pPr>
      <w:r>
        <w:rPr>
          <w:rFonts w:hint="eastAsia" w:ascii="宋体" w:hAnsi="宋体"/>
          <w:b/>
          <w:color w:val="auto"/>
          <w:highlight w:val="none"/>
        </w:rPr>
        <w:t>21.6.5</w:t>
      </w:r>
      <w:r>
        <w:rPr>
          <w:rFonts w:hint="eastAsia" w:ascii="宋体" w:hAnsi="宋体"/>
          <w:color w:val="auto"/>
          <w:highlight w:val="none"/>
        </w:rPr>
        <w:t>评标委员会成员对需要共同认定的事项存在争议的，应当按照少数服从多数的原则作出结论。持不同意见的评标委员会成员应当在评标报告上签署不同意见及理由，否则视为同意评标报告。</w:t>
      </w:r>
    </w:p>
    <w:p w14:paraId="129D1525">
      <w:pPr>
        <w:spacing w:line="440" w:lineRule="exact"/>
        <w:rPr>
          <w:rFonts w:ascii="宋体" w:hAnsi="宋体"/>
          <w:color w:val="auto"/>
          <w:highlight w:val="none"/>
        </w:rPr>
      </w:pPr>
      <w:r>
        <w:rPr>
          <w:rFonts w:hint="eastAsia" w:ascii="宋体" w:hAnsi="宋体"/>
          <w:b/>
          <w:color w:val="auto"/>
          <w:highlight w:val="none"/>
        </w:rPr>
        <w:t>21.6.6</w:t>
      </w:r>
      <w:r>
        <w:rPr>
          <w:rFonts w:hint="eastAsia" w:ascii="宋体" w:hAnsi="宋体"/>
          <w:color w:val="auto"/>
          <w:highlight w:val="none"/>
        </w:rPr>
        <w:t>采用最低评标价法的采购项目，提供相同品牌产品的不同投标人参加同一标项投标的，以其中通过资格审查、符合性审查且报价最低的参加评标；报价相同的，由采购人或者采购人委托评标委员会采取随机抽取方式确定，其他投标无效。</w:t>
      </w:r>
    </w:p>
    <w:p w14:paraId="628EB8E7">
      <w:pPr>
        <w:spacing w:line="440" w:lineRule="exact"/>
        <w:ind w:firstLine="420" w:firstLineChars="200"/>
        <w:rPr>
          <w:rFonts w:ascii="宋体" w:hAnsi="宋体"/>
          <w:color w:val="auto"/>
          <w:highlight w:val="none"/>
        </w:rPr>
      </w:pPr>
      <w:r>
        <w:rPr>
          <w:rFonts w:hint="eastAsia" w:ascii="宋体" w:hAnsi="宋体"/>
          <w:color w:val="auto"/>
          <w:highlight w:val="none"/>
        </w:rPr>
        <w:t>使用综合评分法的采购项目，提供相同品牌产品且通过资格审查、符合性审查的不同投标人参加同一标项项投标的，按一家投标人计算，评审后得分最高的同品牌投标人获得中标人推荐资格；评审得分相同的，由采购人或者采购人委托评标委员会采取随机抽取方式确定，其他同品牌投标人不作为中标候选人。</w:t>
      </w:r>
    </w:p>
    <w:p w14:paraId="0E2EEA26">
      <w:pPr>
        <w:spacing w:line="440" w:lineRule="exact"/>
        <w:ind w:firstLine="449" w:firstLineChars="214"/>
        <w:rPr>
          <w:rFonts w:ascii="宋体" w:hAnsi="宋体"/>
          <w:color w:val="auto"/>
          <w:highlight w:val="none"/>
        </w:rPr>
      </w:pPr>
      <w:r>
        <w:rPr>
          <w:rFonts w:hint="eastAsia" w:ascii="宋体" w:hAnsi="宋体"/>
          <w:color w:val="auto"/>
          <w:highlight w:val="none"/>
        </w:rPr>
        <w:t>非单一产品采购项目，招标文件中应载明核心产品，多家投标人提供的核心产品品牌相同的，按上述规定处理。</w:t>
      </w:r>
    </w:p>
    <w:p w14:paraId="39E3A762">
      <w:pPr>
        <w:spacing w:line="440" w:lineRule="exact"/>
        <w:rPr>
          <w:rFonts w:ascii="宋体" w:hAnsi="宋体"/>
          <w:color w:val="auto"/>
          <w:highlight w:val="none"/>
        </w:rPr>
      </w:pPr>
      <w:r>
        <w:rPr>
          <w:rFonts w:hint="eastAsia" w:ascii="宋体" w:hAnsi="宋体"/>
          <w:b/>
          <w:color w:val="auto"/>
          <w:highlight w:val="none"/>
        </w:rPr>
        <w:t>21.6.7</w:t>
      </w:r>
      <w:r>
        <w:rPr>
          <w:rFonts w:hint="eastAsia" w:ascii="宋体" w:hAnsi="宋体"/>
          <w:color w:val="auto"/>
          <w:highlight w:val="none"/>
        </w:rPr>
        <w:t>有下列情形之一的，视为投标人串通投标，其投标无效：</w:t>
      </w:r>
    </w:p>
    <w:p w14:paraId="522A47FA">
      <w:pPr>
        <w:spacing w:line="440" w:lineRule="exact"/>
        <w:ind w:firstLine="449" w:firstLineChars="214"/>
        <w:rPr>
          <w:rFonts w:ascii="宋体" w:hAnsi="宋体"/>
          <w:color w:val="auto"/>
          <w:highlight w:val="none"/>
        </w:rPr>
      </w:pPr>
      <w:r>
        <w:rPr>
          <w:rFonts w:hint="eastAsia" w:ascii="宋体" w:hAnsi="宋体"/>
          <w:color w:val="auto"/>
          <w:highlight w:val="none"/>
        </w:rPr>
        <w:t>（一）不同投标人的投标文件由同一单位或者个人编制；</w:t>
      </w:r>
    </w:p>
    <w:p w14:paraId="21BF367E">
      <w:pPr>
        <w:spacing w:line="440" w:lineRule="exact"/>
        <w:ind w:firstLine="449" w:firstLineChars="214"/>
        <w:rPr>
          <w:rFonts w:ascii="宋体" w:hAnsi="宋体"/>
          <w:color w:val="auto"/>
          <w:highlight w:val="none"/>
        </w:rPr>
      </w:pPr>
      <w:r>
        <w:rPr>
          <w:rFonts w:hint="eastAsia" w:ascii="宋体" w:hAnsi="宋体"/>
          <w:color w:val="auto"/>
          <w:highlight w:val="none"/>
        </w:rPr>
        <w:t>（二）不同投标人委托同一单位或者个人办理投标事宜；</w:t>
      </w:r>
    </w:p>
    <w:p w14:paraId="77BA0BE7">
      <w:pPr>
        <w:spacing w:line="440" w:lineRule="exact"/>
        <w:ind w:firstLine="449" w:firstLineChars="214"/>
        <w:rPr>
          <w:rFonts w:ascii="宋体" w:hAnsi="宋体"/>
          <w:color w:val="auto"/>
          <w:highlight w:val="none"/>
        </w:rPr>
      </w:pPr>
      <w:r>
        <w:rPr>
          <w:rFonts w:hint="eastAsia" w:ascii="宋体" w:hAnsi="宋体"/>
          <w:color w:val="auto"/>
          <w:highlight w:val="none"/>
        </w:rPr>
        <w:t>（三）不同投标人的投标文件载明的项目管理成员或者联系人员为同一人；</w:t>
      </w:r>
    </w:p>
    <w:p w14:paraId="737BB4E3">
      <w:pPr>
        <w:spacing w:line="440" w:lineRule="exact"/>
        <w:ind w:firstLine="449" w:firstLineChars="214"/>
        <w:rPr>
          <w:rFonts w:ascii="宋体" w:hAnsi="宋体"/>
          <w:color w:val="auto"/>
          <w:highlight w:val="none"/>
        </w:rPr>
      </w:pPr>
      <w:r>
        <w:rPr>
          <w:rFonts w:hint="eastAsia" w:ascii="宋体" w:hAnsi="宋体"/>
          <w:color w:val="auto"/>
          <w:highlight w:val="none"/>
        </w:rPr>
        <w:t>（四）不同投标人的投标文件异常一致或者投标报价呈规律性差异；</w:t>
      </w:r>
    </w:p>
    <w:p w14:paraId="27EA52A6">
      <w:pPr>
        <w:spacing w:line="440" w:lineRule="exact"/>
        <w:ind w:firstLine="449" w:firstLineChars="214"/>
        <w:rPr>
          <w:rFonts w:ascii="宋体" w:hAnsi="宋体"/>
          <w:color w:val="auto"/>
          <w:highlight w:val="none"/>
        </w:rPr>
      </w:pPr>
      <w:r>
        <w:rPr>
          <w:rFonts w:hint="eastAsia" w:ascii="宋体" w:hAnsi="宋体"/>
          <w:color w:val="auto"/>
          <w:highlight w:val="none"/>
        </w:rPr>
        <w:t>（五）不同投标人的投标文件相互混装；</w:t>
      </w:r>
    </w:p>
    <w:p w14:paraId="68DEF177">
      <w:pPr>
        <w:spacing w:line="440" w:lineRule="exact"/>
        <w:ind w:firstLine="449" w:firstLineChars="214"/>
        <w:rPr>
          <w:rFonts w:ascii="宋体" w:hAnsi="宋体"/>
          <w:color w:val="auto"/>
          <w:highlight w:val="none"/>
        </w:rPr>
      </w:pPr>
      <w:r>
        <w:rPr>
          <w:rFonts w:hint="eastAsia" w:ascii="宋体" w:hAnsi="宋体"/>
          <w:color w:val="auto"/>
          <w:highlight w:val="none"/>
        </w:rPr>
        <w:t>（六）不同投标人的投标保证金从同一单位或者个人的账户转出。</w:t>
      </w:r>
    </w:p>
    <w:p w14:paraId="79FFAFBE">
      <w:pPr>
        <w:spacing w:line="440" w:lineRule="exact"/>
        <w:rPr>
          <w:rFonts w:ascii="宋体" w:hAnsi="宋体"/>
          <w:color w:val="auto"/>
          <w:highlight w:val="none"/>
        </w:rPr>
      </w:pPr>
      <w:r>
        <w:rPr>
          <w:rFonts w:hint="eastAsia" w:ascii="宋体" w:hAnsi="宋体"/>
          <w:b/>
          <w:color w:val="auto"/>
          <w:highlight w:val="none"/>
        </w:rPr>
        <w:t>21.6.8</w:t>
      </w:r>
      <w:r>
        <w:rPr>
          <w:rFonts w:hint="eastAsia" w:ascii="宋体" w:hAnsi="宋体"/>
          <w:color w:val="auto"/>
          <w:highlight w:val="none"/>
        </w:rPr>
        <w:t>投标人存在下列情况之一的，投标无效：</w:t>
      </w:r>
    </w:p>
    <w:p w14:paraId="4728700A">
      <w:pPr>
        <w:spacing w:line="440" w:lineRule="exact"/>
        <w:ind w:firstLine="449" w:firstLineChars="214"/>
        <w:rPr>
          <w:rFonts w:ascii="宋体" w:hAnsi="宋体"/>
          <w:color w:val="auto"/>
          <w:highlight w:val="none"/>
        </w:rPr>
      </w:pPr>
      <w:r>
        <w:rPr>
          <w:rFonts w:hint="eastAsia" w:ascii="宋体" w:hAnsi="宋体"/>
          <w:color w:val="auto"/>
          <w:highlight w:val="none"/>
        </w:rPr>
        <w:t>（一）未按照招标文件的规定提交投标保证金的；</w:t>
      </w:r>
    </w:p>
    <w:p w14:paraId="777A6A96">
      <w:pPr>
        <w:spacing w:line="440" w:lineRule="exact"/>
        <w:ind w:firstLine="449" w:firstLineChars="214"/>
        <w:rPr>
          <w:rFonts w:ascii="宋体" w:hAnsi="宋体"/>
          <w:color w:val="auto"/>
          <w:highlight w:val="none"/>
        </w:rPr>
      </w:pPr>
      <w:r>
        <w:rPr>
          <w:rFonts w:hint="eastAsia" w:ascii="宋体" w:hAnsi="宋体"/>
          <w:color w:val="auto"/>
          <w:highlight w:val="none"/>
        </w:rPr>
        <w:t>（二）投标文件未按招标文件要求签署、盖章的；</w:t>
      </w:r>
    </w:p>
    <w:p w14:paraId="1EDA9C23">
      <w:pPr>
        <w:spacing w:line="440" w:lineRule="exact"/>
        <w:ind w:firstLine="449" w:firstLineChars="214"/>
        <w:rPr>
          <w:rFonts w:ascii="宋体" w:hAnsi="宋体"/>
          <w:color w:val="auto"/>
          <w:highlight w:val="none"/>
        </w:rPr>
      </w:pPr>
      <w:r>
        <w:rPr>
          <w:rFonts w:hint="eastAsia" w:ascii="宋体" w:hAnsi="宋体"/>
          <w:color w:val="auto"/>
          <w:highlight w:val="none"/>
        </w:rPr>
        <w:t>（三）不具备招标文件中规定的资格要求的；</w:t>
      </w:r>
    </w:p>
    <w:p w14:paraId="49DA18D9">
      <w:pPr>
        <w:spacing w:line="440" w:lineRule="exact"/>
        <w:ind w:firstLine="449" w:firstLineChars="214"/>
        <w:rPr>
          <w:rFonts w:ascii="宋体" w:hAnsi="宋体"/>
          <w:color w:val="auto"/>
          <w:highlight w:val="none"/>
        </w:rPr>
      </w:pPr>
      <w:r>
        <w:rPr>
          <w:rFonts w:hint="eastAsia" w:ascii="宋体" w:hAnsi="宋体"/>
          <w:color w:val="auto"/>
          <w:highlight w:val="none"/>
        </w:rPr>
        <w:t>（四）报价超过招标文件中规定的预算金额或者最高限价的；</w:t>
      </w:r>
    </w:p>
    <w:p w14:paraId="174385E3">
      <w:pPr>
        <w:spacing w:line="440" w:lineRule="exact"/>
        <w:ind w:firstLine="449" w:firstLineChars="214"/>
        <w:rPr>
          <w:rFonts w:ascii="宋体" w:hAnsi="宋体"/>
          <w:color w:val="auto"/>
          <w:highlight w:val="none"/>
        </w:rPr>
      </w:pPr>
      <w:r>
        <w:rPr>
          <w:rFonts w:hint="eastAsia" w:ascii="宋体" w:hAnsi="宋体"/>
          <w:color w:val="auto"/>
          <w:highlight w:val="none"/>
        </w:rPr>
        <w:t>（五）未对招标文件的实质性条款作出响应的；</w:t>
      </w:r>
    </w:p>
    <w:p w14:paraId="7FF2A876">
      <w:pPr>
        <w:spacing w:line="440" w:lineRule="exact"/>
        <w:ind w:firstLine="449" w:firstLineChars="214"/>
        <w:rPr>
          <w:rFonts w:ascii="宋体" w:hAnsi="宋体"/>
          <w:color w:val="auto"/>
          <w:highlight w:val="none"/>
        </w:rPr>
      </w:pPr>
      <w:r>
        <w:rPr>
          <w:rFonts w:hint="eastAsia" w:ascii="宋体" w:hAnsi="宋体"/>
          <w:color w:val="auto"/>
          <w:highlight w:val="none"/>
        </w:rPr>
        <w:t>（六）投标文件含有采购人不能接受的附加条件的；</w:t>
      </w:r>
    </w:p>
    <w:p w14:paraId="1954CDCB">
      <w:pPr>
        <w:spacing w:line="440" w:lineRule="exact"/>
        <w:ind w:firstLine="449" w:firstLineChars="214"/>
        <w:rPr>
          <w:rFonts w:ascii="宋体" w:hAnsi="宋体"/>
          <w:color w:val="auto"/>
          <w:highlight w:val="none"/>
        </w:rPr>
      </w:pPr>
      <w:r>
        <w:rPr>
          <w:rFonts w:hint="eastAsia" w:ascii="宋体" w:hAnsi="宋体"/>
          <w:color w:val="auto"/>
          <w:highlight w:val="none"/>
        </w:rPr>
        <w:t>（七）不同投标人的投标文件出自同一终端设备或在相同Internet主机分配地址（相同IP地址）；</w:t>
      </w:r>
    </w:p>
    <w:p w14:paraId="7B99DD32">
      <w:pPr>
        <w:spacing w:line="440" w:lineRule="exact"/>
        <w:ind w:firstLine="449" w:firstLineChars="214"/>
        <w:rPr>
          <w:rFonts w:ascii="宋体" w:hAnsi="宋体"/>
          <w:color w:val="auto"/>
          <w:highlight w:val="none"/>
        </w:rPr>
      </w:pPr>
      <w:r>
        <w:rPr>
          <w:rFonts w:hint="eastAsia" w:ascii="宋体" w:hAnsi="宋体"/>
          <w:color w:val="auto"/>
          <w:highlight w:val="none"/>
        </w:rPr>
        <w:t>（八）法律、法规和招标文件规定的其他无效情形。</w:t>
      </w:r>
    </w:p>
    <w:p w14:paraId="66CABF2F">
      <w:pPr>
        <w:spacing w:line="440" w:lineRule="exact"/>
        <w:rPr>
          <w:rFonts w:ascii="宋体" w:hAnsi="宋体"/>
          <w:color w:val="auto"/>
          <w:highlight w:val="none"/>
        </w:rPr>
      </w:pPr>
      <w:r>
        <w:rPr>
          <w:rFonts w:hint="eastAsia" w:ascii="宋体" w:hAnsi="宋体"/>
          <w:b/>
          <w:color w:val="auto"/>
          <w:highlight w:val="none"/>
        </w:rPr>
        <w:t>21.6.9</w:t>
      </w:r>
      <w:r>
        <w:rPr>
          <w:rFonts w:hint="eastAsia" w:ascii="宋体" w:hAnsi="宋体"/>
          <w:color w:val="auto"/>
          <w:highlight w:val="none"/>
        </w:rPr>
        <w:t>评标结果汇总完成后，除下列情形外，任何人不得修改评标结果：</w:t>
      </w:r>
    </w:p>
    <w:p w14:paraId="2DAB0923">
      <w:pPr>
        <w:spacing w:line="440" w:lineRule="exact"/>
        <w:ind w:firstLine="449" w:firstLineChars="214"/>
        <w:rPr>
          <w:rFonts w:ascii="宋体" w:hAnsi="宋体"/>
          <w:color w:val="auto"/>
          <w:highlight w:val="none"/>
        </w:rPr>
      </w:pPr>
      <w:r>
        <w:rPr>
          <w:rFonts w:hint="eastAsia" w:ascii="宋体" w:hAnsi="宋体"/>
          <w:color w:val="auto"/>
          <w:highlight w:val="none"/>
        </w:rPr>
        <w:t>（一）分值汇总计算错误的；</w:t>
      </w:r>
    </w:p>
    <w:p w14:paraId="7C32F7F4">
      <w:pPr>
        <w:spacing w:line="440" w:lineRule="exact"/>
        <w:ind w:firstLine="449" w:firstLineChars="214"/>
        <w:rPr>
          <w:rFonts w:ascii="宋体" w:hAnsi="宋体"/>
          <w:color w:val="auto"/>
          <w:highlight w:val="none"/>
        </w:rPr>
      </w:pPr>
      <w:r>
        <w:rPr>
          <w:rFonts w:hint="eastAsia" w:ascii="宋体" w:hAnsi="宋体"/>
          <w:color w:val="auto"/>
          <w:highlight w:val="none"/>
        </w:rPr>
        <w:t>（二）分项评分超出评分标准范围的；</w:t>
      </w:r>
    </w:p>
    <w:p w14:paraId="0A65489A">
      <w:pPr>
        <w:spacing w:line="440" w:lineRule="exact"/>
        <w:ind w:firstLine="449" w:firstLineChars="214"/>
        <w:rPr>
          <w:rFonts w:ascii="宋体" w:hAnsi="宋体"/>
          <w:color w:val="auto"/>
          <w:highlight w:val="none"/>
        </w:rPr>
      </w:pPr>
      <w:r>
        <w:rPr>
          <w:rFonts w:hint="eastAsia" w:ascii="宋体" w:hAnsi="宋体"/>
          <w:color w:val="auto"/>
          <w:highlight w:val="none"/>
        </w:rPr>
        <w:t>（三）评标委员会成员对客观评审因素评分不一致的；</w:t>
      </w:r>
    </w:p>
    <w:p w14:paraId="65898847">
      <w:pPr>
        <w:spacing w:line="440" w:lineRule="exact"/>
        <w:ind w:firstLine="449" w:firstLineChars="214"/>
        <w:rPr>
          <w:rFonts w:ascii="宋体" w:hAnsi="宋体"/>
          <w:color w:val="auto"/>
          <w:highlight w:val="none"/>
        </w:rPr>
      </w:pPr>
      <w:r>
        <w:rPr>
          <w:rFonts w:hint="eastAsia" w:ascii="宋体" w:hAnsi="宋体"/>
          <w:color w:val="auto"/>
          <w:highlight w:val="none"/>
        </w:rPr>
        <w:t>（四）经评标委员会认定评分畸高、畸低的。</w:t>
      </w:r>
    </w:p>
    <w:p w14:paraId="745A9D59">
      <w:pPr>
        <w:spacing w:line="440" w:lineRule="exact"/>
        <w:ind w:firstLine="449" w:firstLineChars="214"/>
        <w:rPr>
          <w:rFonts w:ascii="宋体" w:hAnsi="宋体"/>
          <w:color w:val="auto"/>
          <w:highlight w:val="none"/>
        </w:rPr>
      </w:pPr>
      <w:r>
        <w:rPr>
          <w:rFonts w:hint="eastAsia" w:ascii="宋体" w:hAnsi="宋体"/>
          <w:color w:val="auto"/>
          <w:highlight w:val="none"/>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59FAEBF0">
      <w:pPr>
        <w:spacing w:line="440" w:lineRule="exact"/>
        <w:ind w:firstLine="449" w:firstLineChars="214"/>
        <w:rPr>
          <w:rFonts w:ascii="宋体" w:hAnsi="宋体"/>
          <w:color w:val="auto"/>
          <w:highlight w:val="none"/>
        </w:rPr>
      </w:pPr>
      <w:r>
        <w:rPr>
          <w:rFonts w:hint="eastAsia" w:ascii="宋体" w:hAnsi="宋体"/>
          <w:color w:val="auto"/>
          <w:highlight w:val="none"/>
        </w:rPr>
        <w:t>投标人对本条第一款情形提出质疑的，采购人或者采购代理机构可以组织原评标委员会进行重新评审，重新评审改变评标结果的，应当书面报告本级财政部门。</w:t>
      </w:r>
    </w:p>
    <w:p w14:paraId="59C2357A">
      <w:pPr>
        <w:spacing w:line="440" w:lineRule="exact"/>
        <w:rPr>
          <w:rFonts w:ascii="宋体" w:hAnsi="宋体"/>
          <w:color w:val="auto"/>
          <w:highlight w:val="none"/>
        </w:rPr>
      </w:pPr>
      <w:r>
        <w:rPr>
          <w:rFonts w:hint="eastAsia" w:ascii="宋体" w:hAnsi="宋体"/>
          <w:b/>
          <w:color w:val="auto"/>
          <w:highlight w:val="none"/>
        </w:rPr>
        <w:t>21.6.10</w:t>
      </w:r>
      <w:r>
        <w:rPr>
          <w:rFonts w:hint="eastAsia" w:ascii="宋体" w:hAnsi="宋体"/>
          <w:color w:val="auto"/>
          <w:highlight w:val="none"/>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2ED6DDA8">
      <w:pPr>
        <w:spacing w:line="400" w:lineRule="exact"/>
        <w:rPr>
          <w:rFonts w:ascii="宋体"/>
          <w:color w:val="auto"/>
          <w:kern w:val="0"/>
          <w:highlight w:val="none"/>
        </w:rPr>
      </w:pPr>
    </w:p>
    <w:p w14:paraId="35DB6129">
      <w:pPr>
        <w:spacing w:line="400" w:lineRule="exact"/>
        <w:rPr>
          <w:rFonts w:ascii="宋体"/>
          <w:b/>
          <w:bCs/>
          <w:color w:val="auto"/>
          <w:highlight w:val="none"/>
        </w:rPr>
      </w:pPr>
      <w:r>
        <w:rPr>
          <w:rFonts w:ascii="宋体" w:hAnsi="宋体" w:cs="宋体"/>
          <w:b/>
          <w:bCs/>
          <w:color w:val="auto"/>
          <w:highlight w:val="none"/>
        </w:rPr>
        <w:t>22.</w:t>
      </w:r>
      <w:r>
        <w:rPr>
          <w:rFonts w:hint="eastAsia" w:ascii="宋体" w:hAnsi="宋体" w:cs="宋体"/>
          <w:b/>
          <w:bCs/>
          <w:color w:val="auto"/>
          <w:highlight w:val="none"/>
        </w:rPr>
        <w:t>推荐中标候选人</w:t>
      </w:r>
    </w:p>
    <w:p w14:paraId="0C400AF6">
      <w:pPr>
        <w:spacing w:line="400" w:lineRule="exact"/>
        <w:rPr>
          <w:rFonts w:ascii="宋体"/>
          <w:color w:val="auto"/>
          <w:kern w:val="0"/>
          <w:highlight w:val="none"/>
        </w:rPr>
      </w:pPr>
      <w:r>
        <w:rPr>
          <w:rFonts w:ascii="宋体" w:hAnsi="宋体" w:cs="宋体"/>
          <w:b/>
          <w:bCs/>
          <w:color w:val="auto"/>
          <w:highlight w:val="none"/>
        </w:rPr>
        <w:t>22.1</w:t>
      </w:r>
      <w:r>
        <w:rPr>
          <w:rFonts w:hint="eastAsia" w:ascii="宋体" w:hAnsi="宋体" w:cs="宋体"/>
          <w:color w:val="auto"/>
          <w:kern w:val="0"/>
          <w:highlight w:val="none"/>
        </w:rPr>
        <w:t>评标委员会按照招标文件第六部分“评标标准”推荐中标候选人。</w:t>
      </w:r>
    </w:p>
    <w:p w14:paraId="6F009B63">
      <w:pPr>
        <w:spacing w:line="400" w:lineRule="exact"/>
        <w:rPr>
          <w:rFonts w:ascii="宋体"/>
          <w:color w:val="auto"/>
          <w:kern w:val="0"/>
          <w:highlight w:val="none"/>
        </w:rPr>
      </w:pPr>
    </w:p>
    <w:p w14:paraId="53C998C3">
      <w:pPr>
        <w:spacing w:line="400" w:lineRule="exact"/>
        <w:rPr>
          <w:rFonts w:ascii="宋体"/>
          <w:b/>
          <w:bCs/>
          <w:color w:val="auto"/>
          <w:highlight w:val="none"/>
        </w:rPr>
      </w:pPr>
      <w:r>
        <w:rPr>
          <w:rFonts w:ascii="宋体" w:hAnsi="宋体" w:cs="宋体"/>
          <w:b/>
          <w:bCs/>
          <w:color w:val="auto"/>
          <w:highlight w:val="none"/>
        </w:rPr>
        <w:t>23.</w:t>
      </w:r>
      <w:r>
        <w:rPr>
          <w:rFonts w:hint="eastAsia" w:ascii="宋体" w:hAnsi="宋体" w:cs="宋体"/>
          <w:b/>
          <w:bCs/>
          <w:color w:val="auto"/>
          <w:highlight w:val="none"/>
        </w:rPr>
        <w:t>定标</w:t>
      </w:r>
    </w:p>
    <w:p w14:paraId="694AF24D">
      <w:pPr>
        <w:spacing w:line="400" w:lineRule="exact"/>
        <w:rPr>
          <w:rFonts w:ascii="宋体" w:hAnsi="宋体" w:cs="宋体"/>
          <w:b/>
          <w:color w:val="auto"/>
          <w:highlight w:val="none"/>
        </w:rPr>
      </w:pPr>
      <w:r>
        <w:rPr>
          <w:rFonts w:hint="eastAsia" w:ascii="宋体" w:hAnsi="宋体" w:cs="宋体"/>
          <w:b/>
          <w:color w:val="auto"/>
          <w:highlight w:val="none"/>
        </w:rPr>
        <w:t>23.1</w:t>
      </w:r>
      <w:r>
        <w:rPr>
          <w:rFonts w:hint="eastAsia" w:ascii="宋体" w:hAnsi="宋体" w:cs="宋体"/>
          <w:color w:val="auto"/>
          <w:highlight w:val="none"/>
        </w:rPr>
        <w:t>确定中标人。本项目由评标委员会推荐中标候选人，采购人不得在评标委员会推荐的中标候选人以外确定中标候选人。</w:t>
      </w:r>
    </w:p>
    <w:p w14:paraId="61686486">
      <w:pPr>
        <w:spacing w:line="400" w:lineRule="exact"/>
        <w:rPr>
          <w:rFonts w:ascii="宋体" w:hAnsi="宋体" w:cs="宋体"/>
          <w:color w:val="auto"/>
          <w:highlight w:val="none"/>
        </w:rPr>
      </w:pPr>
      <w:r>
        <w:rPr>
          <w:rFonts w:hint="eastAsia" w:ascii="宋体" w:hAnsi="宋体" w:cs="宋体"/>
          <w:b/>
          <w:color w:val="auto"/>
          <w:highlight w:val="none"/>
        </w:rPr>
        <w:t>23.2</w:t>
      </w:r>
      <w:r>
        <w:rPr>
          <w:rFonts w:hint="eastAsia" w:ascii="宋体" w:hAnsi="宋体" w:cs="宋体"/>
          <w:color w:val="auto"/>
          <w:highlight w:val="none"/>
        </w:rPr>
        <w:t>采购代理机构在评标结束后2个工作日内将评标报告交采购人确认，采购人在收到评标报告之日起5个工作日内在评标报告确定的中标候选人中按顺序确定中标人，采购人在收到评标报告之日起5个工作日内未按评标报告推荐的中标候选人排序确定中标人，又不能说明合法理由的，视同按评标报告推荐的顺序确定排名第一的中标候选人为中标人。</w:t>
      </w:r>
    </w:p>
    <w:p w14:paraId="0B4A7C20">
      <w:pPr>
        <w:spacing w:line="400" w:lineRule="exact"/>
        <w:rPr>
          <w:rFonts w:ascii="宋体" w:hAnsi="宋体" w:cs="宋体"/>
          <w:color w:val="auto"/>
          <w:highlight w:val="none"/>
        </w:rPr>
      </w:pPr>
      <w:r>
        <w:rPr>
          <w:rFonts w:hint="eastAsia" w:ascii="宋体" w:hAnsi="宋体" w:cs="宋体"/>
          <w:b/>
          <w:color w:val="auto"/>
          <w:highlight w:val="none"/>
        </w:rPr>
        <w:t>23.3</w:t>
      </w:r>
      <w:r>
        <w:rPr>
          <w:rFonts w:hint="eastAsia" w:ascii="宋体" w:hAnsi="宋体" w:cs="宋体"/>
          <w:color w:val="auto"/>
          <w:highlight w:val="none"/>
        </w:rPr>
        <w:t>采购代理机构自中标人确定之日起2个工作日内，在发布招标公告的网站上对中标结果进行公示，中标结果公告期限为1个工作日。</w:t>
      </w:r>
    </w:p>
    <w:p w14:paraId="497FA2DE">
      <w:pPr>
        <w:spacing w:line="400" w:lineRule="exact"/>
        <w:rPr>
          <w:rFonts w:ascii="宋体"/>
          <w:color w:val="auto"/>
          <w:kern w:val="0"/>
          <w:highlight w:val="none"/>
        </w:rPr>
      </w:pPr>
    </w:p>
    <w:p w14:paraId="7D9D55CA">
      <w:pPr>
        <w:jc w:val="center"/>
        <w:outlineLvl w:val="1"/>
        <w:rPr>
          <w:rFonts w:ascii="宋体"/>
          <w:b/>
          <w:bCs/>
          <w:color w:val="auto"/>
          <w:sz w:val="28"/>
          <w:szCs w:val="28"/>
          <w:highlight w:val="none"/>
        </w:rPr>
      </w:pPr>
      <w:bookmarkStart w:id="104" w:name="_Toc141797120"/>
      <w:bookmarkStart w:id="105" w:name="_Toc141797680"/>
      <w:bookmarkStart w:id="106" w:name="_Toc440276567"/>
      <w:r>
        <w:rPr>
          <w:rFonts w:ascii="宋体" w:hAnsi="宋体" w:cs="宋体"/>
          <w:b/>
          <w:bCs/>
          <w:color w:val="auto"/>
          <w:sz w:val="28"/>
          <w:szCs w:val="28"/>
          <w:highlight w:val="none"/>
        </w:rPr>
        <w:t>G</w:t>
      </w:r>
      <w:r>
        <w:rPr>
          <w:rFonts w:hint="eastAsia" w:ascii="宋体" w:hAnsi="宋体" w:cs="宋体"/>
          <w:b/>
          <w:bCs/>
          <w:color w:val="auto"/>
          <w:sz w:val="28"/>
          <w:szCs w:val="28"/>
          <w:highlight w:val="none"/>
        </w:rPr>
        <w:t>授予合同</w:t>
      </w:r>
      <w:bookmarkEnd w:id="104"/>
      <w:bookmarkEnd w:id="105"/>
      <w:bookmarkEnd w:id="106"/>
    </w:p>
    <w:p w14:paraId="7FC65112">
      <w:pPr>
        <w:spacing w:line="400" w:lineRule="exact"/>
        <w:rPr>
          <w:rFonts w:ascii="宋体"/>
          <w:b/>
          <w:bCs/>
          <w:color w:val="auto"/>
          <w:highlight w:val="none"/>
        </w:rPr>
      </w:pPr>
      <w:r>
        <w:rPr>
          <w:rFonts w:ascii="宋体" w:hAnsi="宋体" w:cs="宋体"/>
          <w:b/>
          <w:bCs/>
          <w:color w:val="auto"/>
          <w:highlight w:val="none"/>
        </w:rPr>
        <w:t>24.</w:t>
      </w:r>
      <w:r>
        <w:rPr>
          <w:rFonts w:hint="eastAsia" w:ascii="宋体" w:hAnsi="宋体" w:cs="宋体"/>
          <w:b/>
          <w:bCs/>
          <w:color w:val="auto"/>
          <w:highlight w:val="none"/>
        </w:rPr>
        <w:t>中标通知</w:t>
      </w:r>
    </w:p>
    <w:p w14:paraId="7C647DC8">
      <w:pPr>
        <w:spacing w:line="400" w:lineRule="exact"/>
        <w:rPr>
          <w:rFonts w:ascii="宋体"/>
          <w:color w:val="auto"/>
          <w:kern w:val="0"/>
          <w:highlight w:val="none"/>
        </w:rPr>
      </w:pPr>
      <w:r>
        <w:rPr>
          <w:rFonts w:ascii="宋体" w:hAnsi="宋体" w:cs="宋体"/>
          <w:b/>
          <w:bCs/>
          <w:color w:val="auto"/>
          <w:highlight w:val="none"/>
        </w:rPr>
        <w:t>24.1</w:t>
      </w:r>
      <w:r>
        <w:rPr>
          <w:rFonts w:hint="eastAsia" w:ascii="宋体" w:hAnsi="宋体" w:cs="宋体"/>
          <w:color w:val="auto"/>
          <w:kern w:val="0"/>
          <w:highlight w:val="none"/>
        </w:rPr>
        <w:t>在公告中标结果的同时，采购代理机构应当向中标人发出中标通知书。</w:t>
      </w:r>
    </w:p>
    <w:p w14:paraId="727DACCC">
      <w:pPr>
        <w:spacing w:line="400" w:lineRule="exact"/>
        <w:rPr>
          <w:rFonts w:ascii="宋体"/>
          <w:color w:val="auto"/>
          <w:kern w:val="0"/>
          <w:highlight w:val="none"/>
        </w:rPr>
      </w:pPr>
      <w:r>
        <w:rPr>
          <w:rFonts w:ascii="宋体" w:hAnsi="宋体" w:cs="宋体"/>
          <w:b/>
          <w:bCs/>
          <w:color w:val="auto"/>
          <w:highlight w:val="none"/>
        </w:rPr>
        <w:t>24.2</w:t>
      </w:r>
      <w:r>
        <w:rPr>
          <w:rFonts w:hint="eastAsia" w:ascii="宋体" w:hAnsi="宋体" w:cs="宋体"/>
          <w:color w:val="auto"/>
          <w:kern w:val="0"/>
          <w:highlight w:val="none"/>
        </w:rPr>
        <w:t>中标通知书发出后，采购人不得违法改变中标结果，中标人无正当理由不得放弃中标。</w:t>
      </w:r>
    </w:p>
    <w:p w14:paraId="5E3AD3FB">
      <w:pPr>
        <w:spacing w:line="400" w:lineRule="exact"/>
        <w:ind w:firstLine="420" w:firstLineChars="200"/>
        <w:rPr>
          <w:rFonts w:ascii="宋体"/>
          <w:color w:val="auto"/>
          <w:kern w:val="0"/>
          <w:highlight w:val="none"/>
        </w:rPr>
      </w:pPr>
    </w:p>
    <w:p w14:paraId="1AB6054C">
      <w:pPr>
        <w:spacing w:line="400" w:lineRule="exact"/>
        <w:rPr>
          <w:rFonts w:ascii="宋体"/>
          <w:b/>
          <w:bCs/>
          <w:color w:val="auto"/>
          <w:highlight w:val="none"/>
        </w:rPr>
      </w:pPr>
      <w:r>
        <w:rPr>
          <w:rFonts w:ascii="宋体" w:hAnsi="宋体" w:cs="宋体"/>
          <w:b/>
          <w:bCs/>
          <w:color w:val="auto"/>
          <w:highlight w:val="none"/>
        </w:rPr>
        <w:t>25.</w:t>
      </w:r>
      <w:r>
        <w:rPr>
          <w:rFonts w:hint="eastAsia" w:ascii="宋体" w:hAnsi="宋体" w:cs="宋体"/>
          <w:b/>
          <w:bCs/>
          <w:color w:val="auto"/>
          <w:highlight w:val="none"/>
        </w:rPr>
        <w:t>签订合同</w:t>
      </w:r>
    </w:p>
    <w:p w14:paraId="5A7ABE02">
      <w:pPr>
        <w:spacing w:line="400" w:lineRule="exact"/>
        <w:rPr>
          <w:rFonts w:ascii="宋体" w:hAnsi="宋体" w:cs="宋体"/>
          <w:color w:val="auto"/>
          <w:kern w:val="0"/>
          <w:highlight w:val="none"/>
        </w:rPr>
      </w:pPr>
      <w:r>
        <w:rPr>
          <w:rFonts w:hint="eastAsia" w:ascii="宋体" w:hAnsi="宋体" w:cs="宋体"/>
          <w:b/>
          <w:color w:val="auto"/>
          <w:highlight w:val="none"/>
        </w:rPr>
        <w:t>25.1</w:t>
      </w:r>
      <w:r>
        <w:rPr>
          <w:rFonts w:hint="eastAsia" w:ascii="宋体" w:hAnsi="宋体" w:cs="宋体"/>
          <w:color w:val="auto"/>
          <w:kern w:val="0"/>
          <w:highlight w:val="none"/>
        </w:rPr>
        <w:t>中标人应在采购代理机构发出中标通知书的30日内，应与采购人签订合同。所签订的合同不得对招标文件确定的事项和中标人投标文件作实质性修改。</w:t>
      </w:r>
    </w:p>
    <w:p w14:paraId="31972B47">
      <w:pPr>
        <w:spacing w:line="400" w:lineRule="exact"/>
        <w:rPr>
          <w:rFonts w:ascii="宋体" w:hAnsi="宋体" w:cs="宋体"/>
          <w:color w:val="auto"/>
          <w:kern w:val="0"/>
          <w:highlight w:val="none"/>
        </w:rPr>
      </w:pPr>
      <w:r>
        <w:rPr>
          <w:rFonts w:hint="eastAsia" w:ascii="宋体" w:hAnsi="宋体" w:cs="宋体"/>
          <w:b/>
          <w:color w:val="auto"/>
          <w:highlight w:val="none"/>
        </w:rPr>
        <w:t>25.2</w:t>
      </w:r>
      <w:r>
        <w:rPr>
          <w:rFonts w:hint="eastAsia" w:ascii="宋体" w:hAnsi="宋体" w:cs="宋体"/>
          <w:color w:val="auto"/>
          <w:kern w:val="0"/>
          <w:highlight w:val="none"/>
        </w:rPr>
        <w:t>除中标通知书外，招标文件、中标人的投标文件及评标过程中有关的澄清文件也均应作为合同附件。</w:t>
      </w:r>
    </w:p>
    <w:p w14:paraId="7E98C094">
      <w:pPr>
        <w:spacing w:line="400" w:lineRule="exact"/>
        <w:rPr>
          <w:rFonts w:ascii="宋体" w:hAnsi="宋体" w:cs="宋体"/>
          <w:bCs/>
          <w:color w:val="auto"/>
          <w:highlight w:val="none"/>
        </w:rPr>
      </w:pPr>
      <w:r>
        <w:rPr>
          <w:rFonts w:hint="eastAsia" w:ascii="宋体" w:hAnsi="宋体" w:cs="宋体"/>
          <w:b/>
          <w:color w:val="auto"/>
          <w:highlight w:val="none"/>
        </w:rPr>
        <w:t>25.3</w:t>
      </w:r>
      <w:r>
        <w:rPr>
          <w:rFonts w:hint="eastAsia" w:ascii="宋体" w:hAnsi="宋体" w:cs="宋体"/>
          <w:bCs/>
          <w:color w:val="auto"/>
          <w:highlight w:val="none"/>
        </w:rPr>
        <w:t>中标人按规定的日期、时间、地点，由法定代表人或其授权代表与采购人代表签订合同。如中标人为联合体，由联合体成员各方法定代表人或其授权代表与采购人代表签订合同。允许中标人在采购合同盖章后送达。</w:t>
      </w:r>
    </w:p>
    <w:p w14:paraId="4971F278">
      <w:pPr>
        <w:spacing w:line="400" w:lineRule="exact"/>
        <w:rPr>
          <w:rFonts w:ascii="宋体" w:hAnsi="宋体" w:cs="宋体"/>
          <w:color w:val="auto"/>
          <w:kern w:val="0"/>
          <w:highlight w:val="none"/>
        </w:rPr>
      </w:pPr>
      <w:r>
        <w:rPr>
          <w:rFonts w:hint="eastAsia" w:ascii="宋体" w:hAnsi="宋体" w:cs="宋体"/>
          <w:b/>
          <w:color w:val="auto"/>
          <w:highlight w:val="none"/>
        </w:rPr>
        <w:t>25.4</w:t>
      </w:r>
      <w:r>
        <w:rPr>
          <w:rFonts w:hint="eastAsia" w:ascii="宋体" w:hAnsi="宋体" w:cs="宋体"/>
          <w:color w:val="auto"/>
          <w:kern w:val="0"/>
          <w:highlight w:val="none"/>
        </w:rPr>
        <w:t>中标人拒绝与采购人签订合同的，采购人可以按照评标报告推荐的中标候选人名单排序，确定下一候选人为中标人，也可以重新开展政府采购活动。</w:t>
      </w:r>
    </w:p>
    <w:p w14:paraId="5FB6385C">
      <w:pPr>
        <w:spacing w:line="400" w:lineRule="exact"/>
        <w:rPr>
          <w:rFonts w:ascii="宋体" w:hAnsi="宋体" w:cs="宋体"/>
          <w:color w:val="auto"/>
          <w:kern w:val="0"/>
          <w:highlight w:val="none"/>
        </w:rPr>
      </w:pPr>
    </w:p>
    <w:p w14:paraId="161C5885">
      <w:pPr>
        <w:spacing w:line="400" w:lineRule="exact"/>
        <w:rPr>
          <w:rFonts w:ascii="宋体"/>
          <w:b/>
          <w:bCs/>
          <w:color w:val="auto"/>
          <w:highlight w:val="none"/>
        </w:rPr>
      </w:pPr>
      <w:r>
        <w:rPr>
          <w:rFonts w:ascii="宋体" w:hAnsi="宋体" w:cs="宋体"/>
          <w:b/>
          <w:bCs/>
          <w:color w:val="auto"/>
          <w:highlight w:val="none"/>
        </w:rPr>
        <w:t>26.</w:t>
      </w:r>
      <w:r>
        <w:rPr>
          <w:rFonts w:hint="eastAsia" w:ascii="宋体" w:hAnsi="宋体" w:cs="宋体"/>
          <w:b/>
          <w:bCs/>
          <w:color w:val="auto"/>
          <w:highlight w:val="none"/>
        </w:rPr>
        <w:t>履约保证金</w:t>
      </w:r>
    </w:p>
    <w:p w14:paraId="48C0A637">
      <w:pPr>
        <w:spacing w:line="400" w:lineRule="exact"/>
        <w:ind w:firstLine="420" w:firstLineChars="200"/>
        <w:rPr>
          <w:rFonts w:hint="default" w:ascii="宋体" w:eastAsia="宋体"/>
          <w:color w:val="auto"/>
          <w:kern w:val="0"/>
          <w:highlight w:val="none"/>
          <w:lang w:val="en-US" w:eastAsia="zh-CN"/>
        </w:rPr>
      </w:pPr>
      <w:r>
        <w:rPr>
          <w:rFonts w:hint="eastAsia" w:ascii="宋体"/>
          <w:color w:val="auto"/>
          <w:kern w:val="0"/>
          <w:highlight w:val="none"/>
          <w:lang w:val="en-US" w:eastAsia="zh-CN"/>
        </w:rPr>
        <w:t>本项目不收取履约保证金</w:t>
      </w:r>
    </w:p>
    <w:p w14:paraId="430D9B30">
      <w:pPr>
        <w:spacing w:line="400" w:lineRule="exact"/>
        <w:rPr>
          <w:rFonts w:ascii="宋体"/>
          <w:b/>
          <w:bCs/>
          <w:color w:val="auto"/>
          <w:highlight w:val="none"/>
        </w:rPr>
      </w:pPr>
      <w:r>
        <w:rPr>
          <w:rFonts w:ascii="宋体" w:hAnsi="宋体" w:cs="宋体"/>
          <w:b/>
          <w:bCs/>
          <w:color w:val="auto"/>
          <w:highlight w:val="none"/>
        </w:rPr>
        <w:t>27.</w:t>
      </w:r>
      <w:r>
        <w:rPr>
          <w:rFonts w:hint="eastAsia" w:ascii="宋体" w:hAnsi="宋体" w:cs="宋体"/>
          <w:b/>
          <w:bCs/>
          <w:color w:val="auto"/>
          <w:highlight w:val="none"/>
        </w:rPr>
        <w:t>履约验收</w:t>
      </w:r>
    </w:p>
    <w:p w14:paraId="1F77E9AD">
      <w:pPr>
        <w:spacing w:line="400" w:lineRule="exact"/>
        <w:rPr>
          <w:rFonts w:ascii="宋体" w:hAnsi="宋体" w:cs="宋体"/>
          <w:color w:val="auto"/>
          <w:kern w:val="0"/>
          <w:highlight w:val="none"/>
        </w:rPr>
      </w:pPr>
      <w:r>
        <w:rPr>
          <w:rFonts w:hint="eastAsia" w:ascii="宋体" w:hAnsi="宋体" w:cs="宋体"/>
          <w:b/>
          <w:color w:val="auto"/>
          <w:highlight w:val="none"/>
        </w:rPr>
        <w:t>27.1</w:t>
      </w:r>
      <w:r>
        <w:rPr>
          <w:rFonts w:hint="eastAsia" w:ascii="宋体" w:hAnsi="宋体" w:cs="宋体"/>
          <w:color w:val="auto"/>
          <w:kern w:val="0"/>
          <w:highlight w:val="none"/>
        </w:rPr>
        <w:t>采购人组织对中标人履约的验收。大型或者复杂的政府采购项目，应当邀请国家认可的质量检测机构参加验收工作。验收方成员应当在验收书上签字，并承担相应的法律责任。如果发现与合同中要求不符，中标人须承担由此发生的一切损失和费用，并接受相应的处理。</w:t>
      </w:r>
    </w:p>
    <w:p w14:paraId="4F795825">
      <w:pPr>
        <w:spacing w:line="400" w:lineRule="exact"/>
        <w:rPr>
          <w:rFonts w:ascii="宋体" w:hAnsi="宋体" w:cs="宋体"/>
          <w:color w:val="auto"/>
          <w:kern w:val="0"/>
          <w:highlight w:val="none"/>
        </w:rPr>
      </w:pPr>
      <w:r>
        <w:rPr>
          <w:rFonts w:hint="eastAsia" w:ascii="宋体" w:hAnsi="宋体" w:cs="宋体"/>
          <w:b/>
          <w:color w:val="auto"/>
          <w:highlight w:val="none"/>
        </w:rPr>
        <w:t>27.2</w:t>
      </w:r>
      <w:r>
        <w:rPr>
          <w:rFonts w:hint="eastAsia" w:ascii="宋体" w:hAnsi="宋体" w:cs="宋体"/>
          <w:color w:val="auto"/>
          <w:kern w:val="0"/>
          <w:highlight w:val="none"/>
        </w:rPr>
        <w:t>采购人可以邀请参加本项目的其他投标人或者第三方机构参与验收。参与验收的投标人或者第三方机构的意见作为验收书的参考资料一并存档。</w:t>
      </w:r>
    </w:p>
    <w:p w14:paraId="4E39C4D3">
      <w:pPr>
        <w:spacing w:line="400" w:lineRule="exact"/>
        <w:rPr>
          <w:rFonts w:ascii="宋体" w:hAnsi="宋体" w:cs="宋体"/>
          <w:color w:val="auto"/>
          <w:kern w:val="0"/>
          <w:highlight w:val="none"/>
        </w:rPr>
      </w:pPr>
      <w:r>
        <w:rPr>
          <w:rFonts w:hint="eastAsia" w:ascii="宋体" w:hAnsi="宋体" w:cs="宋体"/>
          <w:b/>
          <w:color w:val="auto"/>
          <w:highlight w:val="none"/>
        </w:rPr>
        <w:t>27.3</w:t>
      </w:r>
      <w:r>
        <w:rPr>
          <w:rFonts w:hint="eastAsia" w:ascii="宋体" w:hAnsi="宋体" w:cs="宋体"/>
          <w:color w:val="auto"/>
          <w:kern w:val="0"/>
          <w:highlight w:val="none"/>
        </w:rPr>
        <w:t>严格按照采购合同开展履约验收。采购人成立验收小组，按照采购合同的约定对中标人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返还条件挂钩。履约验收的各项资料应当存档备查。</w:t>
      </w:r>
    </w:p>
    <w:p w14:paraId="47EF9642">
      <w:pPr>
        <w:spacing w:line="400" w:lineRule="exact"/>
        <w:rPr>
          <w:rFonts w:ascii="宋体" w:hAnsi="宋体" w:cs="宋体"/>
          <w:color w:val="auto"/>
          <w:kern w:val="0"/>
          <w:highlight w:val="none"/>
        </w:rPr>
      </w:pPr>
      <w:r>
        <w:rPr>
          <w:rFonts w:hint="eastAsia" w:ascii="宋体" w:hAnsi="宋体" w:cs="宋体"/>
          <w:b/>
          <w:color w:val="auto"/>
          <w:highlight w:val="none"/>
        </w:rPr>
        <w:t>27.4</w:t>
      </w:r>
      <w:r>
        <w:rPr>
          <w:rFonts w:hint="eastAsia" w:ascii="宋体" w:hAnsi="宋体" w:cs="宋体"/>
          <w:color w:val="auto"/>
          <w:kern w:val="0"/>
          <w:highlight w:val="none"/>
        </w:rPr>
        <w:t>验收合格的项目，采购人将根据采购合同的约定及时向中标人支付采购资金</w:t>
      </w:r>
      <w:r>
        <w:rPr>
          <w:rFonts w:hint="eastAsia" w:ascii="宋体" w:hAnsi="宋体" w:cs="宋体"/>
          <w:color w:val="auto"/>
          <w:kern w:val="0"/>
          <w:highlight w:val="none"/>
          <w:lang w:eastAsia="zh-CN"/>
        </w:rPr>
        <w:t>。</w:t>
      </w:r>
      <w:r>
        <w:rPr>
          <w:rFonts w:hint="eastAsia" w:ascii="宋体" w:hAnsi="宋体" w:cs="宋体"/>
          <w:color w:val="auto"/>
          <w:kern w:val="0"/>
          <w:highlight w:val="none"/>
        </w:rPr>
        <w:t>验收不合格的项目，采购人将依法及时处理。采购合同的履行、违约责任和解决争议的方式等适用《中华人民共和国民法典》。中标人在履约过程中有政府采购法律法规规定的违法违规情形的，采购人应当及时报告本级财政部门。</w:t>
      </w:r>
    </w:p>
    <w:p w14:paraId="0781C34A">
      <w:pPr>
        <w:spacing w:line="400" w:lineRule="exact"/>
        <w:rPr>
          <w:rFonts w:ascii="宋体"/>
          <w:color w:val="auto"/>
          <w:kern w:val="0"/>
          <w:highlight w:val="none"/>
        </w:rPr>
      </w:pPr>
    </w:p>
    <w:p w14:paraId="4CCEB715">
      <w:pPr>
        <w:jc w:val="center"/>
        <w:outlineLvl w:val="1"/>
        <w:rPr>
          <w:rFonts w:ascii="宋体"/>
          <w:b/>
          <w:bCs/>
          <w:color w:val="auto"/>
          <w:sz w:val="28"/>
          <w:szCs w:val="28"/>
          <w:highlight w:val="none"/>
        </w:rPr>
      </w:pPr>
      <w:bookmarkStart w:id="107" w:name="_Toc440276568"/>
      <w:bookmarkStart w:id="108" w:name="_Toc141797681"/>
      <w:bookmarkStart w:id="109" w:name="_Toc141797121"/>
      <w:r>
        <w:rPr>
          <w:rFonts w:ascii="宋体" w:hAnsi="宋体" w:cs="宋体"/>
          <w:b/>
          <w:bCs/>
          <w:color w:val="auto"/>
          <w:sz w:val="28"/>
          <w:szCs w:val="28"/>
          <w:highlight w:val="none"/>
        </w:rPr>
        <w:t>H</w:t>
      </w:r>
      <w:r>
        <w:rPr>
          <w:rFonts w:hint="eastAsia" w:ascii="宋体" w:hAnsi="宋体" w:cs="宋体"/>
          <w:b/>
          <w:bCs/>
          <w:color w:val="auto"/>
          <w:sz w:val="28"/>
          <w:szCs w:val="28"/>
          <w:highlight w:val="none"/>
        </w:rPr>
        <w:t>采购代理机构服务费</w:t>
      </w:r>
      <w:bookmarkEnd w:id="107"/>
      <w:bookmarkEnd w:id="108"/>
      <w:bookmarkEnd w:id="109"/>
    </w:p>
    <w:p w14:paraId="066D5ABA">
      <w:pPr>
        <w:spacing w:line="400" w:lineRule="exact"/>
        <w:rPr>
          <w:rFonts w:ascii="宋体"/>
          <w:b/>
          <w:bCs/>
          <w:color w:val="auto"/>
          <w:highlight w:val="none"/>
        </w:rPr>
      </w:pPr>
      <w:r>
        <w:rPr>
          <w:rFonts w:ascii="宋体" w:hAnsi="宋体" w:cs="宋体"/>
          <w:b/>
          <w:bCs/>
          <w:color w:val="auto"/>
          <w:highlight w:val="none"/>
        </w:rPr>
        <w:t>28.</w:t>
      </w:r>
      <w:r>
        <w:rPr>
          <w:rFonts w:hint="eastAsia" w:ascii="宋体" w:hAnsi="宋体" w:cs="宋体"/>
          <w:b/>
          <w:bCs/>
          <w:color w:val="auto"/>
          <w:highlight w:val="none"/>
        </w:rPr>
        <w:t>采购代理机构服务费</w:t>
      </w:r>
    </w:p>
    <w:p w14:paraId="2E2A55D1">
      <w:pPr>
        <w:spacing w:line="400" w:lineRule="exact"/>
        <w:rPr>
          <w:rFonts w:ascii="宋体"/>
          <w:color w:val="auto"/>
          <w:kern w:val="0"/>
          <w:highlight w:val="none"/>
        </w:rPr>
      </w:pPr>
      <w:r>
        <w:rPr>
          <w:rFonts w:ascii="宋体" w:hAnsi="宋体" w:cs="宋体"/>
          <w:b/>
          <w:bCs/>
          <w:color w:val="auto"/>
          <w:highlight w:val="none"/>
        </w:rPr>
        <w:t>28.1</w:t>
      </w:r>
      <w:r>
        <w:rPr>
          <w:rFonts w:hint="eastAsia" w:ascii="宋体" w:hAnsi="宋体" w:cs="宋体"/>
          <w:color w:val="auto"/>
          <w:kern w:val="0"/>
          <w:highlight w:val="none"/>
        </w:rPr>
        <w:t>中标人应在中标结果公示结束后向采购代理机构支付采购代理机构服务费。</w:t>
      </w:r>
    </w:p>
    <w:p w14:paraId="35A46EFC">
      <w:pPr>
        <w:spacing w:line="400" w:lineRule="exact"/>
        <w:rPr>
          <w:rFonts w:ascii="宋体"/>
          <w:color w:val="auto"/>
          <w:kern w:val="0"/>
          <w:highlight w:val="none"/>
        </w:rPr>
      </w:pPr>
    </w:p>
    <w:p w14:paraId="4D9B99A9">
      <w:pPr>
        <w:spacing w:line="400" w:lineRule="exact"/>
        <w:rPr>
          <w:rFonts w:ascii="宋体"/>
          <w:color w:val="auto"/>
          <w:kern w:val="0"/>
          <w:highlight w:val="none"/>
        </w:rPr>
      </w:pPr>
    </w:p>
    <w:p w14:paraId="7E524E7A">
      <w:pPr>
        <w:jc w:val="center"/>
        <w:outlineLvl w:val="1"/>
        <w:rPr>
          <w:rFonts w:ascii="宋体"/>
          <w:b/>
          <w:bCs/>
          <w:color w:val="auto"/>
          <w:sz w:val="28"/>
          <w:szCs w:val="28"/>
          <w:highlight w:val="none"/>
        </w:rPr>
      </w:pPr>
      <w:bookmarkStart w:id="110" w:name="_Toc141797682"/>
      <w:bookmarkStart w:id="111" w:name="_Toc141797122"/>
      <w:r>
        <w:rPr>
          <w:rFonts w:hint="eastAsia" w:ascii="宋体" w:hAnsi="宋体" w:cs="宋体"/>
          <w:b/>
          <w:bCs/>
          <w:color w:val="auto"/>
          <w:sz w:val="28"/>
          <w:szCs w:val="28"/>
          <w:highlight w:val="none"/>
        </w:rPr>
        <w:t>Ⅰ信息发布媒体</w:t>
      </w:r>
      <w:bookmarkEnd w:id="110"/>
      <w:bookmarkEnd w:id="111"/>
    </w:p>
    <w:p w14:paraId="3D4ED33C">
      <w:pPr>
        <w:spacing w:line="400" w:lineRule="exact"/>
        <w:rPr>
          <w:rFonts w:ascii="宋体"/>
          <w:b/>
          <w:bCs/>
          <w:color w:val="auto"/>
          <w:highlight w:val="none"/>
        </w:rPr>
      </w:pPr>
      <w:r>
        <w:rPr>
          <w:rFonts w:ascii="宋体" w:hAnsi="宋体" w:cs="宋体"/>
          <w:b/>
          <w:bCs/>
          <w:color w:val="auto"/>
          <w:highlight w:val="none"/>
        </w:rPr>
        <w:t>29.</w:t>
      </w:r>
      <w:r>
        <w:rPr>
          <w:rFonts w:hint="eastAsia" w:ascii="宋体" w:hAnsi="宋体" w:cs="宋体"/>
          <w:b/>
          <w:bCs/>
          <w:color w:val="auto"/>
          <w:highlight w:val="none"/>
        </w:rPr>
        <w:t>有关发布项目招标公告、中标公示的媒体：</w:t>
      </w:r>
    </w:p>
    <w:p w14:paraId="6F606B8F">
      <w:pPr>
        <w:spacing w:line="400" w:lineRule="exact"/>
        <w:rPr>
          <w:rFonts w:hint="eastAsia" w:ascii="宋体" w:hAnsi="宋体" w:eastAsia="宋体" w:cs="宋体"/>
          <w:color w:val="auto"/>
          <w:kern w:val="0"/>
          <w:highlight w:val="none"/>
        </w:rPr>
      </w:pPr>
      <w:r>
        <w:rPr>
          <w:rFonts w:hint="eastAsia" w:ascii="宋体" w:hAnsi="宋体" w:eastAsia="宋体" w:cs="宋体"/>
          <w:color w:val="auto"/>
          <w:kern w:val="0"/>
          <w:highlight w:val="none"/>
        </w:rPr>
        <w:t>浙江政府采购网https://zfcg.czt.zj.gov.cn/</w:t>
      </w:r>
    </w:p>
    <w:p w14:paraId="01D90BC7">
      <w:pPr>
        <w:spacing w:line="400" w:lineRule="exact"/>
        <w:rPr>
          <w:rFonts w:hint="eastAsia" w:ascii="宋体" w:hAnsi="宋体" w:eastAsia="宋体" w:cs="宋体"/>
          <w:color w:val="auto"/>
          <w:kern w:val="0"/>
          <w:highlight w:val="none"/>
        </w:rPr>
      </w:pPr>
      <w:r>
        <w:rPr>
          <w:rFonts w:hint="eastAsia" w:ascii="宋体" w:hAnsi="宋体" w:eastAsia="宋体" w:cs="宋体"/>
          <w:color w:val="auto"/>
          <w:kern w:val="0"/>
          <w:highlight w:val="none"/>
        </w:rPr>
        <w:t>宁波政府采购网http://www.nbzfcg.cn/</w:t>
      </w:r>
    </w:p>
    <w:p w14:paraId="1414EB6D">
      <w:pPr>
        <w:spacing w:line="400" w:lineRule="exact"/>
        <w:rPr>
          <w:rFonts w:hint="eastAsia" w:ascii="宋体" w:hAnsi="宋体" w:eastAsia="宋体" w:cs="宋体"/>
          <w:color w:val="auto"/>
          <w:kern w:val="0"/>
          <w:highlight w:val="none"/>
        </w:rPr>
      </w:pPr>
      <w:r>
        <w:rPr>
          <w:rFonts w:hint="eastAsia" w:ascii="宋体" w:hAnsi="宋体" w:eastAsia="宋体" w:cs="宋体"/>
          <w:color w:val="auto"/>
          <w:kern w:val="0"/>
          <w:highlight w:val="none"/>
        </w:rPr>
        <w:t>宁波市公共资源交易电子服务系统https://jyxt.zwb.ningbo.gov.cn:4011/website/home</w:t>
      </w:r>
    </w:p>
    <w:p w14:paraId="7ACE6F62">
      <w:pPr>
        <w:jc w:val="center"/>
        <w:outlineLvl w:val="1"/>
        <w:rPr>
          <w:rFonts w:ascii="宋体" w:hAnsi="宋体" w:cs="宋体"/>
          <w:b/>
          <w:bCs/>
          <w:color w:val="auto"/>
          <w:sz w:val="28"/>
          <w:szCs w:val="28"/>
          <w:highlight w:val="none"/>
        </w:rPr>
      </w:pPr>
      <w:bookmarkStart w:id="112" w:name="_Toc141797123"/>
      <w:bookmarkStart w:id="113" w:name="_Toc141797683"/>
    </w:p>
    <w:p w14:paraId="298AA642">
      <w:pPr>
        <w:jc w:val="center"/>
        <w:outlineLvl w:val="1"/>
        <w:rPr>
          <w:rFonts w:ascii="宋体"/>
          <w:b/>
          <w:bCs/>
          <w:color w:val="auto"/>
          <w:sz w:val="28"/>
          <w:szCs w:val="28"/>
          <w:highlight w:val="none"/>
        </w:rPr>
      </w:pPr>
      <w:r>
        <w:rPr>
          <w:rFonts w:ascii="宋体" w:hAnsi="宋体" w:cs="宋体"/>
          <w:b/>
          <w:bCs/>
          <w:color w:val="auto"/>
          <w:sz w:val="28"/>
          <w:szCs w:val="28"/>
          <w:highlight w:val="none"/>
        </w:rPr>
        <w:t>J</w:t>
      </w:r>
      <w:r>
        <w:rPr>
          <w:rFonts w:hint="eastAsia" w:ascii="宋体" w:hAnsi="宋体" w:cs="宋体"/>
          <w:b/>
          <w:bCs/>
          <w:color w:val="auto"/>
          <w:sz w:val="28"/>
          <w:szCs w:val="28"/>
          <w:highlight w:val="none"/>
        </w:rPr>
        <w:t>其他规定</w:t>
      </w:r>
      <w:bookmarkEnd w:id="112"/>
      <w:bookmarkEnd w:id="113"/>
    </w:p>
    <w:p w14:paraId="03D652BE">
      <w:pPr>
        <w:spacing w:line="400" w:lineRule="exact"/>
        <w:rPr>
          <w:rFonts w:ascii="宋体"/>
          <w:b/>
          <w:bCs/>
          <w:color w:val="auto"/>
          <w:highlight w:val="none"/>
        </w:rPr>
      </w:pPr>
      <w:r>
        <w:rPr>
          <w:rFonts w:ascii="宋体" w:hAnsi="宋体" w:cs="宋体"/>
          <w:b/>
          <w:bCs/>
          <w:color w:val="auto"/>
          <w:highlight w:val="none"/>
        </w:rPr>
        <w:t>30.</w:t>
      </w:r>
      <w:r>
        <w:rPr>
          <w:rFonts w:hint="eastAsia" w:ascii="宋体" w:hAnsi="宋体" w:cs="宋体"/>
          <w:b/>
          <w:bCs/>
          <w:color w:val="auto"/>
          <w:highlight w:val="none"/>
        </w:rPr>
        <w:t>其他规定</w:t>
      </w:r>
    </w:p>
    <w:p w14:paraId="0E98CD47">
      <w:pPr>
        <w:spacing w:line="400" w:lineRule="exact"/>
        <w:rPr>
          <w:rFonts w:ascii="宋体" w:hAnsi="宋体" w:cs="宋体"/>
          <w:color w:val="auto"/>
          <w:kern w:val="0"/>
          <w:highlight w:val="none"/>
        </w:rPr>
      </w:pPr>
      <w:r>
        <w:rPr>
          <w:rFonts w:hint="eastAsia" w:ascii="宋体" w:hAnsi="宋体" w:cs="宋体"/>
          <w:b/>
          <w:color w:val="auto"/>
          <w:highlight w:val="none"/>
        </w:rPr>
        <w:t>30.1</w:t>
      </w:r>
      <w:r>
        <w:rPr>
          <w:rFonts w:hint="eastAsia" w:ascii="宋体" w:hAnsi="宋体" w:cs="宋体"/>
          <w:color w:val="auto"/>
          <w:kern w:val="0"/>
          <w:highlight w:val="none"/>
        </w:rPr>
        <w:t>自购买招标文件之日起，投标人应保证其提供的联系方式</w:t>
      </w:r>
      <w:r>
        <w:rPr>
          <w:rFonts w:ascii="宋体" w:hAnsi="宋体" w:cs="宋体"/>
          <w:color w:val="auto"/>
          <w:kern w:val="0"/>
          <w:highlight w:val="none"/>
        </w:rPr>
        <w:t>(</w:t>
      </w:r>
      <w:r>
        <w:rPr>
          <w:rFonts w:hint="eastAsia" w:ascii="宋体" w:hAnsi="宋体" w:cs="宋体"/>
          <w:color w:val="auto"/>
          <w:kern w:val="0"/>
          <w:highlight w:val="none"/>
        </w:rPr>
        <w:t>电话、传真、电子邮件</w:t>
      </w:r>
      <w:r>
        <w:rPr>
          <w:rFonts w:ascii="宋体" w:hAnsi="宋体" w:cs="宋体"/>
          <w:color w:val="auto"/>
          <w:kern w:val="0"/>
          <w:highlight w:val="none"/>
        </w:rPr>
        <w:t>)</w:t>
      </w:r>
      <w:r>
        <w:rPr>
          <w:rFonts w:hint="eastAsia" w:ascii="宋体" w:hAnsi="宋体" w:cs="宋体"/>
          <w:color w:val="auto"/>
          <w:kern w:val="0"/>
          <w:highlight w:val="none"/>
        </w:rPr>
        <w:t>一直有效，以保证往来函件</w:t>
      </w:r>
      <w:r>
        <w:rPr>
          <w:rFonts w:ascii="宋体" w:hAnsi="宋体" w:cs="宋体"/>
          <w:color w:val="auto"/>
          <w:kern w:val="0"/>
          <w:highlight w:val="none"/>
        </w:rPr>
        <w:t>(</w:t>
      </w:r>
      <w:r>
        <w:rPr>
          <w:rFonts w:hint="eastAsia" w:ascii="宋体" w:hAnsi="宋体" w:cs="宋体"/>
          <w:color w:val="auto"/>
          <w:kern w:val="0"/>
          <w:highlight w:val="none"/>
        </w:rPr>
        <w:t>招标文件的澄清、修改等</w:t>
      </w:r>
      <w:r>
        <w:rPr>
          <w:rFonts w:ascii="宋体" w:hAnsi="宋体" w:cs="宋体"/>
          <w:color w:val="auto"/>
          <w:kern w:val="0"/>
          <w:highlight w:val="none"/>
        </w:rPr>
        <w:t>)</w:t>
      </w:r>
      <w:r>
        <w:rPr>
          <w:rFonts w:hint="eastAsia" w:ascii="宋体" w:hAnsi="宋体" w:cs="宋体"/>
          <w:color w:val="auto"/>
          <w:kern w:val="0"/>
          <w:highlight w:val="none"/>
        </w:rPr>
        <w:t>能及时通知投标人，并能及时反馈信息，否则采购人不承担由此引起的一切后果。</w:t>
      </w:r>
    </w:p>
    <w:p w14:paraId="104888EB">
      <w:pPr>
        <w:spacing w:line="400" w:lineRule="exact"/>
        <w:rPr>
          <w:rFonts w:ascii="宋体" w:hAnsi="宋体" w:cs="宋体"/>
          <w:color w:val="auto"/>
          <w:kern w:val="0"/>
          <w:highlight w:val="none"/>
        </w:rPr>
      </w:pPr>
      <w:r>
        <w:rPr>
          <w:rFonts w:hint="eastAsia" w:ascii="宋体" w:hAnsi="宋体" w:cs="宋体"/>
          <w:b/>
          <w:color w:val="auto"/>
          <w:highlight w:val="none"/>
        </w:rPr>
        <w:t>30.2</w:t>
      </w:r>
      <w:r>
        <w:rPr>
          <w:rFonts w:hint="eastAsia" w:ascii="宋体" w:hAnsi="宋体" w:cs="宋体"/>
          <w:color w:val="auto"/>
          <w:kern w:val="0"/>
          <w:highlight w:val="none"/>
        </w:rPr>
        <w:t>知识产权</w:t>
      </w:r>
    </w:p>
    <w:p w14:paraId="4BE6823E">
      <w:pPr>
        <w:spacing w:line="400" w:lineRule="exact"/>
        <w:rPr>
          <w:rFonts w:ascii="宋体" w:hAnsi="宋体" w:cs="宋体"/>
          <w:color w:val="auto"/>
          <w:kern w:val="0"/>
          <w:highlight w:val="none"/>
        </w:rPr>
      </w:pPr>
      <w:r>
        <w:rPr>
          <w:rFonts w:hint="eastAsia" w:ascii="宋体" w:hAnsi="宋体" w:cs="宋体"/>
          <w:b/>
          <w:color w:val="auto"/>
          <w:highlight w:val="none"/>
        </w:rPr>
        <w:t>30.2.1</w:t>
      </w:r>
      <w:r>
        <w:rPr>
          <w:rFonts w:ascii="宋体" w:hAnsi="宋体" w:cs="宋体"/>
          <w:color w:val="auto"/>
          <w:kern w:val="0"/>
          <w:highlight w:val="none"/>
        </w:rPr>
        <w:t>投标人应保证提交的全部文件不会侵犯其</w:t>
      </w:r>
      <w:r>
        <w:rPr>
          <w:rFonts w:hint="eastAsia" w:ascii="宋体" w:hAnsi="宋体" w:cs="宋体"/>
          <w:color w:val="auto"/>
          <w:kern w:val="0"/>
          <w:highlight w:val="none"/>
        </w:rPr>
        <w:t>他</w:t>
      </w:r>
      <w:r>
        <w:rPr>
          <w:rFonts w:ascii="宋体" w:hAnsi="宋体" w:cs="宋体"/>
          <w:color w:val="auto"/>
          <w:kern w:val="0"/>
          <w:highlight w:val="none"/>
        </w:rPr>
        <w:t>任何人的知识产权或专有技术或商业秘密。投标人应保证，如果投标文件使用他人的知识产权或专有技术或商业秘密，投标人已获得了适当授权。投标人应进一步保证，</w:t>
      </w:r>
      <w:r>
        <w:rPr>
          <w:rFonts w:hint="eastAsia" w:ascii="宋体" w:hAnsi="宋体" w:cs="宋体"/>
          <w:color w:val="auto"/>
          <w:kern w:val="0"/>
          <w:highlight w:val="none"/>
        </w:rPr>
        <w:t>采购人</w:t>
      </w:r>
      <w:r>
        <w:rPr>
          <w:rFonts w:ascii="宋体" w:hAnsi="宋体" w:cs="宋体"/>
          <w:color w:val="auto"/>
          <w:kern w:val="0"/>
          <w:highlight w:val="none"/>
        </w:rPr>
        <w:t>使用其</w:t>
      </w:r>
      <w:r>
        <w:rPr>
          <w:rFonts w:hint="eastAsia" w:ascii="宋体" w:hAnsi="宋体" w:cs="宋体"/>
          <w:color w:val="auto"/>
          <w:kern w:val="0"/>
          <w:highlight w:val="none"/>
        </w:rPr>
        <w:t>成果</w:t>
      </w:r>
      <w:r>
        <w:rPr>
          <w:rFonts w:ascii="宋体" w:hAnsi="宋体" w:cs="宋体"/>
          <w:color w:val="auto"/>
          <w:kern w:val="0"/>
          <w:highlight w:val="none"/>
        </w:rPr>
        <w:t>不会侵犯他人的知识产权或专</w:t>
      </w:r>
      <w:r>
        <w:rPr>
          <w:rFonts w:hint="eastAsia" w:ascii="宋体" w:hAnsi="宋体" w:cs="宋体"/>
          <w:color w:val="auto"/>
          <w:kern w:val="0"/>
          <w:highlight w:val="none"/>
        </w:rPr>
        <w:t>有</w:t>
      </w:r>
      <w:r>
        <w:rPr>
          <w:rFonts w:ascii="宋体" w:hAnsi="宋体" w:cs="宋体"/>
          <w:color w:val="auto"/>
          <w:kern w:val="0"/>
          <w:highlight w:val="none"/>
        </w:rPr>
        <w:t>技术或商业秘密，并应当使</w:t>
      </w:r>
      <w:r>
        <w:rPr>
          <w:rFonts w:hint="eastAsia" w:ascii="宋体" w:hAnsi="宋体" w:cs="宋体"/>
          <w:color w:val="auto"/>
          <w:kern w:val="0"/>
          <w:highlight w:val="none"/>
        </w:rPr>
        <w:t>采购人</w:t>
      </w:r>
      <w:r>
        <w:rPr>
          <w:rFonts w:ascii="宋体" w:hAnsi="宋体" w:cs="宋体"/>
          <w:color w:val="auto"/>
          <w:kern w:val="0"/>
          <w:highlight w:val="none"/>
        </w:rPr>
        <w:t>免于因被指控侵犯上述权利产生的任何责任，</w:t>
      </w:r>
      <w:r>
        <w:rPr>
          <w:rFonts w:hint="eastAsia" w:ascii="宋体" w:hAnsi="宋体" w:cs="宋体"/>
          <w:color w:val="auto"/>
          <w:kern w:val="0"/>
          <w:highlight w:val="none"/>
        </w:rPr>
        <w:t>若采购人</w:t>
      </w:r>
      <w:r>
        <w:rPr>
          <w:rFonts w:ascii="宋体" w:hAnsi="宋体" w:cs="宋体"/>
          <w:color w:val="auto"/>
          <w:kern w:val="0"/>
          <w:highlight w:val="none"/>
        </w:rPr>
        <w:t>使用其</w:t>
      </w:r>
      <w:r>
        <w:rPr>
          <w:rFonts w:hint="eastAsia" w:ascii="宋体" w:hAnsi="宋体" w:cs="宋体"/>
          <w:color w:val="auto"/>
          <w:kern w:val="0"/>
          <w:highlight w:val="none"/>
        </w:rPr>
        <w:t>成果</w:t>
      </w:r>
      <w:r>
        <w:rPr>
          <w:rFonts w:ascii="宋体" w:hAnsi="宋体" w:cs="宋体"/>
          <w:color w:val="auto"/>
          <w:kern w:val="0"/>
          <w:highlight w:val="none"/>
        </w:rPr>
        <w:t>被指控侵犯上述权利</w:t>
      </w:r>
      <w:r>
        <w:rPr>
          <w:rFonts w:hint="eastAsia" w:ascii="宋体" w:hAnsi="宋体" w:cs="宋体"/>
          <w:color w:val="auto"/>
          <w:kern w:val="0"/>
          <w:highlight w:val="none"/>
        </w:rPr>
        <w:t>，投标人应</w:t>
      </w:r>
      <w:r>
        <w:rPr>
          <w:rFonts w:ascii="宋体" w:hAnsi="宋体" w:cs="宋体"/>
          <w:color w:val="auto"/>
          <w:kern w:val="0"/>
          <w:highlight w:val="none"/>
        </w:rPr>
        <w:t>赔偿</w:t>
      </w:r>
      <w:r>
        <w:rPr>
          <w:rFonts w:hint="eastAsia" w:ascii="宋体" w:hAnsi="宋体" w:cs="宋体"/>
          <w:color w:val="auto"/>
          <w:kern w:val="0"/>
          <w:highlight w:val="none"/>
        </w:rPr>
        <w:t>采购人</w:t>
      </w:r>
      <w:r>
        <w:rPr>
          <w:rFonts w:ascii="宋体" w:hAnsi="宋体" w:cs="宋体"/>
          <w:color w:val="auto"/>
          <w:kern w:val="0"/>
          <w:highlight w:val="none"/>
        </w:rPr>
        <w:t>由此而产生的费用和损失。</w:t>
      </w:r>
    </w:p>
    <w:p w14:paraId="48F34352">
      <w:pPr>
        <w:spacing w:line="400" w:lineRule="exact"/>
        <w:rPr>
          <w:rFonts w:ascii="宋体" w:hAnsi="宋体" w:cs="宋体"/>
          <w:color w:val="auto"/>
          <w:kern w:val="0"/>
          <w:highlight w:val="none"/>
        </w:rPr>
      </w:pPr>
      <w:r>
        <w:rPr>
          <w:rFonts w:hint="eastAsia" w:ascii="宋体" w:hAnsi="宋体" w:cs="宋体"/>
          <w:b/>
          <w:color w:val="auto"/>
          <w:highlight w:val="none"/>
        </w:rPr>
        <w:t>30.2.2</w:t>
      </w:r>
      <w:r>
        <w:rPr>
          <w:rFonts w:hint="eastAsia" w:ascii="宋体" w:hAnsi="宋体" w:cs="宋体"/>
          <w:color w:val="auto"/>
          <w:kern w:val="0"/>
          <w:highlight w:val="none"/>
        </w:rPr>
        <w:t>投标人中标后参与本项目研究的资料、成果等知识产权归采购人，有关的信息未经采购人同意不得向第三方泄露。</w:t>
      </w:r>
    </w:p>
    <w:p w14:paraId="4ED08450">
      <w:pPr>
        <w:spacing w:line="400" w:lineRule="exact"/>
        <w:rPr>
          <w:rFonts w:ascii="宋体" w:hAnsi="宋体" w:cs="宋体"/>
          <w:color w:val="auto"/>
          <w:kern w:val="0"/>
          <w:highlight w:val="none"/>
        </w:rPr>
      </w:pPr>
      <w:r>
        <w:rPr>
          <w:rFonts w:hint="eastAsia" w:ascii="宋体" w:hAnsi="宋体" w:cs="宋体"/>
          <w:b/>
          <w:color w:val="auto"/>
          <w:highlight w:val="none"/>
        </w:rPr>
        <w:t>30.2.3</w:t>
      </w:r>
      <w:r>
        <w:rPr>
          <w:rFonts w:hint="eastAsia" w:ascii="宋体" w:hAnsi="宋体" w:cs="宋体"/>
          <w:color w:val="auto"/>
          <w:kern w:val="0"/>
          <w:highlight w:val="none"/>
        </w:rPr>
        <w:t>采购人在招商引资、产权转让的商业活动中，所使用本项目有关的任何成果，无需征得中标人同意，中标人应积极配合提供相关资料和成果；中标人有责任对涉及项目的重要信息进行保密；中标人如因为项目的开展需要向第三方提供资料,必须提前得到采购人批准。</w:t>
      </w:r>
    </w:p>
    <w:p w14:paraId="51F07F1D">
      <w:pPr>
        <w:spacing w:line="400" w:lineRule="exact"/>
        <w:rPr>
          <w:rFonts w:ascii="宋体" w:hAnsi="宋体" w:cs="宋体"/>
          <w:b/>
          <w:color w:val="auto"/>
          <w:highlight w:val="none"/>
        </w:rPr>
      </w:pPr>
    </w:p>
    <w:p w14:paraId="4032507F">
      <w:pPr>
        <w:spacing w:line="440" w:lineRule="exact"/>
        <w:rPr>
          <w:rFonts w:ascii="宋体"/>
          <w:b/>
          <w:bCs/>
          <w:color w:val="auto"/>
          <w:highlight w:val="none"/>
        </w:rPr>
      </w:pPr>
      <w:r>
        <w:rPr>
          <w:rFonts w:ascii="宋体" w:hAnsi="宋体" w:cs="宋体"/>
          <w:b/>
          <w:bCs/>
          <w:color w:val="auto"/>
          <w:highlight w:val="none"/>
        </w:rPr>
        <w:t>31.</w:t>
      </w:r>
      <w:r>
        <w:rPr>
          <w:rFonts w:hint="eastAsia" w:ascii="宋体" w:hAnsi="宋体" w:cs="宋体"/>
          <w:b/>
          <w:bCs/>
          <w:color w:val="auto"/>
          <w:highlight w:val="none"/>
        </w:rPr>
        <w:t>政府采购活动中有关中小企业的相关规定（采购进口产品项目不适用）</w:t>
      </w:r>
    </w:p>
    <w:p w14:paraId="70D34BAA">
      <w:pPr>
        <w:spacing w:line="400" w:lineRule="exact"/>
        <w:rPr>
          <w:rFonts w:ascii="宋体" w:hAnsi="宋体"/>
          <w:b/>
          <w:color w:val="auto"/>
          <w:highlight w:val="none"/>
        </w:rPr>
      </w:pPr>
      <w:r>
        <w:rPr>
          <w:rFonts w:hint="eastAsia" w:ascii="宋体" w:hAnsi="宋体"/>
          <w:b/>
          <w:color w:val="auto"/>
          <w:highlight w:val="none"/>
        </w:rPr>
        <w:t>31.1本项目对应的中小企业划分标准所属行业：</w:t>
      </w:r>
      <w:r>
        <w:rPr>
          <w:rFonts w:hint="eastAsia" w:ascii="宋体" w:hAnsi="宋体" w:cs="宋体"/>
          <w:b/>
          <w:color w:val="auto"/>
          <w:highlight w:val="none"/>
        </w:rPr>
        <w:t>详见第二部分“投标资料表”</w:t>
      </w:r>
    </w:p>
    <w:p w14:paraId="12EFEE0C">
      <w:pPr>
        <w:spacing w:line="400" w:lineRule="exact"/>
        <w:rPr>
          <w:rFonts w:ascii="宋体" w:hAnsi="宋体"/>
          <w:color w:val="auto"/>
          <w:highlight w:val="none"/>
        </w:rPr>
      </w:pPr>
      <w:r>
        <w:rPr>
          <w:rFonts w:hint="eastAsia" w:ascii="宋体" w:hAnsi="宋体"/>
          <w:b/>
          <w:color w:val="auto"/>
          <w:highlight w:val="none"/>
        </w:rPr>
        <w:t>31.2</w:t>
      </w:r>
      <w:r>
        <w:rPr>
          <w:rFonts w:hint="eastAsia" w:ascii="宋体" w:hAnsi="宋体"/>
          <w:color w:val="auto"/>
          <w:highlight w:val="none"/>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14:paraId="40A146B3">
      <w:pPr>
        <w:spacing w:line="400" w:lineRule="exact"/>
        <w:rPr>
          <w:rFonts w:ascii="宋体" w:hAnsi="宋体"/>
          <w:color w:val="auto"/>
          <w:highlight w:val="none"/>
        </w:rPr>
      </w:pPr>
      <w:r>
        <w:rPr>
          <w:rFonts w:hint="eastAsia" w:ascii="宋体" w:hAnsi="宋体"/>
          <w:b/>
          <w:color w:val="auto"/>
          <w:highlight w:val="none"/>
        </w:rPr>
        <w:t>31.3</w:t>
      </w:r>
      <w:r>
        <w:rPr>
          <w:rFonts w:hint="eastAsia" w:ascii="宋体" w:hAnsi="宋体"/>
          <w:color w:val="auto"/>
          <w:highlight w:val="none"/>
        </w:rPr>
        <w:t>在政府采购活动中，投标人提供的货物、工程或者服务符合下列情形的，享受本办法规定的中小企业扶持政策：</w:t>
      </w:r>
    </w:p>
    <w:p w14:paraId="7C2AA456">
      <w:pPr>
        <w:spacing w:line="400" w:lineRule="exact"/>
        <w:ind w:firstLine="420" w:firstLineChars="200"/>
        <w:rPr>
          <w:rFonts w:ascii="宋体" w:hAnsi="宋体"/>
          <w:color w:val="auto"/>
          <w:highlight w:val="none"/>
        </w:rPr>
      </w:pPr>
      <w:r>
        <w:rPr>
          <w:rFonts w:hint="eastAsia" w:ascii="宋体" w:hAnsi="宋体"/>
          <w:color w:val="auto"/>
          <w:highlight w:val="none"/>
        </w:rPr>
        <w:t>（一）在货物采购项目中，货物由中小企业制造，即货物由中小企业生产且使用该中小企业商号或者注册商标；</w:t>
      </w:r>
    </w:p>
    <w:p w14:paraId="2B8B741F">
      <w:pPr>
        <w:spacing w:line="400" w:lineRule="exact"/>
        <w:ind w:firstLine="420" w:firstLineChars="200"/>
        <w:rPr>
          <w:rFonts w:ascii="宋体" w:hAnsi="宋体"/>
          <w:color w:val="auto"/>
          <w:highlight w:val="none"/>
        </w:rPr>
      </w:pPr>
      <w:r>
        <w:rPr>
          <w:rFonts w:hint="eastAsia" w:ascii="宋体" w:hAnsi="宋体"/>
          <w:color w:val="auto"/>
          <w:highlight w:val="none"/>
        </w:rPr>
        <w:t>（二）在工程采购项目中，工程由中小企业承建，即工程施工单位为中小企业；</w:t>
      </w:r>
    </w:p>
    <w:p w14:paraId="09C19E01">
      <w:pPr>
        <w:spacing w:line="400" w:lineRule="exact"/>
        <w:ind w:firstLine="420" w:firstLineChars="200"/>
        <w:rPr>
          <w:rFonts w:ascii="宋体" w:hAnsi="宋体"/>
          <w:color w:val="auto"/>
          <w:highlight w:val="none"/>
        </w:rPr>
      </w:pPr>
      <w:r>
        <w:rPr>
          <w:rFonts w:hint="eastAsia" w:ascii="宋体" w:hAnsi="宋体"/>
          <w:color w:val="auto"/>
          <w:highlight w:val="none"/>
        </w:rPr>
        <w:t>（三）在服务采购项目中，服务由中小企业承接，即提供服务的人员为中小企业依照《中华人民共和国劳动合同法》订立劳动合同的从业人员。</w:t>
      </w:r>
    </w:p>
    <w:p w14:paraId="79B820E2">
      <w:pPr>
        <w:spacing w:line="400" w:lineRule="exact"/>
        <w:ind w:firstLine="420" w:firstLineChars="200"/>
        <w:rPr>
          <w:rFonts w:ascii="宋体" w:hAnsi="宋体"/>
          <w:color w:val="auto"/>
          <w:highlight w:val="none"/>
        </w:rPr>
      </w:pPr>
      <w:r>
        <w:rPr>
          <w:rFonts w:hint="eastAsia" w:ascii="宋体" w:hAnsi="宋体"/>
          <w:color w:val="auto"/>
          <w:highlight w:val="none"/>
        </w:rPr>
        <w:t>在货物采购项目中，投标人提供的货物既有中小企业制造货物，也有大型企业制造货物的，不享受本办法规定的中小企业扶持政策。</w:t>
      </w:r>
    </w:p>
    <w:p w14:paraId="1DF1571E">
      <w:pPr>
        <w:spacing w:line="400" w:lineRule="exact"/>
        <w:ind w:firstLine="420" w:firstLineChars="200"/>
        <w:rPr>
          <w:rFonts w:ascii="宋体" w:hAnsi="宋体"/>
          <w:b/>
          <w:color w:val="auto"/>
          <w:highlight w:val="none"/>
        </w:rPr>
      </w:pPr>
      <w:r>
        <w:rPr>
          <w:rFonts w:hint="eastAsia" w:ascii="宋体" w:hAnsi="宋体"/>
          <w:color w:val="auto"/>
          <w:highlight w:val="none"/>
        </w:rPr>
        <w:t>以联合体形式参加政府采购活动，联合体各方均为中小企业的，联合体视同中小企业。其中，联合体各方均为小微企业的，联合体视同小微企业。</w:t>
      </w:r>
    </w:p>
    <w:p w14:paraId="37DD481E">
      <w:pPr>
        <w:spacing w:line="400" w:lineRule="exact"/>
        <w:rPr>
          <w:rFonts w:ascii="宋体" w:hAnsi="宋体"/>
          <w:color w:val="auto"/>
          <w:highlight w:val="none"/>
        </w:rPr>
      </w:pPr>
      <w:r>
        <w:rPr>
          <w:rFonts w:hint="eastAsia" w:ascii="宋体" w:hAnsi="宋体"/>
          <w:b/>
          <w:color w:val="auto"/>
          <w:highlight w:val="none"/>
        </w:rPr>
        <w:t>31.4</w:t>
      </w:r>
      <w:r>
        <w:rPr>
          <w:rFonts w:hint="eastAsia" w:ascii="宋体" w:hAnsi="宋体"/>
          <w:color w:val="auto"/>
          <w:highlight w:val="none"/>
        </w:rPr>
        <w:t>中小企业参加政府采购活动，应当出具《中小企业声明函》（格式见附件1），否则不得享受相关中小企业扶持政策。</w:t>
      </w:r>
    </w:p>
    <w:p w14:paraId="76043A21">
      <w:pPr>
        <w:spacing w:line="400" w:lineRule="exact"/>
        <w:rPr>
          <w:rFonts w:ascii="宋体" w:hAnsi="宋体"/>
          <w:color w:val="auto"/>
          <w:highlight w:val="none"/>
        </w:rPr>
      </w:pPr>
      <w:r>
        <w:rPr>
          <w:rFonts w:hint="eastAsia" w:ascii="宋体" w:hAnsi="宋体"/>
          <w:b/>
          <w:color w:val="auto"/>
          <w:highlight w:val="none"/>
        </w:rPr>
        <w:t>31.5</w:t>
      </w:r>
      <w:r>
        <w:rPr>
          <w:rFonts w:hint="eastAsia" w:ascii="宋体" w:hAnsi="宋体"/>
          <w:color w:val="auto"/>
          <w:highlight w:val="none"/>
        </w:rPr>
        <w:t>对于经主管预算单位统筹后未预留份额专门面向中小企业采购的采购项目，以及预留份额项目中的非预留部分采购包，采购人、采购代理机构应当对符合本办法规定的小微企业报价给予10%的扣除，用扣除后的价格参加评审。</w:t>
      </w:r>
    </w:p>
    <w:p w14:paraId="36DEF5E1">
      <w:pPr>
        <w:spacing w:line="400" w:lineRule="exact"/>
        <w:ind w:firstLine="420" w:firstLineChars="200"/>
        <w:rPr>
          <w:rFonts w:ascii="宋体" w:hAnsi="宋体"/>
          <w:color w:val="auto"/>
          <w:highlight w:val="none"/>
        </w:rPr>
      </w:pPr>
      <w:r>
        <w:rPr>
          <w:rFonts w:hint="eastAsia" w:ascii="宋体" w:hAnsi="宋体"/>
          <w:color w:val="auto"/>
          <w:highlight w:val="none"/>
        </w:rPr>
        <w:t>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的扣除，用扣除后的价格参加评审。组成联合体或者接受分包的小微企业与联合体内其他企业、分包企业之间存在直接控股、管理关系的，不享受价格扣除优惠政策。</w:t>
      </w:r>
    </w:p>
    <w:p w14:paraId="785551F3">
      <w:pPr>
        <w:spacing w:line="400" w:lineRule="exact"/>
        <w:ind w:firstLine="420" w:firstLineChars="200"/>
        <w:rPr>
          <w:rFonts w:ascii="宋体" w:hAnsi="宋体"/>
          <w:color w:val="auto"/>
          <w:highlight w:val="none"/>
        </w:rPr>
      </w:pPr>
      <w:r>
        <w:rPr>
          <w:rFonts w:hint="eastAsia" w:ascii="宋体" w:hAnsi="宋体"/>
          <w:color w:val="auto"/>
          <w:highlight w:val="none"/>
        </w:rPr>
        <w:t>价格扣除比例对小型企业和微型企业同等对待，不作区分。</w:t>
      </w:r>
    </w:p>
    <w:p w14:paraId="11BA2B91">
      <w:pPr>
        <w:spacing w:line="400" w:lineRule="exact"/>
        <w:rPr>
          <w:rFonts w:ascii="宋体" w:hAnsi="宋体"/>
          <w:color w:val="auto"/>
          <w:highlight w:val="none"/>
        </w:rPr>
      </w:pPr>
      <w:r>
        <w:rPr>
          <w:rFonts w:hint="eastAsia" w:ascii="宋体" w:hAnsi="宋体"/>
          <w:b/>
          <w:color w:val="auto"/>
          <w:highlight w:val="none"/>
        </w:rPr>
        <w:t>31.6</w:t>
      </w:r>
      <w:r>
        <w:rPr>
          <w:rFonts w:hint="eastAsia" w:ascii="宋体" w:hAnsi="宋体"/>
          <w:color w:val="auto"/>
          <w:highlight w:val="none"/>
        </w:rPr>
        <w:t>享受扶持政策获得政府采购合同的，小微企业不得将合同分包给大中型企业，中型企业不得将合同分包给大型企业。</w:t>
      </w:r>
    </w:p>
    <w:p w14:paraId="317E1DF1">
      <w:pPr>
        <w:spacing w:line="400" w:lineRule="exact"/>
        <w:rPr>
          <w:rFonts w:ascii="宋体" w:hAnsi="宋体"/>
          <w:color w:val="auto"/>
          <w:highlight w:val="none"/>
        </w:rPr>
      </w:pPr>
      <w:r>
        <w:rPr>
          <w:rFonts w:hint="eastAsia" w:ascii="宋体" w:hAnsi="宋体"/>
          <w:b/>
          <w:color w:val="auto"/>
          <w:highlight w:val="none"/>
        </w:rPr>
        <w:t>31.7</w:t>
      </w:r>
      <w:r>
        <w:rPr>
          <w:rFonts w:hint="eastAsia" w:ascii="宋体" w:hAnsi="宋体"/>
          <w:color w:val="auto"/>
          <w:highlight w:val="none"/>
        </w:rPr>
        <w:t>执行财政部、司法部《关于政府采购支持监狱企业发展有关问题的通知》。监狱企业（监狱和戒毒企业）提供自己企业的产品（服务）参加投标视同小型、微型企业，享受评审中价格扣除等政府采购促进中小企业发展的政府采购政策，监狱企业参加政府采购活动时，必须提供由省级以上监狱管理局、戒毒管理局（含新疆生产建设兵团）出具的属于监狱企业的证明文件，未能提供上述证明文件的不予认可。</w:t>
      </w:r>
    </w:p>
    <w:p w14:paraId="138C3885">
      <w:pPr>
        <w:spacing w:line="400" w:lineRule="exact"/>
        <w:rPr>
          <w:rFonts w:ascii="宋体" w:hAnsi="宋体"/>
          <w:color w:val="auto"/>
          <w:highlight w:val="none"/>
        </w:rPr>
      </w:pPr>
      <w:r>
        <w:rPr>
          <w:rFonts w:hint="eastAsia" w:ascii="宋体" w:hAnsi="宋体"/>
          <w:b/>
          <w:color w:val="auto"/>
          <w:highlight w:val="none"/>
        </w:rPr>
        <w:t>31.8</w:t>
      </w:r>
      <w:r>
        <w:rPr>
          <w:rFonts w:hint="eastAsia" w:ascii="宋体" w:hAnsi="宋体"/>
          <w:color w:val="auto"/>
          <w:highlight w:val="none"/>
        </w:rPr>
        <w:t>根据《关于促进残疾人就业政府采购政策的通知》（财库[2017]141号）规定，残疾人福利性单位视同小型、微型企业。符合条件的残疾人福利性单位在参加政府采购活动时，应当在投标文件中提供通知规定的《残疾人福利性单位声明函》（格式详见附件2），并对声明的真实性负责,未能提供上述证明文件的不予认可。</w:t>
      </w:r>
    </w:p>
    <w:p w14:paraId="69D6CF4D">
      <w:pPr>
        <w:spacing w:line="400" w:lineRule="exact"/>
        <w:rPr>
          <w:rFonts w:ascii="宋体" w:hAnsi="宋体"/>
          <w:color w:val="auto"/>
          <w:highlight w:val="none"/>
        </w:rPr>
      </w:pPr>
      <w:r>
        <w:rPr>
          <w:rFonts w:ascii="宋体" w:hAnsi="宋体"/>
          <w:b/>
          <w:color w:val="auto"/>
          <w:highlight w:val="none"/>
        </w:rPr>
        <w:t>3</w:t>
      </w:r>
      <w:r>
        <w:rPr>
          <w:rFonts w:hint="eastAsia" w:ascii="宋体" w:hAnsi="宋体"/>
          <w:b/>
          <w:color w:val="auto"/>
          <w:highlight w:val="none"/>
        </w:rPr>
        <w:t>1</w:t>
      </w:r>
      <w:r>
        <w:rPr>
          <w:rFonts w:ascii="宋体" w:hAnsi="宋体"/>
          <w:b/>
          <w:color w:val="auto"/>
          <w:highlight w:val="none"/>
        </w:rPr>
        <w:t>.</w:t>
      </w:r>
      <w:r>
        <w:rPr>
          <w:rFonts w:hint="eastAsia" w:ascii="宋体" w:hAnsi="宋体"/>
          <w:b/>
          <w:color w:val="auto"/>
          <w:highlight w:val="none"/>
        </w:rPr>
        <w:t>9</w:t>
      </w:r>
      <w:r>
        <w:rPr>
          <w:rFonts w:hint="eastAsia" w:ascii="宋体" w:hAnsi="宋体"/>
          <w:color w:val="auto"/>
          <w:highlight w:val="none"/>
        </w:rPr>
        <w:t>执行财政部、国家环保总局《关于环境标志产品政府采购实施的意见》，政府采购优先采购环境标志产品，本项目将对环境标志产品给予一定幅度的价格扣除或技术加分，具体见“评标标准”说明。</w:t>
      </w:r>
    </w:p>
    <w:p w14:paraId="2C989DEA">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olor w:val="auto"/>
          <w:highlight w:val="none"/>
        </w:rPr>
      </w:pPr>
      <w:r>
        <w:rPr>
          <w:rFonts w:ascii="宋体" w:hAnsi="宋体"/>
          <w:b/>
          <w:color w:val="auto"/>
          <w:highlight w:val="none"/>
        </w:rPr>
        <w:t>3</w:t>
      </w:r>
      <w:r>
        <w:rPr>
          <w:rFonts w:hint="eastAsia" w:ascii="宋体" w:hAnsi="宋体"/>
          <w:b/>
          <w:color w:val="auto"/>
          <w:highlight w:val="none"/>
        </w:rPr>
        <w:t>1</w:t>
      </w:r>
      <w:r>
        <w:rPr>
          <w:rFonts w:ascii="宋体" w:hAnsi="宋体"/>
          <w:b/>
          <w:color w:val="auto"/>
          <w:highlight w:val="none"/>
        </w:rPr>
        <w:t>.</w:t>
      </w:r>
      <w:r>
        <w:rPr>
          <w:rFonts w:hint="eastAsia" w:ascii="宋体" w:hAnsi="宋体"/>
          <w:b/>
          <w:color w:val="auto"/>
          <w:highlight w:val="none"/>
        </w:rPr>
        <w:t>10</w:t>
      </w:r>
      <w:r>
        <w:rPr>
          <w:rFonts w:hint="eastAsia" w:ascii="宋体" w:hAnsi="宋体"/>
          <w:color w:val="auto"/>
          <w:highlight w:val="none"/>
        </w:rPr>
        <w:t>执行财政部、国家发展改革委员会《节能产品政府采购实施意见》，政府采购优先采购节能产品，本项目将对节能产品给予一定幅度的价格扣除或技术加分，具体见招标文件“评标标准”说明。</w:t>
      </w:r>
    </w:p>
    <w:p w14:paraId="60456848">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olor w:val="auto"/>
          <w:highlight w:val="none"/>
        </w:rPr>
      </w:pPr>
      <w:r>
        <w:rPr>
          <w:rFonts w:hint="eastAsia" w:ascii="宋体" w:hAnsi="宋体"/>
          <w:b/>
          <w:color w:val="auto"/>
          <w:highlight w:val="none"/>
        </w:rPr>
        <w:t>31.11</w:t>
      </w:r>
      <w:r>
        <w:rPr>
          <w:rFonts w:hint="eastAsia" w:ascii="宋体" w:hAnsi="宋体"/>
          <w:color w:val="auto"/>
          <w:highlight w:val="none"/>
        </w:rPr>
        <w:t>进口产品采购需符合“财政部关于印发《政府采购进口产品管理办法》的通知（财库[2007]119号）”第四、八、九、十、十一条的规定。</w:t>
      </w:r>
    </w:p>
    <w:p w14:paraId="64BFED4A">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b w:val="0"/>
          <w:bCs/>
          <w:color w:val="auto"/>
          <w:highlight w:val="none"/>
        </w:rPr>
      </w:pPr>
      <w:r>
        <w:rPr>
          <w:rFonts w:hint="eastAsia" w:asciiTheme="majorEastAsia" w:hAnsiTheme="majorEastAsia" w:eastAsiaTheme="majorEastAsia"/>
          <w:b/>
          <w:bCs w:val="0"/>
          <w:color w:val="auto"/>
          <w:highlight w:val="none"/>
        </w:rPr>
        <w:t>31.12</w:t>
      </w:r>
      <w:r>
        <w:rPr>
          <w:rFonts w:hint="eastAsia" w:ascii="宋体" w:hAnsi="宋体"/>
          <w:b w:val="0"/>
          <w:bCs/>
          <w:color w:val="auto"/>
          <w:highlight w:val="none"/>
        </w:rPr>
        <w:t>合格货物来源：进口/国产，均已完成采购进口产品的审批手续，允许采购进口产品。</w:t>
      </w:r>
    </w:p>
    <w:p w14:paraId="1A5EDFFF">
      <w:pPr>
        <w:pStyle w:val="17"/>
        <w:rPr>
          <w:color w:val="auto"/>
          <w:highlight w:val="none"/>
        </w:rPr>
      </w:pPr>
    </w:p>
    <w:p w14:paraId="7E0B7A62">
      <w:pPr>
        <w:numPr>
          <w:ilvl w:val="0"/>
          <w:numId w:val="4"/>
        </w:numPr>
        <w:spacing w:line="400" w:lineRule="exact"/>
        <w:rPr>
          <w:rFonts w:hint="eastAsia" w:ascii="宋体" w:hAnsi="宋体"/>
          <w:b/>
          <w:color w:val="auto"/>
          <w:highlight w:val="none"/>
        </w:rPr>
      </w:pPr>
      <w:r>
        <w:rPr>
          <w:rFonts w:hint="eastAsia" w:ascii="宋体" w:hAnsi="宋体" w:cs="宋体"/>
          <w:b/>
          <w:bCs/>
          <w:color w:val="auto"/>
          <w:highlight w:val="none"/>
        </w:rPr>
        <w:t>政府采购中</w:t>
      </w:r>
      <w:r>
        <w:rPr>
          <w:rFonts w:hint="eastAsia" w:ascii="宋体" w:hAnsi="宋体" w:cs="宋体"/>
          <w:b/>
          <w:bCs/>
          <w:color w:val="auto"/>
          <w:highlight w:val="none"/>
          <w:lang w:val="en-US" w:eastAsia="zh-CN"/>
        </w:rPr>
        <w:t>实施本国产品标准及相关政策的规定</w:t>
      </w:r>
    </w:p>
    <w:p w14:paraId="14E5A739">
      <w:pPr>
        <w:spacing w:line="400" w:lineRule="exact"/>
        <w:rPr>
          <w:rFonts w:hint="eastAsia" w:ascii="宋体" w:hAnsi="宋体"/>
          <w:b w:val="0"/>
          <w:bCs/>
          <w:color w:val="auto"/>
          <w:highlight w:val="none"/>
        </w:rPr>
      </w:pPr>
      <w:r>
        <w:rPr>
          <w:rFonts w:hint="eastAsia" w:ascii="宋体" w:hAnsi="宋体"/>
          <w:b/>
          <w:bCs w:val="0"/>
          <w:color w:val="auto"/>
          <w:highlight w:val="none"/>
        </w:rPr>
        <w:t>3</w:t>
      </w:r>
      <w:r>
        <w:rPr>
          <w:rFonts w:hint="eastAsia" w:ascii="宋体" w:hAnsi="宋体"/>
          <w:b/>
          <w:bCs w:val="0"/>
          <w:color w:val="auto"/>
          <w:highlight w:val="none"/>
          <w:lang w:val="en-US" w:eastAsia="zh-CN"/>
        </w:rPr>
        <w:t>2</w:t>
      </w:r>
      <w:r>
        <w:rPr>
          <w:rFonts w:hint="eastAsia" w:ascii="宋体" w:hAnsi="宋体"/>
          <w:b/>
          <w:bCs w:val="0"/>
          <w:color w:val="auto"/>
          <w:highlight w:val="none"/>
        </w:rPr>
        <w:t>.1</w:t>
      </w:r>
      <w:r>
        <w:rPr>
          <w:rFonts w:hint="eastAsia" w:ascii="宋体" w:hAnsi="宋体"/>
          <w:b w:val="0"/>
          <w:bCs/>
          <w:color w:val="auto"/>
          <w:highlight w:val="none"/>
        </w:rPr>
        <w:t>本国产品标准</w:t>
      </w:r>
      <w:bookmarkStart w:id="114" w:name="OLE_LINK2"/>
      <w:r>
        <w:rPr>
          <w:rFonts w:hint="eastAsia" w:ascii="宋体" w:hAnsi="宋体"/>
          <w:b w:val="0"/>
          <w:bCs/>
          <w:color w:val="auto"/>
          <w:highlight w:val="none"/>
          <w:lang w:val="en-US" w:eastAsia="zh-CN"/>
        </w:rPr>
        <w:t>根据</w:t>
      </w:r>
      <w:r>
        <w:rPr>
          <w:rFonts w:hint="eastAsia" w:ascii="宋体" w:hAnsi="宋体"/>
          <w:b w:val="0"/>
          <w:bCs/>
          <w:color w:val="auto"/>
          <w:highlight w:val="none"/>
        </w:rPr>
        <w:t>《国务院办公厅关于在政府采购中实施本国产品标准及相关政策的通知》(国办发〔2025〕34号</w:t>
      </w:r>
      <w:bookmarkEnd w:id="114"/>
      <w:r>
        <w:rPr>
          <w:rFonts w:hint="eastAsia" w:ascii="宋体" w:hAnsi="宋体"/>
          <w:b w:val="0"/>
          <w:bCs/>
          <w:color w:val="auto"/>
          <w:highlight w:val="none"/>
        </w:rPr>
        <w:t>)</w:t>
      </w:r>
      <w:r>
        <w:rPr>
          <w:rFonts w:hint="eastAsia" w:ascii="宋体" w:hAnsi="宋体"/>
          <w:b w:val="0"/>
          <w:bCs/>
          <w:color w:val="auto"/>
          <w:highlight w:val="none"/>
          <w:lang w:val="en-US" w:eastAsia="zh-CN"/>
        </w:rPr>
        <w:t>的规定，</w:t>
      </w:r>
      <w:r>
        <w:rPr>
          <w:rFonts w:hint="eastAsia" w:ascii="宋体" w:hAnsi="宋体"/>
          <w:b w:val="0"/>
          <w:bCs/>
          <w:color w:val="auto"/>
          <w:highlight w:val="none"/>
        </w:rPr>
        <w:t>本国产品应当符合以下条件：</w:t>
      </w:r>
    </w:p>
    <w:p w14:paraId="3647949A">
      <w:pPr>
        <w:spacing w:line="400" w:lineRule="exact"/>
        <w:rPr>
          <w:rFonts w:hint="eastAsia" w:ascii="宋体" w:hAnsi="宋体"/>
          <w:b w:val="0"/>
          <w:bCs/>
          <w:color w:val="auto"/>
          <w:highlight w:val="none"/>
        </w:rPr>
      </w:pPr>
      <w:r>
        <w:rPr>
          <w:rFonts w:hint="eastAsia" w:ascii="宋体" w:hAnsi="宋体"/>
          <w:b w:val="0"/>
          <w:bCs/>
          <w:color w:val="auto"/>
          <w:highlight w:val="none"/>
        </w:rPr>
        <w:t>（一）在中国境内生产</w:t>
      </w:r>
    </w:p>
    <w:p w14:paraId="09DDA763">
      <w:pPr>
        <w:spacing w:line="400" w:lineRule="exact"/>
        <w:rPr>
          <w:rFonts w:hint="eastAsia" w:ascii="宋体" w:hAnsi="宋体"/>
          <w:b w:val="0"/>
          <w:bCs/>
          <w:color w:val="auto"/>
          <w:highlight w:val="none"/>
        </w:rPr>
      </w:pPr>
      <w:r>
        <w:rPr>
          <w:rFonts w:hint="eastAsia" w:ascii="宋体" w:hAnsi="宋体"/>
          <w:b w:val="0"/>
          <w:bCs/>
          <w:color w:val="auto"/>
          <w:highlight w:val="none"/>
        </w:rPr>
        <w:t>产品应当在中国境内生产，即在中华人民共和国关境内实现从原材料、组件到产品的属性改变。属性改变是指经过制造、加工或者组装等工序，产生完全不同于原材料、组件的新产品，并具有新的名称和特征（用途）。属性改变不包括以下细微操作：</w:t>
      </w:r>
    </w:p>
    <w:p w14:paraId="33523AF6">
      <w:pPr>
        <w:spacing w:line="400" w:lineRule="exact"/>
        <w:rPr>
          <w:rFonts w:hint="eastAsia" w:ascii="宋体" w:hAnsi="宋体"/>
          <w:b w:val="0"/>
          <w:bCs/>
          <w:color w:val="auto"/>
          <w:highlight w:val="none"/>
        </w:rPr>
      </w:pPr>
      <w:r>
        <w:rPr>
          <w:rFonts w:hint="eastAsia" w:ascii="宋体" w:hAnsi="宋体"/>
          <w:b w:val="0"/>
          <w:bCs/>
          <w:color w:val="auto"/>
          <w:highlight w:val="none"/>
        </w:rPr>
        <w:t>1.为确保产品在运输或者储存期间保持某种状态而进行的操作；</w:t>
      </w:r>
    </w:p>
    <w:p w14:paraId="50E03FC0">
      <w:pPr>
        <w:spacing w:line="400" w:lineRule="exact"/>
        <w:rPr>
          <w:rFonts w:hint="eastAsia" w:ascii="宋体" w:hAnsi="宋体"/>
          <w:b w:val="0"/>
          <w:bCs/>
          <w:color w:val="auto"/>
          <w:highlight w:val="none"/>
        </w:rPr>
      </w:pPr>
      <w:r>
        <w:rPr>
          <w:rFonts w:hint="eastAsia" w:ascii="宋体" w:hAnsi="宋体"/>
          <w:b w:val="0"/>
          <w:bCs/>
          <w:color w:val="auto"/>
          <w:highlight w:val="none"/>
        </w:rPr>
        <w:t>2.为产品运输或者销售进行的包装或者展示；</w:t>
      </w:r>
    </w:p>
    <w:p w14:paraId="0DDF7870">
      <w:pPr>
        <w:spacing w:line="400" w:lineRule="exact"/>
        <w:rPr>
          <w:rFonts w:hint="eastAsia" w:ascii="宋体" w:hAnsi="宋体"/>
          <w:b w:val="0"/>
          <w:bCs/>
          <w:color w:val="auto"/>
          <w:highlight w:val="none"/>
        </w:rPr>
      </w:pPr>
      <w:r>
        <w:rPr>
          <w:rFonts w:hint="eastAsia" w:ascii="宋体" w:hAnsi="宋体"/>
          <w:b w:val="0"/>
          <w:bCs/>
          <w:color w:val="auto"/>
          <w:highlight w:val="none"/>
        </w:rPr>
        <w:t>3.在产品或者其包装上粘贴或者印刷品牌、标志、标识以及其他用于区别的标记；</w:t>
      </w:r>
    </w:p>
    <w:p w14:paraId="0CD0AD01">
      <w:pPr>
        <w:spacing w:line="400" w:lineRule="exact"/>
        <w:rPr>
          <w:rFonts w:hint="eastAsia" w:ascii="宋体" w:hAnsi="宋体"/>
          <w:b w:val="0"/>
          <w:bCs/>
          <w:color w:val="auto"/>
          <w:highlight w:val="none"/>
        </w:rPr>
      </w:pPr>
      <w:r>
        <w:rPr>
          <w:rFonts w:hint="eastAsia" w:ascii="宋体" w:hAnsi="宋体"/>
          <w:b w:val="0"/>
          <w:bCs/>
          <w:color w:val="auto"/>
          <w:highlight w:val="none"/>
        </w:rPr>
        <w:t>4.简单的上漆、磨光和分装；</w:t>
      </w:r>
    </w:p>
    <w:p w14:paraId="163CEF4F">
      <w:pPr>
        <w:spacing w:line="400" w:lineRule="exact"/>
        <w:rPr>
          <w:rFonts w:hint="eastAsia" w:ascii="宋体" w:hAnsi="宋体"/>
          <w:b w:val="0"/>
          <w:bCs/>
          <w:color w:val="auto"/>
          <w:highlight w:val="none"/>
        </w:rPr>
      </w:pPr>
      <w:r>
        <w:rPr>
          <w:rFonts w:hint="eastAsia" w:ascii="宋体" w:hAnsi="宋体"/>
          <w:b w:val="0"/>
          <w:bCs/>
          <w:color w:val="auto"/>
          <w:highlight w:val="none"/>
        </w:rPr>
        <w:t>5.其他不属于属性改变的情形。</w:t>
      </w:r>
    </w:p>
    <w:p w14:paraId="13635399">
      <w:pPr>
        <w:spacing w:line="400" w:lineRule="exact"/>
        <w:rPr>
          <w:rFonts w:hint="eastAsia" w:ascii="宋体" w:hAnsi="宋体"/>
          <w:b w:val="0"/>
          <w:bCs/>
          <w:color w:val="auto"/>
          <w:highlight w:val="none"/>
        </w:rPr>
      </w:pPr>
      <w:r>
        <w:rPr>
          <w:rFonts w:hint="eastAsia" w:ascii="宋体" w:hAnsi="宋体"/>
          <w:b w:val="0"/>
          <w:bCs/>
          <w:color w:val="auto"/>
          <w:highlight w:val="none"/>
        </w:rPr>
        <w:t>（二）在中国境内生产的组件成本占比达到规定比例</w:t>
      </w:r>
    </w:p>
    <w:p w14:paraId="53B744F1">
      <w:pPr>
        <w:spacing w:line="400" w:lineRule="exact"/>
        <w:rPr>
          <w:rFonts w:hint="eastAsia" w:ascii="宋体" w:hAnsi="宋体"/>
          <w:b w:val="0"/>
          <w:bCs/>
          <w:color w:val="auto"/>
          <w:highlight w:val="none"/>
        </w:rPr>
      </w:pPr>
      <w:r>
        <w:rPr>
          <w:rFonts w:hint="eastAsia" w:ascii="宋体" w:hAnsi="宋体"/>
          <w:b w:val="0"/>
          <w:bCs/>
          <w:color w:val="auto"/>
          <w:highlight w:val="none"/>
        </w:rPr>
        <w:t>产品在中国境内生产的组件成本占比应当达到规定比例，计算公式为：</w:t>
      </w:r>
    </w:p>
    <w:p w14:paraId="63FBE75A">
      <w:pPr>
        <w:spacing w:line="400" w:lineRule="exact"/>
        <w:rPr>
          <w:rFonts w:hint="eastAsia" w:ascii="宋体" w:hAnsi="宋体"/>
          <w:b w:val="0"/>
          <w:bCs/>
          <w:color w:val="auto"/>
          <w:highlight w:val="none"/>
        </w:rPr>
      </w:pPr>
      <w:r>
        <w:rPr>
          <w:rFonts w:hint="eastAsia" w:ascii="宋体" w:hAnsi="宋体"/>
          <w:b w:val="0"/>
          <w:bCs/>
          <w:color w:val="auto"/>
          <w:highlight w:val="none"/>
        </w:rPr>
        <w:t>（产品在中国境内生产的组件成本/产品总成本）≥规定比例。</w:t>
      </w:r>
    </w:p>
    <w:p w14:paraId="7C9AB2B3">
      <w:pPr>
        <w:spacing w:line="400" w:lineRule="exact"/>
        <w:rPr>
          <w:rFonts w:hint="eastAsia" w:ascii="宋体" w:hAnsi="宋体"/>
          <w:b w:val="0"/>
          <w:bCs/>
          <w:color w:val="auto"/>
          <w:highlight w:val="none"/>
        </w:rPr>
      </w:pPr>
      <w:r>
        <w:rPr>
          <w:rFonts w:hint="eastAsia" w:ascii="宋体" w:hAnsi="宋体"/>
          <w:b w:val="0"/>
          <w:bCs/>
          <w:color w:val="auto"/>
          <w:highlight w:val="none"/>
        </w:rPr>
        <w:t>财政部会同有关行业主管部门，分产品确定在中国境内生产的组件成本占比应当达到的规定比例。在分产品的中国境内生产的组件成本占比相关要求实施前，符合本通知第一条第（一）项条件的产品在政府采购活动中视同本国产品。</w:t>
      </w:r>
    </w:p>
    <w:p w14:paraId="7AB19017">
      <w:pPr>
        <w:spacing w:line="400" w:lineRule="exact"/>
        <w:rPr>
          <w:rFonts w:hint="eastAsia" w:ascii="宋体" w:hAnsi="宋体"/>
          <w:b w:val="0"/>
          <w:bCs/>
          <w:color w:val="auto"/>
          <w:highlight w:val="none"/>
        </w:rPr>
      </w:pPr>
      <w:r>
        <w:rPr>
          <w:rFonts w:hint="eastAsia" w:ascii="宋体" w:hAnsi="宋体"/>
          <w:b w:val="0"/>
          <w:bCs/>
          <w:color w:val="auto"/>
          <w:highlight w:val="none"/>
        </w:rPr>
        <w:t>（三）特定产品的关键组件、关键工序符合相关要求</w:t>
      </w:r>
    </w:p>
    <w:p w14:paraId="7E39DE70">
      <w:pPr>
        <w:spacing w:line="400" w:lineRule="exact"/>
        <w:rPr>
          <w:rFonts w:hint="eastAsia" w:ascii="宋体" w:hAnsi="宋体"/>
          <w:b w:val="0"/>
          <w:bCs/>
          <w:color w:val="auto"/>
          <w:highlight w:val="none"/>
        </w:rPr>
      </w:pPr>
      <w:r>
        <w:rPr>
          <w:rFonts w:hint="eastAsia" w:ascii="宋体" w:hAnsi="宋体"/>
          <w:b w:val="0"/>
          <w:bCs/>
          <w:color w:val="auto"/>
          <w:highlight w:val="none"/>
        </w:rPr>
        <w:t>对特定产品，在符合本通知第一条第（一）项和第（二）项条件的基础上，应当符合财政部会同有关行业主管部门确定的其关键组件、关键工序在中国境内生产、完成等要求。</w:t>
      </w:r>
    </w:p>
    <w:p w14:paraId="14A5FEDE">
      <w:pPr>
        <w:spacing w:line="400" w:lineRule="exact"/>
        <w:rPr>
          <w:rFonts w:hint="eastAsia" w:ascii="宋体" w:hAnsi="宋体"/>
          <w:b w:val="0"/>
          <w:bCs/>
          <w:color w:val="auto"/>
          <w:highlight w:val="none"/>
        </w:rPr>
      </w:pPr>
      <w:r>
        <w:rPr>
          <w:rFonts w:hint="eastAsia" w:ascii="宋体" w:hAnsi="宋体"/>
          <w:b w:val="0"/>
          <w:bCs/>
          <w:color w:val="auto"/>
          <w:highlight w:val="none"/>
        </w:rPr>
        <w:t>财政部会同有关行业主管部门自本通知施行之日起5年内，在充分征求有关内外资企业、行业协会商会等方面意见的基础上，分类施策、稳妥推进，分产品确定在中国境内生产的组件成本占比要求，以及特定产品的关键组件、关键工序相关要求，并根据不同行业的发展情况，在出台具体产品相关要求时，设置3-5年过渡期，逐步建立政府采购中本国产品标准体系和动态调整机制。</w:t>
      </w:r>
    </w:p>
    <w:p w14:paraId="280F405E">
      <w:pPr>
        <w:spacing w:line="400" w:lineRule="exact"/>
        <w:rPr>
          <w:rFonts w:hint="eastAsia" w:ascii="宋体" w:hAnsi="宋体"/>
          <w:b w:val="0"/>
          <w:bCs/>
          <w:color w:val="auto"/>
          <w:highlight w:val="none"/>
        </w:rPr>
      </w:pPr>
      <w:r>
        <w:rPr>
          <w:rFonts w:hint="eastAsia" w:ascii="宋体" w:hAnsi="宋体"/>
          <w:b/>
          <w:bCs w:val="0"/>
          <w:color w:val="auto"/>
          <w:highlight w:val="none"/>
        </w:rPr>
        <w:t>3</w:t>
      </w:r>
      <w:r>
        <w:rPr>
          <w:rFonts w:hint="eastAsia" w:ascii="宋体" w:hAnsi="宋体"/>
          <w:b/>
          <w:bCs w:val="0"/>
          <w:color w:val="auto"/>
          <w:highlight w:val="none"/>
          <w:lang w:val="en-US" w:eastAsia="zh-CN"/>
        </w:rPr>
        <w:t>2</w:t>
      </w:r>
      <w:r>
        <w:rPr>
          <w:rFonts w:hint="eastAsia" w:ascii="宋体" w:hAnsi="宋体"/>
          <w:b/>
          <w:bCs w:val="0"/>
          <w:color w:val="auto"/>
          <w:highlight w:val="none"/>
        </w:rPr>
        <w:t>.2</w:t>
      </w:r>
      <w:r>
        <w:rPr>
          <w:rFonts w:hint="eastAsia" w:ascii="宋体" w:hAnsi="宋体"/>
          <w:b w:val="0"/>
          <w:bCs/>
          <w:color w:val="auto"/>
          <w:highlight w:val="none"/>
        </w:rPr>
        <w:t>本国产品标准的适用范围</w:t>
      </w:r>
    </w:p>
    <w:p w14:paraId="53003AB0">
      <w:pPr>
        <w:spacing w:line="400" w:lineRule="exact"/>
        <w:rPr>
          <w:rFonts w:hint="eastAsia" w:ascii="宋体" w:hAnsi="宋体"/>
          <w:b w:val="0"/>
          <w:bCs/>
          <w:color w:val="auto"/>
          <w:highlight w:val="none"/>
        </w:rPr>
      </w:pPr>
      <w:r>
        <w:rPr>
          <w:rFonts w:hint="eastAsia" w:ascii="宋体" w:hAnsi="宋体"/>
          <w:b w:val="0"/>
          <w:bCs/>
          <w:color w:val="auto"/>
          <w:highlight w:val="none"/>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7DE61B73">
      <w:pPr>
        <w:spacing w:line="400" w:lineRule="exact"/>
        <w:rPr>
          <w:rFonts w:hint="eastAsia" w:ascii="宋体" w:hAnsi="宋体"/>
          <w:b w:val="0"/>
          <w:bCs/>
          <w:color w:val="auto"/>
          <w:highlight w:val="none"/>
        </w:rPr>
      </w:pPr>
      <w:r>
        <w:rPr>
          <w:rFonts w:hint="eastAsia" w:ascii="宋体" w:hAnsi="宋体"/>
          <w:b/>
          <w:bCs w:val="0"/>
          <w:color w:val="auto"/>
          <w:highlight w:val="none"/>
        </w:rPr>
        <w:t>3</w:t>
      </w:r>
      <w:r>
        <w:rPr>
          <w:rFonts w:hint="eastAsia" w:ascii="宋体" w:hAnsi="宋体"/>
          <w:b/>
          <w:bCs w:val="0"/>
          <w:color w:val="auto"/>
          <w:highlight w:val="none"/>
          <w:lang w:val="en-US" w:eastAsia="zh-CN"/>
        </w:rPr>
        <w:t>2</w:t>
      </w:r>
      <w:r>
        <w:rPr>
          <w:rFonts w:hint="eastAsia" w:ascii="宋体" w:hAnsi="宋体"/>
          <w:b/>
          <w:bCs w:val="0"/>
          <w:color w:val="auto"/>
          <w:highlight w:val="none"/>
        </w:rPr>
        <w:t>.3</w:t>
      </w:r>
      <w:r>
        <w:rPr>
          <w:rFonts w:hint="eastAsia" w:ascii="宋体" w:hAnsi="宋体"/>
          <w:b w:val="0"/>
          <w:bCs/>
          <w:color w:val="auto"/>
          <w:highlight w:val="none"/>
        </w:rPr>
        <w:t>对本国产品的支持政策</w:t>
      </w:r>
    </w:p>
    <w:p w14:paraId="3D5841E4">
      <w:pPr>
        <w:spacing w:line="400" w:lineRule="exact"/>
        <w:rPr>
          <w:rFonts w:hint="eastAsia" w:ascii="宋体" w:hAnsi="宋体"/>
          <w:b w:val="0"/>
          <w:bCs/>
          <w:color w:val="auto"/>
          <w:highlight w:val="none"/>
        </w:rPr>
      </w:pPr>
      <w:r>
        <w:rPr>
          <w:rFonts w:hint="eastAsia" w:ascii="宋体" w:hAnsi="宋体"/>
          <w:b w:val="0"/>
          <w:bCs/>
          <w:color w:val="auto"/>
          <w:highlight w:val="none"/>
        </w:rPr>
        <w:t>政府采购活动中既有本国产品又有非本国产品参与竞争的，依法对本国产品给予价格评审优惠，对本国产品的报价给予20%的价格扣除，用扣除后的价格参与评审。</w:t>
      </w:r>
    </w:p>
    <w:p w14:paraId="3983155E">
      <w:pPr>
        <w:spacing w:line="400" w:lineRule="exact"/>
        <w:rPr>
          <w:rFonts w:hint="eastAsia" w:ascii="宋体" w:hAnsi="宋体"/>
          <w:b w:val="0"/>
          <w:bCs/>
          <w:color w:val="auto"/>
          <w:highlight w:val="none"/>
        </w:rPr>
      </w:pPr>
      <w:r>
        <w:rPr>
          <w:rFonts w:hint="eastAsia" w:ascii="宋体" w:hAnsi="宋体"/>
          <w:b w:val="0"/>
          <w:bCs/>
          <w:color w:val="auto"/>
          <w:highlight w:val="none"/>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40A257EF">
      <w:pPr>
        <w:spacing w:line="400" w:lineRule="exact"/>
        <w:rPr>
          <w:rFonts w:hint="eastAsia" w:ascii="宋体" w:hAnsi="宋体"/>
          <w:b w:val="0"/>
          <w:bCs/>
          <w:color w:val="auto"/>
          <w:highlight w:val="none"/>
        </w:rPr>
      </w:pPr>
      <w:r>
        <w:rPr>
          <w:rFonts w:hint="eastAsia" w:ascii="宋体" w:hAnsi="宋体"/>
          <w:b/>
          <w:bCs w:val="0"/>
          <w:color w:val="auto"/>
          <w:highlight w:val="none"/>
        </w:rPr>
        <w:t>3</w:t>
      </w:r>
      <w:r>
        <w:rPr>
          <w:rFonts w:hint="eastAsia" w:ascii="宋体" w:hAnsi="宋体"/>
          <w:b/>
          <w:bCs w:val="0"/>
          <w:color w:val="auto"/>
          <w:highlight w:val="none"/>
          <w:lang w:val="en-US" w:eastAsia="zh-CN"/>
        </w:rPr>
        <w:t>2</w:t>
      </w:r>
      <w:r>
        <w:rPr>
          <w:rFonts w:hint="eastAsia" w:ascii="宋体" w:hAnsi="宋体"/>
          <w:b/>
          <w:bCs w:val="0"/>
          <w:color w:val="auto"/>
          <w:highlight w:val="none"/>
        </w:rPr>
        <w:t>.4</w:t>
      </w:r>
      <w:r>
        <w:rPr>
          <w:rFonts w:hint="eastAsia" w:ascii="宋体" w:hAnsi="宋体"/>
          <w:b w:val="0"/>
          <w:bCs/>
          <w:color w:val="auto"/>
          <w:highlight w:val="none"/>
        </w:rPr>
        <w:t>有关证明文件</w:t>
      </w:r>
    </w:p>
    <w:p w14:paraId="6767FC84">
      <w:pPr>
        <w:spacing w:line="400" w:lineRule="exact"/>
        <w:rPr>
          <w:rFonts w:hint="eastAsia" w:ascii="宋体" w:hAnsi="宋体"/>
          <w:b w:val="0"/>
          <w:bCs/>
          <w:color w:val="auto"/>
          <w:highlight w:val="none"/>
        </w:rPr>
      </w:pPr>
      <w:r>
        <w:rPr>
          <w:rFonts w:hint="eastAsia" w:ascii="宋体" w:hAnsi="宋体"/>
          <w:b w:val="0"/>
          <w:bCs/>
          <w:color w:val="auto"/>
          <w:highlight w:val="none"/>
        </w:rPr>
        <w:t>可享受本国产品支持政策的</w:t>
      </w:r>
      <w:r>
        <w:rPr>
          <w:rFonts w:hint="eastAsia" w:ascii="宋体" w:hAnsi="宋体"/>
          <w:b w:val="0"/>
          <w:bCs/>
          <w:color w:val="auto"/>
          <w:highlight w:val="none"/>
          <w:lang w:val="en-US" w:eastAsia="zh-CN"/>
        </w:rPr>
        <w:t>供应商</w:t>
      </w:r>
      <w:r>
        <w:rPr>
          <w:rFonts w:hint="eastAsia" w:ascii="宋体" w:hAnsi="宋体"/>
          <w:b w:val="0"/>
          <w:bCs/>
          <w:color w:val="auto"/>
          <w:highlight w:val="none"/>
        </w:rPr>
        <w:t>应按照</w:t>
      </w:r>
      <w:r>
        <w:rPr>
          <w:rFonts w:hint="eastAsia" w:ascii="宋体" w:hAnsi="宋体"/>
          <w:b w:val="0"/>
          <w:bCs/>
          <w:color w:val="auto"/>
          <w:highlight w:val="none"/>
          <w:lang w:val="en-US" w:eastAsia="zh-CN"/>
        </w:rPr>
        <w:t>采购</w:t>
      </w:r>
      <w:r>
        <w:rPr>
          <w:rFonts w:hint="eastAsia" w:ascii="宋体" w:hAnsi="宋体"/>
          <w:b w:val="0"/>
          <w:bCs/>
          <w:color w:val="auto"/>
          <w:highlight w:val="none"/>
        </w:rPr>
        <w:t>文件格式要求提供《关于符合本国产品标准的声明函》或财政部会同有关部门规定的有关证明文件。</w:t>
      </w:r>
      <w:r>
        <w:rPr>
          <w:rFonts w:hint="eastAsia" w:ascii="宋体" w:hAnsi="宋体"/>
          <w:b w:val="0"/>
          <w:bCs/>
          <w:color w:val="auto"/>
          <w:highlight w:val="none"/>
          <w:lang w:val="en-US" w:eastAsia="zh-CN"/>
        </w:rPr>
        <w:t>供应商</w:t>
      </w:r>
      <w:r>
        <w:rPr>
          <w:rFonts w:hint="eastAsia" w:ascii="宋体" w:hAnsi="宋体"/>
          <w:b w:val="0"/>
          <w:bCs/>
          <w:color w:val="auto"/>
          <w:highlight w:val="none"/>
        </w:rPr>
        <w:t>提供虚假《关于符合本国产品标准的声明函》、虚假证明文件谋取中标的，依照《中华人民共和国政府采购法》等法律法规规定追究相应责任。</w:t>
      </w:r>
    </w:p>
    <w:p w14:paraId="2C672523">
      <w:pPr>
        <w:spacing w:line="400" w:lineRule="exact"/>
        <w:rPr>
          <w:rFonts w:hint="eastAsia" w:ascii="宋体" w:hAnsi="宋体"/>
          <w:b/>
          <w:color w:val="auto"/>
          <w:highlight w:val="none"/>
        </w:rPr>
      </w:pPr>
    </w:p>
    <w:p w14:paraId="404BF142">
      <w:pPr>
        <w:spacing w:line="400" w:lineRule="exact"/>
        <w:rPr>
          <w:rFonts w:ascii="宋体" w:hAnsi="宋体"/>
          <w:b/>
          <w:color w:val="auto"/>
          <w:highlight w:val="none"/>
        </w:rPr>
      </w:pPr>
      <w:r>
        <w:rPr>
          <w:rFonts w:hint="eastAsia" w:ascii="宋体" w:hAnsi="宋体"/>
          <w:b/>
          <w:color w:val="auto"/>
          <w:highlight w:val="none"/>
        </w:rPr>
        <w:t>3</w:t>
      </w:r>
      <w:r>
        <w:rPr>
          <w:rFonts w:hint="eastAsia" w:ascii="宋体" w:hAnsi="宋体"/>
          <w:b/>
          <w:color w:val="auto"/>
          <w:highlight w:val="none"/>
          <w:lang w:val="en-US" w:eastAsia="zh-CN"/>
        </w:rPr>
        <w:t>3</w:t>
      </w:r>
      <w:r>
        <w:rPr>
          <w:rFonts w:hint="eastAsia" w:ascii="宋体" w:hAnsi="宋体"/>
          <w:b/>
          <w:color w:val="auto"/>
          <w:highlight w:val="none"/>
        </w:rPr>
        <w:t>.询问、质疑、投诉</w:t>
      </w:r>
    </w:p>
    <w:p w14:paraId="3CB5100F">
      <w:pPr>
        <w:spacing w:line="400" w:lineRule="exact"/>
        <w:rPr>
          <w:rFonts w:ascii="宋体" w:hAnsi="宋体"/>
          <w:b/>
          <w:color w:val="auto"/>
          <w:highlight w:val="none"/>
        </w:rPr>
      </w:pPr>
      <w:r>
        <w:rPr>
          <w:rFonts w:hint="eastAsia" w:ascii="宋体" w:hAnsi="宋体"/>
          <w:b/>
          <w:color w:val="auto"/>
          <w:highlight w:val="none"/>
        </w:rPr>
        <w:t>3</w:t>
      </w:r>
      <w:r>
        <w:rPr>
          <w:rFonts w:hint="eastAsia" w:ascii="宋体" w:hAnsi="宋体"/>
          <w:b/>
          <w:color w:val="auto"/>
          <w:highlight w:val="none"/>
          <w:lang w:val="en-US" w:eastAsia="zh-CN"/>
        </w:rPr>
        <w:t>3</w:t>
      </w:r>
      <w:r>
        <w:rPr>
          <w:rFonts w:hint="eastAsia" w:ascii="宋体" w:hAnsi="宋体"/>
          <w:b/>
          <w:color w:val="auto"/>
          <w:highlight w:val="none"/>
        </w:rPr>
        <w:t>.1询问</w:t>
      </w:r>
    </w:p>
    <w:p w14:paraId="472126B2">
      <w:pPr>
        <w:spacing w:line="400" w:lineRule="exact"/>
        <w:ind w:firstLine="420" w:firstLineChars="200"/>
        <w:rPr>
          <w:rFonts w:ascii="宋体" w:hAnsi="宋体"/>
          <w:bCs/>
          <w:color w:val="auto"/>
          <w:highlight w:val="none"/>
        </w:rPr>
      </w:pPr>
      <w:r>
        <w:rPr>
          <w:rFonts w:hint="eastAsia" w:ascii="宋体" w:hAnsi="宋体"/>
          <w:bCs/>
          <w:color w:val="auto"/>
          <w:highlight w:val="none"/>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0FD08124">
      <w:pPr>
        <w:spacing w:line="400" w:lineRule="exact"/>
        <w:rPr>
          <w:rFonts w:ascii="宋体" w:hAnsi="宋体"/>
          <w:b/>
          <w:color w:val="auto"/>
          <w:highlight w:val="none"/>
        </w:rPr>
      </w:pPr>
      <w:r>
        <w:rPr>
          <w:rFonts w:hint="eastAsia" w:ascii="宋体" w:hAnsi="宋体"/>
          <w:b/>
          <w:color w:val="auto"/>
          <w:highlight w:val="none"/>
        </w:rPr>
        <w:t>3</w:t>
      </w:r>
      <w:r>
        <w:rPr>
          <w:rFonts w:hint="eastAsia" w:ascii="宋体" w:hAnsi="宋体"/>
          <w:b/>
          <w:color w:val="auto"/>
          <w:highlight w:val="none"/>
          <w:lang w:val="en-US" w:eastAsia="zh-CN"/>
        </w:rPr>
        <w:t>3</w:t>
      </w:r>
      <w:r>
        <w:rPr>
          <w:rFonts w:hint="eastAsia" w:ascii="宋体" w:hAnsi="宋体"/>
          <w:b/>
          <w:color w:val="auto"/>
          <w:highlight w:val="none"/>
        </w:rPr>
        <w:t>.2质疑</w:t>
      </w:r>
    </w:p>
    <w:p w14:paraId="19BDFC3B">
      <w:pPr>
        <w:spacing w:line="400" w:lineRule="exact"/>
        <w:rPr>
          <w:rFonts w:ascii="宋体" w:hAnsi="宋体"/>
          <w:bCs/>
          <w:color w:val="auto"/>
          <w:highlight w:val="none"/>
        </w:rPr>
      </w:pPr>
      <w:r>
        <w:rPr>
          <w:rFonts w:hint="eastAsia" w:ascii="宋体" w:hAnsi="宋体"/>
          <w:b/>
          <w:color w:val="auto"/>
          <w:highlight w:val="none"/>
        </w:rPr>
        <w:t>3</w:t>
      </w:r>
      <w:r>
        <w:rPr>
          <w:rFonts w:hint="eastAsia" w:ascii="宋体" w:hAnsi="宋体"/>
          <w:b/>
          <w:color w:val="auto"/>
          <w:highlight w:val="none"/>
          <w:lang w:val="en-US" w:eastAsia="zh-CN"/>
        </w:rPr>
        <w:t>3</w:t>
      </w:r>
      <w:r>
        <w:rPr>
          <w:rFonts w:hint="eastAsia" w:ascii="宋体" w:hAnsi="宋体"/>
          <w:b/>
          <w:color w:val="auto"/>
          <w:highlight w:val="none"/>
        </w:rPr>
        <w:t>.2.1</w:t>
      </w:r>
      <w:r>
        <w:rPr>
          <w:rFonts w:hint="eastAsia" w:ascii="宋体" w:hAnsi="宋体"/>
          <w:bCs/>
          <w:color w:val="auto"/>
          <w:highlight w:val="none"/>
        </w:rPr>
        <w:t>提出质疑的供应商应当是参与所质疑项目采购活动的供应商。潜在供应商已依法获取其可质疑的招标文件的，可以对该文件提出质疑。</w:t>
      </w:r>
    </w:p>
    <w:p w14:paraId="282D349A">
      <w:pPr>
        <w:spacing w:line="400" w:lineRule="exact"/>
        <w:rPr>
          <w:rFonts w:ascii="宋体" w:hAnsi="宋体"/>
          <w:bCs/>
          <w:color w:val="auto"/>
          <w:highlight w:val="none"/>
        </w:rPr>
      </w:pPr>
      <w:r>
        <w:rPr>
          <w:rFonts w:hint="eastAsia" w:ascii="宋体" w:hAnsi="宋体"/>
          <w:b/>
          <w:color w:val="auto"/>
          <w:highlight w:val="none"/>
        </w:rPr>
        <w:t>3</w:t>
      </w:r>
      <w:r>
        <w:rPr>
          <w:rFonts w:hint="eastAsia" w:ascii="宋体" w:hAnsi="宋体"/>
          <w:b/>
          <w:color w:val="auto"/>
          <w:highlight w:val="none"/>
          <w:lang w:val="en-US" w:eastAsia="zh-CN"/>
        </w:rPr>
        <w:t>3</w:t>
      </w:r>
      <w:r>
        <w:rPr>
          <w:rFonts w:hint="eastAsia" w:ascii="宋体" w:hAnsi="宋体"/>
          <w:b/>
          <w:color w:val="auto"/>
          <w:highlight w:val="none"/>
        </w:rPr>
        <w:t>.2.2</w:t>
      </w:r>
      <w:r>
        <w:rPr>
          <w:rFonts w:hint="eastAsia" w:ascii="宋体" w:hAnsi="宋体"/>
          <w:bCs/>
          <w:color w:val="auto"/>
          <w:highlight w:val="none"/>
        </w:rPr>
        <w:t>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14:paraId="01FF42A4">
      <w:pPr>
        <w:spacing w:line="400" w:lineRule="exact"/>
        <w:rPr>
          <w:rFonts w:ascii="宋体" w:hAnsi="宋体"/>
          <w:bCs/>
          <w:color w:val="auto"/>
          <w:highlight w:val="none"/>
        </w:rPr>
      </w:pPr>
      <w:r>
        <w:rPr>
          <w:rFonts w:hint="eastAsia" w:ascii="宋体" w:hAnsi="宋体"/>
          <w:b/>
          <w:color w:val="auto"/>
          <w:highlight w:val="none"/>
        </w:rPr>
        <w:t>3</w:t>
      </w:r>
      <w:r>
        <w:rPr>
          <w:rFonts w:hint="eastAsia" w:ascii="宋体" w:hAnsi="宋体"/>
          <w:b/>
          <w:color w:val="auto"/>
          <w:highlight w:val="none"/>
          <w:lang w:val="en-US" w:eastAsia="zh-CN"/>
        </w:rPr>
        <w:t>3</w:t>
      </w:r>
      <w:r>
        <w:rPr>
          <w:rFonts w:hint="eastAsia" w:ascii="宋体" w:hAnsi="宋体"/>
          <w:b/>
          <w:color w:val="auto"/>
          <w:highlight w:val="none"/>
        </w:rPr>
        <w:t>.2.2.1</w:t>
      </w:r>
      <w:r>
        <w:rPr>
          <w:rFonts w:hint="eastAsia" w:ascii="宋体" w:hAnsi="宋体"/>
          <w:bCs/>
          <w:color w:val="auto"/>
          <w:highlight w:val="none"/>
        </w:rPr>
        <w:t>对招标文件提出质疑的，质疑期限为供应商获得招标文件之日或者招标文件公告期限届满之日起计算。</w:t>
      </w:r>
    </w:p>
    <w:p w14:paraId="547F7CFE">
      <w:pPr>
        <w:spacing w:line="400" w:lineRule="exact"/>
        <w:rPr>
          <w:rFonts w:ascii="宋体" w:hAnsi="宋体"/>
          <w:bCs/>
          <w:color w:val="auto"/>
          <w:highlight w:val="none"/>
        </w:rPr>
      </w:pPr>
      <w:r>
        <w:rPr>
          <w:rFonts w:hint="eastAsia" w:ascii="宋体" w:hAnsi="宋体"/>
          <w:b/>
          <w:color w:val="auto"/>
          <w:highlight w:val="none"/>
        </w:rPr>
        <w:t>3</w:t>
      </w:r>
      <w:r>
        <w:rPr>
          <w:rFonts w:hint="eastAsia" w:ascii="宋体" w:hAnsi="宋体"/>
          <w:b/>
          <w:color w:val="auto"/>
          <w:highlight w:val="none"/>
          <w:lang w:val="en-US" w:eastAsia="zh-CN"/>
        </w:rPr>
        <w:t>3</w:t>
      </w:r>
      <w:r>
        <w:rPr>
          <w:rFonts w:hint="eastAsia" w:ascii="宋体" w:hAnsi="宋体"/>
          <w:b/>
          <w:color w:val="auto"/>
          <w:highlight w:val="none"/>
        </w:rPr>
        <w:t>.2.2.2</w:t>
      </w:r>
      <w:r>
        <w:rPr>
          <w:rFonts w:hint="eastAsia" w:ascii="宋体" w:hAnsi="宋体"/>
          <w:bCs/>
          <w:color w:val="auto"/>
          <w:highlight w:val="none"/>
        </w:rPr>
        <w:t>对采购过程提出质疑的，质疑期限为各采购程序环节结束之日起计算。对同一采购程序环节的质疑，供应商须一次性提出。</w:t>
      </w:r>
    </w:p>
    <w:p w14:paraId="7E42183B">
      <w:pPr>
        <w:spacing w:line="400" w:lineRule="exact"/>
        <w:rPr>
          <w:rFonts w:ascii="宋体" w:hAnsi="宋体"/>
          <w:bCs/>
          <w:color w:val="auto"/>
          <w:highlight w:val="none"/>
        </w:rPr>
      </w:pPr>
      <w:r>
        <w:rPr>
          <w:rFonts w:hint="eastAsia" w:ascii="宋体" w:hAnsi="宋体"/>
          <w:b/>
          <w:color w:val="auto"/>
          <w:highlight w:val="none"/>
        </w:rPr>
        <w:t>3</w:t>
      </w:r>
      <w:r>
        <w:rPr>
          <w:rFonts w:hint="eastAsia" w:ascii="宋体" w:hAnsi="宋体"/>
          <w:b/>
          <w:color w:val="auto"/>
          <w:highlight w:val="none"/>
          <w:lang w:val="en-US" w:eastAsia="zh-CN"/>
        </w:rPr>
        <w:t>3</w:t>
      </w:r>
      <w:r>
        <w:rPr>
          <w:rFonts w:hint="eastAsia" w:ascii="宋体" w:hAnsi="宋体"/>
          <w:b/>
          <w:color w:val="auto"/>
          <w:highlight w:val="none"/>
        </w:rPr>
        <w:t>.2.2.3</w:t>
      </w:r>
      <w:r>
        <w:rPr>
          <w:rFonts w:hint="eastAsia" w:ascii="宋体" w:hAnsi="宋体"/>
          <w:bCs/>
          <w:color w:val="auto"/>
          <w:highlight w:val="none"/>
        </w:rPr>
        <w:t>对采购结果提出质疑的，质疑期限自采购结果公告期限届满之日起计算。</w:t>
      </w:r>
    </w:p>
    <w:p w14:paraId="33EE261F">
      <w:pPr>
        <w:spacing w:line="400" w:lineRule="exact"/>
        <w:rPr>
          <w:rFonts w:ascii="宋体" w:hAnsi="宋体"/>
          <w:bCs/>
          <w:color w:val="auto"/>
          <w:highlight w:val="none"/>
        </w:rPr>
      </w:pPr>
      <w:r>
        <w:rPr>
          <w:rFonts w:hint="eastAsia" w:ascii="宋体" w:hAnsi="宋体"/>
          <w:b/>
          <w:color w:val="auto"/>
          <w:highlight w:val="none"/>
        </w:rPr>
        <w:t>3</w:t>
      </w:r>
      <w:r>
        <w:rPr>
          <w:rFonts w:hint="eastAsia" w:ascii="宋体" w:hAnsi="宋体"/>
          <w:b/>
          <w:color w:val="auto"/>
          <w:highlight w:val="none"/>
          <w:lang w:val="en-US" w:eastAsia="zh-CN"/>
        </w:rPr>
        <w:t>3</w:t>
      </w:r>
      <w:r>
        <w:rPr>
          <w:rFonts w:hint="eastAsia" w:ascii="宋体" w:hAnsi="宋体"/>
          <w:b/>
          <w:color w:val="auto"/>
          <w:highlight w:val="none"/>
        </w:rPr>
        <w:t>.2.3</w:t>
      </w:r>
      <w:r>
        <w:rPr>
          <w:rFonts w:hint="eastAsia" w:ascii="宋体" w:hAnsi="宋体"/>
          <w:bCs/>
          <w:color w:val="auto"/>
          <w:highlight w:val="none"/>
        </w:rPr>
        <w:t>供应商提出质疑应当提交质疑函和必要的证明材料。质疑函应当包括下列内容：</w:t>
      </w:r>
    </w:p>
    <w:p w14:paraId="507797B4">
      <w:pPr>
        <w:spacing w:line="400" w:lineRule="exact"/>
        <w:rPr>
          <w:rFonts w:ascii="宋体" w:hAnsi="宋体"/>
          <w:bCs/>
          <w:color w:val="auto"/>
          <w:highlight w:val="none"/>
        </w:rPr>
      </w:pPr>
      <w:r>
        <w:rPr>
          <w:rFonts w:hint="eastAsia" w:ascii="宋体" w:hAnsi="宋体"/>
          <w:b/>
          <w:color w:val="auto"/>
          <w:highlight w:val="none"/>
        </w:rPr>
        <w:t>3</w:t>
      </w:r>
      <w:r>
        <w:rPr>
          <w:rFonts w:hint="eastAsia" w:ascii="宋体" w:hAnsi="宋体"/>
          <w:b/>
          <w:color w:val="auto"/>
          <w:highlight w:val="none"/>
          <w:lang w:val="en-US" w:eastAsia="zh-CN"/>
        </w:rPr>
        <w:t>3</w:t>
      </w:r>
      <w:r>
        <w:rPr>
          <w:rFonts w:hint="eastAsia" w:ascii="宋体" w:hAnsi="宋体"/>
          <w:b/>
          <w:color w:val="auto"/>
          <w:highlight w:val="none"/>
        </w:rPr>
        <w:t>.2.3.1</w:t>
      </w:r>
      <w:r>
        <w:rPr>
          <w:rFonts w:hint="eastAsia" w:ascii="宋体" w:hAnsi="宋体"/>
          <w:bCs/>
          <w:color w:val="auto"/>
          <w:highlight w:val="none"/>
        </w:rPr>
        <w:t>供应商的姓名或者名称、地址、邮编、联系人及联系电话；</w:t>
      </w:r>
    </w:p>
    <w:p w14:paraId="4E93B262">
      <w:pPr>
        <w:spacing w:line="400" w:lineRule="exact"/>
        <w:rPr>
          <w:rFonts w:ascii="宋体" w:hAnsi="宋体"/>
          <w:bCs/>
          <w:color w:val="auto"/>
          <w:highlight w:val="none"/>
        </w:rPr>
      </w:pPr>
      <w:r>
        <w:rPr>
          <w:rFonts w:hint="eastAsia" w:ascii="宋体" w:hAnsi="宋体"/>
          <w:b/>
          <w:color w:val="auto"/>
          <w:highlight w:val="none"/>
        </w:rPr>
        <w:t>3</w:t>
      </w:r>
      <w:r>
        <w:rPr>
          <w:rFonts w:hint="eastAsia" w:ascii="宋体" w:hAnsi="宋体"/>
          <w:b/>
          <w:color w:val="auto"/>
          <w:highlight w:val="none"/>
          <w:lang w:val="en-US" w:eastAsia="zh-CN"/>
        </w:rPr>
        <w:t>3</w:t>
      </w:r>
      <w:r>
        <w:rPr>
          <w:rFonts w:hint="eastAsia" w:ascii="宋体" w:hAnsi="宋体"/>
          <w:b/>
          <w:color w:val="auto"/>
          <w:highlight w:val="none"/>
        </w:rPr>
        <w:t>.2.3.2</w:t>
      </w:r>
      <w:r>
        <w:rPr>
          <w:rFonts w:hint="eastAsia" w:ascii="宋体" w:hAnsi="宋体"/>
          <w:bCs/>
          <w:color w:val="auto"/>
          <w:highlight w:val="none"/>
        </w:rPr>
        <w:t>质疑项目的名称、编号；</w:t>
      </w:r>
    </w:p>
    <w:p w14:paraId="039F22C5">
      <w:pPr>
        <w:spacing w:line="400" w:lineRule="exact"/>
        <w:rPr>
          <w:rFonts w:ascii="宋体" w:hAnsi="宋体"/>
          <w:bCs/>
          <w:color w:val="auto"/>
          <w:highlight w:val="none"/>
        </w:rPr>
      </w:pPr>
      <w:r>
        <w:rPr>
          <w:rFonts w:hint="eastAsia" w:ascii="宋体" w:hAnsi="宋体"/>
          <w:b/>
          <w:color w:val="auto"/>
          <w:highlight w:val="none"/>
        </w:rPr>
        <w:t>3</w:t>
      </w:r>
      <w:r>
        <w:rPr>
          <w:rFonts w:hint="eastAsia" w:ascii="宋体" w:hAnsi="宋体"/>
          <w:b/>
          <w:color w:val="auto"/>
          <w:highlight w:val="none"/>
          <w:lang w:val="en-US" w:eastAsia="zh-CN"/>
        </w:rPr>
        <w:t>3</w:t>
      </w:r>
      <w:r>
        <w:rPr>
          <w:rFonts w:hint="eastAsia" w:ascii="宋体" w:hAnsi="宋体"/>
          <w:b/>
          <w:color w:val="auto"/>
          <w:highlight w:val="none"/>
        </w:rPr>
        <w:t>.2.3.3</w:t>
      </w:r>
      <w:r>
        <w:rPr>
          <w:rFonts w:hint="eastAsia" w:ascii="宋体" w:hAnsi="宋体"/>
          <w:bCs/>
          <w:color w:val="auto"/>
          <w:highlight w:val="none"/>
        </w:rPr>
        <w:t>具体、明确的质疑事项和与质疑事项相关的请求；</w:t>
      </w:r>
    </w:p>
    <w:p w14:paraId="23A5B2D6">
      <w:pPr>
        <w:spacing w:line="400" w:lineRule="exact"/>
        <w:rPr>
          <w:rFonts w:ascii="宋体" w:hAnsi="宋体"/>
          <w:bCs/>
          <w:color w:val="auto"/>
          <w:highlight w:val="none"/>
        </w:rPr>
      </w:pPr>
      <w:r>
        <w:rPr>
          <w:rFonts w:hint="eastAsia" w:ascii="宋体" w:hAnsi="宋体"/>
          <w:b/>
          <w:color w:val="auto"/>
          <w:highlight w:val="none"/>
        </w:rPr>
        <w:t>3</w:t>
      </w:r>
      <w:r>
        <w:rPr>
          <w:rFonts w:hint="eastAsia" w:ascii="宋体" w:hAnsi="宋体"/>
          <w:b/>
          <w:color w:val="auto"/>
          <w:highlight w:val="none"/>
          <w:lang w:val="en-US" w:eastAsia="zh-CN"/>
        </w:rPr>
        <w:t>3</w:t>
      </w:r>
      <w:r>
        <w:rPr>
          <w:rFonts w:hint="eastAsia" w:ascii="宋体" w:hAnsi="宋体"/>
          <w:b/>
          <w:color w:val="auto"/>
          <w:highlight w:val="none"/>
        </w:rPr>
        <w:t>.2.3.4</w:t>
      </w:r>
      <w:r>
        <w:rPr>
          <w:rFonts w:hint="eastAsia" w:ascii="宋体" w:hAnsi="宋体"/>
          <w:bCs/>
          <w:color w:val="auto"/>
          <w:highlight w:val="none"/>
        </w:rPr>
        <w:t>事实依据；</w:t>
      </w:r>
    </w:p>
    <w:p w14:paraId="022BF117">
      <w:pPr>
        <w:spacing w:line="400" w:lineRule="exact"/>
        <w:rPr>
          <w:rFonts w:ascii="宋体" w:hAnsi="宋体"/>
          <w:bCs/>
          <w:color w:val="auto"/>
          <w:highlight w:val="none"/>
        </w:rPr>
      </w:pPr>
      <w:r>
        <w:rPr>
          <w:rFonts w:hint="eastAsia" w:ascii="宋体" w:hAnsi="宋体"/>
          <w:b/>
          <w:color w:val="auto"/>
          <w:highlight w:val="none"/>
        </w:rPr>
        <w:t>3</w:t>
      </w:r>
      <w:r>
        <w:rPr>
          <w:rFonts w:hint="eastAsia" w:ascii="宋体" w:hAnsi="宋体"/>
          <w:b/>
          <w:color w:val="auto"/>
          <w:highlight w:val="none"/>
          <w:lang w:val="en-US" w:eastAsia="zh-CN"/>
        </w:rPr>
        <w:t>3</w:t>
      </w:r>
      <w:r>
        <w:rPr>
          <w:rFonts w:hint="eastAsia" w:ascii="宋体" w:hAnsi="宋体"/>
          <w:b/>
          <w:color w:val="auto"/>
          <w:highlight w:val="none"/>
        </w:rPr>
        <w:t>.2.3.5</w:t>
      </w:r>
      <w:r>
        <w:rPr>
          <w:rFonts w:hint="eastAsia" w:ascii="宋体" w:hAnsi="宋体"/>
          <w:bCs/>
          <w:color w:val="auto"/>
          <w:highlight w:val="none"/>
        </w:rPr>
        <w:t>必要的法律依据；</w:t>
      </w:r>
    </w:p>
    <w:p w14:paraId="64CABCD9">
      <w:pPr>
        <w:spacing w:line="400" w:lineRule="exact"/>
        <w:rPr>
          <w:rFonts w:ascii="宋体" w:hAnsi="宋体"/>
          <w:bCs/>
          <w:color w:val="auto"/>
          <w:highlight w:val="none"/>
        </w:rPr>
      </w:pPr>
      <w:r>
        <w:rPr>
          <w:rFonts w:hint="eastAsia" w:ascii="宋体" w:hAnsi="宋体"/>
          <w:b/>
          <w:color w:val="auto"/>
          <w:highlight w:val="none"/>
        </w:rPr>
        <w:t>3</w:t>
      </w:r>
      <w:r>
        <w:rPr>
          <w:rFonts w:hint="eastAsia" w:ascii="宋体" w:hAnsi="宋体"/>
          <w:b/>
          <w:color w:val="auto"/>
          <w:highlight w:val="none"/>
          <w:lang w:val="en-US" w:eastAsia="zh-CN"/>
        </w:rPr>
        <w:t>3</w:t>
      </w:r>
      <w:r>
        <w:rPr>
          <w:rFonts w:hint="eastAsia" w:ascii="宋体" w:hAnsi="宋体"/>
          <w:b/>
          <w:color w:val="auto"/>
          <w:highlight w:val="none"/>
        </w:rPr>
        <w:t>.2.3.6</w:t>
      </w:r>
      <w:r>
        <w:rPr>
          <w:rFonts w:hint="eastAsia" w:ascii="宋体" w:hAnsi="宋体"/>
          <w:bCs/>
          <w:color w:val="auto"/>
          <w:highlight w:val="none"/>
        </w:rPr>
        <w:t>提出质疑的日期。</w:t>
      </w:r>
    </w:p>
    <w:p w14:paraId="5474D403">
      <w:pPr>
        <w:spacing w:line="400" w:lineRule="exact"/>
        <w:rPr>
          <w:rFonts w:ascii="宋体" w:hAnsi="宋体"/>
          <w:bCs/>
          <w:color w:val="auto"/>
          <w:highlight w:val="none"/>
        </w:rPr>
      </w:pPr>
      <w:r>
        <w:rPr>
          <w:rFonts w:hint="eastAsia" w:ascii="宋体" w:hAnsi="宋体"/>
          <w:bCs/>
          <w:color w:val="auto"/>
          <w:highlight w:val="none"/>
        </w:rPr>
        <w:t>供应商提交的质疑函需一式三份。供应商为自然人的，应当由本人签字；供应商为法人或者其他组织的，应当由法定代表人、主要负责人，或者其授权代表签字或者盖章，并加盖公章。</w:t>
      </w:r>
    </w:p>
    <w:p w14:paraId="7AAB28BC">
      <w:pPr>
        <w:spacing w:line="400" w:lineRule="exact"/>
        <w:rPr>
          <w:rFonts w:ascii="宋体" w:hAnsi="宋体"/>
          <w:bCs/>
          <w:color w:val="auto"/>
          <w:highlight w:val="none"/>
        </w:rPr>
      </w:pPr>
      <w:r>
        <w:rPr>
          <w:rFonts w:hint="eastAsia" w:ascii="宋体" w:hAnsi="宋体"/>
          <w:bCs/>
          <w:color w:val="auto"/>
          <w:highlight w:val="none"/>
        </w:rPr>
        <w:t>质疑函格式和内容须符合财政部《质疑函范本》要求，供应商可到中国政府采购网自行下载财政部《质疑函范本》。</w:t>
      </w:r>
    </w:p>
    <w:p w14:paraId="440729B3">
      <w:pPr>
        <w:spacing w:line="400" w:lineRule="exact"/>
        <w:rPr>
          <w:rFonts w:ascii="宋体" w:hAnsi="宋体"/>
          <w:bCs/>
          <w:color w:val="auto"/>
          <w:highlight w:val="none"/>
        </w:rPr>
      </w:pPr>
      <w:r>
        <w:rPr>
          <w:rFonts w:hint="eastAsia" w:ascii="宋体" w:hAnsi="宋体"/>
          <w:b/>
          <w:color w:val="auto"/>
          <w:highlight w:val="none"/>
        </w:rPr>
        <w:t>3</w:t>
      </w:r>
      <w:r>
        <w:rPr>
          <w:rFonts w:hint="eastAsia" w:ascii="宋体" w:hAnsi="宋体"/>
          <w:b/>
          <w:color w:val="auto"/>
          <w:highlight w:val="none"/>
          <w:lang w:val="en-US" w:eastAsia="zh-CN"/>
        </w:rPr>
        <w:t>3</w:t>
      </w:r>
      <w:r>
        <w:rPr>
          <w:rFonts w:hint="eastAsia" w:ascii="宋体" w:hAnsi="宋体"/>
          <w:b/>
          <w:color w:val="auto"/>
          <w:highlight w:val="none"/>
        </w:rPr>
        <w:t>.2.4</w:t>
      </w:r>
      <w:r>
        <w:rPr>
          <w:rFonts w:hint="eastAsia" w:ascii="宋体" w:hAnsi="宋体"/>
          <w:bCs/>
          <w:color w:val="auto"/>
          <w:highlight w:val="none"/>
        </w:rPr>
        <w:t>采购人或者采购代理机构应当在收到供应商的书面质疑后七个工作日内作出答复，并以书面形式通知质疑供应商和其他与质疑处理结果有利害关系的政府采购当事人，但答复的内容不得涉及商业秘密。</w:t>
      </w:r>
    </w:p>
    <w:p w14:paraId="348B7F34">
      <w:pPr>
        <w:spacing w:line="400" w:lineRule="exact"/>
        <w:rPr>
          <w:rFonts w:ascii="宋体" w:hAnsi="宋体"/>
          <w:bCs/>
          <w:color w:val="auto"/>
          <w:highlight w:val="none"/>
        </w:rPr>
      </w:pPr>
      <w:r>
        <w:rPr>
          <w:rFonts w:hint="eastAsia" w:ascii="宋体" w:hAnsi="宋体"/>
          <w:b/>
          <w:color w:val="auto"/>
          <w:highlight w:val="none"/>
        </w:rPr>
        <w:t>3</w:t>
      </w:r>
      <w:r>
        <w:rPr>
          <w:rFonts w:hint="eastAsia" w:ascii="宋体" w:hAnsi="宋体"/>
          <w:b/>
          <w:color w:val="auto"/>
          <w:highlight w:val="none"/>
          <w:lang w:val="en-US" w:eastAsia="zh-CN"/>
        </w:rPr>
        <w:t>3</w:t>
      </w:r>
      <w:r>
        <w:rPr>
          <w:rFonts w:hint="eastAsia" w:ascii="宋体" w:hAnsi="宋体"/>
          <w:b/>
          <w:color w:val="auto"/>
          <w:highlight w:val="none"/>
        </w:rPr>
        <w:t>.2.5</w:t>
      </w:r>
      <w:r>
        <w:rPr>
          <w:rFonts w:hint="eastAsia" w:ascii="宋体" w:hAnsi="宋体"/>
          <w:bCs/>
          <w:color w:val="auto"/>
          <w:highlight w:val="none"/>
        </w:rPr>
        <w:t>询问或者质疑事项可能影响采购结果的，采购人应当暂停签订合同，已经签订合同的，应当中止履行合同。</w:t>
      </w:r>
    </w:p>
    <w:p w14:paraId="52ED93F3">
      <w:pPr>
        <w:spacing w:line="400" w:lineRule="exact"/>
        <w:rPr>
          <w:rFonts w:ascii="宋体" w:hAnsi="宋体"/>
          <w:b/>
          <w:color w:val="auto"/>
          <w:highlight w:val="none"/>
        </w:rPr>
      </w:pPr>
      <w:r>
        <w:rPr>
          <w:rFonts w:hint="eastAsia" w:ascii="宋体" w:hAnsi="宋体"/>
          <w:b/>
          <w:color w:val="auto"/>
          <w:highlight w:val="none"/>
        </w:rPr>
        <w:t>3</w:t>
      </w:r>
      <w:r>
        <w:rPr>
          <w:rFonts w:hint="eastAsia" w:ascii="宋体" w:hAnsi="宋体"/>
          <w:b/>
          <w:color w:val="auto"/>
          <w:highlight w:val="none"/>
          <w:lang w:val="en-US" w:eastAsia="zh-CN"/>
        </w:rPr>
        <w:t>3</w:t>
      </w:r>
      <w:r>
        <w:rPr>
          <w:rFonts w:hint="eastAsia" w:ascii="宋体" w:hAnsi="宋体"/>
          <w:b/>
          <w:color w:val="auto"/>
          <w:highlight w:val="none"/>
        </w:rPr>
        <w:t>.3投诉</w:t>
      </w:r>
    </w:p>
    <w:p w14:paraId="6F117FDE">
      <w:pPr>
        <w:spacing w:line="400" w:lineRule="exact"/>
        <w:rPr>
          <w:rFonts w:ascii="宋体" w:hAnsi="宋体"/>
          <w:bCs/>
          <w:color w:val="auto"/>
          <w:highlight w:val="none"/>
        </w:rPr>
      </w:pPr>
      <w:r>
        <w:rPr>
          <w:rFonts w:hint="eastAsia" w:ascii="宋体" w:hAnsi="宋体"/>
          <w:b/>
          <w:color w:val="auto"/>
          <w:highlight w:val="none"/>
        </w:rPr>
        <w:t>3</w:t>
      </w:r>
      <w:r>
        <w:rPr>
          <w:rFonts w:hint="eastAsia" w:ascii="宋体" w:hAnsi="宋体"/>
          <w:b/>
          <w:color w:val="auto"/>
          <w:highlight w:val="none"/>
          <w:lang w:val="en-US" w:eastAsia="zh-CN"/>
        </w:rPr>
        <w:t>3</w:t>
      </w:r>
      <w:r>
        <w:rPr>
          <w:rFonts w:hint="eastAsia" w:ascii="宋体" w:hAnsi="宋体"/>
          <w:b/>
          <w:color w:val="auto"/>
          <w:highlight w:val="none"/>
        </w:rPr>
        <w:t>.3.1</w:t>
      </w:r>
      <w:r>
        <w:rPr>
          <w:rFonts w:hint="eastAsia" w:ascii="宋体" w:hAnsi="宋体"/>
          <w:bCs/>
          <w:color w:val="auto"/>
          <w:highlight w:val="none"/>
        </w:rPr>
        <w:t>质疑供应商对采购人、采购代理机构的答复不满意或者采购人、采购代理机构未在规定的时间内作出答复的，可以在答复期满后十五个工作日内向同级政府采购监督管理部门提出投诉。</w:t>
      </w:r>
      <w:r>
        <w:rPr>
          <w:rFonts w:hint="eastAsia" w:ascii="宋体" w:hAnsi="宋体"/>
          <w:color w:val="auto"/>
          <w:highlight w:val="none"/>
        </w:rPr>
        <w:t>投诉函格式和内容须符合财政部《投诉函范本》要求，供应商可到中国政府采购网自行下载财政部《投诉函范本》。</w:t>
      </w:r>
    </w:p>
    <w:p w14:paraId="5497D422">
      <w:pPr>
        <w:spacing w:line="400" w:lineRule="exact"/>
        <w:rPr>
          <w:rFonts w:ascii="宋体" w:hAnsi="宋体"/>
          <w:bCs/>
          <w:color w:val="auto"/>
          <w:highlight w:val="none"/>
        </w:rPr>
      </w:pPr>
      <w:r>
        <w:rPr>
          <w:rFonts w:hint="eastAsia" w:ascii="宋体" w:hAnsi="宋体"/>
          <w:b/>
          <w:color w:val="auto"/>
          <w:highlight w:val="none"/>
        </w:rPr>
        <w:t>3</w:t>
      </w:r>
      <w:r>
        <w:rPr>
          <w:rFonts w:hint="eastAsia" w:ascii="宋体" w:hAnsi="宋体"/>
          <w:b/>
          <w:color w:val="auto"/>
          <w:highlight w:val="none"/>
          <w:lang w:val="en-US" w:eastAsia="zh-CN"/>
        </w:rPr>
        <w:t>3</w:t>
      </w:r>
      <w:r>
        <w:rPr>
          <w:rFonts w:hint="eastAsia" w:ascii="宋体" w:hAnsi="宋体"/>
          <w:b/>
          <w:color w:val="auto"/>
          <w:highlight w:val="none"/>
        </w:rPr>
        <w:t>.3.2</w:t>
      </w:r>
      <w:r>
        <w:rPr>
          <w:rFonts w:hint="eastAsia" w:ascii="宋体" w:hAnsi="宋体"/>
          <w:bCs/>
          <w:color w:val="auto"/>
          <w:highlight w:val="none"/>
        </w:rPr>
        <w:t>供应商投诉的事项不得超出已质疑事项的范围，基于质疑答复内容提出的投诉事项除外。</w:t>
      </w:r>
    </w:p>
    <w:p w14:paraId="38BDE494">
      <w:pPr>
        <w:spacing w:line="400" w:lineRule="exact"/>
        <w:rPr>
          <w:rFonts w:ascii="宋体" w:hAnsi="宋体"/>
          <w:bCs/>
          <w:color w:val="auto"/>
          <w:highlight w:val="none"/>
        </w:rPr>
      </w:pPr>
      <w:r>
        <w:rPr>
          <w:rFonts w:hint="eastAsia" w:ascii="宋体" w:hAnsi="宋体"/>
          <w:b/>
          <w:color w:val="auto"/>
          <w:highlight w:val="none"/>
        </w:rPr>
        <w:t>3</w:t>
      </w:r>
      <w:r>
        <w:rPr>
          <w:rFonts w:hint="eastAsia" w:ascii="宋体" w:hAnsi="宋体"/>
          <w:b/>
          <w:color w:val="auto"/>
          <w:highlight w:val="none"/>
          <w:lang w:val="en-US" w:eastAsia="zh-CN"/>
        </w:rPr>
        <w:t>3</w:t>
      </w:r>
      <w:r>
        <w:rPr>
          <w:rFonts w:hint="eastAsia" w:ascii="宋体" w:hAnsi="宋体"/>
          <w:b/>
          <w:color w:val="auto"/>
          <w:highlight w:val="none"/>
        </w:rPr>
        <w:t>.3.3</w:t>
      </w:r>
      <w:r>
        <w:rPr>
          <w:rFonts w:hint="eastAsia" w:ascii="宋体" w:hAnsi="宋体"/>
          <w:bCs/>
          <w:color w:val="auto"/>
          <w:highlight w:val="none"/>
        </w:rPr>
        <w:t>供应商投诉应当有明确的请求和必要的证明材料。</w:t>
      </w:r>
    </w:p>
    <w:p w14:paraId="050291F3">
      <w:pPr>
        <w:spacing w:line="400" w:lineRule="exact"/>
        <w:rPr>
          <w:rFonts w:ascii="宋体" w:hAnsi="宋体"/>
          <w:bCs/>
          <w:color w:val="auto"/>
          <w:highlight w:val="none"/>
        </w:rPr>
      </w:pPr>
      <w:r>
        <w:rPr>
          <w:rFonts w:hint="eastAsia" w:ascii="宋体" w:hAnsi="宋体"/>
          <w:b/>
          <w:color w:val="auto"/>
          <w:highlight w:val="none"/>
        </w:rPr>
        <w:t>3</w:t>
      </w:r>
      <w:r>
        <w:rPr>
          <w:rFonts w:hint="eastAsia" w:ascii="宋体" w:hAnsi="宋体"/>
          <w:b/>
          <w:color w:val="auto"/>
          <w:highlight w:val="none"/>
          <w:lang w:val="en-US" w:eastAsia="zh-CN"/>
        </w:rPr>
        <w:t>3</w:t>
      </w:r>
      <w:r>
        <w:rPr>
          <w:rFonts w:hint="eastAsia" w:ascii="宋体" w:hAnsi="宋体"/>
          <w:b/>
          <w:color w:val="auto"/>
          <w:highlight w:val="none"/>
        </w:rPr>
        <w:t>.3.4</w:t>
      </w:r>
      <w:r>
        <w:rPr>
          <w:rFonts w:hint="eastAsia" w:ascii="宋体" w:hAnsi="宋体"/>
          <w:bCs/>
          <w:color w:val="auto"/>
          <w:highlight w:val="none"/>
        </w:rPr>
        <w:t>以联合体形式参加政府采购活动的，其投诉应当由组成联合体的所有供应商共同提出。</w:t>
      </w:r>
    </w:p>
    <w:p w14:paraId="4907465B">
      <w:pPr>
        <w:spacing w:line="440" w:lineRule="exact"/>
        <w:ind w:firstLine="105" w:firstLineChars="50"/>
        <w:rPr>
          <w:rFonts w:ascii="宋体"/>
          <w:color w:val="auto"/>
          <w:highlight w:val="none"/>
        </w:rPr>
      </w:pPr>
    </w:p>
    <w:p w14:paraId="2CB4E528">
      <w:pPr>
        <w:spacing w:line="440" w:lineRule="exact"/>
        <w:rPr>
          <w:rFonts w:ascii="宋体"/>
          <w:color w:val="auto"/>
          <w:highlight w:val="none"/>
        </w:rPr>
      </w:pPr>
      <w:r>
        <w:rPr>
          <w:rFonts w:ascii="宋体" w:hAnsi="宋体" w:cs="宋体"/>
          <w:b/>
          <w:bCs/>
          <w:color w:val="auto"/>
          <w:highlight w:val="none"/>
        </w:rPr>
        <w:t>3</w:t>
      </w:r>
      <w:r>
        <w:rPr>
          <w:rFonts w:hint="eastAsia" w:ascii="宋体" w:hAnsi="宋体" w:cs="宋体"/>
          <w:b/>
          <w:bCs/>
          <w:color w:val="auto"/>
          <w:highlight w:val="none"/>
          <w:lang w:val="en-US" w:eastAsia="zh-CN"/>
        </w:rPr>
        <w:t>4</w:t>
      </w:r>
      <w:r>
        <w:rPr>
          <w:rFonts w:ascii="宋体" w:hAnsi="宋体" w:cs="宋体"/>
          <w:b/>
          <w:bCs/>
          <w:color w:val="auto"/>
          <w:highlight w:val="none"/>
        </w:rPr>
        <w:t>.</w:t>
      </w:r>
      <w:r>
        <w:rPr>
          <w:rFonts w:hint="eastAsia" w:ascii="宋体" w:hAnsi="宋体" w:cs="宋体"/>
          <w:b/>
          <w:bCs/>
          <w:color w:val="auto"/>
          <w:highlight w:val="none"/>
        </w:rPr>
        <w:t>联合体规定</w:t>
      </w:r>
    </w:p>
    <w:p w14:paraId="3BC9B619">
      <w:pPr>
        <w:spacing w:line="440" w:lineRule="exact"/>
        <w:rPr>
          <w:rFonts w:ascii="宋体" w:hAnsi="宋体"/>
          <w:color w:val="auto"/>
          <w:highlight w:val="none"/>
        </w:rPr>
      </w:pPr>
      <w:r>
        <w:rPr>
          <w:rFonts w:hint="eastAsia" w:ascii="宋体" w:hAnsi="宋体"/>
          <w:b/>
          <w:color w:val="auto"/>
          <w:highlight w:val="none"/>
        </w:rPr>
        <w:t>3</w:t>
      </w:r>
      <w:r>
        <w:rPr>
          <w:rFonts w:hint="eastAsia" w:ascii="宋体" w:hAnsi="宋体"/>
          <w:b/>
          <w:color w:val="auto"/>
          <w:highlight w:val="none"/>
          <w:lang w:val="en-US" w:eastAsia="zh-CN"/>
        </w:rPr>
        <w:t>4</w:t>
      </w:r>
      <w:r>
        <w:rPr>
          <w:rFonts w:hint="eastAsia" w:ascii="宋体" w:hAnsi="宋体"/>
          <w:b/>
          <w:color w:val="auto"/>
          <w:highlight w:val="none"/>
        </w:rPr>
        <w:t>.1</w:t>
      </w:r>
      <w:r>
        <w:rPr>
          <w:rFonts w:hint="eastAsia" w:ascii="宋体" w:hAnsi="宋体"/>
          <w:color w:val="auto"/>
          <w:highlight w:val="none"/>
        </w:rPr>
        <w:t>两个以上的自然人、法人或者其他组织可以组成一个联合体，以一个投标人的身份共同参加政府采购。以联合体形式进行政府采购的，参加联合体的供应商均应当具备招标文件规定的资格条件，并应当向采购人提交联合协议，载明联合体各方承担的工作和义务。联合体各方应当共同与采购人签订采购合同，就采购合同约定的事项对采购人承担连带责任。</w:t>
      </w:r>
    </w:p>
    <w:p w14:paraId="6C6A4063">
      <w:pPr>
        <w:spacing w:line="440" w:lineRule="exact"/>
        <w:rPr>
          <w:rFonts w:ascii="宋体" w:hAnsi="宋体"/>
          <w:color w:val="auto"/>
          <w:highlight w:val="none"/>
        </w:rPr>
      </w:pPr>
      <w:r>
        <w:rPr>
          <w:rFonts w:hint="eastAsia" w:ascii="宋体" w:hAnsi="宋体"/>
          <w:b/>
          <w:color w:val="auto"/>
          <w:highlight w:val="none"/>
        </w:rPr>
        <w:t>3</w:t>
      </w:r>
      <w:r>
        <w:rPr>
          <w:rFonts w:hint="eastAsia" w:ascii="宋体" w:hAnsi="宋体"/>
          <w:b/>
          <w:color w:val="auto"/>
          <w:highlight w:val="none"/>
          <w:lang w:val="en-US" w:eastAsia="zh-CN"/>
        </w:rPr>
        <w:t>4</w:t>
      </w:r>
      <w:r>
        <w:rPr>
          <w:rFonts w:hint="eastAsia" w:ascii="宋体" w:hAnsi="宋体"/>
          <w:b/>
          <w:color w:val="auto"/>
          <w:highlight w:val="none"/>
        </w:rPr>
        <w:t>.2</w:t>
      </w:r>
      <w:r>
        <w:rPr>
          <w:rFonts w:hint="eastAsia" w:ascii="宋体" w:hAnsi="宋体"/>
          <w:color w:val="auto"/>
          <w:highlight w:val="none"/>
        </w:rPr>
        <w:t>联合体中有同类资质的投标人按照联合体分工承担相同工作的，按照资质等级较低的投标人认定资质等级。</w:t>
      </w:r>
    </w:p>
    <w:p w14:paraId="52F36B8B">
      <w:pPr>
        <w:spacing w:line="440" w:lineRule="exact"/>
        <w:rPr>
          <w:rFonts w:ascii="宋体" w:hAnsi="宋体"/>
          <w:color w:val="auto"/>
          <w:highlight w:val="none"/>
        </w:rPr>
      </w:pPr>
      <w:r>
        <w:rPr>
          <w:rFonts w:hint="eastAsia" w:ascii="宋体" w:hAnsi="宋体"/>
          <w:b/>
          <w:color w:val="auto"/>
          <w:highlight w:val="none"/>
        </w:rPr>
        <w:t>3</w:t>
      </w:r>
      <w:r>
        <w:rPr>
          <w:rFonts w:hint="eastAsia" w:ascii="宋体" w:hAnsi="宋体"/>
          <w:b/>
          <w:color w:val="auto"/>
          <w:highlight w:val="none"/>
          <w:lang w:val="en-US" w:eastAsia="zh-CN"/>
        </w:rPr>
        <w:t>4</w:t>
      </w:r>
      <w:r>
        <w:rPr>
          <w:rFonts w:hint="eastAsia" w:ascii="宋体" w:hAnsi="宋体"/>
          <w:b/>
          <w:color w:val="auto"/>
          <w:highlight w:val="none"/>
        </w:rPr>
        <w:t>.3</w:t>
      </w:r>
      <w:r>
        <w:rPr>
          <w:rFonts w:hint="eastAsia" w:ascii="宋体" w:hAnsi="宋体"/>
          <w:color w:val="auto"/>
          <w:highlight w:val="none"/>
        </w:rPr>
        <w:t>以联合体形式参加政府采购活动的，联合体各方不得再单独参加或者与其他投标人另外组成联合体参加同一标项号的政府采购活动。</w:t>
      </w:r>
    </w:p>
    <w:p w14:paraId="76D89B3C">
      <w:pPr>
        <w:spacing w:line="440" w:lineRule="exact"/>
        <w:rPr>
          <w:rFonts w:ascii="宋体" w:hAnsi="宋体"/>
          <w:color w:val="auto"/>
          <w:highlight w:val="none"/>
        </w:rPr>
      </w:pPr>
      <w:r>
        <w:rPr>
          <w:rFonts w:hint="eastAsia" w:ascii="宋体" w:hAnsi="宋体"/>
          <w:b/>
          <w:bCs/>
          <w:color w:val="auto"/>
          <w:highlight w:val="none"/>
        </w:rPr>
        <w:t>3</w:t>
      </w:r>
      <w:r>
        <w:rPr>
          <w:rFonts w:hint="eastAsia" w:ascii="宋体" w:hAnsi="宋体"/>
          <w:b/>
          <w:bCs/>
          <w:color w:val="auto"/>
          <w:highlight w:val="none"/>
          <w:lang w:val="en-US" w:eastAsia="zh-CN"/>
        </w:rPr>
        <w:t>4</w:t>
      </w:r>
      <w:r>
        <w:rPr>
          <w:rFonts w:hint="eastAsia" w:ascii="宋体" w:hAnsi="宋体"/>
          <w:b/>
          <w:bCs/>
          <w:color w:val="auto"/>
          <w:highlight w:val="none"/>
        </w:rPr>
        <w:t>.4</w:t>
      </w:r>
      <w:r>
        <w:rPr>
          <w:rFonts w:hint="eastAsia" w:ascii="宋体" w:hAnsi="宋体"/>
          <w:color w:val="auto"/>
          <w:highlight w:val="none"/>
        </w:rPr>
        <w:t>联合体协议中仅约定由联合体主办单位或成员单位中某一方与采购人签订合同的，或联合体协议中仅约定由联合体主办单位或成员单位中某一方就采购合同约定的事项对采购人承担责任的，视为联合体协议不成立，该联合体的投标文件将被作无效处理。</w:t>
      </w:r>
    </w:p>
    <w:bookmarkEnd w:id="63"/>
    <w:bookmarkEnd w:id="64"/>
    <w:bookmarkEnd w:id="65"/>
    <w:bookmarkEnd w:id="66"/>
    <w:bookmarkEnd w:id="67"/>
    <w:bookmarkEnd w:id="68"/>
    <w:bookmarkEnd w:id="69"/>
    <w:bookmarkEnd w:id="70"/>
    <w:p w14:paraId="42AA867E">
      <w:pPr>
        <w:spacing w:line="440" w:lineRule="exact"/>
        <w:ind w:firstLine="110" w:firstLineChars="50"/>
        <w:rPr>
          <w:rFonts w:ascii="宋体"/>
          <w:color w:val="auto"/>
          <w:sz w:val="22"/>
          <w:szCs w:val="22"/>
          <w:highlight w:val="none"/>
        </w:rPr>
        <w:sectPr>
          <w:pgSz w:w="11907" w:h="16840"/>
          <w:pgMar w:top="1111" w:right="1701" w:bottom="1428" w:left="1701" w:header="720" w:footer="720" w:gutter="0"/>
          <w:pgBorders>
            <w:top w:val="none" w:sz="0" w:space="0"/>
            <w:left w:val="none" w:sz="0" w:space="0"/>
            <w:bottom w:val="none" w:sz="0" w:space="0"/>
            <w:right w:val="none" w:sz="0" w:space="0"/>
          </w:pgBorders>
          <w:pgNumType w:fmt="decimal"/>
          <w:cols w:space="720" w:num="1"/>
          <w:docGrid w:type="linesAndChars" w:linePitch="286" w:charSpace="0"/>
        </w:sectPr>
      </w:pPr>
    </w:p>
    <w:p w14:paraId="7C43DC84">
      <w:pPr>
        <w:pStyle w:val="3"/>
        <w:spacing w:beforeLines="0" w:afterLines="0" w:line="360" w:lineRule="auto"/>
        <w:rPr>
          <w:rFonts w:ascii="宋体"/>
          <w:color w:val="auto"/>
          <w:sz w:val="32"/>
          <w:szCs w:val="32"/>
          <w:highlight w:val="none"/>
        </w:rPr>
      </w:pPr>
      <w:bookmarkStart w:id="115" w:name="_Toc141797685"/>
      <w:bookmarkStart w:id="116" w:name="_Toc316649302"/>
      <w:bookmarkStart w:id="117" w:name="_Toc141797684"/>
      <w:r>
        <w:rPr>
          <w:rFonts w:hint="eastAsia" w:ascii="宋体" w:hAnsi="宋体" w:cs="宋体"/>
          <w:color w:val="auto"/>
          <w:sz w:val="32"/>
          <w:szCs w:val="32"/>
          <w:highlight w:val="none"/>
        </w:rPr>
        <w:t>第</w:t>
      </w:r>
      <w:r>
        <w:rPr>
          <w:rFonts w:hint="eastAsia" w:ascii="宋体" w:hAnsi="宋体" w:cs="宋体"/>
          <w:color w:val="auto"/>
          <w:sz w:val="32"/>
          <w:szCs w:val="32"/>
          <w:highlight w:val="none"/>
          <w:lang w:val="en-US" w:eastAsia="zh-CN"/>
        </w:rPr>
        <w:t>五</w:t>
      </w:r>
      <w:r>
        <w:rPr>
          <w:rFonts w:hint="eastAsia" w:ascii="宋体" w:hAnsi="宋体" w:cs="宋体"/>
          <w:color w:val="auto"/>
          <w:sz w:val="32"/>
          <w:szCs w:val="32"/>
          <w:highlight w:val="none"/>
        </w:rPr>
        <w:t>部分评标办法</w:t>
      </w:r>
      <w:bookmarkEnd w:id="115"/>
    </w:p>
    <w:p w14:paraId="1D3E5A9C">
      <w:pPr>
        <w:rPr>
          <w:color w:val="auto"/>
          <w:highlight w:val="none"/>
        </w:rPr>
      </w:pPr>
    </w:p>
    <w:p w14:paraId="4D54E25C">
      <w:pPr>
        <w:keepNext w:val="0"/>
        <w:keepLines w:val="0"/>
        <w:pageBreakBefore w:val="0"/>
        <w:tabs>
          <w:tab w:val="left" w:pos="0"/>
          <w:tab w:val="left" w:pos="723"/>
        </w:tabs>
        <w:kinsoku/>
        <w:wordWrap/>
        <w:overflowPunct/>
        <w:topLinePunct w:val="0"/>
        <w:autoSpaceDE/>
        <w:autoSpaceDN/>
        <w:bidi w:val="0"/>
        <w:adjustRightInd/>
        <w:snapToGrid/>
        <w:spacing w:line="360" w:lineRule="auto"/>
        <w:textAlignment w:val="auto"/>
        <w:rPr>
          <w:rFonts w:ascii="宋体"/>
          <w:b/>
          <w:bCs/>
          <w:color w:val="auto"/>
          <w:highlight w:val="none"/>
        </w:rPr>
      </w:pPr>
      <w:r>
        <w:rPr>
          <w:rFonts w:hint="eastAsia" w:ascii="宋体" w:hAnsi="宋体" w:cs="宋体"/>
          <w:b/>
          <w:bCs/>
          <w:color w:val="auto"/>
          <w:highlight w:val="none"/>
        </w:rPr>
        <w:t>一、总则：</w:t>
      </w:r>
    </w:p>
    <w:p w14:paraId="3B4DB239">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asciiTheme="majorEastAsia" w:hAnsiTheme="majorEastAsia" w:eastAsiaTheme="majorEastAsia"/>
          <w:color w:val="auto"/>
          <w:highlight w:val="none"/>
        </w:rPr>
      </w:pPr>
      <w:r>
        <w:rPr>
          <w:rFonts w:cs="宋体" w:asciiTheme="majorEastAsia" w:hAnsiTheme="majorEastAsia" w:eastAsiaTheme="majorEastAsia"/>
          <w:color w:val="auto"/>
          <w:highlight w:val="none"/>
        </w:rPr>
        <w:t>1</w:t>
      </w:r>
      <w:r>
        <w:rPr>
          <w:rFonts w:hint="eastAsia" w:cs="宋体" w:asciiTheme="majorEastAsia" w:hAnsiTheme="majorEastAsia" w:eastAsiaTheme="majorEastAsia"/>
          <w:color w:val="auto"/>
          <w:highlight w:val="none"/>
        </w:rPr>
        <w:t>、本办法严格遵照《中华人民共和国政府采购法》《中华人民共和国政府采购法实施条例》、《政府采购货物和服务招标投标管理办法》（</w:t>
      </w:r>
      <w:r>
        <w:rPr>
          <w:rFonts w:cs="宋体" w:asciiTheme="majorEastAsia" w:hAnsiTheme="majorEastAsia" w:eastAsiaTheme="majorEastAsia"/>
          <w:color w:val="auto"/>
          <w:highlight w:val="none"/>
        </w:rPr>
        <w:t>87</w:t>
      </w:r>
      <w:r>
        <w:rPr>
          <w:rFonts w:hint="eastAsia" w:cs="宋体" w:asciiTheme="majorEastAsia" w:hAnsiTheme="majorEastAsia" w:eastAsiaTheme="majorEastAsia"/>
          <w:color w:val="auto"/>
          <w:highlight w:val="none"/>
        </w:rPr>
        <w:t>号令），结合项目所在地有关政府采购的规定和项目的实际情况制定。本评标标准是对“投标人须知”相关条款的具体表述或补充，如有矛盾，应以本办法为准。</w:t>
      </w:r>
    </w:p>
    <w:p w14:paraId="0D59B256">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asciiTheme="majorEastAsia" w:hAnsiTheme="majorEastAsia" w:eastAsiaTheme="majorEastAsia"/>
          <w:color w:val="auto"/>
          <w:highlight w:val="none"/>
        </w:rPr>
      </w:pPr>
      <w:r>
        <w:rPr>
          <w:rFonts w:cs="宋体" w:asciiTheme="majorEastAsia" w:hAnsiTheme="majorEastAsia" w:eastAsiaTheme="majorEastAsia"/>
          <w:color w:val="auto"/>
          <w:highlight w:val="none"/>
        </w:rPr>
        <w:t>2</w:t>
      </w:r>
      <w:r>
        <w:rPr>
          <w:rFonts w:hint="eastAsia" w:cs="宋体" w:asciiTheme="majorEastAsia" w:hAnsiTheme="majorEastAsia" w:eastAsiaTheme="majorEastAsia"/>
          <w:color w:val="auto"/>
          <w:highlight w:val="none"/>
        </w:rPr>
        <w:t>、本项目评标采用综合评分法。</w:t>
      </w:r>
    </w:p>
    <w:p w14:paraId="32375017">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highlight w:val="none"/>
        </w:rPr>
      </w:pPr>
      <w:r>
        <w:rPr>
          <w:rFonts w:hint="eastAsia" w:ascii="宋体" w:hAnsi="宋体" w:cs="宋体"/>
          <w:color w:val="auto"/>
          <w:highlight w:val="none"/>
        </w:rPr>
        <w:t>3、本次采购为</w:t>
      </w:r>
      <w:r>
        <w:rPr>
          <w:rFonts w:hint="eastAsia" w:ascii="宋体" w:hAnsi="宋体" w:cs="宋体"/>
          <w:color w:val="auto"/>
          <w:highlight w:val="none"/>
          <w:lang w:val="en-US" w:eastAsia="zh-CN"/>
        </w:rPr>
        <w:t>非</w:t>
      </w:r>
      <w:r>
        <w:rPr>
          <w:rFonts w:hint="eastAsia" w:ascii="宋体" w:hAnsi="宋体" w:cs="宋体"/>
          <w:color w:val="auto"/>
          <w:highlight w:val="none"/>
        </w:rPr>
        <w:t>专门面向中小企业。</w:t>
      </w:r>
    </w:p>
    <w:p w14:paraId="5501FD5E">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highlight w:val="none"/>
        </w:rPr>
      </w:pPr>
      <w:r>
        <w:rPr>
          <w:rFonts w:hint="eastAsia" w:ascii="宋体" w:hAnsi="宋体" w:cs="宋体"/>
          <w:color w:val="auto"/>
          <w:highlight w:val="none"/>
          <w:lang w:val="en-US" w:eastAsia="zh-CN"/>
        </w:rPr>
        <w:t>4、</w:t>
      </w:r>
      <w:r>
        <w:rPr>
          <w:rFonts w:hint="eastAsia" w:ascii="宋体" w:hAnsi="宋体" w:cs="宋体"/>
          <w:color w:val="auto"/>
          <w:highlight w:val="none"/>
        </w:rPr>
        <w:t>本项目将对节能产品、环境标志产品给予政策性因素技术加分，投标产品如属于节能产品、环境标志产品的，供应商须提供由国家确定的认证机构出具的、处于有效期之内的节能产品、环境标志产品认证证书，未按要求提供认证证书或认证证书与中国政府采购网（www.ccgp.gov.cn）节能产品、环境标志产品查询结果不相符的评标委员会将不予认可，不得享受技术加分。</w:t>
      </w:r>
    </w:p>
    <w:p w14:paraId="1874FF9F">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highlight w:val="none"/>
        </w:rPr>
      </w:pPr>
      <w:r>
        <w:rPr>
          <w:rFonts w:hint="eastAsia" w:ascii="宋体" w:hAnsi="宋体" w:cs="宋体"/>
          <w:color w:val="auto"/>
          <w:highlight w:val="none"/>
          <w:lang w:val="en-US" w:eastAsia="zh-CN"/>
        </w:rPr>
        <w:t>5、</w:t>
      </w:r>
      <w:r>
        <w:rPr>
          <w:rFonts w:hint="eastAsia" w:ascii="宋体" w:hAnsi="宋体" w:cs="宋体"/>
          <w:color w:val="auto"/>
          <w:highlight w:val="none"/>
        </w:rPr>
        <w:t>本项目落实《国务院办公厅关于在政府采购中实施本国产品标准及相关政策的通知》（国办发〔2025〕34号），供应商所投标产品为本国产品的，需提供符合国办发〔2025〕34号要求的《关于符合本国产品标准的声明函》（以下简称《声明函》）或财政部会同有关部门规定的有关证明文件。评标委员会（评审小组）将在符合性审查阶段对供应商所出具的《声明函》的完整性、准确性进行审查，完整性审查包括审查《声明函》的格式是否符合国办发〔2025〕34号样式要求、需要供应商填写的地方是否填写完整等；准确性审查包括审查填写的内容是否准确、是否一致等；评审中发现《声明函》内容含义不明确、同类事项与投标（响应）文件表述不一致或者有明显文字错误等情况的，应当以书面形式要求供应商作出必要的澄清、说明或者补正。经澄清、说明或者补正的《声明函》仍然不符合34号文规定要求的，供应商提供的相关产品视为不符合本国产品标准。</w:t>
      </w:r>
    </w:p>
    <w:p w14:paraId="03AE0B35">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highlight w:val="none"/>
        </w:rPr>
      </w:pPr>
      <w:r>
        <w:rPr>
          <w:rFonts w:hint="eastAsia" w:ascii="宋体" w:hAnsi="宋体" w:cs="宋体"/>
          <w:color w:val="auto"/>
          <w:highlight w:val="none"/>
        </w:rPr>
        <w:t>政府采购活动中既有本国产品又有非本国产品参与竞争的，依法对本国产品给予价格评审优惠，对本国产品的报价给予20%的价格扣除，用扣除后的价格参与评审。</w:t>
      </w:r>
    </w:p>
    <w:p w14:paraId="676D960F">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highlight w:val="none"/>
        </w:rPr>
      </w:pPr>
      <w:r>
        <w:rPr>
          <w:rFonts w:hint="eastAsia" w:ascii="宋体" w:hAnsi="宋体" w:cs="宋体"/>
          <w:color w:val="auto"/>
          <w:highlight w:val="none"/>
        </w:rPr>
        <w:t>当采购项目或者采购包中含有多种产品，供应商为该采购项目或者采购包提供的符合本国产品标准的产品成本之和占该供应商提供的全部产品成本之和的比例达到80%以上（含）时，依法对该供应商提供的全部产品给予价格评审优惠，即对该供应商提供的全部产品的总报价给予20%的价格扣除，用扣除后的价格参与评审。</w:t>
      </w:r>
    </w:p>
    <w:p w14:paraId="40A59FD9">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highlight w:val="none"/>
        </w:rPr>
      </w:pPr>
      <w:r>
        <w:rPr>
          <w:rFonts w:hint="eastAsia" w:ascii="宋体" w:hAnsi="宋体" w:cs="宋体"/>
          <w:color w:val="auto"/>
          <w:highlight w:val="none"/>
        </w:rPr>
        <w:t>价格扣除只用于评审过程，如中标（成交），中标（成交）价格仍按照其经评审的投标价格进行公示。</w:t>
      </w:r>
    </w:p>
    <w:p w14:paraId="2484B466">
      <w:pPr>
        <w:keepNext w:val="0"/>
        <w:keepLines w:val="0"/>
        <w:pageBreakBefore w:val="0"/>
        <w:widowControl/>
        <w:tabs>
          <w:tab w:val="left" w:pos="0"/>
          <w:tab w:val="left" w:pos="723"/>
        </w:tabs>
        <w:kinsoku/>
        <w:wordWrap/>
        <w:overflowPunct/>
        <w:topLinePunct w:val="0"/>
        <w:autoSpaceDE/>
        <w:autoSpaceDN/>
        <w:bidi w:val="0"/>
        <w:adjustRightInd/>
        <w:snapToGrid/>
        <w:spacing w:line="360" w:lineRule="auto"/>
        <w:jc w:val="left"/>
        <w:textAlignment w:val="auto"/>
        <w:rPr>
          <w:rFonts w:ascii="宋体" w:hAnsi="宋体" w:cs="宋体"/>
          <w:b/>
          <w:bCs/>
          <w:color w:val="auto"/>
          <w:highlight w:val="none"/>
        </w:rPr>
      </w:pPr>
      <w:r>
        <w:rPr>
          <w:rFonts w:hint="eastAsia" w:ascii="宋体" w:hAnsi="宋体" w:cs="宋体"/>
          <w:b/>
          <w:bCs/>
          <w:color w:val="auto"/>
          <w:highlight w:val="none"/>
        </w:rPr>
        <w:t>二、评标组织</w:t>
      </w:r>
    </w:p>
    <w:p w14:paraId="7D7E980F">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ascii="宋体"/>
          <w:color w:val="auto"/>
          <w:highlight w:val="none"/>
        </w:rPr>
      </w:pPr>
      <w:r>
        <w:rPr>
          <w:rFonts w:hint="eastAsia" w:ascii="宋体" w:hAnsi="宋体" w:cs="宋体"/>
          <w:color w:val="auto"/>
          <w:highlight w:val="none"/>
        </w:rPr>
        <w:t>评标委员会：采购人和采购代理机构根据采购项目的内容和特点，按国家相关规定组建评标委员会。评标委员会由采购人代表、技术、经济方面专家等人员组成。</w:t>
      </w:r>
    </w:p>
    <w:p w14:paraId="2A203EA2">
      <w:pPr>
        <w:keepNext w:val="0"/>
        <w:keepLines w:val="0"/>
        <w:pageBreakBefore w:val="0"/>
        <w:widowControl/>
        <w:tabs>
          <w:tab w:val="left" w:pos="0"/>
          <w:tab w:val="left" w:pos="723"/>
        </w:tabs>
        <w:kinsoku/>
        <w:wordWrap/>
        <w:overflowPunct/>
        <w:topLinePunct w:val="0"/>
        <w:autoSpaceDE/>
        <w:autoSpaceDN/>
        <w:bidi w:val="0"/>
        <w:adjustRightInd/>
        <w:snapToGrid/>
        <w:spacing w:line="360" w:lineRule="auto"/>
        <w:jc w:val="left"/>
        <w:textAlignment w:val="auto"/>
        <w:rPr>
          <w:rFonts w:ascii="宋体"/>
          <w:b/>
          <w:bCs/>
          <w:color w:val="auto"/>
          <w:highlight w:val="none"/>
        </w:rPr>
      </w:pPr>
      <w:r>
        <w:rPr>
          <w:rFonts w:hint="eastAsia" w:ascii="宋体" w:hAnsi="宋体" w:cs="宋体"/>
          <w:b/>
          <w:bCs/>
          <w:color w:val="auto"/>
          <w:highlight w:val="none"/>
        </w:rPr>
        <w:t>三、评标程序</w:t>
      </w:r>
    </w:p>
    <w:p w14:paraId="50449A34">
      <w:pPr>
        <w:keepNext w:val="0"/>
        <w:keepLines w:val="0"/>
        <w:pageBreakBefore w:val="0"/>
        <w:kinsoku/>
        <w:wordWrap/>
        <w:overflowPunct/>
        <w:topLinePunct w:val="0"/>
        <w:autoSpaceDE/>
        <w:autoSpaceDN/>
        <w:bidi w:val="0"/>
        <w:adjustRightInd/>
        <w:snapToGrid/>
        <w:spacing w:line="360" w:lineRule="auto"/>
        <w:textAlignment w:val="auto"/>
        <w:rPr>
          <w:rFonts w:ascii="宋体" w:hAnsi="宋体"/>
          <w:color w:val="auto"/>
          <w:highlight w:val="none"/>
        </w:rPr>
      </w:pPr>
      <w:r>
        <w:rPr>
          <w:rFonts w:hint="eastAsia" w:ascii="宋体" w:hAnsi="宋体"/>
          <w:color w:val="auto"/>
          <w:highlight w:val="none"/>
        </w:rPr>
        <w:t>1．资格审查：由采购人或代理机构对投标人的资格进行审查。在资格审查时，如发现有不满足下列情形之一的，将被视为无效投标文件。</w:t>
      </w:r>
    </w:p>
    <w:tbl>
      <w:tblPr>
        <w:tblStyle w:val="3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3"/>
        <w:gridCol w:w="7192"/>
      </w:tblGrid>
      <w:tr w14:paraId="7385D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1523" w:type="dxa"/>
            <w:vAlign w:val="center"/>
          </w:tcPr>
          <w:p w14:paraId="2DA73DDB">
            <w:pPr>
              <w:keepNext w:val="0"/>
              <w:keepLines w:val="0"/>
              <w:pageBreakBefore w:val="0"/>
              <w:kinsoku/>
              <w:wordWrap/>
              <w:overflowPunct/>
              <w:topLinePunct w:val="0"/>
              <w:autoSpaceDE/>
              <w:autoSpaceDN/>
              <w:bidi w:val="0"/>
              <w:adjustRightInd/>
              <w:snapToGrid/>
              <w:spacing w:line="380" w:lineRule="exact"/>
              <w:jc w:val="center"/>
              <w:textAlignment w:val="auto"/>
              <w:rPr>
                <w:rFonts w:ascii="宋体" w:hAnsi="宋体" w:cs="宋体"/>
                <w:b/>
                <w:color w:val="auto"/>
                <w:highlight w:val="none"/>
              </w:rPr>
            </w:pPr>
            <w:r>
              <w:rPr>
                <w:rFonts w:hint="eastAsia" w:ascii="宋体" w:hAnsi="宋体" w:cs="宋体"/>
                <w:b/>
                <w:color w:val="auto"/>
                <w:highlight w:val="none"/>
              </w:rPr>
              <w:t>审查类别</w:t>
            </w:r>
          </w:p>
        </w:tc>
        <w:tc>
          <w:tcPr>
            <w:tcW w:w="7192" w:type="dxa"/>
            <w:vAlign w:val="center"/>
          </w:tcPr>
          <w:p w14:paraId="49867F90">
            <w:pPr>
              <w:keepNext w:val="0"/>
              <w:keepLines w:val="0"/>
              <w:pageBreakBefore w:val="0"/>
              <w:kinsoku/>
              <w:wordWrap/>
              <w:overflowPunct/>
              <w:topLinePunct w:val="0"/>
              <w:autoSpaceDE/>
              <w:autoSpaceDN/>
              <w:bidi w:val="0"/>
              <w:adjustRightInd/>
              <w:snapToGrid/>
              <w:spacing w:line="380" w:lineRule="exact"/>
              <w:jc w:val="center"/>
              <w:textAlignment w:val="auto"/>
              <w:rPr>
                <w:rFonts w:ascii="宋体" w:hAnsi="宋体" w:cs="宋体"/>
                <w:b/>
                <w:color w:val="auto"/>
                <w:highlight w:val="none"/>
              </w:rPr>
            </w:pPr>
            <w:r>
              <w:rPr>
                <w:rFonts w:hint="eastAsia" w:ascii="宋体" w:hAnsi="宋体" w:cs="宋体"/>
                <w:b/>
                <w:color w:val="auto"/>
                <w:highlight w:val="none"/>
              </w:rPr>
              <w:t>审查内容</w:t>
            </w:r>
          </w:p>
        </w:tc>
      </w:tr>
      <w:tr w14:paraId="0C515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23" w:type="dxa"/>
            <w:vMerge w:val="restart"/>
            <w:vAlign w:val="center"/>
          </w:tcPr>
          <w:p w14:paraId="37D85EFD">
            <w:pPr>
              <w:keepNext w:val="0"/>
              <w:keepLines w:val="0"/>
              <w:pageBreakBefore w:val="0"/>
              <w:kinsoku/>
              <w:wordWrap/>
              <w:overflowPunct/>
              <w:topLinePunct w:val="0"/>
              <w:autoSpaceDE/>
              <w:autoSpaceDN/>
              <w:bidi w:val="0"/>
              <w:adjustRightInd/>
              <w:snapToGrid/>
              <w:spacing w:line="380" w:lineRule="exact"/>
              <w:jc w:val="center"/>
              <w:textAlignment w:val="auto"/>
              <w:rPr>
                <w:rFonts w:ascii="宋体" w:hAnsi="宋体" w:cs="宋体"/>
                <w:color w:val="auto"/>
                <w:highlight w:val="none"/>
              </w:rPr>
            </w:pPr>
            <w:r>
              <w:rPr>
                <w:rFonts w:hint="eastAsia" w:ascii="宋体" w:hAnsi="宋体" w:cs="宋体"/>
                <w:color w:val="auto"/>
                <w:highlight w:val="none"/>
              </w:rPr>
              <w:t>资格条件审查</w:t>
            </w:r>
          </w:p>
        </w:tc>
        <w:tc>
          <w:tcPr>
            <w:tcW w:w="7192" w:type="dxa"/>
          </w:tcPr>
          <w:p w14:paraId="4D7E2921">
            <w:pPr>
              <w:keepNext w:val="0"/>
              <w:keepLines w:val="0"/>
              <w:pageBreakBefore w:val="0"/>
              <w:widowControl/>
              <w:numPr>
                <w:ilvl w:val="0"/>
                <w:numId w:val="5"/>
              </w:numPr>
              <w:kinsoku/>
              <w:wordWrap/>
              <w:overflowPunct/>
              <w:topLinePunct w:val="0"/>
              <w:autoSpaceDE/>
              <w:autoSpaceDN/>
              <w:bidi w:val="0"/>
              <w:adjustRightInd/>
              <w:snapToGrid/>
              <w:spacing w:line="380" w:lineRule="exact"/>
              <w:jc w:val="left"/>
              <w:textAlignment w:val="auto"/>
              <w:rPr>
                <w:rFonts w:ascii="宋体" w:hAnsi="宋体" w:cs="宋体"/>
                <w:color w:val="auto"/>
                <w:highlight w:val="none"/>
              </w:rPr>
            </w:pPr>
            <w:r>
              <w:rPr>
                <w:rFonts w:hint="eastAsia" w:ascii="宋体" w:hAnsi="宋体" w:cs="宋体"/>
                <w:color w:val="auto"/>
                <w:highlight w:val="none"/>
              </w:rPr>
              <w:t>满足《中华人民共和国政府采购法》第二十二条规定；未被“信用中国”（www.creditchina.gov.cn)、中国政府采购网（www.ccgp.gov.cn）列入失信被执行人、重大税收违法案件当事人名单、政府采购严重违法失信行为记录名单，提供</w:t>
            </w:r>
            <w:r>
              <w:rPr>
                <w:rFonts w:hint="eastAsia" w:asciiTheme="minorEastAsia" w:hAnsiTheme="minorEastAsia" w:eastAsiaTheme="minorEastAsia"/>
                <w:color w:val="auto"/>
                <w:highlight w:val="none"/>
              </w:rPr>
              <w:t>参加政府采购活动应当具备的一般条件的承诺函。</w:t>
            </w:r>
          </w:p>
        </w:tc>
      </w:tr>
      <w:tr w14:paraId="2DCF4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23" w:type="dxa"/>
            <w:vMerge w:val="continue"/>
            <w:vAlign w:val="center"/>
          </w:tcPr>
          <w:p w14:paraId="1C3779ED">
            <w:pPr>
              <w:keepNext w:val="0"/>
              <w:keepLines w:val="0"/>
              <w:pageBreakBefore w:val="0"/>
              <w:kinsoku/>
              <w:wordWrap/>
              <w:overflowPunct/>
              <w:topLinePunct w:val="0"/>
              <w:autoSpaceDE/>
              <w:autoSpaceDN/>
              <w:bidi w:val="0"/>
              <w:adjustRightInd/>
              <w:snapToGrid/>
              <w:spacing w:line="380" w:lineRule="exact"/>
              <w:jc w:val="center"/>
              <w:textAlignment w:val="auto"/>
              <w:rPr>
                <w:rFonts w:ascii="宋体" w:hAnsi="宋体" w:cs="宋体"/>
                <w:color w:val="auto"/>
                <w:highlight w:val="none"/>
              </w:rPr>
            </w:pPr>
          </w:p>
        </w:tc>
        <w:tc>
          <w:tcPr>
            <w:tcW w:w="7192" w:type="dxa"/>
          </w:tcPr>
          <w:p w14:paraId="3C96909C">
            <w:pPr>
              <w:keepNext w:val="0"/>
              <w:keepLines w:val="0"/>
              <w:pageBreakBefore w:val="0"/>
              <w:widowControl/>
              <w:numPr>
                <w:ilvl w:val="0"/>
                <w:numId w:val="5"/>
              </w:numPr>
              <w:kinsoku/>
              <w:wordWrap/>
              <w:overflowPunct/>
              <w:topLinePunct w:val="0"/>
              <w:autoSpaceDE/>
              <w:autoSpaceDN/>
              <w:bidi w:val="0"/>
              <w:adjustRightInd/>
              <w:snapToGrid/>
              <w:spacing w:line="380" w:lineRule="exact"/>
              <w:jc w:val="left"/>
              <w:textAlignment w:val="auto"/>
              <w:rPr>
                <w:rFonts w:ascii="宋体" w:hAnsi="宋体" w:cs="宋体"/>
                <w:color w:val="auto"/>
                <w:highlight w:val="none"/>
              </w:rPr>
            </w:pPr>
            <w:r>
              <w:rPr>
                <w:rFonts w:hint="eastAsia" w:ascii="宋体" w:hAnsi="宋体" w:cs="宋体"/>
                <w:color w:val="auto"/>
                <w:highlight w:val="none"/>
              </w:rPr>
              <w:t>营业执照副本（或事业法人登记证副本或其他登记证明材料）复印件加盖投标人公章（投标人如果有名称变更的，应提供由行政主管部门出具的变更证明文件复印件加盖投标人公章）</w:t>
            </w:r>
          </w:p>
        </w:tc>
      </w:tr>
      <w:tr w14:paraId="6643F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523" w:type="dxa"/>
            <w:vMerge w:val="continue"/>
          </w:tcPr>
          <w:p w14:paraId="500EE119">
            <w:pPr>
              <w:keepNext w:val="0"/>
              <w:keepLines w:val="0"/>
              <w:pageBreakBefore w:val="0"/>
              <w:kinsoku/>
              <w:wordWrap/>
              <w:overflowPunct/>
              <w:topLinePunct w:val="0"/>
              <w:autoSpaceDE/>
              <w:autoSpaceDN/>
              <w:bidi w:val="0"/>
              <w:adjustRightInd/>
              <w:snapToGrid/>
              <w:spacing w:line="380" w:lineRule="exact"/>
              <w:textAlignment w:val="auto"/>
              <w:rPr>
                <w:rFonts w:ascii="宋体" w:hAnsi="宋体" w:cs="宋体"/>
                <w:color w:val="auto"/>
                <w:highlight w:val="none"/>
              </w:rPr>
            </w:pPr>
          </w:p>
        </w:tc>
        <w:tc>
          <w:tcPr>
            <w:tcW w:w="7192" w:type="dxa"/>
          </w:tcPr>
          <w:p w14:paraId="16F6F2D6">
            <w:pPr>
              <w:keepNext w:val="0"/>
              <w:keepLines w:val="0"/>
              <w:pageBreakBefore w:val="0"/>
              <w:widowControl/>
              <w:numPr>
                <w:ilvl w:val="0"/>
                <w:numId w:val="5"/>
              </w:numPr>
              <w:kinsoku/>
              <w:wordWrap/>
              <w:overflowPunct/>
              <w:topLinePunct w:val="0"/>
              <w:autoSpaceDE/>
              <w:autoSpaceDN/>
              <w:bidi w:val="0"/>
              <w:adjustRightInd/>
              <w:snapToGrid/>
              <w:spacing w:line="380" w:lineRule="exact"/>
              <w:jc w:val="left"/>
              <w:textAlignment w:val="auto"/>
              <w:rPr>
                <w:rFonts w:ascii="宋体" w:hAnsi="宋体" w:cs="宋体"/>
                <w:color w:val="auto"/>
                <w:highlight w:val="none"/>
              </w:rPr>
            </w:pPr>
            <w:r>
              <w:rPr>
                <w:rFonts w:hint="eastAsia" w:ascii="宋体" w:hAnsi="宋体" w:cs="宋体"/>
                <w:color w:val="auto"/>
                <w:highlight w:val="none"/>
              </w:rPr>
              <w:t>落实政府采购政策需满足的资格要求：</w:t>
            </w:r>
            <w:r>
              <w:rPr>
                <w:rFonts w:hint="eastAsia" w:ascii="宋体" w:hAnsi="宋体" w:cs="宋体"/>
                <w:color w:val="auto"/>
                <w:highlight w:val="none"/>
                <w:lang w:val="en-US" w:eastAsia="zh-CN"/>
              </w:rPr>
              <w:t>无</w:t>
            </w:r>
            <w:r>
              <w:rPr>
                <w:rFonts w:hint="eastAsia" w:ascii="宋体" w:hAnsi="宋体" w:cs="宋体"/>
                <w:color w:val="auto"/>
                <w:highlight w:val="none"/>
              </w:rPr>
              <w:t>。</w:t>
            </w:r>
          </w:p>
        </w:tc>
      </w:tr>
      <w:tr w14:paraId="2C8E9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23" w:type="dxa"/>
            <w:vMerge w:val="continue"/>
          </w:tcPr>
          <w:p w14:paraId="4209B67C">
            <w:pPr>
              <w:keepNext w:val="0"/>
              <w:keepLines w:val="0"/>
              <w:pageBreakBefore w:val="0"/>
              <w:kinsoku/>
              <w:wordWrap/>
              <w:overflowPunct/>
              <w:topLinePunct w:val="0"/>
              <w:autoSpaceDE/>
              <w:autoSpaceDN/>
              <w:bidi w:val="0"/>
              <w:adjustRightInd/>
              <w:snapToGrid/>
              <w:spacing w:line="380" w:lineRule="exact"/>
              <w:textAlignment w:val="auto"/>
              <w:rPr>
                <w:rFonts w:ascii="宋体" w:hAnsi="宋体" w:cs="宋体"/>
                <w:color w:val="auto"/>
                <w:highlight w:val="none"/>
              </w:rPr>
            </w:pPr>
          </w:p>
        </w:tc>
        <w:tc>
          <w:tcPr>
            <w:tcW w:w="7192" w:type="dxa"/>
          </w:tcPr>
          <w:p w14:paraId="66D1E96F">
            <w:pPr>
              <w:keepNext w:val="0"/>
              <w:keepLines w:val="0"/>
              <w:pageBreakBefore w:val="0"/>
              <w:kinsoku/>
              <w:wordWrap/>
              <w:overflowPunct/>
              <w:topLinePunct w:val="0"/>
              <w:autoSpaceDE/>
              <w:autoSpaceDN/>
              <w:bidi w:val="0"/>
              <w:adjustRightInd/>
              <w:snapToGrid/>
              <w:spacing w:line="380" w:lineRule="exact"/>
              <w:textAlignment w:val="auto"/>
              <w:rPr>
                <w:rFonts w:ascii="宋体" w:hAnsi="宋体" w:cs="宋体"/>
                <w:color w:val="auto"/>
                <w:highlight w:val="none"/>
              </w:rPr>
            </w:pPr>
            <w:r>
              <w:rPr>
                <w:rFonts w:hint="eastAsia" w:ascii="宋体" w:hAnsi="宋体" w:cs="宋体"/>
                <w:color w:val="auto"/>
                <w:highlight w:val="none"/>
              </w:rPr>
              <w:t>（四）特定资格条件：</w:t>
            </w:r>
            <w:r>
              <w:rPr>
                <w:rFonts w:hint="eastAsia" w:ascii="宋体" w:hAnsi="宋体" w:cs="宋体"/>
                <w:iCs/>
                <w:color w:val="auto"/>
                <w:highlight w:val="none"/>
              </w:rPr>
              <w:t>无</w:t>
            </w:r>
          </w:p>
        </w:tc>
      </w:tr>
    </w:tbl>
    <w:p w14:paraId="05F2AD6A">
      <w:pPr>
        <w:spacing w:line="360" w:lineRule="auto"/>
        <w:rPr>
          <w:rFonts w:ascii="宋体" w:hAnsi="宋体"/>
          <w:color w:val="auto"/>
          <w:highlight w:val="none"/>
        </w:rPr>
      </w:pPr>
    </w:p>
    <w:p w14:paraId="23BC06E7">
      <w:pPr>
        <w:numPr>
          <w:ilvl w:val="0"/>
          <w:numId w:val="6"/>
        </w:numPr>
        <w:spacing w:line="360" w:lineRule="auto"/>
        <w:rPr>
          <w:rFonts w:ascii="宋体" w:hAnsi="宋体" w:cs="宋体"/>
          <w:color w:val="auto"/>
          <w:kern w:val="0"/>
          <w:highlight w:val="none"/>
        </w:rPr>
      </w:pPr>
      <w:r>
        <w:rPr>
          <w:rFonts w:hint="eastAsia" w:ascii="宋体" w:hAnsi="宋体"/>
          <w:color w:val="auto"/>
          <w:highlight w:val="none"/>
        </w:rPr>
        <w:t>符合性检查：</w:t>
      </w:r>
      <w:r>
        <w:rPr>
          <w:rFonts w:hint="eastAsia" w:ascii="宋体" w:hAnsi="宋体" w:cs="宋体"/>
          <w:color w:val="auto"/>
          <w:kern w:val="0"/>
          <w:highlight w:val="none"/>
        </w:rPr>
        <w:t>评标委员会应当对符合资格审查的投标人的投标文件进行符合性审查，以确定其是否满足招标文件的实质性要求。在符合性审查时，如发现有不满足下列情形之一的，将被视为无效投标文件。</w:t>
      </w:r>
    </w:p>
    <w:p w14:paraId="3CC16217">
      <w:pPr>
        <w:pStyle w:val="25"/>
        <w:rPr>
          <w:color w:val="auto"/>
          <w:highlight w:val="none"/>
        </w:rPr>
      </w:pPr>
    </w:p>
    <w:p w14:paraId="6A15A415">
      <w:pPr>
        <w:pStyle w:val="25"/>
        <w:rPr>
          <w:color w:val="auto"/>
          <w:highlight w:val="none"/>
        </w:rPr>
      </w:pPr>
    </w:p>
    <w:tbl>
      <w:tblPr>
        <w:tblStyle w:val="3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7174"/>
      </w:tblGrid>
      <w:tr w14:paraId="4CF0F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blHeader/>
        </w:trPr>
        <w:tc>
          <w:tcPr>
            <w:tcW w:w="1526" w:type="dxa"/>
            <w:vAlign w:val="center"/>
          </w:tcPr>
          <w:p w14:paraId="5377EA24">
            <w:pPr>
              <w:spacing w:line="336" w:lineRule="auto"/>
              <w:jc w:val="center"/>
              <w:rPr>
                <w:rFonts w:ascii="宋体" w:hAnsi="宋体" w:cs="宋体"/>
                <w:b/>
                <w:color w:val="auto"/>
                <w:highlight w:val="none"/>
              </w:rPr>
            </w:pPr>
            <w:r>
              <w:rPr>
                <w:rFonts w:hint="eastAsia" w:ascii="宋体" w:hAnsi="宋体" w:cs="宋体"/>
                <w:b/>
                <w:color w:val="auto"/>
                <w:highlight w:val="none"/>
              </w:rPr>
              <w:t>审查类别</w:t>
            </w:r>
          </w:p>
        </w:tc>
        <w:tc>
          <w:tcPr>
            <w:tcW w:w="7174" w:type="dxa"/>
            <w:vAlign w:val="center"/>
          </w:tcPr>
          <w:p w14:paraId="75282352">
            <w:pPr>
              <w:spacing w:line="336" w:lineRule="auto"/>
              <w:jc w:val="center"/>
              <w:rPr>
                <w:rFonts w:ascii="宋体" w:hAnsi="宋体" w:cs="宋体"/>
                <w:b/>
                <w:color w:val="auto"/>
                <w:highlight w:val="none"/>
              </w:rPr>
            </w:pPr>
            <w:r>
              <w:rPr>
                <w:rFonts w:hint="eastAsia" w:ascii="宋体" w:hAnsi="宋体" w:cs="宋体"/>
                <w:b/>
                <w:color w:val="auto"/>
                <w:highlight w:val="none"/>
              </w:rPr>
              <w:t>审查内容</w:t>
            </w:r>
          </w:p>
        </w:tc>
      </w:tr>
      <w:tr w14:paraId="38371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restart"/>
            <w:vAlign w:val="center"/>
          </w:tcPr>
          <w:p w14:paraId="4E7F3673">
            <w:pPr>
              <w:spacing w:line="336" w:lineRule="auto"/>
              <w:jc w:val="center"/>
              <w:rPr>
                <w:rFonts w:ascii="宋体" w:hAnsi="宋体" w:cs="宋体"/>
                <w:color w:val="auto"/>
                <w:highlight w:val="none"/>
              </w:rPr>
            </w:pPr>
            <w:r>
              <w:rPr>
                <w:rFonts w:hint="eastAsia" w:ascii="宋体" w:hAnsi="宋体" w:cs="宋体"/>
                <w:color w:val="auto"/>
                <w:highlight w:val="none"/>
              </w:rPr>
              <w:t>符合性审查</w:t>
            </w:r>
          </w:p>
          <w:p w14:paraId="6FCE5E3B">
            <w:pPr>
              <w:spacing w:line="336" w:lineRule="auto"/>
              <w:jc w:val="center"/>
              <w:rPr>
                <w:rFonts w:ascii="宋体" w:hAnsi="宋体" w:cs="宋体"/>
                <w:color w:val="auto"/>
                <w:highlight w:val="none"/>
              </w:rPr>
            </w:pPr>
            <w:r>
              <w:rPr>
                <w:rFonts w:hint="eastAsia" w:ascii="宋体" w:hAnsi="宋体" w:cs="宋体"/>
                <w:color w:val="auto"/>
                <w:highlight w:val="none"/>
              </w:rPr>
              <w:t>（商务技术文件）</w:t>
            </w:r>
          </w:p>
        </w:tc>
        <w:tc>
          <w:tcPr>
            <w:tcW w:w="7174" w:type="dxa"/>
            <w:vAlign w:val="center"/>
          </w:tcPr>
          <w:p w14:paraId="18088C39">
            <w:pPr>
              <w:tabs>
                <w:tab w:val="left" w:pos="612"/>
              </w:tabs>
              <w:spacing w:line="336" w:lineRule="auto"/>
              <w:rPr>
                <w:rFonts w:ascii="宋体" w:hAnsi="宋体" w:cs="宋体"/>
                <w:color w:val="auto"/>
                <w:highlight w:val="none"/>
              </w:rPr>
            </w:pPr>
            <w:r>
              <w:rPr>
                <w:rFonts w:hint="eastAsia" w:ascii="宋体" w:hAnsi="宋体" w:cs="宋体"/>
                <w:color w:val="auto"/>
                <w:highlight w:val="none"/>
              </w:rPr>
              <w:t>（一）按照招标文件规定要求签署或盖章；</w:t>
            </w:r>
          </w:p>
        </w:tc>
      </w:tr>
      <w:tr w14:paraId="3E906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vAlign w:val="center"/>
          </w:tcPr>
          <w:p w14:paraId="4081C111">
            <w:pPr>
              <w:spacing w:line="336" w:lineRule="auto"/>
              <w:jc w:val="center"/>
              <w:rPr>
                <w:rFonts w:ascii="宋体" w:hAnsi="宋体" w:cs="宋体"/>
                <w:color w:val="auto"/>
                <w:highlight w:val="none"/>
              </w:rPr>
            </w:pPr>
          </w:p>
        </w:tc>
        <w:tc>
          <w:tcPr>
            <w:tcW w:w="7174" w:type="dxa"/>
            <w:vAlign w:val="center"/>
          </w:tcPr>
          <w:p w14:paraId="10FBD8B5">
            <w:pPr>
              <w:tabs>
                <w:tab w:val="left" w:pos="612"/>
              </w:tabs>
              <w:spacing w:line="336" w:lineRule="auto"/>
              <w:rPr>
                <w:rFonts w:ascii="宋体" w:hAnsi="宋体" w:cs="宋体"/>
                <w:color w:val="auto"/>
                <w:highlight w:val="none"/>
              </w:rPr>
            </w:pPr>
            <w:r>
              <w:rPr>
                <w:rFonts w:hint="eastAsia" w:ascii="宋体" w:hAnsi="宋体" w:cs="宋体"/>
                <w:color w:val="auto"/>
                <w:highlight w:val="none"/>
              </w:rPr>
              <w:t>（二）投标文件有法定代表人签署本人姓名（或印盖本人姓名章），或签署人提供有效的法定代表人授权委托书且授权委托书填写项目齐全的；</w:t>
            </w:r>
          </w:p>
        </w:tc>
      </w:tr>
      <w:tr w14:paraId="69779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vAlign w:val="center"/>
          </w:tcPr>
          <w:p w14:paraId="49BAB724">
            <w:pPr>
              <w:spacing w:line="336" w:lineRule="auto"/>
              <w:jc w:val="center"/>
              <w:rPr>
                <w:rFonts w:ascii="宋体" w:hAnsi="宋体" w:cs="宋体"/>
                <w:color w:val="auto"/>
                <w:highlight w:val="none"/>
              </w:rPr>
            </w:pPr>
          </w:p>
        </w:tc>
        <w:tc>
          <w:tcPr>
            <w:tcW w:w="7174" w:type="dxa"/>
            <w:vAlign w:val="center"/>
          </w:tcPr>
          <w:p w14:paraId="6D25E35F">
            <w:pPr>
              <w:tabs>
                <w:tab w:val="left" w:pos="612"/>
              </w:tabs>
              <w:spacing w:line="336" w:lineRule="auto"/>
              <w:rPr>
                <w:rFonts w:ascii="宋体" w:hAnsi="宋体" w:cs="宋体"/>
                <w:color w:val="auto"/>
                <w:highlight w:val="none"/>
              </w:rPr>
            </w:pPr>
            <w:r>
              <w:rPr>
                <w:rFonts w:hint="eastAsia" w:ascii="宋体" w:hAnsi="宋体" w:cs="宋体"/>
                <w:color w:val="auto"/>
                <w:highlight w:val="none"/>
              </w:rPr>
              <w:t>（三）投标文件项目齐全；</w:t>
            </w:r>
          </w:p>
        </w:tc>
      </w:tr>
      <w:tr w14:paraId="39A8C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vAlign w:val="center"/>
          </w:tcPr>
          <w:p w14:paraId="7ADCAF21">
            <w:pPr>
              <w:spacing w:line="336" w:lineRule="auto"/>
              <w:jc w:val="center"/>
              <w:rPr>
                <w:rFonts w:ascii="宋体" w:hAnsi="宋体" w:cs="宋体"/>
                <w:color w:val="auto"/>
                <w:highlight w:val="none"/>
              </w:rPr>
            </w:pPr>
          </w:p>
        </w:tc>
        <w:tc>
          <w:tcPr>
            <w:tcW w:w="7174" w:type="dxa"/>
            <w:vAlign w:val="center"/>
          </w:tcPr>
          <w:p w14:paraId="0A21E1F7">
            <w:pPr>
              <w:tabs>
                <w:tab w:val="left" w:pos="612"/>
              </w:tabs>
              <w:spacing w:line="336" w:lineRule="auto"/>
              <w:rPr>
                <w:rFonts w:ascii="宋体" w:hAnsi="宋体" w:cs="宋体"/>
                <w:color w:val="auto"/>
                <w:kern w:val="0"/>
                <w:highlight w:val="none"/>
              </w:rPr>
            </w:pPr>
            <w:r>
              <w:rPr>
                <w:rFonts w:hint="eastAsia" w:ascii="宋体" w:hAnsi="宋体" w:cs="宋体"/>
                <w:color w:val="auto"/>
                <w:highlight w:val="none"/>
              </w:rPr>
              <w:t>（四）投标文件标明的响应或偏离与事实相符且无虚假投标的；</w:t>
            </w:r>
          </w:p>
        </w:tc>
      </w:tr>
      <w:tr w14:paraId="1800A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vAlign w:val="center"/>
          </w:tcPr>
          <w:p w14:paraId="1E472B9C">
            <w:pPr>
              <w:spacing w:line="336" w:lineRule="auto"/>
              <w:jc w:val="center"/>
              <w:rPr>
                <w:rFonts w:ascii="宋体" w:hAnsi="宋体" w:cs="宋体"/>
                <w:color w:val="auto"/>
                <w:highlight w:val="none"/>
              </w:rPr>
            </w:pPr>
          </w:p>
        </w:tc>
        <w:tc>
          <w:tcPr>
            <w:tcW w:w="7174" w:type="dxa"/>
            <w:vAlign w:val="center"/>
          </w:tcPr>
          <w:p w14:paraId="0719F7FB">
            <w:pPr>
              <w:tabs>
                <w:tab w:val="left" w:pos="612"/>
              </w:tabs>
              <w:spacing w:line="336" w:lineRule="auto"/>
              <w:rPr>
                <w:rFonts w:ascii="宋体" w:hAnsi="宋体" w:cs="宋体"/>
                <w:color w:val="auto"/>
                <w:highlight w:val="none"/>
              </w:rPr>
            </w:pPr>
            <w:r>
              <w:rPr>
                <w:rFonts w:hint="eastAsia" w:ascii="宋体" w:hAnsi="宋体" w:cs="宋体"/>
                <w:color w:val="auto"/>
                <w:highlight w:val="none"/>
              </w:rPr>
              <w:t>（五）投标文件的实质性内容使用中文表述且意思表述明确，前后无矛盾且使用计量单位符合招标文件要求的；</w:t>
            </w:r>
          </w:p>
        </w:tc>
      </w:tr>
      <w:tr w14:paraId="78209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vAlign w:val="center"/>
          </w:tcPr>
          <w:p w14:paraId="61D8D15B">
            <w:pPr>
              <w:spacing w:line="336" w:lineRule="auto"/>
              <w:jc w:val="center"/>
              <w:rPr>
                <w:rFonts w:ascii="宋体" w:hAnsi="宋体" w:cs="宋体"/>
                <w:color w:val="auto"/>
                <w:highlight w:val="none"/>
              </w:rPr>
            </w:pPr>
          </w:p>
        </w:tc>
        <w:tc>
          <w:tcPr>
            <w:tcW w:w="7174" w:type="dxa"/>
            <w:vAlign w:val="center"/>
          </w:tcPr>
          <w:p w14:paraId="0567CD6D">
            <w:pPr>
              <w:tabs>
                <w:tab w:val="left" w:pos="612"/>
              </w:tabs>
              <w:spacing w:line="336" w:lineRule="auto"/>
              <w:rPr>
                <w:rFonts w:ascii="宋体" w:hAnsi="宋体" w:cs="宋体"/>
                <w:color w:val="auto"/>
                <w:highlight w:val="none"/>
              </w:rPr>
            </w:pPr>
            <w:r>
              <w:rPr>
                <w:rFonts w:hint="eastAsia" w:ascii="宋体" w:hAnsi="宋体" w:cs="宋体"/>
                <w:color w:val="auto"/>
                <w:highlight w:val="none"/>
              </w:rPr>
              <w:t>（六）带“</w:t>
            </w:r>
            <w:r>
              <w:rPr>
                <w:rFonts w:hint="eastAsia" w:ascii="宋体" w:hAnsi="宋体" w:cs="宋体"/>
                <w:color w:val="auto"/>
                <w:highlight w:val="none"/>
                <w:lang w:eastAsia="zh-CN"/>
              </w:rPr>
              <w:t>▲</w:t>
            </w:r>
            <w:r>
              <w:rPr>
                <w:rFonts w:hint="eastAsia" w:ascii="宋体" w:hAnsi="宋体" w:cs="宋体"/>
                <w:color w:val="auto"/>
                <w:highlight w:val="none"/>
              </w:rPr>
              <w:t>”的条款满足招标文件要求、已实质性响应招标文件要求且投标文件无采购人不能接受的附加条件的；</w:t>
            </w:r>
          </w:p>
        </w:tc>
      </w:tr>
      <w:tr w14:paraId="616AD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vAlign w:val="center"/>
          </w:tcPr>
          <w:p w14:paraId="63F7C951">
            <w:pPr>
              <w:spacing w:line="336" w:lineRule="auto"/>
              <w:jc w:val="center"/>
              <w:rPr>
                <w:rFonts w:ascii="宋体" w:hAnsi="宋体" w:cs="宋体"/>
                <w:color w:val="auto"/>
                <w:highlight w:val="none"/>
              </w:rPr>
            </w:pPr>
          </w:p>
        </w:tc>
        <w:tc>
          <w:tcPr>
            <w:tcW w:w="7174" w:type="dxa"/>
            <w:vAlign w:val="center"/>
          </w:tcPr>
          <w:p w14:paraId="4080C386">
            <w:pPr>
              <w:tabs>
                <w:tab w:val="left" w:pos="612"/>
              </w:tabs>
              <w:spacing w:line="336" w:lineRule="auto"/>
              <w:rPr>
                <w:rFonts w:ascii="宋体" w:hAnsi="宋体" w:cs="宋体"/>
                <w:color w:val="auto"/>
                <w:highlight w:val="none"/>
              </w:rPr>
            </w:pPr>
            <w:r>
              <w:rPr>
                <w:rFonts w:hint="eastAsia" w:ascii="宋体" w:hAnsi="宋体" w:cs="宋体"/>
                <w:color w:val="auto"/>
                <w:highlight w:val="none"/>
              </w:rPr>
              <w:t>（七）投标技术方案明确，不存在一个或一个以上备选（替代）投标方案的；</w:t>
            </w:r>
          </w:p>
        </w:tc>
      </w:tr>
      <w:tr w14:paraId="13CEB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26" w:type="dxa"/>
            <w:vMerge w:val="continue"/>
            <w:vAlign w:val="center"/>
          </w:tcPr>
          <w:p w14:paraId="18BC9187">
            <w:pPr>
              <w:spacing w:line="336" w:lineRule="auto"/>
              <w:jc w:val="center"/>
              <w:rPr>
                <w:rFonts w:ascii="宋体" w:hAnsi="宋体" w:cs="宋体"/>
                <w:color w:val="auto"/>
                <w:highlight w:val="none"/>
              </w:rPr>
            </w:pPr>
          </w:p>
        </w:tc>
        <w:tc>
          <w:tcPr>
            <w:tcW w:w="7174" w:type="dxa"/>
            <w:vAlign w:val="center"/>
          </w:tcPr>
          <w:p w14:paraId="14A0E5AB">
            <w:pPr>
              <w:tabs>
                <w:tab w:val="left" w:pos="612"/>
              </w:tabs>
              <w:spacing w:line="336" w:lineRule="auto"/>
              <w:rPr>
                <w:rFonts w:ascii="宋体" w:hAnsi="宋体" w:cs="宋体"/>
                <w:color w:val="auto"/>
                <w:highlight w:val="none"/>
              </w:rPr>
            </w:pPr>
            <w:r>
              <w:rPr>
                <w:rFonts w:hint="eastAsia" w:ascii="宋体" w:hAnsi="宋体" w:cs="宋体"/>
                <w:color w:val="auto"/>
                <w:highlight w:val="none"/>
              </w:rPr>
              <w:t>（八）不存在法律、法规和招标文件规定的其他无效情形；</w:t>
            </w:r>
          </w:p>
        </w:tc>
      </w:tr>
      <w:tr w14:paraId="417E3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vAlign w:val="center"/>
          </w:tcPr>
          <w:p w14:paraId="0CCA25F4">
            <w:pPr>
              <w:spacing w:line="336" w:lineRule="auto"/>
              <w:jc w:val="center"/>
              <w:rPr>
                <w:rFonts w:ascii="宋体" w:hAnsi="宋体" w:cs="宋体"/>
                <w:color w:val="auto"/>
                <w:highlight w:val="none"/>
              </w:rPr>
            </w:pPr>
          </w:p>
        </w:tc>
        <w:tc>
          <w:tcPr>
            <w:tcW w:w="7174" w:type="dxa"/>
            <w:vAlign w:val="center"/>
          </w:tcPr>
          <w:p w14:paraId="1AB755B5">
            <w:pPr>
              <w:tabs>
                <w:tab w:val="left" w:pos="612"/>
              </w:tabs>
              <w:spacing w:line="336" w:lineRule="auto"/>
              <w:rPr>
                <w:rFonts w:ascii="宋体" w:hAnsi="宋体" w:cs="宋体"/>
                <w:color w:val="auto"/>
                <w:highlight w:val="none"/>
              </w:rPr>
            </w:pPr>
            <w:r>
              <w:rPr>
                <w:rFonts w:hint="eastAsia" w:ascii="宋体" w:hAnsi="宋体" w:cs="宋体"/>
                <w:color w:val="auto"/>
                <w:highlight w:val="none"/>
              </w:rPr>
              <w:t>（九）不存在投标文件的有效期不满足招标文件要求情形；</w:t>
            </w:r>
          </w:p>
        </w:tc>
      </w:tr>
      <w:tr w14:paraId="2F9E8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restart"/>
            <w:vAlign w:val="center"/>
          </w:tcPr>
          <w:p w14:paraId="6B8FD6CB">
            <w:pPr>
              <w:spacing w:line="336" w:lineRule="auto"/>
              <w:jc w:val="center"/>
              <w:rPr>
                <w:rFonts w:ascii="宋体" w:hAnsi="宋体" w:cs="宋体"/>
                <w:color w:val="auto"/>
                <w:highlight w:val="none"/>
              </w:rPr>
            </w:pPr>
            <w:r>
              <w:rPr>
                <w:rFonts w:hint="eastAsia" w:ascii="宋体" w:hAnsi="宋体" w:cs="宋体"/>
                <w:color w:val="auto"/>
                <w:highlight w:val="none"/>
              </w:rPr>
              <w:t>符合性审查</w:t>
            </w:r>
          </w:p>
          <w:p w14:paraId="0829CC8B">
            <w:pPr>
              <w:spacing w:line="336" w:lineRule="auto"/>
              <w:rPr>
                <w:rFonts w:ascii="宋体" w:hAnsi="宋体" w:cs="宋体"/>
                <w:color w:val="auto"/>
                <w:highlight w:val="none"/>
              </w:rPr>
            </w:pPr>
            <w:r>
              <w:rPr>
                <w:rFonts w:hint="eastAsia" w:ascii="宋体" w:hAnsi="宋体" w:cs="宋体"/>
                <w:color w:val="auto"/>
                <w:highlight w:val="none"/>
              </w:rPr>
              <w:t>（报价文件）</w:t>
            </w:r>
          </w:p>
        </w:tc>
        <w:tc>
          <w:tcPr>
            <w:tcW w:w="7174" w:type="dxa"/>
            <w:vAlign w:val="center"/>
          </w:tcPr>
          <w:p w14:paraId="3E652E40">
            <w:pPr>
              <w:spacing w:line="336" w:lineRule="auto"/>
              <w:rPr>
                <w:rFonts w:ascii="宋体" w:hAnsi="宋体" w:cs="宋体"/>
                <w:color w:val="auto"/>
                <w:highlight w:val="none"/>
              </w:rPr>
            </w:pPr>
            <w:r>
              <w:rPr>
                <w:rFonts w:hint="eastAsia" w:ascii="宋体" w:hAnsi="宋体" w:cs="宋体"/>
                <w:color w:val="auto"/>
                <w:highlight w:val="none"/>
              </w:rPr>
              <w:t>（一）按照招标文件规定要求签署或盖章；</w:t>
            </w:r>
          </w:p>
        </w:tc>
      </w:tr>
      <w:tr w14:paraId="6BB2A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vAlign w:val="center"/>
          </w:tcPr>
          <w:p w14:paraId="59E70366">
            <w:pPr>
              <w:spacing w:line="336" w:lineRule="auto"/>
              <w:jc w:val="center"/>
              <w:rPr>
                <w:rFonts w:ascii="宋体" w:hAnsi="宋体" w:cs="宋体"/>
                <w:color w:val="auto"/>
                <w:highlight w:val="none"/>
              </w:rPr>
            </w:pPr>
          </w:p>
        </w:tc>
        <w:tc>
          <w:tcPr>
            <w:tcW w:w="7174" w:type="dxa"/>
            <w:vAlign w:val="center"/>
          </w:tcPr>
          <w:p w14:paraId="3A5932CF">
            <w:pPr>
              <w:tabs>
                <w:tab w:val="left" w:pos="612"/>
              </w:tabs>
              <w:spacing w:line="336" w:lineRule="auto"/>
              <w:rPr>
                <w:rFonts w:ascii="宋体" w:hAnsi="宋体" w:cs="宋体"/>
                <w:color w:val="auto"/>
                <w:highlight w:val="none"/>
              </w:rPr>
            </w:pPr>
            <w:r>
              <w:rPr>
                <w:rFonts w:hint="eastAsia" w:ascii="宋体" w:hAnsi="宋体" w:cs="宋体"/>
                <w:color w:val="auto"/>
                <w:highlight w:val="none"/>
              </w:rPr>
              <w:t>（二）投标文件项目齐全；</w:t>
            </w:r>
          </w:p>
        </w:tc>
      </w:tr>
      <w:tr w14:paraId="4F419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tcPr>
          <w:p w14:paraId="58A77FEC">
            <w:pPr>
              <w:spacing w:line="336" w:lineRule="auto"/>
              <w:ind w:firstLine="210" w:firstLineChars="100"/>
              <w:rPr>
                <w:rFonts w:ascii="宋体" w:hAnsi="宋体" w:cs="宋体"/>
                <w:color w:val="auto"/>
                <w:highlight w:val="none"/>
              </w:rPr>
            </w:pPr>
          </w:p>
        </w:tc>
        <w:tc>
          <w:tcPr>
            <w:tcW w:w="7174" w:type="dxa"/>
            <w:vAlign w:val="center"/>
          </w:tcPr>
          <w:p w14:paraId="7908DBCD">
            <w:pPr>
              <w:spacing w:line="336" w:lineRule="auto"/>
              <w:rPr>
                <w:rFonts w:ascii="宋体" w:hAnsi="宋体" w:cs="宋体"/>
                <w:color w:val="auto"/>
                <w:highlight w:val="none"/>
              </w:rPr>
            </w:pPr>
            <w:r>
              <w:rPr>
                <w:rFonts w:hint="eastAsia" w:ascii="宋体" w:hAnsi="宋体" w:cs="宋体"/>
                <w:color w:val="auto"/>
                <w:highlight w:val="none"/>
              </w:rPr>
              <w:t>（三）投标函已提交并符合招标文件要求；</w:t>
            </w:r>
          </w:p>
        </w:tc>
      </w:tr>
      <w:tr w14:paraId="0BF52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tcPr>
          <w:p w14:paraId="5E58A7EE">
            <w:pPr>
              <w:spacing w:line="336" w:lineRule="auto"/>
              <w:ind w:firstLine="210" w:firstLineChars="100"/>
              <w:rPr>
                <w:rFonts w:ascii="宋体" w:hAnsi="宋体" w:cs="宋体"/>
                <w:color w:val="auto"/>
                <w:highlight w:val="none"/>
              </w:rPr>
            </w:pPr>
          </w:p>
        </w:tc>
        <w:tc>
          <w:tcPr>
            <w:tcW w:w="7174" w:type="dxa"/>
            <w:vAlign w:val="center"/>
          </w:tcPr>
          <w:p w14:paraId="7F51FF83">
            <w:pPr>
              <w:spacing w:line="336" w:lineRule="auto"/>
              <w:rPr>
                <w:rFonts w:ascii="宋体" w:hAnsi="宋体" w:cs="宋体"/>
                <w:color w:val="auto"/>
                <w:highlight w:val="none"/>
              </w:rPr>
            </w:pPr>
            <w:r>
              <w:rPr>
                <w:rFonts w:hint="eastAsia" w:ascii="宋体" w:hAnsi="宋体" w:cs="宋体"/>
                <w:color w:val="auto"/>
                <w:highlight w:val="none"/>
              </w:rPr>
              <w:t>（四）采用人民币报价或者按照招标文件标明的币种报价的；</w:t>
            </w:r>
          </w:p>
        </w:tc>
      </w:tr>
      <w:tr w14:paraId="5F63C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tcPr>
          <w:p w14:paraId="684D14F4">
            <w:pPr>
              <w:spacing w:line="336" w:lineRule="auto"/>
              <w:ind w:firstLine="210" w:firstLineChars="100"/>
              <w:rPr>
                <w:rFonts w:ascii="宋体" w:hAnsi="宋体" w:cs="宋体"/>
                <w:color w:val="auto"/>
                <w:highlight w:val="none"/>
              </w:rPr>
            </w:pPr>
          </w:p>
        </w:tc>
        <w:tc>
          <w:tcPr>
            <w:tcW w:w="7174" w:type="dxa"/>
            <w:vAlign w:val="center"/>
          </w:tcPr>
          <w:p w14:paraId="22848283">
            <w:pPr>
              <w:spacing w:line="336" w:lineRule="auto"/>
              <w:rPr>
                <w:rFonts w:ascii="宋体" w:hAnsi="宋体" w:cs="宋体"/>
                <w:color w:val="auto"/>
                <w:highlight w:val="none"/>
              </w:rPr>
            </w:pPr>
            <w:r>
              <w:rPr>
                <w:rFonts w:hint="eastAsia" w:ascii="宋体" w:hAnsi="宋体" w:cs="宋体"/>
                <w:color w:val="auto"/>
                <w:highlight w:val="none"/>
              </w:rPr>
              <w:t>（五）不存在报价超出最高限价，或者超出采购预算金额，采购人不能支付的情形。</w:t>
            </w:r>
          </w:p>
        </w:tc>
      </w:tr>
      <w:tr w14:paraId="60A6E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tcPr>
          <w:p w14:paraId="526F8E61">
            <w:pPr>
              <w:spacing w:line="336" w:lineRule="auto"/>
              <w:ind w:firstLine="210" w:firstLineChars="100"/>
              <w:rPr>
                <w:rFonts w:ascii="宋体" w:hAnsi="宋体" w:cs="宋体"/>
                <w:color w:val="auto"/>
                <w:highlight w:val="none"/>
              </w:rPr>
            </w:pPr>
          </w:p>
        </w:tc>
        <w:tc>
          <w:tcPr>
            <w:tcW w:w="7174" w:type="dxa"/>
            <w:vAlign w:val="center"/>
          </w:tcPr>
          <w:p w14:paraId="1FB61784">
            <w:pPr>
              <w:spacing w:line="336" w:lineRule="auto"/>
              <w:rPr>
                <w:rFonts w:ascii="宋体" w:hAnsi="宋体" w:cs="宋体"/>
                <w:color w:val="auto"/>
                <w:highlight w:val="none"/>
              </w:rPr>
            </w:pPr>
            <w:r>
              <w:rPr>
                <w:rFonts w:hint="eastAsia" w:ascii="宋体" w:hAnsi="宋体" w:cs="宋体"/>
                <w:color w:val="auto"/>
                <w:highlight w:val="none"/>
              </w:rPr>
              <w:t>（六）不存在投标报价具有选择性的情形；</w:t>
            </w:r>
          </w:p>
        </w:tc>
      </w:tr>
      <w:tr w14:paraId="7B4D4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tcPr>
          <w:p w14:paraId="2B5F1F5C">
            <w:pPr>
              <w:spacing w:line="336" w:lineRule="auto"/>
              <w:ind w:firstLine="210" w:firstLineChars="100"/>
              <w:rPr>
                <w:rFonts w:ascii="宋体" w:hAnsi="宋体" w:cs="宋体"/>
                <w:color w:val="auto"/>
                <w:highlight w:val="none"/>
              </w:rPr>
            </w:pPr>
          </w:p>
        </w:tc>
        <w:tc>
          <w:tcPr>
            <w:tcW w:w="7174" w:type="dxa"/>
            <w:vAlign w:val="center"/>
          </w:tcPr>
          <w:p w14:paraId="50B48B76">
            <w:pPr>
              <w:spacing w:line="336" w:lineRule="auto"/>
              <w:rPr>
                <w:rFonts w:ascii="宋体" w:hAnsi="宋体" w:cs="宋体"/>
                <w:color w:val="auto"/>
                <w:highlight w:val="none"/>
              </w:rPr>
            </w:pPr>
            <w:r>
              <w:rPr>
                <w:rFonts w:hint="eastAsia" w:ascii="宋体" w:hAnsi="宋体" w:cs="宋体"/>
                <w:color w:val="auto"/>
                <w:highlight w:val="none"/>
              </w:rPr>
              <w:t>（七）投标报价中未出现重大缺项、漏项；</w:t>
            </w:r>
          </w:p>
        </w:tc>
      </w:tr>
      <w:tr w14:paraId="657FF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tcPr>
          <w:p w14:paraId="0B9E0750">
            <w:pPr>
              <w:spacing w:line="336" w:lineRule="auto"/>
              <w:ind w:firstLine="210" w:firstLineChars="100"/>
              <w:rPr>
                <w:rFonts w:ascii="宋体" w:hAnsi="宋体" w:cs="宋体"/>
                <w:color w:val="auto"/>
                <w:highlight w:val="none"/>
              </w:rPr>
            </w:pPr>
          </w:p>
        </w:tc>
        <w:tc>
          <w:tcPr>
            <w:tcW w:w="7174" w:type="dxa"/>
            <w:vAlign w:val="center"/>
          </w:tcPr>
          <w:p w14:paraId="4CA91CA9">
            <w:pPr>
              <w:spacing w:line="336" w:lineRule="auto"/>
              <w:rPr>
                <w:rFonts w:ascii="宋体" w:hAnsi="宋体" w:cs="宋体"/>
                <w:color w:val="auto"/>
                <w:highlight w:val="none"/>
              </w:rPr>
            </w:pPr>
            <w:r>
              <w:rPr>
                <w:rFonts w:hint="eastAsia" w:ascii="宋体" w:hAnsi="宋体" w:cs="宋体"/>
                <w:color w:val="auto"/>
                <w:highlight w:val="none"/>
              </w:rPr>
              <w:t>（八）不存在评标委员会认为投标人的报价明显低于其他通过符合性审查投标人的报价，有可能影响产品质量或者不能诚信履约的且不能在评标现场合理时间内提供相关证明材料说明其报价的合理性的情形；</w:t>
            </w:r>
          </w:p>
        </w:tc>
      </w:tr>
      <w:tr w14:paraId="77E17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tcPr>
          <w:p w14:paraId="1A99368E">
            <w:pPr>
              <w:spacing w:line="336" w:lineRule="auto"/>
              <w:ind w:firstLine="210" w:firstLineChars="100"/>
              <w:rPr>
                <w:rFonts w:ascii="宋体" w:hAnsi="宋体" w:cs="宋体"/>
                <w:color w:val="auto"/>
                <w:highlight w:val="none"/>
              </w:rPr>
            </w:pPr>
          </w:p>
        </w:tc>
        <w:tc>
          <w:tcPr>
            <w:tcW w:w="7174" w:type="dxa"/>
            <w:vAlign w:val="center"/>
          </w:tcPr>
          <w:p w14:paraId="033965A1">
            <w:pPr>
              <w:spacing w:line="336" w:lineRule="auto"/>
              <w:rPr>
                <w:rFonts w:ascii="宋体" w:hAnsi="宋体" w:cs="宋体"/>
                <w:color w:val="auto"/>
                <w:highlight w:val="none"/>
              </w:rPr>
            </w:pPr>
            <w:r>
              <w:rPr>
                <w:rFonts w:hint="eastAsia" w:ascii="宋体" w:hAnsi="宋体" w:cs="宋体"/>
                <w:color w:val="auto"/>
                <w:highlight w:val="none"/>
              </w:rPr>
              <w:t>（九）投标文件（报价文件）内容与投标文件（商务技术文件）内容不存在重大差异的；</w:t>
            </w:r>
          </w:p>
        </w:tc>
      </w:tr>
      <w:tr w14:paraId="1ED03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tcPr>
          <w:p w14:paraId="5F70E2EE">
            <w:pPr>
              <w:spacing w:line="336" w:lineRule="auto"/>
              <w:ind w:firstLine="210" w:firstLineChars="100"/>
              <w:rPr>
                <w:rFonts w:ascii="宋体" w:hAnsi="宋体" w:cs="宋体"/>
                <w:color w:val="auto"/>
                <w:highlight w:val="none"/>
              </w:rPr>
            </w:pPr>
          </w:p>
        </w:tc>
        <w:tc>
          <w:tcPr>
            <w:tcW w:w="7174" w:type="dxa"/>
            <w:vAlign w:val="center"/>
          </w:tcPr>
          <w:p w14:paraId="616AFA5C">
            <w:pPr>
              <w:spacing w:line="336" w:lineRule="auto"/>
              <w:rPr>
                <w:rFonts w:ascii="宋体" w:hAnsi="宋体" w:cs="宋体"/>
                <w:color w:val="auto"/>
                <w:highlight w:val="none"/>
              </w:rPr>
            </w:pPr>
            <w:r>
              <w:rPr>
                <w:rFonts w:hint="eastAsia" w:ascii="宋体" w:hAnsi="宋体" w:cs="宋体"/>
                <w:color w:val="auto"/>
                <w:highlight w:val="none"/>
              </w:rPr>
              <w:t>（十）不存在法律、法规和招标文件规定的其他无效情形；</w:t>
            </w:r>
          </w:p>
        </w:tc>
      </w:tr>
    </w:tbl>
    <w:p w14:paraId="474031C7">
      <w:pPr>
        <w:spacing w:line="360" w:lineRule="auto"/>
        <w:rPr>
          <w:rFonts w:ascii="宋体" w:hAnsi="宋体"/>
          <w:color w:val="auto"/>
          <w:highlight w:val="none"/>
        </w:rPr>
      </w:pPr>
      <w:r>
        <w:rPr>
          <w:rFonts w:hint="eastAsia" w:ascii="宋体" w:hAnsi="宋体"/>
          <w:color w:val="auto"/>
          <w:highlight w:val="none"/>
        </w:rPr>
        <w:t>3．比较与评价：评标委员会对资格审查、符合性审查合格的投标文件，依照本办法“七、评分标准”对投标文件作进一步评审、比较，判定其偏差性质和程度。评标委员会成员经过阅标、审标和询标，对各投标人进行打分。</w:t>
      </w:r>
    </w:p>
    <w:p w14:paraId="22F443DB">
      <w:pPr>
        <w:spacing w:line="360" w:lineRule="auto"/>
        <w:rPr>
          <w:rFonts w:ascii="宋体" w:hAnsi="宋体"/>
          <w:color w:val="auto"/>
          <w:highlight w:val="none"/>
        </w:rPr>
      </w:pPr>
      <w:r>
        <w:rPr>
          <w:rFonts w:hint="eastAsia" w:ascii="宋体" w:hAnsi="宋体"/>
          <w:color w:val="auto"/>
          <w:highlight w:val="none"/>
        </w:rPr>
        <w:t>4．最终得分及排序：</w:t>
      </w:r>
      <w:r>
        <w:rPr>
          <w:rFonts w:hint="eastAsia" w:ascii="宋体" w:hAnsi="宋体" w:cs="宋体"/>
          <w:color w:val="auto"/>
          <w:highlight w:val="none"/>
        </w:rPr>
        <w:t>评标委员会成员独立按照评分标准（兼评委打分表）规定的内容和分值设置，对各投标文件分别打分汇总后计算平均分（小数点后保留两位数），即为各投标人的综合得分。</w:t>
      </w:r>
      <w:r>
        <w:rPr>
          <w:rFonts w:hint="eastAsia" w:ascii="宋体" w:hAnsi="宋体" w:cs="宋体"/>
          <w:color w:val="auto"/>
          <w:kern w:val="0"/>
          <w:highlight w:val="none"/>
        </w:rPr>
        <w:t>评标结果按评审后得分由高到低顺序排列。得分相同的，按投标报价由低到高顺序排列。得分且投标报价相同的并列。</w:t>
      </w:r>
    </w:p>
    <w:p w14:paraId="68AB72D5">
      <w:pPr>
        <w:spacing w:line="360" w:lineRule="auto"/>
        <w:rPr>
          <w:rFonts w:ascii="宋体" w:hAnsi="宋体"/>
          <w:color w:val="auto"/>
          <w:highlight w:val="none"/>
        </w:rPr>
      </w:pPr>
      <w:r>
        <w:rPr>
          <w:rFonts w:hint="eastAsia" w:ascii="宋体" w:hAnsi="宋体"/>
          <w:color w:val="auto"/>
          <w:highlight w:val="none"/>
        </w:rPr>
        <w:t>5．推荐中标候选人原则：</w:t>
      </w:r>
      <w:r>
        <w:rPr>
          <w:rFonts w:hint="eastAsia" w:ascii="宋体" w:hAnsi="宋体" w:cs="宋体"/>
          <w:color w:val="auto"/>
          <w:kern w:val="0"/>
          <w:highlight w:val="none"/>
        </w:rPr>
        <w:t>投标文件满足招标文件全部实质性要求，且按照评审因素的量化指标评审得分最高的投标人为排名第一的中标候选人。</w:t>
      </w:r>
    </w:p>
    <w:p w14:paraId="5051BC56">
      <w:pPr>
        <w:spacing w:line="360" w:lineRule="auto"/>
        <w:rPr>
          <w:rFonts w:ascii="宋体" w:hAnsi="宋体"/>
          <w:color w:val="auto"/>
          <w:highlight w:val="none"/>
        </w:rPr>
      </w:pPr>
      <w:r>
        <w:rPr>
          <w:rFonts w:hint="eastAsia" w:ascii="宋体" w:hAnsi="宋体"/>
          <w:color w:val="auto"/>
          <w:highlight w:val="none"/>
        </w:rPr>
        <w:t>6．确定中标人：采购代理机构应当自评标结束之日起2个工作日内将评标报告送交采购人。采购人应当自收到评标报告之日起5个工作日内在评标报告确定的中标候选人名单中按顺序确定中标人。中标人因不可抗力或者自身原因不能履行政府采购合同的，采购人可以按照评标报告推荐的下一中标候选人为中标人或重新招标。</w:t>
      </w:r>
    </w:p>
    <w:p w14:paraId="291C0F08">
      <w:pPr>
        <w:spacing w:line="360" w:lineRule="exact"/>
        <w:rPr>
          <w:rFonts w:ascii="宋体" w:hAnsi="宋体" w:cs="宋体"/>
          <w:color w:val="auto"/>
          <w:highlight w:val="none"/>
        </w:rPr>
      </w:pPr>
    </w:p>
    <w:p w14:paraId="392F6482">
      <w:pPr>
        <w:widowControl/>
        <w:tabs>
          <w:tab w:val="left" w:pos="0"/>
          <w:tab w:val="left" w:pos="723"/>
        </w:tabs>
        <w:spacing w:line="360" w:lineRule="auto"/>
        <w:jc w:val="left"/>
        <w:rPr>
          <w:rFonts w:ascii="宋体" w:hAnsi="宋体"/>
          <w:b/>
          <w:color w:val="auto"/>
          <w:highlight w:val="none"/>
        </w:rPr>
      </w:pPr>
      <w:r>
        <w:rPr>
          <w:rFonts w:hint="eastAsia" w:ascii="宋体" w:hAnsi="宋体"/>
          <w:b/>
          <w:color w:val="auto"/>
          <w:highlight w:val="none"/>
        </w:rPr>
        <w:t>四、澄清问题的形式</w:t>
      </w:r>
    </w:p>
    <w:p w14:paraId="0EDFF00E">
      <w:pPr>
        <w:spacing w:line="360" w:lineRule="auto"/>
        <w:ind w:firstLine="420" w:firstLineChars="200"/>
        <w:rPr>
          <w:rFonts w:ascii="宋体" w:hAnsi="宋体"/>
          <w:color w:val="auto"/>
          <w:highlight w:val="none"/>
        </w:rPr>
      </w:pPr>
      <w:r>
        <w:rPr>
          <w:rFonts w:hint="eastAsia" w:ascii="宋体" w:hAnsi="宋体"/>
          <w:color w:val="auto"/>
          <w:highlight w:val="none"/>
        </w:rPr>
        <w:t>对投标文件中含义不明确、同类问题表述不一致或者有明显文字和计算错误的内容，评标委员会可要求投标人作出必要的澄清、说明或者纠正。投标人的澄清、说明或者补正应当采用书面形式，由其授权代表签字或盖章确认，并不得超出投标文件的范围或者改变投标文件的实质性内容。</w:t>
      </w:r>
    </w:p>
    <w:p w14:paraId="23997186">
      <w:pPr>
        <w:spacing w:line="360" w:lineRule="auto"/>
        <w:ind w:firstLine="420" w:firstLineChars="200"/>
        <w:rPr>
          <w:rFonts w:ascii="宋体" w:hAnsi="宋体"/>
          <w:color w:val="auto"/>
          <w:highlight w:val="none"/>
        </w:rPr>
      </w:pPr>
    </w:p>
    <w:p w14:paraId="61256156">
      <w:pPr>
        <w:widowControl/>
        <w:tabs>
          <w:tab w:val="left" w:pos="0"/>
          <w:tab w:val="left" w:pos="723"/>
        </w:tabs>
        <w:spacing w:line="360" w:lineRule="auto"/>
        <w:jc w:val="left"/>
        <w:rPr>
          <w:rFonts w:ascii="宋体" w:hAnsi="宋体"/>
          <w:b/>
          <w:color w:val="auto"/>
          <w:highlight w:val="none"/>
        </w:rPr>
      </w:pPr>
      <w:r>
        <w:rPr>
          <w:rFonts w:ascii="宋体" w:hAnsi="宋体"/>
          <w:b/>
          <w:color w:val="auto"/>
          <w:highlight w:val="none"/>
        </w:rPr>
        <w:t>五</w:t>
      </w:r>
      <w:r>
        <w:rPr>
          <w:rFonts w:hint="eastAsia" w:ascii="宋体" w:hAnsi="宋体"/>
          <w:b/>
          <w:color w:val="auto"/>
          <w:highlight w:val="none"/>
        </w:rPr>
        <w:t>、</w:t>
      </w:r>
      <w:r>
        <w:rPr>
          <w:rFonts w:ascii="宋体" w:hAnsi="宋体"/>
          <w:b/>
          <w:color w:val="auto"/>
          <w:highlight w:val="none"/>
        </w:rPr>
        <w:t>错误修正</w:t>
      </w:r>
    </w:p>
    <w:p w14:paraId="3359FA9F">
      <w:pPr>
        <w:spacing w:line="360" w:lineRule="auto"/>
        <w:ind w:firstLine="420" w:firstLineChars="200"/>
        <w:rPr>
          <w:rFonts w:ascii="宋体" w:hAnsi="宋体"/>
          <w:color w:val="auto"/>
          <w:highlight w:val="none"/>
        </w:rPr>
      </w:pPr>
      <w:r>
        <w:rPr>
          <w:rFonts w:hint="eastAsia" w:ascii="宋体" w:hAnsi="宋体"/>
          <w:color w:val="auto"/>
          <w:highlight w:val="none"/>
        </w:rPr>
        <w:t>投标文件报价出现前后不一致的，按照下列规定修正：</w:t>
      </w:r>
    </w:p>
    <w:p w14:paraId="569D3F09">
      <w:pPr>
        <w:spacing w:line="360" w:lineRule="auto"/>
        <w:ind w:firstLine="420" w:firstLineChars="200"/>
        <w:rPr>
          <w:rFonts w:ascii="宋体" w:hAnsi="宋体"/>
          <w:color w:val="auto"/>
          <w:highlight w:val="none"/>
        </w:rPr>
      </w:pPr>
      <w:r>
        <w:rPr>
          <w:rFonts w:hint="eastAsia" w:ascii="宋体" w:hAnsi="宋体"/>
          <w:color w:val="auto"/>
          <w:highlight w:val="none"/>
        </w:rPr>
        <w:t>1.投标文件中开标一览表内容与投标文件中相应内容不一致的，以开标一览表为准；</w:t>
      </w:r>
    </w:p>
    <w:p w14:paraId="6C1C572E">
      <w:pPr>
        <w:spacing w:line="360" w:lineRule="auto"/>
        <w:ind w:firstLine="420" w:firstLineChars="200"/>
        <w:rPr>
          <w:rFonts w:ascii="宋体" w:hAnsi="宋体"/>
          <w:color w:val="auto"/>
          <w:highlight w:val="none"/>
        </w:rPr>
      </w:pPr>
      <w:r>
        <w:rPr>
          <w:rFonts w:hint="eastAsia" w:ascii="宋体" w:hAnsi="宋体"/>
          <w:color w:val="auto"/>
          <w:highlight w:val="none"/>
        </w:rPr>
        <w:t>2.大写金额和小写金额不一致的，以大写金额为准；</w:t>
      </w:r>
    </w:p>
    <w:p w14:paraId="685E02B8">
      <w:pPr>
        <w:spacing w:line="360" w:lineRule="auto"/>
        <w:ind w:firstLine="420" w:firstLineChars="200"/>
        <w:rPr>
          <w:rFonts w:ascii="宋体" w:hAnsi="宋体"/>
          <w:color w:val="auto"/>
          <w:highlight w:val="none"/>
        </w:rPr>
      </w:pPr>
      <w:r>
        <w:rPr>
          <w:rFonts w:hint="eastAsia" w:ascii="宋体" w:hAnsi="宋体"/>
          <w:color w:val="auto"/>
          <w:highlight w:val="none"/>
        </w:rPr>
        <w:t>3.单价金额小数点或者百分比有明显错位的，以开标一览表的总价为准，并修改单价；</w:t>
      </w:r>
    </w:p>
    <w:p w14:paraId="7A8477D6">
      <w:pPr>
        <w:spacing w:line="360" w:lineRule="auto"/>
        <w:ind w:firstLine="420" w:firstLineChars="200"/>
        <w:rPr>
          <w:rFonts w:ascii="宋体" w:hAnsi="宋体"/>
          <w:color w:val="auto"/>
          <w:highlight w:val="none"/>
        </w:rPr>
      </w:pPr>
      <w:r>
        <w:rPr>
          <w:rFonts w:hint="eastAsia" w:ascii="宋体" w:hAnsi="宋体"/>
          <w:color w:val="auto"/>
          <w:highlight w:val="none"/>
        </w:rPr>
        <w:t>4.总价金额与按单价汇总金额不一致的，以单价金额计算结果为准。</w:t>
      </w:r>
    </w:p>
    <w:p w14:paraId="0934B327">
      <w:pPr>
        <w:spacing w:line="360" w:lineRule="auto"/>
        <w:ind w:firstLine="420" w:firstLineChars="200"/>
        <w:rPr>
          <w:rFonts w:hint="eastAsia" w:ascii="宋体" w:hAnsi="宋体"/>
          <w:color w:val="auto"/>
          <w:highlight w:val="none"/>
        </w:rPr>
      </w:pPr>
      <w:r>
        <w:rPr>
          <w:rFonts w:hint="eastAsia" w:ascii="宋体" w:hAnsi="宋体"/>
          <w:color w:val="auto"/>
          <w:highlight w:val="none"/>
        </w:rPr>
        <w:t>同时出现两种以上不一致的，按照前款规定的顺序修正。修正后的报价按照投标文件澄清第二款的规定经投标人确认后产生约束力，投标人不确认的，其投标无效。</w:t>
      </w:r>
    </w:p>
    <w:p w14:paraId="118D4F0C">
      <w:pPr>
        <w:spacing w:line="360" w:lineRule="auto"/>
        <w:ind w:firstLine="420" w:firstLineChars="200"/>
        <w:rPr>
          <w:rFonts w:hint="eastAsia" w:ascii="宋体" w:hAnsi="宋体"/>
          <w:color w:val="auto"/>
          <w:highlight w:val="none"/>
        </w:rPr>
      </w:pPr>
    </w:p>
    <w:p w14:paraId="0F3EC36F">
      <w:pPr>
        <w:widowControl/>
        <w:tabs>
          <w:tab w:val="left" w:pos="0"/>
          <w:tab w:val="left" w:pos="723"/>
        </w:tabs>
        <w:spacing w:line="360" w:lineRule="auto"/>
        <w:jc w:val="left"/>
        <w:rPr>
          <w:rFonts w:hint="eastAsia" w:ascii="宋体" w:hAnsi="宋体" w:eastAsia="宋体" w:cs="Times New Roman"/>
          <w:b/>
          <w:color w:val="auto"/>
          <w:highlight w:val="none"/>
          <w:lang w:val="en-US" w:eastAsia="zh-CN"/>
        </w:rPr>
      </w:pPr>
      <w:r>
        <w:rPr>
          <w:rFonts w:hint="eastAsia" w:ascii="宋体" w:hAnsi="宋体" w:eastAsia="宋体" w:cs="Times New Roman"/>
          <w:b/>
          <w:color w:val="auto"/>
          <w:highlight w:val="none"/>
          <w:lang w:val="en-US" w:eastAsia="zh-CN"/>
        </w:rPr>
        <w:t>六、投标报价异常低价审查</w:t>
      </w:r>
    </w:p>
    <w:p w14:paraId="0598B7A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Times New Roman"/>
          <w:color w:val="auto"/>
          <w:highlight w:val="none"/>
        </w:rPr>
      </w:pPr>
      <w:r>
        <w:rPr>
          <w:rFonts w:hint="eastAsia" w:ascii="宋体" w:hAnsi="宋体" w:cs="Times New Roman"/>
          <w:color w:val="auto"/>
          <w:highlight w:val="none"/>
          <w:lang w:val="en-US" w:eastAsia="zh-CN"/>
        </w:rPr>
        <w:t>1.若</w:t>
      </w:r>
      <w:r>
        <w:rPr>
          <w:rFonts w:hint="eastAsia" w:ascii="宋体" w:hAnsi="宋体" w:eastAsia="宋体" w:cs="Times New Roman"/>
          <w:color w:val="auto"/>
          <w:highlight w:val="none"/>
        </w:rPr>
        <w:t>评审中出现下列</w:t>
      </w:r>
      <w:r>
        <w:rPr>
          <w:rFonts w:hint="eastAsia" w:ascii="宋体" w:hAnsi="宋体" w:cs="Times New Roman"/>
          <w:color w:val="auto"/>
          <w:highlight w:val="none"/>
          <w:lang w:val="en-US" w:eastAsia="zh-CN"/>
        </w:rPr>
        <w:t>4种</w:t>
      </w:r>
      <w:r>
        <w:rPr>
          <w:rFonts w:hint="eastAsia" w:ascii="宋体" w:hAnsi="宋体" w:eastAsia="宋体" w:cs="Times New Roman"/>
          <w:color w:val="auto"/>
          <w:highlight w:val="none"/>
        </w:rPr>
        <w:t>情形之一的，</w:t>
      </w:r>
      <w:r>
        <w:rPr>
          <w:rFonts w:hint="eastAsia" w:ascii="宋体" w:hAnsi="宋体" w:cs="Times New Roman"/>
          <w:color w:val="auto"/>
          <w:highlight w:val="none"/>
          <w:lang w:eastAsia="zh-CN"/>
        </w:rPr>
        <w:t>评标委员会</w:t>
      </w:r>
      <w:r>
        <w:rPr>
          <w:rFonts w:hint="eastAsia" w:ascii="宋体" w:hAnsi="宋体" w:eastAsia="宋体" w:cs="Times New Roman"/>
          <w:color w:val="auto"/>
          <w:highlight w:val="none"/>
        </w:rPr>
        <w:t>应当启动异常低价投标审查程序：</w:t>
      </w:r>
    </w:p>
    <w:p w14:paraId="36E0F20D">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Times New Roman"/>
          <w:b/>
          <w:bCs/>
          <w:color w:val="auto"/>
          <w:highlight w:val="none"/>
        </w:rPr>
      </w:pPr>
      <w:r>
        <w:rPr>
          <w:rFonts w:hint="eastAsia" w:ascii="宋体" w:hAnsi="宋体" w:cs="Times New Roman"/>
          <w:b/>
          <w:bCs/>
          <w:color w:val="auto"/>
          <w:highlight w:val="none"/>
          <w:lang w:eastAsia="zh-CN"/>
        </w:rPr>
        <w:t>（</w:t>
      </w:r>
      <w:r>
        <w:rPr>
          <w:rFonts w:hint="eastAsia" w:ascii="宋体" w:hAnsi="宋体" w:cs="Times New Roman"/>
          <w:b/>
          <w:bCs/>
          <w:color w:val="auto"/>
          <w:highlight w:val="none"/>
          <w:lang w:val="en-US" w:eastAsia="zh-CN"/>
        </w:rPr>
        <w:t>1</w:t>
      </w:r>
      <w:r>
        <w:rPr>
          <w:rFonts w:hint="eastAsia" w:ascii="宋体" w:hAnsi="宋体" w:cs="Times New Roman"/>
          <w:b/>
          <w:bCs/>
          <w:color w:val="auto"/>
          <w:highlight w:val="none"/>
          <w:lang w:eastAsia="zh-CN"/>
        </w:rPr>
        <w:t>）</w:t>
      </w:r>
      <w:r>
        <w:rPr>
          <w:rFonts w:hint="eastAsia" w:ascii="宋体" w:hAnsi="宋体" w:eastAsia="宋体" w:cs="Times New Roman"/>
          <w:b/>
          <w:bCs/>
          <w:color w:val="auto"/>
          <w:highlight w:val="none"/>
        </w:rPr>
        <w:t>投标报价低于全部通过符合性审查</w:t>
      </w:r>
      <w:r>
        <w:rPr>
          <w:rFonts w:hint="eastAsia" w:ascii="宋体" w:hAnsi="宋体" w:cs="Times New Roman"/>
          <w:b/>
          <w:bCs/>
          <w:color w:val="auto"/>
          <w:highlight w:val="none"/>
          <w:lang w:eastAsia="zh-CN"/>
        </w:rPr>
        <w:t>投标人</w:t>
      </w:r>
      <w:r>
        <w:rPr>
          <w:rFonts w:hint="eastAsia" w:ascii="宋体" w:hAnsi="宋体" w:eastAsia="宋体" w:cs="Times New Roman"/>
          <w:b/>
          <w:bCs/>
          <w:color w:val="auto"/>
          <w:highlight w:val="none"/>
        </w:rPr>
        <w:t>投标报价平均值</w:t>
      </w:r>
      <w:r>
        <w:rPr>
          <w:rFonts w:hint="eastAsia" w:ascii="宋体" w:hAnsi="宋体" w:cs="Times New Roman"/>
          <w:b/>
          <w:bCs/>
          <w:color w:val="auto"/>
          <w:highlight w:val="none"/>
          <w:lang w:val="en-US" w:eastAsia="zh-CN"/>
        </w:rPr>
        <w:t>65</w:t>
      </w:r>
      <w:r>
        <w:rPr>
          <w:rFonts w:hint="eastAsia" w:ascii="宋体" w:hAnsi="宋体" w:eastAsia="宋体" w:cs="Times New Roman"/>
          <w:b/>
          <w:bCs/>
          <w:color w:val="auto"/>
          <w:highlight w:val="none"/>
        </w:rPr>
        <w:t>%的，即投标报价&lt;全部通过符合性审查</w:t>
      </w:r>
      <w:r>
        <w:rPr>
          <w:rFonts w:hint="eastAsia" w:ascii="宋体" w:hAnsi="宋体" w:cs="Times New Roman"/>
          <w:b/>
          <w:bCs/>
          <w:color w:val="auto"/>
          <w:highlight w:val="none"/>
          <w:lang w:eastAsia="zh-CN"/>
        </w:rPr>
        <w:t>投标人</w:t>
      </w:r>
      <w:r>
        <w:rPr>
          <w:rFonts w:hint="eastAsia" w:ascii="宋体" w:hAnsi="宋体" w:eastAsia="宋体" w:cs="Times New Roman"/>
          <w:b/>
          <w:bCs/>
          <w:color w:val="auto"/>
          <w:highlight w:val="none"/>
        </w:rPr>
        <w:t>投标报价平均值×</w:t>
      </w:r>
      <w:r>
        <w:rPr>
          <w:rFonts w:hint="eastAsia" w:ascii="宋体" w:hAnsi="宋体" w:cs="Times New Roman"/>
          <w:b/>
          <w:bCs/>
          <w:color w:val="auto"/>
          <w:highlight w:val="none"/>
          <w:lang w:val="en-US" w:eastAsia="zh-CN"/>
        </w:rPr>
        <w:t>65</w:t>
      </w:r>
      <w:r>
        <w:rPr>
          <w:rFonts w:hint="eastAsia" w:ascii="宋体" w:hAnsi="宋体" w:eastAsia="宋体" w:cs="Times New Roman"/>
          <w:b/>
          <w:bCs/>
          <w:color w:val="auto"/>
          <w:highlight w:val="none"/>
        </w:rPr>
        <w:t>%；</w:t>
      </w:r>
    </w:p>
    <w:p w14:paraId="76E8CD10">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Times New Roman"/>
          <w:b/>
          <w:bCs/>
          <w:color w:val="auto"/>
          <w:highlight w:val="none"/>
        </w:rPr>
      </w:pPr>
      <w:r>
        <w:rPr>
          <w:rFonts w:hint="eastAsia" w:ascii="宋体" w:hAnsi="宋体" w:cs="Times New Roman"/>
          <w:b/>
          <w:bCs/>
          <w:color w:val="auto"/>
          <w:highlight w:val="none"/>
          <w:lang w:eastAsia="zh-CN"/>
        </w:rPr>
        <w:t>（</w:t>
      </w:r>
      <w:r>
        <w:rPr>
          <w:rFonts w:hint="eastAsia" w:ascii="宋体" w:hAnsi="宋体" w:cs="Times New Roman"/>
          <w:b/>
          <w:bCs/>
          <w:color w:val="auto"/>
          <w:highlight w:val="none"/>
          <w:lang w:val="en-US" w:eastAsia="zh-CN"/>
        </w:rPr>
        <w:t>2</w:t>
      </w:r>
      <w:r>
        <w:rPr>
          <w:rFonts w:hint="eastAsia" w:ascii="宋体" w:hAnsi="宋体" w:cs="Times New Roman"/>
          <w:b/>
          <w:bCs/>
          <w:color w:val="auto"/>
          <w:highlight w:val="none"/>
          <w:lang w:eastAsia="zh-CN"/>
        </w:rPr>
        <w:t>）</w:t>
      </w:r>
      <w:r>
        <w:rPr>
          <w:rFonts w:hint="eastAsia" w:ascii="宋体" w:hAnsi="宋体" w:eastAsia="宋体" w:cs="Times New Roman"/>
          <w:b/>
          <w:bCs/>
          <w:color w:val="auto"/>
          <w:highlight w:val="none"/>
        </w:rPr>
        <w:t>投标报价低于通过符合性审查的次低报价</w:t>
      </w:r>
      <w:r>
        <w:rPr>
          <w:rFonts w:hint="eastAsia" w:ascii="宋体" w:hAnsi="宋体" w:cs="Times New Roman"/>
          <w:b/>
          <w:bCs/>
          <w:color w:val="auto"/>
          <w:highlight w:val="none"/>
          <w:lang w:eastAsia="zh-CN"/>
        </w:rPr>
        <w:t>投标人</w:t>
      </w:r>
      <w:r>
        <w:rPr>
          <w:rFonts w:hint="eastAsia" w:ascii="宋体" w:hAnsi="宋体" w:eastAsia="宋体" w:cs="Times New Roman"/>
          <w:b/>
          <w:bCs/>
          <w:color w:val="auto"/>
          <w:highlight w:val="none"/>
        </w:rPr>
        <w:t>投标报价</w:t>
      </w:r>
      <w:r>
        <w:rPr>
          <w:rFonts w:hint="eastAsia" w:ascii="宋体" w:hAnsi="宋体" w:cs="Times New Roman"/>
          <w:b/>
          <w:bCs/>
          <w:color w:val="auto"/>
          <w:highlight w:val="none"/>
          <w:lang w:val="en-US" w:eastAsia="zh-CN"/>
        </w:rPr>
        <w:t>65</w:t>
      </w:r>
      <w:r>
        <w:rPr>
          <w:rFonts w:hint="eastAsia" w:ascii="宋体" w:hAnsi="宋体" w:eastAsia="宋体" w:cs="Times New Roman"/>
          <w:b/>
          <w:bCs/>
          <w:color w:val="auto"/>
          <w:highlight w:val="none"/>
        </w:rPr>
        <w:t>%的，即投标报价&lt;通过符合性审查的次低报价</w:t>
      </w:r>
      <w:r>
        <w:rPr>
          <w:rFonts w:hint="eastAsia" w:ascii="宋体" w:hAnsi="宋体" w:cs="Times New Roman"/>
          <w:b/>
          <w:bCs/>
          <w:color w:val="auto"/>
          <w:highlight w:val="none"/>
          <w:lang w:eastAsia="zh-CN"/>
        </w:rPr>
        <w:t>投标人</w:t>
      </w:r>
      <w:r>
        <w:rPr>
          <w:rFonts w:hint="eastAsia" w:ascii="宋体" w:hAnsi="宋体" w:eastAsia="宋体" w:cs="Times New Roman"/>
          <w:b/>
          <w:bCs/>
          <w:color w:val="auto"/>
          <w:highlight w:val="none"/>
        </w:rPr>
        <w:t>投标报价×</w:t>
      </w:r>
      <w:r>
        <w:rPr>
          <w:rFonts w:hint="eastAsia" w:ascii="宋体" w:hAnsi="宋体" w:cs="Times New Roman"/>
          <w:b/>
          <w:bCs/>
          <w:color w:val="auto"/>
          <w:highlight w:val="none"/>
          <w:lang w:val="en-US" w:eastAsia="zh-CN"/>
        </w:rPr>
        <w:t>65</w:t>
      </w:r>
      <w:r>
        <w:rPr>
          <w:rFonts w:hint="eastAsia" w:ascii="宋体" w:hAnsi="宋体" w:eastAsia="宋体" w:cs="Times New Roman"/>
          <w:b/>
          <w:bCs/>
          <w:color w:val="auto"/>
          <w:highlight w:val="none"/>
        </w:rPr>
        <w:t>%；</w:t>
      </w:r>
    </w:p>
    <w:p w14:paraId="218D6BB7">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Times New Roman"/>
          <w:b/>
          <w:bCs/>
          <w:color w:val="auto"/>
          <w:highlight w:val="none"/>
        </w:rPr>
      </w:pPr>
      <w:r>
        <w:rPr>
          <w:rFonts w:hint="eastAsia" w:ascii="宋体" w:hAnsi="宋体" w:cs="Times New Roman"/>
          <w:b/>
          <w:bCs/>
          <w:color w:val="auto"/>
          <w:highlight w:val="none"/>
          <w:lang w:eastAsia="zh-CN"/>
        </w:rPr>
        <w:t>（</w:t>
      </w:r>
      <w:r>
        <w:rPr>
          <w:rFonts w:hint="eastAsia" w:ascii="宋体" w:hAnsi="宋体" w:cs="Times New Roman"/>
          <w:b/>
          <w:bCs/>
          <w:color w:val="auto"/>
          <w:highlight w:val="none"/>
          <w:lang w:val="en-US" w:eastAsia="zh-CN"/>
        </w:rPr>
        <w:t>3</w:t>
      </w:r>
      <w:r>
        <w:rPr>
          <w:rFonts w:hint="eastAsia" w:ascii="宋体" w:hAnsi="宋体" w:cs="Times New Roman"/>
          <w:b/>
          <w:bCs/>
          <w:color w:val="auto"/>
          <w:highlight w:val="none"/>
          <w:lang w:eastAsia="zh-CN"/>
        </w:rPr>
        <w:t>）</w:t>
      </w:r>
      <w:r>
        <w:rPr>
          <w:rFonts w:hint="eastAsia" w:ascii="宋体" w:hAnsi="宋体" w:eastAsia="宋体" w:cs="Times New Roman"/>
          <w:b/>
          <w:bCs/>
          <w:color w:val="auto"/>
          <w:highlight w:val="none"/>
        </w:rPr>
        <w:t>投标报价低于采购项目最高限价</w:t>
      </w:r>
      <w:r>
        <w:rPr>
          <w:rFonts w:hint="eastAsia" w:ascii="宋体" w:hAnsi="宋体" w:cs="Times New Roman"/>
          <w:b/>
          <w:bCs/>
          <w:color w:val="auto"/>
          <w:highlight w:val="none"/>
          <w:lang w:val="en-US" w:eastAsia="zh-CN"/>
        </w:rPr>
        <w:t>60</w:t>
      </w:r>
      <w:r>
        <w:rPr>
          <w:rFonts w:hint="eastAsia" w:ascii="宋体" w:hAnsi="宋体" w:eastAsia="宋体" w:cs="Times New Roman"/>
          <w:b/>
          <w:bCs/>
          <w:color w:val="auto"/>
          <w:highlight w:val="none"/>
        </w:rPr>
        <w:t>%的，即投标报价&lt;采购项目最高限价×</w:t>
      </w:r>
      <w:r>
        <w:rPr>
          <w:rFonts w:hint="eastAsia" w:ascii="宋体" w:hAnsi="宋体" w:cs="Times New Roman"/>
          <w:b/>
          <w:bCs/>
          <w:color w:val="auto"/>
          <w:highlight w:val="none"/>
          <w:lang w:val="en-US" w:eastAsia="zh-CN"/>
        </w:rPr>
        <w:t>60</w:t>
      </w:r>
      <w:r>
        <w:rPr>
          <w:rFonts w:hint="eastAsia" w:ascii="宋体" w:hAnsi="宋体" w:eastAsia="宋体" w:cs="Times New Roman"/>
          <w:b/>
          <w:bCs/>
          <w:color w:val="auto"/>
          <w:highlight w:val="none"/>
        </w:rPr>
        <w:t>%；</w:t>
      </w:r>
    </w:p>
    <w:p w14:paraId="2A614327">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Times New Roman"/>
          <w:b/>
          <w:bCs/>
          <w:color w:val="auto"/>
          <w:highlight w:val="none"/>
        </w:rPr>
      </w:pPr>
      <w:r>
        <w:rPr>
          <w:rFonts w:hint="eastAsia" w:ascii="宋体" w:hAnsi="宋体" w:cs="Times New Roman"/>
          <w:b/>
          <w:bCs/>
          <w:color w:val="auto"/>
          <w:highlight w:val="none"/>
          <w:lang w:eastAsia="zh-CN"/>
        </w:rPr>
        <w:t>（</w:t>
      </w:r>
      <w:r>
        <w:rPr>
          <w:rFonts w:hint="eastAsia" w:ascii="宋体" w:hAnsi="宋体" w:cs="Times New Roman"/>
          <w:b/>
          <w:bCs/>
          <w:color w:val="auto"/>
          <w:highlight w:val="none"/>
          <w:lang w:val="en-US" w:eastAsia="zh-CN"/>
        </w:rPr>
        <w:t>4</w:t>
      </w:r>
      <w:r>
        <w:rPr>
          <w:rFonts w:hint="eastAsia" w:ascii="宋体" w:hAnsi="宋体" w:cs="Times New Roman"/>
          <w:b/>
          <w:bCs/>
          <w:color w:val="auto"/>
          <w:highlight w:val="none"/>
          <w:lang w:eastAsia="zh-CN"/>
        </w:rPr>
        <w:t>）评标委员会</w:t>
      </w:r>
      <w:r>
        <w:rPr>
          <w:rFonts w:hint="eastAsia" w:ascii="宋体" w:hAnsi="宋体" w:eastAsia="宋体" w:cs="Times New Roman"/>
          <w:b/>
          <w:bCs/>
          <w:color w:val="auto"/>
          <w:highlight w:val="none"/>
        </w:rPr>
        <w:t>基于专业判断，认为</w:t>
      </w:r>
      <w:r>
        <w:rPr>
          <w:rFonts w:hint="eastAsia" w:ascii="宋体" w:hAnsi="宋体" w:cs="Times New Roman"/>
          <w:b/>
          <w:bCs/>
          <w:color w:val="auto"/>
          <w:highlight w:val="none"/>
          <w:lang w:eastAsia="zh-CN"/>
        </w:rPr>
        <w:t>投标人</w:t>
      </w:r>
      <w:r>
        <w:rPr>
          <w:rFonts w:hint="eastAsia" w:ascii="宋体" w:hAnsi="宋体" w:eastAsia="宋体" w:cs="Times New Roman"/>
          <w:b/>
          <w:bCs/>
          <w:color w:val="auto"/>
          <w:highlight w:val="none"/>
        </w:rPr>
        <w:t>报价过低，有可能影响产品质量或者不能诚信履约的其他情形。</w:t>
      </w:r>
    </w:p>
    <w:p w14:paraId="5AA0A1B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Times New Roman"/>
          <w:color w:val="auto"/>
          <w:highlight w:val="none"/>
        </w:rPr>
      </w:pPr>
      <w:r>
        <w:rPr>
          <w:rFonts w:hint="eastAsia" w:ascii="宋体" w:hAnsi="宋体" w:cs="Times New Roman"/>
          <w:color w:val="auto"/>
          <w:highlight w:val="none"/>
          <w:lang w:val="en-US" w:eastAsia="zh-CN"/>
        </w:rPr>
        <w:t>2.</w:t>
      </w:r>
      <w:r>
        <w:rPr>
          <w:rFonts w:hint="eastAsia" w:ascii="宋体" w:hAnsi="宋体" w:cs="Times New Roman"/>
          <w:color w:val="auto"/>
          <w:highlight w:val="none"/>
          <w:lang w:eastAsia="zh-CN"/>
        </w:rPr>
        <w:t>评标委员会</w:t>
      </w:r>
      <w:r>
        <w:rPr>
          <w:rFonts w:hint="eastAsia" w:ascii="宋体" w:hAnsi="宋体" w:eastAsia="宋体" w:cs="Times New Roman"/>
          <w:color w:val="auto"/>
          <w:highlight w:val="none"/>
        </w:rPr>
        <w:t>启动异常低价投标审查后，属于前述第</w:t>
      </w:r>
      <w:r>
        <w:rPr>
          <w:rFonts w:hint="eastAsia" w:ascii="宋体" w:hAnsi="宋体" w:cs="Times New Roman"/>
          <w:color w:val="auto"/>
          <w:highlight w:val="none"/>
          <w:lang w:eastAsia="zh-CN"/>
        </w:rPr>
        <w:t>（</w:t>
      </w:r>
      <w:r>
        <w:rPr>
          <w:rFonts w:hint="eastAsia" w:ascii="宋体" w:hAnsi="宋体" w:eastAsia="宋体" w:cs="Times New Roman"/>
          <w:color w:val="auto"/>
          <w:highlight w:val="none"/>
        </w:rPr>
        <w:t>1</w:t>
      </w:r>
      <w:r>
        <w:rPr>
          <w:rFonts w:hint="eastAsia" w:ascii="宋体" w:hAnsi="宋体" w:cs="Times New Roman"/>
          <w:color w:val="auto"/>
          <w:highlight w:val="none"/>
          <w:lang w:eastAsia="zh-CN"/>
        </w:rPr>
        <w:t>）</w:t>
      </w:r>
      <w:r>
        <w:rPr>
          <w:rFonts w:hint="eastAsia" w:ascii="宋体" w:hAnsi="宋体" w:eastAsia="宋体" w:cs="Times New Roman"/>
          <w:color w:val="auto"/>
          <w:highlight w:val="none"/>
        </w:rPr>
        <w:t>项至第</w:t>
      </w:r>
      <w:r>
        <w:rPr>
          <w:rFonts w:hint="eastAsia" w:ascii="宋体" w:hAnsi="宋体" w:cs="Times New Roman"/>
          <w:color w:val="auto"/>
          <w:highlight w:val="none"/>
          <w:lang w:eastAsia="zh-CN"/>
        </w:rPr>
        <w:t>（</w:t>
      </w:r>
      <w:r>
        <w:rPr>
          <w:rFonts w:hint="eastAsia" w:ascii="宋体" w:hAnsi="宋体" w:eastAsia="宋体" w:cs="Times New Roman"/>
          <w:color w:val="auto"/>
          <w:highlight w:val="none"/>
        </w:rPr>
        <w:t>4</w:t>
      </w:r>
      <w:r>
        <w:rPr>
          <w:rFonts w:hint="eastAsia" w:ascii="宋体" w:hAnsi="宋体" w:cs="Times New Roman"/>
          <w:color w:val="auto"/>
          <w:highlight w:val="none"/>
          <w:lang w:eastAsia="zh-CN"/>
        </w:rPr>
        <w:t>）</w:t>
      </w:r>
      <w:r>
        <w:rPr>
          <w:rFonts w:hint="eastAsia" w:ascii="宋体" w:hAnsi="宋体" w:eastAsia="宋体" w:cs="Times New Roman"/>
          <w:color w:val="auto"/>
          <w:highlight w:val="none"/>
        </w:rPr>
        <w:t>项情形的</w:t>
      </w:r>
      <w:r>
        <w:rPr>
          <w:rFonts w:hint="eastAsia" w:ascii="宋体" w:hAnsi="宋体" w:cs="Times New Roman"/>
          <w:color w:val="auto"/>
          <w:highlight w:val="none"/>
          <w:lang w:eastAsia="zh-CN"/>
        </w:rPr>
        <w:t>投标人</w:t>
      </w:r>
      <w:r>
        <w:rPr>
          <w:rFonts w:hint="eastAsia" w:ascii="宋体" w:hAnsi="宋体" w:cs="Times New Roman"/>
          <w:color w:val="auto"/>
          <w:highlight w:val="none"/>
          <w:lang w:val="en-US" w:eastAsia="zh-CN"/>
        </w:rPr>
        <w:t>应在30分钟</w:t>
      </w:r>
      <w:r>
        <w:rPr>
          <w:rFonts w:hint="eastAsia" w:ascii="宋体" w:hAnsi="宋体" w:eastAsia="宋体" w:cs="Times New Roman"/>
          <w:color w:val="auto"/>
          <w:highlight w:val="none"/>
        </w:rPr>
        <w:t>内对投标价格作出解释，提供项目具体成本测算等与报价合理性相关的书面说明及必要的证明材料，包括但不限于原材料成本、人工成本、制造费用等。其中，属于第</w:t>
      </w:r>
      <w:r>
        <w:rPr>
          <w:rFonts w:hint="eastAsia" w:ascii="宋体" w:hAnsi="宋体" w:cs="Times New Roman"/>
          <w:color w:val="auto"/>
          <w:highlight w:val="none"/>
          <w:lang w:eastAsia="zh-CN"/>
        </w:rPr>
        <w:t>（</w:t>
      </w:r>
      <w:r>
        <w:rPr>
          <w:rFonts w:hint="eastAsia" w:ascii="宋体" w:hAnsi="宋体" w:eastAsia="宋体" w:cs="Times New Roman"/>
          <w:color w:val="auto"/>
          <w:highlight w:val="none"/>
        </w:rPr>
        <w:t>3</w:t>
      </w:r>
      <w:r>
        <w:rPr>
          <w:rFonts w:hint="eastAsia" w:ascii="宋体" w:hAnsi="宋体" w:cs="Times New Roman"/>
          <w:color w:val="auto"/>
          <w:highlight w:val="none"/>
          <w:lang w:eastAsia="zh-CN"/>
        </w:rPr>
        <w:t>）</w:t>
      </w:r>
      <w:r>
        <w:rPr>
          <w:rFonts w:hint="eastAsia" w:ascii="宋体" w:hAnsi="宋体" w:eastAsia="宋体" w:cs="Times New Roman"/>
          <w:color w:val="auto"/>
          <w:highlight w:val="none"/>
        </w:rPr>
        <w:t>项情形，</w:t>
      </w:r>
      <w:r>
        <w:rPr>
          <w:rFonts w:hint="eastAsia" w:ascii="宋体" w:hAnsi="宋体" w:cs="Times New Roman"/>
          <w:color w:val="auto"/>
          <w:highlight w:val="none"/>
          <w:lang w:eastAsia="zh-CN"/>
        </w:rPr>
        <w:t>投标人</w:t>
      </w:r>
      <w:r>
        <w:rPr>
          <w:rFonts w:hint="eastAsia" w:ascii="宋体" w:hAnsi="宋体" w:eastAsia="宋体" w:cs="Times New Roman"/>
          <w:color w:val="auto"/>
          <w:highlight w:val="none"/>
        </w:rPr>
        <w:t>已随投标文件一并提交相关书面说明及必要的证明材料的，在评审现场可不再重复提交。</w:t>
      </w:r>
    </w:p>
    <w:p w14:paraId="4033309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Times New Roman"/>
          <w:color w:val="auto"/>
          <w:highlight w:val="none"/>
        </w:rPr>
        <w:sectPr>
          <w:headerReference r:id="rId8" w:type="default"/>
          <w:pgSz w:w="11907" w:h="16840"/>
          <w:pgMar w:top="1304" w:right="1588" w:bottom="1304" w:left="1588" w:header="720" w:footer="720" w:gutter="0"/>
          <w:pgBorders>
            <w:top w:val="none" w:sz="0" w:space="0"/>
            <w:left w:val="none" w:sz="0" w:space="0"/>
            <w:bottom w:val="none" w:sz="0" w:space="0"/>
            <w:right w:val="none" w:sz="0" w:space="0"/>
          </w:pgBorders>
          <w:pgNumType w:fmt="decimal"/>
          <w:cols w:space="720" w:num="1"/>
          <w:docGrid w:linePitch="285" w:charSpace="0"/>
        </w:sectPr>
      </w:pPr>
      <w:r>
        <w:rPr>
          <w:rFonts w:hint="eastAsia" w:ascii="宋体" w:hAnsi="宋体" w:cs="Times New Roman"/>
          <w:color w:val="auto"/>
          <w:highlight w:val="none"/>
          <w:lang w:eastAsia="zh-CN"/>
        </w:rPr>
        <w:t>评标委员会</w:t>
      </w:r>
      <w:r>
        <w:rPr>
          <w:rFonts w:hint="eastAsia" w:ascii="宋体" w:hAnsi="宋体" w:eastAsia="宋体" w:cs="Times New Roman"/>
          <w:color w:val="auto"/>
          <w:highlight w:val="none"/>
        </w:rPr>
        <w:t>依据专业经验，参考同类项目中标（成交）价格、类似产品市场价格水平、行业人工费用标准、国家有关部门指导行业协会发布的行业平均成本等情况，对报价合理性进行判断。</w:t>
      </w:r>
      <w:r>
        <w:rPr>
          <w:rFonts w:hint="eastAsia" w:ascii="宋体" w:hAnsi="宋体" w:cs="Times New Roman"/>
          <w:color w:val="auto"/>
          <w:highlight w:val="none"/>
          <w:lang w:eastAsia="zh-CN"/>
        </w:rPr>
        <w:t>投标人</w:t>
      </w:r>
      <w:r>
        <w:rPr>
          <w:rFonts w:hint="eastAsia" w:ascii="宋体" w:hAnsi="宋体" w:eastAsia="宋体" w:cs="Times New Roman"/>
          <w:color w:val="auto"/>
          <w:highlight w:val="none"/>
        </w:rPr>
        <w:t>不能提供书面说明、证明材料，或者提供的书面说明、证明材料不能证明其报价合理性的，</w:t>
      </w:r>
      <w:r>
        <w:rPr>
          <w:rFonts w:hint="eastAsia" w:ascii="宋体" w:hAnsi="宋体" w:cs="Times New Roman"/>
          <w:color w:val="auto"/>
          <w:highlight w:val="none"/>
          <w:lang w:eastAsia="zh-CN"/>
        </w:rPr>
        <w:t>评标委员会</w:t>
      </w:r>
      <w:r>
        <w:rPr>
          <w:rFonts w:hint="eastAsia" w:ascii="宋体" w:hAnsi="宋体" w:eastAsia="宋体" w:cs="Times New Roman"/>
          <w:color w:val="auto"/>
          <w:highlight w:val="none"/>
        </w:rPr>
        <w:t>应当将其作为无效投标处理。</w:t>
      </w:r>
    </w:p>
    <w:p w14:paraId="27517B2C">
      <w:pPr>
        <w:numPr>
          <w:ilvl w:val="0"/>
          <w:numId w:val="0"/>
        </w:numPr>
        <w:spacing w:line="360" w:lineRule="auto"/>
        <w:rPr>
          <w:rFonts w:ascii="宋体" w:hAnsi="宋体" w:cs="宋体"/>
          <w:b/>
          <w:bCs/>
          <w:color w:val="auto"/>
          <w:sz w:val="24"/>
          <w:szCs w:val="24"/>
          <w:highlight w:val="none"/>
        </w:rPr>
      </w:pPr>
      <w:bookmarkStart w:id="118" w:name="_Toc298230960"/>
      <w:r>
        <w:rPr>
          <w:rFonts w:hint="eastAsia" w:ascii="宋体" w:hAnsi="宋体" w:cs="宋体"/>
          <w:b/>
          <w:bCs/>
          <w:color w:val="auto"/>
          <w:sz w:val="24"/>
          <w:szCs w:val="24"/>
          <w:highlight w:val="none"/>
          <w:lang w:val="en-US" w:eastAsia="zh-CN"/>
        </w:rPr>
        <w:t>七、</w:t>
      </w:r>
      <w:r>
        <w:rPr>
          <w:rFonts w:hint="eastAsia" w:ascii="宋体" w:hAnsi="宋体" w:cs="宋体"/>
          <w:b/>
          <w:bCs/>
          <w:color w:val="auto"/>
          <w:sz w:val="24"/>
          <w:szCs w:val="24"/>
          <w:highlight w:val="none"/>
        </w:rPr>
        <w:t>评分标准（兼评委打分表）</w:t>
      </w:r>
    </w:p>
    <w:p w14:paraId="6ADF37A7">
      <w:pPr>
        <w:pStyle w:val="50"/>
        <w:jc w:val="center"/>
        <w:rPr>
          <w:color w:val="auto"/>
          <w:highlight w:val="none"/>
        </w:rPr>
      </w:pPr>
      <w:r>
        <w:rPr>
          <w:rFonts w:hint="eastAsia" w:ascii="宋体" w:hAnsi="宋体"/>
          <w:b/>
          <w:color w:val="auto"/>
          <w:sz w:val="24"/>
          <w:szCs w:val="24"/>
          <w:highlight w:val="none"/>
        </w:rPr>
        <w:t>评分标准</w:t>
      </w:r>
    </w:p>
    <w:p w14:paraId="3F0E2394">
      <w:pPr>
        <w:spacing w:line="360" w:lineRule="auto"/>
        <w:rPr>
          <w:rFonts w:ascii="宋体" w:hAnsi="宋体" w:cs="宋体"/>
          <w:b/>
          <w:bCs/>
          <w:color w:val="auto"/>
          <w:sz w:val="24"/>
          <w:szCs w:val="24"/>
          <w:highlight w:val="none"/>
        </w:rPr>
      </w:pPr>
    </w:p>
    <w:tbl>
      <w:tblPr>
        <w:tblStyle w:val="38"/>
        <w:tblW w:w="9005" w:type="dxa"/>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659"/>
        <w:gridCol w:w="655"/>
        <w:gridCol w:w="987"/>
        <w:gridCol w:w="5990"/>
        <w:gridCol w:w="714"/>
      </w:tblGrid>
      <w:tr w14:paraId="1C2E8DD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59" w:type="dxa"/>
            <w:tcBorders>
              <w:top w:val="single" w:color="auto" w:sz="4" w:space="0"/>
            </w:tcBorders>
            <w:vAlign w:val="center"/>
          </w:tcPr>
          <w:p w14:paraId="7128DF36">
            <w:pPr>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序号</w:t>
            </w:r>
          </w:p>
        </w:tc>
        <w:tc>
          <w:tcPr>
            <w:tcW w:w="655" w:type="dxa"/>
            <w:tcBorders>
              <w:top w:val="single" w:color="auto" w:sz="4" w:space="0"/>
            </w:tcBorders>
            <w:vAlign w:val="center"/>
          </w:tcPr>
          <w:p w14:paraId="1D26AF96">
            <w:pPr>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分类</w:t>
            </w:r>
          </w:p>
        </w:tc>
        <w:tc>
          <w:tcPr>
            <w:tcW w:w="987" w:type="dxa"/>
            <w:tcBorders>
              <w:top w:val="single" w:color="auto" w:sz="4" w:space="0"/>
            </w:tcBorders>
            <w:vAlign w:val="center"/>
          </w:tcPr>
          <w:p w14:paraId="4ADFE151">
            <w:pPr>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评分项</w:t>
            </w:r>
          </w:p>
        </w:tc>
        <w:tc>
          <w:tcPr>
            <w:tcW w:w="5990" w:type="dxa"/>
            <w:tcBorders>
              <w:top w:val="single" w:color="auto" w:sz="4" w:space="0"/>
            </w:tcBorders>
            <w:vAlign w:val="center"/>
          </w:tcPr>
          <w:p w14:paraId="59750625">
            <w:pPr>
              <w:ind w:firstLine="426"/>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评分标准</w:t>
            </w:r>
          </w:p>
        </w:tc>
        <w:tc>
          <w:tcPr>
            <w:tcW w:w="714" w:type="dxa"/>
            <w:tcBorders>
              <w:top w:val="single" w:color="auto" w:sz="4" w:space="0"/>
              <w:bottom w:val="single" w:color="auto" w:sz="4" w:space="0"/>
            </w:tcBorders>
            <w:vAlign w:val="center"/>
          </w:tcPr>
          <w:p w14:paraId="73DBD19C">
            <w:pPr>
              <w:snapToGrid w:val="0"/>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分值</w:t>
            </w:r>
          </w:p>
        </w:tc>
      </w:tr>
      <w:tr w14:paraId="601A219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59" w:type="dxa"/>
            <w:vAlign w:val="center"/>
          </w:tcPr>
          <w:p w14:paraId="0CB08861">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p>
        </w:tc>
        <w:tc>
          <w:tcPr>
            <w:tcW w:w="655" w:type="dxa"/>
            <w:vMerge w:val="restart"/>
            <w:vAlign w:val="center"/>
          </w:tcPr>
          <w:p w14:paraId="67FB3BC3">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商务技术分</w:t>
            </w:r>
          </w:p>
        </w:tc>
        <w:tc>
          <w:tcPr>
            <w:tcW w:w="987" w:type="dxa"/>
            <w:tcBorders>
              <w:top w:val="single" w:color="auto" w:sz="4" w:space="0"/>
            </w:tcBorders>
            <w:vAlign w:val="center"/>
          </w:tcPr>
          <w:p w14:paraId="09927732">
            <w:pPr>
              <w:jc w:val="center"/>
              <w:rPr>
                <w:rFonts w:ascii="宋体" w:hAnsi="宋体" w:cs="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需求响应情况</w:t>
            </w:r>
          </w:p>
        </w:tc>
        <w:tc>
          <w:tcPr>
            <w:tcW w:w="5990" w:type="dxa"/>
            <w:tcBorders>
              <w:top w:val="single" w:color="auto" w:sz="4" w:space="0"/>
            </w:tcBorders>
            <w:vAlign w:val="center"/>
          </w:tcPr>
          <w:p w14:paraId="1C93F90B">
            <w:pPr>
              <w:spacing w:line="360" w:lineRule="auto"/>
              <w:rPr>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根据供应商提供设备的功能和技术参数进行打分,技术参数完全满足或优于需求要求的得</w:t>
            </w:r>
            <w:r>
              <w:rPr>
                <w:rFonts w:ascii="宋体" w:hAnsi="宋体" w:cs="宋体"/>
                <w:color w:val="000000" w:themeColor="text1"/>
                <w:szCs w:val="21"/>
                <w14:textFill>
                  <w14:solidFill>
                    <w14:schemeClr w14:val="tx1"/>
                  </w14:solidFill>
                </w14:textFill>
              </w:rPr>
              <w:t>20</w:t>
            </w:r>
            <w:r>
              <w:rPr>
                <w:rFonts w:hint="eastAsia" w:ascii="宋体" w:hAnsi="宋体" w:cs="宋体"/>
                <w:color w:val="000000" w:themeColor="text1"/>
                <w:szCs w:val="21"/>
                <w14:textFill>
                  <w14:solidFill>
                    <w14:schemeClr w14:val="tx1"/>
                  </w14:solidFill>
                </w14:textFill>
              </w:rPr>
              <w:t>分，</w:t>
            </w:r>
            <w:r>
              <w:rPr>
                <w:rFonts w:hint="eastAsia"/>
                <w:color w:val="000000" w:themeColor="text1"/>
                <w:szCs w:val="21"/>
                <w14:textFill>
                  <w14:solidFill>
                    <w14:schemeClr w14:val="tx1"/>
                  </w14:solidFill>
                </w14:textFill>
              </w:rPr>
              <w:t>其中：标注“</w:t>
            </w:r>
            <w:r>
              <w:rPr>
                <w:rFonts w:hint="eastAsia" w:ascii="宋体" w:hAnsi="宋体" w:cs="宋体"/>
                <w:color w:val="000000" w:themeColor="text1"/>
                <w:kern w:val="0"/>
                <w:szCs w:val="21"/>
                <w14:textFill>
                  <w14:solidFill>
                    <w14:schemeClr w14:val="tx1"/>
                  </w14:solidFill>
                </w14:textFill>
              </w:rPr>
              <w:t>★</w:t>
            </w:r>
            <w:r>
              <w:rPr>
                <w:rFonts w:hint="eastAsia"/>
                <w:color w:val="000000" w:themeColor="text1"/>
                <w:szCs w:val="21"/>
                <w14:textFill>
                  <w14:solidFill>
                    <w14:schemeClr w14:val="tx1"/>
                  </w14:solidFill>
                </w14:textFill>
              </w:rPr>
              <w:t>”的条款，每一项负偏离或未响应扣2分，其他条款，每一项负偏离或未响应扣1分；扣分大于20分的作响应无效处理。</w:t>
            </w:r>
          </w:p>
          <w:p w14:paraId="12743448">
            <w:pPr>
              <w:spacing w:line="360" w:lineRule="auto"/>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注：以采购需求偏离和建议调整表和</w:t>
            </w:r>
            <w:r>
              <w:rPr>
                <w:rFonts w:hint="eastAsia" w:ascii="宋体" w:hAnsi="宋体" w:cs="宋体"/>
                <w:color w:val="000000" w:themeColor="text1"/>
                <w:szCs w:val="21"/>
                <w14:textFill>
                  <w14:solidFill>
                    <w14:schemeClr w14:val="tx1"/>
                  </w14:solidFill>
                </w14:textFill>
              </w:rPr>
              <w:t>采购需求</w:t>
            </w:r>
            <w:r>
              <w:rPr>
                <w:rFonts w:hint="eastAsia"/>
                <w:color w:val="000000" w:themeColor="text1"/>
                <w:szCs w:val="21"/>
                <w14:textFill>
                  <w14:solidFill>
                    <w14:schemeClr w14:val="tx1"/>
                  </w14:solidFill>
                </w14:textFill>
              </w:rPr>
              <w:t>“技术参数要求”中要求提供的证明材料作为评审依据。</w:t>
            </w:r>
          </w:p>
        </w:tc>
        <w:tc>
          <w:tcPr>
            <w:tcW w:w="714" w:type="dxa"/>
            <w:tcBorders>
              <w:top w:val="single" w:color="auto" w:sz="4" w:space="0"/>
            </w:tcBorders>
            <w:vAlign w:val="center"/>
          </w:tcPr>
          <w:p w14:paraId="2C73D895">
            <w:pPr>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20分</w:t>
            </w:r>
          </w:p>
        </w:tc>
      </w:tr>
      <w:tr w14:paraId="439A376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518" w:hRule="atLeast"/>
          <w:jc w:val="center"/>
        </w:trPr>
        <w:tc>
          <w:tcPr>
            <w:tcW w:w="659" w:type="dxa"/>
            <w:vAlign w:val="center"/>
          </w:tcPr>
          <w:p w14:paraId="28AD8649">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w:t>
            </w:r>
          </w:p>
        </w:tc>
        <w:tc>
          <w:tcPr>
            <w:tcW w:w="655" w:type="dxa"/>
            <w:vMerge w:val="continue"/>
            <w:vAlign w:val="center"/>
          </w:tcPr>
          <w:p w14:paraId="3F1EF752">
            <w:pPr>
              <w:rPr>
                <w:rFonts w:ascii="宋体" w:hAnsi="宋体" w:cs="宋体"/>
                <w:color w:val="000000" w:themeColor="text1"/>
                <w:szCs w:val="21"/>
                <w14:textFill>
                  <w14:solidFill>
                    <w14:schemeClr w14:val="tx1"/>
                  </w14:solidFill>
                </w14:textFill>
              </w:rPr>
            </w:pPr>
          </w:p>
        </w:tc>
        <w:tc>
          <w:tcPr>
            <w:tcW w:w="987" w:type="dxa"/>
            <w:tcBorders>
              <w:top w:val="single" w:color="auto" w:sz="4" w:space="0"/>
            </w:tcBorders>
            <w:vAlign w:val="center"/>
          </w:tcPr>
          <w:p w14:paraId="4E6CFCE3">
            <w:pPr>
              <w:spacing w:line="360" w:lineRule="exact"/>
              <w:jc w:val="center"/>
              <w:rPr>
                <w:rFonts w:ascii="宋体" w:hAnsi="宋体" w:cs="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项目需求理解</w:t>
            </w:r>
          </w:p>
        </w:tc>
        <w:tc>
          <w:tcPr>
            <w:tcW w:w="5990" w:type="dxa"/>
            <w:tcBorders>
              <w:top w:val="single" w:color="auto" w:sz="4" w:space="0"/>
            </w:tcBorders>
            <w:vAlign w:val="center"/>
          </w:tcPr>
          <w:p w14:paraId="6B76D06B">
            <w:pPr>
              <w:spacing w:line="360" w:lineRule="auto"/>
              <w:rPr>
                <w:rFonts w:ascii="宋体" w:hAnsi="宋体" w:cs="仿宋_GB2312"/>
                <w:color w:val="000000" w:themeColor="text1"/>
                <w:kern w:val="0"/>
                <w:szCs w:val="21"/>
                <w14:textFill>
                  <w14:solidFill>
                    <w14:schemeClr w14:val="tx1"/>
                  </w14:solidFill>
                </w14:textFill>
              </w:rPr>
            </w:pPr>
            <w:r>
              <w:rPr>
                <w:rFonts w:hint="eastAsia" w:ascii="宋体" w:hAnsi="宋体" w:cs="仿宋_GB2312"/>
                <w:color w:val="000000" w:themeColor="text1"/>
                <w:kern w:val="0"/>
                <w:szCs w:val="21"/>
                <w14:textFill>
                  <w14:solidFill>
                    <w14:schemeClr w14:val="tx1"/>
                  </w14:solidFill>
                </w14:textFill>
              </w:rPr>
              <w:t>根据供应商对本项目需求的理解透彻程度，</w:t>
            </w:r>
            <w:r>
              <w:rPr>
                <w:rFonts w:hint="eastAsia" w:ascii="宋体" w:hAnsi="宋体"/>
                <w:color w:val="000000" w:themeColor="text1"/>
                <w:szCs w:val="21"/>
                <w14:textFill>
                  <w14:solidFill>
                    <w14:schemeClr w14:val="tx1"/>
                  </w14:solidFill>
                </w14:textFill>
              </w:rPr>
              <w:t>项目建设方案与项目需求的吻合程度</w:t>
            </w:r>
            <w:r>
              <w:rPr>
                <w:rFonts w:hint="eastAsia" w:ascii="宋体" w:hAnsi="宋体" w:cs="仿宋_GB2312"/>
                <w:color w:val="000000" w:themeColor="text1"/>
                <w:kern w:val="0"/>
                <w:szCs w:val="21"/>
                <w14:textFill>
                  <w14:solidFill>
                    <w14:schemeClr w14:val="tx1"/>
                  </w14:solidFill>
                </w14:textFill>
              </w:rPr>
              <w:t>进行综合评议，本项最多得5分。</w:t>
            </w:r>
          </w:p>
          <w:p w14:paraId="2BBA55EF">
            <w:pPr>
              <w:spacing w:line="360" w:lineRule="auto"/>
              <w:rPr>
                <w:rFonts w:ascii="宋体" w:hAnsi="宋体" w:cs="仿宋_GB2312"/>
                <w:color w:val="000000" w:themeColor="text1"/>
                <w:kern w:val="0"/>
                <w:szCs w:val="21"/>
                <w14:textFill>
                  <w14:solidFill>
                    <w14:schemeClr w14:val="tx1"/>
                  </w14:solidFill>
                </w14:textFill>
              </w:rPr>
            </w:pPr>
            <w:r>
              <w:rPr>
                <w:rFonts w:hint="eastAsia" w:ascii="宋体" w:hAnsi="宋体" w:cs="仿宋_GB2312"/>
                <w:color w:val="000000" w:themeColor="text1"/>
                <w:kern w:val="0"/>
                <w:szCs w:val="21"/>
                <w14:textFill>
                  <w14:solidFill>
                    <w14:schemeClr w14:val="tx1"/>
                  </w14:solidFill>
                </w14:textFill>
              </w:rPr>
              <w:t>①根据供应商对本项目需求的理解程度，项目建设方案满足项目实际需求的，提供详细的数字法庭深化设计图；提供详细的数字法庭详细设备连接图，得5分；</w:t>
            </w:r>
          </w:p>
          <w:p w14:paraId="628FA0FD">
            <w:pPr>
              <w:spacing w:line="360" w:lineRule="auto"/>
              <w:rPr>
                <w:rFonts w:ascii="宋体" w:hAnsi="宋体" w:cs="仿宋_GB2312"/>
                <w:color w:val="000000" w:themeColor="text1"/>
                <w:kern w:val="0"/>
                <w:szCs w:val="21"/>
                <w14:textFill>
                  <w14:solidFill>
                    <w14:schemeClr w14:val="tx1"/>
                  </w14:solidFill>
                </w14:textFill>
              </w:rPr>
            </w:pPr>
            <w:r>
              <w:rPr>
                <w:rFonts w:hint="eastAsia" w:ascii="宋体" w:hAnsi="宋体" w:cs="仿宋_GB2312"/>
                <w:color w:val="000000" w:themeColor="text1"/>
                <w:kern w:val="0"/>
                <w:szCs w:val="21"/>
                <w14:textFill>
                  <w14:solidFill>
                    <w14:schemeClr w14:val="tx1"/>
                  </w14:solidFill>
                </w14:textFill>
              </w:rPr>
              <w:t>②根据供应商对本项目需求的理解程度，项目建设方案部分满足项目实际需求的，提供粗略的数字法庭深化设计图；提供粗略的数字法庭详细设备连接图，得3分；</w:t>
            </w:r>
          </w:p>
          <w:p w14:paraId="47710156">
            <w:pPr>
              <w:spacing w:line="360" w:lineRule="auto"/>
              <w:rPr>
                <w:rFonts w:ascii="宋体" w:hAnsi="宋体" w:cs="仿宋_GB2312"/>
                <w:color w:val="000000" w:themeColor="text1"/>
                <w:kern w:val="0"/>
                <w:szCs w:val="21"/>
                <w14:textFill>
                  <w14:solidFill>
                    <w14:schemeClr w14:val="tx1"/>
                  </w14:solidFill>
                </w14:textFill>
              </w:rPr>
            </w:pPr>
            <w:r>
              <w:rPr>
                <w:rFonts w:hint="eastAsia" w:ascii="宋体" w:hAnsi="宋体" w:cs="仿宋_GB2312"/>
                <w:color w:val="000000" w:themeColor="text1"/>
                <w:kern w:val="0"/>
                <w:szCs w:val="21"/>
                <w14:textFill>
                  <w14:solidFill>
                    <w14:schemeClr w14:val="tx1"/>
                  </w14:solidFill>
                </w14:textFill>
              </w:rPr>
              <w:t>③根据供应商对本项目需求的理解程度，项目建设方案不满足项目实际需求的，部分缺少或无法提供深化设计图与设备连接图，得1分。</w:t>
            </w:r>
          </w:p>
          <w:p w14:paraId="05CF87E4">
            <w:pPr>
              <w:spacing w:line="360" w:lineRule="auto"/>
              <w:rPr>
                <w:rFonts w:ascii="宋体" w:hAnsi="宋体" w:cs="宋体"/>
                <w:color w:val="000000" w:themeColor="text1"/>
                <w:szCs w:val="21"/>
                <w14:textFill>
                  <w14:solidFill>
                    <w14:schemeClr w14:val="tx1"/>
                  </w14:solidFill>
                </w14:textFill>
              </w:rPr>
            </w:pPr>
            <w:r>
              <w:rPr>
                <w:rFonts w:hint="eastAsia" w:ascii="宋体" w:hAnsi="宋体" w:cs="仿宋_GB2312"/>
                <w:color w:val="000000" w:themeColor="text1"/>
                <w:kern w:val="0"/>
                <w:szCs w:val="21"/>
                <w14:textFill>
                  <w14:solidFill>
                    <w14:schemeClr w14:val="tx1"/>
                  </w14:solidFill>
                </w14:textFill>
              </w:rPr>
              <w:t>④未提供不得分。</w:t>
            </w:r>
          </w:p>
        </w:tc>
        <w:tc>
          <w:tcPr>
            <w:tcW w:w="714" w:type="dxa"/>
            <w:tcBorders>
              <w:top w:val="single" w:color="auto" w:sz="4" w:space="0"/>
            </w:tcBorders>
            <w:vAlign w:val="center"/>
          </w:tcPr>
          <w:p w14:paraId="0A02CAF0">
            <w:pPr>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5分</w:t>
            </w:r>
          </w:p>
        </w:tc>
      </w:tr>
      <w:tr w14:paraId="21A84AB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408" w:hRule="atLeast"/>
          <w:jc w:val="center"/>
        </w:trPr>
        <w:tc>
          <w:tcPr>
            <w:tcW w:w="659" w:type="dxa"/>
            <w:vAlign w:val="center"/>
          </w:tcPr>
          <w:p w14:paraId="10F16CDC">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w:t>
            </w:r>
          </w:p>
        </w:tc>
        <w:tc>
          <w:tcPr>
            <w:tcW w:w="655" w:type="dxa"/>
            <w:vMerge w:val="continue"/>
            <w:vAlign w:val="center"/>
          </w:tcPr>
          <w:p w14:paraId="6B4CF4E9">
            <w:pPr>
              <w:rPr>
                <w:rFonts w:ascii="宋体" w:hAnsi="宋体" w:cs="宋体"/>
                <w:color w:val="000000" w:themeColor="text1"/>
                <w:szCs w:val="21"/>
                <w14:textFill>
                  <w14:solidFill>
                    <w14:schemeClr w14:val="tx1"/>
                  </w14:solidFill>
                </w14:textFill>
              </w:rPr>
            </w:pPr>
          </w:p>
        </w:tc>
        <w:tc>
          <w:tcPr>
            <w:tcW w:w="987" w:type="dxa"/>
            <w:vMerge w:val="restart"/>
            <w:tcBorders>
              <w:top w:val="single" w:color="auto" w:sz="4" w:space="0"/>
            </w:tcBorders>
            <w:vAlign w:val="center"/>
          </w:tcPr>
          <w:p w14:paraId="06250DA4">
            <w:pPr>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实施</w:t>
            </w:r>
          </w:p>
          <w:p w14:paraId="0F25420B">
            <w:pPr>
              <w:jc w:val="center"/>
              <w:rPr>
                <w:rFonts w:ascii="宋体" w:hAnsi="宋体" w:cs="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方案</w:t>
            </w:r>
          </w:p>
        </w:tc>
        <w:tc>
          <w:tcPr>
            <w:tcW w:w="5990" w:type="dxa"/>
            <w:tcBorders>
              <w:top w:val="single" w:color="auto" w:sz="4" w:space="0"/>
            </w:tcBorders>
            <w:vAlign w:val="center"/>
          </w:tcPr>
          <w:p w14:paraId="0A407436">
            <w:pPr>
              <w:adjustRightInd w:val="0"/>
              <w:spacing w:line="360" w:lineRule="auto"/>
              <w:jc w:val="left"/>
              <w:textAlignment w:val="baseline"/>
              <w:rPr>
                <w:rFonts w:ascii="宋体" w:hAnsi="宋体" w:cs="新宋体"/>
                <w:color w:val="000000" w:themeColor="text1"/>
                <w:szCs w:val="21"/>
                <w14:textFill>
                  <w14:solidFill>
                    <w14:schemeClr w14:val="tx1"/>
                  </w14:solidFill>
                </w14:textFill>
              </w:rPr>
            </w:pPr>
            <w:r>
              <w:rPr>
                <w:rFonts w:hint="eastAsia" w:ascii="宋体" w:hAnsi="宋体" w:cs="新宋体"/>
                <w:color w:val="000000" w:themeColor="text1"/>
                <w:szCs w:val="21"/>
                <w14:textFill>
                  <w14:solidFill>
                    <w14:schemeClr w14:val="tx1"/>
                  </w14:solidFill>
                </w14:textFill>
              </w:rPr>
              <w:t>（1）对实施方案里提供的设备材料的供应、运输、安装、软件开发、技术服务、验收、调试、售后服务等内容进行综合评议</w:t>
            </w:r>
            <w:r>
              <w:rPr>
                <w:rFonts w:hint="eastAsia" w:ascii="宋体" w:hAnsi="宋体" w:cs="仿宋_GB2312"/>
                <w:color w:val="000000" w:themeColor="text1"/>
                <w:kern w:val="0"/>
                <w:szCs w:val="21"/>
                <w14:textFill>
                  <w14:solidFill>
                    <w14:schemeClr w14:val="tx1"/>
                  </w14:solidFill>
                </w14:textFill>
              </w:rPr>
              <w:t>，本项最多得</w:t>
            </w:r>
            <w:r>
              <w:rPr>
                <w:rFonts w:ascii="宋体" w:hAnsi="宋体" w:cs="仿宋_GB2312"/>
                <w:color w:val="000000" w:themeColor="text1"/>
                <w:kern w:val="0"/>
                <w:szCs w:val="21"/>
                <w14:textFill>
                  <w14:solidFill>
                    <w14:schemeClr w14:val="tx1"/>
                  </w14:solidFill>
                </w14:textFill>
              </w:rPr>
              <w:t>5</w:t>
            </w:r>
            <w:r>
              <w:rPr>
                <w:rFonts w:hint="eastAsia" w:ascii="宋体" w:hAnsi="宋体" w:cs="仿宋_GB2312"/>
                <w:color w:val="000000" w:themeColor="text1"/>
                <w:kern w:val="0"/>
                <w:szCs w:val="21"/>
                <w14:textFill>
                  <w14:solidFill>
                    <w14:schemeClr w14:val="tx1"/>
                  </w14:solidFill>
                </w14:textFill>
              </w:rPr>
              <w:t>分。</w:t>
            </w:r>
          </w:p>
          <w:p w14:paraId="0221D283">
            <w:pPr>
              <w:spacing w:line="360" w:lineRule="auto"/>
              <w:ind w:right="-10"/>
              <w:jc w:val="left"/>
              <w:rPr>
                <w:rFonts w:ascii="宋体" w:hAnsi="宋体" w:cs="宋体"/>
                <w:szCs w:val="21"/>
              </w:rPr>
            </w:pPr>
            <w:r>
              <w:rPr>
                <w:rFonts w:hint="eastAsia" w:ascii="宋体" w:hAnsi="宋体" w:cs="宋体"/>
                <w:szCs w:val="21"/>
              </w:rPr>
              <w:t>①供应商提供的</w:t>
            </w:r>
            <w:r>
              <w:rPr>
                <w:rFonts w:hint="eastAsia" w:ascii="宋体" w:hAnsi="宋体" w:cs="宋体"/>
                <w:spacing w:val="10"/>
                <w:szCs w:val="21"/>
              </w:rPr>
              <w:t>方案内容详实且具体，表达精准，条理分明的得5分；</w:t>
            </w:r>
          </w:p>
          <w:p w14:paraId="2D9324F8">
            <w:pPr>
              <w:spacing w:line="360" w:lineRule="auto"/>
              <w:ind w:right="-10"/>
              <w:jc w:val="left"/>
              <w:rPr>
                <w:rFonts w:ascii="宋体" w:hAnsi="宋体" w:cs="宋体"/>
                <w:spacing w:val="10"/>
                <w:szCs w:val="21"/>
              </w:rPr>
            </w:pPr>
            <w:r>
              <w:rPr>
                <w:rFonts w:hint="eastAsia" w:ascii="宋体" w:hAnsi="宋体" w:cs="宋体"/>
                <w:szCs w:val="21"/>
              </w:rPr>
              <w:t>②供应商提供的</w:t>
            </w:r>
            <w:r>
              <w:rPr>
                <w:rFonts w:hint="eastAsia" w:ascii="宋体" w:hAnsi="宋体" w:cs="宋体"/>
                <w:spacing w:val="10"/>
                <w:szCs w:val="21"/>
              </w:rPr>
              <w:t>方案内容包含重点要素，仅存在内容不够细化（深入）或方案描述在逻辑性及条理性上</w:t>
            </w:r>
            <w:r>
              <w:rPr>
                <w:rFonts w:hint="eastAsia" w:ascii="宋体" w:hAnsi="宋体" w:cs="宋体"/>
                <w:szCs w:val="21"/>
              </w:rPr>
              <w:t>略有不足但不会对项目实施造成明显影响的</w:t>
            </w:r>
            <w:r>
              <w:rPr>
                <w:rFonts w:hint="eastAsia" w:ascii="宋体" w:hAnsi="宋体" w:cs="Helvetica"/>
                <w:shd w:val="clear" w:color="auto" w:fill="FFFFFF"/>
              </w:rPr>
              <w:t>得3分；</w:t>
            </w:r>
          </w:p>
          <w:p w14:paraId="150DC254">
            <w:pPr>
              <w:spacing w:line="360" w:lineRule="auto"/>
              <w:ind w:right="-10"/>
              <w:jc w:val="left"/>
              <w:rPr>
                <w:rFonts w:ascii="宋体" w:hAnsi="宋体" w:cs="宋体"/>
                <w:spacing w:val="7"/>
                <w:szCs w:val="21"/>
              </w:rPr>
            </w:pPr>
            <w:r>
              <w:rPr>
                <w:rFonts w:hint="eastAsia" w:ascii="宋体" w:hAnsi="宋体" w:cs="宋体"/>
                <w:szCs w:val="21"/>
              </w:rPr>
              <w:t>③供应商提供的</w:t>
            </w:r>
            <w:r>
              <w:rPr>
                <w:rFonts w:hint="eastAsia" w:ascii="宋体" w:hAnsi="宋体" w:cs="宋体"/>
                <w:spacing w:val="7"/>
                <w:szCs w:val="21"/>
              </w:rPr>
              <w:t>方案存在缺乏细节或描述笼统或逻辑不清的得1分；</w:t>
            </w:r>
          </w:p>
          <w:p w14:paraId="196C7A8E">
            <w:pPr>
              <w:spacing w:line="360" w:lineRule="auto"/>
              <w:ind w:right="-10"/>
              <w:jc w:val="left"/>
              <w:rPr>
                <w:color w:val="000000" w:themeColor="text1"/>
                <w14:textFill>
                  <w14:solidFill>
                    <w14:schemeClr w14:val="tx1"/>
                  </w14:solidFill>
                </w14:textFill>
              </w:rPr>
            </w:pPr>
            <w:r>
              <w:rPr>
                <w:rFonts w:hint="eastAsia" w:ascii="宋体" w:hAnsi="宋体"/>
                <w:color w:val="000000" w:themeColor="text1"/>
                <w:szCs w:val="21"/>
                <w14:textFill>
                  <w14:solidFill>
                    <w14:schemeClr w14:val="tx1"/>
                  </w14:solidFill>
                </w14:textFill>
              </w:rPr>
              <w:t>④</w:t>
            </w:r>
            <w:r>
              <w:rPr>
                <w:rFonts w:hint="eastAsia" w:ascii="宋体" w:hAnsi="宋体" w:cs="仿宋_GB2312"/>
                <w:color w:val="000000" w:themeColor="text1"/>
                <w:kern w:val="0"/>
                <w:szCs w:val="21"/>
                <w14:textFill>
                  <w14:solidFill>
                    <w14:schemeClr w14:val="tx1"/>
                  </w14:solidFill>
                </w14:textFill>
              </w:rPr>
              <w:t>未提供不得分。</w:t>
            </w:r>
          </w:p>
        </w:tc>
        <w:tc>
          <w:tcPr>
            <w:tcW w:w="714" w:type="dxa"/>
            <w:tcBorders>
              <w:top w:val="single" w:color="auto" w:sz="4" w:space="0"/>
            </w:tcBorders>
            <w:vAlign w:val="center"/>
          </w:tcPr>
          <w:p w14:paraId="43255080">
            <w:pPr>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5分</w:t>
            </w:r>
          </w:p>
        </w:tc>
      </w:tr>
      <w:tr w14:paraId="2D27E2F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59" w:type="dxa"/>
            <w:vAlign w:val="center"/>
          </w:tcPr>
          <w:p w14:paraId="5F83F4C3">
            <w:pPr>
              <w:jc w:val="center"/>
              <w:rPr>
                <w:rFonts w:ascii="宋体" w:hAnsi="宋体" w:cs="宋体"/>
                <w:color w:val="000000" w:themeColor="text1"/>
                <w:szCs w:val="21"/>
                <w14:textFill>
                  <w14:solidFill>
                    <w14:schemeClr w14:val="tx1"/>
                  </w14:solidFill>
                </w14:textFill>
              </w:rPr>
            </w:pPr>
            <w:r>
              <w:rPr>
                <w:rFonts w:ascii="宋体" w:hAnsi="宋体" w:cs="宋体"/>
                <w:color w:val="000000" w:themeColor="text1"/>
                <w:szCs w:val="21"/>
                <w14:textFill>
                  <w14:solidFill>
                    <w14:schemeClr w14:val="tx1"/>
                  </w14:solidFill>
                </w14:textFill>
              </w:rPr>
              <w:t>4</w:t>
            </w:r>
          </w:p>
        </w:tc>
        <w:tc>
          <w:tcPr>
            <w:tcW w:w="655" w:type="dxa"/>
            <w:vMerge w:val="continue"/>
            <w:textDirection w:val="tbRlV"/>
            <w:vAlign w:val="center"/>
          </w:tcPr>
          <w:p w14:paraId="660EED19">
            <w:pPr>
              <w:pStyle w:val="17"/>
              <w:spacing w:before="156" w:after="156"/>
              <w:ind w:left="400" w:firstLine="420"/>
              <w:rPr>
                <w:rFonts w:ascii="宋体" w:hAnsi="宋体" w:cs="宋体"/>
                <w:color w:val="000000" w:themeColor="text1"/>
                <w:szCs w:val="21"/>
                <w14:textFill>
                  <w14:solidFill>
                    <w14:schemeClr w14:val="tx1"/>
                  </w14:solidFill>
                </w14:textFill>
              </w:rPr>
            </w:pPr>
          </w:p>
        </w:tc>
        <w:tc>
          <w:tcPr>
            <w:tcW w:w="987" w:type="dxa"/>
            <w:vMerge w:val="continue"/>
            <w:vAlign w:val="center"/>
          </w:tcPr>
          <w:p w14:paraId="55F16595">
            <w:pPr>
              <w:jc w:val="center"/>
              <w:rPr>
                <w:rFonts w:ascii="宋体" w:hAnsi="宋体" w:cs="宋体"/>
                <w:color w:val="000000" w:themeColor="text1"/>
                <w:szCs w:val="21"/>
                <w14:textFill>
                  <w14:solidFill>
                    <w14:schemeClr w14:val="tx1"/>
                  </w14:solidFill>
                </w14:textFill>
              </w:rPr>
            </w:pPr>
          </w:p>
        </w:tc>
        <w:tc>
          <w:tcPr>
            <w:tcW w:w="5990" w:type="dxa"/>
            <w:tcBorders>
              <w:top w:val="single" w:color="auto" w:sz="4" w:space="0"/>
            </w:tcBorders>
            <w:shd w:val="clear" w:color="auto" w:fill="auto"/>
            <w:vAlign w:val="center"/>
          </w:tcPr>
          <w:p w14:paraId="0DCB074A">
            <w:pPr>
              <w:adjustRightInd w:val="0"/>
              <w:spacing w:line="360" w:lineRule="auto"/>
              <w:jc w:val="left"/>
              <w:textAlignment w:val="baseline"/>
              <w:rPr>
                <w:rFonts w:ascii="宋体" w:hAnsi="宋体" w:cs="新宋体"/>
                <w:color w:val="000000" w:themeColor="text1"/>
                <w:szCs w:val="21"/>
                <w14:textFill>
                  <w14:solidFill>
                    <w14:schemeClr w14:val="tx1"/>
                  </w14:solidFill>
                </w14:textFill>
              </w:rPr>
            </w:pPr>
            <w:r>
              <w:rPr>
                <w:rFonts w:hint="eastAsia" w:ascii="宋体" w:hAnsi="宋体" w:cs="新宋体"/>
                <w:color w:val="000000" w:themeColor="text1"/>
                <w:szCs w:val="21"/>
                <w14:textFill>
                  <w14:solidFill>
                    <w14:schemeClr w14:val="tx1"/>
                  </w14:solidFill>
                </w14:textFill>
              </w:rPr>
              <w:t>（2）对实施方案里提供的项目实施管理组织方案、组织机构、工作时间进度表、重点难点的分析及对策、工作程序和步骤、管理和协调方法、关键步骤的思路和要点等方面进行综合评议，本项最多得3分。</w:t>
            </w:r>
          </w:p>
          <w:p w14:paraId="15DB7A2F">
            <w:pPr>
              <w:spacing w:line="360" w:lineRule="auto"/>
              <w:ind w:right="-10"/>
              <w:jc w:val="left"/>
              <w:rPr>
                <w:rFonts w:ascii="宋体" w:hAnsi="宋体" w:cs="宋体"/>
                <w:szCs w:val="21"/>
              </w:rPr>
            </w:pPr>
            <w:r>
              <w:rPr>
                <w:rFonts w:hint="eastAsia" w:ascii="宋体" w:hAnsi="宋体" w:cs="宋体"/>
                <w:szCs w:val="21"/>
              </w:rPr>
              <w:t>①供应商提供的</w:t>
            </w:r>
            <w:r>
              <w:rPr>
                <w:rFonts w:hint="eastAsia" w:ascii="宋体" w:hAnsi="宋体" w:cs="宋体"/>
                <w:spacing w:val="10"/>
                <w:szCs w:val="21"/>
              </w:rPr>
              <w:t>方案内容详实且具体，表达精准，条理分明的得3分；</w:t>
            </w:r>
          </w:p>
          <w:p w14:paraId="18CB9659">
            <w:pPr>
              <w:spacing w:line="360" w:lineRule="auto"/>
              <w:ind w:right="-10"/>
              <w:jc w:val="left"/>
              <w:rPr>
                <w:rFonts w:ascii="宋体" w:hAnsi="宋体" w:cs="宋体"/>
                <w:spacing w:val="10"/>
                <w:szCs w:val="21"/>
              </w:rPr>
            </w:pPr>
            <w:r>
              <w:rPr>
                <w:rFonts w:hint="eastAsia" w:ascii="宋体" w:hAnsi="宋体" w:cs="宋体"/>
                <w:szCs w:val="21"/>
              </w:rPr>
              <w:t>②供应商提供的</w:t>
            </w:r>
            <w:r>
              <w:rPr>
                <w:rFonts w:hint="eastAsia" w:ascii="宋体" w:hAnsi="宋体" w:cs="宋体"/>
                <w:spacing w:val="10"/>
                <w:szCs w:val="21"/>
              </w:rPr>
              <w:t>方案内容包含重点要素，仅存在内容不够细化（深入）或方案描述在逻辑性及条理性上</w:t>
            </w:r>
            <w:r>
              <w:rPr>
                <w:rFonts w:hint="eastAsia" w:ascii="宋体" w:hAnsi="宋体" w:cs="宋体"/>
                <w:szCs w:val="21"/>
              </w:rPr>
              <w:t>略有不足但不会对项目实施造成明显影响的</w:t>
            </w:r>
            <w:r>
              <w:rPr>
                <w:rFonts w:hint="eastAsia" w:ascii="宋体" w:hAnsi="宋体" w:cs="Helvetica"/>
                <w:shd w:val="clear" w:color="auto" w:fill="FFFFFF"/>
              </w:rPr>
              <w:t>得2分；</w:t>
            </w:r>
          </w:p>
          <w:p w14:paraId="3E702933">
            <w:pPr>
              <w:spacing w:line="360" w:lineRule="auto"/>
              <w:ind w:right="-10"/>
              <w:jc w:val="left"/>
              <w:rPr>
                <w:rFonts w:ascii="宋体" w:hAnsi="宋体" w:cs="宋体"/>
                <w:spacing w:val="7"/>
                <w:szCs w:val="21"/>
              </w:rPr>
            </w:pPr>
            <w:r>
              <w:rPr>
                <w:rFonts w:hint="eastAsia" w:ascii="宋体" w:hAnsi="宋体" w:cs="宋体"/>
                <w:szCs w:val="21"/>
              </w:rPr>
              <w:t>③供应商提供的</w:t>
            </w:r>
            <w:r>
              <w:rPr>
                <w:rFonts w:hint="eastAsia" w:ascii="宋体" w:hAnsi="宋体" w:cs="宋体"/>
                <w:spacing w:val="7"/>
                <w:szCs w:val="21"/>
              </w:rPr>
              <w:t>方案存在缺乏细节或描述笼统或逻辑不清的得1分；</w:t>
            </w:r>
          </w:p>
          <w:p w14:paraId="1BB897E6">
            <w:pPr>
              <w:spacing w:line="360" w:lineRule="auto"/>
              <w:rPr>
                <w:rFonts w:ascii="宋体" w:hAnsi="宋体" w:cs="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④</w:t>
            </w:r>
            <w:r>
              <w:rPr>
                <w:rFonts w:hint="eastAsia" w:ascii="宋体" w:hAnsi="宋体" w:cs="仿宋_GB2312"/>
                <w:color w:val="000000" w:themeColor="text1"/>
                <w:kern w:val="0"/>
                <w:szCs w:val="21"/>
                <w14:textFill>
                  <w14:solidFill>
                    <w14:schemeClr w14:val="tx1"/>
                  </w14:solidFill>
                </w14:textFill>
              </w:rPr>
              <w:t>未提供不得分。</w:t>
            </w:r>
          </w:p>
        </w:tc>
        <w:tc>
          <w:tcPr>
            <w:tcW w:w="714" w:type="dxa"/>
            <w:tcBorders>
              <w:top w:val="single" w:color="auto" w:sz="4" w:space="0"/>
              <w:bottom w:val="single" w:color="auto" w:sz="4" w:space="0"/>
            </w:tcBorders>
            <w:vAlign w:val="center"/>
          </w:tcPr>
          <w:p w14:paraId="12859002">
            <w:pPr>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3分</w:t>
            </w:r>
          </w:p>
        </w:tc>
      </w:tr>
      <w:tr w14:paraId="08CAC69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59" w:type="dxa"/>
            <w:vAlign w:val="center"/>
          </w:tcPr>
          <w:p w14:paraId="62CA9931">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w:t>
            </w:r>
          </w:p>
        </w:tc>
        <w:tc>
          <w:tcPr>
            <w:tcW w:w="655" w:type="dxa"/>
            <w:vMerge w:val="continue"/>
            <w:vAlign w:val="center"/>
          </w:tcPr>
          <w:p w14:paraId="2E8A8729">
            <w:pPr>
              <w:ind w:firstLine="426"/>
              <w:jc w:val="center"/>
              <w:rPr>
                <w:rFonts w:ascii="宋体" w:hAnsi="宋体" w:cs="宋体"/>
                <w:color w:val="000000" w:themeColor="text1"/>
                <w:szCs w:val="21"/>
                <w14:textFill>
                  <w14:solidFill>
                    <w14:schemeClr w14:val="tx1"/>
                  </w14:solidFill>
                </w14:textFill>
              </w:rPr>
            </w:pPr>
          </w:p>
        </w:tc>
        <w:tc>
          <w:tcPr>
            <w:tcW w:w="987" w:type="dxa"/>
            <w:tcBorders>
              <w:right w:val="single" w:color="auto" w:sz="4" w:space="0"/>
            </w:tcBorders>
            <w:vAlign w:val="center"/>
          </w:tcPr>
          <w:p w14:paraId="6A097404">
            <w:pPr>
              <w:spacing w:line="360" w:lineRule="exact"/>
              <w:jc w:val="center"/>
              <w:rPr>
                <w:rFonts w:ascii="宋体" w:hAnsi="宋体" w:cs="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项目应急预案及处置措施</w:t>
            </w:r>
          </w:p>
        </w:tc>
        <w:tc>
          <w:tcPr>
            <w:tcW w:w="5990" w:type="dxa"/>
            <w:tcBorders>
              <w:left w:val="single" w:color="auto" w:sz="4" w:space="0"/>
            </w:tcBorders>
            <w:shd w:val="clear" w:color="auto" w:fill="auto"/>
            <w:vAlign w:val="center"/>
          </w:tcPr>
          <w:p w14:paraId="3E5556E5">
            <w:pPr>
              <w:adjustRightInd w:val="0"/>
              <w:spacing w:line="360" w:lineRule="auto"/>
              <w:jc w:val="left"/>
              <w:textAlignment w:val="baseline"/>
              <w:rPr>
                <w:rFonts w:ascii="宋体" w:hAnsi="宋体" w:cs="新宋体"/>
                <w:color w:val="000000" w:themeColor="text1"/>
                <w:szCs w:val="21"/>
                <w14:textFill>
                  <w14:solidFill>
                    <w14:schemeClr w14:val="tx1"/>
                  </w14:solidFill>
                </w14:textFill>
              </w:rPr>
            </w:pPr>
            <w:r>
              <w:rPr>
                <w:rFonts w:hint="eastAsia" w:ascii="宋体" w:hAnsi="宋体" w:cs="新宋体"/>
                <w:color w:val="000000" w:themeColor="text1"/>
                <w:szCs w:val="21"/>
                <w14:textFill>
                  <w14:solidFill>
                    <w14:schemeClr w14:val="tx1"/>
                  </w14:solidFill>
                </w14:textFill>
              </w:rPr>
              <w:t>根据供应商针对本项目实施过程中出现突发情况时的应急预案、处置措施、应急方案（应急指挥组织体系完善情况，应急保障体系，综合协调应对及后勤保障支持体系、应急人员组成等方面）进行综合评议，本项最多得3分。</w:t>
            </w:r>
          </w:p>
          <w:p w14:paraId="442068A2">
            <w:pPr>
              <w:spacing w:line="360" w:lineRule="auto"/>
              <w:ind w:right="-10"/>
              <w:jc w:val="left"/>
              <w:rPr>
                <w:rFonts w:ascii="宋体" w:hAnsi="宋体" w:cs="宋体"/>
                <w:szCs w:val="21"/>
              </w:rPr>
            </w:pPr>
            <w:r>
              <w:rPr>
                <w:rFonts w:hint="eastAsia" w:ascii="宋体" w:hAnsi="宋体" w:cs="宋体"/>
                <w:szCs w:val="21"/>
              </w:rPr>
              <w:t>①供应商提供的</w:t>
            </w:r>
            <w:r>
              <w:rPr>
                <w:rFonts w:hint="eastAsia" w:ascii="宋体" w:hAnsi="宋体"/>
                <w:color w:val="000000" w:themeColor="text1"/>
                <w:szCs w:val="21"/>
                <w14:textFill>
                  <w14:solidFill>
                    <w14:schemeClr w14:val="tx1"/>
                  </w14:solidFill>
                </w14:textFill>
              </w:rPr>
              <w:t>项目应急预案及处置措施</w:t>
            </w:r>
            <w:r>
              <w:rPr>
                <w:rFonts w:hint="eastAsia" w:ascii="宋体" w:hAnsi="宋体" w:cs="宋体"/>
                <w:spacing w:val="10"/>
                <w:szCs w:val="21"/>
              </w:rPr>
              <w:t>内容详实且具体，表达精准，条理分明的得3分；</w:t>
            </w:r>
          </w:p>
          <w:p w14:paraId="3EE2061E">
            <w:pPr>
              <w:spacing w:line="360" w:lineRule="auto"/>
              <w:ind w:right="-10"/>
              <w:jc w:val="left"/>
              <w:rPr>
                <w:rFonts w:ascii="宋体" w:hAnsi="宋体" w:cs="宋体"/>
                <w:spacing w:val="10"/>
                <w:szCs w:val="21"/>
              </w:rPr>
            </w:pPr>
            <w:r>
              <w:rPr>
                <w:rFonts w:hint="eastAsia" w:ascii="宋体" w:hAnsi="宋体" w:cs="宋体"/>
                <w:szCs w:val="21"/>
              </w:rPr>
              <w:t>②供应商提供的</w:t>
            </w:r>
            <w:r>
              <w:rPr>
                <w:rFonts w:hint="eastAsia" w:ascii="宋体" w:hAnsi="宋体" w:cs="宋体"/>
                <w:spacing w:val="10"/>
                <w:szCs w:val="21"/>
              </w:rPr>
              <w:t>方案内容包含重点要素，仅存在内容不够细化（深入）或方案描述在逻辑性及条理性上</w:t>
            </w:r>
            <w:r>
              <w:rPr>
                <w:rFonts w:hint="eastAsia" w:ascii="宋体" w:hAnsi="宋体" w:cs="宋体"/>
                <w:szCs w:val="21"/>
              </w:rPr>
              <w:t>略有不足但不会对项目实施造成明显影响的</w:t>
            </w:r>
            <w:r>
              <w:rPr>
                <w:rFonts w:hint="eastAsia" w:ascii="宋体" w:hAnsi="宋体" w:cs="Helvetica"/>
                <w:shd w:val="clear" w:color="auto" w:fill="FFFFFF"/>
              </w:rPr>
              <w:t>得2分；</w:t>
            </w:r>
          </w:p>
          <w:p w14:paraId="000B3525">
            <w:pPr>
              <w:spacing w:line="360" w:lineRule="auto"/>
              <w:ind w:right="-10"/>
              <w:jc w:val="left"/>
              <w:rPr>
                <w:rFonts w:ascii="宋体" w:hAnsi="宋体" w:cs="宋体"/>
                <w:spacing w:val="7"/>
                <w:szCs w:val="21"/>
              </w:rPr>
            </w:pPr>
            <w:r>
              <w:rPr>
                <w:rFonts w:hint="eastAsia" w:ascii="宋体" w:hAnsi="宋体" w:cs="宋体"/>
                <w:szCs w:val="21"/>
              </w:rPr>
              <w:t>③供应商提供的</w:t>
            </w:r>
            <w:r>
              <w:rPr>
                <w:rFonts w:hint="eastAsia" w:ascii="宋体" w:hAnsi="宋体" w:cs="宋体"/>
                <w:spacing w:val="7"/>
                <w:szCs w:val="21"/>
              </w:rPr>
              <w:t>方案存在缺乏细节或描述笼统或逻辑不清的得1分；</w:t>
            </w:r>
          </w:p>
          <w:p w14:paraId="7B46C018">
            <w:pPr>
              <w:adjustRightInd w:val="0"/>
              <w:spacing w:line="360" w:lineRule="auto"/>
              <w:jc w:val="left"/>
              <w:textAlignment w:val="baseline"/>
              <w:rPr>
                <w:rFonts w:ascii="宋体" w:hAnsi="宋体" w:cs="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④</w:t>
            </w:r>
            <w:r>
              <w:rPr>
                <w:rFonts w:hint="eastAsia" w:ascii="宋体" w:hAnsi="宋体" w:cs="仿宋_GB2312"/>
                <w:color w:val="000000" w:themeColor="text1"/>
                <w:kern w:val="0"/>
                <w:szCs w:val="21"/>
                <w14:textFill>
                  <w14:solidFill>
                    <w14:schemeClr w14:val="tx1"/>
                  </w14:solidFill>
                </w14:textFill>
              </w:rPr>
              <w:t>未提供不得分。</w:t>
            </w:r>
          </w:p>
        </w:tc>
        <w:tc>
          <w:tcPr>
            <w:tcW w:w="714" w:type="dxa"/>
            <w:vAlign w:val="center"/>
          </w:tcPr>
          <w:p w14:paraId="6C926F10">
            <w:pPr>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3分</w:t>
            </w:r>
          </w:p>
        </w:tc>
      </w:tr>
      <w:tr w14:paraId="32EF609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78" w:hRule="atLeast"/>
          <w:jc w:val="center"/>
        </w:trPr>
        <w:tc>
          <w:tcPr>
            <w:tcW w:w="659" w:type="dxa"/>
            <w:vAlign w:val="center"/>
          </w:tcPr>
          <w:p w14:paraId="7C14E9CE">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w:t>
            </w:r>
          </w:p>
        </w:tc>
        <w:tc>
          <w:tcPr>
            <w:tcW w:w="655" w:type="dxa"/>
            <w:vMerge w:val="continue"/>
            <w:vAlign w:val="center"/>
          </w:tcPr>
          <w:p w14:paraId="56601E20">
            <w:pPr>
              <w:snapToGrid w:val="0"/>
              <w:ind w:firstLine="336" w:firstLineChars="200"/>
              <w:rPr>
                <w:rFonts w:ascii="宋体" w:hAnsi="宋体" w:cs="宋体"/>
                <w:color w:val="000000" w:themeColor="text1"/>
                <w:w w:val="80"/>
                <w:szCs w:val="21"/>
                <w14:textFill>
                  <w14:solidFill>
                    <w14:schemeClr w14:val="tx1"/>
                  </w14:solidFill>
                </w14:textFill>
              </w:rPr>
            </w:pPr>
          </w:p>
        </w:tc>
        <w:tc>
          <w:tcPr>
            <w:tcW w:w="987" w:type="dxa"/>
            <w:tcBorders>
              <w:right w:val="single" w:color="auto" w:sz="4" w:space="0"/>
            </w:tcBorders>
            <w:vAlign w:val="center"/>
          </w:tcPr>
          <w:p w14:paraId="337EFEB9">
            <w:pPr>
              <w:spacing w:line="360" w:lineRule="exact"/>
              <w:jc w:val="center"/>
              <w:rPr>
                <w:rFonts w:ascii="宋体" w:hAnsi="宋体" w:cs="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服务保证措施</w:t>
            </w:r>
          </w:p>
        </w:tc>
        <w:tc>
          <w:tcPr>
            <w:tcW w:w="5990" w:type="dxa"/>
            <w:tcBorders>
              <w:left w:val="single" w:color="auto" w:sz="4" w:space="0"/>
            </w:tcBorders>
            <w:shd w:val="clear" w:color="auto" w:fill="auto"/>
            <w:vAlign w:val="center"/>
          </w:tcPr>
          <w:p w14:paraId="36F534B1">
            <w:pPr>
              <w:spacing w:line="360" w:lineRule="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对提供的服务保证措施中的实施计划流程、工期进度掌控措施、质量保证措施，安全生产措施等方面进行综合评价，本项最多得</w:t>
            </w:r>
            <w:r>
              <w:rPr>
                <w:rFonts w:ascii="宋体" w:hAnsi="宋体" w:cs="宋体"/>
                <w:color w:val="000000" w:themeColor="text1"/>
                <w:szCs w:val="21"/>
                <w14:textFill>
                  <w14:solidFill>
                    <w14:schemeClr w14:val="tx1"/>
                  </w14:solidFill>
                </w14:textFill>
              </w:rPr>
              <w:t>3</w:t>
            </w:r>
            <w:r>
              <w:rPr>
                <w:rFonts w:hint="eastAsia" w:ascii="宋体" w:hAnsi="宋体" w:cs="宋体"/>
                <w:color w:val="000000" w:themeColor="text1"/>
                <w:szCs w:val="21"/>
                <w14:textFill>
                  <w14:solidFill>
                    <w14:schemeClr w14:val="tx1"/>
                  </w14:solidFill>
                </w14:textFill>
              </w:rPr>
              <w:t>分。</w:t>
            </w:r>
          </w:p>
          <w:p w14:paraId="010AD8B5">
            <w:pPr>
              <w:spacing w:line="360" w:lineRule="auto"/>
              <w:ind w:right="-10"/>
              <w:jc w:val="left"/>
              <w:rPr>
                <w:rFonts w:ascii="宋体" w:hAnsi="宋体" w:cs="宋体"/>
                <w:szCs w:val="21"/>
              </w:rPr>
            </w:pPr>
            <w:r>
              <w:rPr>
                <w:rFonts w:hint="eastAsia" w:ascii="宋体" w:hAnsi="宋体" w:cs="宋体"/>
                <w:szCs w:val="21"/>
              </w:rPr>
              <w:t>①供应商提供的</w:t>
            </w:r>
            <w:r>
              <w:rPr>
                <w:rFonts w:hint="eastAsia" w:ascii="宋体" w:hAnsi="宋体"/>
                <w:color w:val="000000" w:themeColor="text1"/>
                <w:szCs w:val="21"/>
                <w14:textFill>
                  <w14:solidFill>
                    <w14:schemeClr w14:val="tx1"/>
                  </w14:solidFill>
                </w14:textFill>
              </w:rPr>
              <w:t>服务保证措施</w:t>
            </w:r>
            <w:r>
              <w:rPr>
                <w:rFonts w:hint="eastAsia" w:ascii="宋体" w:hAnsi="宋体" w:cs="宋体"/>
                <w:spacing w:val="10"/>
                <w:szCs w:val="21"/>
              </w:rPr>
              <w:t>方案内容详实且具体，表达精准，条理分明的得3分；</w:t>
            </w:r>
          </w:p>
          <w:p w14:paraId="5449DB24">
            <w:pPr>
              <w:spacing w:line="360" w:lineRule="auto"/>
              <w:ind w:right="-10"/>
              <w:jc w:val="left"/>
              <w:rPr>
                <w:rFonts w:ascii="宋体" w:hAnsi="宋体" w:cs="宋体"/>
                <w:spacing w:val="10"/>
                <w:szCs w:val="21"/>
              </w:rPr>
            </w:pPr>
            <w:r>
              <w:rPr>
                <w:rFonts w:hint="eastAsia" w:ascii="宋体" w:hAnsi="宋体" w:cs="宋体"/>
                <w:szCs w:val="21"/>
              </w:rPr>
              <w:t>②供应商提供的</w:t>
            </w:r>
            <w:r>
              <w:rPr>
                <w:rFonts w:hint="eastAsia" w:ascii="宋体" w:hAnsi="宋体" w:cs="宋体"/>
                <w:spacing w:val="10"/>
                <w:szCs w:val="21"/>
              </w:rPr>
              <w:t>方案内容包含重点要素，仅存在内容不够细化（深入）或方案描述在逻辑性及条理性上</w:t>
            </w:r>
            <w:r>
              <w:rPr>
                <w:rFonts w:hint="eastAsia" w:ascii="宋体" w:hAnsi="宋体" w:cs="宋体"/>
                <w:szCs w:val="21"/>
              </w:rPr>
              <w:t>略有不足但不会对项目实施造成明显影响的</w:t>
            </w:r>
            <w:r>
              <w:rPr>
                <w:rFonts w:hint="eastAsia" w:ascii="宋体" w:hAnsi="宋体" w:cs="Helvetica"/>
                <w:shd w:val="clear" w:color="auto" w:fill="FFFFFF"/>
              </w:rPr>
              <w:t>得2分；</w:t>
            </w:r>
          </w:p>
          <w:p w14:paraId="11F1343A">
            <w:pPr>
              <w:spacing w:line="360" w:lineRule="auto"/>
              <w:ind w:right="-10"/>
              <w:jc w:val="left"/>
              <w:rPr>
                <w:rFonts w:ascii="宋体" w:hAnsi="宋体" w:cs="宋体"/>
                <w:spacing w:val="7"/>
                <w:szCs w:val="21"/>
              </w:rPr>
            </w:pPr>
            <w:r>
              <w:rPr>
                <w:rFonts w:hint="eastAsia" w:ascii="宋体" w:hAnsi="宋体" w:cs="宋体"/>
                <w:szCs w:val="21"/>
              </w:rPr>
              <w:t>③供应商提供的</w:t>
            </w:r>
            <w:r>
              <w:rPr>
                <w:rFonts w:hint="eastAsia" w:ascii="宋体" w:hAnsi="宋体" w:cs="宋体"/>
                <w:spacing w:val="7"/>
                <w:szCs w:val="21"/>
              </w:rPr>
              <w:t>方案存在缺乏细节或描述笼统或逻辑不清的得1分；</w:t>
            </w:r>
          </w:p>
          <w:p w14:paraId="3A046644">
            <w:pPr>
              <w:spacing w:line="360" w:lineRule="auto"/>
              <w:rPr>
                <w:color w:val="000000" w:themeColor="text1"/>
                <w14:textFill>
                  <w14:solidFill>
                    <w14:schemeClr w14:val="tx1"/>
                  </w14:solidFill>
                </w14:textFill>
              </w:rPr>
            </w:pPr>
            <w:r>
              <w:rPr>
                <w:rFonts w:hint="eastAsia" w:ascii="宋体" w:hAnsi="宋体"/>
                <w:color w:val="000000" w:themeColor="text1"/>
                <w:szCs w:val="21"/>
                <w14:textFill>
                  <w14:solidFill>
                    <w14:schemeClr w14:val="tx1"/>
                  </w14:solidFill>
                </w14:textFill>
              </w:rPr>
              <w:t>④</w:t>
            </w:r>
            <w:r>
              <w:rPr>
                <w:rFonts w:hint="eastAsia" w:ascii="宋体" w:hAnsi="宋体" w:cs="仿宋_GB2312"/>
                <w:color w:val="000000" w:themeColor="text1"/>
                <w:kern w:val="0"/>
                <w:szCs w:val="21"/>
                <w14:textFill>
                  <w14:solidFill>
                    <w14:schemeClr w14:val="tx1"/>
                  </w14:solidFill>
                </w14:textFill>
              </w:rPr>
              <w:t>未提供不得分。</w:t>
            </w:r>
          </w:p>
        </w:tc>
        <w:tc>
          <w:tcPr>
            <w:tcW w:w="714" w:type="dxa"/>
            <w:vAlign w:val="center"/>
          </w:tcPr>
          <w:p w14:paraId="47909875">
            <w:pPr>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3分</w:t>
            </w:r>
          </w:p>
        </w:tc>
      </w:tr>
      <w:tr w14:paraId="0D809F7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239" w:hRule="atLeast"/>
          <w:jc w:val="center"/>
        </w:trPr>
        <w:tc>
          <w:tcPr>
            <w:tcW w:w="659" w:type="dxa"/>
            <w:vAlign w:val="center"/>
          </w:tcPr>
          <w:p w14:paraId="4616CD45">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7</w:t>
            </w:r>
          </w:p>
        </w:tc>
        <w:tc>
          <w:tcPr>
            <w:tcW w:w="655" w:type="dxa"/>
            <w:vMerge w:val="continue"/>
            <w:vAlign w:val="center"/>
          </w:tcPr>
          <w:p w14:paraId="1822E817">
            <w:pPr>
              <w:snapToGrid w:val="0"/>
              <w:ind w:firstLine="336" w:firstLineChars="200"/>
              <w:rPr>
                <w:rFonts w:ascii="宋体" w:hAnsi="宋体" w:cs="宋体"/>
                <w:color w:val="000000" w:themeColor="text1"/>
                <w:w w:val="80"/>
                <w:szCs w:val="21"/>
                <w14:textFill>
                  <w14:solidFill>
                    <w14:schemeClr w14:val="tx1"/>
                  </w14:solidFill>
                </w14:textFill>
              </w:rPr>
            </w:pPr>
          </w:p>
        </w:tc>
        <w:tc>
          <w:tcPr>
            <w:tcW w:w="987" w:type="dxa"/>
            <w:tcBorders>
              <w:right w:val="single" w:color="auto" w:sz="4" w:space="0"/>
            </w:tcBorders>
            <w:vAlign w:val="center"/>
          </w:tcPr>
          <w:p w14:paraId="106C644E">
            <w:pPr>
              <w:spacing w:line="360" w:lineRule="exact"/>
              <w:jc w:val="center"/>
              <w:rPr>
                <w:rFonts w:ascii="宋体" w:hAnsi="宋体" w:cs="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合理化建议</w:t>
            </w:r>
          </w:p>
        </w:tc>
        <w:tc>
          <w:tcPr>
            <w:tcW w:w="5990" w:type="dxa"/>
            <w:tcBorders>
              <w:left w:val="single" w:color="auto" w:sz="4" w:space="0"/>
            </w:tcBorders>
            <w:shd w:val="clear" w:color="auto" w:fill="auto"/>
            <w:vAlign w:val="center"/>
          </w:tcPr>
          <w:p w14:paraId="43AF6139">
            <w:pPr>
              <w:spacing w:line="360" w:lineRule="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对提供的项目实施中合理化建议进行综合评价，本项最多得</w:t>
            </w:r>
            <w:r>
              <w:rPr>
                <w:rFonts w:hint="eastAsia" w:ascii="宋体" w:hAnsi="宋体" w:cs="宋体"/>
                <w:color w:val="000000" w:themeColor="text1"/>
                <w:szCs w:val="21"/>
                <w:lang w:val="en-US" w:eastAsia="zh-CN"/>
                <w14:textFill>
                  <w14:solidFill>
                    <w14:schemeClr w14:val="tx1"/>
                  </w14:solidFill>
                </w14:textFill>
              </w:rPr>
              <w:t>3</w:t>
            </w:r>
            <w:r>
              <w:rPr>
                <w:rFonts w:hint="eastAsia" w:ascii="宋体" w:hAnsi="宋体" w:cs="宋体"/>
                <w:color w:val="000000" w:themeColor="text1"/>
                <w:szCs w:val="21"/>
                <w14:textFill>
                  <w14:solidFill>
                    <w14:schemeClr w14:val="tx1"/>
                  </w14:solidFill>
                </w14:textFill>
              </w:rPr>
              <w:t>分。</w:t>
            </w:r>
          </w:p>
          <w:p w14:paraId="5167D4EB">
            <w:pPr>
              <w:spacing w:line="360" w:lineRule="auto"/>
              <w:ind w:right="-10"/>
              <w:jc w:val="left"/>
              <w:rPr>
                <w:rFonts w:ascii="宋体" w:hAnsi="宋体" w:cs="宋体"/>
                <w:szCs w:val="21"/>
              </w:rPr>
            </w:pPr>
            <w:r>
              <w:rPr>
                <w:rFonts w:hint="eastAsia" w:ascii="宋体" w:hAnsi="宋体" w:cs="宋体"/>
                <w:szCs w:val="21"/>
              </w:rPr>
              <w:t>①供应商提供的</w:t>
            </w:r>
            <w:r>
              <w:rPr>
                <w:rFonts w:hint="eastAsia" w:ascii="宋体" w:hAnsi="宋体"/>
                <w:color w:val="000000" w:themeColor="text1"/>
                <w:szCs w:val="21"/>
                <w14:textFill>
                  <w14:solidFill>
                    <w14:schemeClr w14:val="tx1"/>
                  </w14:solidFill>
                </w14:textFill>
              </w:rPr>
              <w:t>合理化建议</w:t>
            </w:r>
            <w:r>
              <w:rPr>
                <w:rFonts w:hint="eastAsia" w:ascii="宋体" w:hAnsi="宋体" w:cs="宋体"/>
                <w:spacing w:val="10"/>
                <w:szCs w:val="21"/>
              </w:rPr>
              <w:t>方案内容详实且具体，表达精准，条理分明的得</w:t>
            </w:r>
            <w:r>
              <w:rPr>
                <w:rFonts w:hint="eastAsia" w:ascii="宋体" w:hAnsi="宋体" w:cs="宋体"/>
                <w:spacing w:val="10"/>
                <w:szCs w:val="21"/>
                <w:lang w:val="en-US" w:eastAsia="zh-CN"/>
              </w:rPr>
              <w:t>3</w:t>
            </w:r>
            <w:r>
              <w:rPr>
                <w:rFonts w:hint="eastAsia" w:ascii="宋体" w:hAnsi="宋体" w:cs="宋体"/>
                <w:spacing w:val="10"/>
                <w:szCs w:val="21"/>
              </w:rPr>
              <w:t>分；</w:t>
            </w:r>
          </w:p>
          <w:p w14:paraId="6615E5F9">
            <w:pPr>
              <w:spacing w:line="360" w:lineRule="auto"/>
              <w:ind w:right="-10"/>
              <w:jc w:val="left"/>
              <w:rPr>
                <w:rFonts w:ascii="宋体" w:hAnsi="宋体" w:cs="宋体"/>
                <w:spacing w:val="10"/>
                <w:szCs w:val="21"/>
              </w:rPr>
            </w:pPr>
            <w:r>
              <w:rPr>
                <w:rFonts w:hint="eastAsia" w:ascii="宋体" w:hAnsi="宋体" w:cs="宋体"/>
                <w:szCs w:val="21"/>
              </w:rPr>
              <w:t>②供应商提供的</w:t>
            </w:r>
            <w:r>
              <w:rPr>
                <w:rFonts w:hint="eastAsia" w:ascii="宋体" w:hAnsi="宋体" w:cs="宋体"/>
                <w:spacing w:val="10"/>
                <w:szCs w:val="21"/>
              </w:rPr>
              <w:t>方案内容包含重点要素，仅存在内容不够细化（深入）或方案描述在逻辑性及条理性上</w:t>
            </w:r>
            <w:r>
              <w:rPr>
                <w:rFonts w:hint="eastAsia" w:ascii="宋体" w:hAnsi="宋体" w:cs="宋体"/>
                <w:szCs w:val="21"/>
              </w:rPr>
              <w:t>略有不足但不会对项目实施造成明显影响的</w:t>
            </w:r>
            <w:r>
              <w:rPr>
                <w:rFonts w:hint="eastAsia" w:ascii="宋体" w:hAnsi="宋体" w:cs="Helvetica"/>
                <w:shd w:val="clear" w:color="auto" w:fill="FFFFFF"/>
              </w:rPr>
              <w:t>得</w:t>
            </w:r>
            <w:r>
              <w:rPr>
                <w:rFonts w:hint="eastAsia" w:ascii="宋体" w:hAnsi="宋体" w:cs="Helvetica"/>
                <w:shd w:val="clear" w:color="auto" w:fill="FFFFFF"/>
                <w:lang w:val="en-US" w:eastAsia="zh-CN"/>
              </w:rPr>
              <w:t>2</w:t>
            </w:r>
            <w:r>
              <w:rPr>
                <w:rFonts w:hint="eastAsia" w:ascii="宋体" w:hAnsi="宋体" w:cs="Helvetica"/>
                <w:shd w:val="clear" w:color="auto" w:fill="FFFFFF"/>
              </w:rPr>
              <w:t>分；</w:t>
            </w:r>
          </w:p>
          <w:p w14:paraId="32C19D34">
            <w:pPr>
              <w:spacing w:line="360" w:lineRule="auto"/>
              <w:ind w:right="-10"/>
              <w:jc w:val="left"/>
              <w:rPr>
                <w:rFonts w:ascii="宋体" w:hAnsi="宋体" w:cs="宋体"/>
                <w:spacing w:val="7"/>
                <w:szCs w:val="21"/>
              </w:rPr>
            </w:pPr>
            <w:r>
              <w:rPr>
                <w:rFonts w:hint="eastAsia" w:ascii="宋体" w:hAnsi="宋体" w:cs="宋体"/>
                <w:szCs w:val="21"/>
              </w:rPr>
              <w:t>③供应商提供的</w:t>
            </w:r>
            <w:r>
              <w:rPr>
                <w:rFonts w:hint="eastAsia" w:ascii="宋体" w:hAnsi="宋体" w:cs="宋体"/>
                <w:spacing w:val="7"/>
                <w:szCs w:val="21"/>
              </w:rPr>
              <w:t>方案存在缺乏细节或描述笼统或逻辑不清的得1分；</w:t>
            </w:r>
          </w:p>
          <w:p w14:paraId="7B25EB1D">
            <w:pPr>
              <w:spacing w:line="360" w:lineRule="auto"/>
              <w:rPr>
                <w:rFonts w:ascii="宋体" w:hAnsi="宋体" w:cs="宋体"/>
                <w:color w:val="000000" w:themeColor="text1"/>
                <w14:textFill>
                  <w14:solidFill>
                    <w14:schemeClr w14:val="tx1"/>
                  </w14:solidFill>
                </w14:textFill>
              </w:rPr>
            </w:pPr>
            <w:r>
              <w:rPr>
                <w:rFonts w:hint="eastAsia" w:ascii="宋体" w:hAnsi="宋体"/>
                <w:color w:val="000000" w:themeColor="text1"/>
                <w:szCs w:val="21"/>
                <w14:textFill>
                  <w14:solidFill>
                    <w14:schemeClr w14:val="tx1"/>
                  </w14:solidFill>
                </w14:textFill>
              </w:rPr>
              <w:t>④</w:t>
            </w:r>
            <w:r>
              <w:rPr>
                <w:rFonts w:hint="eastAsia" w:ascii="宋体" w:hAnsi="宋体" w:cs="仿宋_GB2312"/>
                <w:color w:val="000000" w:themeColor="text1"/>
                <w:kern w:val="0"/>
                <w:szCs w:val="21"/>
                <w14:textFill>
                  <w14:solidFill>
                    <w14:schemeClr w14:val="tx1"/>
                  </w14:solidFill>
                </w14:textFill>
              </w:rPr>
              <w:t>未提供不得分。</w:t>
            </w:r>
          </w:p>
        </w:tc>
        <w:tc>
          <w:tcPr>
            <w:tcW w:w="714" w:type="dxa"/>
            <w:vAlign w:val="center"/>
          </w:tcPr>
          <w:p w14:paraId="74718962">
            <w:pPr>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3</w:t>
            </w:r>
            <w:r>
              <w:rPr>
                <w:rFonts w:hint="eastAsia" w:ascii="宋体" w:hAnsi="宋体" w:cs="宋体"/>
                <w:color w:val="000000" w:themeColor="text1"/>
                <w:szCs w:val="21"/>
                <w14:textFill>
                  <w14:solidFill>
                    <w14:schemeClr w14:val="tx1"/>
                  </w14:solidFill>
                </w14:textFill>
              </w:rPr>
              <w:t>分</w:t>
            </w:r>
          </w:p>
        </w:tc>
      </w:tr>
      <w:tr w14:paraId="6BF3D5A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89" w:hRule="atLeast"/>
          <w:jc w:val="center"/>
        </w:trPr>
        <w:tc>
          <w:tcPr>
            <w:tcW w:w="659" w:type="dxa"/>
            <w:vAlign w:val="center"/>
          </w:tcPr>
          <w:p w14:paraId="294B925C">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8</w:t>
            </w:r>
          </w:p>
        </w:tc>
        <w:tc>
          <w:tcPr>
            <w:tcW w:w="655" w:type="dxa"/>
            <w:vMerge w:val="continue"/>
            <w:vAlign w:val="center"/>
          </w:tcPr>
          <w:p w14:paraId="4587B4FC">
            <w:pPr>
              <w:snapToGrid w:val="0"/>
              <w:ind w:firstLine="336" w:firstLineChars="200"/>
              <w:rPr>
                <w:rFonts w:ascii="宋体" w:hAnsi="宋体" w:cs="宋体"/>
                <w:color w:val="000000" w:themeColor="text1"/>
                <w:w w:val="80"/>
                <w:szCs w:val="21"/>
                <w14:textFill>
                  <w14:solidFill>
                    <w14:schemeClr w14:val="tx1"/>
                  </w14:solidFill>
                </w14:textFill>
              </w:rPr>
            </w:pPr>
          </w:p>
        </w:tc>
        <w:tc>
          <w:tcPr>
            <w:tcW w:w="987" w:type="dxa"/>
            <w:tcBorders>
              <w:right w:val="single" w:color="auto" w:sz="4" w:space="0"/>
            </w:tcBorders>
            <w:vAlign w:val="center"/>
          </w:tcPr>
          <w:p w14:paraId="0B3F6EAA">
            <w:pPr>
              <w:spacing w:line="360" w:lineRule="exact"/>
              <w:jc w:val="center"/>
              <w:rPr>
                <w:rFonts w:ascii="宋体" w:hAnsi="宋体" w:cs="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培训方案</w:t>
            </w:r>
          </w:p>
        </w:tc>
        <w:tc>
          <w:tcPr>
            <w:tcW w:w="5990" w:type="dxa"/>
            <w:tcBorders>
              <w:left w:val="single" w:color="auto" w:sz="4" w:space="0"/>
            </w:tcBorders>
            <w:shd w:val="clear" w:color="auto" w:fill="auto"/>
            <w:vAlign w:val="center"/>
          </w:tcPr>
          <w:p w14:paraId="37FE048E">
            <w:pPr>
              <w:adjustRightInd w:val="0"/>
              <w:spacing w:line="360" w:lineRule="auto"/>
              <w:jc w:val="left"/>
              <w:textAlignment w:val="baseline"/>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根据提供的培训方案中的培训计划安排、培训人员配备、培训内容、培训案例等方面进行综合评议，本项最多得</w:t>
            </w:r>
            <w:r>
              <w:rPr>
                <w:rFonts w:ascii="宋体" w:hAnsi="宋体" w:cs="宋体"/>
                <w:color w:val="000000" w:themeColor="text1"/>
                <w:szCs w:val="21"/>
                <w14:textFill>
                  <w14:solidFill>
                    <w14:schemeClr w14:val="tx1"/>
                  </w14:solidFill>
                </w14:textFill>
              </w:rPr>
              <w:t>5</w:t>
            </w:r>
            <w:r>
              <w:rPr>
                <w:rFonts w:hint="eastAsia" w:ascii="宋体" w:hAnsi="宋体" w:cs="宋体"/>
                <w:color w:val="000000" w:themeColor="text1"/>
                <w:szCs w:val="21"/>
                <w14:textFill>
                  <w14:solidFill>
                    <w14:schemeClr w14:val="tx1"/>
                  </w14:solidFill>
                </w14:textFill>
              </w:rPr>
              <w:t>分。</w:t>
            </w:r>
          </w:p>
          <w:p w14:paraId="35372940">
            <w:pPr>
              <w:spacing w:line="360" w:lineRule="auto"/>
              <w:ind w:right="-10"/>
              <w:jc w:val="left"/>
              <w:rPr>
                <w:rFonts w:ascii="宋体" w:hAnsi="宋体" w:cs="宋体"/>
                <w:szCs w:val="21"/>
              </w:rPr>
            </w:pPr>
            <w:r>
              <w:rPr>
                <w:rFonts w:hint="eastAsia" w:ascii="宋体" w:hAnsi="宋体" w:cs="宋体"/>
                <w:szCs w:val="21"/>
              </w:rPr>
              <w:t>①供应商提供的</w:t>
            </w:r>
            <w:r>
              <w:rPr>
                <w:rFonts w:hint="eastAsia" w:ascii="宋体" w:hAnsi="宋体"/>
                <w:color w:val="000000" w:themeColor="text1"/>
                <w:szCs w:val="21"/>
                <w14:textFill>
                  <w14:solidFill>
                    <w14:schemeClr w14:val="tx1"/>
                  </w14:solidFill>
                </w14:textFill>
              </w:rPr>
              <w:t>培训方案</w:t>
            </w:r>
            <w:r>
              <w:rPr>
                <w:rFonts w:hint="eastAsia" w:ascii="宋体" w:hAnsi="宋体" w:cs="宋体"/>
                <w:spacing w:val="10"/>
                <w:szCs w:val="21"/>
              </w:rPr>
              <w:t>内容详实且具体，表达精准，条理分明的得5分；</w:t>
            </w:r>
          </w:p>
          <w:p w14:paraId="7F344F3D">
            <w:pPr>
              <w:spacing w:line="360" w:lineRule="auto"/>
              <w:ind w:right="-10"/>
              <w:jc w:val="left"/>
              <w:rPr>
                <w:rFonts w:ascii="宋体" w:hAnsi="宋体" w:cs="宋体"/>
                <w:spacing w:val="10"/>
                <w:szCs w:val="21"/>
              </w:rPr>
            </w:pPr>
            <w:r>
              <w:rPr>
                <w:rFonts w:hint="eastAsia" w:ascii="宋体" w:hAnsi="宋体" w:cs="宋体"/>
                <w:szCs w:val="21"/>
              </w:rPr>
              <w:t>②供应商提供的</w:t>
            </w:r>
            <w:r>
              <w:rPr>
                <w:rFonts w:hint="eastAsia" w:ascii="宋体" w:hAnsi="宋体"/>
                <w:color w:val="000000" w:themeColor="text1"/>
                <w:szCs w:val="21"/>
                <w14:textFill>
                  <w14:solidFill>
                    <w14:schemeClr w14:val="tx1"/>
                  </w14:solidFill>
                </w14:textFill>
              </w:rPr>
              <w:t>培训方案</w:t>
            </w:r>
            <w:r>
              <w:rPr>
                <w:rFonts w:hint="eastAsia" w:ascii="宋体" w:hAnsi="宋体" w:cs="宋体"/>
                <w:spacing w:val="10"/>
                <w:szCs w:val="21"/>
              </w:rPr>
              <w:t>内容包含重点要素，仅存在内容不够细化（深入）或方案描述在逻辑性及条理性上</w:t>
            </w:r>
            <w:r>
              <w:rPr>
                <w:rFonts w:hint="eastAsia" w:ascii="宋体" w:hAnsi="宋体" w:cs="宋体"/>
                <w:szCs w:val="21"/>
              </w:rPr>
              <w:t>略有不足但不会对项目实施造成明显影响的</w:t>
            </w:r>
            <w:r>
              <w:rPr>
                <w:rFonts w:hint="eastAsia" w:ascii="宋体" w:hAnsi="宋体" w:cs="Helvetica"/>
                <w:shd w:val="clear" w:color="auto" w:fill="FFFFFF"/>
              </w:rPr>
              <w:t>得3分；</w:t>
            </w:r>
          </w:p>
          <w:p w14:paraId="4C6DDC2C">
            <w:pPr>
              <w:spacing w:line="360" w:lineRule="auto"/>
              <w:ind w:right="-10"/>
              <w:jc w:val="left"/>
              <w:rPr>
                <w:rFonts w:ascii="宋体" w:hAnsi="宋体" w:cs="宋体"/>
                <w:spacing w:val="7"/>
                <w:szCs w:val="21"/>
              </w:rPr>
            </w:pPr>
            <w:r>
              <w:rPr>
                <w:rFonts w:hint="eastAsia" w:ascii="宋体" w:hAnsi="宋体" w:cs="宋体"/>
                <w:szCs w:val="21"/>
              </w:rPr>
              <w:t>③供应商提供的</w:t>
            </w:r>
            <w:r>
              <w:rPr>
                <w:rFonts w:hint="eastAsia" w:ascii="宋体" w:hAnsi="宋体"/>
                <w:color w:val="000000" w:themeColor="text1"/>
                <w:szCs w:val="21"/>
                <w14:textFill>
                  <w14:solidFill>
                    <w14:schemeClr w14:val="tx1"/>
                  </w14:solidFill>
                </w14:textFill>
              </w:rPr>
              <w:t>培训方案</w:t>
            </w:r>
            <w:r>
              <w:rPr>
                <w:rFonts w:hint="eastAsia" w:ascii="宋体" w:hAnsi="宋体" w:cs="宋体"/>
                <w:spacing w:val="7"/>
                <w:szCs w:val="21"/>
              </w:rPr>
              <w:t>存在缺乏细节或描述笼统或逻辑不清的得1分；</w:t>
            </w:r>
          </w:p>
          <w:p w14:paraId="604A15DA">
            <w:pPr>
              <w:adjustRightInd w:val="0"/>
              <w:spacing w:line="360" w:lineRule="auto"/>
              <w:jc w:val="left"/>
              <w:textAlignment w:val="baseline"/>
              <w:rPr>
                <w:rFonts w:ascii="宋体" w:hAnsi="宋体" w:cs="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④</w:t>
            </w:r>
            <w:r>
              <w:rPr>
                <w:rFonts w:hint="eastAsia" w:ascii="宋体" w:hAnsi="宋体" w:cs="仿宋_GB2312"/>
                <w:color w:val="000000" w:themeColor="text1"/>
                <w:kern w:val="0"/>
                <w:szCs w:val="21"/>
                <w14:textFill>
                  <w14:solidFill>
                    <w14:schemeClr w14:val="tx1"/>
                  </w14:solidFill>
                </w14:textFill>
              </w:rPr>
              <w:t>未提供不得分。</w:t>
            </w:r>
          </w:p>
        </w:tc>
        <w:tc>
          <w:tcPr>
            <w:tcW w:w="714" w:type="dxa"/>
            <w:vAlign w:val="center"/>
          </w:tcPr>
          <w:p w14:paraId="0A15697C">
            <w:pPr>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5分</w:t>
            </w:r>
          </w:p>
        </w:tc>
      </w:tr>
      <w:tr w14:paraId="14E1661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59" w:type="dxa"/>
            <w:vAlign w:val="center"/>
          </w:tcPr>
          <w:p w14:paraId="05D26F5D">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9</w:t>
            </w:r>
          </w:p>
        </w:tc>
        <w:tc>
          <w:tcPr>
            <w:tcW w:w="655" w:type="dxa"/>
            <w:vMerge w:val="continue"/>
            <w:vAlign w:val="center"/>
          </w:tcPr>
          <w:p w14:paraId="4DA00F1B">
            <w:pPr>
              <w:snapToGrid w:val="0"/>
              <w:ind w:firstLine="336" w:firstLineChars="200"/>
              <w:rPr>
                <w:rFonts w:ascii="宋体" w:hAnsi="宋体" w:cs="宋体"/>
                <w:color w:val="000000" w:themeColor="text1"/>
                <w:w w:val="80"/>
                <w:szCs w:val="21"/>
                <w14:textFill>
                  <w14:solidFill>
                    <w14:schemeClr w14:val="tx1"/>
                  </w14:solidFill>
                </w14:textFill>
              </w:rPr>
            </w:pPr>
          </w:p>
        </w:tc>
        <w:tc>
          <w:tcPr>
            <w:tcW w:w="987" w:type="dxa"/>
            <w:vMerge w:val="restart"/>
            <w:tcBorders>
              <w:right w:val="single" w:color="auto" w:sz="4" w:space="0"/>
            </w:tcBorders>
            <w:vAlign w:val="center"/>
          </w:tcPr>
          <w:p w14:paraId="621788C1">
            <w:pPr>
              <w:spacing w:line="360" w:lineRule="exact"/>
              <w:jc w:val="center"/>
              <w:rPr>
                <w:rFonts w:ascii="宋体" w:hAnsi="宋体" w:cs="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售后服务方案</w:t>
            </w:r>
          </w:p>
        </w:tc>
        <w:tc>
          <w:tcPr>
            <w:tcW w:w="5990" w:type="dxa"/>
            <w:tcBorders>
              <w:left w:val="single" w:color="auto" w:sz="4" w:space="0"/>
              <w:bottom w:val="single" w:color="auto" w:sz="4" w:space="0"/>
            </w:tcBorders>
            <w:shd w:val="clear" w:color="auto" w:fill="auto"/>
            <w:vAlign w:val="center"/>
          </w:tcPr>
          <w:p w14:paraId="22BE4856">
            <w:pPr>
              <w:adjustRightInd w:val="0"/>
              <w:spacing w:line="360" w:lineRule="auto"/>
              <w:jc w:val="left"/>
              <w:textAlignment w:val="baseline"/>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（1）根据提供的售后服务方案中售后服务团队人员、售后服务机构情况、备品备件等方面进行综合评议，本项最多得</w:t>
            </w:r>
            <w:r>
              <w:rPr>
                <w:rFonts w:hint="eastAsia" w:ascii="宋体" w:hAnsi="宋体" w:cs="宋体"/>
                <w:color w:val="000000" w:themeColor="text1"/>
                <w:szCs w:val="21"/>
                <w:lang w:val="en-US" w:eastAsia="zh-CN"/>
                <w14:textFill>
                  <w14:solidFill>
                    <w14:schemeClr w14:val="tx1"/>
                  </w14:solidFill>
                </w14:textFill>
              </w:rPr>
              <w:t>5</w:t>
            </w:r>
            <w:r>
              <w:rPr>
                <w:rFonts w:hint="eastAsia" w:ascii="宋体" w:hAnsi="宋体" w:cs="宋体"/>
                <w:color w:val="000000" w:themeColor="text1"/>
                <w:szCs w:val="21"/>
                <w14:textFill>
                  <w14:solidFill>
                    <w14:schemeClr w14:val="tx1"/>
                  </w14:solidFill>
                </w14:textFill>
              </w:rPr>
              <w:t>分。</w:t>
            </w:r>
          </w:p>
          <w:p w14:paraId="2186C61B">
            <w:pPr>
              <w:spacing w:line="360" w:lineRule="auto"/>
              <w:ind w:right="-10"/>
              <w:jc w:val="left"/>
              <w:rPr>
                <w:rFonts w:ascii="宋体" w:hAnsi="宋体" w:cs="宋体"/>
                <w:szCs w:val="21"/>
              </w:rPr>
            </w:pPr>
            <w:r>
              <w:rPr>
                <w:rFonts w:hint="eastAsia" w:ascii="宋体" w:hAnsi="宋体" w:cs="宋体"/>
                <w:szCs w:val="21"/>
              </w:rPr>
              <w:t>①供应商提供的</w:t>
            </w:r>
            <w:r>
              <w:rPr>
                <w:rFonts w:hint="eastAsia" w:ascii="宋体" w:hAnsi="宋体"/>
                <w:color w:val="000000" w:themeColor="text1"/>
                <w:szCs w:val="21"/>
                <w14:textFill>
                  <w14:solidFill>
                    <w14:schemeClr w14:val="tx1"/>
                  </w14:solidFill>
                </w14:textFill>
              </w:rPr>
              <w:t>方案</w:t>
            </w:r>
            <w:r>
              <w:rPr>
                <w:rFonts w:hint="eastAsia" w:ascii="宋体" w:hAnsi="宋体" w:cs="宋体"/>
                <w:spacing w:val="10"/>
                <w:szCs w:val="21"/>
              </w:rPr>
              <w:t>内容详实且具体，表达精准，条理分明的得</w:t>
            </w:r>
            <w:r>
              <w:rPr>
                <w:rFonts w:hint="eastAsia" w:ascii="宋体" w:hAnsi="宋体" w:cs="宋体"/>
                <w:spacing w:val="10"/>
                <w:szCs w:val="21"/>
                <w:lang w:val="en-US" w:eastAsia="zh-CN"/>
              </w:rPr>
              <w:t>5</w:t>
            </w:r>
            <w:r>
              <w:rPr>
                <w:rFonts w:hint="eastAsia" w:ascii="宋体" w:hAnsi="宋体" w:cs="宋体"/>
                <w:spacing w:val="10"/>
                <w:szCs w:val="21"/>
              </w:rPr>
              <w:t>分；</w:t>
            </w:r>
          </w:p>
          <w:p w14:paraId="6683D565">
            <w:pPr>
              <w:spacing w:line="360" w:lineRule="auto"/>
              <w:ind w:right="-10"/>
              <w:jc w:val="left"/>
              <w:rPr>
                <w:rFonts w:ascii="宋体" w:hAnsi="宋体" w:cs="宋体"/>
                <w:spacing w:val="10"/>
                <w:szCs w:val="21"/>
              </w:rPr>
            </w:pPr>
            <w:r>
              <w:rPr>
                <w:rFonts w:hint="eastAsia" w:ascii="宋体" w:hAnsi="宋体" w:cs="宋体"/>
                <w:szCs w:val="21"/>
              </w:rPr>
              <w:t>②供应商提供的</w:t>
            </w:r>
            <w:r>
              <w:rPr>
                <w:rFonts w:hint="eastAsia" w:ascii="宋体" w:hAnsi="宋体"/>
                <w:color w:val="000000" w:themeColor="text1"/>
                <w:szCs w:val="21"/>
                <w14:textFill>
                  <w14:solidFill>
                    <w14:schemeClr w14:val="tx1"/>
                  </w14:solidFill>
                </w14:textFill>
              </w:rPr>
              <w:t>方案</w:t>
            </w:r>
            <w:r>
              <w:rPr>
                <w:rFonts w:hint="eastAsia" w:ascii="宋体" w:hAnsi="宋体" w:cs="宋体"/>
                <w:spacing w:val="10"/>
                <w:szCs w:val="21"/>
              </w:rPr>
              <w:t>内容包含重点要素，仅存在内容不够细化（深入）或方案描述在逻辑性及条理性上</w:t>
            </w:r>
            <w:r>
              <w:rPr>
                <w:rFonts w:hint="eastAsia" w:ascii="宋体" w:hAnsi="宋体" w:cs="宋体"/>
                <w:szCs w:val="21"/>
              </w:rPr>
              <w:t>略有不足但不会对项目实施造成明显影响的</w:t>
            </w:r>
            <w:r>
              <w:rPr>
                <w:rFonts w:hint="eastAsia" w:ascii="宋体" w:hAnsi="宋体" w:cs="Helvetica"/>
                <w:shd w:val="clear" w:color="auto" w:fill="FFFFFF"/>
              </w:rPr>
              <w:t>得</w:t>
            </w:r>
            <w:r>
              <w:rPr>
                <w:rFonts w:hint="eastAsia" w:ascii="宋体" w:hAnsi="宋体" w:cs="Helvetica"/>
                <w:shd w:val="clear" w:color="auto" w:fill="FFFFFF"/>
                <w:lang w:val="en-US" w:eastAsia="zh-CN"/>
              </w:rPr>
              <w:t>3</w:t>
            </w:r>
            <w:r>
              <w:rPr>
                <w:rFonts w:hint="eastAsia" w:ascii="宋体" w:hAnsi="宋体" w:cs="Helvetica"/>
                <w:shd w:val="clear" w:color="auto" w:fill="FFFFFF"/>
              </w:rPr>
              <w:t>分；</w:t>
            </w:r>
          </w:p>
          <w:p w14:paraId="5CC66133">
            <w:pPr>
              <w:spacing w:line="360" w:lineRule="auto"/>
              <w:ind w:right="-10"/>
              <w:jc w:val="left"/>
              <w:rPr>
                <w:rFonts w:ascii="宋体" w:hAnsi="宋体" w:cs="宋体"/>
                <w:spacing w:val="7"/>
                <w:szCs w:val="21"/>
              </w:rPr>
            </w:pPr>
            <w:r>
              <w:rPr>
                <w:rFonts w:hint="eastAsia" w:ascii="宋体" w:hAnsi="宋体" w:cs="宋体"/>
                <w:szCs w:val="21"/>
              </w:rPr>
              <w:t>③供应商提供的</w:t>
            </w:r>
            <w:r>
              <w:rPr>
                <w:rFonts w:hint="eastAsia" w:ascii="宋体" w:hAnsi="宋体"/>
                <w:color w:val="000000" w:themeColor="text1"/>
                <w:szCs w:val="21"/>
                <w14:textFill>
                  <w14:solidFill>
                    <w14:schemeClr w14:val="tx1"/>
                  </w14:solidFill>
                </w14:textFill>
              </w:rPr>
              <w:t>方案</w:t>
            </w:r>
            <w:r>
              <w:rPr>
                <w:rFonts w:hint="eastAsia" w:ascii="宋体" w:hAnsi="宋体" w:cs="宋体"/>
                <w:spacing w:val="7"/>
                <w:szCs w:val="21"/>
              </w:rPr>
              <w:t>存在缺乏细节或描述笼统或逻辑不清的得1分；</w:t>
            </w:r>
          </w:p>
          <w:p w14:paraId="4FFAF869">
            <w:pPr>
              <w:adjustRightInd w:val="0"/>
              <w:spacing w:line="360" w:lineRule="auto"/>
              <w:jc w:val="left"/>
              <w:textAlignment w:val="baseline"/>
              <w:rPr>
                <w:color w:val="000000" w:themeColor="text1"/>
                <w14:textFill>
                  <w14:solidFill>
                    <w14:schemeClr w14:val="tx1"/>
                  </w14:solidFill>
                </w14:textFill>
              </w:rPr>
            </w:pPr>
            <w:r>
              <w:rPr>
                <w:rFonts w:hint="eastAsia" w:ascii="宋体" w:hAnsi="宋体"/>
                <w:color w:val="000000" w:themeColor="text1"/>
                <w:szCs w:val="21"/>
                <w14:textFill>
                  <w14:solidFill>
                    <w14:schemeClr w14:val="tx1"/>
                  </w14:solidFill>
                </w14:textFill>
              </w:rPr>
              <w:t>④</w:t>
            </w:r>
            <w:r>
              <w:rPr>
                <w:rFonts w:hint="eastAsia" w:ascii="宋体" w:hAnsi="宋体" w:cs="仿宋_GB2312"/>
                <w:color w:val="000000" w:themeColor="text1"/>
                <w:kern w:val="0"/>
                <w:szCs w:val="21"/>
                <w14:textFill>
                  <w14:solidFill>
                    <w14:schemeClr w14:val="tx1"/>
                  </w14:solidFill>
                </w14:textFill>
              </w:rPr>
              <w:t>未提供不得分。</w:t>
            </w:r>
          </w:p>
        </w:tc>
        <w:tc>
          <w:tcPr>
            <w:tcW w:w="714" w:type="dxa"/>
            <w:vAlign w:val="center"/>
          </w:tcPr>
          <w:p w14:paraId="24BE2341">
            <w:pPr>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5</w:t>
            </w:r>
            <w:r>
              <w:rPr>
                <w:rFonts w:hint="eastAsia" w:ascii="宋体" w:hAnsi="宋体" w:cs="宋体"/>
                <w:color w:val="000000" w:themeColor="text1"/>
                <w:szCs w:val="21"/>
                <w14:textFill>
                  <w14:solidFill>
                    <w14:schemeClr w14:val="tx1"/>
                  </w14:solidFill>
                </w14:textFill>
              </w:rPr>
              <w:t>分</w:t>
            </w:r>
          </w:p>
        </w:tc>
      </w:tr>
      <w:tr w14:paraId="54E111F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660" w:hRule="atLeast"/>
          <w:jc w:val="center"/>
        </w:trPr>
        <w:tc>
          <w:tcPr>
            <w:tcW w:w="659" w:type="dxa"/>
            <w:vAlign w:val="center"/>
          </w:tcPr>
          <w:p w14:paraId="5B28FBDC">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10</w:t>
            </w:r>
          </w:p>
        </w:tc>
        <w:tc>
          <w:tcPr>
            <w:tcW w:w="655" w:type="dxa"/>
            <w:vMerge w:val="continue"/>
            <w:vAlign w:val="center"/>
          </w:tcPr>
          <w:p w14:paraId="0CBBEDBD">
            <w:pPr>
              <w:snapToGrid w:val="0"/>
              <w:ind w:firstLine="336" w:firstLineChars="200"/>
              <w:rPr>
                <w:rFonts w:ascii="宋体" w:hAnsi="宋体" w:cs="宋体"/>
                <w:color w:val="000000" w:themeColor="text1"/>
                <w:w w:val="80"/>
                <w:szCs w:val="21"/>
                <w14:textFill>
                  <w14:solidFill>
                    <w14:schemeClr w14:val="tx1"/>
                  </w14:solidFill>
                </w14:textFill>
              </w:rPr>
            </w:pPr>
          </w:p>
        </w:tc>
        <w:tc>
          <w:tcPr>
            <w:tcW w:w="987" w:type="dxa"/>
            <w:vMerge w:val="continue"/>
            <w:tcBorders>
              <w:right w:val="single" w:color="auto" w:sz="4" w:space="0"/>
            </w:tcBorders>
            <w:vAlign w:val="center"/>
          </w:tcPr>
          <w:p w14:paraId="6297994D">
            <w:pPr>
              <w:spacing w:line="360" w:lineRule="exact"/>
              <w:jc w:val="center"/>
              <w:rPr>
                <w:rFonts w:ascii="宋体" w:hAnsi="宋体" w:cs="宋体"/>
                <w:color w:val="000000" w:themeColor="text1"/>
                <w:szCs w:val="21"/>
                <w14:textFill>
                  <w14:solidFill>
                    <w14:schemeClr w14:val="tx1"/>
                  </w14:solidFill>
                </w14:textFill>
              </w:rPr>
            </w:pPr>
          </w:p>
        </w:tc>
        <w:tc>
          <w:tcPr>
            <w:tcW w:w="5990" w:type="dxa"/>
            <w:tcBorders>
              <w:top w:val="single" w:color="auto" w:sz="4" w:space="0"/>
              <w:left w:val="single" w:color="auto" w:sz="4" w:space="0"/>
              <w:bottom w:val="single" w:color="auto" w:sz="4" w:space="0"/>
            </w:tcBorders>
            <w:shd w:val="clear" w:color="auto" w:fill="auto"/>
            <w:vAlign w:val="center"/>
          </w:tcPr>
          <w:p w14:paraId="5A6DBEAF">
            <w:pPr>
              <w:spacing w:line="360" w:lineRule="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（2）根据提供的售后服务方案中技术支持的力度、质保期承诺的完整度、售后服务承诺的完善度、服务承诺落实的保障措施、故障响应及修复时间及措施等方面进行综合评议，本项最多得</w:t>
            </w:r>
            <w:r>
              <w:rPr>
                <w:rFonts w:hint="eastAsia" w:ascii="宋体" w:hAnsi="宋体" w:cs="宋体"/>
                <w:color w:val="000000" w:themeColor="text1"/>
                <w:szCs w:val="21"/>
                <w:lang w:val="en-US" w:eastAsia="zh-CN"/>
                <w14:textFill>
                  <w14:solidFill>
                    <w14:schemeClr w14:val="tx1"/>
                  </w14:solidFill>
                </w14:textFill>
              </w:rPr>
              <w:t>5</w:t>
            </w:r>
            <w:r>
              <w:rPr>
                <w:rFonts w:hint="eastAsia" w:ascii="宋体" w:hAnsi="宋体" w:cs="宋体"/>
                <w:color w:val="000000" w:themeColor="text1"/>
                <w:szCs w:val="21"/>
                <w14:textFill>
                  <w14:solidFill>
                    <w14:schemeClr w14:val="tx1"/>
                  </w14:solidFill>
                </w14:textFill>
              </w:rPr>
              <w:t>分。</w:t>
            </w:r>
          </w:p>
          <w:p w14:paraId="4B639069">
            <w:pPr>
              <w:spacing w:line="360" w:lineRule="auto"/>
              <w:ind w:right="-10"/>
              <w:jc w:val="left"/>
              <w:rPr>
                <w:rFonts w:ascii="宋体" w:hAnsi="宋体" w:cs="宋体"/>
                <w:szCs w:val="21"/>
              </w:rPr>
            </w:pPr>
            <w:r>
              <w:rPr>
                <w:rFonts w:hint="eastAsia" w:ascii="宋体" w:hAnsi="宋体" w:cs="宋体"/>
                <w:szCs w:val="21"/>
              </w:rPr>
              <w:t>①供应商提供的</w:t>
            </w:r>
            <w:r>
              <w:rPr>
                <w:rFonts w:hint="eastAsia" w:ascii="宋体" w:hAnsi="宋体" w:cs="宋体"/>
                <w:spacing w:val="10"/>
                <w:szCs w:val="21"/>
              </w:rPr>
              <w:t>方案内容详实且具体，表达精准，条理分明的得</w:t>
            </w:r>
            <w:r>
              <w:rPr>
                <w:rFonts w:hint="eastAsia" w:ascii="宋体" w:hAnsi="宋体" w:cs="宋体"/>
                <w:spacing w:val="10"/>
                <w:szCs w:val="21"/>
                <w:lang w:val="en-US" w:eastAsia="zh-CN"/>
              </w:rPr>
              <w:t>5</w:t>
            </w:r>
            <w:r>
              <w:rPr>
                <w:rFonts w:hint="eastAsia" w:ascii="宋体" w:hAnsi="宋体" w:cs="宋体"/>
                <w:spacing w:val="10"/>
                <w:szCs w:val="21"/>
              </w:rPr>
              <w:t>分；</w:t>
            </w:r>
          </w:p>
          <w:p w14:paraId="214AE032">
            <w:pPr>
              <w:spacing w:line="360" w:lineRule="auto"/>
              <w:ind w:right="-10"/>
              <w:jc w:val="left"/>
              <w:rPr>
                <w:rFonts w:ascii="宋体" w:hAnsi="宋体" w:cs="宋体"/>
                <w:spacing w:val="10"/>
                <w:szCs w:val="21"/>
              </w:rPr>
            </w:pPr>
            <w:r>
              <w:rPr>
                <w:rFonts w:hint="eastAsia" w:ascii="宋体" w:hAnsi="宋体" w:cs="宋体"/>
                <w:szCs w:val="21"/>
              </w:rPr>
              <w:t>②供应商提供的</w:t>
            </w:r>
            <w:r>
              <w:rPr>
                <w:rFonts w:hint="eastAsia" w:ascii="宋体" w:hAnsi="宋体" w:cs="宋体"/>
                <w:spacing w:val="10"/>
                <w:szCs w:val="21"/>
              </w:rPr>
              <w:t>方案内容包含重点要素，仅存在内容不够细化（深入）或方案描述在逻辑性及条理性上</w:t>
            </w:r>
            <w:r>
              <w:rPr>
                <w:rFonts w:hint="eastAsia" w:ascii="宋体" w:hAnsi="宋体" w:cs="宋体"/>
                <w:szCs w:val="21"/>
              </w:rPr>
              <w:t>略有不足但不会对项目实施造成明显影响的</w:t>
            </w:r>
            <w:r>
              <w:rPr>
                <w:rFonts w:hint="eastAsia" w:ascii="宋体" w:hAnsi="宋体" w:cs="Helvetica"/>
                <w:shd w:val="clear" w:color="auto" w:fill="FFFFFF"/>
              </w:rPr>
              <w:t>得</w:t>
            </w:r>
            <w:r>
              <w:rPr>
                <w:rFonts w:hint="eastAsia" w:ascii="宋体" w:hAnsi="宋体" w:cs="Helvetica"/>
                <w:shd w:val="clear" w:color="auto" w:fill="FFFFFF"/>
                <w:lang w:val="en-US" w:eastAsia="zh-CN"/>
              </w:rPr>
              <w:t>3</w:t>
            </w:r>
            <w:r>
              <w:rPr>
                <w:rFonts w:hint="eastAsia" w:ascii="宋体" w:hAnsi="宋体" w:cs="Helvetica"/>
                <w:shd w:val="clear" w:color="auto" w:fill="FFFFFF"/>
              </w:rPr>
              <w:t>分；</w:t>
            </w:r>
          </w:p>
          <w:p w14:paraId="073C980E">
            <w:pPr>
              <w:spacing w:line="360" w:lineRule="auto"/>
              <w:ind w:right="-10"/>
              <w:jc w:val="left"/>
              <w:rPr>
                <w:rFonts w:ascii="宋体" w:hAnsi="宋体" w:cs="宋体"/>
                <w:spacing w:val="7"/>
                <w:szCs w:val="21"/>
              </w:rPr>
            </w:pPr>
            <w:r>
              <w:rPr>
                <w:rFonts w:hint="eastAsia" w:ascii="宋体" w:hAnsi="宋体" w:cs="宋体"/>
                <w:szCs w:val="21"/>
              </w:rPr>
              <w:t>③供应商提供的</w:t>
            </w:r>
            <w:r>
              <w:rPr>
                <w:rFonts w:hint="eastAsia" w:ascii="宋体" w:hAnsi="宋体" w:cs="宋体"/>
                <w:spacing w:val="7"/>
                <w:szCs w:val="21"/>
              </w:rPr>
              <w:t>方案存在缺乏细节或描述笼统或逻辑不清的得1分；</w:t>
            </w:r>
          </w:p>
          <w:p w14:paraId="476BD694">
            <w:pPr>
              <w:spacing w:line="360" w:lineRule="auto"/>
              <w:rPr>
                <w:rFonts w:ascii="宋体" w:hAnsi="宋体" w:cs="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④</w:t>
            </w:r>
            <w:r>
              <w:rPr>
                <w:rFonts w:hint="eastAsia" w:ascii="宋体" w:hAnsi="宋体" w:cs="仿宋_GB2312"/>
                <w:color w:val="000000" w:themeColor="text1"/>
                <w:kern w:val="0"/>
                <w:szCs w:val="21"/>
                <w14:textFill>
                  <w14:solidFill>
                    <w14:schemeClr w14:val="tx1"/>
                  </w14:solidFill>
                </w14:textFill>
              </w:rPr>
              <w:t>未提供不得分。</w:t>
            </w:r>
          </w:p>
        </w:tc>
        <w:tc>
          <w:tcPr>
            <w:tcW w:w="714" w:type="dxa"/>
            <w:vAlign w:val="center"/>
          </w:tcPr>
          <w:p w14:paraId="6C36116C">
            <w:pPr>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5</w:t>
            </w:r>
            <w:r>
              <w:rPr>
                <w:rFonts w:hint="eastAsia" w:ascii="宋体" w:hAnsi="宋体" w:cs="宋体"/>
                <w:color w:val="000000" w:themeColor="text1"/>
                <w:szCs w:val="21"/>
                <w14:textFill>
                  <w14:solidFill>
                    <w14:schemeClr w14:val="tx1"/>
                  </w14:solidFill>
                </w14:textFill>
              </w:rPr>
              <w:t>分</w:t>
            </w:r>
          </w:p>
        </w:tc>
      </w:tr>
      <w:tr w14:paraId="3D694FD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830" w:hRule="atLeast"/>
          <w:jc w:val="center"/>
        </w:trPr>
        <w:tc>
          <w:tcPr>
            <w:tcW w:w="659" w:type="dxa"/>
            <w:shd w:val="clear" w:color="auto" w:fill="auto"/>
            <w:vAlign w:val="center"/>
          </w:tcPr>
          <w:p w14:paraId="4D095029">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11</w:t>
            </w:r>
          </w:p>
        </w:tc>
        <w:tc>
          <w:tcPr>
            <w:tcW w:w="655" w:type="dxa"/>
            <w:vMerge w:val="continue"/>
            <w:vAlign w:val="center"/>
          </w:tcPr>
          <w:p w14:paraId="7FB78DA4">
            <w:pPr>
              <w:snapToGrid w:val="0"/>
              <w:ind w:firstLine="336" w:firstLineChars="200"/>
              <w:rPr>
                <w:rFonts w:ascii="宋体" w:hAnsi="宋体" w:cs="宋体"/>
                <w:color w:val="000000" w:themeColor="text1"/>
                <w:w w:val="80"/>
                <w:szCs w:val="21"/>
                <w14:textFill>
                  <w14:solidFill>
                    <w14:schemeClr w14:val="tx1"/>
                  </w14:solidFill>
                </w14:textFill>
              </w:rPr>
            </w:pPr>
          </w:p>
        </w:tc>
        <w:tc>
          <w:tcPr>
            <w:tcW w:w="987" w:type="dxa"/>
            <w:tcBorders>
              <w:right w:val="single" w:color="auto" w:sz="4" w:space="0"/>
            </w:tcBorders>
            <w:vAlign w:val="center"/>
          </w:tcPr>
          <w:p w14:paraId="345A2096">
            <w:pPr>
              <w:spacing w:line="360" w:lineRule="exact"/>
              <w:jc w:val="center"/>
              <w:rPr>
                <w:rFonts w:ascii="宋体" w:hAnsi="宋体" w:cs="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项目团队情况</w:t>
            </w:r>
          </w:p>
        </w:tc>
        <w:tc>
          <w:tcPr>
            <w:tcW w:w="5990" w:type="dxa"/>
            <w:tcBorders>
              <w:top w:val="single" w:color="auto" w:sz="4" w:space="0"/>
              <w:left w:val="single" w:color="auto" w:sz="4" w:space="0"/>
              <w:bottom w:val="single" w:color="auto" w:sz="4" w:space="0"/>
            </w:tcBorders>
            <w:shd w:val="clear" w:color="auto" w:fill="auto"/>
            <w:vAlign w:val="center"/>
          </w:tcPr>
          <w:p w14:paraId="0CFC2C87">
            <w:pPr>
              <w:spacing w:line="360" w:lineRule="exact"/>
              <w:rPr>
                <w:rFonts w:hint="eastAsia" w:ascii="宋体" w:hAnsi="宋体" w:cs="新宋体"/>
                <w:color w:val="auto"/>
                <w:szCs w:val="21"/>
              </w:rPr>
            </w:pPr>
            <w:r>
              <w:rPr>
                <w:rFonts w:hint="eastAsia" w:ascii="宋体" w:hAnsi="宋体" w:cs="宋体"/>
                <w:color w:val="000000" w:themeColor="text1"/>
                <w:szCs w:val="21"/>
                <w14:textFill>
                  <w14:solidFill>
                    <w14:schemeClr w14:val="tx1"/>
                  </w14:solidFill>
                </w14:textFill>
              </w:rPr>
              <w:t>评标委员会</w:t>
            </w:r>
            <w:r>
              <w:rPr>
                <w:rFonts w:hint="eastAsia" w:ascii="宋体" w:hAnsi="宋体" w:cs="新宋体"/>
                <w:color w:val="auto"/>
                <w:szCs w:val="21"/>
              </w:rPr>
              <w:t>根据投入本项目人员的数量、工作经验、稳定性承诺等情况进行综合评价。</w:t>
            </w:r>
          </w:p>
          <w:p w14:paraId="48BA2728">
            <w:pPr>
              <w:spacing w:line="360" w:lineRule="exact"/>
              <w:rPr>
                <w:rFonts w:hint="eastAsia" w:ascii="宋体" w:hAnsi="宋体" w:cs="新宋体"/>
                <w:color w:val="auto"/>
                <w:szCs w:val="21"/>
              </w:rPr>
            </w:pPr>
            <w:r>
              <w:rPr>
                <w:rFonts w:hint="eastAsia" w:ascii="宋体" w:hAnsi="宋体" w:cs="新宋体"/>
                <w:color w:val="auto"/>
                <w:szCs w:val="21"/>
              </w:rPr>
              <w:t>投入本项目的人员数量充足、工作经验丰富、稳定性承诺好的，得</w:t>
            </w:r>
            <w:r>
              <w:rPr>
                <w:rFonts w:hint="eastAsia" w:ascii="宋体" w:hAnsi="宋体" w:cs="新宋体"/>
                <w:color w:val="auto"/>
                <w:szCs w:val="21"/>
                <w:lang w:val="en-US" w:eastAsia="zh-CN"/>
              </w:rPr>
              <w:t>7</w:t>
            </w:r>
            <w:r>
              <w:rPr>
                <w:rFonts w:hint="eastAsia" w:ascii="宋体" w:hAnsi="宋体" w:cs="新宋体"/>
                <w:color w:val="auto"/>
                <w:szCs w:val="21"/>
              </w:rPr>
              <w:t>分；</w:t>
            </w:r>
          </w:p>
          <w:p w14:paraId="7D8E5315">
            <w:pPr>
              <w:spacing w:line="360" w:lineRule="exact"/>
              <w:rPr>
                <w:rFonts w:hint="eastAsia" w:ascii="宋体" w:hAnsi="宋体" w:cs="新宋体"/>
                <w:color w:val="auto"/>
                <w:szCs w:val="21"/>
              </w:rPr>
            </w:pPr>
            <w:r>
              <w:rPr>
                <w:rFonts w:hint="eastAsia" w:ascii="宋体" w:hAnsi="宋体" w:cs="新宋体"/>
                <w:color w:val="auto"/>
                <w:szCs w:val="21"/>
              </w:rPr>
              <w:t>投入本项目的人员数量较充足、工作经验较高、稳定性承诺较好的，得5分；</w:t>
            </w:r>
          </w:p>
          <w:p w14:paraId="4AB193F6">
            <w:pPr>
              <w:spacing w:line="360" w:lineRule="exact"/>
              <w:rPr>
                <w:rFonts w:hint="eastAsia" w:ascii="宋体" w:hAnsi="宋体" w:cs="新宋体"/>
                <w:color w:val="auto"/>
                <w:szCs w:val="21"/>
              </w:rPr>
            </w:pPr>
            <w:r>
              <w:rPr>
                <w:rFonts w:hint="eastAsia" w:ascii="宋体" w:hAnsi="宋体" w:cs="新宋体"/>
                <w:color w:val="auto"/>
                <w:szCs w:val="21"/>
              </w:rPr>
              <w:t>投入本项目的人员数量一般、工作经验一般、稳定性承诺一般的，得</w:t>
            </w:r>
            <w:r>
              <w:rPr>
                <w:rFonts w:hint="eastAsia" w:ascii="宋体" w:hAnsi="宋体" w:cs="新宋体"/>
                <w:color w:val="auto"/>
                <w:szCs w:val="21"/>
                <w:lang w:val="en-US" w:eastAsia="zh-CN"/>
              </w:rPr>
              <w:t>3</w:t>
            </w:r>
            <w:r>
              <w:rPr>
                <w:rFonts w:hint="eastAsia" w:ascii="宋体" w:hAnsi="宋体" w:cs="新宋体"/>
                <w:color w:val="auto"/>
                <w:szCs w:val="21"/>
              </w:rPr>
              <w:t>分。</w:t>
            </w:r>
          </w:p>
          <w:p w14:paraId="4D4AA4C0">
            <w:pPr>
              <w:spacing w:line="360" w:lineRule="exact"/>
              <w:rPr>
                <w:rFonts w:hint="eastAsia"/>
              </w:rPr>
            </w:pPr>
            <w:r>
              <w:rPr>
                <w:rFonts w:hint="eastAsia" w:ascii="宋体" w:hAnsi="宋体" w:cs="新宋体"/>
                <w:color w:val="auto"/>
                <w:szCs w:val="21"/>
              </w:rPr>
              <w:t>投入本项目的人员数量</w:t>
            </w:r>
            <w:r>
              <w:rPr>
                <w:rFonts w:hint="eastAsia" w:ascii="宋体" w:hAnsi="宋体" w:cs="新宋体"/>
                <w:color w:val="auto"/>
                <w:szCs w:val="21"/>
                <w:lang w:val="en-US" w:eastAsia="zh-CN"/>
              </w:rPr>
              <w:t>较少</w:t>
            </w:r>
            <w:r>
              <w:rPr>
                <w:rFonts w:hint="eastAsia" w:ascii="宋体" w:hAnsi="宋体" w:cs="新宋体"/>
                <w:color w:val="auto"/>
                <w:szCs w:val="21"/>
              </w:rPr>
              <w:t>、工作经验</w:t>
            </w:r>
            <w:r>
              <w:rPr>
                <w:rFonts w:hint="eastAsia" w:ascii="宋体" w:hAnsi="宋体" w:cs="新宋体"/>
                <w:color w:val="auto"/>
                <w:szCs w:val="21"/>
                <w:lang w:val="en-US" w:eastAsia="zh-CN"/>
              </w:rPr>
              <w:t>较差</w:t>
            </w:r>
            <w:r>
              <w:rPr>
                <w:rFonts w:hint="eastAsia" w:ascii="宋体" w:hAnsi="宋体" w:cs="新宋体"/>
                <w:color w:val="auto"/>
                <w:szCs w:val="21"/>
              </w:rPr>
              <w:t>、稳定性承诺</w:t>
            </w:r>
            <w:r>
              <w:rPr>
                <w:rFonts w:hint="eastAsia" w:ascii="宋体" w:hAnsi="宋体" w:cs="新宋体"/>
                <w:color w:val="auto"/>
                <w:szCs w:val="21"/>
                <w:lang w:val="en-US" w:eastAsia="zh-CN"/>
              </w:rPr>
              <w:t>较差</w:t>
            </w:r>
            <w:r>
              <w:rPr>
                <w:rFonts w:hint="eastAsia" w:ascii="宋体" w:hAnsi="宋体" w:cs="新宋体"/>
                <w:color w:val="auto"/>
                <w:szCs w:val="21"/>
              </w:rPr>
              <w:t>的，得</w:t>
            </w:r>
            <w:r>
              <w:rPr>
                <w:rFonts w:hint="eastAsia" w:ascii="宋体" w:hAnsi="宋体" w:cs="新宋体"/>
                <w:color w:val="auto"/>
                <w:szCs w:val="21"/>
                <w:lang w:val="en-US" w:eastAsia="zh-CN"/>
              </w:rPr>
              <w:t>1</w:t>
            </w:r>
            <w:r>
              <w:rPr>
                <w:rFonts w:hint="eastAsia" w:ascii="宋体" w:hAnsi="宋体" w:cs="新宋体"/>
                <w:color w:val="auto"/>
                <w:szCs w:val="21"/>
              </w:rPr>
              <w:t>分。</w:t>
            </w:r>
          </w:p>
          <w:p w14:paraId="0396BB84">
            <w:pPr>
              <w:spacing w:line="360" w:lineRule="exact"/>
              <w:rPr>
                <w:rFonts w:ascii="宋体" w:hAnsi="宋体" w:cs="宋体"/>
                <w:color w:val="000000" w:themeColor="text1"/>
                <w:szCs w:val="21"/>
                <w14:textFill>
                  <w14:solidFill>
                    <w14:schemeClr w14:val="tx1"/>
                  </w14:solidFill>
                </w14:textFill>
              </w:rPr>
            </w:pPr>
            <w:r>
              <w:rPr>
                <w:rFonts w:hint="eastAsia" w:ascii="宋体" w:hAnsi="宋体"/>
                <w:b/>
                <w:color w:val="auto"/>
                <w:szCs w:val="21"/>
              </w:rPr>
              <w:t>投标文件须提供人员证书复印件、投标人单位在投标截止日前半年内任意一个月为其缴纳社保证明复印件并加盖公章，否则不得分。</w:t>
            </w:r>
          </w:p>
        </w:tc>
        <w:tc>
          <w:tcPr>
            <w:tcW w:w="714" w:type="dxa"/>
            <w:tcBorders>
              <w:bottom w:val="single" w:color="auto" w:sz="4" w:space="0"/>
            </w:tcBorders>
            <w:vAlign w:val="center"/>
          </w:tcPr>
          <w:p w14:paraId="3B8128EF">
            <w:pPr>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7</w:t>
            </w:r>
            <w:r>
              <w:rPr>
                <w:rFonts w:hint="eastAsia" w:ascii="宋体" w:hAnsi="宋体" w:cs="宋体"/>
                <w:color w:val="000000" w:themeColor="text1"/>
                <w:szCs w:val="21"/>
                <w14:textFill>
                  <w14:solidFill>
                    <w14:schemeClr w14:val="tx1"/>
                  </w14:solidFill>
                </w14:textFill>
              </w:rPr>
              <w:t>分</w:t>
            </w:r>
          </w:p>
        </w:tc>
      </w:tr>
      <w:tr w14:paraId="2BA654F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59" w:type="dxa"/>
            <w:shd w:val="clear" w:color="auto" w:fill="auto"/>
            <w:vAlign w:val="center"/>
          </w:tcPr>
          <w:p w14:paraId="474078E2">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12</w:t>
            </w:r>
          </w:p>
        </w:tc>
        <w:tc>
          <w:tcPr>
            <w:tcW w:w="655" w:type="dxa"/>
            <w:vMerge w:val="continue"/>
            <w:vAlign w:val="center"/>
          </w:tcPr>
          <w:p w14:paraId="3770DA72">
            <w:pPr>
              <w:snapToGrid w:val="0"/>
              <w:ind w:firstLine="336" w:firstLineChars="200"/>
              <w:rPr>
                <w:rFonts w:ascii="宋体" w:hAnsi="宋体" w:cs="宋体"/>
                <w:color w:val="000000" w:themeColor="text1"/>
                <w:w w:val="80"/>
                <w:szCs w:val="21"/>
                <w14:textFill>
                  <w14:solidFill>
                    <w14:schemeClr w14:val="tx1"/>
                  </w14:solidFill>
                </w14:textFill>
              </w:rPr>
            </w:pPr>
          </w:p>
        </w:tc>
        <w:tc>
          <w:tcPr>
            <w:tcW w:w="987" w:type="dxa"/>
            <w:tcBorders>
              <w:right w:val="single" w:color="auto" w:sz="4" w:space="0"/>
            </w:tcBorders>
            <w:shd w:val="clear" w:color="auto" w:fill="auto"/>
            <w:vAlign w:val="center"/>
          </w:tcPr>
          <w:p w14:paraId="61A517CF">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资质</w:t>
            </w:r>
          </w:p>
          <w:p w14:paraId="41085FF8">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认证</w:t>
            </w:r>
          </w:p>
          <w:p w14:paraId="17B27FAE">
            <w:pPr>
              <w:jc w:val="center"/>
              <w:rPr>
                <w:rFonts w:ascii="宋体" w:hAnsi="宋体" w:cs="宋体"/>
                <w:color w:val="000000" w:themeColor="text1"/>
                <w:szCs w:val="21"/>
                <w14:textFill>
                  <w14:solidFill>
                    <w14:schemeClr w14:val="tx1"/>
                  </w14:solidFill>
                </w14:textFill>
              </w:rPr>
            </w:pPr>
          </w:p>
        </w:tc>
        <w:tc>
          <w:tcPr>
            <w:tcW w:w="5990" w:type="dxa"/>
            <w:tcBorders>
              <w:left w:val="single" w:color="auto" w:sz="4" w:space="0"/>
            </w:tcBorders>
            <w:shd w:val="clear" w:color="auto" w:fill="auto"/>
            <w:vAlign w:val="center"/>
          </w:tcPr>
          <w:p w14:paraId="4D6A637F">
            <w:pPr>
              <w:spacing w:line="360" w:lineRule="exac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（1）供应商具有ISO9001质量管理体系证书、ISO27001信息安全管理体系认证、ISO20000信息技术服务管理体系认证证书的，每提供一项得</w:t>
            </w:r>
            <w:r>
              <w:rPr>
                <w:rFonts w:hint="eastAsia" w:ascii="宋体" w:hAnsi="宋体"/>
                <w:color w:val="000000" w:themeColor="text1"/>
                <w:szCs w:val="21"/>
                <w:lang w:val="en-US" w:eastAsia="zh-CN"/>
                <w14:textFill>
                  <w14:solidFill>
                    <w14:schemeClr w14:val="tx1"/>
                  </w14:solidFill>
                </w14:textFill>
              </w:rPr>
              <w:t>0.5</w:t>
            </w:r>
            <w:r>
              <w:rPr>
                <w:rFonts w:hint="eastAsia" w:ascii="宋体" w:hAnsi="宋体"/>
                <w:color w:val="000000" w:themeColor="text1"/>
                <w:szCs w:val="21"/>
                <w14:textFill>
                  <w14:solidFill>
                    <w14:schemeClr w14:val="tx1"/>
                  </w14:solidFill>
                </w14:textFill>
              </w:rPr>
              <w:t>分，最高得</w:t>
            </w:r>
            <w:r>
              <w:rPr>
                <w:rFonts w:hint="eastAsia" w:ascii="宋体" w:hAnsi="宋体"/>
                <w:color w:val="000000" w:themeColor="text1"/>
                <w:szCs w:val="21"/>
                <w:lang w:val="en-US" w:eastAsia="zh-CN"/>
                <w14:textFill>
                  <w14:solidFill>
                    <w14:schemeClr w14:val="tx1"/>
                  </w14:solidFill>
                </w14:textFill>
              </w:rPr>
              <w:t>1.5</w:t>
            </w:r>
            <w:r>
              <w:rPr>
                <w:rFonts w:hint="eastAsia" w:ascii="宋体" w:hAnsi="宋体"/>
                <w:color w:val="000000" w:themeColor="text1"/>
                <w:szCs w:val="21"/>
                <w14:textFill>
                  <w14:solidFill>
                    <w14:schemeClr w14:val="tx1"/>
                  </w14:solidFill>
                </w14:textFill>
              </w:rPr>
              <w:t>分。</w:t>
            </w:r>
          </w:p>
          <w:p w14:paraId="4915CDC2">
            <w:pPr>
              <w:spacing w:line="360" w:lineRule="exac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（2）供应商具有信息技术服务运行维护标准符合性证书（ITSS）得</w:t>
            </w:r>
            <w:r>
              <w:rPr>
                <w:rFonts w:hint="eastAsia" w:ascii="宋体" w:hAnsi="宋体"/>
                <w:color w:val="000000" w:themeColor="text1"/>
                <w:szCs w:val="21"/>
                <w:lang w:val="en-US" w:eastAsia="zh-CN"/>
                <w14:textFill>
                  <w14:solidFill>
                    <w14:schemeClr w14:val="tx1"/>
                  </w14:solidFill>
                </w14:textFill>
              </w:rPr>
              <w:t>0.5</w:t>
            </w:r>
            <w:r>
              <w:rPr>
                <w:rFonts w:hint="eastAsia" w:ascii="宋体" w:hAnsi="宋体"/>
                <w:color w:val="000000" w:themeColor="text1"/>
                <w:szCs w:val="21"/>
                <w14:textFill>
                  <w14:solidFill>
                    <w14:schemeClr w14:val="tx1"/>
                  </w14:solidFill>
                </w14:textFill>
              </w:rPr>
              <w:t>分，最高得</w:t>
            </w:r>
            <w:r>
              <w:rPr>
                <w:rFonts w:hint="eastAsia" w:ascii="宋体" w:hAnsi="宋体"/>
                <w:color w:val="000000" w:themeColor="text1"/>
                <w:szCs w:val="21"/>
                <w:lang w:val="en-US" w:eastAsia="zh-CN"/>
                <w14:textFill>
                  <w14:solidFill>
                    <w14:schemeClr w14:val="tx1"/>
                  </w14:solidFill>
                </w14:textFill>
              </w:rPr>
              <w:t>0.5</w:t>
            </w:r>
            <w:r>
              <w:rPr>
                <w:rFonts w:hint="eastAsia" w:ascii="宋体" w:hAnsi="宋体"/>
                <w:color w:val="000000" w:themeColor="text1"/>
                <w:szCs w:val="21"/>
                <w14:textFill>
                  <w14:solidFill>
                    <w14:schemeClr w14:val="tx1"/>
                  </w14:solidFill>
                </w14:textFill>
              </w:rPr>
              <w:t>分。</w:t>
            </w:r>
          </w:p>
          <w:p w14:paraId="74BA18EF">
            <w:pPr>
              <w:rPr>
                <w:rFonts w:ascii="宋体" w:hAnsi="宋体" w:cs="宋体"/>
                <w:color w:val="000000" w:themeColor="text1"/>
                <w:szCs w:val="21"/>
                <w14:textFill>
                  <w14:solidFill>
                    <w14:schemeClr w14:val="tx1"/>
                  </w14:solidFill>
                </w14:textFill>
              </w:rPr>
            </w:pPr>
            <w:r>
              <w:rPr>
                <w:rFonts w:hint="eastAsia"/>
                <w:color w:val="000000" w:themeColor="text1"/>
                <w14:textFill>
                  <w14:solidFill>
                    <w14:schemeClr w14:val="tx1"/>
                  </w14:solidFill>
                </w14:textFill>
              </w:rPr>
              <w:t>注：响应文件中提供有效期内的证书复印件并加盖公章，未提供的不得分。</w:t>
            </w:r>
          </w:p>
        </w:tc>
        <w:tc>
          <w:tcPr>
            <w:tcW w:w="714" w:type="dxa"/>
            <w:tcBorders>
              <w:top w:val="single" w:color="auto" w:sz="4" w:space="0"/>
            </w:tcBorders>
            <w:vAlign w:val="center"/>
          </w:tcPr>
          <w:p w14:paraId="768968F2">
            <w:pPr>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2</w:t>
            </w:r>
            <w:r>
              <w:rPr>
                <w:rFonts w:hint="eastAsia" w:ascii="宋体" w:hAnsi="宋体" w:cs="宋体"/>
                <w:color w:val="000000" w:themeColor="text1"/>
                <w:szCs w:val="21"/>
                <w14:textFill>
                  <w14:solidFill>
                    <w14:schemeClr w14:val="tx1"/>
                  </w14:solidFill>
                </w14:textFill>
              </w:rPr>
              <w:t>分</w:t>
            </w:r>
          </w:p>
        </w:tc>
      </w:tr>
      <w:tr w14:paraId="780DAE4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59" w:type="dxa"/>
            <w:shd w:val="clear" w:color="auto" w:fill="auto"/>
            <w:vAlign w:val="center"/>
          </w:tcPr>
          <w:p w14:paraId="34295598">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13</w:t>
            </w:r>
          </w:p>
        </w:tc>
        <w:tc>
          <w:tcPr>
            <w:tcW w:w="655" w:type="dxa"/>
            <w:vMerge w:val="continue"/>
            <w:vAlign w:val="center"/>
          </w:tcPr>
          <w:p w14:paraId="37266FBC">
            <w:pPr>
              <w:snapToGrid w:val="0"/>
              <w:ind w:firstLine="336" w:firstLineChars="200"/>
              <w:rPr>
                <w:rFonts w:ascii="宋体" w:hAnsi="宋体" w:cs="宋体"/>
                <w:color w:val="000000" w:themeColor="text1"/>
                <w:w w:val="80"/>
                <w:szCs w:val="21"/>
                <w14:textFill>
                  <w14:solidFill>
                    <w14:schemeClr w14:val="tx1"/>
                  </w14:solidFill>
                </w14:textFill>
              </w:rPr>
            </w:pPr>
          </w:p>
        </w:tc>
        <w:tc>
          <w:tcPr>
            <w:tcW w:w="987" w:type="dxa"/>
            <w:tcBorders>
              <w:right w:val="single" w:color="auto" w:sz="4" w:space="0"/>
            </w:tcBorders>
            <w:shd w:val="clear" w:color="auto" w:fill="auto"/>
            <w:vAlign w:val="center"/>
          </w:tcPr>
          <w:p w14:paraId="45AAE18B">
            <w:pPr>
              <w:jc w:val="center"/>
              <w:rPr>
                <w:rFonts w:ascii="宋体" w:hAnsi="宋体" w:cs="宋体"/>
                <w:color w:val="000000" w:themeColor="text1"/>
                <w:szCs w:val="21"/>
                <w14:textFill>
                  <w14:solidFill>
                    <w14:schemeClr w14:val="tx1"/>
                  </w14:solidFill>
                </w14:textFill>
              </w:rPr>
            </w:pPr>
            <w:r>
              <w:rPr>
                <w:rFonts w:hint="eastAsia" w:ascii="宋体" w:hAnsi="宋体"/>
                <w:snapToGrid w:val="0"/>
                <w:color w:val="000000" w:themeColor="text1"/>
                <w:spacing w:val="-4"/>
                <w:szCs w:val="21"/>
                <w14:textFill>
                  <w14:solidFill>
                    <w14:schemeClr w14:val="tx1"/>
                  </w14:solidFill>
                </w14:textFill>
              </w:rPr>
              <w:t>业绩</w:t>
            </w:r>
          </w:p>
        </w:tc>
        <w:tc>
          <w:tcPr>
            <w:tcW w:w="5990" w:type="dxa"/>
            <w:tcBorders>
              <w:left w:val="single" w:color="auto" w:sz="4" w:space="0"/>
            </w:tcBorders>
            <w:shd w:val="clear" w:color="auto" w:fill="auto"/>
            <w:vAlign w:val="center"/>
          </w:tcPr>
          <w:p w14:paraId="001A6996">
            <w:pPr>
              <w:spacing w:line="360" w:lineRule="exact"/>
              <w:rPr>
                <w:rFonts w:ascii="宋体" w:hAnsi="宋体"/>
                <w:snapToGrid w:val="0"/>
                <w:color w:val="000000" w:themeColor="text1"/>
                <w:spacing w:val="-4"/>
                <w:szCs w:val="21"/>
                <w14:textFill>
                  <w14:solidFill>
                    <w14:schemeClr w14:val="tx1"/>
                  </w14:solidFill>
                </w14:textFill>
              </w:rPr>
            </w:pPr>
            <w:r>
              <w:rPr>
                <w:rFonts w:hint="eastAsia" w:ascii="宋体" w:hAnsi="宋体"/>
                <w:snapToGrid w:val="0"/>
                <w:color w:val="000000" w:themeColor="text1"/>
                <w:spacing w:val="-4"/>
                <w:szCs w:val="21"/>
                <w14:textFill>
                  <w14:solidFill>
                    <w14:schemeClr w14:val="tx1"/>
                  </w14:solidFill>
                </w14:textFill>
              </w:rPr>
              <w:t>供应商自2023年1月1日以来</w:t>
            </w:r>
            <w:r>
              <w:rPr>
                <w:rFonts w:hint="eastAsia" w:asciiTheme="minorEastAsia" w:hAnsiTheme="minorEastAsia" w:eastAsiaTheme="minorEastAsia"/>
                <w:color w:val="000000" w:themeColor="text1"/>
                <w:szCs w:val="21"/>
                <w14:textFill>
                  <w14:solidFill>
                    <w14:schemeClr w14:val="tx1"/>
                  </w14:solidFill>
                </w14:textFill>
              </w:rPr>
              <w:t>（以合同签订之日为准）</w:t>
            </w:r>
            <w:r>
              <w:rPr>
                <w:rFonts w:hint="eastAsia" w:ascii="宋体" w:hAnsi="宋体"/>
                <w:snapToGrid w:val="0"/>
                <w:color w:val="000000" w:themeColor="text1"/>
                <w:spacing w:val="-4"/>
                <w:szCs w:val="21"/>
                <w14:textFill>
                  <w14:solidFill>
                    <w14:schemeClr w14:val="tx1"/>
                  </w14:solidFill>
                </w14:textFill>
              </w:rPr>
              <w:t>，</w:t>
            </w:r>
            <w:r>
              <w:rPr>
                <w:rFonts w:hint="eastAsia" w:ascii="宋体" w:hAnsi="宋体"/>
                <w:snapToGrid w:val="0"/>
                <w:color w:val="000000" w:themeColor="text1"/>
                <w:spacing w:val="-4"/>
                <w:szCs w:val="21"/>
                <w:lang w:val="en-US" w:eastAsia="zh-CN"/>
                <w14:textFill>
                  <w14:solidFill>
                    <w14:schemeClr w14:val="tx1"/>
                  </w14:solidFill>
                </w14:textFill>
              </w:rPr>
              <w:t>具有</w:t>
            </w:r>
            <w:r>
              <w:rPr>
                <w:rFonts w:hint="eastAsia" w:ascii="宋体" w:hAnsi="宋体"/>
                <w:snapToGrid w:val="0"/>
                <w:color w:val="000000" w:themeColor="text1"/>
                <w:spacing w:val="-4"/>
                <w:szCs w:val="21"/>
                <w14:textFill>
                  <w14:solidFill>
                    <w14:schemeClr w14:val="tx1"/>
                  </w14:solidFill>
                </w14:textFill>
              </w:rPr>
              <w:t>类似项目</w:t>
            </w:r>
            <w:r>
              <w:rPr>
                <w:rFonts w:hint="eastAsia" w:ascii="宋体" w:hAnsi="宋体"/>
                <w:snapToGrid w:val="0"/>
                <w:color w:val="000000" w:themeColor="text1"/>
                <w:spacing w:val="-4"/>
                <w:szCs w:val="21"/>
                <w:lang w:val="en-US" w:eastAsia="zh-CN"/>
                <w14:textFill>
                  <w14:solidFill>
                    <w14:schemeClr w14:val="tx1"/>
                  </w14:solidFill>
                </w14:textFill>
              </w:rPr>
              <w:t>业绩</w:t>
            </w:r>
            <w:r>
              <w:rPr>
                <w:rFonts w:hint="eastAsia" w:ascii="宋体" w:hAnsi="宋体"/>
                <w:snapToGrid w:val="0"/>
                <w:color w:val="000000" w:themeColor="text1"/>
                <w:spacing w:val="-4"/>
                <w:szCs w:val="21"/>
                <w14:textFill>
                  <w14:solidFill>
                    <w14:schemeClr w14:val="tx1"/>
                  </w14:solidFill>
                </w14:textFill>
              </w:rPr>
              <w:t>的，每个得1分，最多得</w:t>
            </w:r>
            <w:r>
              <w:rPr>
                <w:rFonts w:ascii="宋体" w:hAnsi="宋体"/>
                <w:snapToGrid w:val="0"/>
                <w:color w:val="000000" w:themeColor="text1"/>
                <w:spacing w:val="-4"/>
                <w:szCs w:val="21"/>
                <w14:textFill>
                  <w14:solidFill>
                    <w14:schemeClr w14:val="tx1"/>
                  </w14:solidFill>
                </w14:textFill>
              </w:rPr>
              <w:t>3</w:t>
            </w:r>
            <w:r>
              <w:rPr>
                <w:rFonts w:hint="eastAsia" w:ascii="宋体" w:hAnsi="宋体"/>
                <w:snapToGrid w:val="0"/>
                <w:color w:val="000000" w:themeColor="text1"/>
                <w:spacing w:val="-4"/>
                <w:szCs w:val="21"/>
                <w14:textFill>
                  <w14:solidFill>
                    <w14:schemeClr w14:val="tx1"/>
                  </w14:solidFill>
                </w14:textFill>
              </w:rPr>
              <w:t>分。</w:t>
            </w:r>
          </w:p>
          <w:p w14:paraId="6D8DC6F9">
            <w:pPr>
              <w:rPr>
                <w:rFonts w:ascii="宋体" w:hAnsi="宋体" w:cs="宋体"/>
                <w:color w:val="000000" w:themeColor="text1"/>
                <w:szCs w:val="21"/>
                <w14:textFill>
                  <w14:solidFill>
                    <w14:schemeClr w14:val="tx1"/>
                  </w14:solidFill>
                </w14:textFill>
              </w:rPr>
            </w:pPr>
            <w:r>
              <w:rPr>
                <w:rFonts w:hint="eastAsia"/>
                <w:color w:val="000000" w:themeColor="text1"/>
                <w14:textFill>
                  <w14:solidFill>
                    <w14:schemeClr w14:val="tx1"/>
                  </w14:solidFill>
                </w14:textFill>
              </w:rPr>
              <w:t>注：响应文件中提供合同、履约或竣工验收证明材料复印件，业绩合同中至少含有庭审主机，未提供或符合的不得分。</w:t>
            </w:r>
          </w:p>
        </w:tc>
        <w:tc>
          <w:tcPr>
            <w:tcW w:w="714" w:type="dxa"/>
            <w:vAlign w:val="center"/>
          </w:tcPr>
          <w:p w14:paraId="070E9DDB">
            <w:pPr>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3分</w:t>
            </w:r>
          </w:p>
        </w:tc>
      </w:tr>
      <w:tr w14:paraId="3740AC4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59" w:type="dxa"/>
            <w:vAlign w:val="center"/>
          </w:tcPr>
          <w:p w14:paraId="1443DE60">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14</w:t>
            </w:r>
          </w:p>
        </w:tc>
        <w:tc>
          <w:tcPr>
            <w:tcW w:w="655" w:type="dxa"/>
            <w:vMerge w:val="continue"/>
            <w:vAlign w:val="center"/>
          </w:tcPr>
          <w:p w14:paraId="2065DD0C">
            <w:pPr>
              <w:snapToGrid w:val="0"/>
              <w:ind w:firstLine="336" w:firstLineChars="200"/>
              <w:rPr>
                <w:rFonts w:ascii="宋体" w:hAnsi="宋体" w:cs="宋体"/>
                <w:color w:val="000000" w:themeColor="text1"/>
                <w:w w:val="80"/>
                <w:szCs w:val="21"/>
                <w14:textFill>
                  <w14:solidFill>
                    <w14:schemeClr w14:val="tx1"/>
                  </w14:solidFill>
                </w14:textFill>
              </w:rPr>
            </w:pPr>
          </w:p>
        </w:tc>
        <w:tc>
          <w:tcPr>
            <w:tcW w:w="987" w:type="dxa"/>
            <w:tcBorders>
              <w:right w:val="single" w:color="auto" w:sz="4" w:space="0"/>
            </w:tcBorders>
            <w:vAlign w:val="center"/>
          </w:tcPr>
          <w:p w14:paraId="6A92121B">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政府采购政策附加分</w:t>
            </w:r>
          </w:p>
        </w:tc>
        <w:tc>
          <w:tcPr>
            <w:tcW w:w="5990" w:type="dxa"/>
            <w:tcBorders>
              <w:left w:val="single" w:color="auto" w:sz="4" w:space="0"/>
            </w:tcBorders>
            <w:shd w:val="clear" w:color="auto" w:fill="auto"/>
            <w:vAlign w:val="center"/>
          </w:tcPr>
          <w:p w14:paraId="56F996BE">
            <w:pPr>
              <w:widowControl/>
              <w:spacing w:line="360" w:lineRule="exac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投标产品属于《节能产品政府采购品目清单》范围的且具有国家确定的认证机构出具的、处于有效期之内的节能产品认证证书的得0.5分；</w:t>
            </w:r>
          </w:p>
          <w:p w14:paraId="3A649FC6">
            <w:pPr>
              <w:widowControl/>
              <w:spacing w:line="360" w:lineRule="exac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投标产品属于《环境标志产品政府采购品目清单》范围的且具有国家确定的认证机构出具的、处于有效期之内的环境标志产品认证证书的得0.5分。</w:t>
            </w:r>
          </w:p>
          <w:p w14:paraId="3A25D486">
            <w:pPr>
              <w:widowControl/>
              <w:spacing w:line="360" w:lineRule="exac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注：响应文件中必须同时提供以下资料：</w:t>
            </w:r>
          </w:p>
          <w:p w14:paraId="15F0FCE6">
            <w:pPr>
              <w:widowControl/>
              <w:spacing w:line="360" w:lineRule="exac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提供政府采购品目清单相关内容页（并对相关内容作圈记），采购品目清单详见《关于印发环境标志产品政府采购品目清单的通知》（财库〔2019〕18号）和《关于印发节能产品政府采购品目清单的通知》（财库〔2019〕19号）。</w:t>
            </w:r>
          </w:p>
          <w:p w14:paraId="6487BDB1">
            <w:pPr>
              <w:rPr>
                <w:rFonts w:ascii="宋体" w:hAnsi="宋体" w:cs="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（2）《市场监管总局关于发布参与实施政府采购节能产品、环境标志产品认证机构名录的公告》中的认证机构出具的、处于有效期之内的节能产品/环境标志产品认证证书复印件并加盖公章。</w:t>
            </w:r>
          </w:p>
        </w:tc>
        <w:tc>
          <w:tcPr>
            <w:tcW w:w="714" w:type="dxa"/>
            <w:vAlign w:val="center"/>
          </w:tcPr>
          <w:p w14:paraId="565F8AA8">
            <w:pPr>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p>
        </w:tc>
      </w:tr>
      <w:tr w14:paraId="7D1D582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59" w:type="dxa"/>
            <w:vAlign w:val="center"/>
          </w:tcPr>
          <w:p w14:paraId="5B598AF7">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15</w:t>
            </w:r>
          </w:p>
        </w:tc>
        <w:tc>
          <w:tcPr>
            <w:tcW w:w="655" w:type="dxa"/>
            <w:vAlign w:val="center"/>
          </w:tcPr>
          <w:p w14:paraId="18715082">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价格</w:t>
            </w:r>
          </w:p>
        </w:tc>
        <w:tc>
          <w:tcPr>
            <w:tcW w:w="6977" w:type="dxa"/>
            <w:gridSpan w:val="2"/>
            <w:shd w:val="clear" w:color="auto" w:fill="auto"/>
            <w:vAlign w:val="center"/>
          </w:tcPr>
          <w:p w14:paraId="6327A796">
            <w:pPr>
              <w:keepNext w:val="0"/>
              <w:keepLines w:val="0"/>
              <w:pageBreakBefore w:val="0"/>
              <w:kinsoku/>
              <w:wordWrap/>
              <w:overflowPunct/>
              <w:topLinePunct w:val="0"/>
              <w:autoSpaceDE/>
              <w:autoSpaceDN/>
              <w:bidi w:val="0"/>
              <w:adjustRightInd/>
              <w:snapToGrid/>
              <w:spacing w:line="360" w:lineRule="auto"/>
              <w:textAlignment w:val="auto"/>
              <w:rPr>
                <w:rFonts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评标基准价指的是满足招标文件要求且最低的参与评审的价格。</w:t>
            </w:r>
          </w:p>
          <w:p w14:paraId="0419D349">
            <w:pPr>
              <w:keepNext w:val="0"/>
              <w:keepLines w:val="0"/>
              <w:pageBreakBefore w:val="0"/>
              <w:kinsoku/>
              <w:wordWrap/>
              <w:overflowPunct/>
              <w:topLinePunct w:val="0"/>
              <w:autoSpaceDE/>
              <w:autoSpaceDN/>
              <w:bidi w:val="0"/>
              <w:adjustRightInd/>
              <w:snapToGrid/>
              <w:spacing w:line="360" w:lineRule="auto"/>
              <w:textAlignment w:val="auto"/>
              <w:rPr>
                <w:rFonts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参与评审的价格=投标报价-投标报价</w:t>
            </w:r>
            <w:r>
              <w:rPr>
                <w:rFonts w:hint="eastAsia" w:asciiTheme="majorEastAsia" w:hAnsiTheme="majorEastAsia" w:eastAsiaTheme="majorEastAsia"/>
                <w:color w:val="auto"/>
                <w:szCs w:val="21"/>
                <w:highlight w:val="none"/>
                <w:lang w:val="en-US" w:eastAsia="zh-CN"/>
              </w:rPr>
              <w:t>×</w:t>
            </w:r>
            <w:r>
              <w:rPr>
                <w:rFonts w:hint="eastAsia" w:asciiTheme="majorEastAsia" w:hAnsiTheme="majorEastAsia" w:eastAsiaTheme="majorEastAsia"/>
                <w:color w:val="auto"/>
                <w:szCs w:val="21"/>
                <w:highlight w:val="none"/>
              </w:rPr>
              <w:t>（小微企业价格扣除率+本国产品价格扣除率）。</w:t>
            </w:r>
          </w:p>
          <w:p w14:paraId="4B209D47">
            <w:pPr>
              <w:keepNext w:val="0"/>
              <w:keepLines w:val="0"/>
              <w:pageBreakBefore w:val="0"/>
              <w:kinsoku/>
              <w:wordWrap/>
              <w:overflowPunct/>
              <w:topLinePunct w:val="0"/>
              <w:autoSpaceDE/>
              <w:autoSpaceDN/>
              <w:bidi w:val="0"/>
              <w:adjustRightInd/>
              <w:snapToGrid/>
              <w:spacing w:line="360" w:lineRule="auto"/>
              <w:textAlignment w:val="auto"/>
              <w:rPr>
                <w:rFonts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参与评审的价格为评标基准价的其价格得分得满分</w:t>
            </w:r>
            <w:r>
              <w:rPr>
                <w:rFonts w:hint="eastAsia" w:asciiTheme="majorEastAsia" w:hAnsiTheme="majorEastAsia" w:eastAsiaTheme="majorEastAsia"/>
                <w:color w:val="auto"/>
                <w:szCs w:val="21"/>
                <w:highlight w:val="none"/>
                <w:lang w:val="en-US" w:eastAsia="zh-CN"/>
              </w:rPr>
              <w:t>30</w:t>
            </w:r>
            <w:r>
              <w:rPr>
                <w:rFonts w:hint="eastAsia" w:asciiTheme="majorEastAsia" w:hAnsiTheme="majorEastAsia" w:eastAsiaTheme="majorEastAsia"/>
                <w:color w:val="auto"/>
                <w:szCs w:val="21"/>
                <w:highlight w:val="none"/>
              </w:rPr>
              <w:t>分。</w:t>
            </w:r>
          </w:p>
          <w:p w14:paraId="4CB02766">
            <w:pPr>
              <w:keepNext w:val="0"/>
              <w:keepLines w:val="0"/>
              <w:pageBreakBefore w:val="0"/>
              <w:kinsoku/>
              <w:wordWrap/>
              <w:overflowPunct/>
              <w:topLinePunct w:val="0"/>
              <w:autoSpaceDE/>
              <w:autoSpaceDN/>
              <w:bidi w:val="0"/>
              <w:adjustRightInd/>
              <w:snapToGrid/>
              <w:spacing w:line="360" w:lineRule="auto"/>
              <w:textAlignment w:val="auto"/>
              <w:rPr>
                <w:rFonts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其他投标人价格得分按照下列公式计算：</w:t>
            </w:r>
          </w:p>
          <w:p w14:paraId="7D44D294">
            <w:pPr>
              <w:keepNext w:val="0"/>
              <w:keepLines w:val="0"/>
              <w:pageBreakBefore w:val="0"/>
              <w:kinsoku/>
              <w:wordWrap/>
              <w:overflowPunct/>
              <w:topLinePunct w:val="0"/>
              <w:autoSpaceDE/>
              <w:autoSpaceDN/>
              <w:bidi w:val="0"/>
              <w:adjustRightInd/>
              <w:snapToGrid/>
              <w:spacing w:line="360" w:lineRule="auto"/>
              <w:textAlignment w:val="auto"/>
              <w:rPr>
                <w:rFonts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价格得分=（评标基准价/各投标人参与评审的价格）×</w:t>
            </w:r>
            <w:r>
              <w:rPr>
                <w:rFonts w:hint="eastAsia" w:asciiTheme="majorEastAsia" w:hAnsiTheme="majorEastAsia" w:eastAsiaTheme="majorEastAsia"/>
                <w:color w:val="auto"/>
                <w:szCs w:val="21"/>
                <w:highlight w:val="none"/>
                <w:lang w:val="en-US" w:eastAsia="zh-CN"/>
              </w:rPr>
              <w:t>30</w:t>
            </w:r>
            <w:r>
              <w:rPr>
                <w:rFonts w:hint="eastAsia" w:asciiTheme="majorEastAsia" w:hAnsiTheme="majorEastAsia" w:eastAsiaTheme="majorEastAsia"/>
                <w:color w:val="auto"/>
                <w:szCs w:val="21"/>
                <w:highlight w:val="none"/>
              </w:rPr>
              <w:t>％×100。</w:t>
            </w:r>
          </w:p>
          <w:p w14:paraId="5395DB07">
            <w:pPr>
              <w:keepNext w:val="0"/>
              <w:keepLines w:val="0"/>
              <w:pageBreakBefore w:val="0"/>
              <w:kinsoku/>
              <w:wordWrap/>
              <w:overflowPunct/>
              <w:topLinePunct w:val="0"/>
              <w:autoSpaceDE/>
              <w:autoSpaceDN/>
              <w:bidi w:val="0"/>
              <w:adjustRightInd/>
              <w:snapToGrid/>
              <w:spacing w:line="360" w:lineRule="auto"/>
              <w:textAlignment w:val="auto"/>
              <w:rPr>
                <w:rFonts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注：1</w:t>
            </w:r>
            <w:r>
              <w:rPr>
                <w:rFonts w:hint="eastAsia" w:asciiTheme="majorEastAsia" w:hAnsiTheme="majorEastAsia" w:eastAsiaTheme="majorEastAsia"/>
                <w:color w:val="auto"/>
                <w:szCs w:val="21"/>
                <w:highlight w:val="none"/>
                <w:lang w:val="en-US" w:eastAsia="zh-CN"/>
              </w:rPr>
              <w:t>.</w:t>
            </w:r>
            <w:r>
              <w:rPr>
                <w:rFonts w:hint="eastAsia" w:asciiTheme="majorEastAsia" w:hAnsiTheme="majorEastAsia" w:eastAsiaTheme="majorEastAsia"/>
                <w:color w:val="auto"/>
                <w:szCs w:val="21"/>
                <w:highlight w:val="none"/>
              </w:rPr>
              <w:t>投标报价超过最高限价的作无效标处理。</w:t>
            </w:r>
          </w:p>
          <w:p w14:paraId="07ADD06E">
            <w:pPr>
              <w:spacing w:line="360" w:lineRule="auto"/>
              <w:jc w:val="left"/>
              <w:rPr>
                <w:rFonts w:ascii="宋体" w:hAnsi="宋体" w:cs="宋体"/>
                <w:color w:val="000000" w:themeColor="text1"/>
                <w:szCs w:val="21"/>
                <w14:textFill>
                  <w14:solidFill>
                    <w14:schemeClr w14:val="tx1"/>
                  </w14:solidFill>
                </w14:textFill>
              </w:rPr>
            </w:pPr>
            <w:r>
              <w:rPr>
                <w:rFonts w:hint="eastAsia" w:asciiTheme="majorEastAsia" w:hAnsiTheme="majorEastAsia" w:eastAsiaTheme="majorEastAsia"/>
                <w:color w:val="auto"/>
                <w:szCs w:val="21"/>
                <w:highlight w:val="none"/>
              </w:rPr>
              <w:t>2</w:t>
            </w:r>
            <w:r>
              <w:rPr>
                <w:rFonts w:hint="eastAsia" w:asciiTheme="majorEastAsia" w:hAnsiTheme="majorEastAsia" w:eastAsiaTheme="majorEastAsia"/>
                <w:color w:val="auto"/>
                <w:szCs w:val="21"/>
                <w:highlight w:val="none"/>
                <w:lang w:val="en-US" w:eastAsia="zh-CN"/>
              </w:rPr>
              <w:t>.</w:t>
            </w:r>
            <w:r>
              <w:rPr>
                <w:rFonts w:hint="eastAsia" w:asciiTheme="majorEastAsia" w:hAnsiTheme="majorEastAsia" w:eastAsiaTheme="majorEastAsia"/>
                <w:color w:val="auto"/>
                <w:szCs w:val="21"/>
                <w:highlight w:val="none"/>
              </w:rPr>
              <w:t>价格得分小数点后保留2位小数，第3位小数四舍五入。</w:t>
            </w:r>
          </w:p>
        </w:tc>
        <w:tc>
          <w:tcPr>
            <w:tcW w:w="714" w:type="dxa"/>
            <w:vAlign w:val="center"/>
          </w:tcPr>
          <w:p w14:paraId="13FB5E24">
            <w:pPr>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w:t>
            </w:r>
            <w:r>
              <w:rPr>
                <w:rFonts w:ascii="宋体" w:hAnsi="宋体" w:cs="宋体"/>
                <w:color w:val="000000" w:themeColor="text1"/>
                <w:szCs w:val="21"/>
                <w14:textFill>
                  <w14:solidFill>
                    <w14:schemeClr w14:val="tx1"/>
                  </w14:solidFill>
                </w14:textFill>
              </w:rPr>
              <w:t>0</w:t>
            </w:r>
          </w:p>
        </w:tc>
      </w:tr>
    </w:tbl>
    <w:p w14:paraId="484DEAC7">
      <w:pPr>
        <w:pStyle w:val="3"/>
        <w:spacing w:beforeLines="0" w:afterLines="0" w:line="360" w:lineRule="auto"/>
        <w:rPr>
          <w:rFonts w:ascii="宋体"/>
          <w:color w:val="auto"/>
          <w:sz w:val="32"/>
          <w:szCs w:val="32"/>
          <w:highlight w:val="none"/>
        </w:rPr>
        <w:sectPr>
          <w:pgSz w:w="11907" w:h="16840"/>
          <w:pgMar w:top="1304" w:right="1588" w:bottom="1304" w:left="1588" w:header="720" w:footer="720" w:gutter="0"/>
          <w:pgBorders>
            <w:top w:val="none" w:sz="0" w:space="0"/>
            <w:left w:val="none" w:sz="0" w:space="0"/>
            <w:bottom w:val="none" w:sz="0" w:space="0"/>
            <w:right w:val="none" w:sz="0" w:space="0"/>
          </w:pgBorders>
          <w:pgNumType w:fmt="decimal"/>
          <w:cols w:space="720" w:num="1"/>
          <w:docGrid w:linePitch="285" w:charSpace="0"/>
        </w:sectPr>
      </w:pPr>
    </w:p>
    <w:bookmarkEnd w:id="118"/>
    <w:p w14:paraId="1947E4F3">
      <w:pPr>
        <w:pStyle w:val="3"/>
        <w:spacing w:beforeLines="0" w:afterLines="0" w:line="360" w:lineRule="auto"/>
        <w:rPr>
          <w:rFonts w:ascii="宋体"/>
          <w:color w:val="auto"/>
          <w:sz w:val="32"/>
          <w:szCs w:val="32"/>
          <w:highlight w:val="none"/>
        </w:rPr>
      </w:pPr>
      <w:r>
        <w:rPr>
          <w:rFonts w:hint="eastAsia" w:ascii="宋体" w:hAnsi="宋体" w:cs="宋体"/>
          <w:color w:val="auto"/>
          <w:sz w:val="32"/>
          <w:szCs w:val="32"/>
          <w:highlight w:val="none"/>
        </w:rPr>
        <w:t>第</w:t>
      </w:r>
      <w:r>
        <w:rPr>
          <w:rFonts w:hint="eastAsia" w:ascii="宋体" w:hAnsi="宋体" w:cs="宋体"/>
          <w:color w:val="auto"/>
          <w:sz w:val="32"/>
          <w:szCs w:val="32"/>
          <w:highlight w:val="none"/>
          <w:lang w:val="en-US" w:eastAsia="zh-CN"/>
        </w:rPr>
        <w:t>六</w:t>
      </w:r>
      <w:r>
        <w:rPr>
          <w:rFonts w:hint="eastAsia" w:ascii="宋体" w:hAnsi="宋体" w:cs="宋体"/>
          <w:color w:val="auto"/>
          <w:sz w:val="32"/>
          <w:szCs w:val="32"/>
          <w:highlight w:val="none"/>
        </w:rPr>
        <w:t>部分合同格式</w:t>
      </w:r>
      <w:bookmarkEnd w:id="116"/>
      <w:bookmarkEnd w:id="117"/>
    </w:p>
    <w:p w14:paraId="2AAF1464">
      <w:pPr>
        <w:widowControl/>
        <w:ind w:firstLine="560" w:firstLineChars="200"/>
        <w:jc w:val="center"/>
        <w:outlineLvl w:val="0"/>
        <w:rPr>
          <w:rFonts w:ascii="黑体" w:hAnsi="黑体" w:eastAsia="黑体" w:cs="黑体"/>
          <w:color w:val="auto"/>
          <w:kern w:val="0"/>
          <w:sz w:val="28"/>
          <w:szCs w:val="28"/>
          <w:highlight w:val="none"/>
        </w:rPr>
      </w:pPr>
      <w:bookmarkStart w:id="119" w:name="_Toc298230959"/>
    </w:p>
    <w:p w14:paraId="09025AFD">
      <w:pPr>
        <w:pStyle w:val="157"/>
        <w:spacing w:line="360" w:lineRule="auto"/>
        <w:ind w:left="0" w:leftChars="0" w:firstLine="0"/>
        <w:rPr>
          <w:rFonts w:hint="eastAsia" w:ascii="宋体" w:hAnsi="宋体" w:cs="宋体"/>
          <w:color w:val="auto"/>
        </w:rPr>
      </w:pPr>
      <w:r>
        <w:rPr>
          <w:rFonts w:hint="eastAsia" w:ascii="宋体" w:hAnsi="宋体" w:cs="宋体"/>
          <w:color w:val="auto"/>
        </w:rPr>
        <w:t>甲方（采购人）：</w:t>
      </w:r>
    </w:p>
    <w:p w14:paraId="75A6C3E0">
      <w:pPr>
        <w:pStyle w:val="157"/>
        <w:spacing w:line="360" w:lineRule="auto"/>
        <w:ind w:left="0" w:leftChars="0" w:firstLine="0"/>
        <w:rPr>
          <w:rFonts w:ascii="宋体" w:hAnsi="宋体" w:cs="宋体"/>
          <w:color w:val="auto"/>
        </w:rPr>
      </w:pPr>
      <w:r>
        <w:rPr>
          <w:rFonts w:hint="eastAsia" w:ascii="宋体" w:hAnsi="宋体" w:cs="宋体"/>
          <w:color w:val="auto"/>
        </w:rPr>
        <w:t>乙方（中标人）：</w:t>
      </w:r>
    </w:p>
    <w:p w14:paraId="46E4B5C5">
      <w:pPr>
        <w:pStyle w:val="157"/>
        <w:spacing w:line="360" w:lineRule="auto"/>
        <w:ind w:left="0" w:leftChars="0" w:firstLine="447" w:firstLineChars="213"/>
        <w:rPr>
          <w:rFonts w:ascii="宋体" w:hAnsi="宋体" w:cs="宋体"/>
          <w:color w:val="auto"/>
        </w:rPr>
      </w:pPr>
      <w:r>
        <w:rPr>
          <w:rFonts w:hint="eastAsia" w:ascii="宋体" w:hAnsi="宋体" w:cs="宋体"/>
          <w:color w:val="auto"/>
        </w:rPr>
        <w:t>根据</w:t>
      </w:r>
      <w:r>
        <w:rPr>
          <w:rFonts w:hint="eastAsia" w:ascii="宋体" w:hAnsi="宋体" w:cs="宋体"/>
          <w:color w:val="auto"/>
          <w:u w:val="single"/>
        </w:rPr>
        <w:t>（项目名称）</w:t>
      </w:r>
      <w:r>
        <w:rPr>
          <w:rFonts w:hint="eastAsia" w:ascii="宋体" w:hAnsi="宋体" w:cs="宋体"/>
          <w:color w:val="auto"/>
        </w:rPr>
        <w:t>（项目编号：</w:t>
      </w:r>
      <w:r>
        <w:rPr>
          <w:rFonts w:hint="eastAsia" w:ascii="宋体" w:hAnsi="宋体" w:cs="宋体"/>
          <w:color w:val="auto"/>
          <w:u w:val="single"/>
        </w:rPr>
        <w:t>（项目编号）</w:t>
      </w:r>
      <w:r>
        <w:rPr>
          <w:rFonts w:hint="eastAsia" w:ascii="宋体" w:hAnsi="宋体" w:cs="宋体"/>
          <w:color w:val="auto"/>
        </w:rPr>
        <w:t>）的采购结果，按照中华人民共和国相关法律法规的规定，经双方协商，本着平等互利和诚实信用的原则，一致同意签订本合同如下。</w:t>
      </w:r>
    </w:p>
    <w:p w14:paraId="297905B2">
      <w:pPr>
        <w:pStyle w:val="157"/>
        <w:spacing w:line="360" w:lineRule="auto"/>
        <w:ind w:left="0" w:leftChars="0" w:firstLine="447" w:firstLineChars="213"/>
        <w:rPr>
          <w:rFonts w:ascii="宋体" w:hAnsi="宋体" w:cs="宋体"/>
          <w:color w:val="auto"/>
        </w:rPr>
      </w:pPr>
      <w:r>
        <w:rPr>
          <w:rFonts w:hint="eastAsia" w:ascii="宋体" w:hAnsi="宋体" w:cs="宋体"/>
          <w:color w:val="auto"/>
        </w:rPr>
        <w:t>一、合同标的、数量</w:t>
      </w:r>
    </w:p>
    <w:tbl>
      <w:tblPr>
        <w:tblStyle w:val="38"/>
        <w:tblW w:w="93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1"/>
        <w:gridCol w:w="2863"/>
        <w:gridCol w:w="3685"/>
        <w:gridCol w:w="1843"/>
      </w:tblGrid>
      <w:tr w14:paraId="1CBC44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931" w:type="dxa"/>
            <w:noWrap w:val="0"/>
            <w:vAlign w:val="center"/>
          </w:tcPr>
          <w:p w14:paraId="0ED19B38">
            <w:pPr>
              <w:pStyle w:val="157"/>
              <w:spacing w:line="360" w:lineRule="exact"/>
              <w:ind w:left="0" w:leftChars="0" w:firstLine="0"/>
              <w:jc w:val="center"/>
              <w:rPr>
                <w:rFonts w:ascii="宋体" w:hAnsi="宋体" w:cs="宋体"/>
                <w:color w:val="auto"/>
              </w:rPr>
            </w:pPr>
            <w:r>
              <w:rPr>
                <w:rFonts w:hint="eastAsia" w:ascii="宋体" w:hAnsi="宋体" w:cs="宋体"/>
                <w:color w:val="auto"/>
              </w:rPr>
              <w:t>序号</w:t>
            </w:r>
          </w:p>
        </w:tc>
        <w:tc>
          <w:tcPr>
            <w:tcW w:w="2863" w:type="dxa"/>
            <w:tcBorders>
              <w:right w:val="single" w:color="auto" w:sz="4" w:space="0"/>
            </w:tcBorders>
            <w:noWrap w:val="0"/>
            <w:vAlign w:val="center"/>
          </w:tcPr>
          <w:p w14:paraId="5BEA6A4D">
            <w:pPr>
              <w:pStyle w:val="157"/>
              <w:spacing w:line="360" w:lineRule="exact"/>
              <w:ind w:left="0" w:leftChars="0" w:firstLine="0"/>
              <w:jc w:val="center"/>
              <w:rPr>
                <w:rFonts w:ascii="宋体" w:hAnsi="宋体" w:cs="宋体"/>
                <w:color w:val="auto"/>
              </w:rPr>
            </w:pPr>
            <w:r>
              <w:rPr>
                <w:rFonts w:hint="eastAsia" w:ascii="宋体" w:hAnsi="宋体" w:cs="宋体"/>
                <w:color w:val="auto"/>
              </w:rPr>
              <w:t>产品名称</w:t>
            </w:r>
          </w:p>
        </w:tc>
        <w:tc>
          <w:tcPr>
            <w:tcW w:w="3685" w:type="dxa"/>
            <w:tcBorders>
              <w:left w:val="single" w:color="auto" w:sz="4" w:space="0"/>
            </w:tcBorders>
            <w:noWrap w:val="0"/>
            <w:vAlign w:val="center"/>
          </w:tcPr>
          <w:p w14:paraId="477BC628">
            <w:pPr>
              <w:pStyle w:val="157"/>
              <w:spacing w:line="360" w:lineRule="exact"/>
              <w:ind w:left="0" w:leftChars="0" w:firstLine="0"/>
              <w:jc w:val="center"/>
              <w:rPr>
                <w:rFonts w:ascii="宋体" w:hAnsi="宋体" w:cs="宋体"/>
                <w:color w:val="auto"/>
              </w:rPr>
            </w:pPr>
            <w:r>
              <w:rPr>
                <w:rFonts w:hint="eastAsia" w:ascii="宋体" w:hAnsi="宋体" w:cs="宋体"/>
                <w:color w:val="auto"/>
              </w:rPr>
              <w:t>品牌（规格型号）</w:t>
            </w:r>
          </w:p>
        </w:tc>
        <w:tc>
          <w:tcPr>
            <w:tcW w:w="1843" w:type="dxa"/>
            <w:noWrap w:val="0"/>
            <w:vAlign w:val="center"/>
          </w:tcPr>
          <w:p w14:paraId="0CD3A693">
            <w:pPr>
              <w:pStyle w:val="157"/>
              <w:spacing w:line="360" w:lineRule="exact"/>
              <w:ind w:left="0" w:leftChars="0" w:firstLine="0"/>
              <w:jc w:val="center"/>
              <w:rPr>
                <w:rFonts w:ascii="宋体" w:hAnsi="宋体" w:cs="宋体"/>
                <w:color w:val="auto"/>
              </w:rPr>
            </w:pPr>
            <w:r>
              <w:rPr>
                <w:rFonts w:hint="eastAsia" w:ascii="宋体" w:hAnsi="宋体" w:cs="宋体"/>
                <w:color w:val="auto"/>
              </w:rPr>
              <w:t>数量</w:t>
            </w:r>
          </w:p>
        </w:tc>
      </w:tr>
      <w:tr w14:paraId="48D6DB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931" w:type="dxa"/>
            <w:noWrap w:val="0"/>
            <w:vAlign w:val="center"/>
          </w:tcPr>
          <w:p w14:paraId="720785D5">
            <w:pPr>
              <w:pStyle w:val="157"/>
              <w:spacing w:line="360" w:lineRule="exact"/>
              <w:ind w:left="0" w:leftChars="0" w:firstLine="0"/>
              <w:jc w:val="center"/>
              <w:rPr>
                <w:rFonts w:ascii="宋体" w:hAnsi="宋体" w:cs="宋体"/>
                <w:color w:val="auto"/>
              </w:rPr>
            </w:pPr>
            <w:r>
              <w:rPr>
                <w:rFonts w:hint="eastAsia" w:ascii="宋体" w:hAnsi="宋体" w:cs="宋体"/>
                <w:color w:val="auto"/>
              </w:rPr>
              <w:t>1</w:t>
            </w:r>
          </w:p>
        </w:tc>
        <w:tc>
          <w:tcPr>
            <w:tcW w:w="2863" w:type="dxa"/>
            <w:tcBorders>
              <w:right w:val="single" w:color="auto" w:sz="4" w:space="0"/>
            </w:tcBorders>
            <w:noWrap w:val="0"/>
            <w:vAlign w:val="bottom"/>
          </w:tcPr>
          <w:p w14:paraId="4A3594BE">
            <w:pPr>
              <w:spacing w:line="360" w:lineRule="exact"/>
              <w:jc w:val="center"/>
              <w:rPr>
                <w:rFonts w:ascii="宋体" w:hAnsi="宋体" w:cs="宋体"/>
                <w:color w:val="auto"/>
                <w:szCs w:val="21"/>
              </w:rPr>
            </w:pPr>
          </w:p>
        </w:tc>
        <w:tc>
          <w:tcPr>
            <w:tcW w:w="3685" w:type="dxa"/>
            <w:tcBorders>
              <w:left w:val="single" w:color="auto" w:sz="4" w:space="0"/>
            </w:tcBorders>
            <w:noWrap w:val="0"/>
            <w:vAlign w:val="bottom"/>
          </w:tcPr>
          <w:p w14:paraId="60095025">
            <w:pPr>
              <w:spacing w:line="360" w:lineRule="exact"/>
              <w:jc w:val="center"/>
              <w:rPr>
                <w:rFonts w:ascii="宋体" w:hAnsi="宋体" w:cs="宋体"/>
                <w:color w:val="auto"/>
                <w:szCs w:val="21"/>
              </w:rPr>
            </w:pPr>
          </w:p>
        </w:tc>
        <w:tc>
          <w:tcPr>
            <w:tcW w:w="1843" w:type="dxa"/>
            <w:noWrap w:val="0"/>
            <w:vAlign w:val="bottom"/>
          </w:tcPr>
          <w:p w14:paraId="1F088E98">
            <w:pPr>
              <w:spacing w:line="360" w:lineRule="exact"/>
              <w:jc w:val="center"/>
              <w:rPr>
                <w:rFonts w:ascii="宋体" w:hAnsi="宋体" w:cs="宋体"/>
                <w:color w:val="auto"/>
                <w:szCs w:val="21"/>
              </w:rPr>
            </w:pPr>
          </w:p>
        </w:tc>
      </w:tr>
      <w:tr w14:paraId="37975C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931" w:type="dxa"/>
            <w:noWrap w:val="0"/>
            <w:vAlign w:val="center"/>
          </w:tcPr>
          <w:p w14:paraId="0A70547E">
            <w:pPr>
              <w:pStyle w:val="157"/>
              <w:spacing w:line="360" w:lineRule="exact"/>
              <w:ind w:left="0" w:leftChars="0" w:firstLine="0"/>
              <w:jc w:val="center"/>
              <w:rPr>
                <w:rFonts w:ascii="宋体" w:hAnsi="宋体" w:cs="宋体"/>
                <w:color w:val="auto"/>
              </w:rPr>
            </w:pPr>
          </w:p>
        </w:tc>
        <w:tc>
          <w:tcPr>
            <w:tcW w:w="2863" w:type="dxa"/>
            <w:tcBorders>
              <w:right w:val="single" w:color="auto" w:sz="4" w:space="0"/>
            </w:tcBorders>
            <w:noWrap w:val="0"/>
            <w:vAlign w:val="bottom"/>
          </w:tcPr>
          <w:p w14:paraId="44C8D86F">
            <w:pPr>
              <w:spacing w:line="360" w:lineRule="exact"/>
              <w:jc w:val="center"/>
              <w:rPr>
                <w:rFonts w:ascii="宋体" w:hAnsi="宋体" w:cs="宋体"/>
                <w:color w:val="auto"/>
                <w:szCs w:val="21"/>
              </w:rPr>
            </w:pPr>
          </w:p>
        </w:tc>
        <w:tc>
          <w:tcPr>
            <w:tcW w:w="3685" w:type="dxa"/>
            <w:tcBorders>
              <w:left w:val="single" w:color="auto" w:sz="4" w:space="0"/>
            </w:tcBorders>
            <w:noWrap w:val="0"/>
            <w:vAlign w:val="bottom"/>
          </w:tcPr>
          <w:p w14:paraId="722FDDED">
            <w:pPr>
              <w:spacing w:line="360" w:lineRule="exact"/>
              <w:jc w:val="center"/>
              <w:rPr>
                <w:rFonts w:ascii="宋体" w:hAnsi="宋体" w:cs="宋体"/>
                <w:color w:val="auto"/>
                <w:szCs w:val="21"/>
              </w:rPr>
            </w:pPr>
          </w:p>
        </w:tc>
        <w:tc>
          <w:tcPr>
            <w:tcW w:w="1843" w:type="dxa"/>
            <w:noWrap w:val="0"/>
            <w:vAlign w:val="bottom"/>
          </w:tcPr>
          <w:p w14:paraId="28D655CD">
            <w:pPr>
              <w:spacing w:line="360" w:lineRule="exact"/>
              <w:jc w:val="center"/>
              <w:rPr>
                <w:rFonts w:ascii="宋体" w:hAnsi="宋体" w:cs="宋体"/>
                <w:color w:val="auto"/>
                <w:szCs w:val="21"/>
              </w:rPr>
            </w:pPr>
          </w:p>
        </w:tc>
      </w:tr>
      <w:tr w14:paraId="64A7ED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931" w:type="dxa"/>
            <w:noWrap w:val="0"/>
            <w:vAlign w:val="center"/>
          </w:tcPr>
          <w:p w14:paraId="7526A2F9">
            <w:pPr>
              <w:pStyle w:val="157"/>
              <w:spacing w:line="360" w:lineRule="exact"/>
              <w:ind w:left="0" w:leftChars="0" w:firstLine="0"/>
              <w:jc w:val="center"/>
              <w:rPr>
                <w:rFonts w:ascii="宋体" w:hAnsi="宋体" w:cs="宋体"/>
                <w:color w:val="auto"/>
              </w:rPr>
            </w:pPr>
          </w:p>
        </w:tc>
        <w:tc>
          <w:tcPr>
            <w:tcW w:w="2863" w:type="dxa"/>
            <w:tcBorders>
              <w:right w:val="single" w:color="auto" w:sz="4" w:space="0"/>
            </w:tcBorders>
            <w:noWrap w:val="0"/>
            <w:vAlign w:val="bottom"/>
          </w:tcPr>
          <w:p w14:paraId="5A8A4A92">
            <w:pPr>
              <w:spacing w:line="360" w:lineRule="exact"/>
              <w:jc w:val="center"/>
              <w:rPr>
                <w:rFonts w:ascii="宋体" w:hAnsi="宋体" w:cs="宋体"/>
                <w:color w:val="auto"/>
                <w:szCs w:val="21"/>
              </w:rPr>
            </w:pPr>
          </w:p>
        </w:tc>
        <w:tc>
          <w:tcPr>
            <w:tcW w:w="3685" w:type="dxa"/>
            <w:tcBorders>
              <w:left w:val="single" w:color="auto" w:sz="4" w:space="0"/>
            </w:tcBorders>
            <w:noWrap w:val="0"/>
            <w:vAlign w:val="bottom"/>
          </w:tcPr>
          <w:p w14:paraId="1CEA7749">
            <w:pPr>
              <w:spacing w:line="360" w:lineRule="exact"/>
              <w:jc w:val="center"/>
              <w:rPr>
                <w:rFonts w:ascii="宋体" w:hAnsi="宋体" w:cs="宋体"/>
                <w:color w:val="auto"/>
                <w:szCs w:val="21"/>
              </w:rPr>
            </w:pPr>
          </w:p>
        </w:tc>
        <w:tc>
          <w:tcPr>
            <w:tcW w:w="1843" w:type="dxa"/>
            <w:noWrap w:val="0"/>
            <w:vAlign w:val="bottom"/>
          </w:tcPr>
          <w:p w14:paraId="3E17D726">
            <w:pPr>
              <w:spacing w:line="360" w:lineRule="exact"/>
              <w:jc w:val="center"/>
              <w:rPr>
                <w:rFonts w:ascii="宋体" w:hAnsi="宋体" w:cs="宋体"/>
                <w:color w:val="auto"/>
                <w:szCs w:val="21"/>
              </w:rPr>
            </w:pPr>
          </w:p>
        </w:tc>
      </w:tr>
      <w:tr w14:paraId="18C87B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931" w:type="dxa"/>
            <w:noWrap w:val="0"/>
            <w:vAlign w:val="center"/>
          </w:tcPr>
          <w:p w14:paraId="0223C958">
            <w:pPr>
              <w:pStyle w:val="157"/>
              <w:spacing w:line="360" w:lineRule="exact"/>
              <w:ind w:left="0" w:leftChars="0" w:firstLine="0"/>
              <w:jc w:val="center"/>
              <w:rPr>
                <w:rFonts w:ascii="宋体" w:hAnsi="宋体" w:cs="宋体"/>
                <w:color w:val="auto"/>
              </w:rPr>
            </w:pPr>
          </w:p>
        </w:tc>
        <w:tc>
          <w:tcPr>
            <w:tcW w:w="2863" w:type="dxa"/>
            <w:tcBorders>
              <w:right w:val="single" w:color="auto" w:sz="4" w:space="0"/>
            </w:tcBorders>
            <w:noWrap w:val="0"/>
            <w:vAlign w:val="bottom"/>
          </w:tcPr>
          <w:p w14:paraId="5126BDA0">
            <w:pPr>
              <w:spacing w:line="360" w:lineRule="exact"/>
              <w:jc w:val="center"/>
              <w:rPr>
                <w:rFonts w:ascii="宋体" w:hAnsi="宋体" w:cs="宋体"/>
                <w:color w:val="auto"/>
                <w:szCs w:val="21"/>
              </w:rPr>
            </w:pPr>
          </w:p>
        </w:tc>
        <w:tc>
          <w:tcPr>
            <w:tcW w:w="3685" w:type="dxa"/>
            <w:tcBorders>
              <w:left w:val="single" w:color="auto" w:sz="4" w:space="0"/>
            </w:tcBorders>
            <w:noWrap w:val="0"/>
            <w:vAlign w:val="bottom"/>
          </w:tcPr>
          <w:p w14:paraId="67E26DCC">
            <w:pPr>
              <w:spacing w:line="360" w:lineRule="exact"/>
              <w:jc w:val="center"/>
              <w:rPr>
                <w:rFonts w:ascii="宋体" w:hAnsi="宋体" w:cs="宋体"/>
                <w:color w:val="auto"/>
                <w:szCs w:val="21"/>
              </w:rPr>
            </w:pPr>
          </w:p>
        </w:tc>
        <w:tc>
          <w:tcPr>
            <w:tcW w:w="1843" w:type="dxa"/>
            <w:noWrap w:val="0"/>
            <w:vAlign w:val="bottom"/>
          </w:tcPr>
          <w:p w14:paraId="7FC2A761">
            <w:pPr>
              <w:spacing w:line="360" w:lineRule="exact"/>
              <w:jc w:val="center"/>
              <w:rPr>
                <w:rFonts w:ascii="宋体" w:hAnsi="宋体" w:cs="宋体"/>
                <w:color w:val="auto"/>
                <w:szCs w:val="21"/>
              </w:rPr>
            </w:pPr>
          </w:p>
        </w:tc>
      </w:tr>
    </w:tbl>
    <w:p w14:paraId="0A10BFA1">
      <w:pPr>
        <w:pStyle w:val="157"/>
        <w:spacing w:line="360" w:lineRule="auto"/>
        <w:ind w:left="0" w:leftChars="0" w:firstLine="447" w:firstLineChars="213"/>
        <w:rPr>
          <w:rFonts w:ascii="宋体" w:hAnsi="宋体" w:cs="宋体"/>
          <w:color w:val="auto"/>
        </w:rPr>
      </w:pPr>
      <w:r>
        <w:rPr>
          <w:rFonts w:hint="eastAsia" w:ascii="宋体" w:hAnsi="宋体" w:cs="宋体"/>
          <w:color w:val="auto"/>
        </w:rPr>
        <w:t>二、合同金额</w:t>
      </w:r>
    </w:p>
    <w:p w14:paraId="2A0A5DFD">
      <w:pPr>
        <w:pStyle w:val="157"/>
        <w:spacing w:line="360" w:lineRule="auto"/>
        <w:ind w:left="0" w:leftChars="0" w:firstLine="447" w:firstLineChars="213"/>
        <w:rPr>
          <w:rFonts w:ascii="宋体" w:hAnsi="宋体" w:cs="宋体"/>
          <w:color w:val="auto"/>
        </w:rPr>
      </w:pPr>
      <w:r>
        <w:rPr>
          <w:rFonts w:hint="eastAsia" w:ascii="宋体" w:hAnsi="宋体" w:cs="宋体"/>
          <w:color w:val="auto"/>
        </w:rPr>
        <w:t>合同金额为（大写）：元（￥元），本合同金额已包含</w:t>
      </w:r>
      <w:r>
        <w:rPr>
          <w:rFonts w:hint="eastAsia" w:ascii="宋体" w:hAnsi="宋体" w:cs="宋体"/>
          <w:color w:val="auto"/>
          <w:lang w:bidi="ar"/>
        </w:rPr>
        <w:t>包含但不限于</w:t>
      </w:r>
      <w:r>
        <w:rPr>
          <w:rFonts w:hint="eastAsia"/>
          <w:color w:val="auto"/>
        </w:rPr>
        <w:t>设备采购费、运输保险费、安装调试费、系统集成费、软硬件对接费用、人工费、培训费、税费和利润以及合同中明示或暗示的所有一般风险、责任和义务等一切应由乙方支付的费用</w:t>
      </w:r>
      <w:r>
        <w:rPr>
          <w:rFonts w:hint="eastAsia" w:ascii="宋体" w:hAnsi="宋体" w:cs="宋体"/>
          <w:color w:val="auto"/>
        </w:rPr>
        <w:t>。</w:t>
      </w:r>
    </w:p>
    <w:p w14:paraId="52A4EC3C">
      <w:pPr>
        <w:pStyle w:val="157"/>
        <w:spacing w:line="360" w:lineRule="auto"/>
        <w:ind w:left="0" w:leftChars="0" w:firstLine="447" w:firstLineChars="213"/>
        <w:rPr>
          <w:rFonts w:ascii="宋体" w:hAnsi="宋体" w:cs="宋体"/>
          <w:color w:val="auto"/>
        </w:rPr>
      </w:pPr>
      <w:r>
        <w:rPr>
          <w:rFonts w:hint="eastAsia" w:ascii="宋体" w:hAnsi="宋体" w:cs="宋体"/>
          <w:color w:val="auto"/>
        </w:rPr>
        <w:t>三、质量要求</w:t>
      </w:r>
    </w:p>
    <w:p w14:paraId="2C598D44">
      <w:pPr>
        <w:pStyle w:val="157"/>
        <w:spacing w:line="360" w:lineRule="auto"/>
        <w:ind w:left="0" w:leftChars="0" w:firstLine="447" w:firstLineChars="213"/>
        <w:rPr>
          <w:rFonts w:ascii="宋体" w:hAnsi="宋体" w:cs="宋体"/>
          <w:color w:val="auto"/>
        </w:rPr>
      </w:pPr>
      <w:r>
        <w:rPr>
          <w:rFonts w:hint="eastAsia" w:ascii="宋体" w:hAnsi="宋体" w:cs="宋体"/>
          <w:color w:val="auto"/>
        </w:rPr>
        <w:t>产品质量必须执行国家相关标准、行业标准、地方标准或者其它标准、规范（从严）：</w:t>
      </w:r>
    </w:p>
    <w:p w14:paraId="75E9993C">
      <w:pPr>
        <w:pStyle w:val="157"/>
        <w:spacing w:line="360" w:lineRule="auto"/>
        <w:ind w:left="0" w:leftChars="0" w:firstLine="447" w:firstLineChars="213"/>
        <w:rPr>
          <w:rFonts w:ascii="宋体" w:hAnsi="宋体" w:cs="宋体"/>
          <w:color w:val="auto"/>
        </w:rPr>
      </w:pPr>
      <w:r>
        <w:rPr>
          <w:rFonts w:hint="eastAsia" w:ascii="宋体" w:hAnsi="宋体" w:cs="宋体"/>
          <w:color w:val="auto"/>
        </w:rPr>
        <w:t>3.1具有国家规定的标准及规范的，按最新的标准及规范执行；</w:t>
      </w:r>
    </w:p>
    <w:p w14:paraId="2C50BE90">
      <w:pPr>
        <w:pStyle w:val="157"/>
        <w:spacing w:line="360" w:lineRule="auto"/>
        <w:ind w:left="0" w:leftChars="0" w:firstLine="447" w:firstLineChars="213"/>
        <w:rPr>
          <w:rFonts w:ascii="宋体" w:hAnsi="宋体" w:cs="宋体"/>
          <w:color w:val="auto"/>
        </w:rPr>
      </w:pPr>
      <w:r>
        <w:rPr>
          <w:rFonts w:hint="eastAsia" w:ascii="宋体" w:hAnsi="宋体" w:cs="宋体"/>
          <w:color w:val="auto"/>
        </w:rPr>
        <w:t>3.2具有行业标准及规范的，按最新的标准及规范执行；</w:t>
      </w:r>
    </w:p>
    <w:p w14:paraId="31EC8DBE">
      <w:pPr>
        <w:pStyle w:val="157"/>
        <w:spacing w:line="360" w:lineRule="auto"/>
        <w:ind w:left="0" w:leftChars="0" w:firstLine="447" w:firstLineChars="213"/>
        <w:rPr>
          <w:rFonts w:ascii="宋体" w:hAnsi="宋体" w:cs="宋体"/>
          <w:color w:val="auto"/>
        </w:rPr>
      </w:pPr>
      <w:r>
        <w:rPr>
          <w:rFonts w:hint="eastAsia" w:ascii="宋体" w:hAnsi="宋体" w:cs="宋体"/>
          <w:color w:val="auto"/>
        </w:rPr>
        <w:t>3.3具有其他标准及规范的，按照最新的标准及规范执行。</w:t>
      </w:r>
    </w:p>
    <w:p w14:paraId="7A515513">
      <w:pPr>
        <w:pStyle w:val="157"/>
        <w:spacing w:line="360" w:lineRule="auto"/>
        <w:ind w:left="0" w:leftChars="0" w:firstLine="447" w:firstLineChars="213"/>
        <w:rPr>
          <w:rFonts w:ascii="宋体" w:hAnsi="宋体" w:cs="宋体"/>
          <w:color w:val="auto"/>
        </w:rPr>
      </w:pPr>
      <w:r>
        <w:rPr>
          <w:rFonts w:hint="eastAsia" w:ascii="宋体" w:hAnsi="宋体" w:cs="宋体"/>
          <w:color w:val="auto"/>
        </w:rPr>
        <w:t>3.4质保期：</w:t>
      </w:r>
    </w:p>
    <w:p w14:paraId="1D4F2486">
      <w:pPr>
        <w:pStyle w:val="157"/>
        <w:spacing w:line="360" w:lineRule="auto"/>
        <w:ind w:left="0" w:leftChars="0" w:firstLine="447" w:firstLineChars="213"/>
        <w:rPr>
          <w:rFonts w:ascii="宋体" w:hAnsi="宋体" w:cs="宋体"/>
          <w:color w:val="auto"/>
        </w:rPr>
      </w:pPr>
      <w:r>
        <w:rPr>
          <w:rFonts w:hint="eastAsia" w:ascii="宋体" w:hAnsi="宋体" w:cs="宋体"/>
          <w:color w:val="auto"/>
        </w:rPr>
        <w:t>四、履行期限、履行地点和方式</w:t>
      </w:r>
    </w:p>
    <w:p w14:paraId="293C2C4A">
      <w:pPr>
        <w:pStyle w:val="157"/>
        <w:spacing w:line="360" w:lineRule="auto"/>
        <w:ind w:left="0" w:leftChars="0" w:firstLine="447" w:firstLineChars="213"/>
        <w:rPr>
          <w:rFonts w:ascii="宋体" w:hAnsi="宋体" w:cs="宋体"/>
          <w:color w:val="auto"/>
        </w:rPr>
      </w:pPr>
      <w:r>
        <w:rPr>
          <w:rFonts w:hint="eastAsia" w:ascii="宋体" w:hAnsi="宋体" w:cs="宋体"/>
          <w:color w:val="auto"/>
        </w:rPr>
        <w:t>4.1履行期限：</w:t>
      </w:r>
    </w:p>
    <w:p w14:paraId="7DCC14CE">
      <w:pPr>
        <w:pStyle w:val="157"/>
        <w:spacing w:line="360" w:lineRule="auto"/>
        <w:ind w:left="0" w:leftChars="0" w:firstLine="447" w:firstLineChars="213"/>
        <w:rPr>
          <w:rFonts w:ascii="宋体" w:hAnsi="宋体" w:cs="宋体"/>
          <w:color w:val="auto"/>
        </w:rPr>
      </w:pPr>
      <w:r>
        <w:rPr>
          <w:rFonts w:hint="eastAsia" w:ascii="宋体" w:hAnsi="宋体" w:cs="宋体"/>
          <w:color w:val="auto"/>
        </w:rPr>
        <w:t>4.2履行地点：甲方指定地点</w:t>
      </w:r>
    </w:p>
    <w:p w14:paraId="2121BB53">
      <w:pPr>
        <w:pStyle w:val="157"/>
        <w:spacing w:line="360" w:lineRule="auto"/>
        <w:ind w:left="0" w:leftChars="0" w:firstLine="447" w:firstLineChars="213"/>
        <w:rPr>
          <w:rFonts w:ascii="宋体" w:hAnsi="宋体" w:cs="宋体"/>
          <w:color w:val="auto"/>
        </w:rPr>
      </w:pPr>
      <w:r>
        <w:rPr>
          <w:rFonts w:hint="eastAsia" w:ascii="宋体" w:hAnsi="宋体" w:cs="宋体"/>
          <w:color w:val="auto"/>
        </w:rPr>
        <w:t>4.3履行方式：交货方式</w:t>
      </w:r>
    </w:p>
    <w:p w14:paraId="0DB7CB60">
      <w:pPr>
        <w:pStyle w:val="157"/>
        <w:spacing w:line="360" w:lineRule="auto"/>
        <w:ind w:left="0" w:leftChars="0" w:firstLine="447" w:firstLineChars="213"/>
        <w:rPr>
          <w:rFonts w:ascii="宋体" w:hAnsi="宋体" w:cs="宋体"/>
          <w:color w:val="auto"/>
        </w:rPr>
      </w:pPr>
      <w:r>
        <w:rPr>
          <w:rFonts w:hint="eastAsia" w:ascii="宋体" w:hAnsi="宋体" w:cs="宋体"/>
          <w:color w:val="auto"/>
        </w:rPr>
        <w:t>五、付款方式</w:t>
      </w:r>
    </w:p>
    <w:p w14:paraId="554CBF5C">
      <w:pPr>
        <w:pStyle w:val="157"/>
        <w:spacing w:line="360" w:lineRule="auto"/>
        <w:ind w:left="0" w:leftChars="0" w:firstLine="447" w:firstLineChars="213"/>
        <w:rPr>
          <w:rFonts w:ascii="宋体" w:hAnsi="宋体" w:cs="宋体"/>
          <w:color w:val="auto"/>
        </w:rPr>
      </w:pPr>
      <w:r>
        <w:rPr>
          <w:rFonts w:hint="eastAsia" w:ascii="宋体" w:hAnsi="宋体" w:cs="宋体"/>
          <w:color w:val="auto"/>
        </w:rPr>
        <w:t>由甲方按下列程序付款：</w:t>
      </w:r>
    </w:p>
    <w:p w14:paraId="3E22B2AE">
      <w:pPr>
        <w:pStyle w:val="157"/>
        <w:spacing w:line="360" w:lineRule="auto"/>
        <w:ind w:left="0" w:leftChars="0" w:firstLine="447" w:firstLineChars="213"/>
        <w:rPr>
          <w:rFonts w:ascii="宋体" w:hAnsi="宋体" w:cs="宋体"/>
          <w:color w:val="auto"/>
        </w:rPr>
      </w:pPr>
      <w:r>
        <w:rPr>
          <w:rFonts w:hint="eastAsia" w:ascii="宋体" w:hAnsi="宋体" w:cs="宋体"/>
          <w:color w:val="auto"/>
        </w:rPr>
        <w:t>5.1付款进度安排：</w:t>
      </w:r>
    </w:p>
    <w:p w14:paraId="392A4DF1">
      <w:pPr>
        <w:pStyle w:val="157"/>
        <w:spacing w:line="360" w:lineRule="auto"/>
        <w:ind w:left="0" w:leftChars="0" w:firstLine="447" w:firstLineChars="213"/>
        <w:rPr>
          <w:rFonts w:ascii="宋体" w:hAnsi="宋体" w:cs="宋体"/>
          <w:color w:val="auto"/>
        </w:rPr>
      </w:pPr>
      <w:r>
        <w:rPr>
          <w:rFonts w:hint="eastAsia" w:ascii="宋体" w:hAnsi="宋体" w:cs="宋体"/>
          <w:color w:val="auto"/>
        </w:rPr>
        <w:t>5.2乙方收款账户信息：</w:t>
      </w:r>
    </w:p>
    <w:p w14:paraId="473F33A5">
      <w:pPr>
        <w:pStyle w:val="157"/>
        <w:spacing w:line="360" w:lineRule="auto"/>
        <w:ind w:left="0" w:leftChars="0" w:firstLine="447" w:firstLineChars="213"/>
        <w:rPr>
          <w:rFonts w:ascii="宋体" w:hAnsi="宋体" w:cs="宋体"/>
          <w:bCs/>
          <w:color w:val="auto"/>
        </w:rPr>
      </w:pPr>
      <w:r>
        <w:rPr>
          <w:rFonts w:hint="eastAsia" w:ascii="宋体" w:hAnsi="宋体" w:cs="宋体"/>
          <w:bCs/>
          <w:color w:val="auto"/>
        </w:rPr>
        <w:t>开户银行：</w:t>
      </w:r>
    </w:p>
    <w:p w14:paraId="5227E134">
      <w:pPr>
        <w:pStyle w:val="157"/>
        <w:spacing w:line="360" w:lineRule="auto"/>
        <w:ind w:left="0" w:leftChars="0" w:firstLine="447" w:firstLineChars="213"/>
        <w:rPr>
          <w:rFonts w:ascii="宋体" w:hAnsi="宋体" w:cs="宋体"/>
          <w:bCs/>
          <w:color w:val="auto"/>
        </w:rPr>
      </w:pPr>
      <w:r>
        <w:rPr>
          <w:rFonts w:hint="eastAsia" w:ascii="宋体" w:hAnsi="宋体" w:cs="宋体"/>
          <w:bCs/>
          <w:color w:val="auto"/>
        </w:rPr>
        <w:t>户名：</w:t>
      </w:r>
    </w:p>
    <w:p w14:paraId="05C8A32B">
      <w:pPr>
        <w:pStyle w:val="157"/>
        <w:spacing w:line="360" w:lineRule="auto"/>
        <w:ind w:left="0" w:leftChars="0" w:firstLine="447" w:firstLineChars="213"/>
        <w:rPr>
          <w:rFonts w:ascii="宋体" w:hAnsi="宋体" w:cs="宋体"/>
          <w:color w:val="auto"/>
        </w:rPr>
      </w:pPr>
      <w:r>
        <w:rPr>
          <w:rFonts w:hint="eastAsia" w:ascii="宋体" w:hAnsi="宋体" w:cs="宋体"/>
          <w:bCs/>
          <w:color w:val="auto"/>
        </w:rPr>
        <w:t>账号：</w:t>
      </w:r>
    </w:p>
    <w:p w14:paraId="5F815850">
      <w:pPr>
        <w:pStyle w:val="157"/>
        <w:spacing w:line="360" w:lineRule="auto"/>
        <w:ind w:left="0" w:leftChars="0" w:firstLine="447" w:firstLineChars="213"/>
        <w:rPr>
          <w:rFonts w:ascii="宋体" w:hAnsi="宋体" w:cs="宋体"/>
          <w:color w:val="auto"/>
        </w:rPr>
      </w:pPr>
      <w:r>
        <w:rPr>
          <w:rFonts w:hint="eastAsia" w:ascii="宋体" w:hAnsi="宋体" w:cs="宋体"/>
          <w:color w:val="auto"/>
        </w:rPr>
        <w:t>5.3收款方、出具发票方、合同乙方均必须与中标人名称一致。</w:t>
      </w:r>
    </w:p>
    <w:p w14:paraId="487A8FE9">
      <w:pPr>
        <w:pStyle w:val="157"/>
        <w:spacing w:line="360" w:lineRule="auto"/>
        <w:ind w:left="0" w:leftChars="0" w:firstLine="447" w:firstLineChars="213"/>
        <w:rPr>
          <w:rFonts w:ascii="宋体" w:hAnsi="宋体" w:cs="宋体"/>
          <w:color w:val="auto"/>
        </w:rPr>
      </w:pPr>
      <w:r>
        <w:rPr>
          <w:rFonts w:hint="eastAsia" w:ascii="宋体" w:hAnsi="宋体" w:cs="宋体"/>
          <w:color w:val="auto"/>
        </w:rPr>
        <w:t>5.4乙方凭以下有效文件与甲方结算：</w:t>
      </w:r>
    </w:p>
    <w:p w14:paraId="794B157D">
      <w:pPr>
        <w:pStyle w:val="157"/>
        <w:spacing w:line="360" w:lineRule="auto"/>
        <w:ind w:left="0" w:leftChars="0" w:firstLine="447" w:firstLineChars="213"/>
        <w:rPr>
          <w:rFonts w:ascii="宋体" w:hAnsi="宋体" w:cs="宋体"/>
          <w:color w:val="auto"/>
        </w:rPr>
      </w:pPr>
      <w:r>
        <w:rPr>
          <w:rFonts w:hint="eastAsia" w:ascii="宋体" w:hAnsi="宋体" w:cs="宋体"/>
          <w:color w:val="auto"/>
        </w:rPr>
        <w:t>1）合同；</w:t>
      </w:r>
    </w:p>
    <w:p w14:paraId="10B89E15">
      <w:pPr>
        <w:pStyle w:val="157"/>
        <w:spacing w:line="360" w:lineRule="auto"/>
        <w:ind w:left="0" w:leftChars="0" w:firstLine="447" w:firstLineChars="213"/>
        <w:rPr>
          <w:rFonts w:ascii="宋体" w:hAnsi="宋体" w:cs="宋体"/>
          <w:color w:val="auto"/>
        </w:rPr>
      </w:pPr>
      <w:r>
        <w:rPr>
          <w:rFonts w:hint="eastAsia" w:ascii="宋体" w:hAnsi="宋体" w:cs="宋体"/>
          <w:color w:val="auto"/>
        </w:rPr>
        <w:t>2）乙方开具的合格的增值税发票；</w:t>
      </w:r>
    </w:p>
    <w:p w14:paraId="4828F672">
      <w:pPr>
        <w:pStyle w:val="157"/>
        <w:spacing w:line="360" w:lineRule="auto"/>
        <w:ind w:left="0" w:leftChars="0" w:firstLine="447" w:firstLineChars="213"/>
        <w:rPr>
          <w:rFonts w:ascii="宋体" w:hAnsi="宋体" w:cs="宋体"/>
          <w:color w:val="auto"/>
        </w:rPr>
      </w:pPr>
      <w:r>
        <w:rPr>
          <w:rFonts w:hint="eastAsia" w:ascii="宋体" w:hAnsi="宋体" w:cs="宋体"/>
          <w:color w:val="auto"/>
        </w:rPr>
        <w:t>3）中标通知书。</w:t>
      </w:r>
    </w:p>
    <w:p w14:paraId="1F2E774C">
      <w:pPr>
        <w:pStyle w:val="157"/>
        <w:spacing w:line="360" w:lineRule="auto"/>
        <w:ind w:left="0" w:leftChars="0" w:firstLine="447" w:firstLineChars="213"/>
        <w:rPr>
          <w:rFonts w:ascii="宋体" w:hAnsi="宋体" w:cs="宋体"/>
          <w:color w:val="auto"/>
        </w:rPr>
      </w:pPr>
      <w:r>
        <w:rPr>
          <w:rFonts w:hint="eastAsia" w:ascii="宋体" w:hAnsi="宋体" w:cs="宋体"/>
          <w:color w:val="auto"/>
        </w:rPr>
        <w:t>六、包装方式：产品的外包装为产品制造商的出厂原包装，拆零产品可以为其他有效保护产品的可靠包装。</w:t>
      </w:r>
    </w:p>
    <w:p w14:paraId="3B94A203">
      <w:pPr>
        <w:pStyle w:val="157"/>
        <w:spacing w:line="360" w:lineRule="auto"/>
        <w:ind w:left="0" w:leftChars="0" w:firstLine="447" w:firstLineChars="213"/>
        <w:rPr>
          <w:rFonts w:ascii="宋体" w:hAnsi="宋体" w:cs="宋体"/>
          <w:color w:val="auto"/>
        </w:rPr>
      </w:pPr>
      <w:r>
        <w:rPr>
          <w:rFonts w:hint="eastAsia" w:ascii="宋体" w:hAnsi="宋体" w:cs="宋体"/>
          <w:color w:val="auto"/>
        </w:rPr>
        <w:t>七、验收要求（检验标准和方法）</w:t>
      </w:r>
    </w:p>
    <w:p w14:paraId="6DC4E443">
      <w:pPr>
        <w:pStyle w:val="157"/>
        <w:spacing w:line="360" w:lineRule="auto"/>
        <w:ind w:left="0" w:leftChars="0" w:firstLine="447" w:firstLineChars="213"/>
        <w:rPr>
          <w:rFonts w:ascii="宋体" w:hAnsi="宋体" w:cs="宋体"/>
          <w:color w:val="auto"/>
        </w:rPr>
      </w:pPr>
      <w:r>
        <w:rPr>
          <w:rFonts w:hint="eastAsia" w:ascii="宋体" w:hAnsi="宋体" w:cs="宋体"/>
          <w:color w:val="auto"/>
        </w:rPr>
        <w:t>按照招标文件要求、乙方的投标文件（承诺）进行验收。</w:t>
      </w:r>
    </w:p>
    <w:p w14:paraId="38FD8A18">
      <w:pPr>
        <w:pStyle w:val="157"/>
        <w:spacing w:line="360" w:lineRule="auto"/>
        <w:ind w:left="0" w:leftChars="0" w:firstLine="447" w:firstLineChars="213"/>
        <w:rPr>
          <w:rFonts w:ascii="宋体" w:hAnsi="宋体" w:cs="宋体"/>
          <w:color w:val="auto"/>
        </w:rPr>
      </w:pPr>
      <w:r>
        <w:rPr>
          <w:rFonts w:hint="eastAsia" w:ascii="宋体" w:hAnsi="宋体" w:cs="宋体"/>
          <w:color w:val="auto"/>
        </w:rPr>
        <w:t>八、知识产权归属</w:t>
      </w:r>
    </w:p>
    <w:p w14:paraId="073D75CE">
      <w:pPr>
        <w:pStyle w:val="157"/>
        <w:spacing w:line="360" w:lineRule="auto"/>
        <w:ind w:left="0" w:leftChars="0" w:firstLine="447" w:firstLineChars="213"/>
        <w:rPr>
          <w:rFonts w:ascii="宋体" w:hAnsi="宋体" w:cs="宋体"/>
          <w:color w:val="auto"/>
        </w:rPr>
      </w:pPr>
      <w:r>
        <w:rPr>
          <w:rFonts w:hint="eastAsia" w:ascii="宋体" w:hAnsi="宋体" w:cs="宋体"/>
          <w:color w:val="auto"/>
        </w:rPr>
        <w:t>乙方应保证本项目的技术、服务或其任何一部分不会产生因第三方提出侵犯其专利权、商标权或其他知识产权而引起的法律和经济纠纷；如因第三方提出其专利权、商标权或其他知识产权的侵权之诉，则一切法律责任由乙方承担。</w:t>
      </w:r>
    </w:p>
    <w:p w14:paraId="3025B494">
      <w:pPr>
        <w:pStyle w:val="157"/>
        <w:spacing w:line="360" w:lineRule="auto"/>
        <w:ind w:left="0" w:leftChars="0" w:firstLine="447" w:firstLineChars="213"/>
        <w:rPr>
          <w:rFonts w:ascii="宋体" w:hAnsi="宋体" w:cs="宋体"/>
          <w:color w:val="auto"/>
        </w:rPr>
      </w:pPr>
      <w:r>
        <w:rPr>
          <w:rFonts w:hint="eastAsia" w:ascii="宋体" w:hAnsi="宋体" w:cs="宋体"/>
          <w:color w:val="auto"/>
        </w:rPr>
        <w:t>九、保密</w:t>
      </w:r>
    </w:p>
    <w:p w14:paraId="6D6D1BF4">
      <w:pPr>
        <w:pStyle w:val="157"/>
        <w:spacing w:line="360" w:lineRule="auto"/>
        <w:ind w:left="0" w:leftChars="0" w:firstLine="447" w:firstLineChars="213"/>
        <w:rPr>
          <w:rFonts w:ascii="宋体" w:hAnsi="宋体" w:cs="宋体"/>
          <w:color w:val="auto"/>
        </w:rPr>
      </w:pPr>
      <w:r>
        <w:rPr>
          <w:rFonts w:hint="eastAsia" w:ascii="宋体" w:hAnsi="宋体" w:cs="宋体"/>
          <w:color w:val="auto"/>
        </w:rPr>
        <w:t>乙方在本协议履行期间获悉的甲方未向社会公开或只在一定范围内公开的信息、经验、技术、资料等，均为甲方商业秘密，乙方及其雇员负有严格保密义务。乙方在项目实施过程中，对甲方所提供的商业秘密，乙方及其雇员负有严格保密义务，未经甲方书面同意不得向任何第三人泄露，且保密责任不因合同的终止或解除而失效。如甲方提出要求，乙方须无条件与甲方签定保密协议。项目完成后，乙方须把甲方提供的所有资料、数据完整归还甲方，并不得留存任何形式的复制品。</w:t>
      </w:r>
    </w:p>
    <w:p w14:paraId="48FFF187">
      <w:pPr>
        <w:pStyle w:val="157"/>
        <w:spacing w:line="360" w:lineRule="auto"/>
        <w:ind w:left="0" w:leftChars="0" w:firstLine="447" w:firstLineChars="213"/>
        <w:rPr>
          <w:rFonts w:ascii="宋体" w:hAnsi="宋体" w:cs="宋体"/>
          <w:color w:val="auto"/>
        </w:rPr>
      </w:pPr>
      <w:r>
        <w:rPr>
          <w:rFonts w:hint="eastAsia" w:ascii="宋体" w:hAnsi="宋体" w:cs="宋体"/>
          <w:color w:val="auto"/>
        </w:rPr>
        <w:t>保密期限：长期有效。</w:t>
      </w:r>
    </w:p>
    <w:p w14:paraId="2D0B5D86">
      <w:pPr>
        <w:pStyle w:val="157"/>
        <w:spacing w:line="360" w:lineRule="auto"/>
        <w:ind w:left="0" w:leftChars="0" w:firstLine="447" w:firstLineChars="213"/>
        <w:rPr>
          <w:rFonts w:ascii="宋体" w:hAnsi="宋体" w:cs="宋体"/>
          <w:color w:val="auto"/>
        </w:rPr>
      </w:pPr>
      <w:r>
        <w:rPr>
          <w:rFonts w:hint="eastAsia" w:ascii="宋体" w:hAnsi="宋体" w:cs="宋体"/>
          <w:color w:val="auto"/>
        </w:rPr>
        <w:t>十、违约责任与赔偿损失</w:t>
      </w:r>
    </w:p>
    <w:p w14:paraId="64DEBC04">
      <w:pPr>
        <w:spacing w:line="360" w:lineRule="auto"/>
        <w:ind w:firstLine="424" w:firstLineChars="202"/>
        <w:rPr>
          <w:rFonts w:ascii="宋体" w:hAnsi="宋体" w:cs="宋体"/>
          <w:color w:val="auto"/>
        </w:rPr>
      </w:pPr>
      <w:r>
        <w:rPr>
          <w:rFonts w:hint="eastAsia" w:ascii="宋体" w:hAnsi="宋体" w:cs="宋体"/>
          <w:color w:val="auto"/>
        </w:rPr>
        <w:t>10.1本合同项下货物在交货、安装调试、验收及质保期等任何阶段内不符合合同约定的技术规范要求和验收标准的，甲方有权向乙方索赔。</w:t>
      </w:r>
    </w:p>
    <w:p w14:paraId="0B417576">
      <w:pPr>
        <w:spacing w:line="360" w:lineRule="auto"/>
        <w:ind w:firstLine="424" w:firstLineChars="202"/>
        <w:rPr>
          <w:rFonts w:ascii="宋体" w:hAnsi="宋体" w:cs="宋体"/>
          <w:color w:val="auto"/>
        </w:rPr>
      </w:pPr>
      <w:r>
        <w:rPr>
          <w:rFonts w:hint="eastAsia" w:ascii="宋体" w:hAnsi="宋体" w:cs="宋体"/>
          <w:color w:val="auto"/>
        </w:rPr>
        <w:t>并选择下列一项或多项补救措施：</w:t>
      </w:r>
    </w:p>
    <w:p w14:paraId="397F5DF1">
      <w:pPr>
        <w:spacing w:line="360" w:lineRule="auto"/>
        <w:ind w:firstLine="424" w:firstLineChars="202"/>
        <w:rPr>
          <w:rFonts w:ascii="宋体" w:hAnsi="宋体" w:cs="宋体"/>
          <w:color w:val="auto"/>
        </w:rPr>
      </w:pPr>
      <w:r>
        <w:rPr>
          <w:rFonts w:hint="eastAsia" w:ascii="宋体" w:hAnsi="宋体" w:cs="宋体"/>
          <w:color w:val="auto"/>
        </w:rPr>
        <w:t>（1）由乙方采取措施消除设备缺陷或不符合合同之处，如果乙方不能及时消除缺陷，甲方有权自行消除缺陷或不符合合同之处，由此产生的一切费用均由乙方承担。</w:t>
      </w:r>
    </w:p>
    <w:p w14:paraId="6689372D">
      <w:pPr>
        <w:spacing w:line="360" w:lineRule="auto"/>
        <w:ind w:firstLine="424" w:firstLineChars="202"/>
        <w:rPr>
          <w:rFonts w:ascii="宋体" w:hAnsi="宋体" w:cs="宋体"/>
          <w:color w:val="auto"/>
        </w:rPr>
      </w:pPr>
      <w:r>
        <w:rPr>
          <w:rFonts w:hint="eastAsia" w:ascii="宋体" w:hAnsi="宋体" w:cs="宋体"/>
          <w:color w:val="auto"/>
        </w:rPr>
        <w:t>（2）由乙方在接到甲方通知后</w:t>
      </w:r>
      <w:r>
        <w:rPr>
          <w:rFonts w:hint="eastAsia" w:ascii="宋体" w:hAnsi="宋体" w:cs="宋体"/>
          <w:color w:val="auto"/>
          <w:u w:val="single"/>
        </w:rPr>
        <w:t>2</w:t>
      </w:r>
      <w:r>
        <w:rPr>
          <w:rFonts w:hint="eastAsia" w:ascii="宋体" w:hAnsi="宋体" w:cs="宋体"/>
          <w:color w:val="auto"/>
        </w:rPr>
        <w:t>日内用符合合同规定的规格、质量和性能要求的新零件、部件和设备更换有缺陷的设备或用新的技术资料替换有错误的技术资料或补供遗漏的设备或技术资料等，乙方应承担一切费用和风险并负担给甲方造成的全部损失。</w:t>
      </w:r>
    </w:p>
    <w:p w14:paraId="6FE9B236">
      <w:pPr>
        <w:spacing w:line="360" w:lineRule="auto"/>
        <w:ind w:firstLine="424" w:firstLineChars="202"/>
        <w:rPr>
          <w:rFonts w:ascii="宋体" w:hAnsi="宋体" w:cs="宋体"/>
          <w:color w:val="auto"/>
        </w:rPr>
      </w:pPr>
      <w:r>
        <w:rPr>
          <w:rFonts w:hint="eastAsia" w:ascii="宋体" w:hAnsi="宋体" w:cs="宋体"/>
          <w:color w:val="auto"/>
        </w:rPr>
        <w:t>（3）退货，乙方应退还甲方支付的全部合同款，同时应承担该货物的直接费用（运输、装卸、保险、检验、货款利息及银行手续费等）。</w:t>
      </w:r>
    </w:p>
    <w:p w14:paraId="23396E5C">
      <w:pPr>
        <w:spacing w:line="360" w:lineRule="auto"/>
        <w:ind w:firstLine="424" w:firstLineChars="202"/>
        <w:rPr>
          <w:rFonts w:ascii="宋体" w:hAnsi="宋体" w:cs="宋体"/>
          <w:color w:val="auto"/>
        </w:rPr>
      </w:pPr>
      <w:r>
        <w:rPr>
          <w:rFonts w:hint="eastAsia" w:ascii="宋体" w:hAnsi="宋体" w:cs="宋体"/>
          <w:color w:val="auto"/>
        </w:rPr>
        <w:t>10.2甲方无正当理由拒收货物的，应向乙方偿付拒收货款总值</w:t>
      </w:r>
      <w:r>
        <w:rPr>
          <w:rFonts w:hint="eastAsia" w:ascii="宋体" w:hAnsi="宋体" w:cs="宋体"/>
          <w:color w:val="auto"/>
          <w:u w:val="single"/>
        </w:rPr>
        <w:t>5%</w:t>
      </w:r>
      <w:r>
        <w:rPr>
          <w:rFonts w:hint="eastAsia" w:ascii="宋体" w:hAnsi="宋体" w:cs="宋体"/>
          <w:color w:val="auto"/>
        </w:rPr>
        <w:t>的违约金。</w:t>
      </w:r>
    </w:p>
    <w:p w14:paraId="48D46A26">
      <w:pPr>
        <w:spacing w:line="360" w:lineRule="auto"/>
        <w:ind w:firstLine="424" w:firstLineChars="202"/>
        <w:rPr>
          <w:rFonts w:ascii="宋体" w:hAnsi="宋体" w:cs="宋体"/>
          <w:color w:val="auto"/>
        </w:rPr>
      </w:pPr>
      <w:r>
        <w:rPr>
          <w:rFonts w:hint="eastAsia" w:ascii="宋体" w:hAnsi="宋体" w:cs="宋体"/>
          <w:color w:val="auto"/>
        </w:rPr>
        <w:t>10.3甲方无故逾期验收和办理货款支付手续的，每逾期一日，应按逾期付款总额</w:t>
      </w:r>
      <w:r>
        <w:rPr>
          <w:rFonts w:hint="eastAsia" w:ascii="宋体" w:hAnsi="宋体" w:cs="宋体"/>
          <w:color w:val="auto"/>
          <w:u w:val="single"/>
        </w:rPr>
        <w:t>0.5‰</w:t>
      </w:r>
      <w:r>
        <w:rPr>
          <w:rFonts w:hint="eastAsia" w:ascii="宋体" w:hAnsi="宋体" w:cs="宋体"/>
          <w:color w:val="auto"/>
        </w:rPr>
        <w:t>向乙方支付违约金以货款金额的5%为上限。</w:t>
      </w:r>
    </w:p>
    <w:p w14:paraId="12A63131">
      <w:pPr>
        <w:spacing w:line="360" w:lineRule="auto"/>
        <w:ind w:firstLine="424" w:firstLineChars="202"/>
        <w:rPr>
          <w:rFonts w:ascii="宋体" w:hAnsi="宋体" w:cs="宋体"/>
          <w:color w:val="auto"/>
        </w:rPr>
      </w:pPr>
      <w:r>
        <w:rPr>
          <w:rFonts w:hint="eastAsia" w:ascii="宋体" w:hAnsi="宋体" w:cs="宋体"/>
          <w:color w:val="auto"/>
        </w:rPr>
        <w:t>10.4乙方逾期完工的，每逾期一日，应按合同总额</w:t>
      </w:r>
      <w:r>
        <w:rPr>
          <w:rFonts w:hint="eastAsia" w:ascii="宋体" w:hAnsi="宋体" w:cs="宋体"/>
          <w:color w:val="auto"/>
          <w:u w:val="single"/>
        </w:rPr>
        <w:t>0.5‰</w:t>
      </w:r>
      <w:r>
        <w:rPr>
          <w:rFonts w:hint="eastAsia" w:ascii="宋体" w:hAnsi="宋体" w:cs="宋体"/>
          <w:color w:val="auto"/>
        </w:rPr>
        <w:t>向甲方支付违约金。逾期超过约定日期</w:t>
      </w:r>
      <w:r>
        <w:rPr>
          <w:rFonts w:hint="eastAsia" w:ascii="宋体" w:hAnsi="宋体" w:cs="宋体"/>
          <w:color w:val="auto"/>
          <w:u w:val="single"/>
        </w:rPr>
        <w:t>5</w:t>
      </w:r>
      <w:r>
        <w:rPr>
          <w:rFonts w:hint="eastAsia" w:ascii="宋体" w:hAnsi="宋体" w:cs="宋体"/>
          <w:color w:val="auto"/>
        </w:rPr>
        <w:t>日不能完工的，甲方有权解除本合同，并要求乙方支付合同总额</w:t>
      </w:r>
      <w:r>
        <w:rPr>
          <w:rFonts w:hint="eastAsia" w:ascii="宋体" w:hAnsi="宋体" w:cs="宋体"/>
          <w:color w:val="auto"/>
          <w:u w:val="single"/>
        </w:rPr>
        <w:t>5%</w:t>
      </w:r>
      <w:r>
        <w:rPr>
          <w:rFonts w:hint="eastAsia" w:ascii="宋体" w:hAnsi="宋体" w:cs="宋体"/>
          <w:color w:val="auto"/>
        </w:rPr>
        <w:t>的违约金。</w:t>
      </w:r>
    </w:p>
    <w:p w14:paraId="17EF4840">
      <w:pPr>
        <w:spacing w:line="360" w:lineRule="auto"/>
        <w:ind w:firstLine="424" w:firstLineChars="202"/>
        <w:rPr>
          <w:rFonts w:ascii="宋体" w:hAnsi="宋体" w:cs="宋体"/>
          <w:color w:val="auto"/>
        </w:rPr>
      </w:pPr>
      <w:r>
        <w:rPr>
          <w:rFonts w:hint="eastAsia" w:ascii="宋体" w:hAnsi="宋体" w:cs="宋体"/>
          <w:color w:val="auto"/>
        </w:rPr>
        <w:t>乙方未在约定时间内完成安装调试的，参照前款约定承担违约责任。</w:t>
      </w:r>
    </w:p>
    <w:p w14:paraId="10E95D2B">
      <w:pPr>
        <w:spacing w:line="360" w:lineRule="auto"/>
        <w:ind w:firstLine="424" w:firstLineChars="202"/>
        <w:rPr>
          <w:rFonts w:ascii="宋体" w:hAnsi="宋体" w:cs="宋体"/>
          <w:color w:val="auto"/>
        </w:rPr>
      </w:pPr>
      <w:r>
        <w:rPr>
          <w:rFonts w:hint="eastAsia" w:ascii="宋体" w:hAnsi="宋体" w:cs="宋体"/>
          <w:color w:val="auto"/>
        </w:rPr>
        <w:t>10.5乙方所交付的货物品种、型号、规格、技术参数、质量不符合合同规定及招标文件规定标准的，甲方有权拒收该货物，乙方愿意更换货物但逾期交货的，按乙方逾期交货处理。乙方拒绝更换货物的，甲方可单方面解除合同，并要求乙方支付合同总值</w:t>
      </w:r>
      <w:r>
        <w:rPr>
          <w:rFonts w:hint="eastAsia" w:ascii="宋体" w:hAnsi="宋体" w:cs="宋体"/>
          <w:color w:val="auto"/>
          <w:u w:val="single"/>
        </w:rPr>
        <w:t>5%</w:t>
      </w:r>
      <w:r>
        <w:rPr>
          <w:rFonts w:hint="eastAsia" w:ascii="宋体" w:hAnsi="宋体" w:cs="宋体"/>
          <w:color w:val="auto"/>
        </w:rPr>
        <w:t>的违约金，违约金不足以弥补甲方损失的，乙方还应负责赔偿。</w:t>
      </w:r>
    </w:p>
    <w:p w14:paraId="12E20676">
      <w:pPr>
        <w:spacing w:line="360" w:lineRule="auto"/>
        <w:ind w:firstLine="424" w:firstLineChars="202"/>
        <w:rPr>
          <w:rFonts w:ascii="宋体" w:hAnsi="宋体" w:cs="宋体"/>
          <w:color w:val="auto"/>
        </w:rPr>
      </w:pPr>
      <w:r>
        <w:rPr>
          <w:rFonts w:hint="eastAsia" w:ascii="宋体" w:hAnsi="宋体" w:cs="宋体"/>
          <w:color w:val="auto"/>
        </w:rPr>
        <w:t>10.6乙方未能按约定要求履行保修义务的，每发生一次应向甲方支付</w:t>
      </w:r>
      <w:r>
        <w:rPr>
          <w:rFonts w:hint="eastAsia" w:ascii="宋体" w:hAnsi="宋体" w:cs="宋体"/>
          <w:color w:val="auto"/>
          <w:u w:val="single"/>
        </w:rPr>
        <w:t>2000</w:t>
      </w:r>
      <w:r>
        <w:rPr>
          <w:rFonts w:hint="eastAsia" w:ascii="宋体" w:hAnsi="宋体" w:cs="宋体"/>
          <w:color w:val="auto"/>
        </w:rPr>
        <w:t>元的违约金，同时，甲方有权委托第三方进行保修，所产生的费用由乙方承担。若因货物缺陷或乙方服务质量等问题造成甲方或任何人员人身、财产损害的，乙方应承担有关责任并作出相应赔偿。</w:t>
      </w:r>
    </w:p>
    <w:p w14:paraId="41D9D841">
      <w:pPr>
        <w:spacing w:line="360" w:lineRule="auto"/>
        <w:ind w:firstLine="424" w:firstLineChars="202"/>
        <w:rPr>
          <w:rFonts w:ascii="宋体" w:hAnsi="宋体" w:cs="宋体"/>
          <w:color w:val="auto"/>
        </w:rPr>
      </w:pPr>
      <w:r>
        <w:rPr>
          <w:rFonts w:hint="eastAsia" w:ascii="宋体" w:hAnsi="宋体" w:cs="宋体"/>
          <w:color w:val="auto"/>
        </w:rPr>
        <w:t>10.7因乙方其他违约行为导致甲方解除合同的，乙方应向甲方支付合同总值</w:t>
      </w:r>
      <w:r>
        <w:rPr>
          <w:rFonts w:hint="eastAsia" w:ascii="宋体" w:hAnsi="宋体" w:cs="宋体"/>
          <w:color w:val="auto"/>
          <w:u w:val="single"/>
        </w:rPr>
        <w:t>5%</w:t>
      </w:r>
      <w:r>
        <w:rPr>
          <w:rFonts w:hint="eastAsia" w:ascii="宋体" w:hAnsi="宋体" w:cs="宋体"/>
          <w:color w:val="auto"/>
        </w:rPr>
        <w:t>的违约金，如造成甲方损失超过违约金的，超出部分由乙方继续承担赔偿责任。</w:t>
      </w:r>
    </w:p>
    <w:p w14:paraId="72BD16F9">
      <w:pPr>
        <w:pStyle w:val="157"/>
        <w:spacing w:line="360" w:lineRule="auto"/>
        <w:ind w:left="0" w:leftChars="0" w:firstLine="447" w:firstLineChars="213"/>
        <w:rPr>
          <w:rFonts w:ascii="宋体" w:hAnsi="宋体" w:cs="宋体"/>
          <w:color w:val="auto"/>
        </w:rPr>
      </w:pPr>
      <w:r>
        <w:rPr>
          <w:rFonts w:hint="eastAsia" w:ascii="宋体" w:hAnsi="宋体" w:cs="宋体"/>
          <w:color w:val="auto"/>
        </w:rPr>
        <w:t>10.8乙方违规出现转包和分包的情况，甲方有权解除合同，并由乙方承担全部赔偿责任，按合同总额30%承担违约责任并赔偿相应损失。</w:t>
      </w:r>
    </w:p>
    <w:p w14:paraId="669301A9">
      <w:pPr>
        <w:pStyle w:val="157"/>
        <w:spacing w:line="360" w:lineRule="auto"/>
        <w:ind w:left="0" w:leftChars="0" w:firstLine="447" w:firstLineChars="213"/>
        <w:rPr>
          <w:rFonts w:ascii="宋体" w:hAnsi="宋体" w:cs="宋体"/>
          <w:color w:val="auto"/>
        </w:rPr>
      </w:pPr>
      <w:r>
        <w:rPr>
          <w:rFonts w:hint="eastAsia" w:ascii="宋体" w:hAnsi="宋体" w:cs="宋体"/>
          <w:color w:val="auto"/>
        </w:rPr>
        <w:t>10.9本合同项下损失包括直接损失与间接损失，包括但不限于：另行招投标的费用、另行采购费的差额、维修费、向第三人支付的赔付款以及为主张自身权利所支出的律师费、保全费、担保费、公证费、检测费、差旅费等。</w:t>
      </w:r>
    </w:p>
    <w:p w14:paraId="129DE0C6">
      <w:pPr>
        <w:pStyle w:val="157"/>
        <w:spacing w:line="360" w:lineRule="auto"/>
        <w:ind w:left="0" w:leftChars="0" w:firstLine="447" w:firstLineChars="213"/>
        <w:rPr>
          <w:rFonts w:ascii="宋体" w:hAnsi="宋体" w:cs="宋体"/>
          <w:color w:val="auto"/>
        </w:rPr>
      </w:pPr>
      <w:r>
        <w:rPr>
          <w:rFonts w:hint="eastAsia" w:ascii="宋体" w:hAnsi="宋体" w:cs="宋体"/>
          <w:color w:val="auto"/>
        </w:rPr>
        <w:t>10.10其它违约责任按《中华人民共和国民法典》处理。</w:t>
      </w:r>
    </w:p>
    <w:p w14:paraId="27200F27">
      <w:pPr>
        <w:pStyle w:val="157"/>
        <w:spacing w:line="360" w:lineRule="auto"/>
        <w:ind w:left="0" w:leftChars="0" w:firstLine="447" w:firstLineChars="213"/>
        <w:rPr>
          <w:rFonts w:ascii="宋体" w:hAnsi="宋体" w:cs="宋体"/>
          <w:color w:val="auto"/>
        </w:rPr>
      </w:pPr>
      <w:r>
        <w:rPr>
          <w:rFonts w:hint="eastAsia" w:ascii="宋体" w:hAnsi="宋体" w:cs="宋体"/>
          <w:color w:val="auto"/>
        </w:rPr>
        <w:t>十一、争端的解决</w:t>
      </w:r>
    </w:p>
    <w:p w14:paraId="5E134293">
      <w:pPr>
        <w:pStyle w:val="157"/>
        <w:spacing w:line="360" w:lineRule="auto"/>
        <w:ind w:left="0" w:leftChars="0" w:firstLine="447" w:firstLineChars="213"/>
        <w:rPr>
          <w:rFonts w:ascii="宋体" w:hAnsi="宋体" w:cs="宋体"/>
          <w:color w:val="auto"/>
        </w:rPr>
      </w:pPr>
      <w:r>
        <w:rPr>
          <w:rFonts w:hint="eastAsia" w:ascii="宋体" w:hAnsi="宋体" w:cs="宋体"/>
          <w:color w:val="auto"/>
        </w:rPr>
        <w:t>合同执行过程中发生的任何争议，如双方不能通过友好协商解决可向甲方所在地人民法院提起诉讼。</w:t>
      </w:r>
    </w:p>
    <w:p w14:paraId="7F51CD4F">
      <w:pPr>
        <w:pStyle w:val="157"/>
        <w:spacing w:line="360" w:lineRule="auto"/>
        <w:ind w:left="0" w:leftChars="0" w:firstLine="447" w:firstLineChars="213"/>
        <w:rPr>
          <w:rFonts w:ascii="宋体" w:hAnsi="宋体" w:cs="宋体"/>
          <w:color w:val="auto"/>
        </w:rPr>
      </w:pPr>
      <w:r>
        <w:rPr>
          <w:rFonts w:hint="eastAsia" w:ascii="宋体" w:hAnsi="宋体" w:cs="宋体"/>
          <w:color w:val="auto"/>
        </w:rPr>
        <w:t>十二、不可抗力</w:t>
      </w:r>
    </w:p>
    <w:p w14:paraId="609BB513">
      <w:pPr>
        <w:pStyle w:val="157"/>
        <w:spacing w:line="360" w:lineRule="auto"/>
        <w:ind w:left="0" w:leftChars="0" w:firstLine="447" w:firstLineChars="213"/>
        <w:rPr>
          <w:rFonts w:ascii="宋体" w:hAnsi="宋体" w:cs="宋体"/>
          <w:color w:val="auto"/>
        </w:rPr>
      </w:pPr>
      <w:r>
        <w:rPr>
          <w:rFonts w:hint="eastAsia" w:ascii="宋体" w:hAnsi="宋体" w:cs="宋体"/>
          <w:color w:val="auto"/>
        </w:rPr>
        <w:t>任何一方由于不可抗力原因不能履行合同时，应在不可抗力事件结束后1日内向对方通报，以减轻可能给对方造成的损失，在取得有关机构的不可抗力证明或双方谅解确认后，允许延期履行或修订合同，并根据情况可部分或全部免于承担违约责任。</w:t>
      </w:r>
    </w:p>
    <w:p w14:paraId="75A85242">
      <w:pPr>
        <w:pStyle w:val="157"/>
        <w:spacing w:line="360" w:lineRule="auto"/>
        <w:ind w:left="0" w:leftChars="0" w:firstLine="447" w:firstLineChars="213"/>
        <w:rPr>
          <w:rFonts w:ascii="宋体" w:hAnsi="宋体" w:cs="宋体"/>
          <w:color w:val="auto"/>
        </w:rPr>
      </w:pPr>
      <w:r>
        <w:rPr>
          <w:rFonts w:hint="eastAsia" w:ascii="宋体" w:hAnsi="宋体" w:cs="宋体"/>
          <w:color w:val="auto"/>
        </w:rPr>
        <w:t>十三、税费</w:t>
      </w:r>
    </w:p>
    <w:p w14:paraId="6E3AE3A3">
      <w:pPr>
        <w:pStyle w:val="157"/>
        <w:spacing w:line="360" w:lineRule="auto"/>
        <w:ind w:left="0" w:leftChars="0" w:firstLine="447" w:firstLineChars="213"/>
        <w:rPr>
          <w:rFonts w:ascii="宋体" w:hAnsi="宋体" w:cs="宋体"/>
          <w:color w:val="auto"/>
        </w:rPr>
      </w:pPr>
      <w:r>
        <w:rPr>
          <w:rFonts w:hint="eastAsia" w:ascii="宋体" w:hAnsi="宋体" w:cs="宋体"/>
          <w:color w:val="auto"/>
        </w:rPr>
        <w:t>在中国境内、外发生的与本合同执行有关的产品本身税费由乙方负担。</w:t>
      </w:r>
    </w:p>
    <w:p w14:paraId="3084DA76">
      <w:pPr>
        <w:pStyle w:val="157"/>
        <w:spacing w:line="360" w:lineRule="auto"/>
        <w:ind w:left="0" w:leftChars="0" w:firstLine="447" w:firstLineChars="213"/>
        <w:rPr>
          <w:rFonts w:ascii="宋体" w:hAnsi="宋体" w:cs="宋体"/>
          <w:color w:val="auto"/>
        </w:rPr>
      </w:pPr>
      <w:r>
        <w:rPr>
          <w:rFonts w:hint="eastAsia" w:ascii="宋体" w:hAnsi="宋体" w:cs="宋体"/>
          <w:color w:val="auto"/>
        </w:rPr>
        <w:t>十四、其它</w:t>
      </w:r>
    </w:p>
    <w:p w14:paraId="33642D9A">
      <w:pPr>
        <w:pStyle w:val="157"/>
        <w:spacing w:line="360" w:lineRule="auto"/>
        <w:ind w:left="0" w:leftChars="0" w:firstLine="447" w:firstLineChars="213"/>
        <w:rPr>
          <w:rFonts w:ascii="宋体" w:hAnsi="宋体" w:cs="宋体"/>
          <w:color w:val="auto"/>
        </w:rPr>
      </w:pPr>
      <w:r>
        <w:rPr>
          <w:rFonts w:hint="eastAsia" w:ascii="宋体" w:hAnsi="宋体" w:cs="宋体"/>
          <w:color w:val="auto"/>
        </w:rPr>
        <w:t>14.1本合同所有附件、招标文件、投标文件、中标通知书均为合同的有效组成部分，与本合同具有同等法律效力。</w:t>
      </w:r>
    </w:p>
    <w:p w14:paraId="398F7885">
      <w:pPr>
        <w:pStyle w:val="157"/>
        <w:spacing w:line="360" w:lineRule="auto"/>
        <w:ind w:left="0" w:leftChars="0" w:firstLine="447" w:firstLineChars="213"/>
        <w:rPr>
          <w:rFonts w:ascii="宋体" w:hAnsi="宋体" w:cs="宋体"/>
          <w:color w:val="auto"/>
        </w:rPr>
      </w:pPr>
      <w:r>
        <w:rPr>
          <w:rFonts w:hint="eastAsia" w:ascii="宋体" w:hAnsi="宋体" w:cs="宋体"/>
          <w:color w:val="auto"/>
        </w:rPr>
        <w:t>14.2在执行本合同的过程中，所有经双方签署确认的文件（包括会议纪要、补充协议、往来信函）即成为本合同的有效组成部分。</w:t>
      </w:r>
    </w:p>
    <w:p w14:paraId="0C01EC4E">
      <w:pPr>
        <w:pStyle w:val="157"/>
        <w:spacing w:line="360" w:lineRule="auto"/>
        <w:ind w:left="0" w:leftChars="0" w:firstLine="447" w:firstLineChars="213"/>
        <w:rPr>
          <w:rFonts w:ascii="宋体" w:hAnsi="宋体" w:cs="宋体"/>
          <w:color w:val="auto"/>
        </w:rPr>
      </w:pPr>
      <w:r>
        <w:rPr>
          <w:rFonts w:hint="eastAsia" w:ascii="宋体" w:hAnsi="宋体" w:cs="宋体"/>
          <w:color w:val="auto"/>
        </w:rPr>
        <w:t>14.3本合同所载的联系方式为有效联系方式，同时作为包括法律文书在内的一切文件、信息送达的地址。相关文件、信息通过电子方式发送成功或/及邮寄后5日即视为送达。</w:t>
      </w:r>
    </w:p>
    <w:p w14:paraId="4DB2EDE7">
      <w:pPr>
        <w:pStyle w:val="157"/>
        <w:spacing w:line="360" w:lineRule="auto"/>
        <w:ind w:left="0" w:leftChars="0" w:firstLine="447" w:firstLineChars="213"/>
        <w:rPr>
          <w:rFonts w:ascii="宋体" w:hAnsi="宋体" w:cs="宋体"/>
          <w:color w:val="auto"/>
        </w:rPr>
      </w:pPr>
      <w:r>
        <w:rPr>
          <w:rFonts w:hint="eastAsia" w:ascii="宋体" w:hAnsi="宋体" w:cs="宋体"/>
          <w:color w:val="auto"/>
        </w:rPr>
        <w:t>如一方地址、电话、电子邮箱有变更，应在变更当日内书面通知对方，否则，应承担相应责任。</w:t>
      </w:r>
    </w:p>
    <w:p w14:paraId="65488D40">
      <w:pPr>
        <w:pStyle w:val="157"/>
        <w:spacing w:line="360" w:lineRule="auto"/>
        <w:ind w:left="0" w:leftChars="0" w:firstLine="447" w:firstLineChars="213"/>
        <w:rPr>
          <w:rFonts w:ascii="宋体" w:hAnsi="宋体" w:cs="宋体"/>
          <w:color w:val="auto"/>
        </w:rPr>
      </w:pPr>
      <w:r>
        <w:rPr>
          <w:rFonts w:hint="eastAsia" w:ascii="宋体" w:hAnsi="宋体" w:cs="宋体"/>
          <w:color w:val="auto"/>
        </w:rPr>
        <w:t>14.4除甲方事先书面同意外，乙方不得部分或全部转让其应履行的合同项下的义务。</w:t>
      </w:r>
    </w:p>
    <w:p w14:paraId="0792EA0E">
      <w:pPr>
        <w:pStyle w:val="157"/>
        <w:spacing w:line="360" w:lineRule="auto"/>
        <w:ind w:left="0" w:leftChars="0" w:firstLine="447" w:firstLineChars="213"/>
        <w:rPr>
          <w:rFonts w:ascii="宋体" w:hAnsi="宋体" w:cs="宋体"/>
          <w:color w:val="auto"/>
        </w:rPr>
      </w:pPr>
      <w:r>
        <w:rPr>
          <w:rFonts w:hint="eastAsia" w:ascii="宋体" w:hAnsi="宋体" w:cs="宋体"/>
          <w:color w:val="auto"/>
        </w:rPr>
        <w:t>14.5在采购及合同执行过程中，乙方应自行承担由于其行为所造成的自身以及第三方的人身伤害、财产损失或损坏的责任。</w:t>
      </w:r>
    </w:p>
    <w:p w14:paraId="13E6AFAA">
      <w:pPr>
        <w:pStyle w:val="157"/>
        <w:spacing w:line="360" w:lineRule="auto"/>
        <w:ind w:left="0" w:leftChars="0" w:firstLine="447" w:firstLineChars="213"/>
        <w:rPr>
          <w:rFonts w:ascii="宋体" w:hAnsi="宋体" w:cs="宋体"/>
          <w:color w:val="auto"/>
        </w:rPr>
      </w:pPr>
      <w:r>
        <w:rPr>
          <w:rFonts w:hint="eastAsia" w:ascii="宋体" w:hAnsi="宋体" w:cs="宋体"/>
          <w:color w:val="auto"/>
        </w:rPr>
        <w:t>十五、合同生效</w:t>
      </w:r>
    </w:p>
    <w:p w14:paraId="769DD608">
      <w:pPr>
        <w:pStyle w:val="157"/>
        <w:spacing w:line="360" w:lineRule="auto"/>
        <w:ind w:left="0" w:leftChars="0" w:firstLine="447" w:firstLineChars="213"/>
        <w:rPr>
          <w:rFonts w:ascii="宋体" w:hAnsi="宋体" w:cs="宋体"/>
          <w:color w:val="auto"/>
        </w:rPr>
      </w:pPr>
      <w:r>
        <w:rPr>
          <w:rFonts w:hint="eastAsia" w:ascii="宋体" w:hAnsi="宋体" w:cs="宋体"/>
          <w:color w:val="auto"/>
        </w:rPr>
        <w:t>15.1合同自甲乙双方法定代表人或其授权代表签字并盖章之日起生效。</w:t>
      </w:r>
    </w:p>
    <w:p w14:paraId="67B4BECA">
      <w:pPr>
        <w:pStyle w:val="157"/>
        <w:spacing w:line="360" w:lineRule="auto"/>
        <w:ind w:left="0" w:leftChars="0" w:firstLine="447" w:firstLineChars="213"/>
        <w:rPr>
          <w:rFonts w:ascii="宋体" w:hAnsi="宋体" w:cs="宋体"/>
          <w:color w:val="auto"/>
        </w:rPr>
      </w:pPr>
      <w:r>
        <w:rPr>
          <w:rFonts w:hint="eastAsia" w:ascii="宋体" w:hAnsi="宋体" w:cs="宋体"/>
          <w:color w:val="auto"/>
        </w:rPr>
        <w:t>15.2合同壹式份，甲乙双方各执份。</w:t>
      </w:r>
    </w:p>
    <w:p w14:paraId="5402988D">
      <w:pPr>
        <w:pStyle w:val="157"/>
        <w:spacing w:line="360" w:lineRule="auto"/>
        <w:ind w:left="0" w:leftChars="0" w:firstLine="447" w:firstLineChars="213"/>
        <w:rPr>
          <w:rFonts w:hint="eastAsia" w:ascii="宋体" w:hAnsi="宋体" w:cs="宋体"/>
          <w:color w:val="auto"/>
        </w:rPr>
      </w:pPr>
    </w:p>
    <w:p w14:paraId="3559DAE6">
      <w:pPr>
        <w:pStyle w:val="157"/>
        <w:spacing w:line="360" w:lineRule="auto"/>
        <w:ind w:left="0" w:leftChars="0" w:firstLine="447" w:firstLineChars="213"/>
        <w:rPr>
          <w:rFonts w:ascii="宋体" w:hAnsi="宋体" w:cs="宋体"/>
          <w:color w:val="auto"/>
        </w:rPr>
      </w:pPr>
      <w:r>
        <w:rPr>
          <w:rFonts w:hint="eastAsia" w:ascii="宋体" w:hAnsi="宋体" w:cs="宋体"/>
          <w:color w:val="auto"/>
        </w:rPr>
        <w:t>甲方：(盖章)乙方：(盖章)</w:t>
      </w:r>
    </w:p>
    <w:p w14:paraId="2F75EED9">
      <w:pPr>
        <w:pStyle w:val="157"/>
        <w:spacing w:line="360" w:lineRule="auto"/>
        <w:ind w:left="0" w:leftChars="0" w:firstLine="447" w:firstLineChars="213"/>
        <w:rPr>
          <w:rFonts w:ascii="宋体" w:hAnsi="宋体" w:cs="宋体"/>
          <w:color w:val="auto"/>
        </w:rPr>
      </w:pPr>
      <w:r>
        <w:rPr>
          <w:rFonts w:hint="eastAsia" w:ascii="宋体" w:hAnsi="宋体" w:cs="宋体"/>
          <w:color w:val="auto"/>
        </w:rPr>
        <w:t>法定代表/授权代表：法定代表/授权代表：</w:t>
      </w:r>
    </w:p>
    <w:p w14:paraId="0675AB19">
      <w:pPr>
        <w:pStyle w:val="157"/>
        <w:spacing w:line="360" w:lineRule="auto"/>
        <w:ind w:left="0" w:leftChars="0" w:firstLine="447" w:firstLineChars="213"/>
        <w:rPr>
          <w:rFonts w:ascii="宋体" w:hAnsi="宋体" w:cs="宋体"/>
          <w:color w:val="auto"/>
        </w:rPr>
      </w:pPr>
      <w:r>
        <w:rPr>
          <w:rFonts w:hint="eastAsia" w:ascii="宋体" w:hAnsi="宋体" w:cs="宋体"/>
          <w:color w:val="auto"/>
        </w:rPr>
        <w:t>电话：电话：</w:t>
      </w:r>
    </w:p>
    <w:p w14:paraId="066B1835">
      <w:pPr>
        <w:pStyle w:val="157"/>
        <w:spacing w:line="360" w:lineRule="auto"/>
        <w:ind w:left="0" w:leftChars="0" w:firstLine="447" w:firstLineChars="213"/>
        <w:rPr>
          <w:rFonts w:ascii="宋体" w:hAnsi="宋体" w:cs="宋体"/>
          <w:color w:val="auto"/>
        </w:rPr>
      </w:pPr>
      <w:r>
        <w:rPr>
          <w:rFonts w:hint="eastAsia" w:ascii="宋体" w:hAnsi="宋体" w:cs="宋体"/>
          <w:color w:val="auto"/>
        </w:rPr>
        <w:t>地址：地址：</w:t>
      </w:r>
    </w:p>
    <w:p w14:paraId="758730BC">
      <w:pPr>
        <w:pStyle w:val="157"/>
        <w:spacing w:line="360" w:lineRule="auto"/>
        <w:ind w:left="0" w:leftChars="0" w:firstLine="447" w:firstLineChars="213"/>
        <w:rPr>
          <w:rFonts w:ascii="宋体" w:hAnsi="宋体" w:cs="宋体"/>
          <w:color w:val="auto"/>
        </w:rPr>
      </w:pPr>
      <w:r>
        <w:rPr>
          <w:rFonts w:hint="eastAsia" w:ascii="宋体" w:hAnsi="宋体" w:cs="宋体"/>
          <w:color w:val="auto"/>
        </w:rPr>
        <w:t>日期：日期：</w:t>
      </w:r>
    </w:p>
    <w:p w14:paraId="07FA2D73">
      <w:pPr>
        <w:pStyle w:val="157"/>
        <w:spacing w:line="360" w:lineRule="auto"/>
        <w:ind w:left="0" w:leftChars="0" w:firstLine="447" w:firstLineChars="213"/>
        <w:rPr>
          <w:rFonts w:ascii="宋体" w:hAnsi="宋体" w:cs="宋体"/>
          <w:color w:val="auto"/>
        </w:rPr>
      </w:pPr>
    </w:p>
    <w:p w14:paraId="06E616C4">
      <w:pPr>
        <w:pStyle w:val="157"/>
        <w:spacing w:line="360" w:lineRule="auto"/>
        <w:ind w:left="0" w:leftChars="0" w:firstLine="447" w:firstLineChars="213"/>
        <w:rPr>
          <w:rFonts w:ascii="宋体" w:hAnsi="宋体" w:cs="宋体"/>
          <w:color w:val="auto"/>
        </w:rPr>
      </w:pPr>
      <w:r>
        <w:rPr>
          <w:rFonts w:hint="eastAsia" w:ascii="宋体" w:hAnsi="宋体" w:cs="宋体"/>
          <w:color w:val="auto"/>
        </w:rPr>
        <w:t>签订地点：</w:t>
      </w:r>
    </w:p>
    <w:p w14:paraId="7F76D8E3">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传真：传真：</w:t>
      </w:r>
    </w:p>
    <w:p w14:paraId="327B502C">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开户银行：开户银行：</w:t>
      </w:r>
    </w:p>
    <w:p w14:paraId="6BCCCC7C">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帐号：帐号：</w:t>
      </w:r>
    </w:p>
    <w:p w14:paraId="657E3A07">
      <w:pPr>
        <w:spacing w:line="480" w:lineRule="auto"/>
        <w:ind w:firstLine="420" w:firstLineChars="200"/>
        <w:rPr>
          <w:rFonts w:ascii="宋体" w:hAnsi="宋体"/>
          <w:color w:val="auto"/>
          <w:szCs w:val="21"/>
          <w:highlight w:val="none"/>
        </w:rPr>
      </w:pPr>
    </w:p>
    <w:p w14:paraId="79D9F8D0">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签约地：</w:t>
      </w:r>
    </w:p>
    <w:p w14:paraId="692D1555">
      <w:pPr>
        <w:pStyle w:val="18"/>
        <w:spacing w:line="360" w:lineRule="auto"/>
        <w:ind w:left="0" w:leftChars="0" w:firstLine="0" w:firstLineChars="0"/>
        <w:rPr>
          <w:rFonts w:ascii="宋体"/>
          <w:color w:val="auto"/>
          <w:sz w:val="21"/>
          <w:szCs w:val="21"/>
          <w:highlight w:val="none"/>
        </w:rPr>
        <w:sectPr>
          <w:headerReference r:id="rId9" w:type="default"/>
          <w:pgSz w:w="11907" w:h="16840"/>
          <w:pgMar w:top="1418" w:right="1701" w:bottom="1418" w:left="1701" w:header="720" w:footer="720" w:gutter="0"/>
          <w:pgBorders>
            <w:top w:val="none" w:sz="0" w:space="0"/>
            <w:left w:val="none" w:sz="0" w:space="0"/>
            <w:bottom w:val="none" w:sz="0" w:space="0"/>
            <w:right w:val="none" w:sz="0" w:space="0"/>
          </w:pgBorders>
          <w:pgNumType w:fmt="decimal"/>
          <w:cols w:space="720" w:num="1"/>
          <w:docGrid w:type="lines" w:linePitch="285" w:charSpace="0"/>
        </w:sectPr>
      </w:pPr>
      <w:r>
        <w:rPr>
          <w:rFonts w:hint="eastAsia" w:ascii="宋体" w:hAnsi="宋体" w:eastAsia="宋体" w:cs="Times New Roman"/>
          <w:color w:val="auto"/>
          <w:kern w:val="2"/>
          <w:sz w:val="21"/>
          <w:szCs w:val="21"/>
          <w:highlight w:val="none"/>
          <w:lang w:val="en-US" w:eastAsia="zh-CN" w:bidi="ar-SA"/>
        </w:rPr>
        <w:t>签约日期：年月日</w:t>
      </w:r>
    </w:p>
    <w:p w14:paraId="489A533F">
      <w:pPr>
        <w:widowControl/>
        <w:jc w:val="left"/>
        <w:rPr>
          <w:rFonts w:ascii="宋体"/>
          <w:color w:val="auto"/>
          <w:highlight w:val="none"/>
        </w:rPr>
      </w:pPr>
      <w:r>
        <w:rPr>
          <w:rFonts w:ascii="宋体"/>
          <w:color w:val="auto"/>
          <w:highlight w:val="none"/>
        </w:rPr>
        <w:br w:type="page"/>
      </w:r>
    </w:p>
    <w:bookmarkEnd w:id="119"/>
    <w:p w14:paraId="0271AED7">
      <w:pPr>
        <w:pStyle w:val="37"/>
        <w:ind w:firstLine="640"/>
        <w:rPr>
          <w:rFonts w:ascii="宋体" w:hAnsi="宋体" w:cs="宋体"/>
          <w:color w:val="auto"/>
          <w:sz w:val="32"/>
          <w:szCs w:val="32"/>
          <w:highlight w:val="none"/>
        </w:rPr>
      </w:pPr>
      <w:bookmarkStart w:id="120" w:name="_Toc316649303"/>
    </w:p>
    <w:p w14:paraId="44CF5FAE">
      <w:pPr>
        <w:pStyle w:val="3"/>
        <w:spacing w:beforeLines="0" w:afterLines="0" w:line="360" w:lineRule="auto"/>
        <w:rPr>
          <w:rFonts w:ascii="宋体"/>
          <w:color w:val="auto"/>
          <w:sz w:val="32"/>
          <w:szCs w:val="32"/>
          <w:highlight w:val="none"/>
        </w:rPr>
      </w:pPr>
      <w:bookmarkStart w:id="121" w:name="_Toc141797686"/>
      <w:r>
        <w:rPr>
          <w:rFonts w:hint="eastAsia" w:ascii="宋体" w:hAnsi="宋体" w:cs="宋体"/>
          <w:color w:val="auto"/>
          <w:sz w:val="32"/>
          <w:szCs w:val="32"/>
          <w:highlight w:val="none"/>
        </w:rPr>
        <w:t>第七部分附件（投标文件格式）</w:t>
      </w:r>
      <w:bookmarkEnd w:id="120"/>
      <w:bookmarkEnd w:id="121"/>
    </w:p>
    <w:p w14:paraId="514D61F3">
      <w:pPr>
        <w:jc w:val="center"/>
        <w:rPr>
          <w:rFonts w:ascii="宋体"/>
          <w:b/>
          <w:bCs/>
          <w:color w:val="auto"/>
          <w:sz w:val="36"/>
          <w:szCs w:val="36"/>
          <w:highlight w:val="none"/>
          <w:u w:val="single"/>
        </w:rPr>
      </w:pPr>
    </w:p>
    <w:p w14:paraId="34C2D7F6">
      <w:pPr>
        <w:widowControl/>
        <w:spacing w:line="360" w:lineRule="auto"/>
        <w:jc w:val="left"/>
        <w:rPr>
          <w:rFonts w:ascii="宋体"/>
          <w:color w:val="auto"/>
          <w:kern w:val="0"/>
          <w:sz w:val="24"/>
          <w:szCs w:val="24"/>
          <w:highlight w:val="none"/>
        </w:rPr>
      </w:pPr>
      <w:r>
        <w:rPr>
          <w:rFonts w:ascii="宋体" w:hAnsi="宋体" w:cs="宋体"/>
          <w:b/>
          <w:bCs/>
          <w:color w:val="auto"/>
          <w:kern w:val="0"/>
          <w:highlight w:val="none"/>
        </w:rPr>
        <w:t>1</w:t>
      </w:r>
      <w:r>
        <w:rPr>
          <w:rFonts w:hint="eastAsia" w:ascii="宋体" w:hAnsi="宋体" w:cs="宋体"/>
          <w:b/>
          <w:bCs/>
          <w:color w:val="auto"/>
          <w:kern w:val="0"/>
          <w:highlight w:val="none"/>
        </w:rPr>
        <w:t>、投标文件的外包装封面</w:t>
      </w:r>
    </w:p>
    <w:p w14:paraId="44DDAC5F">
      <w:pPr>
        <w:widowControl/>
        <w:spacing w:before="240" w:beforeLines="100" w:line="360" w:lineRule="auto"/>
        <w:jc w:val="center"/>
        <w:rPr>
          <w:rFonts w:ascii="宋体"/>
          <w:color w:val="auto"/>
          <w:kern w:val="0"/>
          <w:sz w:val="24"/>
          <w:szCs w:val="24"/>
          <w:highlight w:val="none"/>
        </w:rPr>
      </w:pPr>
      <w:r>
        <w:rPr>
          <w:rFonts w:hint="eastAsia" w:ascii="宋体" w:hAnsi="宋体" w:cs="宋体"/>
          <w:b/>
          <w:bCs/>
          <w:color w:val="auto"/>
          <w:kern w:val="0"/>
          <w:highlight w:val="none"/>
        </w:rPr>
        <w:t>电子备份投标文件</w:t>
      </w:r>
    </w:p>
    <w:p w14:paraId="07CD539A">
      <w:pPr>
        <w:widowControl/>
        <w:spacing w:line="360" w:lineRule="auto"/>
        <w:jc w:val="left"/>
        <w:rPr>
          <w:rFonts w:ascii="宋体"/>
          <w:color w:val="auto"/>
          <w:kern w:val="0"/>
          <w:highlight w:val="none"/>
        </w:rPr>
      </w:pPr>
    </w:p>
    <w:p w14:paraId="6F7DEAE7">
      <w:pPr>
        <w:widowControl/>
        <w:spacing w:line="360" w:lineRule="auto"/>
        <w:jc w:val="left"/>
        <w:rPr>
          <w:rFonts w:hint="eastAsia" w:ascii="宋体" w:hAnsi="宋体" w:cs="宋体"/>
          <w:color w:val="auto"/>
          <w:kern w:val="0"/>
          <w:highlight w:val="none"/>
        </w:rPr>
      </w:pPr>
    </w:p>
    <w:p w14:paraId="2B1ABEFF">
      <w:pPr>
        <w:widowControl/>
        <w:spacing w:line="360" w:lineRule="auto"/>
        <w:jc w:val="left"/>
        <w:rPr>
          <w:rFonts w:ascii="宋体"/>
          <w:color w:val="auto"/>
          <w:kern w:val="0"/>
          <w:sz w:val="24"/>
          <w:szCs w:val="24"/>
          <w:highlight w:val="none"/>
        </w:rPr>
      </w:pPr>
      <w:r>
        <w:rPr>
          <w:rFonts w:hint="eastAsia" w:ascii="宋体" w:hAnsi="宋体" w:cs="宋体"/>
          <w:color w:val="auto"/>
          <w:kern w:val="0"/>
          <w:highlight w:val="none"/>
        </w:rPr>
        <w:t>项目编号：</w:t>
      </w:r>
    </w:p>
    <w:p w14:paraId="0A230255">
      <w:pPr>
        <w:widowControl/>
        <w:spacing w:line="360" w:lineRule="auto"/>
        <w:jc w:val="left"/>
        <w:rPr>
          <w:rFonts w:ascii="宋体"/>
          <w:color w:val="auto"/>
          <w:kern w:val="0"/>
          <w:sz w:val="24"/>
          <w:szCs w:val="24"/>
          <w:highlight w:val="none"/>
        </w:rPr>
      </w:pPr>
      <w:r>
        <w:rPr>
          <w:rFonts w:hint="eastAsia" w:ascii="宋体" w:hAnsi="宋体" w:cs="宋体"/>
          <w:color w:val="auto"/>
          <w:kern w:val="0"/>
          <w:highlight w:val="none"/>
        </w:rPr>
        <w:t>项目名称：</w:t>
      </w:r>
    </w:p>
    <w:p w14:paraId="28695569">
      <w:pPr>
        <w:widowControl/>
        <w:spacing w:line="360" w:lineRule="auto"/>
        <w:jc w:val="left"/>
        <w:rPr>
          <w:rFonts w:ascii="宋体"/>
          <w:color w:val="auto"/>
          <w:kern w:val="0"/>
          <w:sz w:val="24"/>
          <w:szCs w:val="24"/>
          <w:highlight w:val="none"/>
        </w:rPr>
      </w:pPr>
      <w:r>
        <w:rPr>
          <w:rFonts w:hint="eastAsia" w:ascii="宋体" w:hAnsi="宋体" w:cs="宋体"/>
          <w:color w:val="auto"/>
          <w:kern w:val="0"/>
          <w:highlight w:val="none"/>
        </w:rPr>
        <w:t>投标人名称（加盖公章）：</w:t>
      </w:r>
    </w:p>
    <w:p w14:paraId="212BE8FC">
      <w:pPr>
        <w:widowControl/>
        <w:spacing w:line="360" w:lineRule="auto"/>
        <w:jc w:val="left"/>
        <w:rPr>
          <w:rFonts w:ascii="宋体" w:hAnsi="宋体" w:cs="宋体"/>
          <w:color w:val="auto"/>
          <w:kern w:val="0"/>
          <w:highlight w:val="none"/>
        </w:rPr>
      </w:pPr>
      <w:r>
        <w:rPr>
          <w:rFonts w:hint="eastAsia" w:ascii="宋体" w:hAnsi="宋体" w:cs="宋体"/>
          <w:color w:val="auto"/>
          <w:kern w:val="0"/>
          <w:highlight w:val="none"/>
        </w:rPr>
        <w:t>投标人地址：</w:t>
      </w:r>
    </w:p>
    <w:p w14:paraId="27AE364A">
      <w:pPr>
        <w:widowControl/>
        <w:spacing w:line="360" w:lineRule="auto"/>
        <w:jc w:val="left"/>
        <w:rPr>
          <w:rFonts w:ascii="宋体"/>
          <w:color w:val="auto"/>
          <w:kern w:val="0"/>
          <w:sz w:val="24"/>
          <w:szCs w:val="24"/>
          <w:highlight w:val="none"/>
        </w:rPr>
      </w:pPr>
    </w:p>
    <w:p w14:paraId="31845DAA">
      <w:pPr>
        <w:widowControl/>
        <w:spacing w:line="360" w:lineRule="auto"/>
        <w:ind w:firstLine="630" w:firstLineChars="300"/>
        <w:jc w:val="left"/>
        <w:rPr>
          <w:rFonts w:ascii="宋体" w:hAnsi="宋体" w:cs="宋体"/>
          <w:color w:val="auto"/>
          <w:kern w:val="0"/>
          <w:highlight w:val="none"/>
        </w:rPr>
      </w:pPr>
      <w:r>
        <w:rPr>
          <w:rFonts w:hint="eastAsia" w:ascii="宋体" w:hAnsi="宋体" w:cs="宋体"/>
          <w:color w:val="auto"/>
          <w:kern w:val="0"/>
          <w:highlight w:val="none"/>
        </w:rPr>
        <w:t>年月日</w:t>
      </w:r>
    </w:p>
    <w:p w14:paraId="37D32C69">
      <w:pPr>
        <w:widowControl/>
        <w:spacing w:line="360" w:lineRule="auto"/>
        <w:jc w:val="left"/>
        <w:rPr>
          <w:rFonts w:ascii="宋体" w:hAnsi="宋体" w:cs="宋体"/>
          <w:color w:val="auto"/>
          <w:kern w:val="0"/>
          <w:highlight w:val="none"/>
        </w:rPr>
      </w:pPr>
    </w:p>
    <w:p w14:paraId="384B2C70">
      <w:pPr>
        <w:widowControl/>
        <w:spacing w:line="360" w:lineRule="auto"/>
        <w:jc w:val="left"/>
        <w:rPr>
          <w:rFonts w:ascii="宋体"/>
          <w:color w:val="auto"/>
          <w:kern w:val="0"/>
          <w:sz w:val="24"/>
          <w:szCs w:val="24"/>
          <w:highlight w:val="none"/>
        </w:rPr>
      </w:pPr>
    </w:p>
    <w:p w14:paraId="3C852A48">
      <w:pPr>
        <w:widowControl/>
        <w:spacing w:line="360" w:lineRule="auto"/>
        <w:jc w:val="left"/>
        <w:rPr>
          <w:rFonts w:ascii="宋体"/>
          <w:color w:val="auto"/>
          <w:kern w:val="0"/>
          <w:sz w:val="24"/>
          <w:szCs w:val="24"/>
          <w:highlight w:val="none"/>
        </w:rPr>
      </w:pPr>
      <w:r>
        <w:rPr>
          <w:rFonts w:ascii="宋体" w:hAnsi="宋体" w:cs="宋体"/>
          <w:b/>
          <w:bCs/>
          <w:color w:val="auto"/>
          <w:kern w:val="0"/>
          <w:highlight w:val="none"/>
        </w:rPr>
        <w:t>2</w:t>
      </w:r>
      <w:r>
        <w:rPr>
          <w:rFonts w:hint="eastAsia" w:ascii="宋体" w:hAnsi="宋体" w:cs="宋体"/>
          <w:b/>
          <w:bCs/>
          <w:color w:val="auto"/>
          <w:kern w:val="0"/>
          <w:highlight w:val="none"/>
        </w:rPr>
        <w:t>、投标文件封面格式</w:t>
      </w:r>
    </w:p>
    <w:p w14:paraId="3087F4F5">
      <w:pPr>
        <w:widowControl/>
        <w:spacing w:before="240" w:beforeLines="100" w:line="360" w:lineRule="auto"/>
        <w:jc w:val="center"/>
        <w:rPr>
          <w:rFonts w:ascii="宋体"/>
          <w:color w:val="auto"/>
          <w:kern w:val="0"/>
          <w:sz w:val="24"/>
          <w:szCs w:val="24"/>
          <w:highlight w:val="none"/>
        </w:rPr>
      </w:pPr>
      <w:r>
        <w:rPr>
          <w:rFonts w:hint="eastAsia" w:ascii="宋体" w:hAnsi="宋体" w:cs="宋体"/>
          <w:b/>
          <w:bCs/>
          <w:color w:val="auto"/>
          <w:kern w:val="0"/>
          <w:highlight w:val="none"/>
        </w:rPr>
        <w:t>资格文件</w:t>
      </w:r>
      <w:r>
        <w:rPr>
          <w:rFonts w:ascii="宋体" w:hAnsi="宋体" w:cs="宋体"/>
          <w:b/>
          <w:bCs/>
          <w:color w:val="auto"/>
          <w:kern w:val="0"/>
          <w:highlight w:val="none"/>
        </w:rPr>
        <w:t>/</w:t>
      </w:r>
      <w:r>
        <w:rPr>
          <w:rFonts w:hint="eastAsia" w:ascii="宋体" w:hAnsi="宋体" w:cs="宋体"/>
          <w:b/>
          <w:bCs/>
          <w:color w:val="auto"/>
          <w:kern w:val="0"/>
          <w:highlight w:val="none"/>
        </w:rPr>
        <w:t>商务技术文件</w:t>
      </w:r>
      <w:r>
        <w:rPr>
          <w:rFonts w:ascii="宋体" w:hAnsi="宋体" w:cs="宋体"/>
          <w:b/>
          <w:bCs/>
          <w:color w:val="auto"/>
          <w:kern w:val="0"/>
          <w:highlight w:val="none"/>
        </w:rPr>
        <w:t>/</w:t>
      </w:r>
      <w:r>
        <w:rPr>
          <w:rFonts w:hint="eastAsia" w:ascii="宋体" w:hAnsi="宋体" w:cs="宋体"/>
          <w:b/>
          <w:bCs/>
          <w:color w:val="auto"/>
          <w:kern w:val="0"/>
          <w:highlight w:val="none"/>
        </w:rPr>
        <w:t>报价文件</w:t>
      </w:r>
    </w:p>
    <w:p w14:paraId="69EDBFA0">
      <w:pPr>
        <w:widowControl/>
        <w:spacing w:line="360" w:lineRule="auto"/>
        <w:jc w:val="left"/>
        <w:rPr>
          <w:rFonts w:ascii="宋体"/>
          <w:color w:val="auto"/>
          <w:kern w:val="0"/>
          <w:highlight w:val="none"/>
        </w:rPr>
      </w:pPr>
    </w:p>
    <w:p w14:paraId="4E0526CF">
      <w:pPr>
        <w:widowControl/>
        <w:spacing w:line="360" w:lineRule="auto"/>
        <w:jc w:val="left"/>
        <w:rPr>
          <w:rFonts w:hint="eastAsia" w:ascii="宋体" w:hAnsi="宋体" w:cs="宋体"/>
          <w:color w:val="auto"/>
          <w:kern w:val="0"/>
          <w:highlight w:val="none"/>
        </w:rPr>
      </w:pPr>
    </w:p>
    <w:p w14:paraId="7D420107">
      <w:pPr>
        <w:widowControl/>
        <w:spacing w:line="360" w:lineRule="auto"/>
        <w:jc w:val="left"/>
        <w:rPr>
          <w:rFonts w:ascii="宋体"/>
          <w:color w:val="auto"/>
          <w:kern w:val="0"/>
          <w:sz w:val="24"/>
          <w:szCs w:val="24"/>
          <w:highlight w:val="none"/>
        </w:rPr>
      </w:pPr>
      <w:r>
        <w:rPr>
          <w:rFonts w:hint="eastAsia" w:ascii="宋体" w:hAnsi="宋体" w:cs="宋体"/>
          <w:color w:val="auto"/>
          <w:kern w:val="0"/>
          <w:highlight w:val="none"/>
        </w:rPr>
        <w:t>项目编号：</w:t>
      </w:r>
    </w:p>
    <w:p w14:paraId="1F5C2231">
      <w:pPr>
        <w:widowControl/>
        <w:spacing w:line="360" w:lineRule="auto"/>
        <w:jc w:val="left"/>
        <w:rPr>
          <w:rFonts w:hint="eastAsia" w:ascii="宋体" w:hAnsi="宋体" w:cs="宋体"/>
          <w:color w:val="auto"/>
          <w:kern w:val="0"/>
          <w:highlight w:val="none"/>
        </w:rPr>
      </w:pPr>
      <w:r>
        <w:rPr>
          <w:rFonts w:hint="eastAsia" w:ascii="宋体" w:hAnsi="宋体" w:cs="宋体"/>
          <w:color w:val="auto"/>
          <w:kern w:val="0"/>
          <w:highlight w:val="none"/>
        </w:rPr>
        <w:t>项目名称：</w:t>
      </w:r>
    </w:p>
    <w:p w14:paraId="2AE42C61">
      <w:pPr>
        <w:widowControl/>
        <w:spacing w:line="360" w:lineRule="auto"/>
        <w:jc w:val="left"/>
        <w:rPr>
          <w:rFonts w:ascii="宋体"/>
          <w:color w:val="auto"/>
          <w:kern w:val="0"/>
          <w:sz w:val="24"/>
          <w:szCs w:val="24"/>
          <w:highlight w:val="none"/>
        </w:rPr>
      </w:pPr>
      <w:r>
        <w:rPr>
          <w:rFonts w:hint="eastAsia" w:ascii="宋体" w:hAnsi="宋体" w:cs="宋体"/>
          <w:color w:val="auto"/>
          <w:kern w:val="0"/>
          <w:highlight w:val="none"/>
        </w:rPr>
        <w:t>投标人名称（加盖公章）：</w:t>
      </w:r>
    </w:p>
    <w:p w14:paraId="396944BB">
      <w:pPr>
        <w:widowControl/>
        <w:spacing w:line="360" w:lineRule="auto"/>
        <w:jc w:val="left"/>
        <w:rPr>
          <w:rFonts w:ascii="宋体"/>
          <w:color w:val="auto"/>
          <w:kern w:val="0"/>
          <w:sz w:val="24"/>
          <w:szCs w:val="24"/>
          <w:highlight w:val="none"/>
        </w:rPr>
      </w:pPr>
      <w:r>
        <w:rPr>
          <w:rFonts w:hint="eastAsia" w:ascii="宋体" w:hAnsi="宋体" w:cs="宋体"/>
          <w:color w:val="auto"/>
          <w:kern w:val="0"/>
          <w:highlight w:val="none"/>
        </w:rPr>
        <w:t>投标人地址：</w:t>
      </w:r>
    </w:p>
    <w:p w14:paraId="33F072FA">
      <w:pPr>
        <w:widowControl/>
        <w:spacing w:line="360" w:lineRule="auto"/>
        <w:jc w:val="left"/>
        <w:rPr>
          <w:rFonts w:ascii="宋体" w:hAnsi="宋体" w:cs="宋体"/>
          <w:color w:val="auto"/>
          <w:kern w:val="0"/>
          <w:highlight w:val="none"/>
        </w:rPr>
      </w:pPr>
    </w:p>
    <w:p w14:paraId="1080A15A">
      <w:pPr>
        <w:spacing w:line="400" w:lineRule="exact"/>
        <w:ind w:firstLine="420" w:firstLineChars="200"/>
        <w:rPr>
          <w:rFonts w:ascii="宋体"/>
          <w:b/>
          <w:bCs/>
          <w:color w:val="auto"/>
          <w:sz w:val="24"/>
          <w:szCs w:val="24"/>
          <w:highlight w:val="none"/>
        </w:rPr>
      </w:pPr>
      <w:r>
        <w:rPr>
          <w:rFonts w:hint="eastAsia" w:ascii="宋体" w:hAnsi="宋体" w:cs="宋体"/>
          <w:color w:val="auto"/>
          <w:kern w:val="0"/>
          <w:highlight w:val="none"/>
        </w:rPr>
        <w:t>年月日</w:t>
      </w:r>
      <w:r>
        <w:rPr>
          <w:rFonts w:ascii="宋体"/>
          <w:color w:val="auto"/>
          <w:sz w:val="24"/>
          <w:szCs w:val="24"/>
          <w:highlight w:val="none"/>
        </w:rPr>
        <w:br w:type="page"/>
      </w:r>
    </w:p>
    <w:p w14:paraId="6155F824">
      <w:pPr>
        <w:widowControl/>
        <w:spacing w:line="360" w:lineRule="auto"/>
        <w:jc w:val="left"/>
        <w:rPr>
          <w:rFonts w:ascii="宋体"/>
          <w:color w:val="auto"/>
          <w:kern w:val="0"/>
          <w:sz w:val="24"/>
          <w:szCs w:val="24"/>
          <w:highlight w:val="none"/>
        </w:rPr>
      </w:pPr>
      <w:r>
        <w:rPr>
          <w:rFonts w:hint="eastAsia" w:ascii="宋体" w:hAnsi="宋体" w:cs="宋体"/>
          <w:b/>
          <w:bCs/>
          <w:color w:val="auto"/>
          <w:kern w:val="0"/>
          <w:highlight w:val="none"/>
        </w:rPr>
        <w:t>资格文件组成：</w:t>
      </w:r>
    </w:p>
    <w:p w14:paraId="0EC9FAFB">
      <w:pPr>
        <w:widowControl/>
        <w:spacing w:line="360" w:lineRule="auto"/>
        <w:ind w:firstLine="420" w:firstLineChars="200"/>
        <w:jc w:val="lef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（1）符合参加政府采购活动应当具备的一般条件的承诺函；</w:t>
      </w:r>
    </w:p>
    <w:p w14:paraId="34A988DD">
      <w:pPr>
        <w:widowControl/>
        <w:spacing w:line="360" w:lineRule="auto"/>
        <w:ind w:firstLine="420" w:firstLineChars="200"/>
        <w:jc w:val="lef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（2）有效的企业法人营业执照（或事业法人登记证）、其他组织（个体工商户的营业执照或者民办非企业单位登记证书复印件。投标人如果有名称变更的，应提供由行政主管部门出具的变更证明文件；</w:t>
      </w:r>
    </w:p>
    <w:p w14:paraId="625CE13D">
      <w:pPr>
        <w:widowControl/>
        <w:spacing w:line="360" w:lineRule="auto"/>
        <w:ind w:firstLine="420" w:firstLineChars="200"/>
        <w:jc w:val="lef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（3）落实政府采购政策需满足的资格要求</w:t>
      </w:r>
      <w:r>
        <w:rPr>
          <w:rFonts w:hint="eastAsia" w:asciiTheme="minorEastAsia" w:hAnsiTheme="minorEastAsia" w:eastAsiaTheme="minorEastAsia"/>
          <w:color w:val="auto"/>
          <w:highlight w:val="none"/>
          <w:lang w:eastAsia="zh-CN"/>
        </w:rPr>
        <w:t>：</w:t>
      </w:r>
      <w:r>
        <w:rPr>
          <w:rFonts w:hint="eastAsia" w:asciiTheme="minorEastAsia" w:hAnsiTheme="minorEastAsia" w:eastAsiaTheme="minorEastAsia"/>
          <w:color w:val="auto"/>
          <w:highlight w:val="none"/>
          <w:lang w:val="en-US" w:eastAsia="zh-CN"/>
        </w:rPr>
        <w:t>无</w:t>
      </w:r>
      <w:r>
        <w:rPr>
          <w:rFonts w:hint="eastAsia" w:asciiTheme="minorEastAsia" w:hAnsiTheme="minorEastAsia" w:eastAsiaTheme="minorEastAsia"/>
          <w:color w:val="auto"/>
          <w:highlight w:val="none"/>
        </w:rPr>
        <w:t>；</w:t>
      </w:r>
    </w:p>
    <w:p w14:paraId="078DB997">
      <w:pPr>
        <w:widowControl/>
        <w:spacing w:line="360" w:lineRule="auto"/>
        <w:ind w:firstLine="420" w:firstLineChars="200"/>
        <w:jc w:val="lef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（4）投标人的特定条件的证明文件（如有）。</w:t>
      </w:r>
    </w:p>
    <w:p w14:paraId="039B0574">
      <w:pPr>
        <w:pStyle w:val="5"/>
        <w:spacing w:line="380" w:lineRule="exact"/>
        <w:ind w:left="0" w:firstLine="0"/>
        <w:rPr>
          <w:rFonts w:cs="仿宋_GB2312" w:asciiTheme="minorEastAsia" w:hAnsiTheme="minorEastAsia" w:eastAsiaTheme="minorEastAsia"/>
          <w:color w:val="auto"/>
          <w:highlight w:val="none"/>
        </w:rPr>
      </w:pPr>
      <w:r>
        <w:rPr>
          <w:rFonts w:ascii="宋体"/>
          <w:color w:val="auto"/>
          <w:sz w:val="24"/>
          <w:szCs w:val="24"/>
          <w:highlight w:val="none"/>
        </w:rPr>
        <w:br w:type="page"/>
      </w:r>
      <w:bookmarkStart w:id="122" w:name="_Toc141797131"/>
      <w:bookmarkStart w:id="123" w:name="_Toc141797687"/>
      <w:r>
        <w:rPr>
          <w:rFonts w:hint="eastAsia" w:asciiTheme="minorEastAsia" w:hAnsiTheme="minorEastAsia" w:eastAsiaTheme="minorEastAsia"/>
          <w:color w:val="auto"/>
          <w:sz w:val="28"/>
          <w:szCs w:val="28"/>
          <w:highlight w:val="none"/>
        </w:rPr>
        <w:t>（一）</w:t>
      </w:r>
      <w:r>
        <w:rPr>
          <w:rFonts w:cs="仿宋_GB2312" w:asciiTheme="minorEastAsia" w:hAnsiTheme="minorEastAsia" w:eastAsiaTheme="minorEastAsia"/>
          <w:color w:val="auto"/>
          <w:sz w:val="28"/>
          <w:szCs w:val="28"/>
          <w:highlight w:val="none"/>
        </w:rPr>
        <w:t>符合参加政府采购活动应当具备的一般条件的承诺函</w:t>
      </w:r>
      <w:bookmarkEnd w:id="122"/>
      <w:bookmarkEnd w:id="123"/>
    </w:p>
    <w:p w14:paraId="7279F3CD">
      <w:pPr>
        <w:snapToGrid w:val="0"/>
        <w:spacing w:line="360" w:lineRule="auto"/>
        <w:rPr>
          <w:rFonts w:asciiTheme="minorEastAsia" w:hAnsiTheme="minorEastAsia" w:eastAsiaTheme="minorEastAsia"/>
          <w:color w:val="auto"/>
          <w:sz w:val="24"/>
          <w:highlight w:val="none"/>
        </w:rPr>
      </w:pPr>
    </w:p>
    <w:p w14:paraId="3D8DD2AF">
      <w:pPr>
        <w:snapToGrid w:val="0"/>
        <w:spacing w:line="360" w:lineRule="auto"/>
        <w:rPr>
          <w:rFonts w:cs="仿宋_GB2312" w:asciiTheme="minorEastAsia" w:hAnsiTheme="minorEastAsia" w:eastAsiaTheme="minorEastAsia"/>
          <w:color w:val="auto"/>
          <w:highlight w:val="none"/>
        </w:rPr>
      </w:pPr>
      <w:r>
        <w:rPr>
          <w:rFonts w:hint="eastAsia" w:asciiTheme="minorEastAsia" w:hAnsiTheme="minorEastAsia" w:eastAsiaTheme="minorEastAsia"/>
          <w:i/>
          <w:iCs/>
          <w:color w:val="auto"/>
          <w:highlight w:val="none"/>
          <w:u w:val="single"/>
        </w:rPr>
        <w:t>（采购人、采购代理机构）</w:t>
      </w:r>
      <w:r>
        <w:rPr>
          <w:rFonts w:hint="eastAsia" w:cs="仿宋_GB2312" w:asciiTheme="minorEastAsia" w:hAnsiTheme="minorEastAsia" w:eastAsiaTheme="minorEastAsia"/>
          <w:color w:val="auto"/>
          <w:highlight w:val="none"/>
        </w:rPr>
        <w:t>：</w:t>
      </w:r>
    </w:p>
    <w:p w14:paraId="386FD5F9">
      <w:pPr>
        <w:snapToGrid w:val="0"/>
        <w:spacing w:line="360" w:lineRule="auto"/>
        <w:ind w:firstLine="420" w:firstLineChars="200"/>
        <w:rPr>
          <w:rFonts w:cs="仿宋_GB2312" w:asciiTheme="minorEastAsia" w:hAnsiTheme="minorEastAsia" w:eastAsiaTheme="minorEastAsia"/>
          <w:color w:val="auto"/>
          <w:highlight w:val="none"/>
        </w:rPr>
      </w:pPr>
      <w:r>
        <w:rPr>
          <w:rFonts w:hint="eastAsia" w:cs="仿宋_GB2312" w:asciiTheme="minorEastAsia" w:hAnsiTheme="minorEastAsia" w:eastAsiaTheme="minorEastAsia"/>
          <w:color w:val="auto"/>
          <w:highlight w:val="none"/>
        </w:rPr>
        <w:t>我方参与</w:t>
      </w:r>
      <w:r>
        <w:rPr>
          <w:rFonts w:hint="eastAsia" w:asciiTheme="minorEastAsia" w:hAnsiTheme="minorEastAsia" w:eastAsiaTheme="minorEastAsia"/>
          <w:color w:val="auto"/>
          <w:highlight w:val="none"/>
        </w:rPr>
        <w:t>项目</w:t>
      </w:r>
      <w:r>
        <w:rPr>
          <w:rFonts w:hint="eastAsia" w:cs="仿宋_GB2312" w:asciiTheme="minorEastAsia" w:hAnsiTheme="minorEastAsia" w:eastAsiaTheme="minorEastAsia"/>
          <w:color w:val="auto"/>
          <w:highlight w:val="none"/>
        </w:rPr>
        <w:t>【招标编号：】政府采购活动，郑重承诺：</w:t>
      </w:r>
    </w:p>
    <w:p w14:paraId="4883E70B">
      <w:pPr>
        <w:snapToGrid w:val="0"/>
        <w:spacing w:line="360" w:lineRule="auto"/>
        <w:ind w:firstLine="315" w:firstLineChars="150"/>
        <w:rPr>
          <w:rFonts w:cs="仿宋_GB2312" w:asciiTheme="minorEastAsia" w:hAnsiTheme="minorEastAsia" w:eastAsiaTheme="minorEastAsia"/>
          <w:color w:val="auto"/>
          <w:highlight w:val="none"/>
        </w:rPr>
      </w:pPr>
      <w:r>
        <w:rPr>
          <w:rFonts w:hint="eastAsia" w:cs="仿宋_GB2312" w:asciiTheme="minorEastAsia" w:hAnsiTheme="minorEastAsia" w:eastAsiaTheme="minorEastAsia"/>
          <w:color w:val="auto"/>
          <w:highlight w:val="none"/>
        </w:rPr>
        <w:t>（一）具备《中华人民共和国政府采购法》第二十二条第一款规定的条件：</w:t>
      </w:r>
    </w:p>
    <w:p w14:paraId="78E262D6">
      <w:pPr>
        <w:snapToGrid w:val="0"/>
        <w:spacing w:line="360" w:lineRule="auto"/>
        <w:ind w:firstLine="420" w:firstLineChars="200"/>
        <w:rPr>
          <w:rFonts w:cs="仿宋_GB2312" w:asciiTheme="minorEastAsia" w:hAnsiTheme="minorEastAsia" w:eastAsiaTheme="minorEastAsia"/>
          <w:color w:val="auto"/>
          <w:highlight w:val="none"/>
        </w:rPr>
      </w:pPr>
      <w:r>
        <w:rPr>
          <w:rFonts w:hint="eastAsia" w:cs="仿宋_GB2312" w:asciiTheme="minorEastAsia" w:hAnsiTheme="minorEastAsia" w:eastAsiaTheme="minorEastAsia"/>
          <w:color w:val="auto"/>
          <w:highlight w:val="none"/>
        </w:rPr>
        <w:t>1、</w:t>
      </w:r>
      <w:r>
        <w:rPr>
          <w:rFonts w:cs="仿宋_GB2312" w:asciiTheme="minorEastAsia" w:hAnsiTheme="minorEastAsia" w:eastAsiaTheme="minorEastAsia"/>
          <w:color w:val="auto"/>
          <w:highlight w:val="none"/>
        </w:rPr>
        <w:t>具有独立承担民事责任的能力；</w:t>
      </w:r>
    </w:p>
    <w:p w14:paraId="6469E8BB">
      <w:pPr>
        <w:snapToGrid w:val="0"/>
        <w:spacing w:line="360" w:lineRule="auto"/>
        <w:ind w:firstLine="420" w:firstLineChars="20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2、</w:t>
      </w:r>
      <w:r>
        <w:rPr>
          <w:rFonts w:asciiTheme="minorEastAsia" w:hAnsiTheme="minorEastAsia" w:eastAsiaTheme="minorEastAsia"/>
          <w:color w:val="auto"/>
          <w:highlight w:val="none"/>
        </w:rPr>
        <w:t>具有良好的商业信誉和健全的财务会计制度；</w:t>
      </w:r>
    </w:p>
    <w:p w14:paraId="1F8A6BB5">
      <w:pPr>
        <w:snapToGrid w:val="0"/>
        <w:spacing w:line="360" w:lineRule="auto"/>
        <w:ind w:firstLine="420" w:firstLineChars="20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3、</w:t>
      </w:r>
      <w:r>
        <w:rPr>
          <w:rFonts w:asciiTheme="minorEastAsia" w:hAnsiTheme="minorEastAsia" w:eastAsiaTheme="minorEastAsia"/>
          <w:color w:val="auto"/>
          <w:highlight w:val="none"/>
        </w:rPr>
        <w:t>具有履行合同所必需的设备和专业技术能力；</w:t>
      </w:r>
    </w:p>
    <w:p w14:paraId="0B0DFAC0">
      <w:pPr>
        <w:snapToGrid w:val="0"/>
        <w:spacing w:line="360" w:lineRule="auto"/>
        <w:ind w:firstLine="420" w:firstLineChars="20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4、</w:t>
      </w:r>
      <w:r>
        <w:rPr>
          <w:rFonts w:asciiTheme="minorEastAsia" w:hAnsiTheme="minorEastAsia" w:eastAsiaTheme="minorEastAsia"/>
          <w:color w:val="auto"/>
          <w:highlight w:val="none"/>
        </w:rPr>
        <w:t>有依法缴纳税收和社会保障资金的良好记录；</w:t>
      </w:r>
    </w:p>
    <w:p w14:paraId="7B2A590B">
      <w:pPr>
        <w:snapToGrid w:val="0"/>
        <w:spacing w:line="360" w:lineRule="auto"/>
        <w:ind w:firstLine="420" w:firstLineChars="20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5、</w:t>
      </w:r>
      <w:r>
        <w:rPr>
          <w:rFonts w:asciiTheme="minorEastAsia" w:hAnsiTheme="minorEastAsia" w:eastAsiaTheme="minorEastAsia"/>
          <w:color w:val="auto"/>
          <w:highlight w:val="none"/>
        </w:rPr>
        <w:t>参加政府采购活动前三年内，在经营活动中没有重大违法记录；</w:t>
      </w:r>
    </w:p>
    <w:p w14:paraId="69A3DCD8">
      <w:pPr>
        <w:snapToGrid w:val="0"/>
        <w:spacing w:line="360" w:lineRule="auto"/>
        <w:ind w:firstLine="420" w:firstLineChars="20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6、</w:t>
      </w:r>
      <w:r>
        <w:rPr>
          <w:rFonts w:asciiTheme="minorEastAsia" w:hAnsiTheme="minorEastAsia" w:eastAsiaTheme="minorEastAsia"/>
          <w:color w:val="auto"/>
          <w:highlight w:val="none"/>
        </w:rPr>
        <w:t>具有法律、行政法规规定的其他条件。</w:t>
      </w:r>
    </w:p>
    <w:p w14:paraId="521EBAAA">
      <w:pPr>
        <w:snapToGrid w:val="0"/>
        <w:spacing w:line="360" w:lineRule="auto"/>
        <w:ind w:firstLine="420" w:firstLineChars="20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（二）未被信用中国（</w:t>
      </w:r>
      <w:r>
        <w:rPr>
          <w:rFonts w:asciiTheme="minorEastAsia" w:hAnsiTheme="minorEastAsia" w:eastAsiaTheme="minorEastAsia"/>
          <w:color w:val="auto"/>
          <w:highlight w:val="none"/>
        </w:rPr>
        <w:t>www.creditchina.gov.cn)、中国政府采购网（www.ccgp.gov.cn）列入失信被执行人、重大税收违法案件当事人名单、政府采购严重违法失信行为记录名单。</w:t>
      </w:r>
    </w:p>
    <w:p w14:paraId="0D5E7FA1">
      <w:pPr>
        <w:snapToGrid w:val="0"/>
        <w:spacing w:line="360" w:lineRule="auto"/>
        <w:ind w:firstLine="420" w:firstLineChars="20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（三）不存在以下情况：</w:t>
      </w:r>
    </w:p>
    <w:p w14:paraId="52540A88">
      <w:pPr>
        <w:snapToGrid w:val="0"/>
        <w:spacing w:line="360" w:lineRule="auto"/>
        <w:ind w:firstLine="420" w:firstLineChars="200"/>
        <w:rPr>
          <w:rFonts w:cs="仿宋_GB2312" w:asciiTheme="minorEastAsia" w:hAnsiTheme="minorEastAsia" w:eastAsiaTheme="minorEastAsia"/>
          <w:color w:val="auto"/>
          <w:highlight w:val="none"/>
        </w:rPr>
      </w:pPr>
      <w:r>
        <w:rPr>
          <w:rFonts w:hint="eastAsia" w:cs="仿宋_GB2312" w:asciiTheme="minorEastAsia" w:hAnsiTheme="minorEastAsia" w:eastAsiaTheme="minorEastAsia"/>
          <w:color w:val="auto"/>
          <w:highlight w:val="none"/>
        </w:rPr>
        <w:t>1、</w:t>
      </w:r>
      <w:r>
        <w:rPr>
          <w:rFonts w:cs="仿宋_GB2312" w:asciiTheme="minorEastAsia" w:hAnsiTheme="minorEastAsia" w:eastAsiaTheme="minorEastAsia"/>
          <w:color w:val="auto"/>
          <w:highlight w:val="none"/>
        </w:rPr>
        <w:t>单位负责人为同一人或者存在直接控股、管理关系的不同供应商参加同一合同项下的政府采购活动的；</w:t>
      </w:r>
    </w:p>
    <w:p w14:paraId="6A6AA20B">
      <w:pPr>
        <w:snapToGrid w:val="0"/>
        <w:spacing w:line="360" w:lineRule="auto"/>
        <w:ind w:firstLine="420" w:firstLineChars="200"/>
        <w:rPr>
          <w:rFonts w:cs="仿宋_GB2312" w:asciiTheme="minorEastAsia" w:hAnsiTheme="minorEastAsia" w:eastAsiaTheme="minorEastAsia"/>
          <w:color w:val="auto"/>
          <w:highlight w:val="none"/>
        </w:rPr>
      </w:pPr>
      <w:r>
        <w:rPr>
          <w:rFonts w:hint="eastAsia" w:cs="仿宋_GB2312" w:asciiTheme="minorEastAsia" w:hAnsiTheme="minorEastAsia" w:eastAsiaTheme="minorEastAsia"/>
          <w:color w:val="auto"/>
          <w:highlight w:val="none"/>
        </w:rPr>
        <w:t>2、</w:t>
      </w:r>
      <w:r>
        <w:rPr>
          <w:rFonts w:cs="仿宋_GB2312" w:asciiTheme="minorEastAsia" w:hAnsiTheme="minorEastAsia" w:eastAsiaTheme="minorEastAsia"/>
          <w:color w:val="auto"/>
          <w:highlight w:val="none"/>
        </w:rPr>
        <w:t>为采购项目提供整体设计、规范编制或者项目管理、监理、检测等服务后再参加该采购项目的其他采购活动的</w:t>
      </w:r>
      <w:r>
        <w:rPr>
          <w:rFonts w:hint="eastAsia" w:cs="仿宋_GB2312" w:asciiTheme="minorEastAsia" w:hAnsiTheme="minorEastAsia" w:eastAsiaTheme="minorEastAsia"/>
          <w:color w:val="auto"/>
          <w:highlight w:val="none"/>
        </w:rPr>
        <w:t>；</w:t>
      </w:r>
    </w:p>
    <w:p w14:paraId="71D73809">
      <w:pPr>
        <w:snapToGrid w:val="0"/>
        <w:spacing w:line="360" w:lineRule="auto"/>
        <w:ind w:firstLine="420" w:firstLineChars="200"/>
        <w:rPr>
          <w:rFonts w:cs="仿宋_GB2312" w:asciiTheme="minorEastAsia" w:hAnsiTheme="minorEastAsia" w:eastAsiaTheme="minorEastAsia"/>
          <w:color w:val="auto"/>
          <w:highlight w:val="none"/>
        </w:rPr>
      </w:pPr>
      <w:r>
        <w:rPr>
          <w:rFonts w:hint="eastAsia" w:cs="仿宋_GB2312" w:asciiTheme="minorEastAsia" w:hAnsiTheme="minorEastAsia" w:eastAsiaTheme="minorEastAsia"/>
          <w:color w:val="auto"/>
          <w:highlight w:val="none"/>
        </w:rPr>
        <w:t>3、为公益一类事业单位、使用事业编制且由财政拨款保障的群团组织。</w:t>
      </w:r>
    </w:p>
    <w:p w14:paraId="6EAA31D3">
      <w:pPr>
        <w:pStyle w:val="17"/>
        <w:rPr>
          <w:color w:val="auto"/>
          <w:highlight w:val="none"/>
        </w:rPr>
      </w:pPr>
    </w:p>
    <w:p w14:paraId="3AEC33DF">
      <w:pPr>
        <w:pStyle w:val="4"/>
        <w:jc w:val="both"/>
        <w:rPr>
          <w:rFonts w:cs="仿宋_GB2312" w:asciiTheme="minorEastAsia" w:hAnsiTheme="minorEastAsia" w:eastAsiaTheme="minorEastAsia"/>
          <w:color w:val="auto"/>
          <w:sz w:val="21"/>
          <w:szCs w:val="21"/>
          <w:highlight w:val="none"/>
        </w:rPr>
      </w:pPr>
    </w:p>
    <w:p w14:paraId="27AFB529">
      <w:pPr>
        <w:rPr>
          <w:rFonts w:cs="仿宋_GB2312" w:asciiTheme="minorEastAsia" w:hAnsiTheme="minorEastAsia" w:eastAsiaTheme="minorEastAsia"/>
          <w:color w:val="auto"/>
          <w:highlight w:val="none"/>
        </w:rPr>
      </w:pPr>
    </w:p>
    <w:p w14:paraId="61624A36">
      <w:pPr>
        <w:adjustRightInd w:val="0"/>
        <w:snapToGrid w:val="0"/>
        <w:spacing w:line="360" w:lineRule="auto"/>
        <w:ind w:left="425"/>
        <w:rPr>
          <w:rFonts w:asciiTheme="minorEastAsia" w:hAnsiTheme="minorEastAsia" w:eastAsiaTheme="minorEastAsia"/>
          <w:color w:val="auto"/>
          <w:spacing w:val="4"/>
          <w:highlight w:val="none"/>
        </w:rPr>
      </w:pPr>
    </w:p>
    <w:p w14:paraId="36DDEB82">
      <w:pPr>
        <w:spacing w:line="480" w:lineRule="auto"/>
        <w:ind w:right="420" w:firstLine="5040" w:firstLineChars="240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投标人（公章）：</w:t>
      </w:r>
    </w:p>
    <w:p w14:paraId="113CFA7D">
      <w:pPr>
        <w:spacing w:line="480" w:lineRule="auto"/>
        <w:ind w:right="420" w:firstLine="3990" w:firstLineChars="190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投标人代表（签字或印章）：</w:t>
      </w:r>
    </w:p>
    <w:p w14:paraId="769FBC23">
      <w:pPr>
        <w:spacing w:line="480" w:lineRule="auto"/>
        <w:ind w:right="420" w:firstLine="3045" w:firstLineChars="145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年月日</w:t>
      </w:r>
    </w:p>
    <w:p w14:paraId="1D777D9B">
      <w:pPr>
        <w:pStyle w:val="18"/>
        <w:ind w:firstLine="0"/>
        <w:rPr>
          <w:rFonts w:asciiTheme="minorEastAsia" w:hAnsiTheme="minorEastAsia" w:eastAsiaTheme="minorEastAsia"/>
          <w:color w:val="auto"/>
          <w:highlight w:val="none"/>
        </w:rPr>
      </w:pPr>
      <w:r>
        <w:rPr>
          <w:rFonts w:hint="eastAsia" w:ascii="宋体" w:hAnsi="宋体" w:cs="宋体"/>
          <w:b/>
          <w:color w:val="auto"/>
          <w:szCs w:val="21"/>
          <w:highlight w:val="none"/>
        </w:rPr>
        <w:t>（若为联合体投标，联合体各方须单独提供并盖章）</w:t>
      </w:r>
    </w:p>
    <w:p w14:paraId="009BF37D">
      <w:pPr>
        <w:pStyle w:val="18"/>
        <w:ind w:firstLine="0"/>
        <w:jc w:val="center"/>
        <w:rPr>
          <w:rFonts w:asciiTheme="minorEastAsia" w:hAnsiTheme="minorEastAsia" w:eastAsiaTheme="minorEastAsia"/>
          <w:color w:val="auto"/>
          <w:highlight w:val="none"/>
        </w:rPr>
      </w:pPr>
    </w:p>
    <w:p w14:paraId="2A03D795">
      <w:pPr>
        <w:pStyle w:val="18"/>
        <w:ind w:firstLine="0"/>
        <w:jc w:val="center"/>
        <w:rPr>
          <w:rFonts w:asciiTheme="minorEastAsia" w:hAnsiTheme="minorEastAsia" w:eastAsiaTheme="minorEastAsia"/>
          <w:color w:val="auto"/>
          <w:highlight w:val="none"/>
        </w:rPr>
      </w:pPr>
    </w:p>
    <w:p w14:paraId="06F60576">
      <w:pPr>
        <w:pStyle w:val="18"/>
        <w:ind w:firstLine="0"/>
        <w:jc w:val="center"/>
        <w:rPr>
          <w:rFonts w:asciiTheme="minorEastAsia" w:hAnsiTheme="minorEastAsia" w:eastAsiaTheme="minorEastAsia"/>
          <w:color w:val="auto"/>
          <w:highlight w:val="none"/>
        </w:rPr>
      </w:pPr>
    </w:p>
    <w:p w14:paraId="42CCBD21">
      <w:pPr>
        <w:pStyle w:val="5"/>
        <w:spacing w:line="380" w:lineRule="exact"/>
        <w:ind w:left="0" w:firstLine="0"/>
        <w:rPr>
          <w:rFonts w:asciiTheme="minorEastAsia" w:hAnsiTheme="minorEastAsia" w:eastAsiaTheme="minorEastAsia"/>
          <w:color w:val="auto"/>
          <w:sz w:val="28"/>
          <w:szCs w:val="28"/>
          <w:highlight w:val="none"/>
        </w:rPr>
      </w:pPr>
    </w:p>
    <w:p w14:paraId="30FAF0A0">
      <w:pPr>
        <w:rPr>
          <w:rFonts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br w:type="page"/>
      </w:r>
    </w:p>
    <w:p w14:paraId="27620818">
      <w:pPr>
        <w:pStyle w:val="5"/>
        <w:spacing w:line="380" w:lineRule="exact"/>
        <w:ind w:left="0" w:firstLine="0"/>
        <w:rPr>
          <w:rFonts w:asciiTheme="minorEastAsia" w:hAnsiTheme="minorEastAsia" w:eastAsiaTheme="minorEastAsia"/>
          <w:color w:val="auto"/>
          <w:sz w:val="28"/>
          <w:szCs w:val="28"/>
          <w:highlight w:val="none"/>
        </w:rPr>
      </w:pPr>
    </w:p>
    <w:p w14:paraId="403345ED">
      <w:pPr>
        <w:pStyle w:val="5"/>
        <w:spacing w:line="380" w:lineRule="exact"/>
        <w:ind w:left="0" w:firstLine="0"/>
        <w:rPr>
          <w:rFonts w:asciiTheme="minorEastAsia" w:hAnsiTheme="minorEastAsia" w:eastAsiaTheme="minorEastAsia"/>
          <w:color w:val="auto"/>
          <w:sz w:val="28"/>
          <w:szCs w:val="28"/>
          <w:highlight w:val="none"/>
        </w:rPr>
      </w:pPr>
      <w:bookmarkStart w:id="124" w:name="_Toc141797688"/>
      <w:bookmarkStart w:id="125" w:name="_Toc141797132"/>
      <w:r>
        <w:rPr>
          <w:rFonts w:hint="eastAsia" w:asciiTheme="minorEastAsia" w:hAnsiTheme="minorEastAsia" w:eastAsiaTheme="minorEastAsia"/>
          <w:color w:val="auto"/>
          <w:sz w:val="28"/>
          <w:szCs w:val="28"/>
          <w:highlight w:val="none"/>
        </w:rPr>
        <w:t>（二）有效的企业法人营业执照（或事业法人登记证）、其他组织（个体工商户的营业执照或者民办非企业单位登记证书复印件。投标人如果有名称变更的，应提供由行政主管部门出具的变更证明文件</w:t>
      </w:r>
      <w:bookmarkEnd w:id="124"/>
      <w:bookmarkEnd w:id="125"/>
    </w:p>
    <w:p w14:paraId="4328866A">
      <w:pPr>
        <w:pStyle w:val="18"/>
        <w:ind w:firstLine="0"/>
        <w:jc w:val="center"/>
        <w:rPr>
          <w:rFonts w:asciiTheme="minorEastAsia" w:hAnsiTheme="minorEastAsia" w:eastAsiaTheme="minorEastAsia"/>
          <w:bCs/>
          <w:color w:val="auto"/>
          <w:sz w:val="22"/>
          <w:szCs w:val="22"/>
          <w:highlight w:val="none"/>
        </w:rPr>
      </w:pPr>
      <w:r>
        <w:rPr>
          <w:rFonts w:hint="eastAsia" w:asciiTheme="minorEastAsia" w:hAnsiTheme="minorEastAsia" w:eastAsiaTheme="minorEastAsia"/>
          <w:bCs/>
          <w:color w:val="auto"/>
          <w:sz w:val="22"/>
          <w:szCs w:val="22"/>
          <w:highlight w:val="none"/>
        </w:rPr>
        <w:t>（复印件并加盖公章）</w:t>
      </w:r>
    </w:p>
    <w:p w14:paraId="621CA94E">
      <w:pPr>
        <w:pStyle w:val="18"/>
        <w:ind w:firstLine="0"/>
        <w:jc w:val="center"/>
        <w:rPr>
          <w:rFonts w:asciiTheme="minorEastAsia" w:hAnsiTheme="minorEastAsia" w:eastAsiaTheme="minorEastAsia"/>
          <w:color w:val="auto"/>
          <w:highlight w:val="none"/>
        </w:rPr>
      </w:pPr>
    </w:p>
    <w:p w14:paraId="10A972C7">
      <w:pPr>
        <w:pStyle w:val="18"/>
        <w:ind w:firstLine="0"/>
        <w:jc w:val="center"/>
        <w:rPr>
          <w:rFonts w:asciiTheme="minorEastAsia" w:hAnsiTheme="minorEastAsia" w:eastAsiaTheme="minorEastAsia"/>
          <w:color w:val="auto"/>
          <w:highlight w:val="none"/>
        </w:rPr>
      </w:pPr>
    </w:p>
    <w:p w14:paraId="587C2659">
      <w:pPr>
        <w:pStyle w:val="18"/>
        <w:ind w:firstLine="0"/>
        <w:jc w:val="center"/>
        <w:rPr>
          <w:rFonts w:asciiTheme="minorEastAsia" w:hAnsiTheme="minorEastAsia" w:eastAsiaTheme="minorEastAsia"/>
          <w:color w:val="auto"/>
          <w:highlight w:val="none"/>
        </w:rPr>
      </w:pPr>
    </w:p>
    <w:p w14:paraId="7873E832">
      <w:pPr>
        <w:pStyle w:val="18"/>
        <w:ind w:firstLine="0"/>
        <w:jc w:val="center"/>
        <w:rPr>
          <w:rFonts w:asciiTheme="minorEastAsia" w:hAnsiTheme="minorEastAsia" w:eastAsiaTheme="minorEastAsia"/>
          <w:color w:val="auto"/>
          <w:highlight w:val="none"/>
        </w:rPr>
      </w:pPr>
    </w:p>
    <w:p w14:paraId="0892A3F8">
      <w:pPr>
        <w:rPr>
          <w:rFonts w:asciiTheme="minorEastAsia" w:hAnsiTheme="minorEastAsia" w:eastAsiaTheme="minorEastAsia"/>
          <w:color w:val="auto"/>
          <w:highlight w:val="none"/>
        </w:rPr>
      </w:pPr>
      <w:r>
        <w:rPr>
          <w:rFonts w:hint="eastAsia" w:ascii="宋体" w:hAnsi="宋体" w:cs="宋体"/>
          <w:b/>
          <w:color w:val="auto"/>
          <w:highlight w:val="none"/>
        </w:rPr>
        <w:t>（若为联合体投标，联合体各方须单独提供并盖章）</w:t>
      </w:r>
      <w:r>
        <w:rPr>
          <w:rFonts w:asciiTheme="minorEastAsia" w:hAnsiTheme="minorEastAsia" w:eastAsiaTheme="minorEastAsia"/>
          <w:color w:val="auto"/>
          <w:highlight w:val="none"/>
        </w:rPr>
        <w:br w:type="page"/>
      </w:r>
    </w:p>
    <w:p w14:paraId="795CA1F1">
      <w:pPr>
        <w:autoSpaceDE w:val="0"/>
        <w:autoSpaceDN w:val="0"/>
        <w:jc w:val="center"/>
        <w:rPr>
          <w:rFonts w:ascii="宋体" w:hAnsi="宋体" w:cs="宋体"/>
          <w:b/>
          <w:color w:val="auto"/>
          <w:kern w:val="0"/>
          <w:sz w:val="28"/>
          <w:szCs w:val="28"/>
          <w:highlight w:val="none"/>
        </w:rPr>
      </w:pPr>
    </w:p>
    <w:p w14:paraId="54BD4F96">
      <w:pPr>
        <w:autoSpaceDE w:val="0"/>
        <w:autoSpaceDN w:val="0"/>
        <w:jc w:val="center"/>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（三）落实政府采购政策需满足的资格要求</w:t>
      </w:r>
    </w:p>
    <w:p w14:paraId="79989AD5">
      <w:pPr>
        <w:spacing w:line="360" w:lineRule="auto"/>
        <w:rPr>
          <w:rFonts w:cs="仿宋_GB2312" w:asciiTheme="minorEastAsia" w:hAnsiTheme="minorEastAsia" w:eastAsiaTheme="minorEastAsia"/>
          <w:color w:val="auto"/>
          <w:sz w:val="24"/>
          <w:highlight w:val="none"/>
        </w:rPr>
      </w:pPr>
    </w:p>
    <w:p w14:paraId="11382285">
      <w:pPr>
        <w:spacing w:line="360" w:lineRule="auto"/>
        <w:jc w:val="center"/>
        <w:rPr>
          <w:rFonts w:cs="仿宋_GB2312" w:asciiTheme="minorEastAsia" w:hAnsiTheme="minorEastAsia" w:eastAsiaTheme="minorEastAsia"/>
          <w:b/>
          <w:bCs/>
          <w:color w:val="auto"/>
          <w:sz w:val="24"/>
          <w:highlight w:val="none"/>
        </w:rPr>
      </w:pPr>
      <w:r>
        <w:rPr>
          <w:rFonts w:hint="eastAsia" w:cs="仿宋_GB2312" w:asciiTheme="minorEastAsia" w:hAnsiTheme="minorEastAsia" w:eastAsiaTheme="minorEastAsia"/>
          <w:b/>
          <w:bCs/>
          <w:color w:val="auto"/>
          <w:sz w:val="24"/>
          <w:highlight w:val="none"/>
        </w:rPr>
        <w:t>（根据招标公告</w:t>
      </w:r>
      <w:r>
        <w:rPr>
          <w:rFonts w:hint="eastAsia" w:asciiTheme="minorEastAsia" w:hAnsiTheme="minorEastAsia" w:eastAsiaTheme="minorEastAsia"/>
          <w:b/>
          <w:bCs/>
          <w:color w:val="auto"/>
          <w:sz w:val="24"/>
          <w:highlight w:val="none"/>
        </w:rPr>
        <w:t>落实政府采购政策需满足的资格要求选择提供相应的材料；未要求的，无需提供</w:t>
      </w:r>
      <w:r>
        <w:rPr>
          <w:rFonts w:hint="eastAsia" w:cs="仿宋_GB2312" w:asciiTheme="minorEastAsia" w:hAnsiTheme="minorEastAsia" w:eastAsiaTheme="minorEastAsia"/>
          <w:b/>
          <w:bCs/>
          <w:color w:val="auto"/>
          <w:sz w:val="24"/>
          <w:highlight w:val="none"/>
        </w:rPr>
        <w:t>）</w:t>
      </w:r>
    </w:p>
    <w:p w14:paraId="5CF029C0">
      <w:pPr>
        <w:spacing w:line="360" w:lineRule="auto"/>
        <w:rPr>
          <w:rFonts w:cs="仿宋_GB2312" w:asciiTheme="minorEastAsia" w:hAnsiTheme="minorEastAsia" w:eastAsiaTheme="minorEastAsia"/>
          <w:color w:val="auto"/>
          <w:highlight w:val="none"/>
        </w:rPr>
      </w:pPr>
    </w:p>
    <w:p w14:paraId="67058A8A">
      <w:pPr>
        <w:spacing w:line="360" w:lineRule="auto"/>
        <w:rPr>
          <w:rFonts w:cs="仿宋_GB2312" w:asciiTheme="minorEastAsia" w:hAnsiTheme="minorEastAsia" w:eastAsiaTheme="minorEastAsia"/>
          <w:color w:val="auto"/>
          <w:highlight w:val="none"/>
        </w:rPr>
      </w:pPr>
    </w:p>
    <w:p w14:paraId="6C272F4B">
      <w:pPr>
        <w:pStyle w:val="5"/>
        <w:keepNext/>
        <w:keepLines w:val="0"/>
        <w:pageBreakBefore w:val="0"/>
        <w:widowControl w:val="0"/>
        <w:kinsoku/>
        <w:wordWrap/>
        <w:overflowPunct/>
        <w:topLinePunct w:val="0"/>
        <w:autoSpaceDE/>
        <w:autoSpaceDN/>
        <w:bidi w:val="0"/>
        <w:adjustRightInd/>
        <w:snapToGrid/>
        <w:spacing w:line="360" w:lineRule="auto"/>
        <w:textAlignment w:val="auto"/>
        <w:rPr>
          <w:rFonts w:asciiTheme="minorEastAsia" w:hAnsiTheme="minorEastAsia" w:eastAsiaTheme="minorEastAsia"/>
          <w:color w:val="auto"/>
          <w:sz w:val="28"/>
          <w:szCs w:val="28"/>
          <w:highlight w:val="none"/>
        </w:rPr>
      </w:pPr>
      <w:bookmarkStart w:id="126" w:name="_Toc141797133"/>
      <w:bookmarkStart w:id="127" w:name="_Toc141797689"/>
      <w:r>
        <w:rPr>
          <w:rFonts w:hint="eastAsia" w:asciiTheme="minorEastAsia" w:hAnsiTheme="minorEastAsia" w:eastAsiaTheme="minorEastAsia"/>
          <w:color w:val="auto"/>
          <w:sz w:val="28"/>
          <w:szCs w:val="28"/>
          <w:highlight w:val="none"/>
        </w:rPr>
        <w:t>（四）投标人的特定条件的证明文件</w:t>
      </w:r>
      <w:bookmarkEnd w:id="126"/>
      <w:bookmarkEnd w:id="127"/>
    </w:p>
    <w:p w14:paraId="48729335">
      <w:pPr>
        <w:pStyle w:val="5"/>
        <w:keepNext/>
        <w:keepLines w:val="0"/>
        <w:pageBreakBefore w:val="0"/>
        <w:widowControl w:val="0"/>
        <w:kinsoku/>
        <w:wordWrap/>
        <w:overflowPunct/>
        <w:topLinePunct w:val="0"/>
        <w:autoSpaceDE/>
        <w:autoSpaceDN/>
        <w:bidi w:val="0"/>
        <w:adjustRightInd/>
        <w:snapToGrid/>
        <w:spacing w:line="360" w:lineRule="auto"/>
        <w:textAlignment w:val="auto"/>
        <w:rPr>
          <w:rFonts w:cs="仿宋_GB2312" w:asciiTheme="minorEastAsia" w:hAnsiTheme="minorEastAsia" w:eastAsiaTheme="minorEastAsia"/>
          <w:b w:val="0"/>
          <w:bCs w:val="0"/>
          <w:color w:val="auto"/>
          <w:kern w:val="2"/>
          <w:sz w:val="24"/>
          <w:szCs w:val="20"/>
          <w:highlight w:val="none"/>
        </w:rPr>
      </w:pPr>
      <w:bookmarkStart w:id="128" w:name="_Toc141797134"/>
      <w:bookmarkStart w:id="129" w:name="_Toc141797690"/>
      <w:r>
        <w:rPr>
          <w:rFonts w:hint="eastAsia" w:cs="仿宋_GB2312" w:asciiTheme="minorEastAsia" w:hAnsiTheme="minorEastAsia" w:eastAsiaTheme="minorEastAsia"/>
          <w:b w:val="0"/>
          <w:bCs w:val="0"/>
          <w:color w:val="auto"/>
          <w:kern w:val="2"/>
          <w:sz w:val="24"/>
          <w:szCs w:val="20"/>
          <w:highlight w:val="none"/>
        </w:rPr>
        <w:t>（根据招标公告本项目的特定资格要求提供相应的材料；未要求的，无需提供）</w:t>
      </w:r>
      <w:bookmarkEnd w:id="128"/>
      <w:bookmarkEnd w:id="129"/>
    </w:p>
    <w:p w14:paraId="4CF9E011">
      <w:pPr>
        <w:widowControl/>
        <w:jc w:val="left"/>
        <w:rPr>
          <w:rFonts w:ascii="宋体"/>
          <w:b/>
          <w:bCs/>
          <w:color w:val="auto"/>
          <w:sz w:val="24"/>
          <w:szCs w:val="24"/>
          <w:highlight w:val="none"/>
        </w:rPr>
      </w:pPr>
    </w:p>
    <w:p w14:paraId="6CE710FF">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宋体"/>
          <w:b/>
          <w:bCs/>
          <w:color w:val="auto"/>
          <w:sz w:val="24"/>
          <w:szCs w:val="24"/>
          <w:highlight w:val="none"/>
        </w:rPr>
      </w:pPr>
      <w:r>
        <w:rPr>
          <w:rFonts w:ascii="宋体"/>
          <w:color w:val="auto"/>
          <w:sz w:val="24"/>
          <w:szCs w:val="24"/>
          <w:highlight w:val="none"/>
        </w:rPr>
        <w:br w:type="page"/>
      </w:r>
      <w:r>
        <w:rPr>
          <w:rFonts w:ascii="宋体"/>
          <w:color w:val="auto"/>
          <w:sz w:val="24"/>
          <w:szCs w:val="24"/>
          <w:highlight w:val="none"/>
        </w:rPr>
        <w:br w:type="textWrapping"/>
      </w:r>
      <w:r>
        <w:rPr>
          <w:rFonts w:hint="eastAsia" w:ascii="宋体" w:hAnsi="宋体" w:cs="宋体"/>
          <w:b/>
          <w:bCs/>
          <w:color w:val="auto"/>
          <w:kern w:val="0"/>
          <w:highlight w:val="none"/>
        </w:rPr>
        <w:t>商务技术文件组成：</w:t>
      </w:r>
    </w:p>
    <w:p w14:paraId="1C321AA9">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color w:val="auto"/>
          <w:highlight w:val="none"/>
        </w:rPr>
        <w:t>（1）单位负责人的身份证明或单位负责人授权书（投标人的代表若不为单位负责人的，必须提交单位负责人授权书），并提供单位负责人和授权代表的身份证正反两面复印件；</w:t>
      </w:r>
    </w:p>
    <w:p w14:paraId="29385FA6">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color w:val="auto"/>
          <w:highlight w:val="none"/>
        </w:rPr>
        <w:t>（2）投标人基本情况表；</w:t>
      </w:r>
    </w:p>
    <w:p w14:paraId="141A0193">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color w:val="auto"/>
          <w:highlight w:val="none"/>
        </w:rPr>
        <w:t>（3）技术条款偏离表；</w:t>
      </w:r>
    </w:p>
    <w:p w14:paraId="4F175F1D">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color w:val="auto"/>
          <w:highlight w:val="none"/>
        </w:rPr>
        <w:t>（4）商务条款偏离表；</w:t>
      </w:r>
    </w:p>
    <w:p w14:paraId="56C7B52B">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cs="宋体" w:asciiTheme="minorEastAsia" w:hAnsiTheme="minorEastAsia" w:eastAsiaTheme="minorEastAsia"/>
          <w:color w:val="auto"/>
          <w:kern w:val="0"/>
          <w:highlight w:val="none"/>
        </w:rPr>
      </w:pPr>
      <w:r>
        <w:rPr>
          <w:rFonts w:hint="eastAsia"/>
          <w:color w:val="auto"/>
          <w:highlight w:val="none"/>
        </w:rPr>
        <w:t>（5）第</w:t>
      </w:r>
      <w:r>
        <w:rPr>
          <w:rFonts w:hint="eastAsia"/>
          <w:color w:val="auto"/>
          <w:highlight w:val="none"/>
          <w:lang w:val="en-US" w:eastAsia="zh-CN"/>
        </w:rPr>
        <w:t>五</w:t>
      </w:r>
      <w:r>
        <w:rPr>
          <w:rFonts w:hint="eastAsia"/>
          <w:color w:val="auto"/>
          <w:highlight w:val="none"/>
        </w:rPr>
        <w:t>部分“评标办法”中“评分标准”要求提供的资料（如有需提供）。</w:t>
      </w:r>
    </w:p>
    <w:p w14:paraId="61D25D81">
      <w:pPr>
        <w:widowControl/>
        <w:spacing w:line="360" w:lineRule="auto"/>
        <w:ind w:firstLine="420" w:firstLineChars="200"/>
        <w:jc w:val="left"/>
        <w:rPr>
          <w:rFonts w:ascii="宋体" w:hAnsi="宋体" w:cs="宋体"/>
          <w:color w:val="auto"/>
          <w:kern w:val="0"/>
          <w:highlight w:val="none"/>
        </w:rPr>
      </w:pPr>
    </w:p>
    <w:p w14:paraId="4EE46735">
      <w:pPr>
        <w:widowControl/>
        <w:spacing w:line="360" w:lineRule="auto"/>
        <w:ind w:firstLine="420" w:firstLineChars="200"/>
        <w:jc w:val="left"/>
        <w:rPr>
          <w:rFonts w:ascii="宋体"/>
          <w:color w:val="auto"/>
          <w:highlight w:val="none"/>
        </w:rPr>
      </w:pPr>
    </w:p>
    <w:p w14:paraId="24EDC4B8">
      <w:pPr>
        <w:widowControl/>
        <w:spacing w:line="360" w:lineRule="auto"/>
        <w:ind w:firstLine="420" w:firstLineChars="200"/>
        <w:jc w:val="left"/>
        <w:rPr>
          <w:rFonts w:ascii="宋体"/>
          <w:color w:val="auto"/>
          <w:kern w:val="0"/>
          <w:highlight w:val="none"/>
        </w:rPr>
      </w:pPr>
    </w:p>
    <w:p w14:paraId="22D94C83">
      <w:pPr>
        <w:widowControl/>
        <w:spacing w:line="360" w:lineRule="auto"/>
        <w:ind w:firstLine="480" w:firstLineChars="200"/>
        <w:jc w:val="left"/>
        <w:rPr>
          <w:rFonts w:ascii="宋体"/>
          <w:color w:val="auto"/>
          <w:kern w:val="0"/>
          <w:sz w:val="24"/>
          <w:szCs w:val="24"/>
          <w:highlight w:val="none"/>
        </w:rPr>
      </w:pPr>
    </w:p>
    <w:p w14:paraId="2D08A448">
      <w:pPr>
        <w:pStyle w:val="4"/>
        <w:spacing w:line="380" w:lineRule="exact"/>
        <w:rPr>
          <w:rFonts w:asciiTheme="minorEastAsia" w:hAnsiTheme="minorEastAsia" w:eastAsiaTheme="minorEastAsia"/>
          <w:bCs w:val="0"/>
          <w:color w:val="auto"/>
          <w:sz w:val="28"/>
          <w:szCs w:val="28"/>
          <w:highlight w:val="none"/>
        </w:rPr>
      </w:pPr>
      <w:r>
        <w:rPr>
          <w:rFonts w:ascii="宋体"/>
          <w:color w:val="auto"/>
          <w:sz w:val="24"/>
          <w:szCs w:val="24"/>
          <w:highlight w:val="none"/>
        </w:rPr>
        <w:br w:type="page"/>
      </w:r>
      <w:bookmarkStart w:id="130" w:name="_Toc141797691"/>
      <w:bookmarkStart w:id="131" w:name="_Toc141797135"/>
      <w:r>
        <w:rPr>
          <w:rFonts w:hint="eastAsia" w:asciiTheme="minorEastAsia" w:hAnsiTheme="minorEastAsia" w:eastAsiaTheme="minorEastAsia"/>
          <w:bCs w:val="0"/>
          <w:color w:val="auto"/>
          <w:sz w:val="28"/>
          <w:szCs w:val="28"/>
          <w:highlight w:val="none"/>
        </w:rPr>
        <w:t>（一）单位负责人授权书</w:t>
      </w:r>
      <w:bookmarkEnd w:id="130"/>
      <w:bookmarkEnd w:id="131"/>
    </w:p>
    <w:p w14:paraId="0061A5C0">
      <w:pPr>
        <w:pStyle w:val="18"/>
        <w:ind w:firstLine="0"/>
        <w:jc w:val="center"/>
        <w:rPr>
          <w:rFonts w:asciiTheme="minorEastAsia" w:hAnsiTheme="minorEastAsia" w:eastAsiaTheme="minorEastAsia"/>
          <w:color w:val="auto"/>
          <w:highlight w:val="none"/>
        </w:rPr>
      </w:pPr>
      <w:r>
        <w:rPr>
          <w:rFonts w:hint="eastAsia" w:cs="宋体" w:asciiTheme="minorEastAsia" w:hAnsiTheme="minorEastAsia" w:eastAsiaTheme="minorEastAsia"/>
          <w:bCs/>
          <w:color w:val="auto"/>
          <w:sz w:val="24"/>
          <w:highlight w:val="none"/>
        </w:rPr>
        <w:t>（单位负责人来投标的，此表不用）</w:t>
      </w:r>
    </w:p>
    <w:p w14:paraId="0746DA9C">
      <w:pPr>
        <w:pStyle w:val="18"/>
        <w:ind w:firstLine="0"/>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u w:val="single"/>
        </w:rPr>
        <w:t>致（</w:t>
      </w:r>
      <w:r>
        <w:rPr>
          <w:rFonts w:hint="eastAsia" w:asciiTheme="minorEastAsia" w:hAnsiTheme="minorEastAsia" w:eastAsiaTheme="minorEastAsia"/>
          <w:i/>
          <w:color w:val="auto"/>
          <w:sz w:val="21"/>
          <w:szCs w:val="21"/>
          <w:highlight w:val="none"/>
          <w:u w:val="single"/>
        </w:rPr>
        <w:t>采购代理机构</w:t>
      </w:r>
      <w:r>
        <w:rPr>
          <w:rFonts w:hint="eastAsia" w:asciiTheme="minorEastAsia" w:hAnsiTheme="minorEastAsia" w:eastAsiaTheme="minorEastAsia"/>
          <w:color w:val="auto"/>
          <w:sz w:val="21"/>
          <w:szCs w:val="21"/>
          <w:highlight w:val="none"/>
          <w:u w:val="single"/>
        </w:rPr>
        <w:t>）</w:t>
      </w:r>
      <w:r>
        <w:rPr>
          <w:rFonts w:hint="eastAsia" w:asciiTheme="minorEastAsia" w:hAnsiTheme="minorEastAsia" w:eastAsiaTheme="minorEastAsia"/>
          <w:color w:val="auto"/>
          <w:sz w:val="21"/>
          <w:szCs w:val="21"/>
          <w:highlight w:val="none"/>
        </w:rPr>
        <w:t>：</w:t>
      </w:r>
    </w:p>
    <w:p w14:paraId="4A2C1CE6">
      <w:pPr>
        <w:pStyle w:val="18"/>
        <w:ind w:firstLine="0"/>
        <w:rPr>
          <w:rFonts w:asciiTheme="minorEastAsia" w:hAnsiTheme="minorEastAsia" w:eastAsiaTheme="minorEastAsia"/>
          <w:color w:val="auto"/>
          <w:sz w:val="21"/>
          <w:szCs w:val="21"/>
          <w:highlight w:val="none"/>
        </w:rPr>
      </w:pPr>
    </w:p>
    <w:p w14:paraId="3B8952AF">
      <w:pPr>
        <w:snapToGrid w:val="0"/>
        <w:spacing w:line="360" w:lineRule="auto"/>
        <w:ind w:firstLine="420" w:firstLineChars="200"/>
        <w:rPr>
          <w:rFonts w:cs="仿宋_GB2312" w:asciiTheme="minorEastAsia" w:hAnsiTheme="minorEastAsia" w:eastAsiaTheme="minorEastAsia"/>
          <w:color w:val="auto"/>
          <w:kern w:val="0"/>
          <w:highlight w:val="none"/>
        </w:rPr>
      </w:pPr>
      <w:r>
        <w:rPr>
          <w:rFonts w:hint="eastAsia" w:cs="仿宋_GB2312" w:asciiTheme="minorEastAsia" w:hAnsiTheme="minorEastAsia" w:eastAsiaTheme="minorEastAsia"/>
          <w:color w:val="auto"/>
          <w:kern w:val="0"/>
          <w:highlight w:val="none"/>
        </w:rPr>
        <w:t>现</w:t>
      </w:r>
      <w:r>
        <w:rPr>
          <w:rFonts w:hint="eastAsia" w:cs="仿宋_GB2312" w:asciiTheme="minorEastAsia" w:hAnsiTheme="minorEastAsia" w:eastAsiaTheme="minorEastAsia"/>
          <w:color w:val="auto"/>
          <w:kern w:val="0"/>
          <w:highlight w:val="none"/>
          <w:lang w:val="zh-CN"/>
        </w:rPr>
        <w:t>委托（姓名）为我方代理人（身份证号码：，手机：），以我方名义处理</w:t>
      </w:r>
      <w:r>
        <w:rPr>
          <w:rFonts w:hint="eastAsia" w:asciiTheme="minorEastAsia" w:hAnsiTheme="minorEastAsia" w:eastAsiaTheme="minorEastAsia"/>
          <w:color w:val="auto"/>
          <w:highlight w:val="none"/>
        </w:rPr>
        <w:t>项目</w:t>
      </w:r>
      <w:r>
        <w:rPr>
          <w:rFonts w:hint="eastAsia" w:cs="仿宋_GB2312" w:asciiTheme="minorEastAsia" w:hAnsiTheme="minorEastAsia" w:eastAsiaTheme="minorEastAsia"/>
          <w:color w:val="auto"/>
          <w:highlight w:val="none"/>
        </w:rPr>
        <w:t>【招标编号：】</w:t>
      </w:r>
      <w:r>
        <w:rPr>
          <w:rFonts w:hint="eastAsia" w:cs="仿宋_GB2312" w:asciiTheme="minorEastAsia" w:hAnsiTheme="minorEastAsia" w:eastAsiaTheme="minorEastAsia"/>
          <w:color w:val="auto"/>
          <w:kern w:val="0"/>
          <w:highlight w:val="none"/>
          <w:lang w:val="zh-CN"/>
        </w:rPr>
        <w:t>政府采购投标的一切事项，其法律后果由我方承担。</w:t>
      </w:r>
    </w:p>
    <w:p w14:paraId="4C0BC2D5">
      <w:pPr>
        <w:snapToGrid w:val="0"/>
        <w:spacing w:line="360" w:lineRule="auto"/>
        <w:rPr>
          <w:rFonts w:cs="仿宋_GB2312" w:asciiTheme="minorEastAsia" w:hAnsiTheme="minorEastAsia" w:eastAsiaTheme="minorEastAsia"/>
          <w:color w:val="auto"/>
          <w:kern w:val="0"/>
          <w:highlight w:val="none"/>
        </w:rPr>
      </w:pPr>
      <w:r>
        <w:rPr>
          <w:rFonts w:hint="eastAsia" w:cs="仿宋_GB2312" w:asciiTheme="minorEastAsia" w:hAnsiTheme="minorEastAsia" w:eastAsiaTheme="minorEastAsia"/>
          <w:color w:val="auto"/>
          <w:kern w:val="0"/>
          <w:highlight w:val="none"/>
          <w:lang w:val="zh-CN"/>
        </w:rPr>
        <w:t>委托期限</w:t>
      </w:r>
      <w:r>
        <w:rPr>
          <w:rFonts w:hint="eastAsia" w:cs="仿宋_GB2312" w:asciiTheme="minorEastAsia" w:hAnsiTheme="minorEastAsia" w:eastAsiaTheme="minorEastAsia"/>
          <w:color w:val="auto"/>
          <w:kern w:val="0"/>
          <w:highlight w:val="none"/>
        </w:rPr>
        <w:t>：</w:t>
      </w:r>
      <w:r>
        <w:rPr>
          <w:rFonts w:hint="eastAsia" w:cs="仿宋_GB2312" w:asciiTheme="minorEastAsia" w:hAnsiTheme="minorEastAsia" w:eastAsiaTheme="minorEastAsia"/>
          <w:color w:val="auto"/>
          <w:kern w:val="0"/>
          <w:highlight w:val="none"/>
          <w:lang w:val="zh-CN"/>
        </w:rPr>
        <w:t>自年月日起至年月日止。</w:t>
      </w:r>
    </w:p>
    <w:p w14:paraId="663DAA3E">
      <w:pPr>
        <w:pStyle w:val="18"/>
        <w:ind w:firstLine="420"/>
        <w:rPr>
          <w:color w:val="auto"/>
          <w:highlight w:val="none"/>
        </w:rPr>
      </w:pPr>
      <w:r>
        <w:rPr>
          <w:rFonts w:hint="eastAsia" w:cs="仿宋_GB2312" w:asciiTheme="minorEastAsia" w:hAnsiTheme="minorEastAsia" w:eastAsiaTheme="minorEastAsia"/>
          <w:color w:val="auto"/>
          <w:sz w:val="21"/>
          <w:szCs w:val="21"/>
          <w:highlight w:val="none"/>
          <w:lang w:val="zh-CN"/>
        </w:rPr>
        <w:t>特此告知。</w:t>
      </w:r>
    </w:p>
    <w:p w14:paraId="4AA0ADF8">
      <w:pPr>
        <w:pStyle w:val="37"/>
        <w:ind w:left="0" w:firstLine="0" w:firstLineChars="0"/>
        <w:rPr>
          <w:color w:val="auto"/>
          <w:highlight w:val="none"/>
        </w:rPr>
      </w:pPr>
    </w:p>
    <w:p w14:paraId="5618B541">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color w:val="auto"/>
          <w:sz w:val="21"/>
          <w:szCs w:val="21"/>
          <w:highlight w:val="none"/>
        </w:rPr>
      </w:pPr>
      <w:r>
        <w:rPr>
          <w:rFonts w:hint="eastAsia" w:ascii="宋体" w:hAnsi="宋体" w:cs="宋体"/>
          <w:color w:val="auto"/>
          <w:sz w:val="21"/>
          <w:szCs w:val="21"/>
          <w:highlight w:val="none"/>
        </w:rPr>
        <w:t>附：</w:t>
      </w:r>
    </w:p>
    <w:p w14:paraId="74A64D13">
      <w:pPr>
        <w:pStyle w:val="17"/>
        <w:keepNext w:val="0"/>
        <w:keepLines w:val="0"/>
        <w:pageBreakBefore w:val="0"/>
        <w:widowControl w:val="0"/>
        <w:kinsoku/>
        <w:wordWrap/>
        <w:overflowPunct/>
        <w:topLinePunct w:val="0"/>
        <w:autoSpaceDE/>
        <w:autoSpaceDN/>
        <w:bidi w:val="0"/>
        <w:adjustRightInd/>
        <w:snapToGrid/>
        <w:spacing w:line="360" w:lineRule="auto"/>
        <w:textAlignment w:val="auto"/>
        <w:rPr>
          <w:color w:val="auto"/>
          <w:sz w:val="21"/>
          <w:szCs w:val="21"/>
          <w:highlight w:val="none"/>
          <w:u w:val="single"/>
        </w:rPr>
      </w:pPr>
      <w:r>
        <w:rPr>
          <w:rFonts w:hint="eastAsia"/>
          <w:color w:val="auto"/>
          <w:sz w:val="21"/>
          <w:szCs w:val="21"/>
          <w:highlight w:val="none"/>
        </w:rPr>
        <w:t>授权代表姓名：性别：。</w:t>
      </w:r>
    </w:p>
    <w:p w14:paraId="1C2E767D">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color w:val="auto"/>
          <w:highlight w:val="none"/>
          <w:u w:val="single"/>
        </w:rPr>
      </w:pPr>
      <w:r>
        <w:rPr>
          <w:rFonts w:hint="eastAsia" w:ascii="宋体" w:hAnsi="宋体" w:cs="宋体"/>
          <w:color w:val="auto"/>
          <w:sz w:val="21"/>
          <w:szCs w:val="21"/>
          <w:highlight w:val="none"/>
        </w:rPr>
        <w:t>部门：职务：联系电话：</w:t>
      </w:r>
    </w:p>
    <w:p w14:paraId="4C3C4345">
      <w:pPr>
        <w:pStyle w:val="18"/>
        <w:ind w:firstLine="0"/>
        <w:rPr>
          <w:rFonts w:asciiTheme="minorEastAsia" w:hAnsiTheme="minorEastAsia" w:eastAsiaTheme="minorEastAsia"/>
          <w:color w:val="auto"/>
          <w:sz w:val="21"/>
          <w:szCs w:val="21"/>
          <w:highlight w:val="none"/>
        </w:rPr>
      </w:pPr>
    </w:p>
    <w:p w14:paraId="3AE92301">
      <w:pPr>
        <w:pStyle w:val="18"/>
        <w:ind w:firstLine="0"/>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投标人</w:t>
      </w:r>
      <w:r>
        <w:rPr>
          <w:rFonts w:hint="eastAsia" w:asciiTheme="minorEastAsia" w:hAnsiTheme="minorEastAsia" w:eastAsiaTheme="minorEastAsia"/>
          <w:i/>
          <w:iCs/>
          <w:color w:val="auto"/>
          <w:sz w:val="21"/>
          <w:szCs w:val="21"/>
          <w:highlight w:val="none"/>
        </w:rPr>
        <w:t>（联合体成员）</w:t>
      </w:r>
      <w:r>
        <w:rPr>
          <w:rFonts w:hint="eastAsia" w:asciiTheme="minorEastAsia" w:hAnsiTheme="minorEastAsia" w:eastAsiaTheme="minorEastAsia"/>
          <w:color w:val="auto"/>
          <w:sz w:val="21"/>
          <w:szCs w:val="21"/>
          <w:highlight w:val="none"/>
        </w:rPr>
        <w:t>单位全称（公章）：</w:t>
      </w:r>
    </w:p>
    <w:p w14:paraId="69B746E9">
      <w:pPr>
        <w:pStyle w:val="18"/>
        <w:ind w:firstLine="4410" w:firstLineChars="2100"/>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单位负责人（签字或印章）：</w:t>
      </w:r>
    </w:p>
    <w:p w14:paraId="75446A00">
      <w:pPr>
        <w:pStyle w:val="18"/>
        <w:ind w:firstLine="0"/>
        <w:rPr>
          <w:rFonts w:asciiTheme="minorEastAsia" w:hAnsiTheme="minorEastAsia" w:eastAsiaTheme="minorEastAsia"/>
          <w:color w:val="auto"/>
          <w:sz w:val="21"/>
          <w:szCs w:val="21"/>
          <w:highlight w:val="none"/>
        </w:rPr>
      </w:pPr>
    </w:p>
    <w:p w14:paraId="318B4D25">
      <w:pPr>
        <w:pStyle w:val="18"/>
        <w:ind w:firstLine="0"/>
        <w:rPr>
          <w:rFonts w:asciiTheme="minorEastAsia" w:hAnsiTheme="minorEastAsia" w:eastAsiaTheme="minorEastAsia"/>
          <w:i/>
          <w:iCs/>
          <w:color w:val="auto"/>
          <w:sz w:val="21"/>
          <w:szCs w:val="21"/>
          <w:highlight w:val="none"/>
        </w:rPr>
      </w:pPr>
      <w:r>
        <w:rPr>
          <w:rFonts w:hint="eastAsia" w:asciiTheme="minorEastAsia" w:hAnsiTheme="minorEastAsia" w:eastAsiaTheme="minorEastAsia"/>
          <w:i/>
          <w:iCs/>
          <w:color w:val="auto"/>
          <w:sz w:val="21"/>
          <w:szCs w:val="21"/>
          <w:highlight w:val="none"/>
        </w:rPr>
        <w:t>投标人（联合体成员）单位全称（公章）：</w:t>
      </w:r>
    </w:p>
    <w:p w14:paraId="5995946A">
      <w:pPr>
        <w:pStyle w:val="18"/>
        <w:ind w:firstLine="4410" w:firstLineChars="2100"/>
        <w:rPr>
          <w:rFonts w:asciiTheme="minorEastAsia" w:hAnsiTheme="minorEastAsia" w:eastAsiaTheme="minorEastAsia"/>
          <w:i/>
          <w:iCs/>
          <w:color w:val="auto"/>
          <w:sz w:val="21"/>
          <w:szCs w:val="21"/>
          <w:highlight w:val="none"/>
        </w:rPr>
      </w:pPr>
      <w:r>
        <w:rPr>
          <w:rFonts w:hint="eastAsia" w:asciiTheme="minorEastAsia" w:hAnsiTheme="minorEastAsia" w:eastAsiaTheme="minorEastAsia"/>
          <w:i/>
          <w:iCs/>
          <w:color w:val="auto"/>
          <w:sz w:val="21"/>
          <w:szCs w:val="21"/>
          <w:highlight w:val="none"/>
        </w:rPr>
        <w:t>单位负责人（签字或印章）：</w:t>
      </w:r>
    </w:p>
    <w:p w14:paraId="37EE5E22">
      <w:pPr>
        <w:pStyle w:val="18"/>
        <w:ind w:firstLine="0"/>
        <w:rPr>
          <w:rFonts w:asciiTheme="minorEastAsia" w:hAnsiTheme="minorEastAsia" w:eastAsiaTheme="minorEastAsia"/>
          <w:color w:val="auto"/>
          <w:sz w:val="21"/>
          <w:szCs w:val="21"/>
          <w:highlight w:val="none"/>
        </w:rPr>
      </w:pPr>
    </w:p>
    <w:p w14:paraId="2A5B3ED8">
      <w:pPr>
        <w:pStyle w:val="18"/>
        <w:ind w:firstLine="0"/>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日期：</w:t>
      </w:r>
    </w:p>
    <w:p w14:paraId="6ED70CFA">
      <w:pPr>
        <w:ind w:firstLine="417" w:firstLineChars="198"/>
        <w:rPr>
          <w:rFonts w:asciiTheme="minorEastAsia" w:hAnsiTheme="minorEastAsia" w:eastAsiaTheme="minorEastAsia"/>
          <w:b/>
          <w:color w:val="auto"/>
          <w:highlight w:val="none"/>
        </w:rPr>
      </w:pPr>
    </w:p>
    <w:p w14:paraId="42201371">
      <w:pPr>
        <w:rPr>
          <w:rFonts w:asciiTheme="minorEastAsia" w:hAnsiTheme="minorEastAsia" w:eastAsiaTheme="minorEastAsia"/>
          <w:b/>
          <w:color w:val="auto"/>
          <w:highlight w:val="none"/>
        </w:rPr>
      </w:pPr>
    </w:p>
    <w:p w14:paraId="7B3B58C9">
      <w:pPr>
        <w:rPr>
          <w:rFonts w:asciiTheme="minorEastAsia" w:hAnsiTheme="minorEastAsia" w:eastAsiaTheme="minorEastAsia"/>
          <w:b/>
          <w:color w:val="auto"/>
          <w:highlight w:val="none"/>
        </w:rPr>
      </w:pPr>
      <w:r>
        <w:rPr>
          <w:rFonts w:hint="eastAsia" w:asciiTheme="minorEastAsia" w:hAnsiTheme="minorEastAsia" w:eastAsiaTheme="minorEastAsia"/>
          <w:b/>
          <w:color w:val="auto"/>
          <w:highlight w:val="none"/>
        </w:rPr>
        <w:t>附：被授权人身份证复印件</w:t>
      </w:r>
    </w:p>
    <w:p w14:paraId="0301C2C4">
      <w:pPr>
        <w:widowControl/>
        <w:jc w:val="left"/>
        <w:rPr>
          <w:rFonts w:asciiTheme="minorEastAsia" w:hAnsiTheme="minorEastAsia" w:eastAsiaTheme="minorEastAsia"/>
          <w:b/>
          <w:color w:val="auto"/>
          <w:highlight w:val="none"/>
        </w:rPr>
      </w:pPr>
    </w:p>
    <w:p w14:paraId="47C57085">
      <w:pPr>
        <w:widowControl/>
        <w:jc w:val="left"/>
        <w:rPr>
          <w:rFonts w:asciiTheme="minorEastAsia" w:hAnsiTheme="minorEastAsia" w:eastAsiaTheme="minorEastAsia"/>
          <w:b/>
          <w:color w:val="auto"/>
          <w:highlight w:val="none"/>
        </w:rPr>
      </w:pPr>
    </w:p>
    <w:p w14:paraId="047BAE2E">
      <w:pPr>
        <w:widowControl/>
        <w:jc w:val="left"/>
        <w:rPr>
          <w:rFonts w:asciiTheme="minorEastAsia" w:hAnsiTheme="minorEastAsia" w:eastAsiaTheme="minorEastAsia"/>
          <w:b/>
          <w:color w:val="auto"/>
          <w:highlight w:val="none"/>
        </w:rPr>
      </w:pPr>
      <w:r>
        <w:rPr>
          <w:rFonts w:hint="eastAsia" w:ascii="宋体" w:hAnsi="宋体" w:cs="宋体"/>
          <w:b/>
          <w:color w:val="auto"/>
          <w:highlight w:val="none"/>
        </w:rPr>
        <w:t>（若为联合体投标，联合体须同时盖章提供）</w:t>
      </w:r>
      <w:r>
        <w:rPr>
          <w:rFonts w:asciiTheme="minorEastAsia" w:hAnsiTheme="minorEastAsia" w:eastAsiaTheme="minorEastAsia"/>
          <w:b/>
          <w:color w:val="auto"/>
          <w:highlight w:val="none"/>
        </w:rPr>
        <w:br w:type="page"/>
      </w:r>
    </w:p>
    <w:p w14:paraId="08711ED8">
      <w:pPr>
        <w:pStyle w:val="4"/>
        <w:spacing w:line="380" w:lineRule="exact"/>
        <w:rPr>
          <w:rFonts w:asciiTheme="minorEastAsia" w:hAnsiTheme="minorEastAsia" w:eastAsiaTheme="minorEastAsia"/>
          <w:bCs w:val="0"/>
          <w:color w:val="auto"/>
          <w:sz w:val="24"/>
          <w:szCs w:val="24"/>
          <w:highlight w:val="none"/>
        </w:rPr>
      </w:pPr>
    </w:p>
    <w:p w14:paraId="2811E4C6">
      <w:pPr>
        <w:pStyle w:val="4"/>
        <w:spacing w:line="380" w:lineRule="exact"/>
        <w:rPr>
          <w:rFonts w:asciiTheme="minorEastAsia" w:hAnsiTheme="minorEastAsia" w:eastAsiaTheme="minorEastAsia"/>
          <w:bCs w:val="0"/>
          <w:color w:val="auto"/>
          <w:sz w:val="24"/>
          <w:szCs w:val="24"/>
          <w:highlight w:val="none"/>
        </w:rPr>
      </w:pPr>
      <w:bookmarkStart w:id="132" w:name="_Toc141797692"/>
      <w:bookmarkStart w:id="133" w:name="_Toc141797136"/>
      <w:r>
        <w:rPr>
          <w:rFonts w:hint="eastAsia" w:asciiTheme="minorEastAsia" w:hAnsiTheme="minorEastAsia" w:eastAsiaTheme="minorEastAsia"/>
          <w:bCs w:val="0"/>
          <w:color w:val="auto"/>
          <w:sz w:val="24"/>
          <w:szCs w:val="24"/>
          <w:highlight w:val="none"/>
        </w:rPr>
        <w:t>单位负责人身份证明</w:t>
      </w:r>
      <w:bookmarkEnd w:id="132"/>
      <w:bookmarkEnd w:id="133"/>
    </w:p>
    <w:p w14:paraId="2299686B">
      <w:pPr>
        <w:pStyle w:val="18"/>
        <w:ind w:firstLine="0"/>
        <w:jc w:val="center"/>
        <w:rPr>
          <w:rFonts w:cs="宋体" w:asciiTheme="minorEastAsia" w:hAnsiTheme="minorEastAsia" w:eastAsiaTheme="minorEastAsia"/>
          <w:bCs/>
          <w:color w:val="auto"/>
          <w:sz w:val="24"/>
          <w:highlight w:val="none"/>
        </w:rPr>
      </w:pPr>
      <w:r>
        <w:rPr>
          <w:rFonts w:hint="eastAsia" w:cs="宋体" w:asciiTheme="minorEastAsia" w:hAnsiTheme="minorEastAsia" w:eastAsiaTheme="minorEastAsia"/>
          <w:bCs/>
          <w:color w:val="auto"/>
          <w:sz w:val="24"/>
          <w:highlight w:val="none"/>
        </w:rPr>
        <w:t>（单位负责人不来投标的，此表不用）</w:t>
      </w:r>
    </w:p>
    <w:p w14:paraId="28DE4868">
      <w:pPr>
        <w:spacing w:line="480" w:lineRule="auto"/>
        <w:ind w:firstLine="420" w:firstLineChars="200"/>
        <w:rPr>
          <w:rFonts w:cs="宋体" w:asciiTheme="minorEastAsia" w:hAnsiTheme="minorEastAsia" w:eastAsiaTheme="minorEastAsia"/>
          <w:color w:val="auto"/>
          <w:highlight w:val="none"/>
        </w:rPr>
      </w:pPr>
    </w:p>
    <w:p w14:paraId="7817F7B4">
      <w:pPr>
        <w:spacing w:line="480" w:lineRule="auto"/>
        <w:ind w:firstLine="42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投标人名称：</w:t>
      </w:r>
    </w:p>
    <w:p w14:paraId="0FC7B601">
      <w:pPr>
        <w:spacing w:line="480" w:lineRule="auto"/>
        <w:ind w:firstLine="42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单位性质：</w:t>
      </w:r>
    </w:p>
    <w:p w14:paraId="75822CB7">
      <w:pPr>
        <w:spacing w:line="480" w:lineRule="auto"/>
        <w:ind w:firstLine="42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地址：</w:t>
      </w:r>
    </w:p>
    <w:p w14:paraId="5F75A143">
      <w:pPr>
        <w:spacing w:line="480" w:lineRule="auto"/>
        <w:ind w:firstLine="42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成立时间：年月日</w:t>
      </w:r>
    </w:p>
    <w:p w14:paraId="23E9669B">
      <w:pPr>
        <w:spacing w:line="480" w:lineRule="auto"/>
        <w:ind w:firstLine="42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经营期限：</w:t>
      </w:r>
    </w:p>
    <w:p w14:paraId="146EE5D1">
      <w:pPr>
        <w:spacing w:line="480" w:lineRule="auto"/>
        <w:ind w:firstLine="420" w:firstLineChars="200"/>
        <w:rPr>
          <w:rFonts w:hint="default" w:cs="宋体" w:asciiTheme="minorEastAsia" w:hAnsiTheme="minorEastAsia" w:eastAsiaTheme="minorEastAsia"/>
          <w:color w:val="auto"/>
          <w:highlight w:val="none"/>
          <w:lang w:val="en-US" w:eastAsia="zh-CN"/>
        </w:rPr>
      </w:pPr>
      <w:r>
        <w:rPr>
          <w:rFonts w:hint="eastAsia" w:cs="宋体" w:asciiTheme="minorEastAsia" w:hAnsiTheme="minorEastAsia" w:eastAsiaTheme="minorEastAsia"/>
          <w:color w:val="auto"/>
          <w:highlight w:val="none"/>
        </w:rPr>
        <w:t>姓名：性别：年龄：</w:t>
      </w:r>
      <w:r>
        <w:rPr>
          <w:rFonts w:hint="eastAsia" w:cs="宋体" w:asciiTheme="minorEastAsia" w:hAnsiTheme="minorEastAsia" w:eastAsiaTheme="minorEastAsia"/>
          <w:color w:val="auto"/>
          <w:highlight w:val="none"/>
          <w:u w:val="single"/>
        </w:rPr>
        <w:t>周岁</w:t>
      </w:r>
      <w:r>
        <w:rPr>
          <w:rFonts w:hint="eastAsia" w:cs="宋体" w:asciiTheme="minorEastAsia" w:hAnsiTheme="minorEastAsia" w:eastAsiaTheme="minorEastAsia"/>
          <w:color w:val="auto"/>
          <w:highlight w:val="none"/>
        </w:rPr>
        <w:t>职务：</w:t>
      </w:r>
    </w:p>
    <w:p w14:paraId="76A05A4F">
      <w:pPr>
        <w:spacing w:line="480" w:lineRule="auto"/>
        <w:ind w:firstLine="420" w:firstLineChars="200"/>
        <w:rPr>
          <w:rFonts w:cs="宋体" w:asciiTheme="minorEastAsia" w:hAnsiTheme="minorEastAsia" w:eastAsiaTheme="minorEastAsia"/>
          <w:color w:val="auto"/>
          <w:highlight w:val="none"/>
          <w:u w:val="single"/>
        </w:rPr>
      </w:pPr>
      <w:r>
        <w:rPr>
          <w:rFonts w:hint="eastAsia" w:cs="宋体" w:asciiTheme="minorEastAsia" w:hAnsiTheme="minorEastAsia" w:eastAsiaTheme="minorEastAsia"/>
          <w:color w:val="auto"/>
          <w:highlight w:val="none"/>
        </w:rPr>
        <w:t>身份证号码：</w:t>
      </w:r>
    </w:p>
    <w:p w14:paraId="41B19384">
      <w:pPr>
        <w:spacing w:line="480" w:lineRule="auto"/>
        <w:ind w:firstLine="42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系</w:t>
      </w:r>
      <w:r>
        <w:rPr>
          <w:rFonts w:hint="eastAsia" w:cs="宋体" w:asciiTheme="minorEastAsia" w:hAnsiTheme="minorEastAsia" w:eastAsiaTheme="minorEastAsia"/>
          <w:color w:val="auto"/>
          <w:highlight w:val="none"/>
          <w:u w:val="single"/>
        </w:rPr>
        <w:t>（投标人名称）</w:t>
      </w:r>
      <w:r>
        <w:rPr>
          <w:rFonts w:hint="eastAsia" w:cs="宋体" w:asciiTheme="minorEastAsia" w:hAnsiTheme="minorEastAsia" w:eastAsiaTheme="minorEastAsia"/>
          <w:color w:val="auto"/>
          <w:highlight w:val="none"/>
        </w:rPr>
        <w:t>的法定代表人（或单位负责人）。</w:t>
      </w:r>
    </w:p>
    <w:p w14:paraId="41CB6E02">
      <w:pPr>
        <w:spacing w:line="480" w:lineRule="auto"/>
        <w:ind w:firstLine="840" w:firstLineChars="4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特此证明。</w:t>
      </w:r>
    </w:p>
    <w:p w14:paraId="53FAF9B5">
      <w:pPr>
        <w:spacing w:line="360" w:lineRule="auto"/>
        <w:ind w:firstLine="420" w:firstLineChars="200"/>
        <w:rPr>
          <w:rFonts w:cs="宋体" w:asciiTheme="minorEastAsia" w:hAnsiTheme="minorEastAsia" w:eastAsiaTheme="minorEastAsia"/>
          <w:color w:val="auto"/>
          <w:highlight w:val="none"/>
        </w:rPr>
      </w:pPr>
    </w:p>
    <w:p w14:paraId="68A7E0A7">
      <w:pPr>
        <w:spacing w:line="360" w:lineRule="auto"/>
        <w:ind w:firstLine="420" w:firstLineChars="200"/>
        <w:rPr>
          <w:rFonts w:cs="宋体" w:asciiTheme="minorEastAsia" w:hAnsiTheme="minorEastAsia" w:eastAsiaTheme="minorEastAsia"/>
          <w:color w:val="auto"/>
          <w:highlight w:val="none"/>
        </w:rPr>
      </w:pPr>
    </w:p>
    <w:p w14:paraId="2AED3901">
      <w:pPr>
        <w:wordWrap w:val="0"/>
        <w:spacing w:line="360" w:lineRule="auto"/>
        <w:jc w:val="right"/>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投标人：（盖单位公章）</w:t>
      </w:r>
    </w:p>
    <w:p w14:paraId="2094381B">
      <w:pPr>
        <w:spacing w:line="360" w:lineRule="auto"/>
        <w:ind w:firstLine="4515" w:firstLineChars="2150"/>
        <w:rPr>
          <w:rFonts w:cs="宋体" w:asciiTheme="minorEastAsia" w:hAnsiTheme="minorEastAsia" w:eastAsiaTheme="minorEastAsia"/>
          <w:color w:val="auto"/>
          <w:highlight w:val="none"/>
          <w:u w:val="single"/>
        </w:rPr>
      </w:pPr>
    </w:p>
    <w:p w14:paraId="426BDA75">
      <w:pPr>
        <w:spacing w:line="360" w:lineRule="auto"/>
        <w:ind w:firstLine="6825" w:firstLineChars="325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年月日</w:t>
      </w:r>
    </w:p>
    <w:p w14:paraId="7359A76F">
      <w:pPr>
        <w:spacing w:line="360" w:lineRule="auto"/>
        <w:rPr>
          <w:rFonts w:cs="宋体" w:asciiTheme="minorEastAsia" w:hAnsiTheme="minorEastAsia" w:eastAsiaTheme="minorEastAsia"/>
          <w:color w:val="auto"/>
          <w:sz w:val="24"/>
          <w:highlight w:val="none"/>
        </w:rPr>
      </w:pPr>
    </w:p>
    <w:p w14:paraId="02883F50">
      <w:pPr>
        <w:spacing w:line="360" w:lineRule="auto"/>
        <w:rPr>
          <w:rFonts w:cs="宋体" w:asciiTheme="minorEastAsia" w:hAnsiTheme="minorEastAsia" w:eastAsiaTheme="minorEastAsia"/>
          <w:b/>
          <w:color w:val="auto"/>
          <w:highlight w:val="none"/>
        </w:rPr>
      </w:pPr>
    </w:p>
    <w:p w14:paraId="4020838F">
      <w:pPr>
        <w:spacing w:line="360" w:lineRule="auto"/>
        <w:rPr>
          <w:rFonts w:cs="宋体" w:asciiTheme="minorEastAsia" w:hAnsiTheme="minorEastAsia" w:eastAsiaTheme="minorEastAsia"/>
          <w:b/>
          <w:color w:val="auto"/>
          <w:highlight w:val="none"/>
        </w:rPr>
      </w:pPr>
    </w:p>
    <w:p w14:paraId="1B5DCD37">
      <w:pPr>
        <w:spacing w:line="360" w:lineRule="auto"/>
        <w:rPr>
          <w:rFonts w:cs="宋体" w:asciiTheme="minorEastAsia" w:hAnsiTheme="minorEastAsia" w:eastAsiaTheme="minorEastAsia"/>
          <w:b/>
          <w:color w:val="auto"/>
          <w:highlight w:val="none"/>
        </w:rPr>
      </w:pPr>
      <w:r>
        <w:rPr>
          <w:rFonts w:hint="eastAsia" w:cs="宋体" w:asciiTheme="minorEastAsia" w:hAnsiTheme="minorEastAsia" w:eastAsiaTheme="minorEastAsia"/>
          <w:b/>
          <w:color w:val="auto"/>
          <w:highlight w:val="none"/>
        </w:rPr>
        <w:t>附法定代表人身份证复印件（正反面）：</w:t>
      </w:r>
    </w:p>
    <w:p w14:paraId="673AFB9C">
      <w:pPr>
        <w:rPr>
          <w:rFonts w:cs="宋体" w:asciiTheme="minorEastAsia" w:hAnsiTheme="minorEastAsia" w:eastAsiaTheme="minorEastAsia"/>
          <w:color w:val="auto"/>
          <w:highlight w:val="none"/>
        </w:rPr>
      </w:pPr>
    </w:p>
    <w:p w14:paraId="636B6487">
      <w:pPr>
        <w:rPr>
          <w:rFonts w:cs="宋体" w:asciiTheme="minorEastAsia" w:hAnsiTheme="minorEastAsia" w:eastAsiaTheme="minorEastAsia"/>
          <w:b/>
          <w:color w:val="auto"/>
          <w:sz w:val="32"/>
          <w:szCs w:val="32"/>
          <w:highlight w:val="none"/>
        </w:rPr>
      </w:pPr>
    </w:p>
    <w:p w14:paraId="0DC468E9">
      <w:pPr>
        <w:rPr>
          <w:rFonts w:cs="宋体" w:asciiTheme="minorEastAsia" w:hAnsiTheme="minorEastAsia" w:eastAsiaTheme="minorEastAsia"/>
          <w:b/>
          <w:color w:val="auto"/>
          <w:sz w:val="32"/>
          <w:szCs w:val="32"/>
          <w:highlight w:val="none"/>
        </w:rPr>
      </w:pPr>
    </w:p>
    <w:p w14:paraId="3676A7A3">
      <w:pPr>
        <w:ind w:firstLine="205" w:firstLineChars="98"/>
        <w:rPr>
          <w:rFonts w:asciiTheme="minorEastAsia" w:hAnsiTheme="minorEastAsia" w:eastAsiaTheme="minorEastAsia"/>
          <w:color w:val="auto"/>
          <w:highlight w:val="none"/>
        </w:rPr>
      </w:pPr>
    </w:p>
    <w:p w14:paraId="52A98A1A">
      <w:pPr>
        <w:rPr>
          <w:rFonts w:asciiTheme="minorEastAsia" w:hAnsiTheme="minorEastAsia" w:eastAsiaTheme="minorEastAsia"/>
          <w:color w:val="auto"/>
          <w:highlight w:val="none"/>
        </w:rPr>
        <w:sectPr>
          <w:headerReference r:id="rId10" w:type="default"/>
          <w:pgSz w:w="11907" w:h="16840"/>
          <w:pgMar w:top="1304" w:right="1588" w:bottom="1418" w:left="1588" w:header="720" w:footer="720" w:gutter="0"/>
          <w:pgBorders>
            <w:top w:val="none" w:sz="0" w:space="0"/>
            <w:left w:val="none" w:sz="0" w:space="0"/>
            <w:bottom w:val="none" w:sz="0" w:space="0"/>
            <w:right w:val="none" w:sz="0" w:space="0"/>
          </w:pgBorders>
          <w:pgNumType w:fmt="decimal"/>
          <w:cols w:space="720" w:num="1"/>
          <w:docGrid w:linePitch="285" w:charSpace="0"/>
        </w:sectPr>
      </w:pPr>
    </w:p>
    <w:p w14:paraId="43D6607F">
      <w:pPr>
        <w:rPr>
          <w:rFonts w:asciiTheme="minorEastAsia" w:hAnsiTheme="minorEastAsia" w:eastAsiaTheme="minorEastAsia"/>
          <w:color w:val="auto"/>
          <w:highlight w:val="none"/>
        </w:rPr>
      </w:pPr>
    </w:p>
    <w:p w14:paraId="2C15FA5C">
      <w:pPr>
        <w:pStyle w:val="4"/>
        <w:spacing w:line="380" w:lineRule="exact"/>
        <w:rPr>
          <w:rFonts w:asciiTheme="minorEastAsia" w:hAnsiTheme="minorEastAsia" w:eastAsiaTheme="minorEastAsia"/>
          <w:bCs w:val="0"/>
          <w:color w:val="auto"/>
          <w:sz w:val="28"/>
          <w:szCs w:val="28"/>
          <w:highlight w:val="none"/>
        </w:rPr>
      </w:pPr>
      <w:bookmarkStart w:id="134" w:name="_Toc141797137"/>
      <w:bookmarkStart w:id="135" w:name="_Toc141797693"/>
      <w:r>
        <w:rPr>
          <w:rFonts w:hint="eastAsia" w:asciiTheme="minorEastAsia" w:hAnsiTheme="minorEastAsia" w:eastAsiaTheme="minorEastAsia"/>
          <w:bCs w:val="0"/>
          <w:color w:val="auto"/>
          <w:sz w:val="28"/>
          <w:szCs w:val="28"/>
          <w:highlight w:val="none"/>
        </w:rPr>
        <w:t>（二）投标人基本情况表</w:t>
      </w:r>
      <w:bookmarkEnd w:id="134"/>
      <w:bookmarkEnd w:id="135"/>
    </w:p>
    <w:tbl>
      <w:tblPr>
        <w:tblStyle w:val="38"/>
        <w:tblW w:w="9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1"/>
        <w:gridCol w:w="851"/>
        <w:gridCol w:w="1276"/>
        <w:gridCol w:w="1220"/>
        <w:gridCol w:w="892"/>
        <w:gridCol w:w="376"/>
        <w:gridCol w:w="794"/>
        <w:gridCol w:w="545"/>
        <w:gridCol w:w="1195"/>
      </w:tblGrid>
      <w:tr w14:paraId="2DF66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2061" w:type="dxa"/>
            <w:vAlign w:val="center"/>
          </w:tcPr>
          <w:p w14:paraId="70A16C3C">
            <w:pPr>
              <w:pStyle w:val="132"/>
              <w:jc w:val="center"/>
              <w:rPr>
                <w:rFonts w:asciiTheme="minorEastAsia" w:hAnsiTheme="minorEastAsia" w:eastAsiaTheme="minorEastAsia"/>
                <w:color w:val="auto"/>
                <w:sz w:val="24"/>
                <w:szCs w:val="24"/>
                <w:highlight w:val="none"/>
                <w:lang w:val="en-US"/>
              </w:rPr>
            </w:pPr>
            <w:r>
              <w:rPr>
                <w:rFonts w:hint="eastAsia" w:asciiTheme="minorEastAsia" w:hAnsiTheme="minorEastAsia" w:eastAsiaTheme="minorEastAsia"/>
                <w:color w:val="auto"/>
                <w:sz w:val="24"/>
                <w:szCs w:val="24"/>
                <w:highlight w:val="none"/>
                <w:lang w:val="en-US"/>
              </w:rPr>
              <w:t>投标人名称</w:t>
            </w:r>
          </w:p>
        </w:tc>
        <w:tc>
          <w:tcPr>
            <w:tcW w:w="7149" w:type="dxa"/>
            <w:gridSpan w:val="8"/>
            <w:vAlign w:val="center"/>
          </w:tcPr>
          <w:p w14:paraId="01A988ED">
            <w:pPr>
              <w:pStyle w:val="132"/>
              <w:jc w:val="center"/>
              <w:rPr>
                <w:rFonts w:asciiTheme="minorEastAsia" w:hAnsiTheme="minorEastAsia" w:eastAsiaTheme="minorEastAsia"/>
                <w:color w:val="auto"/>
                <w:sz w:val="24"/>
                <w:szCs w:val="24"/>
                <w:highlight w:val="none"/>
                <w:lang w:val="en-US"/>
              </w:rPr>
            </w:pPr>
          </w:p>
        </w:tc>
      </w:tr>
      <w:tr w14:paraId="11830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2061" w:type="dxa"/>
            <w:vAlign w:val="center"/>
          </w:tcPr>
          <w:p w14:paraId="5AAD090A">
            <w:pPr>
              <w:pStyle w:val="132"/>
              <w:jc w:val="center"/>
              <w:rPr>
                <w:rFonts w:asciiTheme="minorEastAsia" w:hAnsiTheme="minorEastAsia" w:eastAsiaTheme="minorEastAsia"/>
                <w:color w:val="auto"/>
                <w:sz w:val="24"/>
                <w:szCs w:val="24"/>
                <w:highlight w:val="none"/>
                <w:lang w:val="en-US"/>
              </w:rPr>
            </w:pPr>
            <w:r>
              <w:rPr>
                <w:rFonts w:hint="eastAsia" w:asciiTheme="minorEastAsia" w:hAnsiTheme="minorEastAsia" w:eastAsiaTheme="minorEastAsia"/>
                <w:color w:val="auto"/>
                <w:sz w:val="24"/>
                <w:szCs w:val="24"/>
                <w:highlight w:val="none"/>
                <w:lang w:val="en-US"/>
              </w:rPr>
              <w:t>注册地址</w:t>
            </w:r>
          </w:p>
        </w:tc>
        <w:tc>
          <w:tcPr>
            <w:tcW w:w="3347" w:type="dxa"/>
            <w:gridSpan w:val="3"/>
            <w:vAlign w:val="center"/>
          </w:tcPr>
          <w:p w14:paraId="2DD76F1A">
            <w:pPr>
              <w:pStyle w:val="132"/>
              <w:jc w:val="center"/>
              <w:rPr>
                <w:rFonts w:asciiTheme="minorEastAsia" w:hAnsiTheme="minorEastAsia" w:eastAsiaTheme="minorEastAsia"/>
                <w:color w:val="auto"/>
                <w:sz w:val="24"/>
                <w:szCs w:val="24"/>
                <w:highlight w:val="none"/>
                <w:lang w:val="en-US"/>
              </w:rPr>
            </w:pPr>
          </w:p>
        </w:tc>
        <w:tc>
          <w:tcPr>
            <w:tcW w:w="1268" w:type="dxa"/>
            <w:gridSpan w:val="2"/>
            <w:vAlign w:val="center"/>
          </w:tcPr>
          <w:p w14:paraId="0428E85F">
            <w:pPr>
              <w:pStyle w:val="132"/>
              <w:jc w:val="center"/>
              <w:rPr>
                <w:rFonts w:asciiTheme="minorEastAsia" w:hAnsiTheme="minorEastAsia" w:eastAsiaTheme="minorEastAsia"/>
                <w:color w:val="auto"/>
                <w:sz w:val="24"/>
                <w:szCs w:val="24"/>
                <w:highlight w:val="none"/>
                <w:lang w:val="en-US"/>
              </w:rPr>
            </w:pPr>
            <w:r>
              <w:rPr>
                <w:rFonts w:hint="eastAsia" w:asciiTheme="minorEastAsia" w:hAnsiTheme="minorEastAsia" w:eastAsiaTheme="minorEastAsia"/>
                <w:color w:val="auto"/>
                <w:sz w:val="24"/>
                <w:szCs w:val="24"/>
                <w:highlight w:val="none"/>
                <w:lang w:val="en-US"/>
              </w:rPr>
              <w:t>邮政编码</w:t>
            </w:r>
          </w:p>
        </w:tc>
        <w:tc>
          <w:tcPr>
            <w:tcW w:w="2534" w:type="dxa"/>
            <w:gridSpan w:val="3"/>
            <w:vAlign w:val="center"/>
          </w:tcPr>
          <w:p w14:paraId="2B7110E3">
            <w:pPr>
              <w:pStyle w:val="132"/>
              <w:jc w:val="center"/>
              <w:rPr>
                <w:rFonts w:asciiTheme="minorEastAsia" w:hAnsiTheme="minorEastAsia" w:eastAsiaTheme="minorEastAsia"/>
                <w:color w:val="auto"/>
                <w:sz w:val="24"/>
                <w:szCs w:val="24"/>
                <w:highlight w:val="none"/>
                <w:lang w:val="en-US"/>
              </w:rPr>
            </w:pPr>
          </w:p>
        </w:tc>
      </w:tr>
      <w:tr w14:paraId="3BAC9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2" w:hRule="atLeast"/>
          <w:jc w:val="center"/>
        </w:trPr>
        <w:tc>
          <w:tcPr>
            <w:tcW w:w="2061" w:type="dxa"/>
            <w:vMerge w:val="restart"/>
            <w:vAlign w:val="center"/>
          </w:tcPr>
          <w:p w14:paraId="555CBCF8">
            <w:pPr>
              <w:pStyle w:val="132"/>
              <w:jc w:val="center"/>
              <w:rPr>
                <w:rFonts w:asciiTheme="minorEastAsia" w:hAnsiTheme="minorEastAsia" w:eastAsiaTheme="minorEastAsia"/>
                <w:color w:val="auto"/>
                <w:sz w:val="24"/>
                <w:szCs w:val="24"/>
                <w:highlight w:val="none"/>
                <w:lang w:val="en-US"/>
              </w:rPr>
            </w:pPr>
            <w:r>
              <w:rPr>
                <w:rFonts w:hint="eastAsia" w:asciiTheme="minorEastAsia" w:hAnsiTheme="minorEastAsia" w:eastAsiaTheme="minorEastAsia"/>
                <w:color w:val="auto"/>
                <w:sz w:val="24"/>
                <w:szCs w:val="24"/>
                <w:highlight w:val="none"/>
                <w:lang w:val="en-US"/>
              </w:rPr>
              <w:t>联系方式</w:t>
            </w:r>
          </w:p>
        </w:tc>
        <w:tc>
          <w:tcPr>
            <w:tcW w:w="851" w:type="dxa"/>
            <w:vAlign w:val="center"/>
          </w:tcPr>
          <w:p w14:paraId="5F6984BE">
            <w:pPr>
              <w:pStyle w:val="132"/>
              <w:jc w:val="center"/>
              <w:rPr>
                <w:rFonts w:asciiTheme="minorEastAsia" w:hAnsiTheme="minorEastAsia" w:eastAsiaTheme="minorEastAsia"/>
                <w:color w:val="auto"/>
                <w:sz w:val="24"/>
                <w:szCs w:val="24"/>
                <w:highlight w:val="none"/>
                <w:lang w:val="en-US"/>
              </w:rPr>
            </w:pPr>
            <w:r>
              <w:rPr>
                <w:rFonts w:hint="eastAsia" w:asciiTheme="minorEastAsia" w:hAnsiTheme="minorEastAsia" w:eastAsiaTheme="minorEastAsia"/>
                <w:color w:val="auto"/>
                <w:sz w:val="24"/>
                <w:szCs w:val="24"/>
                <w:highlight w:val="none"/>
                <w:lang w:val="en-US"/>
              </w:rPr>
              <w:t>联系人</w:t>
            </w:r>
          </w:p>
        </w:tc>
        <w:tc>
          <w:tcPr>
            <w:tcW w:w="2496" w:type="dxa"/>
            <w:gridSpan w:val="2"/>
            <w:vAlign w:val="center"/>
          </w:tcPr>
          <w:p w14:paraId="7EAE3C27">
            <w:pPr>
              <w:pStyle w:val="132"/>
              <w:jc w:val="center"/>
              <w:rPr>
                <w:rFonts w:asciiTheme="minorEastAsia" w:hAnsiTheme="minorEastAsia" w:eastAsiaTheme="minorEastAsia"/>
                <w:color w:val="auto"/>
                <w:sz w:val="24"/>
                <w:szCs w:val="24"/>
                <w:highlight w:val="none"/>
                <w:lang w:val="en-US"/>
              </w:rPr>
            </w:pPr>
          </w:p>
        </w:tc>
        <w:tc>
          <w:tcPr>
            <w:tcW w:w="1268" w:type="dxa"/>
            <w:gridSpan w:val="2"/>
            <w:vAlign w:val="center"/>
          </w:tcPr>
          <w:p w14:paraId="7798ADB2">
            <w:pPr>
              <w:pStyle w:val="132"/>
              <w:jc w:val="center"/>
              <w:rPr>
                <w:rFonts w:asciiTheme="minorEastAsia" w:hAnsiTheme="minorEastAsia" w:eastAsiaTheme="minorEastAsia"/>
                <w:color w:val="auto"/>
                <w:sz w:val="24"/>
                <w:szCs w:val="24"/>
                <w:highlight w:val="none"/>
                <w:lang w:val="en-US"/>
              </w:rPr>
            </w:pPr>
            <w:r>
              <w:rPr>
                <w:rFonts w:hint="eastAsia" w:asciiTheme="minorEastAsia" w:hAnsiTheme="minorEastAsia" w:eastAsiaTheme="minorEastAsia"/>
                <w:color w:val="auto"/>
                <w:sz w:val="24"/>
                <w:szCs w:val="24"/>
                <w:highlight w:val="none"/>
                <w:lang w:val="en-US"/>
              </w:rPr>
              <w:t>电话</w:t>
            </w:r>
          </w:p>
        </w:tc>
        <w:tc>
          <w:tcPr>
            <w:tcW w:w="2534" w:type="dxa"/>
            <w:gridSpan w:val="3"/>
            <w:vAlign w:val="center"/>
          </w:tcPr>
          <w:p w14:paraId="1BBCBC7B">
            <w:pPr>
              <w:pStyle w:val="132"/>
              <w:jc w:val="center"/>
              <w:rPr>
                <w:rFonts w:asciiTheme="minorEastAsia" w:hAnsiTheme="minorEastAsia" w:eastAsiaTheme="minorEastAsia"/>
                <w:color w:val="auto"/>
                <w:sz w:val="24"/>
                <w:szCs w:val="24"/>
                <w:highlight w:val="none"/>
                <w:lang w:val="en-US"/>
              </w:rPr>
            </w:pPr>
          </w:p>
        </w:tc>
      </w:tr>
      <w:tr w14:paraId="5E42C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8" w:hRule="atLeast"/>
          <w:jc w:val="center"/>
        </w:trPr>
        <w:tc>
          <w:tcPr>
            <w:tcW w:w="2061" w:type="dxa"/>
            <w:vMerge w:val="continue"/>
            <w:vAlign w:val="center"/>
          </w:tcPr>
          <w:p w14:paraId="039EC2A0">
            <w:pPr>
              <w:pStyle w:val="132"/>
              <w:jc w:val="center"/>
              <w:rPr>
                <w:rFonts w:asciiTheme="minorEastAsia" w:hAnsiTheme="minorEastAsia" w:eastAsiaTheme="minorEastAsia"/>
                <w:color w:val="auto"/>
                <w:sz w:val="24"/>
                <w:szCs w:val="24"/>
                <w:highlight w:val="none"/>
                <w:lang w:val="en-US"/>
              </w:rPr>
            </w:pPr>
          </w:p>
        </w:tc>
        <w:tc>
          <w:tcPr>
            <w:tcW w:w="851" w:type="dxa"/>
            <w:vAlign w:val="center"/>
          </w:tcPr>
          <w:p w14:paraId="5753F776">
            <w:pPr>
              <w:pStyle w:val="132"/>
              <w:jc w:val="center"/>
              <w:rPr>
                <w:rFonts w:asciiTheme="minorEastAsia" w:hAnsiTheme="minorEastAsia" w:eastAsiaTheme="minorEastAsia"/>
                <w:color w:val="auto"/>
                <w:sz w:val="24"/>
                <w:szCs w:val="24"/>
                <w:highlight w:val="none"/>
                <w:lang w:val="en-US"/>
              </w:rPr>
            </w:pPr>
            <w:r>
              <w:rPr>
                <w:rFonts w:hint="eastAsia" w:asciiTheme="minorEastAsia" w:hAnsiTheme="minorEastAsia" w:eastAsiaTheme="minorEastAsia"/>
                <w:color w:val="auto"/>
                <w:sz w:val="24"/>
                <w:szCs w:val="24"/>
                <w:highlight w:val="none"/>
                <w:lang w:val="en-US"/>
              </w:rPr>
              <w:t>传真</w:t>
            </w:r>
          </w:p>
        </w:tc>
        <w:tc>
          <w:tcPr>
            <w:tcW w:w="2496" w:type="dxa"/>
            <w:gridSpan w:val="2"/>
            <w:vAlign w:val="center"/>
          </w:tcPr>
          <w:p w14:paraId="52B8855D">
            <w:pPr>
              <w:pStyle w:val="132"/>
              <w:jc w:val="center"/>
              <w:rPr>
                <w:rFonts w:asciiTheme="minorEastAsia" w:hAnsiTheme="minorEastAsia" w:eastAsiaTheme="minorEastAsia"/>
                <w:color w:val="auto"/>
                <w:sz w:val="24"/>
                <w:szCs w:val="24"/>
                <w:highlight w:val="none"/>
                <w:lang w:val="en-US"/>
              </w:rPr>
            </w:pPr>
          </w:p>
        </w:tc>
        <w:tc>
          <w:tcPr>
            <w:tcW w:w="1268" w:type="dxa"/>
            <w:gridSpan w:val="2"/>
            <w:vAlign w:val="center"/>
          </w:tcPr>
          <w:p w14:paraId="7D2E03FF">
            <w:pPr>
              <w:pStyle w:val="132"/>
              <w:jc w:val="center"/>
              <w:rPr>
                <w:rFonts w:asciiTheme="minorEastAsia" w:hAnsiTheme="minorEastAsia" w:eastAsiaTheme="minorEastAsia"/>
                <w:color w:val="auto"/>
                <w:sz w:val="24"/>
                <w:szCs w:val="24"/>
                <w:highlight w:val="none"/>
                <w:lang w:val="en-US"/>
              </w:rPr>
            </w:pPr>
            <w:r>
              <w:rPr>
                <w:rFonts w:hint="eastAsia" w:asciiTheme="minorEastAsia" w:hAnsiTheme="minorEastAsia" w:eastAsiaTheme="minorEastAsia"/>
                <w:color w:val="auto"/>
                <w:sz w:val="24"/>
                <w:szCs w:val="24"/>
                <w:highlight w:val="none"/>
                <w:lang w:val="en-US"/>
              </w:rPr>
              <w:t>电子邮址</w:t>
            </w:r>
          </w:p>
        </w:tc>
        <w:tc>
          <w:tcPr>
            <w:tcW w:w="2534" w:type="dxa"/>
            <w:gridSpan w:val="3"/>
            <w:vAlign w:val="center"/>
          </w:tcPr>
          <w:p w14:paraId="5DA1B773">
            <w:pPr>
              <w:pStyle w:val="132"/>
              <w:jc w:val="center"/>
              <w:rPr>
                <w:rFonts w:asciiTheme="minorEastAsia" w:hAnsiTheme="minorEastAsia" w:eastAsiaTheme="minorEastAsia"/>
                <w:color w:val="auto"/>
                <w:sz w:val="24"/>
                <w:szCs w:val="24"/>
                <w:highlight w:val="none"/>
                <w:lang w:val="en-US"/>
              </w:rPr>
            </w:pPr>
          </w:p>
        </w:tc>
      </w:tr>
      <w:tr w14:paraId="5DB5F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2061" w:type="dxa"/>
            <w:vAlign w:val="center"/>
          </w:tcPr>
          <w:p w14:paraId="68D92C61">
            <w:pPr>
              <w:pStyle w:val="132"/>
              <w:jc w:val="center"/>
              <w:rPr>
                <w:rFonts w:asciiTheme="minorEastAsia" w:hAnsiTheme="minorEastAsia" w:eastAsiaTheme="minorEastAsia"/>
                <w:color w:val="auto"/>
                <w:sz w:val="24"/>
                <w:szCs w:val="24"/>
                <w:highlight w:val="none"/>
                <w:lang w:val="en-US"/>
              </w:rPr>
            </w:pPr>
            <w:r>
              <w:rPr>
                <w:rFonts w:hint="eastAsia" w:asciiTheme="minorEastAsia" w:hAnsiTheme="minorEastAsia" w:eastAsiaTheme="minorEastAsia"/>
                <w:color w:val="auto"/>
                <w:sz w:val="24"/>
                <w:szCs w:val="24"/>
                <w:highlight w:val="none"/>
                <w:lang w:val="en-US"/>
              </w:rPr>
              <w:t>法定代表人</w:t>
            </w:r>
          </w:p>
        </w:tc>
        <w:tc>
          <w:tcPr>
            <w:tcW w:w="851" w:type="dxa"/>
            <w:vAlign w:val="center"/>
          </w:tcPr>
          <w:p w14:paraId="56AE68A8">
            <w:pPr>
              <w:pStyle w:val="132"/>
              <w:jc w:val="center"/>
              <w:rPr>
                <w:rFonts w:asciiTheme="minorEastAsia" w:hAnsiTheme="minorEastAsia" w:eastAsiaTheme="minorEastAsia"/>
                <w:color w:val="auto"/>
                <w:sz w:val="24"/>
                <w:szCs w:val="24"/>
                <w:highlight w:val="none"/>
                <w:lang w:val="en-US"/>
              </w:rPr>
            </w:pPr>
            <w:r>
              <w:rPr>
                <w:rFonts w:hint="eastAsia" w:asciiTheme="minorEastAsia" w:hAnsiTheme="minorEastAsia" w:eastAsiaTheme="minorEastAsia"/>
                <w:color w:val="auto"/>
                <w:sz w:val="24"/>
                <w:szCs w:val="24"/>
                <w:highlight w:val="none"/>
                <w:lang w:val="en-US"/>
              </w:rPr>
              <w:t>姓名</w:t>
            </w:r>
          </w:p>
        </w:tc>
        <w:tc>
          <w:tcPr>
            <w:tcW w:w="1276" w:type="dxa"/>
            <w:vAlign w:val="center"/>
          </w:tcPr>
          <w:p w14:paraId="06CACA6A">
            <w:pPr>
              <w:pStyle w:val="132"/>
              <w:jc w:val="center"/>
              <w:rPr>
                <w:rFonts w:asciiTheme="minorEastAsia" w:hAnsiTheme="minorEastAsia" w:eastAsiaTheme="minorEastAsia"/>
                <w:color w:val="auto"/>
                <w:sz w:val="24"/>
                <w:szCs w:val="24"/>
                <w:highlight w:val="none"/>
                <w:lang w:val="en-US"/>
              </w:rPr>
            </w:pPr>
          </w:p>
        </w:tc>
        <w:tc>
          <w:tcPr>
            <w:tcW w:w="1220" w:type="dxa"/>
            <w:vAlign w:val="center"/>
          </w:tcPr>
          <w:p w14:paraId="7EC1CC7D">
            <w:pPr>
              <w:pStyle w:val="132"/>
              <w:jc w:val="center"/>
              <w:rPr>
                <w:rFonts w:asciiTheme="minorEastAsia" w:hAnsiTheme="minorEastAsia" w:eastAsiaTheme="minorEastAsia"/>
                <w:color w:val="auto"/>
                <w:sz w:val="24"/>
                <w:szCs w:val="24"/>
                <w:highlight w:val="none"/>
                <w:lang w:val="en-US"/>
              </w:rPr>
            </w:pPr>
            <w:r>
              <w:rPr>
                <w:rFonts w:hint="eastAsia" w:asciiTheme="minorEastAsia" w:hAnsiTheme="minorEastAsia" w:eastAsiaTheme="minorEastAsia"/>
                <w:color w:val="auto"/>
                <w:sz w:val="24"/>
                <w:szCs w:val="24"/>
                <w:highlight w:val="none"/>
                <w:lang w:val="en-US"/>
              </w:rPr>
              <w:t>技术职称</w:t>
            </w:r>
          </w:p>
        </w:tc>
        <w:tc>
          <w:tcPr>
            <w:tcW w:w="1268" w:type="dxa"/>
            <w:gridSpan w:val="2"/>
            <w:vAlign w:val="center"/>
          </w:tcPr>
          <w:p w14:paraId="05BC9A11">
            <w:pPr>
              <w:pStyle w:val="132"/>
              <w:jc w:val="center"/>
              <w:rPr>
                <w:rFonts w:asciiTheme="minorEastAsia" w:hAnsiTheme="minorEastAsia" w:eastAsiaTheme="minorEastAsia"/>
                <w:color w:val="auto"/>
                <w:sz w:val="24"/>
                <w:szCs w:val="24"/>
                <w:highlight w:val="none"/>
                <w:lang w:val="en-US"/>
              </w:rPr>
            </w:pPr>
          </w:p>
        </w:tc>
        <w:tc>
          <w:tcPr>
            <w:tcW w:w="794" w:type="dxa"/>
            <w:vAlign w:val="center"/>
          </w:tcPr>
          <w:p w14:paraId="3475B459">
            <w:pPr>
              <w:pStyle w:val="132"/>
              <w:jc w:val="center"/>
              <w:rPr>
                <w:rFonts w:asciiTheme="minorEastAsia" w:hAnsiTheme="minorEastAsia" w:eastAsiaTheme="minorEastAsia"/>
                <w:color w:val="auto"/>
                <w:sz w:val="24"/>
                <w:szCs w:val="24"/>
                <w:highlight w:val="none"/>
                <w:lang w:val="en-US"/>
              </w:rPr>
            </w:pPr>
            <w:r>
              <w:rPr>
                <w:rFonts w:hint="eastAsia" w:asciiTheme="minorEastAsia" w:hAnsiTheme="minorEastAsia" w:eastAsiaTheme="minorEastAsia"/>
                <w:color w:val="auto"/>
                <w:sz w:val="24"/>
                <w:szCs w:val="24"/>
                <w:highlight w:val="none"/>
                <w:lang w:val="en-US"/>
              </w:rPr>
              <w:t>电话</w:t>
            </w:r>
          </w:p>
        </w:tc>
        <w:tc>
          <w:tcPr>
            <w:tcW w:w="1740" w:type="dxa"/>
            <w:gridSpan w:val="2"/>
            <w:vAlign w:val="center"/>
          </w:tcPr>
          <w:p w14:paraId="61B75529">
            <w:pPr>
              <w:pStyle w:val="132"/>
              <w:jc w:val="center"/>
              <w:rPr>
                <w:rFonts w:asciiTheme="minorEastAsia" w:hAnsiTheme="minorEastAsia" w:eastAsiaTheme="minorEastAsia"/>
                <w:color w:val="auto"/>
                <w:sz w:val="24"/>
                <w:szCs w:val="24"/>
                <w:highlight w:val="none"/>
                <w:lang w:val="en-US"/>
              </w:rPr>
            </w:pPr>
          </w:p>
        </w:tc>
      </w:tr>
      <w:tr w14:paraId="489AF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061" w:type="dxa"/>
            <w:vAlign w:val="center"/>
          </w:tcPr>
          <w:p w14:paraId="552D0B45">
            <w:pPr>
              <w:pStyle w:val="132"/>
              <w:jc w:val="center"/>
              <w:rPr>
                <w:rFonts w:asciiTheme="minorEastAsia" w:hAnsiTheme="minorEastAsia" w:eastAsiaTheme="minorEastAsia"/>
                <w:color w:val="auto"/>
                <w:sz w:val="24"/>
                <w:szCs w:val="24"/>
                <w:highlight w:val="none"/>
                <w:lang w:val="en-US"/>
              </w:rPr>
            </w:pPr>
            <w:r>
              <w:rPr>
                <w:rFonts w:hint="eastAsia" w:asciiTheme="minorEastAsia" w:hAnsiTheme="minorEastAsia" w:eastAsiaTheme="minorEastAsia"/>
                <w:color w:val="auto"/>
                <w:sz w:val="24"/>
                <w:szCs w:val="24"/>
                <w:highlight w:val="none"/>
                <w:lang w:val="en-US"/>
              </w:rPr>
              <w:t>技术负责人</w:t>
            </w:r>
          </w:p>
        </w:tc>
        <w:tc>
          <w:tcPr>
            <w:tcW w:w="851" w:type="dxa"/>
            <w:vAlign w:val="center"/>
          </w:tcPr>
          <w:p w14:paraId="6CD55763">
            <w:pPr>
              <w:pStyle w:val="132"/>
              <w:jc w:val="center"/>
              <w:rPr>
                <w:rFonts w:asciiTheme="minorEastAsia" w:hAnsiTheme="minorEastAsia" w:eastAsiaTheme="minorEastAsia"/>
                <w:color w:val="auto"/>
                <w:sz w:val="24"/>
                <w:szCs w:val="24"/>
                <w:highlight w:val="none"/>
                <w:lang w:val="en-US"/>
              </w:rPr>
            </w:pPr>
            <w:r>
              <w:rPr>
                <w:rFonts w:hint="eastAsia" w:asciiTheme="minorEastAsia" w:hAnsiTheme="minorEastAsia" w:eastAsiaTheme="minorEastAsia"/>
                <w:color w:val="auto"/>
                <w:sz w:val="24"/>
                <w:szCs w:val="24"/>
                <w:highlight w:val="none"/>
                <w:lang w:val="en-US"/>
              </w:rPr>
              <w:t>姓名</w:t>
            </w:r>
          </w:p>
        </w:tc>
        <w:tc>
          <w:tcPr>
            <w:tcW w:w="1276" w:type="dxa"/>
            <w:vAlign w:val="center"/>
          </w:tcPr>
          <w:p w14:paraId="0F2B520C">
            <w:pPr>
              <w:pStyle w:val="132"/>
              <w:jc w:val="center"/>
              <w:rPr>
                <w:rFonts w:asciiTheme="minorEastAsia" w:hAnsiTheme="minorEastAsia" w:eastAsiaTheme="minorEastAsia"/>
                <w:color w:val="auto"/>
                <w:sz w:val="24"/>
                <w:szCs w:val="24"/>
                <w:highlight w:val="none"/>
                <w:lang w:val="en-US"/>
              </w:rPr>
            </w:pPr>
          </w:p>
        </w:tc>
        <w:tc>
          <w:tcPr>
            <w:tcW w:w="1220" w:type="dxa"/>
            <w:vAlign w:val="center"/>
          </w:tcPr>
          <w:p w14:paraId="3DC1F806">
            <w:pPr>
              <w:pStyle w:val="132"/>
              <w:jc w:val="center"/>
              <w:rPr>
                <w:rFonts w:asciiTheme="minorEastAsia" w:hAnsiTheme="minorEastAsia" w:eastAsiaTheme="minorEastAsia"/>
                <w:color w:val="auto"/>
                <w:sz w:val="24"/>
                <w:szCs w:val="24"/>
                <w:highlight w:val="none"/>
                <w:lang w:val="en-US"/>
              </w:rPr>
            </w:pPr>
            <w:r>
              <w:rPr>
                <w:rFonts w:hint="eastAsia" w:asciiTheme="minorEastAsia" w:hAnsiTheme="minorEastAsia" w:eastAsiaTheme="minorEastAsia"/>
                <w:color w:val="auto"/>
                <w:sz w:val="24"/>
                <w:szCs w:val="24"/>
                <w:highlight w:val="none"/>
                <w:lang w:val="en-US"/>
              </w:rPr>
              <w:t>技术职称</w:t>
            </w:r>
          </w:p>
        </w:tc>
        <w:tc>
          <w:tcPr>
            <w:tcW w:w="1268" w:type="dxa"/>
            <w:gridSpan w:val="2"/>
            <w:vAlign w:val="center"/>
          </w:tcPr>
          <w:p w14:paraId="51F2DC07">
            <w:pPr>
              <w:pStyle w:val="132"/>
              <w:jc w:val="center"/>
              <w:rPr>
                <w:rFonts w:asciiTheme="minorEastAsia" w:hAnsiTheme="minorEastAsia" w:eastAsiaTheme="minorEastAsia"/>
                <w:color w:val="auto"/>
                <w:sz w:val="24"/>
                <w:szCs w:val="24"/>
                <w:highlight w:val="none"/>
                <w:lang w:val="en-US"/>
              </w:rPr>
            </w:pPr>
          </w:p>
        </w:tc>
        <w:tc>
          <w:tcPr>
            <w:tcW w:w="794" w:type="dxa"/>
            <w:vAlign w:val="center"/>
          </w:tcPr>
          <w:p w14:paraId="72EFF8CC">
            <w:pPr>
              <w:pStyle w:val="132"/>
              <w:jc w:val="center"/>
              <w:rPr>
                <w:rFonts w:asciiTheme="minorEastAsia" w:hAnsiTheme="minorEastAsia" w:eastAsiaTheme="minorEastAsia"/>
                <w:color w:val="auto"/>
                <w:sz w:val="24"/>
                <w:szCs w:val="24"/>
                <w:highlight w:val="none"/>
                <w:lang w:val="en-US"/>
              </w:rPr>
            </w:pPr>
            <w:r>
              <w:rPr>
                <w:rFonts w:hint="eastAsia" w:asciiTheme="minorEastAsia" w:hAnsiTheme="minorEastAsia" w:eastAsiaTheme="minorEastAsia"/>
                <w:color w:val="auto"/>
                <w:sz w:val="24"/>
                <w:szCs w:val="24"/>
                <w:highlight w:val="none"/>
                <w:lang w:val="en-US"/>
              </w:rPr>
              <w:t>电话</w:t>
            </w:r>
          </w:p>
        </w:tc>
        <w:tc>
          <w:tcPr>
            <w:tcW w:w="1740" w:type="dxa"/>
            <w:gridSpan w:val="2"/>
            <w:vAlign w:val="center"/>
          </w:tcPr>
          <w:p w14:paraId="477A7B6A">
            <w:pPr>
              <w:pStyle w:val="132"/>
              <w:jc w:val="center"/>
              <w:rPr>
                <w:rFonts w:asciiTheme="minorEastAsia" w:hAnsiTheme="minorEastAsia" w:eastAsiaTheme="minorEastAsia"/>
                <w:color w:val="auto"/>
                <w:sz w:val="24"/>
                <w:szCs w:val="24"/>
                <w:highlight w:val="none"/>
                <w:lang w:val="en-US"/>
              </w:rPr>
            </w:pPr>
          </w:p>
        </w:tc>
      </w:tr>
      <w:tr w14:paraId="57493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2061" w:type="dxa"/>
            <w:vAlign w:val="center"/>
          </w:tcPr>
          <w:p w14:paraId="79332F81">
            <w:pPr>
              <w:pStyle w:val="132"/>
              <w:jc w:val="center"/>
              <w:rPr>
                <w:rFonts w:asciiTheme="minorEastAsia" w:hAnsiTheme="minorEastAsia" w:eastAsiaTheme="minorEastAsia"/>
                <w:color w:val="auto"/>
                <w:sz w:val="24"/>
                <w:szCs w:val="24"/>
                <w:highlight w:val="none"/>
                <w:lang w:val="en-US"/>
              </w:rPr>
            </w:pPr>
            <w:r>
              <w:rPr>
                <w:rFonts w:hint="eastAsia" w:asciiTheme="minorEastAsia" w:hAnsiTheme="minorEastAsia" w:eastAsiaTheme="minorEastAsia"/>
                <w:color w:val="auto"/>
                <w:sz w:val="24"/>
                <w:szCs w:val="24"/>
                <w:highlight w:val="none"/>
                <w:lang w:val="en-US"/>
              </w:rPr>
              <w:t>成立时间</w:t>
            </w:r>
          </w:p>
        </w:tc>
        <w:tc>
          <w:tcPr>
            <w:tcW w:w="3347" w:type="dxa"/>
            <w:gridSpan w:val="3"/>
            <w:vAlign w:val="center"/>
          </w:tcPr>
          <w:p w14:paraId="2028A81C">
            <w:pPr>
              <w:pStyle w:val="132"/>
              <w:jc w:val="center"/>
              <w:rPr>
                <w:rFonts w:asciiTheme="minorEastAsia" w:hAnsiTheme="minorEastAsia" w:eastAsiaTheme="minorEastAsia"/>
                <w:color w:val="auto"/>
                <w:sz w:val="24"/>
                <w:szCs w:val="24"/>
                <w:highlight w:val="none"/>
                <w:lang w:val="en-US"/>
              </w:rPr>
            </w:pPr>
          </w:p>
        </w:tc>
        <w:tc>
          <w:tcPr>
            <w:tcW w:w="3802" w:type="dxa"/>
            <w:gridSpan w:val="5"/>
            <w:vAlign w:val="center"/>
          </w:tcPr>
          <w:p w14:paraId="39E1FD49">
            <w:pPr>
              <w:jc w:val="center"/>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员工总人数：</w:t>
            </w:r>
          </w:p>
        </w:tc>
      </w:tr>
      <w:tr w14:paraId="59F62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jc w:val="center"/>
        </w:trPr>
        <w:tc>
          <w:tcPr>
            <w:tcW w:w="2061" w:type="dxa"/>
            <w:vMerge w:val="restart"/>
            <w:vAlign w:val="center"/>
          </w:tcPr>
          <w:p w14:paraId="15F20DAE">
            <w:pPr>
              <w:pStyle w:val="132"/>
              <w:jc w:val="center"/>
              <w:rPr>
                <w:rFonts w:asciiTheme="minorEastAsia" w:hAnsiTheme="minorEastAsia" w:eastAsiaTheme="minorEastAsia"/>
                <w:color w:val="auto"/>
                <w:sz w:val="24"/>
                <w:szCs w:val="24"/>
                <w:highlight w:val="none"/>
                <w:lang w:val="en-US"/>
              </w:rPr>
            </w:pPr>
            <w:r>
              <w:rPr>
                <w:rFonts w:asciiTheme="minorEastAsia" w:hAnsiTheme="minorEastAsia" w:eastAsiaTheme="minorEastAsia"/>
                <w:color w:val="auto"/>
                <w:sz w:val="24"/>
                <w:szCs w:val="24"/>
                <w:highlight w:val="none"/>
                <w:lang w:val="en-US"/>
              </w:rPr>
              <w:t>资质</w:t>
            </w:r>
            <w:r>
              <w:rPr>
                <w:rFonts w:hint="eastAsia" w:asciiTheme="minorEastAsia" w:hAnsiTheme="minorEastAsia" w:eastAsiaTheme="minorEastAsia"/>
                <w:color w:val="auto"/>
                <w:sz w:val="24"/>
                <w:szCs w:val="24"/>
                <w:highlight w:val="none"/>
                <w:lang w:val="en-US"/>
              </w:rPr>
              <w:t>资格与业务范围</w:t>
            </w:r>
          </w:p>
        </w:tc>
        <w:tc>
          <w:tcPr>
            <w:tcW w:w="3347" w:type="dxa"/>
            <w:gridSpan w:val="3"/>
            <w:vMerge w:val="restart"/>
            <w:vAlign w:val="center"/>
          </w:tcPr>
          <w:p w14:paraId="120377AE">
            <w:pPr>
              <w:pStyle w:val="132"/>
              <w:jc w:val="center"/>
              <w:rPr>
                <w:rFonts w:asciiTheme="minorEastAsia" w:hAnsiTheme="minorEastAsia" w:eastAsiaTheme="minorEastAsia"/>
                <w:color w:val="auto"/>
                <w:sz w:val="24"/>
                <w:szCs w:val="24"/>
                <w:highlight w:val="none"/>
                <w:lang w:val="en-US"/>
              </w:rPr>
            </w:pPr>
          </w:p>
        </w:tc>
        <w:tc>
          <w:tcPr>
            <w:tcW w:w="892" w:type="dxa"/>
            <w:vMerge w:val="restart"/>
            <w:vAlign w:val="center"/>
          </w:tcPr>
          <w:p w14:paraId="58604A56">
            <w:pPr>
              <w:pStyle w:val="132"/>
              <w:jc w:val="center"/>
              <w:rPr>
                <w:rFonts w:asciiTheme="minorEastAsia" w:hAnsiTheme="minorEastAsia" w:eastAsiaTheme="minorEastAsia"/>
                <w:color w:val="auto"/>
                <w:sz w:val="24"/>
                <w:szCs w:val="24"/>
                <w:highlight w:val="none"/>
                <w:lang w:val="en-US"/>
              </w:rPr>
            </w:pPr>
            <w:r>
              <w:rPr>
                <w:rFonts w:hint="eastAsia" w:asciiTheme="minorEastAsia" w:hAnsiTheme="minorEastAsia" w:eastAsiaTheme="minorEastAsia"/>
                <w:color w:val="auto"/>
                <w:sz w:val="24"/>
                <w:szCs w:val="24"/>
                <w:highlight w:val="none"/>
                <w:lang w:val="en-US"/>
              </w:rPr>
              <w:t>其中</w:t>
            </w:r>
          </w:p>
        </w:tc>
        <w:tc>
          <w:tcPr>
            <w:tcW w:w="1715" w:type="dxa"/>
            <w:gridSpan w:val="3"/>
            <w:vAlign w:val="center"/>
          </w:tcPr>
          <w:p w14:paraId="4766F6C1">
            <w:pPr>
              <w:pStyle w:val="132"/>
              <w:jc w:val="center"/>
              <w:rPr>
                <w:rFonts w:asciiTheme="minorEastAsia" w:hAnsiTheme="minorEastAsia" w:eastAsiaTheme="minorEastAsia"/>
                <w:color w:val="auto"/>
                <w:sz w:val="24"/>
                <w:szCs w:val="24"/>
                <w:highlight w:val="none"/>
                <w:lang w:val="en-US"/>
              </w:rPr>
            </w:pPr>
            <w:r>
              <w:rPr>
                <w:rFonts w:hint="eastAsia" w:asciiTheme="minorEastAsia" w:hAnsiTheme="minorEastAsia" w:eastAsiaTheme="minorEastAsia"/>
                <w:color w:val="auto"/>
                <w:sz w:val="24"/>
                <w:szCs w:val="24"/>
                <w:highlight w:val="none"/>
                <w:lang w:val="en-US"/>
              </w:rPr>
              <w:t>高级职称</w:t>
            </w:r>
          </w:p>
        </w:tc>
        <w:tc>
          <w:tcPr>
            <w:tcW w:w="1195" w:type="dxa"/>
            <w:vAlign w:val="center"/>
          </w:tcPr>
          <w:p w14:paraId="37E28878">
            <w:pPr>
              <w:pStyle w:val="132"/>
              <w:jc w:val="center"/>
              <w:rPr>
                <w:rFonts w:asciiTheme="minorEastAsia" w:hAnsiTheme="minorEastAsia" w:eastAsiaTheme="minorEastAsia"/>
                <w:color w:val="auto"/>
                <w:sz w:val="24"/>
                <w:szCs w:val="24"/>
                <w:highlight w:val="none"/>
                <w:lang w:val="en-US"/>
              </w:rPr>
            </w:pPr>
          </w:p>
        </w:tc>
      </w:tr>
      <w:tr w14:paraId="5C452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2061" w:type="dxa"/>
            <w:vMerge w:val="continue"/>
            <w:vAlign w:val="center"/>
          </w:tcPr>
          <w:p w14:paraId="73084288">
            <w:pPr>
              <w:pStyle w:val="132"/>
              <w:jc w:val="center"/>
              <w:rPr>
                <w:rFonts w:asciiTheme="minorEastAsia" w:hAnsiTheme="minorEastAsia" w:eastAsiaTheme="minorEastAsia"/>
                <w:color w:val="auto"/>
                <w:sz w:val="24"/>
                <w:szCs w:val="24"/>
                <w:highlight w:val="none"/>
                <w:lang w:val="en-US"/>
              </w:rPr>
            </w:pPr>
          </w:p>
        </w:tc>
        <w:tc>
          <w:tcPr>
            <w:tcW w:w="3347" w:type="dxa"/>
            <w:gridSpan w:val="3"/>
            <w:vMerge w:val="continue"/>
            <w:vAlign w:val="center"/>
          </w:tcPr>
          <w:p w14:paraId="4FA4604D">
            <w:pPr>
              <w:pStyle w:val="132"/>
              <w:jc w:val="center"/>
              <w:rPr>
                <w:rFonts w:asciiTheme="minorEastAsia" w:hAnsiTheme="minorEastAsia" w:eastAsiaTheme="minorEastAsia"/>
                <w:color w:val="auto"/>
                <w:sz w:val="24"/>
                <w:szCs w:val="24"/>
                <w:highlight w:val="none"/>
                <w:lang w:val="en-US"/>
              </w:rPr>
            </w:pPr>
          </w:p>
        </w:tc>
        <w:tc>
          <w:tcPr>
            <w:tcW w:w="892" w:type="dxa"/>
            <w:vMerge w:val="continue"/>
            <w:vAlign w:val="center"/>
          </w:tcPr>
          <w:p w14:paraId="3A7FD837">
            <w:pPr>
              <w:pStyle w:val="132"/>
              <w:jc w:val="center"/>
              <w:rPr>
                <w:rFonts w:asciiTheme="minorEastAsia" w:hAnsiTheme="minorEastAsia" w:eastAsiaTheme="minorEastAsia"/>
                <w:color w:val="auto"/>
                <w:sz w:val="24"/>
                <w:szCs w:val="24"/>
                <w:highlight w:val="none"/>
                <w:lang w:val="en-US"/>
              </w:rPr>
            </w:pPr>
          </w:p>
        </w:tc>
        <w:tc>
          <w:tcPr>
            <w:tcW w:w="1715" w:type="dxa"/>
            <w:gridSpan w:val="3"/>
            <w:vAlign w:val="center"/>
          </w:tcPr>
          <w:p w14:paraId="7CDE9BA1">
            <w:pPr>
              <w:pStyle w:val="132"/>
              <w:jc w:val="center"/>
              <w:rPr>
                <w:rFonts w:asciiTheme="minorEastAsia" w:hAnsiTheme="minorEastAsia" w:eastAsiaTheme="minorEastAsia"/>
                <w:color w:val="auto"/>
                <w:sz w:val="24"/>
                <w:szCs w:val="24"/>
                <w:highlight w:val="none"/>
                <w:lang w:val="en-US"/>
              </w:rPr>
            </w:pPr>
            <w:r>
              <w:rPr>
                <w:rFonts w:hint="eastAsia" w:asciiTheme="minorEastAsia" w:hAnsiTheme="minorEastAsia" w:eastAsiaTheme="minorEastAsia"/>
                <w:color w:val="auto"/>
                <w:sz w:val="24"/>
                <w:szCs w:val="24"/>
                <w:highlight w:val="none"/>
                <w:lang w:val="en-US"/>
              </w:rPr>
              <w:t>中级职称</w:t>
            </w:r>
          </w:p>
        </w:tc>
        <w:tc>
          <w:tcPr>
            <w:tcW w:w="1195" w:type="dxa"/>
            <w:vAlign w:val="center"/>
          </w:tcPr>
          <w:p w14:paraId="75241CD7">
            <w:pPr>
              <w:pStyle w:val="132"/>
              <w:jc w:val="center"/>
              <w:rPr>
                <w:rFonts w:asciiTheme="minorEastAsia" w:hAnsiTheme="minorEastAsia" w:eastAsiaTheme="minorEastAsia"/>
                <w:color w:val="auto"/>
                <w:sz w:val="24"/>
                <w:szCs w:val="24"/>
                <w:highlight w:val="none"/>
                <w:lang w:val="en-US"/>
              </w:rPr>
            </w:pPr>
          </w:p>
        </w:tc>
      </w:tr>
      <w:tr w14:paraId="7E11A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0" w:hRule="atLeast"/>
          <w:jc w:val="center"/>
        </w:trPr>
        <w:tc>
          <w:tcPr>
            <w:tcW w:w="2061" w:type="dxa"/>
            <w:vAlign w:val="center"/>
          </w:tcPr>
          <w:p w14:paraId="2D78D430">
            <w:pPr>
              <w:pStyle w:val="132"/>
              <w:jc w:val="center"/>
              <w:rPr>
                <w:rFonts w:asciiTheme="minorEastAsia" w:hAnsiTheme="minorEastAsia" w:eastAsiaTheme="minorEastAsia"/>
                <w:color w:val="auto"/>
                <w:sz w:val="24"/>
                <w:szCs w:val="24"/>
                <w:highlight w:val="none"/>
                <w:lang w:val="en-US"/>
              </w:rPr>
            </w:pPr>
            <w:r>
              <w:rPr>
                <w:rFonts w:hint="eastAsia" w:asciiTheme="minorEastAsia" w:hAnsiTheme="minorEastAsia" w:eastAsiaTheme="minorEastAsia"/>
                <w:color w:val="auto"/>
                <w:sz w:val="24"/>
                <w:szCs w:val="24"/>
                <w:highlight w:val="none"/>
                <w:lang w:val="en-US"/>
              </w:rPr>
              <w:t>营业执照号</w:t>
            </w:r>
          </w:p>
        </w:tc>
        <w:tc>
          <w:tcPr>
            <w:tcW w:w="3347" w:type="dxa"/>
            <w:gridSpan w:val="3"/>
            <w:vAlign w:val="center"/>
          </w:tcPr>
          <w:p w14:paraId="6944780C">
            <w:pPr>
              <w:pStyle w:val="132"/>
              <w:jc w:val="center"/>
              <w:rPr>
                <w:rFonts w:asciiTheme="minorEastAsia" w:hAnsiTheme="minorEastAsia" w:eastAsiaTheme="minorEastAsia"/>
                <w:color w:val="auto"/>
                <w:sz w:val="24"/>
                <w:szCs w:val="24"/>
                <w:highlight w:val="none"/>
                <w:lang w:val="en-US"/>
              </w:rPr>
            </w:pPr>
          </w:p>
        </w:tc>
        <w:tc>
          <w:tcPr>
            <w:tcW w:w="892" w:type="dxa"/>
            <w:vMerge w:val="continue"/>
            <w:vAlign w:val="center"/>
          </w:tcPr>
          <w:p w14:paraId="1DBDAD43">
            <w:pPr>
              <w:pStyle w:val="132"/>
              <w:jc w:val="center"/>
              <w:rPr>
                <w:rFonts w:asciiTheme="minorEastAsia" w:hAnsiTheme="minorEastAsia" w:eastAsiaTheme="minorEastAsia"/>
                <w:color w:val="auto"/>
                <w:sz w:val="24"/>
                <w:szCs w:val="24"/>
                <w:highlight w:val="none"/>
                <w:lang w:val="en-US"/>
              </w:rPr>
            </w:pPr>
          </w:p>
        </w:tc>
        <w:tc>
          <w:tcPr>
            <w:tcW w:w="1715" w:type="dxa"/>
            <w:gridSpan w:val="3"/>
            <w:vAlign w:val="center"/>
          </w:tcPr>
          <w:p w14:paraId="4A30A3B8">
            <w:pPr>
              <w:pStyle w:val="132"/>
              <w:jc w:val="center"/>
              <w:rPr>
                <w:rFonts w:asciiTheme="minorEastAsia" w:hAnsiTheme="minorEastAsia" w:eastAsiaTheme="minorEastAsia"/>
                <w:color w:val="auto"/>
                <w:sz w:val="24"/>
                <w:szCs w:val="24"/>
                <w:highlight w:val="none"/>
                <w:lang w:val="en-US"/>
              </w:rPr>
            </w:pPr>
            <w:r>
              <w:rPr>
                <w:rFonts w:hint="eastAsia" w:asciiTheme="minorEastAsia" w:hAnsiTheme="minorEastAsia" w:eastAsiaTheme="minorEastAsia"/>
                <w:color w:val="auto"/>
                <w:sz w:val="24"/>
                <w:szCs w:val="24"/>
                <w:highlight w:val="none"/>
                <w:lang w:val="en-US"/>
              </w:rPr>
              <w:t>各类注册人员</w:t>
            </w:r>
          </w:p>
        </w:tc>
        <w:tc>
          <w:tcPr>
            <w:tcW w:w="1195" w:type="dxa"/>
            <w:vAlign w:val="center"/>
          </w:tcPr>
          <w:p w14:paraId="71DC25CA">
            <w:pPr>
              <w:pStyle w:val="132"/>
              <w:jc w:val="center"/>
              <w:rPr>
                <w:rFonts w:asciiTheme="minorEastAsia" w:hAnsiTheme="minorEastAsia" w:eastAsiaTheme="minorEastAsia"/>
                <w:color w:val="auto"/>
                <w:sz w:val="24"/>
                <w:szCs w:val="24"/>
                <w:highlight w:val="none"/>
                <w:lang w:val="en-US"/>
              </w:rPr>
            </w:pPr>
          </w:p>
        </w:tc>
      </w:tr>
      <w:tr w14:paraId="485CE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2061" w:type="dxa"/>
            <w:vAlign w:val="center"/>
          </w:tcPr>
          <w:p w14:paraId="497D16EE">
            <w:pPr>
              <w:pStyle w:val="132"/>
              <w:jc w:val="center"/>
              <w:rPr>
                <w:rFonts w:asciiTheme="minorEastAsia" w:hAnsiTheme="minorEastAsia" w:eastAsiaTheme="minorEastAsia"/>
                <w:color w:val="auto"/>
                <w:sz w:val="24"/>
                <w:szCs w:val="24"/>
                <w:highlight w:val="none"/>
                <w:lang w:val="en-US"/>
              </w:rPr>
            </w:pPr>
            <w:r>
              <w:rPr>
                <w:rFonts w:hint="eastAsia" w:asciiTheme="minorEastAsia" w:hAnsiTheme="minorEastAsia" w:eastAsiaTheme="minorEastAsia"/>
                <w:color w:val="auto"/>
                <w:sz w:val="24"/>
                <w:szCs w:val="24"/>
                <w:highlight w:val="none"/>
                <w:lang w:val="en-US"/>
              </w:rPr>
              <w:t>注册资金</w:t>
            </w:r>
          </w:p>
        </w:tc>
        <w:tc>
          <w:tcPr>
            <w:tcW w:w="7149" w:type="dxa"/>
            <w:gridSpan w:val="8"/>
            <w:vAlign w:val="center"/>
          </w:tcPr>
          <w:p w14:paraId="6FEA9568">
            <w:pPr>
              <w:pStyle w:val="132"/>
              <w:jc w:val="center"/>
              <w:rPr>
                <w:rFonts w:asciiTheme="minorEastAsia" w:hAnsiTheme="minorEastAsia" w:eastAsiaTheme="minorEastAsia"/>
                <w:color w:val="auto"/>
                <w:sz w:val="24"/>
                <w:szCs w:val="24"/>
                <w:highlight w:val="none"/>
                <w:lang w:val="en-US"/>
              </w:rPr>
            </w:pPr>
          </w:p>
        </w:tc>
      </w:tr>
      <w:tr w14:paraId="2B2B7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2061" w:type="dxa"/>
            <w:vAlign w:val="center"/>
          </w:tcPr>
          <w:p w14:paraId="7894602D">
            <w:pPr>
              <w:pStyle w:val="132"/>
              <w:jc w:val="center"/>
              <w:rPr>
                <w:rFonts w:asciiTheme="minorEastAsia" w:hAnsiTheme="minorEastAsia" w:eastAsiaTheme="minorEastAsia"/>
                <w:color w:val="auto"/>
                <w:sz w:val="24"/>
                <w:szCs w:val="24"/>
                <w:highlight w:val="none"/>
                <w:lang w:val="en-US"/>
              </w:rPr>
            </w:pPr>
            <w:r>
              <w:rPr>
                <w:rFonts w:hint="eastAsia" w:asciiTheme="minorEastAsia" w:hAnsiTheme="minorEastAsia" w:eastAsiaTheme="minorEastAsia"/>
                <w:color w:val="auto"/>
                <w:sz w:val="24"/>
                <w:szCs w:val="24"/>
                <w:highlight w:val="none"/>
                <w:lang w:val="en-US"/>
              </w:rPr>
              <w:t>基本账户开户银行</w:t>
            </w:r>
          </w:p>
        </w:tc>
        <w:tc>
          <w:tcPr>
            <w:tcW w:w="7149" w:type="dxa"/>
            <w:gridSpan w:val="8"/>
            <w:vAlign w:val="center"/>
          </w:tcPr>
          <w:p w14:paraId="679529A0">
            <w:pPr>
              <w:pStyle w:val="132"/>
              <w:jc w:val="center"/>
              <w:rPr>
                <w:rFonts w:asciiTheme="minorEastAsia" w:hAnsiTheme="minorEastAsia" w:eastAsiaTheme="minorEastAsia"/>
                <w:color w:val="auto"/>
                <w:sz w:val="24"/>
                <w:szCs w:val="24"/>
                <w:highlight w:val="none"/>
                <w:lang w:val="en-US"/>
              </w:rPr>
            </w:pPr>
          </w:p>
        </w:tc>
      </w:tr>
      <w:tr w14:paraId="08440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2061" w:type="dxa"/>
            <w:vAlign w:val="center"/>
          </w:tcPr>
          <w:p w14:paraId="014F3E59">
            <w:pPr>
              <w:pStyle w:val="132"/>
              <w:jc w:val="center"/>
              <w:rPr>
                <w:rFonts w:asciiTheme="minorEastAsia" w:hAnsiTheme="minorEastAsia" w:eastAsiaTheme="minorEastAsia"/>
                <w:color w:val="auto"/>
                <w:sz w:val="24"/>
                <w:szCs w:val="24"/>
                <w:highlight w:val="none"/>
                <w:lang w:val="en-US"/>
              </w:rPr>
            </w:pPr>
            <w:r>
              <w:rPr>
                <w:rFonts w:hint="eastAsia" w:asciiTheme="minorEastAsia" w:hAnsiTheme="minorEastAsia" w:eastAsiaTheme="minorEastAsia"/>
                <w:color w:val="auto"/>
                <w:sz w:val="24"/>
                <w:szCs w:val="24"/>
                <w:highlight w:val="none"/>
                <w:lang w:val="en-US"/>
              </w:rPr>
              <w:t>基本账户账号</w:t>
            </w:r>
          </w:p>
        </w:tc>
        <w:tc>
          <w:tcPr>
            <w:tcW w:w="7149" w:type="dxa"/>
            <w:gridSpan w:val="8"/>
            <w:vAlign w:val="center"/>
          </w:tcPr>
          <w:p w14:paraId="0DFB7113">
            <w:pPr>
              <w:pStyle w:val="132"/>
              <w:jc w:val="center"/>
              <w:rPr>
                <w:rFonts w:asciiTheme="minorEastAsia" w:hAnsiTheme="minorEastAsia" w:eastAsiaTheme="minorEastAsia"/>
                <w:color w:val="auto"/>
                <w:sz w:val="24"/>
                <w:szCs w:val="24"/>
                <w:highlight w:val="none"/>
                <w:lang w:val="en-US"/>
              </w:rPr>
            </w:pPr>
          </w:p>
        </w:tc>
      </w:tr>
      <w:tr w14:paraId="30570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5" w:hRule="atLeast"/>
          <w:jc w:val="center"/>
        </w:trPr>
        <w:tc>
          <w:tcPr>
            <w:tcW w:w="2061" w:type="dxa"/>
            <w:vAlign w:val="center"/>
          </w:tcPr>
          <w:p w14:paraId="7681A05A">
            <w:pPr>
              <w:pStyle w:val="132"/>
              <w:jc w:val="center"/>
              <w:rPr>
                <w:rFonts w:asciiTheme="minorEastAsia" w:hAnsiTheme="minorEastAsia" w:eastAsiaTheme="minorEastAsia"/>
                <w:color w:val="auto"/>
                <w:sz w:val="24"/>
                <w:szCs w:val="24"/>
                <w:highlight w:val="none"/>
                <w:lang w:val="en-US"/>
              </w:rPr>
            </w:pPr>
            <w:r>
              <w:rPr>
                <w:rFonts w:hint="eastAsia" w:asciiTheme="minorEastAsia" w:hAnsiTheme="minorEastAsia" w:eastAsiaTheme="minorEastAsia"/>
                <w:color w:val="auto"/>
                <w:sz w:val="24"/>
                <w:szCs w:val="24"/>
                <w:highlight w:val="none"/>
                <w:lang w:val="en-US"/>
              </w:rPr>
              <w:t>经营范围</w:t>
            </w:r>
          </w:p>
        </w:tc>
        <w:tc>
          <w:tcPr>
            <w:tcW w:w="7149" w:type="dxa"/>
            <w:gridSpan w:val="8"/>
            <w:vAlign w:val="center"/>
          </w:tcPr>
          <w:p w14:paraId="48A1E161">
            <w:pPr>
              <w:pStyle w:val="132"/>
              <w:jc w:val="center"/>
              <w:rPr>
                <w:rFonts w:asciiTheme="minorEastAsia" w:hAnsiTheme="minorEastAsia" w:eastAsiaTheme="minorEastAsia"/>
                <w:color w:val="auto"/>
                <w:sz w:val="24"/>
                <w:szCs w:val="24"/>
                <w:highlight w:val="none"/>
                <w:lang w:val="en-US"/>
              </w:rPr>
            </w:pPr>
          </w:p>
        </w:tc>
      </w:tr>
      <w:tr w14:paraId="01BB5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2061" w:type="dxa"/>
            <w:vAlign w:val="center"/>
          </w:tcPr>
          <w:p w14:paraId="57B79D7F">
            <w:pPr>
              <w:pStyle w:val="132"/>
              <w:jc w:val="center"/>
              <w:rPr>
                <w:rFonts w:asciiTheme="minorEastAsia" w:hAnsiTheme="minorEastAsia" w:eastAsiaTheme="minorEastAsia"/>
                <w:color w:val="auto"/>
                <w:sz w:val="24"/>
                <w:szCs w:val="24"/>
                <w:highlight w:val="none"/>
                <w:lang w:val="en-US"/>
              </w:rPr>
            </w:pPr>
            <w:r>
              <w:rPr>
                <w:rFonts w:hint="eastAsia" w:asciiTheme="minorEastAsia" w:hAnsiTheme="minorEastAsia" w:eastAsiaTheme="minorEastAsia"/>
                <w:color w:val="auto"/>
                <w:sz w:val="24"/>
                <w:szCs w:val="24"/>
                <w:highlight w:val="none"/>
                <w:lang w:val="en-US"/>
              </w:rPr>
              <w:t>备注</w:t>
            </w:r>
          </w:p>
        </w:tc>
        <w:tc>
          <w:tcPr>
            <w:tcW w:w="7149" w:type="dxa"/>
            <w:gridSpan w:val="8"/>
            <w:vAlign w:val="center"/>
          </w:tcPr>
          <w:p w14:paraId="32FE5A87">
            <w:pPr>
              <w:pStyle w:val="132"/>
              <w:jc w:val="center"/>
              <w:rPr>
                <w:rFonts w:asciiTheme="minorEastAsia" w:hAnsiTheme="minorEastAsia" w:eastAsiaTheme="minorEastAsia"/>
                <w:color w:val="auto"/>
                <w:sz w:val="24"/>
                <w:szCs w:val="24"/>
                <w:highlight w:val="none"/>
                <w:lang w:val="en-US"/>
              </w:rPr>
            </w:pPr>
          </w:p>
        </w:tc>
      </w:tr>
    </w:tbl>
    <w:p w14:paraId="1833402B">
      <w:pPr>
        <w:spacing w:line="380" w:lineRule="exact"/>
        <w:rPr>
          <w:rFonts w:asciiTheme="minorEastAsia" w:hAnsiTheme="minorEastAsia" w:eastAsiaTheme="minorEastAsia"/>
          <w:color w:val="auto"/>
          <w:sz w:val="22"/>
          <w:szCs w:val="22"/>
          <w:highlight w:val="none"/>
        </w:rPr>
      </w:pPr>
    </w:p>
    <w:p w14:paraId="729E9CB8">
      <w:pPr>
        <w:spacing w:line="380" w:lineRule="exact"/>
        <w:rPr>
          <w:rFonts w:asciiTheme="minorEastAsia" w:hAnsiTheme="minorEastAsia" w:eastAsiaTheme="minorEastAsia"/>
          <w:color w:val="auto"/>
          <w:sz w:val="22"/>
          <w:szCs w:val="22"/>
          <w:highlight w:val="none"/>
        </w:rPr>
      </w:pPr>
      <w:r>
        <w:rPr>
          <w:rFonts w:hint="eastAsia" w:asciiTheme="minorEastAsia" w:hAnsiTheme="minorEastAsia" w:eastAsiaTheme="minorEastAsia"/>
          <w:color w:val="auto"/>
          <w:sz w:val="22"/>
          <w:szCs w:val="22"/>
          <w:highlight w:val="none"/>
        </w:rPr>
        <w:t>投标人（公章）：</w:t>
      </w:r>
    </w:p>
    <w:p w14:paraId="683081C3">
      <w:pPr>
        <w:spacing w:line="380" w:lineRule="exact"/>
        <w:rPr>
          <w:rFonts w:asciiTheme="minorEastAsia" w:hAnsiTheme="minorEastAsia" w:eastAsiaTheme="minorEastAsia"/>
          <w:color w:val="auto"/>
          <w:sz w:val="22"/>
          <w:szCs w:val="22"/>
          <w:highlight w:val="none"/>
          <w:u w:val="single"/>
        </w:rPr>
      </w:pPr>
      <w:r>
        <w:rPr>
          <w:rFonts w:hint="eastAsia" w:asciiTheme="minorEastAsia" w:hAnsiTheme="minorEastAsia" w:eastAsiaTheme="minorEastAsia"/>
          <w:color w:val="auto"/>
          <w:sz w:val="22"/>
          <w:szCs w:val="22"/>
          <w:highlight w:val="none"/>
        </w:rPr>
        <w:t>投标人代表（签字或印章）：</w:t>
      </w:r>
    </w:p>
    <w:p w14:paraId="6AF36880">
      <w:pPr>
        <w:spacing w:line="380" w:lineRule="exact"/>
        <w:rPr>
          <w:rFonts w:asciiTheme="minorEastAsia" w:hAnsiTheme="minorEastAsia" w:eastAsiaTheme="minorEastAsia"/>
          <w:color w:val="auto"/>
          <w:sz w:val="22"/>
          <w:szCs w:val="22"/>
          <w:highlight w:val="none"/>
          <w:u w:val="single"/>
        </w:rPr>
      </w:pPr>
      <w:r>
        <w:rPr>
          <w:rFonts w:hint="eastAsia" w:asciiTheme="minorEastAsia" w:hAnsiTheme="minorEastAsia" w:eastAsiaTheme="minorEastAsia"/>
          <w:color w:val="auto"/>
          <w:sz w:val="22"/>
          <w:szCs w:val="22"/>
          <w:highlight w:val="none"/>
        </w:rPr>
        <w:t>日期：</w:t>
      </w:r>
    </w:p>
    <w:p w14:paraId="5746AB5D">
      <w:pPr>
        <w:rPr>
          <w:rFonts w:asciiTheme="minorEastAsia" w:hAnsiTheme="minorEastAsia" w:eastAsiaTheme="minorEastAsia"/>
          <w:color w:val="auto"/>
          <w:highlight w:val="none"/>
        </w:rPr>
      </w:pPr>
    </w:p>
    <w:p w14:paraId="2BF0DD6D">
      <w:pPr>
        <w:rPr>
          <w:rFonts w:asciiTheme="minorEastAsia" w:hAnsiTheme="minorEastAsia" w:eastAsiaTheme="minorEastAsia"/>
          <w:color w:val="auto"/>
          <w:highlight w:val="none"/>
        </w:rPr>
      </w:pPr>
    </w:p>
    <w:p w14:paraId="37B55E75">
      <w:pPr>
        <w:rPr>
          <w:rFonts w:ascii="宋体" w:hAnsi="宋体" w:cs="宋体"/>
          <w:b/>
          <w:color w:val="auto"/>
          <w:highlight w:val="none"/>
        </w:rPr>
      </w:pPr>
      <w:r>
        <w:rPr>
          <w:rFonts w:hint="eastAsia" w:ascii="宋体" w:hAnsi="宋体" w:cs="宋体"/>
          <w:b/>
          <w:color w:val="auto"/>
          <w:highlight w:val="none"/>
        </w:rPr>
        <w:t>（若为联合体投标，联合体各方须单独提供并盖章）</w:t>
      </w:r>
    </w:p>
    <w:p w14:paraId="4FA627A4">
      <w:pPr>
        <w:rPr>
          <w:rFonts w:ascii="宋体" w:hAnsi="宋体" w:cs="宋体"/>
          <w:b/>
          <w:color w:val="auto"/>
          <w:highlight w:val="none"/>
        </w:rPr>
      </w:pPr>
      <w:r>
        <w:rPr>
          <w:rFonts w:asciiTheme="minorEastAsia" w:hAnsiTheme="minorEastAsia" w:eastAsiaTheme="minorEastAsia"/>
          <w:color w:val="auto"/>
          <w:highlight w:val="none"/>
        </w:rPr>
        <w:br w:type="page"/>
      </w:r>
    </w:p>
    <w:p w14:paraId="5456C58D">
      <w:pPr>
        <w:pStyle w:val="4"/>
        <w:spacing w:line="380" w:lineRule="exact"/>
        <w:rPr>
          <w:rFonts w:asciiTheme="minorEastAsia" w:hAnsiTheme="minorEastAsia" w:eastAsiaTheme="minorEastAsia"/>
          <w:bCs w:val="0"/>
          <w:color w:val="auto"/>
          <w:sz w:val="28"/>
          <w:szCs w:val="28"/>
          <w:highlight w:val="none"/>
        </w:rPr>
      </w:pPr>
      <w:bookmarkStart w:id="136" w:name="_Toc141797696"/>
      <w:bookmarkStart w:id="137" w:name="_Toc141797140"/>
      <w:r>
        <w:rPr>
          <w:rFonts w:hint="eastAsia" w:asciiTheme="minorEastAsia" w:hAnsiTheme="minorEastAsia" w:eastAsiaTheme="minorEastAsia"/>
          <w:bCs w:val="0"/>
          <w:color w:val="auto"/>
          <w:sz w:val="28"/>
          <w:szCs w:val="28"/>
          <w:highlight w:val="none"/>
        </w:rPr>
        <w:t>（三）技术条款偏离表</w:t>
      </w:r>
      <w:bookmarkEnd w:id="136"/>
      <w:bookmarkEnd w:id="137"/>
    </w:p>
    <w:p w14:paraId="78C2FB23">
      <w:pPr>
        <w:spacing w:line="380" w:lineRule="exact"/>
        <w:rPr>
          <w:rFonts w:asciiTheme="minorEastAsia" w:hAnsiTheme="minorEastAsia" w:eastAsiaTheme="minorEastAsia"/>
          <w:color w:val="auto"/>
          <w:sz w:val="28"/>
          <w:szCs w:val="28"/>
          <w:highlight w:val="none"/>
        </w:rPr>
      </w:pPr>
    </w:p>
    <w:tbl>
      <w:tblPr>
        <w:tblStyle w:val="38"/>
        <w:tblW w:w="86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4"/>
        <w:gridCol w:w="3360"/>
        <w:gridCol w:w="2908"/>
        <w:gridCol w:w="1578"/>
      </w:tblGrid>
      <w:tr w14:paraId="3E9E9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exact"/>
          <w:jc w:val="center"/>
        </w:trPr>
        <w:tc>
          <w:tcPr>
            <w:tcW w:w="794" w:type="dxa"/>
            <w:vAlign w:val="center"/>
          </w:tcPr>
          <w:p w14:paraId="6E61FEAE">
            <w:pPr>
              <w:spacing w:line="380" w:lineRule="exact"/>
              <w:jc w:val="center"/>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序号</w:t>
            </w:r>
          </w:p>
        </w:tc>
        <w:tc>
          <w:tcPr>
            <w:tcW w:w="3360" w:type="dxa"/>
            <w:vAlign w:val="center"/>
          </w:tcPr>
          <w:p w14:paraId="5B2D9EBF">
            <w:pPr>
              <w:spacing w:line="380" w:lineRule="exact"/>
              <w:jc w:val="center"/>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招标文件技术要求</w:t>
            </w:r>
          </w:p>
        </w:tc>
        <w:tc>
          <w:tcPr>
            <w:tcW w:w="2908" w:type="dxa"/>
            <w:vAlign w:val="center"/>
          </w:tcPr>
          <w:p w14:paraId="729C705A">
            <w:pPr>
              <w:spacing w:line="380" w:lineRule="exact"/>
              <w:jc w:val="center"/>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投标文件对应规格</w:t>
            </w:r>
          </w:p>
        </w:tc>
        <w:tc>
          <w:tcPr>
            <w:tcW w:w="1578" w:type="dxa"/>
            <w:vAlign w:val="center"/>
          </w:tcPr>
          <w:p w14:paraId="219C3701">
            <w:pPr>
              <w:spacing w:line="380" w:lineRule="exact"/>
              <w:jc w:val="center"/>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说明</w:t>
            </w:r>
          </w:p>
        </w:tc>
      </w:tr>
      <w:tr w14:paraId="21E23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exact"/>
          <w:jc w:val="center"/>
        </w:trPr>
        <w:tc>
          <w:tcPr>
            <w:tcW w:w="794" w:type="dxa"/>
            <w:vAlign w:val="center"/>
          </w:tcPr>
          <w:p w14:paraId="58218E16">
            <w:pPr>
              <w:spacing w:line="380" w:lineRule="exact"/>
              <w:jc w:val="center"/>
              <w:rPr>
                <w:rFonts w:asciiTheme="minorEastAsia" w:hAnsiTheme="minorEastAsia" w:eastAsiaTheme="minorEastAsia"/>
                <w:color w:val="auto"/>
                <w:highlight w:val="none"/>
              </w:rPr>
            </w:pPr>
          </w:p>
        </w:tc>
        <w:tc>
          <w:tcPr>
            <w:tcW w:w="3360" w:type="dxa"/>
            <w:vAlign w:val="center"/>
          </w:tcPr>
          <w:p w14:paraId="5562D4AC">
            <w:pPr>
              <w:spacing w:line="380" w:lineRule="exact"/>
              <w:jc w:val="center"/>
              <w:rPr>
                <w:rFonts w:asciiTheme="minorEastAsia" w:hAnsiTheme="minorEastAsia" w:eastAsiaTheme="minorEastAsia"/>
                <w:color w:val="auto"/>
                <w:highlight w:val="none"/>
              </w:rPr>
            </w:pPr>
          </w:p>
        </w:tc>
        <w:tc>
          <w:tcPr>
            <w:tcW w:w="2908" w:type="dxa"/>
            <w:vAlign w:val="center"/>
          </w:tcPr>
          <w:p w14:paraId="24E1542A">
            <w:pPr>
              <w:spacing w:line="380" w:lineRule="exact"/>
              <w:jc w:val="center"/>
              <w:rPr>
                <w:rFonts w:asciiTheme="minorEastAsia" w:hAnsiTheme="minorEastAsia" w:eastAsiaTheme="minorEastAsia"/>
                <w:color w:val="auto"/>
                <w:highlight w:val="none"/>
              </w:rPr>
            </w:pPr>
          </w:p>
        </w:tc>
        <w:tc>
          <w:tcPr>
            <w:tcW w:w="1578" w:type="dxa"/>
            <w:vAlign w:val="center"/>
          </w:tcPr>
          <w:p w14:paraId="1CEDB546">
            <w:pPr>
              <w:spacing w:line="380" w:lineRule="exact"/>
              <w:jc w:val="center"/>
              <w:rPr>
                <w:rFonts w:asciiTheme="minorEastAsia" w:hAnsiTheme="minorEastAsia" w:eastAsiaTheme="minorEastAsia"/>
                <w:color w:val="auto"/>
                <w:highlight w:val="none"/>
              </w:rPr>
            </w:pPr>
          </w:p>
        </w:tc>
      </w:tr>
      <w:tr w14:paraId="1BCD4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exact"/>
          <w:jc w:val="center"/>
        </w:trPr>
        <w:tc>
          <w:tcPr>
            <w:tcW w:w="794" w:type="dxa"/>
            <w:vAlign w:val="center"/>
          </w:tcPr>
          <w:p w14:paraId="166E5250">
            <w:pPr>
              <w:spacing w:line="380" w:lineRule="exact"/>
              <w:jc w:val="center"/>
              <w:rPr>
                <w:rFonts w:asciiTheme="minorEastAsia" w:hAnsiTheme="minorEastAsia" w:eastAsiaTheme="minorEastAsia"/>
                <w:color w:val="auto"/>
                <w:highlight w:val="none"/>
              </w:rPr>
            </w:pPr>
          </w:p>
        </w:tc>
        <w:tc>
          <w:tcPr>
            <w:tcW w:w="3360" w:type="dxa"/>
            <w:vAlign w:val="center"/>
          </w:tcPr>
          <w:p w14:paraId="5594D36A">
            <w:pPr>
              <w:spacing w:line="380" w:lineRule="exact"/>
              <w:jc w:val="center"/>
              <w:rPr>
                <w:rFonts w:asciiTheme="minorEastAsia" w:hAnsiTheme="minorEastAsia" w:eastAsiaTheme="minorEastAsia"/>
                <w:color w:val="auto"/>
                <w:highlight w:val="none"/>
              </w:rPr>
            </w:pPr>
          </w:p>
        </w:tc>
        <w:tc>
          <w:tcPr>
            <w:tcW w:w="2908" w:type="dxa"/>
            <w:vAlign w:val="center"/>
          </w:tcPr>
          <w:p w14:paraId="6E4438BA">
            <w:pPr>
              <w:spacing w:line="380" w:lineRule="exact"/>
              <w:jc w:val="center"/>
              <w:rPr>
                <w:rFonts w:asciiTheme="minorEastAsia" w:hAnsiTheme="minorEastAsia" w:eastAsiaTheme="minorEastAsia"/>
                <w:color w:val="auto"/>
                <w:highlight w:val="none"/>
              </w:rPr>
            </w:pPr>
          </w:p>
        </w:tc>
        <w:tc>
          <w:tcPr>
            <w:tcW w:w="1578" w:type="dxa"/>
            <w:vAlign w:val="center"/>
          </w:tcPr>
          <w:p w14:paraId="4A62D002">
            <w:pPr>
              <w:spacing w:line="380" w:lineRule="exact"/>
              <w:jc w:val="center"/>
              <w:rPr>
                <w:rFonts w:asciiTheme="minorEastAsia" w:hAnsiTheme="minorEastAsia" w:eastAsiaTheme="minorEastAsia"/>
                <w:color w:val="auto"/>
                <w:highlight w:val="none"/>
              </w:rPr>
            </w:pPr>
          </w:p>
        </w:tc>
      </w:tr>
      <w:tr w14:paraId="31396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exact"/>
          <w:jc w:val="center"/>
        </w:trPr>
        <w:tc>
          <w:tcPr>
            <w:tcW w:w="794" w:type="dxa"/>
            <w:vAlign w:val="center"/>
          </w:tcPr>
          <w:p w14:paraId="5538943F">
            <w:pPr>
              <w:spacing w:line="380" w:lineRule="exact"/>
              <w:jc w:val="center"/>
              <w:rPr>
                <w:rFonts w:asciiTheme="minorEastAsia" w:hAnsiTheme="minorEastAsia" w:eastAsiaTheme="minorEastAsia"/>
                <w:color w:val="auto"/>
                <w:highlight w:val="none"/>
              </w:rPr>
            </w:pPr>
          </w:p>
        </w:tc>
        <w:tc>
          <w:tcPr>
            <w:tcW w:w="3360" w:type="dxa"/>
            <w:vAlign w:val="center"/>
          </w:tcPr>
          <w:p w14:paraId="75E0462D">
            <w:pPr>
              <w:spacing w:line="380" w:lineRule="exact"/>
              <w:jc w:val="center"/>
              <w:rPr>
                <w:rFonts w:asciiTheme="minorEastAsia" w:hAnsiTheme="minorEastAsia" w:eastAsiaTheme="minorEastAsia"/>
                <w:color w:val="auto"/>
                <w:highlight w:val="none"/>
              </w:rPr>
            </w:pPr>
          </w:p>
        </w:tc>
        <w:tc>
          <w:tcPr>
            <w:tcW w:w="2908" w:type="dxa"/>
            <w:vAlign w:val="center"/>
          </w:tcPr>
          <w:p w14:paraId="041F6670">
            <w:pPr>
              <w:spacing w:line="380" w:lineRule="exact"/>
              <w:jc w:val="center"/>
              <w:rPr>
                <w:rFonts w:asciiTheme="minorEastAsia" w:hAnsiTheme="minorEastAsia" w:eastAsiaTheme="minorEastAsia"/>
                <w:color w:val="auto"/>
                <w:highlight w:val="none"/>
              </w:rPr>
            </w:pPr>
          </w:p>
        </w:tc>
        <w:tc>
          <w:tcPr>
            <w:tcW w:w="1578" w:type="dxa"/>
            <w:vAlign w:val="center"/>
          </w:tcPr>
          <w:p w14:paraId="0E15E306">
            <w:pPr>
              <w:spacing w:line="380" w:lineRule="exact"/>
              <w:jc w:val="center"/>
              <w:rPr>
                <w:rFonts w:asciiTheme="minorEastAsia" w:hAnsiTheme="minorEastAsia" w:eastAsiaTheme="minorEastAsia"/>
                <w:color w:val="auto"/>
                <w:highlight w:val="none"/>
              </w:rPr>
            </w:pPr>
          </w:p>
        </w:tc>
      </w:tr>
    </w:tbl>
    <w:p w14:paraId="5C9DF7F1">
      <w:pPr>
        <w:spacing w:line="360" w:lineRule="auto"/>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备注：1、本表应列明投标人对技术规格的偏离条款（正偏离或负偏离）；</w:t>
      </w:r>
    </w:p>
    <w:p w14:paraId="52A1EECC">
      <w:pPr>
        <w:spacing w:line="360" w:lineRule="auto"/>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2、无偏离应在本表“说明”处醒目地注明“无条款偏离”的字样。</w:t>
      </w:r>
    </w:p>
    <w:p w14:paraId="68CD2CF7">
      <w:pPr>
        <w:spacing w:line="360" w:lineRule="auto"/>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3、本表格供参考，投标人可根据项目实际情况自拟（增减）表格。</w:t>
      </w:r>
    </w:p>
    <w:p w14:paraId="7A28142A">
      <w:pPr>
        <w:spacing w:line="360" w:lineRule="auto"/>
        <w:rPr>
          <w:rFonts w:asciiTheme="minorEastAsia" w:hAnsiTheme="minorEastAsia" w:eastAsiaTheme="minorEastAsia"/>
          <w:color w:val="auto"/>
          <w:highlight w:val="none"/>
        </w:rPr>
      </w:pPr>
    </w:p>
    <w:p w14:paraId="6514C85F">
      <w:pPr>
        <w:spacing w:line="38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投标人（公章）：</w:t>
      </w:r>
    </w:p>
    <w:p w14:paraId="2600F1E6">
      <w:pPr>
        <w:spacing w:line="380" w:lineRule="exact"/>
        <w:rPr>
          <w:rFonts w:asciiTheme="minorEastAsia" w:hAnsiTheme="minorEastAsia" w:eastAsiaTheme="minorEastAsia"/>
          <w:color w:val="auto"/>
          <w:highlight w:val="none"/>
          <w:u w:val="single"/>
        </w:rPr>
      </w:pPr>
      <w:r>
        <w:rPr>
          <w:rFonts w:hint="eastAsia" w:asciiTheme="minorEastAsia" w:hAnsiTheme="minorEastAsia" w:eastAsiaTheme="minorEastAsia"/>
          <w:color w:val="auto"/>
          <w:highlight w:val="none"/>
        </w:rPr>
        <w:t>投标人代表（签字或印章）：</w:t>
      </w:r>
    </w:p>
    <w:p w14:paraId="167EF3AC">
      <w:pPr>
        <w:spacing w:line="380" w:lineRule="exact"/>
        <w:rPr>
          <w:rFonts w:asciiTheme="minorEastAsia" w:hAnsiTheme="minorEastAsia" w:eastAsiaTheme="minorEastAsia"/>
          <w:color w:val="auto"/>
          <w:sz w:val="22"/>
          <w:szCs w:val="22"/>
          <w:highlight w:val="none"/>
          <w:u w:val="single"/>
        </w:rPr>
      </w:pPr>
      <w:r>
        <w:rPr>
          <w:rFonts w:hint="eastAsia" w:asciiTheme="minorEastAsia" w:hAnsiTheme="minorEastAsia" w:eastAsiaTheme="minorEastAsia"/>
          <w:color w:val="auto"/>
          <w:highlight w:val="none"/>
        </w:rPr>
        <w:t>日期：</w:t>
      </w:r>
    </w:p>
    <w:p w14:paraId="073D4B9D">
      <w:pPr>
        <w:spacing w:line="380" w:lineRule="exact"/>
        <w:rPr>
          <w:rFonts w:asciiTheme="minorEastAsia" w:hAnsiTheme="minorEastAsia" w:eastAsiaTheme="minorEastAsia"/>
          <w:color w:val="auto"/>
          <w:sz w:val="24"/>
          <w:highlight w:val="none"/>
        </w:rPr>
      </w:pPr>
    </w:p>
    <w:p w14:paraId="23EF29C5">
      <w:pPr>
        <w:pStyle w:val="4"/>
        <w:spacing w:line="380" w:lineRule="exact"/>
        <w:rPr>
          <w:rFonts w:asciiTheme="minorEastAsia" w:hAnsiTheme="minorEastAsia" w:eastAsiaTheme="minorEastAsia"/>
          <w:bCs w:val="0"/>
          <w:color w:val="auto"/>
          <w:sz w:val="28"/>
          <w:szCs w:val="28"/>
          <w:highlight w:val="none"/>
        </w:rPr>
      </w:pPr>
      <w:bookmarkStart w:id="138" w:name="_Toc141797697"/>
      <w:bookmarkStart w:id="139" w:name="_Toc141797141"/>
      <w:r>
        <w:rPr>
          <w:rFonts w:hint="eastAsia" w:asciiTheme="minorEastAsia" w:hAnsiTheme="minorEastAsia" w:eastAsiaTheme="minorEastAsia"/>
          <w:bCs w:val="0"/>
          <w:color w:val="auto"/>
          <w:sz w:val="28"/>
          <w:szCs w:val="28"/>
          <w:highlight w:val="none"/>
        </w:rPr>
        <w:t>（四）商务条款偏离表</w:t>
      </w:r>
      <w:bookmarkEnd w:id="138"/>
      <w:bookmarkEnd w:id="139"/>
    </w:p>
    <w:p w14:paraId="50108D95">
      <w:pPr>
        <w:spacing w:line="380" w:lineRule="exact"/>
        <w:rPr>
          <w:rFonts w:asciiTheme="minorEastAsia" w:hAnsiTheme="minorEastAsia" w:eastAsiaTheme="minorEastAsia"/>
          <w:color w:val="auto"/>
          <w:sz w:val="24"/>
          <w:highlight w:val="none"/>
        </w:rPr>
      </w:pPr>
    </w:p>
    <w:tbl>
      <w:tblPr>
        <w:tblStyle w:val="38"/>
        <w:tblW w:w="876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5"/>
        <w:gridCol w:w="3418"/>
        <w:gridCol w:w="2891"/>
        <w:gridCol w:w="1618"/>
      </w:tblGrid>
      <w:tr w14:paraId="350B5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835" w:type="dxa"/>
            <w:vAlign w:val="center"/>
          </w:tcPr>
          <w:p w14:paraId="7DB3C1BA">
            <w:pPr>
              <w:spacing w:line="380" w:lineRule="exact"/>
              <w:jc w:val="center"/>
              <w:rPr>
                <w:rFonts w:asciiTheme="minorEastAsia" w:hAnsiTheme="minorEastAsia" w:eastAsiaTheme="minorEastAsia"/>
                <w:color w:val="auto"/>
                <w:sz w:val="22"/>
                <w:szCs w:val="22"/>
                <w:highlight w:val="none"/>
              </w:rPr>
            </w:pPr>
            <w:r>
              <w:rPr>
                <w:rFonts w:hint="eastAsia" w:asciiTheme="minorEastAsia" w:hAnsiTheme="minorEastAsia" w:eastAsiaTheme="minorEastAsia"/>
                <w:color w:val="auto"/>
                <w:sz w:val="22"/>
                <w:szCs w:val="22"/>
                <w:highlight w:val="none"/>
              </w:rPr>
              <w:t>序号</w:t>
            </w:r>
          </w:p>
        </w:tc>
        <w:tc>
          <w:tcPr>
            <w:tcW w:w="3418" w:type="dxa"/>
            <w:vAlign w:val="center"/>
          </w:tcPr>
          <w:p w14:paraId="12D3A14C">
            <w:pPr>
              <w:spacing w:line="380" w:lineRule="exact"/>
              <w:jc w:val="center"/>
              <w:rPr>
                <w:rFonts w:asciiTheme="minorEastAsia" w:hAnsiTheme="minorEastAsia" w:eastAsiaTheme="minorEastAsia"/>
                <w:color w:val="auto"/>
                <w:sz w:val="22"/>
                <w:szCs w:val="22"/>
                <w:highlight w:val="none"/>
              </w:rPr>
            </w:pPr>
            <w:r>
              <w:rPr>
                <w:rFonts w:hint="eastAsia" w:asciiTheme="minorEastAsia" w:hAnsiTheme="minorEastAsia" w:eastAsiaTheme="minorEastAsia"/>
                <w:color w:val="auto"/>
                <w:sz w:val="22"/>
                <w:szCs w:val="22"/>
                <w:highlight w:val="none"/>
              </w:rPr>
              <w:t>招标文件的商务条款</w:t>
            </w:r>
          </w:p>
        </w:tc>
        <w:tc>
          <w:tcPr>
            <w:tcW w:w="2891" w:type="dxa"/>
            <w:vAlign w:val="center"/>
          </w:tcPr>
          <w:p w14:paraId="099BD92B">
            <w:pPr>
              <w:spacing w:line="380" w:lineRule="exact"/>
              <w:jc w:val="center"/>
              <w:rPr>
                <w:rFonts w:asciiTheme="minorEastAsia" w:hAnsiTheme="minorEastAsia" w:eastAsiaTheme="minorEastAsia"/>
                <w:color w:val="auto"/>
                <w:sz w:val="22"/>
                <w:szCs w:val="22"/>
                <w:highlight w:val="none"/>
              </w:rPr>
            </w:pPr>
            <w:r>
              <w:rPr>
                <w:rFonts w:hint="eastAsia" w:asciiTheme="minorEastAsia" w:hAnsiTheme="minorEastAsia" w:eastAsiaTheme="minorEastAsia"/>
                <w:color w:val="auto"/>
                <w:sz w:val="22"/>
                <w:szCs w:val="22"/>
                <w:highlight w:val="none"/>
              </w:rPr>
              <w:t>投标文件的商务条款</w:t>
            </w:r>
          </w:p>
        </w:tc>
        <w:tc>
          <w:tcPr>
            <w:tcW w:w="1618" w:type="dxa"/>
            <w:vAlign w:val="center"/>
          </w:tcPr>
          <w:p w14:paraId="644EE602">
            <w:pPr>
              <w:spacing w:line="380" w:lineRule="exact"/>
              <w:jc w:val="center"/>
              <w:rPr>
                <w:rFonts w:asciiTheme="minorEastAsia" w:hAnsiTheme="minorEastAsia" w:eastAsiaTheme="minorEastAsia"/>
                <w:color w:val="auto"/>
                <w:sz w:val="22"/>
                <w:szCs w:val="22"/>
                <w:highlight w:val="none"/>
              </w:rPr>
            </w:pPr>
            <w:r>
              <w:rPr>
                <w:rFonts w:hint="eastAsia" w:asciiTheme="minorEastAsia" w:hAnsiTheme="minorEastAsia" w:eastAsiaTheme="minorEastAsia"/>
                <w:color w:val="auto"/>
                <w:sz w:val="22"/>
                <w:szCs w:val="22"/>
                <w:highlight w:val="none"/>
              </w:rPr>
              <w:t>说明</w:t>
            </w:r>
          </w:p>
        </w:tc>
      </w:tr>
      <w:tr w14:paraId="24BAE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835" w:type="dxa"/>
            <w:vAlign w:val="center"/>
          </w:tcPr>
          <w:p w14:paraId="48BD0FE9">
            <w:pPr>
              <w:spacing w:line="380" w:lineRule="exact"/>
              <w:jc w:val="center"/>
              <w:rPr>
                <w:rFonts w:asciiTheme="minorEastAsia" w:hAnsiTheme="minorEastAsia" w:eastAsiaTheme="minorEastAsia"/>
                <w:color w:val="auto"/>
                <w:sz w:val="22"/>
                <w:szCs w:val="22"/>
                <w:highlight w:val="none"/>
              </w:rPr>
            </w:pPr>
          </w:p>
        </w:tc>
        <w:tc>
          <w:tcPr>
            <w:tcW w:w="3418" w:type="dxa"/>
            <w:vAlign w:val="center"/>
          </w:tcPr>
          <w:p w14:paraId="79C5D991">
            <w:pPr>
              <w:spacing w:line="380" w:lineRule="exact"/>
              <w:jc w:val="center"/>
              <w:rPr>
                <w:rFonts w:asciiTheme="minorEastAsia" w:hAnsiTheme="minorEastAsia" w:eastAsiaTheme="minorEastAsia"/>
                <w:color w:val="auto"/>
                <w:sz w:val="22"/>
                <w:szCs w:val="22"/>
                <w:highlight w:val="none"/>
              </w:rPr>
            </w:pPr>
          </w:p>
        </w:tc>
        <w:tc>
          <w:tcPr>
            <w:tcW w:w="2891" w:type="dxa"/>
            <w:vAlign w:val="center"/>
          </w:tcPr>
          <w:p w14:paraId="194E1F0B">
            <w:pPr>
              <w:spacing w:line="380" w:lineRule="exact"/>
              <w:jc w:val="center"/>
              <w:rPr>
                <w:rFonts w:asciiTheme="minorEastAsia" w:hAnsiTheme="minorEastAsia" w:eastAsiaTheme="minorEastAsia"/>
                <w:color w:val="auto"/>
                <w:sz w:val="22"/>
                <w:szCs w:val="22"/>
                <w:highlight w:val="none"/>
              </w:rPr>
            </w:pPr>
          </w:p>
        </w:tc>
        <w:tc>
          <w:tcPr>
            <w:tcW w:w="1618" w:type="dxa"/>
            <w:vAlign w:val="center"/>
          </w:tcPr>
          <w:p w14:paraId="43EF5ED7">
            <w:pPr>
              <w:spacing w:line="380" w:lineRule="exact"/>
              <w:jc w:val="center"/>
              <w:rPr>
                <w:rFonts w:asciiTheme="minorEastAsia" w:hAnsiTheme="minorEastAsia" w:eastAsiaTheme="minorEastAsia"/>
                <w:color w:val="auto"/>
                <w:sz w:val="22"/>
                <w:szCs w:val="22"/>
                <w:highlight w:val="none"/>
              </w:rPr>
            </w:pPr>
          </w:p>
        </w:tc>
      </w:tr>
      <w:tr w14:paraId="799C6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835" w:type="dxa"/>
            <w:vAlign w:val="center"/>
          </w:tcPr>
          <w:p w14:paraId="16C524D9">
            <w:pPr>
              <w:spacing w:line="380" w:lineRule="exact"/>
              <w:jc w:val="center"/>
              <w:rPr>
                <w:rFonts w:asciiTheme="minorEastAsia" w:hAnsiTheme="minorEastAsia" w:eastAsiaTheme="minorEastAsia"/>
                <w:color w:val="auto"/>
                <w:sz w:val="22"/>
                <w:szCs w:val="22"/>
                <w:highlight w:val="none"/>
              </w:rPr>
            </w:pPr>
          </w:p>
        </w:tc>
        <w:tc>
          <w:tcPr>
            <w:tcW w:w="3418" w:type="dxa"/>
            <w:vAlign w:val="center"/>
          </w:tcPr>
          <w:p w14:paraId="79F49C27">
            <w:pPr>
              <w:spacing w:line="380" w:lineRule="exact"/>
              <w:jc w:val="center"/>
              <w:rPr>
                <w:rFonts w:asciiTheme="minorEastAsia" w:hAnsiTheme="minorEastAsia" w:eastAsiaTheme="minorEastAsia"/>
                <w:color w:val="auto"/>
                <w:sz w:val="22"/>
                <w:szCs w:val="22"/>
                <w:highlight w:val="none"/>
              </w:rPr>
            </w:pPr>
          </w:p>
        </w:tc>
        <w:tc>
          <w:tcPr>
            <w:tcW w:w="2891" w:type="dxa"/>
            <w:vAlign w:val="center"/>
          </w:tcPr>
          <w:p w14:paraId="3FB2599A">
            <w:pPr>
              <w:spacing w:line="380" w:lineRule="exact"/>
              <w:jc w:val="center"/>
              <w:rPr>
                <w:rFonts w:asciiTheme="minorEastAsia" w:hAnsiTheme="minorEastAsia" w:eastAsiaTheme="minorEastAsia"/>
                <w:color w:val="auto"/>
                <w:sz w:val="22"/>
                <w:szCs w:val="22"/>
                <w:highlight w:val="none"/>
              </w:rPr>
            </w:pPr>
          </w:p>
        </w:tc>
        <w:tc>
          <w:tcPr>
            <w:tcW w:w="1618" w:type="dxa"/>
            <w:vAlign w:val="center"/>
          </w:tcPr>
          <w:p w14:paraId="201D5D0B">
            <w:pPr>
              <w:spacing w:line="380" w:lineRule="exact"/>
              <w:jc w:val="center"/>
              <w:rPr>
                <w:rFonts w:asciiTheme="minorEastAsia" w:hAnsiTheme="minorEastAsia" w:eastAsiaTheme="minorEastAsia"/>
                <w:color w:val="auto"/>
                <w:sz w:val="22"/>
                <w:szCs w:val="22"/>
                <w:highlight w:val="none"/>
              </w:rPr>
            </w:pPr>
          </w:p>
        </w:tc>
      </w:tr>
      <w:tr w14:paraId="03AC4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835" w:type="dxa"/>
            <w:vAlign w:val="center"/>
          </w:tcPr>
          <w:p w14:paraId="48E108AF">
            <w:pPr>
              <w:spacing w:line="380" w:lineRule="exact"/>
              <w:jc w:val="center"/>
              <w:rPr>
                <w:rFonts w:asciiTheme="minorEastAsia" w:hAnsiTheme="minorEastAsia" w:eastAsiaTheme="minorEastAsia"/>
                <w:color w:val="auto"/>
                <w:sz w:val="22"/>
                <w:szCs w:val="22"/>
                <w:highlight w:val="none"/>
              </w:rPr>
            </w:pPr>
          </w:p>
        </w:tc>
        <w:tc>
          <w:tcPr>
            <w:tcW w:w="3418" w:type="dxa"/>
            <w:vAlign w:val="center"/>
          </w:tcPr>
          <w:p w14:paraId="7E65E6F6">
            <w:pPr>
              <w:spacing w:line="380" w:lineRule="exact"/>
              <w:jc w:val="center"/>
              <w:rPr>
                <w:rFonts w:asciiTheme="minorEastAsia" w:hAnsiTheme="minorEastAsia" w:eastAsiaTheme="minorEastAsia"/>
                <w:color w:val="auto"/>
                <w:sz w:val="22"/>
                <w:szCs w:val="22"/>
                <w:highlight w:val="none"/>
              </w:rPr>
            </w:pPr>
          </w:p>
        </w:tc>
        <w:tc>
          <w:tcPr>
            <w:tcW w:w="2891" w:type="dxa"/>
            <w:vAlign w:val="center"/>
          </w:tcPr>
          <w:p w14:paraId="392041EC">
            <w:pPr>
              <w:spacing w:line="380" w:lineRule="exact"/>
              <w:jc w:val="center"/>
              <w:rPr>
                <w:rFonts w:asciiTheme="minorEastAsia" w:hAnsiTheme="minorEastAsia" w:eastAsiaTheme="minorEastAsia"/>
                <w:color w:val="auto"/>
                <w:sz w:val="22"/>
                <w:szCs w:val="22"/>
                <w:highlight w:val="none"/>
              </w:rPr>
            </w:pPr>
          </w:p>
        </w:tc>
        <w:tc>
          <w:tcPr>
            <w:tcW w:w="1618" w:type="dxa"/>
            <w:vAlign w:val="center"/>
          </w:tcPr>
          <w:p w14:paraId="1EBC5864">
            <w:pPr>
              <w:spacing w:line="380" w:lineRule="exact"/>
              <w:jc w:val="center"/>
              <w:rPr>
                <w:rFonts w:asciiTheme="minorEastAsia" w:hAnsiTheme="minorEastAsia" w:eastAsiaTheme="minorEastAsia"/>
                <w:color w:val="auto"/>
                <w:sz w:val="22"/>
                <w:szCs w:val="22"/>
                <w:highlight w:val="none"/>
              </w:rPr>
            </w:pPr>
          </w:p>
        </w:tc>
      </w:tr>
    </w:tbl>
    <w:p w14:paraId="27B7B94C">
      <w:pPr>
        <w:spacing w:line="360" w:lineRule="auto"/>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备注：1、列明招标文件的商务条款与投标文件对应响应，并说明偏离状况（正偏离或负偏离）；2、无偏离应在本表“说明”处醒目地注明“无条款偏离”的字样。</w:t>
      </w:r>
    </w:p>
    <w:p w14:paraId="3E982D28">
      <w:pPr>
        <w:spacing w:line="360" w:lineRule="auto"/>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3、本表格供参考，投标人可根据项目实际情况自拟（增减）表格。</w:t>
      </w:r>
    </w:p>
    <w:p w14:paraId="428932A9">
      <w:pPr>
        <w:spacing w:line="380" w:lineRule="exact"/>
        <w:rPr>
          <w:rFonts w:asciiTheme="minorEastAsia" w:hAnsiTheme="minorEastAsia" w:eastAsiaTheme="minorEastAsia"/>
          <w:color w:val="auto"/>
          <w:highlight w:val="none"/>
        </w:rPr>
      </w:pPr>
    </w:p>
    <w:p w14:paraId="025A7F46">
      <w:pPr>
        <w:spacing w:line="38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投标人（公章）：</w:t>
      </w:r>
    </w:p>
    <w:p w14:paraId="401A168D">
      <w:pPr>
        <w:spacing w:line="380" w:lineRule="exact"/>
        <w:rPr>
          <w:rFonts w:asciiTheme="minorEastAsia" w:hAnsiTheme="minorEastAsia" w:eastAsiaTheme="minorEastAsia"/>
          <w:color w:val="auto"/>
          <w:highlight w:val="none"/>
          <w:u w:val="single"/>
        </w:rPr>
      </w:pPr>
      <w:r>
        <w:rPr>
          <w:rFonts w:hint="eastAsia" w:asciiTheme="minorEastAsia" w:hAnsiTheme="minorEastAsia" w:eastAsiaTheme="minorEastAsia"/>
          <w:color w:val="auto"/>
          <w:highlight w:val="none"/>
        </w:rPr>
        <w:t>投标人代表（签字或印章）：</w:t>
      </w:r>
    </w:p>
    <w:p w14:paraId="64A84996">
      <w:pPr>
        <w:spacing w:line="380" w:lineRule="exact"/>
        <w:rPr>
          <w:rFonts w:asciiTheme="minorEastAsia" w:hAnsiTheme="minorEastAsia" w:eastAsiaTheme="minorEastAsia"/>
          <w:color w:val="auto"/>
          <w:highlight w:val="none"/>
          <w:u w:val="single"/>
        </w:rPr>
      </w:pPr>
      <w:r>
        <w:rPr>
          <w:rFonts w:hint="eastAsia" w:asciiTheme="minorEastAsia" w:hAnsiTheme="minorEastAsia" w:eastAsiaTheme="minorEastAsia"/>
          <w:color w:val="auto"/>
          <w:highlight w:val="none"/>
        </w:rPr>
        <w:t>日期：</w:t>
      </w:r>
    </w:p>
    <w:p w14:paraId="244B3B95">
      <w:pPr>
        <w:pStyle w:val="4"/>
        <w:spacing w:line="380" w:lineRule="exact"/>
        <w:rPr>
          <w:rFonts w:ascii="宋体" w:hAnsi="宋体" w:cs="宋体"/>
          <w:color w:val="auto"/>
          <w:sz w:val="28"/>
          <w:szCs w:val="28"/>
          <w:highlight w:val="none"/>
        </w:rPr>
      </w:pPr>
    </w:p>
    <w:p w14:paraId="570FF6C3">
      <w:pPr>
        <w:pStyle w:val="4"/>
        <w:spacing w:line="380" w:lineRule="exact"/>
        <w:rPr>
          <w:rFonts w:asciiTheme="minorEastAsia" w:hAnsiTheme="minorEastAsia" w:eastAsiaTheme="minorEastAsia"/>
          <w:color w:val="auto"/>
          <w:sz w:val="24"/>
          <w:szCs w:val="24"/>
          <w:highlight w:val="none"/>
        </w:rPr>
      </w:pPr>
      <w:bookmarkStart w:id="140" w:name="_Toc141797698"/>
      <w:bookmarkStart w:id="141" w:name="_Toc141797142"/>
      <w:r>
        <w:rPr>
          <w:rFonts w:hint="eastAsia" w:ascii="宋体" w:hAnsi="宋体" w:cs="宋体"/>
          <w:color w:val="auto"/>
          <w:sz w:val="28"/>
          <w:szCs w:val="28"/>
          <w:highlight w:val="none"/>
        </w:rPr>
        <w:t>（五）</w:t>
      </w:r>
      <w:bookmarkEnd w:id="140"/>
      <w:bookmarkEnd w:id="141"/>
      <w:r>
        <w:rPr>
          <w:rFonts w:hint="eastAsia" w:asciiTheme="minorEastAsia" w:hAnsiTheme="minorEastAsia" w:eastAsiaTheme="minorEastAsia"/>
          <w:color w:val="auto"/>
          <w:sz w:val="24"/>
          <w:szCs w:val="24"/>
          <w:highlight w:val="none"/>
        </w:rPr>
        <w:t>第</w:t>
      </w:r>
      <w:r>
        <w:rPr>
          <w:rFonts w:hint="eastAsia" w:asciiTheme="minorEastAsia" w:hAnsiTheme="minorEastAsia" w:eastAsiaTheme="minorEastAsia"/>
          <w:color w:val="auto"/>
          <w:sz w:val="24"/>
          <w:szCs w:val="24"/>
          <w:highlight w:val="none"/>
          <w:lang w:val="en-US" w:eastAsia="zh-CN"/>
        </w:rPr>
        <w:t>五</w:t>
      </w:r>
      <w:r>
        <w:rPr>
          <w:rFonts w:hint="eastAsia" w:asciiTheme="minorEastAsia" w:hAnsiTheme="minorEastAsia" w:eastAsiaTheme="minorEastAsia"/>
          <w:color w:val="auto"/>
          <w:sz w:val="24"/>
          <w:szCs w:val="24"/>
          <w:highlight w:val="none"/>
        </w:rPr>
        <w:t>部分“评标办法”中“评分标准”要求提供的资料（如有需提供）</w:t>
      </w:r>
    </w:p>
    <w:p w14:paraId="30D5FC1C">
      <w:pPr>
        <w:jc w:val="center"/>
        <w:rPr>
          <w:rFonts w:asciiTheme="minorEastAsia" w:hAnsiTheme="minorEastAsia" w:eastAsiaTheme="minorEastAsia"/>
          <w:b/>
          <w:color w:val="auto"/>
          <w:sz w:val="24"/>
          <w:szCs w:val="24"/>
          <w:highlight w:val="none"/>
        </w:rPr>
      </w:pPr>
    </w:p>
    <w:p w14:paraId="139F552A">
      <w:pPr>
        <w:jc w:val="center"/>
        <w:rPr>
          <w:rFonts w:hint="eastAsia" w:ascii="宋体" w:hAnsi="宋体" w:eastAsia="宋体"/>
          <w:b/>
          <w:color w:val="auto"/>
          <w:sz w:val="24"/>
          <w:szCs w:val="24"/>
          <w:highlight w:val="none"/>
          <w:lang w:eastAsia="zh-CN"/>
        </w:rPr>
      </w:pPr>
      <w:r>
        <w:rPr>
          <w:rFonts w:hint="eastAsia" w:ascii="宋体" w:hAnsi="宋体"/>
          <w:b/>
          <w:color w:val="auto"/>
          <w:sz w:val="24"/>
          <w:szCs w:val="24"/>
          <w:highlight w:val="none"/>
        </w:rPr>
        <w:t>1.1投标人自202</w:t>
      </w:r>
      <w:r>
        <w:rPr>
          <w:rFonts w:hint="eastAsia" w:ascii="宋体" w:hAnsi="宋体"/>
          <w:b/>
          <w:color w:val="auto"/>
          <w:sz w:val="24"/>
          <w:szCs w:val="24"/>
          <w:highlight w:val="none"/>
          <w:lang w:val="en-US" w:eastAsia="zh-CN"/>
        </w:rPr>
        <w:t>3</w:t>
      </w:r>
      <w:r>
        <w:rPr>
          <w:rFonts w:hint="eastAsia" w:ascii="宋体" w:hAnsi="宋体"/>
          <w:b/>
          <w:color w:val="auto"/>
          <w:sz w:val="24"/>
          <w:szCs w:val="24"/>
          <w:highlight w:val="none"/>
        </w:rPr>
        <w:t>年1月1日以来</w:t>
      </w:r>
      <w:r>
        <w:rPr>
          <w:rFonts w:hint="eastAsia" w:ascii="宋体" w:hAnsi="宋体"/>
          <w:b/>
          <w:color w:val="auto"/>
          <w:sz w:val="24"/>
          <w:szCs w:val="24"/>
          <w:highlight w:val="none"/>
          <w:lang w:val="en-US" w:eastAsia="zh-CN"/>
        </w:rPr>
        <w:t>类似</w:t>
      </w:r>
      <w:r>
        <w:rPr>
          <w:rFonts w:hint="eastAsia" w:ascii="宋体" w:hAnsi="宋体"/>
          <w:b/>
          <w:color w:val="auto"/>
          <w:sz w:val="24"/>
          <w:szCs w:val="24"/>
          <w:highlight w:val="none"/>
        </w:rPr>
        <w:t>项目业绩汇总表</w:t>
      </w:r>
    </w:p>
    <w:tbl>
      <w:tblPr>
        <w:tblStyle w:val="38"/>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2268"/>
        <w:gridCol w:w="2268"/>
        <w:gridCol w:w="2977"/>
      </w:tblGrid>
      <w:tr w14:paraId="60358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trPr>
        <w:tc>
          <w:tcPr>
            <w:tcW w:w="1242" w:type="dxa"/>
            <w:vAlign w:val="center"/>
          </w:tcPr>
          <w:p w14:paraId="3EE51E26">
            <w:pPr>
              <w:pStyle w:val="132"/>
              <w:jc w:val="center"/>
              <w:rPr>
                <w:bCs w:val="0"/>
                <w:color w:val="auto"/>
                <w:sz w:val="24"/>
                <w:szCs w:val="24"/>
                <w:highlight w:val="none"/>
                <w:lang w:val="en-US"/>
              </w:rPr>
            </w:pPr>
            <w:r>
              <w:rPr>
                <w:rFonts w:hint="eastAsia"/>
                <w:bCs w:val="0"/>
                <w:color w:val="auto"/>
                <w:sz w:val="24"/>
                <w:szCs w:val="24"/>
                <w:highlight w:val="none"/>
                <w:lang w:val="en-US"/>
              </w:rPr>
              <w:t>项目序号</w:t>
            </w:r>
          </w:p>
        </w:tc>
        <w:tc>
          <w:tcPr>
            <w:tcW w:w="2268" w:type="dxa"/>
            <w:vAlign w:val="center"/>
          </w:tcPr>
          <w:p w14:paraId="0C1FA808">
            <w:pPr>
              <w:pStyle w:val="132"/>
              <w:jc w:val="center"/>
              <w:rPr>
                <w:bCs w:val="0"/>
                <w:color w:val="auto"/>
                <w:sz w:val="24"/>
                <w:szCs w:val="24"/>
                <w:highlight w:val="none"/>
                <w:lang w:val="en-US"/>
              </w:rPr>
            </w:pPr>
            <w:r>
              <w:rPr>
                <w:rFonts w:hint="eastAsia"/>
                <w:bCs w:val="0"/>
                <w:color w:val="auto"/>
                <w:sz w:val="24"/>
                <w:szCs w:val="24"/>
                <w:highlight w:val="none"/>
                <w:lang w:val="en-US"/>
              </w:rPr>
              <w:t>项目名称</w:t>
            </w:r>
          </w:p>
        </w:tc>
        <w:tc>
          <w:tcPr>
            <w:tcW w:w="2268" w:type="dxa"/>
            <w:vAlign w:val="center"/>
          </w:tcPr>
          <w:p w14:paraId="194E83B3">
            <w:pPr>
              <w:pStyle w:val="132"/>
              <w:jc w:val="center"/>
              <w:rPr>
                <w:bCs w:val="0"/>
                <w:color w:val="auto"/>
                <w:sz w:val="24"/>
                <w:szCs w:val="24"/>
                <w:highlight w:val="none"/>
                <w:lang w:val="en-US"/>
              </w:rPr>
            </w:pPr>
            <w:r>
              <w:rPr>
                <w:rFonts w:hint="eastAsia"/>
                <w:bCs w:val="0"/>
                <w:color w:val="auto"/>
                <w:sz w:val="24"/>
                <w:szCs w:val="24"/>
                <w:highlight w:val="none"/>
                <w:lang w:val="en-US"/>
              </w:rPr>
              <w:t>发包人名称</w:t>
            </w:r>
          </w:p>
        </w:tc>
        <w:tc>
          <w:tcPr>
            <w:tcW w:w="2977" w:type="dxa"/>
            <w:vAlign w:val="center"/>
          </w:tcPr>
          <w:p w14:paraId="4407B9E5">
            <w:pPr>
              <w:pStyle w:val="132"/>
              <w:jc w:val="center"/>
              <w:rPr>
                <w:rFonts w:hint="default" w:eastAsia="宋体"/>
                <w:bCs w:val="0"/>
                <w:color w:val="auto"/>
                <w:sz w:val="24"/>
                <w:szCs w:val="24"/>
                <w:highlight w:val="none"/>
                <w:lang w:val="en-US" w:eastAsia="zh-CN"/>
              </w:rPr>
            </w:pPr>
            <w:r>
              <w:rPr>
                <w:rFonts w:hint="eastAsia"/>
                <w:bCs w:val="0"/>
                <w:color w:val="auto"/>
                <w:sz w:val="24"/>
                <w:szCs w:val="24"/>
                <w:highlight w:val="none"/>
                <w:lang w:val="en-US" w:eastAsia="zh-CN"/>
              </w:rPr>
              <w:t>合同签订时间</w:t>
            </w:r>
          </w:p>
        </w:tc>
      </w:tr>
      <w:tr w14:paraId="2925B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trPr>
        <w:tc>
          <w:tcPr>
            <w:tcW w:w="1242" w:type="dxa"/>
            <w:vAlign w:val="center"/>
          </w:tcPr>
          <w:p w14:paraId="4B18BA06">
            <w:pPr>
              <w:pStyle w:val="132"/>
              <w:jc w:val="center"/>
              <w:rPr>
                <w:bCs w:val="0"/>
                <w:color w:val="auto"/>
                <w:sz w:val="24"/>
                <w:szCs w:val="24"/>
                <w:highlight w:val="none"/>
                <w:lang w:val="en-US"/>
              </w:rPr>
            </w:pPr>
          </w:p>
        </w:tc>
        <w:tc>
          <w:tcPr>
            <w:tcW w:w="2268" w:type="dxa"/>
            <w:vAlign w:val="center"/>
          </w:tcPr>
          <w:p w14:paraId="0F2E1FB8">
            <w:pPr>
              <w:pStyle w:val="132"/>
              <w:jc w:val="center"/>
              <w:rPr>
                <w:bCs w:val="0"/>
                <w:color w:val="auto"/>
                <w:sz w:val="24"/>
                <w:szCs w:val="24"/>
                <w:highlight w:val="none"/>
                <w:lang w:val="en-US"/>
              </w:rPr>
            </w:pPr>
          </w:p>
        </w:tc>
        <w:tc>
          <w:tcPr>
            <w:tcW w:w="2268" w:type="dxa"/>
            <w:vAlign w:val="center"/>
          </w:tcPr>
          <w:p w14:paraId="2653E76C">
            <w:pPr>
              <w:pStyle w:val="132"/>
              <w:jc w:val="center"/>
              <w:rPr>
                <w:bCs w:val="0"/>
                <w:color w:val="auto"/>
                <w:sz w:val="24"/>
                <w:szCs w:val="24"/>
                <w:highlight w:val="none"/>
                <w:lang w:val="en-US"/>
              </w:rPr>
            </w:pPr>
          </w:p>
        </w:tc>
        <w:tc>
          <w:tcPr>
            <w:tcW w:w="2977" w:type="dxa"/>
            <w:vAlign w:val="center"/>
          </w:tcPr>
          <w:p w14:paraId="534D39D4">
            <w:pPr>
              <w:pStyle w:val="132"/>
              <w:jc w:val="center"/>
              <w:rPr>
                <w:bCs w:val="0"/>
                <w:color w:val="auto"/>
                <w:sz w:val="24"/>
                <w:szCs w:val="24"/>
                <w:highlight w:val="none"/>
                <w:lang w:val="en-US"/>
              </w:rPr>
            </w:pPr>
          </w:p>
        </w:tc>
      </w:tr>
      <w:tr w14:paraId="0922E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trPr>
        <w:tc>
          <w:tcPr>
            <w:tcW w:w="1242" w:type="dxa"/>
            <w:vAlign w:val="center"/>
          </w:tcPr>
          <w:p w14:paraId="57EFD8A5">
            <w:pPr>
              <w:pStyle w:val="132"/>
              <w:jc w:val="center"/>
              <w:rPr>
                <w:bCs w:val="0"/>
                <w:color w:val="auto"/>
                <w:sz w:val="24"/>
                <w:szCs w:val="24"/>
                <w:highlight w:val="none"/>
                <w:lang w:val="en-US"/>
              </w:rPr>
            </w:pPr>
          </w:p>
        </w:tc>
        <w:tc>
          <w:tcPr>
            <w:tcW w:w="2268" w:type="dxa"/>
            <w:vAlign w:val="center"/>
          </w:tcPr>
          <w:p w14:paraId="1224A633">
            <w:pPr>
              <w:pStyle w:val="132"/>
              <w:jc w:val="center"/>
              <w:rPr>
                <w:bCs w:val="0"/>
                <w:color w:val="auto"/>
                <w:sz w:val="24"/>
                <w:szCs w:val="24"/>
                <w:highlight w:val="none"/>
                <w:lang w:val="en-US"/>
              </w:rPr>
            </w:pPr>
          </w:p>
        </w:tc>
        <w:tc>
          <w:tcPr>
            <w:tcW w:w="2268" w:type="dxa"/>
            <w:vAlign w:val="center"/>
          </w:tcPr>
          <w:p w14:paraId="410882A3">
            <w:pPr>
              <w:pStyle w:val="132"/>
              <w:jc w:val="center"/>
              <w:rPr>
                <w:bCs w:val="0"/>
                <w:color w:val="auto"/>
                <w:sz w:val="24"/>
                <w:szCs w:val="24"/>
                <w:highlight w:val="none"/>
                <w:lang w:val="en-US"/>
              </w:rPr>
            </w:pPr>
          </w:p>
        </w:tc>
        <w:tc>
          <w:tcPr>
            <w:tcW w:w="2977" w:type="dxa"/>
            <w:vAlign w:val="center"/>
          </w:tcPr>
          <w:p w14:paraId="38D6C4C1">
            <w:pPr>
              <w:pStyle w:val="132"/>
              <w:jc w:val="center"/>
              <w:rPr>
                <w:bCs w:val="0"/>
                <w:color w:val="auto"/>
                <w:sz w:val="24"/>
                <w:szCs w:val="24"/>
                <w:highlight w:val="none"/>
                <w:lang w:val="en-US"/>
              </w:rPr>
            </w:pPr>
          </w:p>
        </w:tc>
      </w:tr>
      <w:tr w14:paraId="666AC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trPr>
        <w:tc>
          <w:tcPr>
            <w:tcW w:w="1242" w:type="dxa"/>
            <w:vAlign w:val="center"/>
          </w:tcPr>
          <w:p w14:paraId="0FD48015">
            <w:pPr>
              <w:pStyle w:val="132"/>
              <w:jc w:val="center"/>
              <w:rPr>
                <w:bCs w:val="0"/>
                <w:color w:val="auto"/>
                <w:sz w:val="24"/>
                <w:szCs w:val="24"/>
                <w:highlight w:val="none"/>
                <w:lang w:val="en-US"/>
              </w:rPr>
            </w:pPr>
          </w:p>
        </w:tc>
        <w:tc>
          <w:tcPr>
            <w:tcW w:w="2268" w:type="dxa"/>
            <w:vAlign w:val="center"/>
          </w:tcPr>
          <w:p w14:paraId="55B9FEE3">
            <w:pPr>
              <w:pStyle w:val="132"/>
              <w:jc w:val="center"/>
              <w:rPr>
                <w:bCs w:val="0"/>
                <w:color w:val="auto"/>
                <w:sz w:val="24"/>
                <w:szCs w:val="24"/>
                <w:highlight w:val="none"/>
                <w:lang w:val="en-US"/>
              </w:rPr>
            </w:pPr>
          </w:p>
        </w:tc>
        <w:tc>
          <w:tcPr>
            <w:tcW w:w="2268" w:type="dxa"/>
            <w:vAlign w:val="center"/>
          </w:tcPr>
          <w:p w14:paraId="7EF7257A">
            <w:pPr>
              <w:pStyle w:val="132"/>
              <w:jc w:val="center"/>
              <w:rPr>
                <w:bCs w:val="0"/>
                <w:color w:val="auto"/>
                <w:sz w:val="24"/>
                <w:szCs w:val="24"/>
                <w:highlight w:val="none"/>
                <w:lang w:val="en-US"/>
              </w:rPr>
            </w:pPr>
          </w:p>
        </w:tc>
        <w:tc>
          <w:tcPr>
            <w:tcW w:w="2977" w:type="dxa"/>
            <w:vAlign w:val="center"/>
          </w:tcPr>
          <w:p w14:paraId="58271D8B">
            <w:pPr>
              <w:pStyle w:val="132"/>
              <w:jc w:val="center"/>
              <w:rPr>
                <w:bCs w:val="0"/>
                <w:color w:val="auto"/>
                <w:sz w:val="24"/>
                <w:szCs w:val="24"/>
                <w:highlight w:val="none"/>
                <w:lang w:val="en-US"/>
              </w:rPr>
            </w:pPr>
          </w:p>
        </w:tc>
      </w:tr>
      <w:tr w14:paraId="67C75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trPr>
        <w:tc>
          <w:tcPr>
            <w:tcW w:w="1242" w:type="dxa"/>
            <w:vAlign w:val="center"/>
          </w:tcPr>
          <w:p w14:paraId="56FDD162">
            <w:pPr>
              <w:pStyle w:val="132"/>
              <w:jc w:val="center"/>
              <w:rPr>
                <w:bCs w:val="0"/>
                <w:color w:val="auto"/>
                <w:sz w:val="24"/>
                <w:szCs w:val="24"/>
                <w:highlight w:val="none"/>
                <w:lang w:val="en-US"/>
              </w:rPr>
            </w:pPr>
          </w:p>
        </w:tc>
        <w:tc>
          <w:tcPr>
            <w:tcW w:w="2268" w:type="dxa"/>
            <w:vAlign w:val="center"/>
          </w:tcPr>
          <w:p w14:paraId="04CE4A55">
            <w:pPr>
              <w:pStyle w:val="132"/>
              <w:jc w:val="center"/>
              <w:rPr>
                <w:bCs w:val="0"/>
                <w:color w:val="auto"/>
                <w:sz w:val="24"/>
                <w:szCs w:val="24"/>
                <w:highlight w:val="none"/>
                <w:lang w:val="en-US"/>
              </w:rPr>
            </w:pPr>
          </w:p>
        </w:tc>
        <w:tc>
          <w:tcPr>
            <w:tcW w:w="2268" w:type="dxa"/>
            <w:vAlign w:val="center"/>
          </w:tcPr>
          <w:p w14:paraId="3C0036EB">
            <w:pPr>
              <w:pStyle w:val="132"/>
              <w:jc w:val="center"/>
              <w:rPr>
                <w:bCs w:val="0"/>
                <w:color w:val="auto"/>
                <w:sz w:val="24"/>
                <w:szCs w:val="24"/>
                <w:highlight w:val="none"/>
                <w:lang w:val="en-US"/>
              </w:rPr>
            </w:pPr>
          </w:p>
        </w:tc>
        <w:tc>
          <w:tcPr>
            <w:tcW w:w="2977" w:type="dxa"/>
            <w:vAlign w:val="center"/>
          </w:tcPr>
          <w:p w14:paraId="13B598F2">
            <w:pPr>
              <w:pStyle w:val="132"/>
              <w:jc w:val="center"/>
              <w:rPr>
                <w:bCs w:val="0"/>
                <w:color w:val="auto"/>
                <w:sz w:val="24"/>
                <w:szCs w:val="24"/>
                <w:highlight w:val="none"/>
                <w:lang w:val="en-US"/>
              </w:rPr>
            </w:pPr>
          </w:p>
        </w:tc>
      </w:tr>
      <w:tr w14:paraId="56F74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trPr>
        <w:tc>
          <w:tcPr>
            <w:tcW w:w="1242" w:type="dxa"/>
            <w:vAlign w:val="center"/>
          </w:tcPr>
          <w:p w14:paraId="268D207A">
            <w:pPr>
              <w:pStyle w:val="132"/>
              <w:jc w:val="center"/>
              <w:rPr>
                <w:bCs w:val="0"/>
                <w:color w:val="auto"/>
                <w:sz w:val="24"/>
                <w:szCs w:val="24"/>
                <w:highlight w:val="none"/>
                <w:lang w:val="en-US"/>
              </w:rPr>
            </w:pPr>
          </w:p>
        </w:tc>
        <w:tc>
          <w:tcPr>
            <w:tcW w:w="2268" w:type="dxa"/>
            <w:vAlign w:val="center"/>
          </w:tcPr>
          <w:p w14:paraId="4BA5BC16">
            <w:pPr>
              <w:pStyle w:val="132"/>
              <w:jc w:val="center"/>
              <w:rPr>
                <w:bCs w:val="0"/>
                <w:color w:val="auto"/>
                <w:sz w:val="24"/>
                <w:szCs w:val="24"/>
                <w:highlight w:val="none"/>
                <w:lang w:val="en-US"/>
              </w:rPr>
            </w:pPr>
          </w:p>
        </w:tc>
        <w:tc>
          <w:tcPr>
            <w:tcW w:w="2268" w:type="dxa"/>
            <w:vAlign w:val="center"/>
          </w:tcPr>
          <w:p w14:paraId="5B59D4B1">
            <w:pPr>
              <w:pStyle w:val="132"/>
              <w:jc w:val="center"/>
              <w:rPr>
                <w:bCs w:val="0"/>
                <w:color w:val="auto"/>
                <w:sz w:val="24"/>
                <w:szCs w:val="24"/>
                <w:highlight w:val="none"/>
                <w:lang w:val="en-US"/>
              </w:rPr>
            </w:pPr>
          </w:p>
        </w:tc>
        <w:tc>
          <w:tcPr>
            <w:tcW w:w="2977" w:type="dxa"/>
            <w:vAlign w:val="center"/>
          </w:tcPr>
          <w:p w14:paraId="12E9F1BA">
            <w:pPr>
              <w:pStyle w:val="132"/>
              <w:jc w:val="center"/>
              <w:rPr>
                <w:bCs w:val="0"/>
                <w:color w:val="auto"/>
                <w:sz w:val="24"/>
                <w:szCs w:val="24"/>
                <w:highlight w:val="none"/>
                <w:lang w:val="en-US"/>
              </w:rPr>
            </w:pPr>
          </w:p>
        </w:tc>
      </w:tr>
      <w:tr w14:paraId="29736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trPr>
        <w:tc>
          <w:tcPr>
            <w:tcW w:w="1242" w:type="dxa"/>
            <w:vAlign w:val="center"/>
          </w:tcPr>
          <w:p w14:paraId="71CE473A">
            <w:pPr>
              <w:pStyle w:val="132"/>
              <w:jc w:val="center"/>
              <w:rPr>
                <w:bCs w:val="0"/>
                <w:color w:val="auto"/>
                <w:sz w:val="24"/>
                <w:szCs w:val="24"/>
                <w:highlight w:val="none"/>
                <w:lang w:val="en-US"/>
              </w:rPr>
            </w:pPr>
          </w:p>
        </w:tc>
        <w:tc>
          <w:tcPr>
            <w:tcW w:w="2268" w:type="dxa"/>
            <w:vAlign w:val="center"/>
          </w:tcPr>
          <w:p w14:paraId="10AEC320">
            <w:pPr>
              <w:pStyle w:val="132"/>
              <w:jc w:val="center"/>
              <w:rPr>
                <w:bCs w:val="0"/>
                <w:color w:val="auto"/>
                <w:sz w:val="24"/>
                <w:szCs w:val="24"/>
                <w:highlight w:val="none"/>
                <w:lang w:val="en-US"/>
              </w:rPr>
            </w:pPr>
          </w:p>
        </w:tc>
        <w:tc>
          <w:tcPr>
            <w:tcW w:w="2268" w:type="dxa"/>
            <w:vAlign w:val="center"/>
          </w:tcPr>
          <w:p w14:paraId="416CA0CA">
            <w:pPr>
              <w:pStyle w:val="132"/>
              <w:jc w:val="center"/>
              <w:rPr>
                <w:bCs w:val="0"/>
                <w:color w:val="auto"/>
                <w:sz w:val="24"/>
                <w:szCs w:val="24"/>
                <w:highlight w:val="none"/>
                <w:lang w:val="en-US"/>
              </w:rPr>
            </w:pPr>
          </w:p>
        </w:tc>
        <w:tc>
          <w:tcPr>
            <w:tcW w:w="2977" w:type="dxa"/>
            <w:vAlign w:val="center"/>
          </w:tcPr>
          <w:p w14:paraId="5F5D702B">
            <w:pPr>
              <w:pStyle w:val="132"/>
              <w:jc w:val="center"/>
              <w:rPr>
                <w:bCs w:val="0"/>
                <w:color w:val="auto"/>
                <w:sz w:val="24"/>
                <w:szCs w:val="24"/>
                <w:highlight w:val="none"/>
                <w:lang w:val="en-US"/>
              </w:rPr>
            </w:pPr>
          </w:p>
        </w:tc>
      </w:tr>
      <w:tr w14:paraId="794B1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trPr>
        <w:tc>
          <w:tcPr>
            <w:tcW w:w="1242" w:type="dxa"/>
            <w:vAlign w:val="center"/>
          </w:tcPr>
          <w:p w14:paraId="1FC9E578">
            <w:pPr>
              <w:pStyle w:val="132"/>
              <w:jc w:val="center"/>
              <w:rPr>
                <w:bCs w:val="0"/>
                <w:color w:val="auto"/>
                <w:sz w:val="24"/>
                <w:szCs w:val="24"/>
                <w:highlight w:val="none"/>
                <w:lang w:val="en-US"/>
              </w:rPr>
            </w:pPr>
          </w:p>
        </w:tc>
        <w:tc>
          <w:tcPr>
            <w:tcW w:w="2268" w:type="dxa"/>
            <w:vAlign w:val="center"/>
          </w:tcPr>
          <w:p w14:paraId="0E7A6581">
            <w:pPr>
              <w:pStyle w:val="132"/>
              <w:jc w:val="center"/>
              <w:rPr>
                <w:bCs w:val="0"/>
                <w:color w:val="auto"/>
                <w:sz w:val="24"/>
                <w:szCs w:val="24"/>
                <w:highlight w:val="none"/>
                <w:lang w:val="en-US"/>
              </w:rPr>
            </w:pPr>
          </w:p>
        </w:tc>
        <w:tc>
          <w:tcPr>
            <w:tcW w:w="2268" w:type="dxa"/>
            <w:vAlign w:val="center"/>
          </w:tcPr>
          <w:p w14:paraId="52D88C32">
            <w:pPr>
              <w:pStyle w:val="132"/>
              <w:jc w:val="center"/>
              <w:rPr>
                <w:bCs w:val="0"/>
                <w:color w:val="auto"/>
                <w:sz w:val="24"/>
                <w:szCs w:val="24"/>
                <w:highlight w:val="none"/>
                <w:lang w:val="en-US"/>
              </w:rPr>
            </w:pPr>
          </w:p>
        </w:tc>
        <w:tc>
          <w:tcPr>
            <w:tcW w:w="2977" w:type="dxa"/>
            <w:vAlign w:val="center"/>
          </w:tcPr>
          <w:p w14:paraId="6457E2E7">
            <w:pPr>
              <w:pStyle w:val="132"/>
              <w:jc w:val="center"/>
              <w:rPr>
                <w:bCs w:val="0"/>
                <w:color w:val="auto"/>
                <w:sz w:val="24"/>
                <w:szCs w:val="24"/>
                <w:highlight w:val="none"/>
                <w:lang w:val="en-US"/>
              </w:rPr>
            </w:pPr>
          </w:p>
        </w:tc>
      </w:tr>
      <w:tr w14:paraId="52082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trPr>
        <w:tc>
          <w:tcPr>
            <w:tcW w:w="1242" w:type="dxa"/>
            <w:vAlign w:val="center"/>
          </w:tcPr>
          <w:p w14:paraId="7C967569">
            <w:pPr>
              <w:pStyle w:val="132"/>
              <w:jc w:val="center"/>
              <w:rPr>
                <w:bCs w:val="0"/>
                <w:color w:val="auto"/>
                <w:sz w:val="24"/>
                <w:szCs w:val="24"/>
                <w:highlight w:val="none"/>
                <w:lang w:val="en-US"/>
              </w:rPr>
            </w:pPr>
          </w:p>
        </w:tc>
        <w:tc>
          <w:tcPr>
            <w:tcW w:w="2268" w:type="dxa"/>
            <w:vAlign w:val="center"/>
          </w:tcPr>
          <w:p w14:paraId="5A5F79CA">
            <w:pPr>
              <w:pStyle w:val="132"/>
              <w:jc w:val="center"/>
              <w:rPr>
                <w:bCs w:val="0"/>
                <w:color w:val="auto"/>
                <w:sz w:val="24"/>
                <w:szCs w:val="24"/>
                <w:highlight w:val="none"/>
                <w:lang w:val="en-US"/>
              </w:rPr>
            </w:pPr>
          </w:p>
        </w:tc>
        <w:tc>
          <w:tcPr>
            <w:tcW w:w="2268" w:type="dxa"/>
            <w:vAlign w:val="center"/>
          </w:tcPr>
          <w:p w14:paraId="6627FCFE">
            <w:pPr>
              <w:pStyle w:val="132"/>
              <w:jc w:val="center"/>
              <w:rPr>
                <w:bCs w:val="0"/>
                <w:color w:val="auto"/>
                <w:sz w:val="24"/>
                <w:szCs w:val="24"/>
                <w:highlight w:val="none"/>
                <w:lang w:val="en-US"/>
              </w:rPr>
            </w:pPr>
          </w:p>
        </w:tc>
        <w:tc>
          <w:tcPr>
            <w:tcW w:w="2977" w:type="dxa"/>
            <w:vAlign w:val="center"/>
          </w:tcPr>
          <w:p w14:paraId="66E035FA">
            <w:pPr>
              <w:pStyle w:val="132"/>
              <w:jc w:val="center"/>
              <w:rPr>
                <w:bCs w:val="0"/>
                <w:color w:val="auto"/>
                <w:sz w:val="24"/>
                <w:szCs w:val="24"/>
                <w:highlight w:val="none"/>
                <w:lang w:val="en-US"/>
              </w:rPr>
            </w:pPr>
          </w:p>
        </w:tc>
      </w:tr>
      <w:tr w14:paraId="2875E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trPr>
        <w:tc>
          <w:tcPr>
            <w:tcW w:w="1242" w:type="dxa"/>
            <w:vAlign w:val="center"/>
          </w:tcPr>
          <w:p w14:paraId="08744162">
            <w:pPr>
              <w:pStyle w:val="132"/>
              <w:jc w:val="center"/>
              <w:rPr>
                <w:bCs w:val="0"/>
                <w:color w:val="auto"/>
                <w:sz w:val="24"/>
                <w:szCs w:val="24"/>
                <w:highlight w:val="none"/>
                <w:lang w:val="en-US"/>
              </w:rPr>
            </w:pPr>
          </w:p>
        </w:tc>
        <w:tc>
          <w:tcPr>
            <w:tcW w:w="2268" w:type="dxa"/>
            <w:vAlign w:val="center"/>
          </w:tcPr>
          <w:p w14:paraId="6FA16484">
            <w:pPr>
              <w:pStyle w:val="132"/>
              <w:jc w:val="center"/>
              <w:rPr>
                <w:bCs w:val="0"/>
                <w:color w:val="auto"/>
                <w:sz w:val="24"/>
                <w:szCs w:val="24"/>
                <w:highlight w:val="none"/>
                <w:lang w:val="en-US"/>
              </w:rPr>
            </w:pPr>
          </w:p>
        </w:tc>
        <w:tc>
          <w:tcPr>
            <w:tcW w:w="2268" w:type="dxa"/>
            <w:vAlign w:val="center"/>
          </w:tcPr>
          <w:p w14:paraId="1368562D">
            <w:pPr>
              <w:pStyle w:val="132"/>
              <w:jc w:val="center"/>
              <w:rPr>
                <w:bCs w:val="0"/>
                <w:color w:val="auto"/>
                <w:sz w:val="24"/>
                <w:szCs w:val="24"/>
                <w:highlight w:val="none"/>
                <w:lang w:val="en-US"/>
              </w:rPr>
            </w:pPr>
          </w:p>
        </w:tc>
        <w:tc>
          <w:tcPr>
            <w:tcW w:w="2977" w:type="dxa"/>
            <w:vAlign w:val="center"/>
          </w:tcPr>
          <w:p w14:paraId="06CD35C3">
            <w:pPr>
              <w:pStyle w:val="132"/>
              <w:jc w:val="center"/>
              <w:rPr>
                <w:bCs w:val="0"/>
                <w:color w:val="auto"/>
                <w:sz w:val="24"/>
                <w:szCs w:val="24"/>
                <w:highlight w:val="none"/>
                <w:lang w:val="en-US"/>
              </w:rPr>
            </w:pPr>
          </w:p>
        </w:tc>
      </w:tr>
    </w:tbl>
    <w:p w14:paraId="1D6E70C9">
      <w:pPr>
        <w:spacing w:line="380" w:lineRule="exact"/>
        <w:rPr>
          <w:rFonts w:ascii="宋体" w:hAnsi="宋体"/>
          <w:color w:val="auto"/>
          <w:sz w:val="22"/>
          <w:szCs w:val="22"/>
          <w:highlight w:val="none"/>
        </w:rPr>
      </w:pPr>
      <w:r>
        <w:rPr>
          <w:rFonts w:hint="eastAsia" w:ascii="宋体" w:hAnsi="宋体"/>
          <w:color w:val="auto"/>
          <w:sz w:val="22"/>
          <w:szCs w:val="22"/>
          <w:highlight w:val="none"/>
        </w:rPr>
        <w:t>投标人（公章）：</w:t>
      </w:r>
    </w:p>
    <w:p w14:paraId="5468EAEF">
      <w:pPr>
        <w:spacing w:line="380" w:lineRule="exact"/>
        <w:rPr>
          <w:rFonts w:ascii="宋体" w:hAnsi="宋体"/>
          <w:color w:val="auto"/>
          <w:sz w:val="22"/>
          <w:szCs w:val="22"/>
          <w:highlight w:val="none"/>
          <w:u w:val="single"/>
        </w:rPr>
      </w:pPr>
      <w:r>
        <w:rPr>
          <w:rFonts w:hint="eastAsia" w:ascii="宋体" w:hAnsi="宋体"/>
          <w:color w:val="auto"/>
          <w:sz w:val="22"/>
          <w:szCs w:val="22"/>
          <w:highlight w:val="none"/>
        </w:rPr>
        <w:t>投标人代表（签字或印章）：</w:t>
      </w:r>
    </w:p>
    <w:p w14:paraId="1661C2E2">
      <w:pPr>
        <w:spacing w:line="380" w:lineRule="exact"/>
        <w:rPr>
          <w:rFonts w:ascii="宋体" w:hAnsi="宋体"/>
          <w:color w:val="auto"/>
          <w:sz w:val="22"/>
          <w:szCs w:val="22"/>
          <w:highlight w:val="none"/>
          <w:u w:val="single"/>
        </w:rPr>
      </w:pPr>
      <w:r>
        <w:rPr>
          <w:rFonts w:hint="eastAsia" w:ascii="宋体"/>
          <w:color w:val="auto"/>
          <w:sz w:val="22"/>
          <w:szCs w:val="22"/>
          <w:highlight w:val="none"/>
        </w:rPr>
        <w:t>日期：</w:t>
      </w:r>
    </w:p>
    <w:p w14:paraId="125B1ECA">
      <w:pPr>
        <w:spacing w:after="120" w:afterLines="50"/>
        <w:jc w:val="center"/>
        <w:rPr>
          <w:rFonts w:ascii="宋体"/>
          <w:b/>
          <w:color w:val="auto"/>
          <w:sz w:val="24"/>
          <w:szCs w:val="24"/>
          <w:highlight w:val="none"/>
        </w:rPr>
      </w:pPr>
      <w:r>
        <w:rPr>
          <w:rFonts w:ascii="宋体" w:hAnsi="宋体"/>
          <w:b/>
          <w:color w:val="auto"/>
          <w:sz w:val="24"/>
          <w:szCs w:val="24"/>
          <w:highlight w:val="none"/>
        </w:rPr>
        <w:br w:type="page"/>
      </w:r>
      <w:r>
        <w:rPr>
          <w:rFonts w:hint="eastAsia" w:ascii="宋体" w:hAnsi="宋体"/>
          <w:b/>
          <w:color w:val="auto"/>
          <w:sz w:val="24"/>
          <w:szCs w:val="24"/>
          <w:highlight w:val="none"/>
        </w:rPr>
        <w:t>1.2投标人自202</w:t>
      </w:r>
      <w:r>
        <w:rPr>
          <w:rFonts w:hint="eastAsia" w:ascii="宋体" w:hAnsi="宋体"/>
          <w:b/>
          <w:color w:val="auto"/>
          <w:sz w:val="24"/>
          <w:szCs w:val="24"/>
          <w:highlight w:val="none"/>
          <w:lang w:val="en-US" w:eastAsia="zh-CN"/>
        </w:rPr>
        <w:t>3</w:t>
      </w:r>
      <w:r>
        <w:rPr>
          <w:rFonts w:hint="eastAsia" w:ascii="宋体" w:hAnsi="宋体"/>
          <w:b/>
          <w:color w:val="auto"/>
          <w:sz w:val="24"/>
          <w:szCs w:val="24"/>
          <w:highlight w:val="none"/>
        </w:rPr>
        <w:t>年1月1日以来</w:t>
      </w:r>
      <w:r>
        <w:rPr>
          <w:rFonts w:hint="eastAsia" w:ascii="宋体" w:hAnsi="宋体"/>
          <w:b/>
          <w:color w:val="auto"/>
          <w:sz w:val="24"/>
          <w:szCs w:val="24"/>
          <w:highlight w:val="none"/>
          <w:lang w:val="en-US" w:eastAsia="zh-CN"/>
        </w:rPr>
        <w:t>类似</w:t>
      </w:r>
      <w:r>
        <w:rPr>
          <w:rFonts w:hint="eastAsia" w:ascii="宋体" w:hAnsi="宋体"/>
          <w:b/>
          <w:color w:val="auto"/>
          <w:sz w:val="24"/>
          <w:szCs w:val="24"/>
          <w:highlight w:val="none"/>
        </w:rPr>
        <w:t>项目业绩详细情况表</w:t>
      </w:r>
    </w:p>
    <w:p w14:paraId="68D9BC85">
      <w:pPr>
        <w:spacing w:after="120" w:afterLines="50"/>
        <w:jc w:val="left"/>
        <w:rPr>
          <w:rFonts w:hint="eastAsia" w:ascii="宋体" w:hAnsi="宋体"/>
          <w:b/>
          <w:color w:val="auto"/>
          <w:sz w:val="24"/>
          <w:szCs w:val="24"/>
          <w:highlight w:val="none"/>
        </w:rPr>
      </w:pPr>
    </w:p>
    <w:p w14:paraId="0587C4F3">
      <w:pPr>
        <w:spacing w:after="120" w:afterLines="50"/>
        <w:jc w:val="left"/>
        <w:rPr>
          <w:rFonts w:ascii="宋体"/>
          <w:b/>
          <w:color w:val="auto"/>
          <w:sz w:val="24"/>
          <w:szCs w:val="24"/>
          <w:highlight w:val="none"/>
        </w:rPr>
      </w:pPr>
      <w:r>
        <w:rPr>
          <w:rFonts w:hint="eastAsia" w:ascii="宋体" w:hAnsi="宋体"/>
          <w:b/>
          <w:color w:val="auto"/>
          <w:sz w:val="24"/>
          <w:szCs w:val="24"/>
          <w:highlight w:val="none"/>
        </w:rPr>
        <w:t>项目序号：</w:t>
      </w:r>
    </w:p>
    <w:tbl>
      <w:tblPr>
        <w:tblStyle w:val="38"/>
        <w:tblW w:w="89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50"/>
        <w:gridCol w:w="6169"/>
      </w:tblGrid>
      <w:tr w14:paraId="1061F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2750" w:type="dxa"/>
            <w:vAlign w:val="center"/>
          </w:tcPr>
          <w:p w14:paraId="620DDB33">
            <w:pPr>
              <w:pStyle w:val="132"/>
              <w:spacing w:line="380" w:lineRule="exact"/>
              <w:rPr>
                <w:bCs w:val="0"/>
                <w:color w:val="auto"/>
                <w:sz w:val="24"/>
                <w:szCs w:val="24"/>
                <w:highlight w:val="none"/>
                <w:lang w:val="en-US"/>
              </w:rPr>
            </w:pPr>
            <w:r>
              <w:rPr>
                <w:rFonts w:hint="eastAsia"/>
                <w:bCs w:val="0"/>
                <w:color w:val="auto"/>
                <w:sz w:val="24"/>
                <w:szCs w:val="24"/>
                <w:highlight w:val="none"/>
                <w:lang w:val="en-US"/>
              </w:rPr>
              <w:t>项目名称</w:t>
            </w:r>
          </w:p>
        </w:tc>
        <w:tc>
          <w:tcPr>
            <w:tcW w:w="6169" w:type="dxa"/>
          </w:tcPr>
          <w:p w14:paraId="33C11B25">
            <w:pPr>
              <w:pStyle w:val="132"/>
              <w:spacing w:line="380" w:lineRule="exact"/>
              <w:rPr>
                <w:bCs w:val="0"/>
                <w:color w:val="auto"/>
                <w:sz w:val="24"/>
                <w:szCs w:val="24"/>
                <w:highlight w:val="none"/>
                <w:lang w:val="en-US"/>
              </w:rPr>
            </w:pPr>
          </w:p>
        </w:tc>
      </w:tr>
      <w:tr w14:paraId="7B6E8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750" w:type="dxa"/>
            <w:vAlign w:val="center"/>
          </w:tcPr>
          <w:p w14:paraId="37A391F7">
            <w:pPr>
              <w:pStyle w:val="132"/>
              <w:spacing w:line="380" w:lineRule="exact"/>
              <w:rPr>
                <w:bCs w:val="0"/>
                <w:color w:val="auto"/>
                <w:sz w:val="24"/>
                <w:szCs w:val="24"/>
                <w:highlight w:val="none"/>
                <w:lang w:val="en-US"/>
              </w:rPr>
            </w:pPr>
            <w:r>
              <w:rPr>
                <w:rFonts w:hint="eastAsia"/>
                <w:bCs w:val="0"/>
                <w:color w:val="auto"/>
                <w:sz w:val="24"/>
                <w:szCs w:val="24"/>
                <w:highlight w:val="none"/>
                <w:lang w:val="en-US"/>
              </w:rPr>
              <w:t>项目所在地</w:t>
            </w:r>
          </w:p>
        </w:tc>
        <w:tc>
          <w:tcPr>
            <w:tcW w:w="6169" w:type="dxa"/>
          </w:tcPr>
          <w:p w14:paraId="723BBD4A">
            <w:pPr>
              <w:pStyle w:val="132"/>
              <w:spacing w:line="380" w:lineRule="exact"/>
              <w:rPr>
                <w:bCs w:val="0"/>
                <w:color w:val="auto"/>
                <w:sz w:val="24"/>
                <w:szCs w:val="24"/>
                <w:highlight w:val="none"/>
                <w:lang w:val="en-US"/>
              </w:rPr>
            </w:pPr>
          </w:p>
        </w:tc>
      </w:tr>
      <w:tr w14:paraId="6E082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750" w:type="dxa"/>
            <w:vAlign w:val="center"/>
          </w:tcPr>
          <w:p w14:paraId="0ECAEC10">
            <w:pPr>
              <w:pStyle w:val="132"/>
              <w:spacing w:line="380" w:lineRule="exact"/>
              <w:rPr>
                <w:bCs w:val="0"/>
                <w:color w:val="auto"/>
                <w:sz w:val="24"/>
                <w:szCs w:val="24"/>
                <w:highlight w:val="none"/>
                <w:lang w:val="en-US"/>
              </w:rPr>
            </w:pPr>
            <w:r>
              <w:rPr>
                <w:rFonts w:hint="eastAsia"/>
                <w:bCs w:val="0"/>
                <w:color w:val="auto"/>
                <w:sz w:val="24"/>
                <w:szCs w:val="24"/>
                <w:highlight w:val="none"/>
                <w:lang w:val="en-US"/>
              </w:rPr>
              <w:t>发包人名称</w:t>
            </w:r>
          </w:p>
        </w:tc>
        <w:tc>
          <w:tcPr>
            <w:tcW w:w="6169" w:type="dxa"/>
          </w:tcPr>
          <w:p w14:paraId="4F723276">
            <w:pPr>
              <w:pStyle w:val="132"/>
              <w:spacing w:line="380" w:lineRule="exact"/>
              <w:rPr>
                <w:bCs w:val="0"/>
                <w:color w:val="auto"/>
                <w:sz w:val="24"/>
                <w:szCs w:val="24"/>
                <w:highlight w:val="none"/>
                <w:lang w:val="en-US"/>
              </w:rPr>
            </w:pPr>
          </w:p>
        </w:tc>
      </w:tr>
      <w:tr w14:paraId="4957D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750" w:type="dxa"/>
            <w:vAlign w:val="center"/>
          </w:tcPr>
          <w:p w14:paraId="6EBE7467">
            <w:pPr>
              <w:pStyle w:val="132"/>
              <w:spacing w:line="380" w:lineRule="exact"/>
              <w:rPr>
                <w:bCs w:val="0"/>
                <w:color w:val="auto"/>
                <w:sz w:val="24"/>
                <w:szCs w:val="24"/>
                <w:highlight w:val="none"/>
                <w:lang w:val="en-US"/>
              </w:rPr>
            </w:pPr>
            <w:r>
              <w:rPr>
                <w:rFonts w:hint="eastAsia"/>
                <w:bCs w:val="0"/>
                <w:color w:val="auto"/>
                <w:sz w:val="24"/>
                <w:szCs w:val="24"/>
                <w:highlight w:val="none"/>
                <w:lang w:val="en-US"/>
              </w:rPr>
              <w:t>发包人地址</w:t>
            </w:r>
          </w:p>
        </w:tc>
        <w:tc>
          <w:tcPr>
            <w:tcW w:w="6169" w:type="dxa"/>
          </w:tcPr>
          <w:p w14:paraId="16912FDD">
            <w:pPr>
              <w:pStyle w:val="132"/>
              <w:spacing w:line="380" w:lineRule="exact"/>
              <w:rPr>
                <w:bCs w:val="0"/>
                <w:color w:val="auto"/>
                <w:sz w:val="24"/>
                <w:szCs w:val="24"/>
                <w:highlight w:val="none"/>
                <w:lang w:val="en-US"/>
              </w:rPr>
            </w:pPr>
          </w:p>
        </w:tc>
      </w:tr>
      <w:tr w14:paraId="4DB27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750" w:type="dxa"/>
            <w:vAlign w:val="center"/>
          </w:tcPr>
          <w:p w14:paraId="5C44A710">
            <w:pPr>
              <w:pStyle w:val="132"/>
              <w:spacing w:line="380" w:lineRule="exact"/>
              <w:rPr>
                <w:bCs w:val="0"/>
                <w:color w:val="auto"/>
                <w:sz w:val="24"/>
                <w:szCs w:val="24"/>
                <w:highlight w:val="none"/>
                <w:lang w:val="en-US"/>
              </w:rPr>
            </w:pPr>
            <w:r>
              <w:rPr>
                <w:rFonts w:hint="eastAsia"/>
                <w:bCs w:val="0"/>
                <w:color w:val="auto"/>
                <w:sz w:val="24"/>
                <w:szCs w:val="24"/>
                <w:highlight w:val="none"/>
                <w:lang w:val="en-US"/>
              </w:rPr>
              <w:t>发包人电话</w:t>
            </w:r>
          </w:p>
        </w:tc>
        <w:tc>
          <w:tcPr>
            <w:tcW w:w="6169" w:type="dxa"/>
          </w:tcPr>
          <w:p w14:paraId="09D967EF">
            <w:pPr>
              <w:pStyle w:val="132"/>
              <w:spacing w:line="380" w:lineRule="exact"/>
              <w:rPr>
                <w:bCs w:val="0"/>
                <w:color w:val="auto"/>
                <w:sz w:val="24"/>
                <w:szCs w:val="24"/>
                <w:highlight w:val="none"/>
                <w:lang w:val="en-US"/>
              </w:rPr>
            </w:pPr>
          </w:p>
        </w:tc>
      </w:tr>
      <w:tr w14:paraId="272B5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750" w:type="dxa"/>
            <w:vAlign w:val="center"/>
          </w:tcPr>
          <w:p w14:paraId="13587E16">
            <w:pPr>
              <w:pStyle w:val="132"/>
              <w:spacing w:line="380" w:lineRule="exact"/>
              <w:rPr>
                <w:bCs w:val="0"/>
                <w:color w:val="auto"/>
                <w:sz w:val="24"/>
                <w:szCs w:val="24"/>
                <w:highlight w:val="none"/>
                <w:lang w:val="en-US"/>
              </w:rPr>
            </w:pPr>
            <w:r>
              <w:rPr>
                <w:rFonts w:hint="eastAsia"/>
                <w:bCs w:val="0"/>
                <w:color w:val="auto"/>
                <w:sz w:val="24"/>
                <w:szCs w:val="24"/>
                <w:highlight w:val="none"/>
                <w:lang w:val="en-US"/>
              </w:rPr>
              <w:t>主要</w:t>
            </w:r>
            <w:r>
              <w:rPr>
                <w:rFonts w:hint="eastAsia"/>
                <w:bCs w:val="0"/>
                <w:color w:val="auto"/>
                <w:sz w:val="24"/>
                <w:szCs w:val="24"/>
                <w:highlight w:val="none"/>
                <w:lang w:val="en-US" w:eastAsia="zh-CN"/>
              </w:rPr>
              <w:t>供货</w:t>
            </w:r>
            <w:r>
              <w:rPr>
                <w:rFonts w:hint="eastAsia"/>
                <w:bCs w:val="0"/>
                <w:color w:val="auto"/>
                <w:sz w:val="24"/>
                <w:szCs w:val="24"/>
                <w:highlight w:val="none"/>
                <w:lang w:val="en-US"/>
              </w:rPr>
              <w:t>内容</w:t>
            </w:r>
          </w:p>
        </w:tc>
        <w:tc>
          <w:tcPr>
            <w:tcW w:w="6169" w:type="dxa"/>
          </w:tcPr>
          <w:p w14:paraId="5053F5CC">
            <w:pPr>
              <w:pStyle w:val="132"/>
              <w:spacing w:line="380" w:lineRule="exact"/>
              <w:rPr>
                <w:bCs w:val="0"/>
                <w:color w:val="auto"/>
                <w:sz w:val="24"/>
                <w:szCs w:val="24"/>
                <w:highlight w:val="none"/>
                <w:lang w:val="en-US"/>
              </w:rPr>
            </w:pPr>
          </w:p>
        </w:tc>
      </w:tr>
      <w:tr w14:paraId="76223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trPr>
        <w:tc>
          <w:tcPr>
            <w:tcW w:w="2750" w:type="dxa"/>
            <w:vAlign w:val="center"/>
          </w:tcPr>
          <w:p w14:paraId="4D44E1AD">
            <w:pPr>
              <w:pStyle w:val="132"/>
              <w:spacing w:line="380" w:lineRule="exact"/>
              <w:rPr>
                <w:bCs w:val="0"/>
                <w:color w:val="auto"/>
                <w:sz w:val="24"/>
                <w:szCs w:val="24"/>
                <w:highlight w:val="none"/>
                <w:lang w:val="en-US"/>
              </w:rPr>
            </w:pPr>
            <w:r>
              <w:rPr>
                <w:rFonts w:hint="eastAsia"/>
                <w:bCs w:val="0"/>
                <w:color w:val="auto"/>
                <w:sz w:val="24"/>
                <w:szCs w:val="24"/>
                <w:highlight w:val="none"/>
                <w:lang w:val="en-US"/>
              </w:rPr>
              <w:t>项目金额</w:t>
            </w:r>
          </w:p>
        </w:tc>
        <w:tc>
          <w:tcPr>
            <w:tcW w:w="6169" w:type="dxa"/>
          </w:tcPr>
          <w:p w14:paraId="6EA7BE6B">
            <w:pPr>
              <w:pStyle w:val="132"/>
              <w:spacing w:line="380" w:lineRule="exact"/>
              <w:rPr>
                <w:bCs w:val="0"/>
                <w:color w:val="auto"/>
                <w:sz w:val="24"/>
                <w:szCs w:val="24"/>
                <w:highlight w:val="none"/>
                <w:lang w:val="en-US"/>
              </w:rPr>
            </w:pPr>
          </w:p>
        </w:tc>
      </w:tr>
      <w:tr w14:paraId="3B4D1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750" w:type="dxa"/>
            <w:vAlign w:val="center"/>
          </w:tcPr>
          <w:p w14:paraId="7E81B3D7">
            <w:pPr>
              <w:pStyle w:val="132"/>
              <w:spacing w:line="380" w:lineRule="exact"/>
              <w:rPr>
                <w:bCs w:val="0"/>
                <w:color w:val="auto"/>
                <w:sz w:val="24"/>
                <w:szCs w:val="24"/>
                <w:highlight w:val="none"/>
                <w:lang w:val="en-US"/>
              </w:rPr>
            </w:pPr>
            <w:r>
              <w:rPr>
                <w:rFonts w:hint="eastAsia"/>
                <w:bCs w:val="0"/>
                <w:color w:val="auto"/>
                <w:sz w:val="24"/>
                <w:szCs w:val="24"/>
                <w:highlight w:val="none"/>
                <w:lang w:val="en-US"/>
              </w:rPr>
              <w:t>项目负责人</w:t>
            </w:r>
          </w:p>
        </w:tc>
        <w:tc>
          <w:tcPr>
            <w:tcW w:w="6169" w:type="dxa"/>
          </w:tcPr>
          <w:p w14:paraId="043A4A37">
            <w:pPr>
              <w:pStyle w:val="132"/>
              <w:spacing w:line="380" w:lineRule="exact"/>
              <w:rPr>
                <w:bCs w:val="0"/>
                <w:color w:val="auto"/>
                <w:sz w:val="24"/>
                <w:szCs w:val="24"/>
                <w:highlight w:val="none"/>
                <w:lang w:val="en-US"/>
              </w:rPr>
            </w:pPr>
          </w:p>
        </w:tc>
      </w:tr>
      <w:tr w14:paraId="16AD6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750" w:type="dxa"/>
            <w:vAlign w:val="center"/>
          </w:tcPr>
          <w:p w14:paraId="7D57D91C">
            <w:pPr>
              <w:pStyle w:val="132"/>
              <w:spacing w:line="380" w:lineRule="exact"/>
              <w:rPr>
                <w:bCs w:val="0"/>
                <w:color w:val="auto"/>
                <w:sz w:val="24"/>
                <w:szCs w:val="24"/>
                <w:highlight w:val="none"/>
                <w:lang w:val="en-US"/>
              </w:rPr>
            </w:pPr>
            <w:r>
              <w:rPr>
                <w:rFonts w:hint="eastAsia"/>
                <w:bCs w:val="0"/>
                <w:color w:val="auto"/>
                <w:sz w:val="24"/>
                <w:szCs w:val="24"/>
                <w:highlight w:val="none"/>
                <w:lang w:val="en-US" w:eastAsia="zh-CN"/>
              </w:rPr>
              <w:t>合同签订时间</w:t>
            </w:r>
          </w:p>
        </w:tc>
        <w:tc>
          <w:tcPr>
            <w:tcW w:w="6169" w:type="dxa"/>
          </w:tcPr>
          <w:p w14:paraId="0017A6D3">
            <w:pPr>
              <w:pStyle w:val="132"/>
              <w:spacing w:line="380" w:lineRule="exact"/>
              <w:rPr>
                <w:bCs w:val="0"/>
                <w:color w:val="auto"/>
                <w:sz w:val="24"/>
                <w:szCs w:val="24"/>
                <w:highlight w:val="none"/>
                <w:lang w:val="en-US"/>
              </w:rPr>
            </w:pPr>
          </w:p>
        </w:tc>
      </w:tr>
      <w:tr w14:paraId="725B5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750" w:type="dxa"/>
            <w:vAlign w:val="center"/>
          </w:tcPr>
          <w:p w14:paraId="1D7B31A8">
            <w:pPr>
              <w:pStyle w:val="132"/>
              <w:spacing w:line="380" w:lineRule="exact"/>
              <w:rPr>
                <w:bCs w:val="0"/>
                <w:color w:val="auto"/>
                <w:sz w:val="24"/>
                <w:szCs w:val="24"/>
                <w:highlight w:val="none"/>
                <w:lang w:val="en-US"/>
              </w:rPr>
            </w:pPr>
            <w:r>
              <w:rPr>
                <w:rFonts w:hint="eastAsia"/>
                <w:bCs w:val="0"/>
                <w:color w:val="auto"/>
                <w:sz w:val="24"/>
                <w:szCs w:val="24"/>
                <w:highlight w:val="none"/>
                <w:lang w:val="en-US"/>
              </w:rPr>
              <w:t>完成情况</w:t>
            </w:r>
          </w:p>
        </w:tc>
        <w:tc>
          <w:tcPr>
            <w:tcW w:w="6169" w:type="dxa"/>
          </w:tcPr>
          <w:p w14:paraId="031FA430">
            <w:pPr>
              <w:pStyle w:val="132"/>
              <w:spacing w:line="380" w:lineRule="exact"/>
              <w:rPr>
                <w:bCs w:val="0"/>
                <w:color w:val="auto"/>
                <w:sz w:val="24"/>
                <w:szCs w:val="24"/>
                <w:highlight w:val="none"/>
                <w:lang w:val="en-US"/>
              </w:rPr>
            </w:pPr>
          </w:p>
        </w:tc>
      </w:tr>
      <w:tr w14:paraId="00EDE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3" w:hRule="atLeast"/>
        </w:trPr>
        <w:tc>
          <w:tcPr>
            <w:tcW w:w="2750" w:type="dxa"/>
            <w:vAlign w:val="center"/>
          </w:tcPr>
          <w:p w14:paraId="08CD5D38">
            <w:pPr>
              <w:pStyle w:val="132"/>
              <w:spacing w:line="380" w:lineRule="exact"/>
              <w:rPr>
                <w:bCs w:val="0"/>
                <w:color w:val="auto"/>
                <w:sz w:val="24"/>
                <w:szCs w:val="24"/>
                <w:highlight w:val="none"/>
                <w:lang w:val="en-US"/>
              </w:rPr>
            </w:pPr>
            <w:r>
              <w:rPr>
                <w:rFonts w:hint="eastAsia"/>
                <w:bCs w:val="0"/>
                <w:color w:val="auto"/>
                <w:sz w:val="24"/>
                <w:szCs w:val="24"/>
                <w:highlight w:val="none"/>
                <w:lang w:val="en-US"/>
              </w:rPr>
              <w:t>备注</w:t>
            </w:r>
          </w:p>
        </w:tc>
        <w:tc>
          <w:tcPr>
            <w:tcW w:w="6169" w:type="dxa"/>
          </w:tcPr>
          <w:p w14:paraId="0F4029D4">
            <w:pPr>
              <w:pStyle w:val="132"/>
              <w:spacing w:line="380" w:lineRule="exact"/>
              <w:rPr>
                <w:bCs w:val="0"/>
                <w:color w:val="auto"/>
                <w:sz w:val="24"/>
                <w:szCs w:val="24"/>
                <w:highlight w:val="none"/>
                <w:lang w:val="en-US"/>
              </w:rPr>
            </w:pPr>
          </w:p>
        </w:tc>
      </w:tr>
    </w:tbl>
    <w:p w14:paraId="4DDFF66B">
      <w:pPr>
        <w:pStyle w:val="133"/>
        <w:spacing w:line="240" w:lineRule="atLeast"/>
        <w:rPr>
          <w:color w:val="auto"/>
          <w:sz w:val="24"/>
          <w:szCs w:val="24"/>
          <w:highlight w:val="none"/>
        </w:rPr>
      </w:pPr>
      <w:r>
        <w:rPr>
          <w:rFonts w:hint="eastAsia"/>
          <w:color w:val="auto"/>
          <w:sz w:val="24"/>
          <w:szCs w:val="24"/>
          <w:highlight w:val="none"/>
        </w:rPr>
        <w:t>注：</w:t>
      </w:r>
      <w:r>
        <w:rPr>
          <w:rFonts w:hint="eastAsia"/>
          <w:color w:val="auto"/>
          <w:spacing w:val="0"/>
          <w:kern w:val="2"/>
          <w:sz w:val="24"/>
          <w:szCs w:val="24"/>
          <w:highlight w:val="none"/>
          <w:lang w:val="en-US"/>
        </w:rPr>
        <w:t>本表应与表1.1“</w:t>
      </w:r>
      <w:r>
        <w:rPr>
          <w:rFonts w:hint="eastAsia"/>
          <w:b/>
          <w:color w:val="auto"/>
          <w:sz w:val="24"/>
          <w:szCs w:val="24"/>
          <w:highlight w:val="none"/>
        </w:rPr>
        <w:t>投标人自20</w:t>
      </w:r>
      <w:r>
        <w:rPr>
          <w:rFonts w:hint="eastAsia"/>
          <w:b/>
          <w:color w:val="auto"/>
          <w:sz w:val="24"/>
          <w:szCs w:val="24"/>
          <w:highlight w:val="none"/>
          <w:lang w:val="en-US"/>
        </w:rPr>
        <w:t>2</w:t>
      </w:r>
      <w:r>
        <w:rPr>
          <w:rFonts w:hint="eastAsia"/>
          <w:b/>
          <w:color w:val="auto"/>
          <w:sz w:val="24"/>
          <w:szCs w:val="24"/>
          <w:highlight w:val="none"/>
          <w:lang w:val="en-US" w:eastAsia="zh-CN"/>
        </w:rPr>
        <w:t>3</w:t>
      </w:r>
      <w:r>
        <w:rPr>
          <w:rFonts w:hint="eastAsia"/>
          <w:b/>
          <w:color w:val="auto"/>
          <w:sz w:val="24"/>
          <w:szCs w:val="24"/>
          <w:highlight w:val="none"/>
        </w:rPr>
        <w:t>年1月1日以来</w:t>
      </w:r>
      <w:r>
        <w:rPr>
          <w:rFonts w:hint="eastAsia"/>
          <w:b/>
          <w:color w:val="auto"/>
          <w:sz w:val="24"/>
          <w:szCs w:val="24"/>
          <w:highlight w:val="none"/>
          <w:lang w:val="en-US" w:eastAsia="zh-CN"/>
        </w:rPr>
        <w:t>类似</w:t>
      </w:r>
      <w:r>
        <w:rPr>
          <w:rFonts w:hint="eastAsia"/>
          <w:b/>
          <w:color w:val="auto"/>
          <w:sz w:val="24"/>
          <w:szCs w:val="24"/>
          <w:highlight w:val="none"/>
        </w:rPr>
        <w:t>项目业绩汇总表</w:t>
      </w:r>
      <w:r>
        <w:rPr>
          <w:rFonts w:hint="eastAsia"/>
          <w:color w:val="auto"/>
          <w:spacing w:val="0"/>
          <w:kern w:val="2"/>
          <w:sz w:val="24"/>
          <w:szCs w:val="24"/>
          <w:highlight w:val="none"/>
          <w:lang w:val="en-US"/>
        </w:rPr>
        <w:t>”相对应，</w:t>
      </w:r>
      <w:r>
        <w:rPr>
          <w:rFonts w:hint="eastAsia"/>
          <w:color w:val="auto"/>
          <w:sz w:val="24"/>
          <w:szCs w:val="24"/>
          <w:highlight w:val="none"/>
        </w:rPr>
        <w:t>后应附</w:t>
      </w:r>
      <w:r>
        <w:rPr>
          <w:rFonts w:hint="eastAsia"/>
          <w:b/>
          <w:color w:val="auto"/>
          <w:sz w:val="24"/>
          <w:szCs w:val="24"/>
          <w:highlight w:val="none"/>
        </w:rPr>
        <w:t>合同的复印件</w:t>
      </w:r>
      <w:r>
        <w:rPr>
          <w:rFonts w:hint="eastAsia"/>
          <w:color w:val="auto"/>
          <w:sz w:val="24"/>
          <w:szCs w:val="24"/>
          <w:highlight w:val="none"/>
        </w:rPr>
        <w:t>。</w:t>
      </w:r>
    </w:p>
    <w:p w14:paraId="20B420FF">
      <w:pPr>
        <w:spacing w:line="380" w:lineRule="exact"/>
        <w:rPr>
          <w:rFonts w:ascii="宋体" w:hAnsi="宋体"/>
          <w:color w:val="auto"/>
          <w:sz w:val="22"/>
          <w:szCs w:val="22"/>
          <w:highlight w:val="none"/>
        </w:rPr>
      </w:pPr>
    </w:p>
    <w:p w14:paraId="31E52858">
      <w:pPr>
        <w:spacing w:line="380" w:lineRule="exact"/>
        <w:rPr>
          <w:rFonts w:ascii="宋体" w:hAnsi="宋体"/>
          <w:color w:val="auto"/>
          <w:sz w:val="22"/>
          <w:szCs w:val="22"/>
          <w:highlight w:val="none"/>
        </w:rPr>
      </w:pPr>
    </w:p>
    <w:p w14:paraId="3A3F6928">
      <w:pPr>
        <w:spacing w:line="380" w:lineRule="exact"/>
        <w:rPr>
          <w:rFonts w:ascii="宋体" w:hAnsi="宋体"/>
          <w:color w:val="auto"/>
          <w:sz w:val="22"/>
          <w:szCs w:val="22"/>
          <w:highlight w:val="none"/>
        </w:rPr>
      </w:pPr>
      <w:r>
        <w:rPr>
          <w:rFonts w:hint="eastAsia" w:ascii="宋体" w:hAnsi="宋体"/>
          <w:color w:val="auto"/>
          <w:sz w:val="22"/>
          <w:szCs w:val="22"/>
          <w:highlight w:val="none"/>
        </w:rPr>
        <w:t>投标人（公章）：</w:t>
      </w:r>
    </w:p>
    <w:p w14:paraId="21CF521C">
      <w:pPr>
        <w:spacing w:line="380" w:lineRule="exact"/>
        <w:rPr>
          <w:rFonts w:ascii="宋体" w:hAnsi="宋体"/>
          <w:color w:val="auto"/>
          <w:sz w:val="22"/>
          <w:szCs w:val="22"/>
          <w:highlight w:val="none"/>
          <w:u w:val="single"/>
        </w:rPr>
      </w:pPr>
      <w:r>
        <w:rPr>
          <w:rFonts w:hint="eastAsia" w:ascii="宋体" w:hAnsi="宋体"/>
          <w:color w:val="auto"/>
          <w:sz w:val="22"/>
          <w:szCs w:val="22"/>
          <w:highlight w:val="none"/>
        </w:rPr>
        <w:t>投标人代表（签字或印章）：</w:t>
      </w:r>
    </w:p>
    <w:p w14:paraId="0F429AC7">
      <w:pPr>
        <w:spacing w:line="380" w:lineRule="exact"/>
        <w:rPr>
          <w:rFonts w:ascii="宋体" w:hAnsi="宋体"/>
          <w:color w:val="auto"/>
          <w:sz w:val="22"/>
          <w:szCs w:val="22"/>
          <w:highlight w:val="none"/>
          <w:u w:val="single"/>
        </w:rPr>
      </w:pPr>
      <w:r>
        <w:rPr>
          <w:rFonts w:hint="eastAsia" w:ascii="宋体"/>
          <w:color w:val="auto"/>
          <w:sz w:val="22"/>
          <w:szCs w:val="22"/>
          <w:highlight w:val="none"/>
        </w:rPr>
        <w:t>日期：</w:t>
      </w:r>
    </w:p>
    <w:p w14:paraId="040D4F9D">
      <w:pPr>
        <w:rPr>
          <w:color w:val="auto"/>
          <w:highlight w:val="none"/>
        </w:rPr>
      </w:pPr>
    </w:p>
    <w:p w14:paraId="18A67356">
      <w:pPr>
        <w:rPr>
          <w:color w:val="auto"/>
          <w:highlight w:val="none"/>
        </w:rPr>
      </w:pPr>
    </w:p>
    <w:p w14:paraId="007EFF05">
      <w:pPr>
        <w:jc w:val="center"/>
        <w:rPr>
          <w:color w:val="auto"/>
          <w:highlight w:val="none"/>
        </w:rPr>
      </w:pPr>
    </w:p>
    <w:p w14:paraId="458ED8EF">
      <w:pPr>
        <w:jc w:val="center"/>
        <w:rPr>
          <w:color w:val="auto"/>
          <w:highlight w:val="none"/>
        </w:rPr>
      </w:pPr>
    </w:p>
    <w:p w14:paraId="08230504">
      <w:pPr>
        <w:jc w:val="center"/>
        <w:rPr>
          <w:rFonts w:asciiTheme="minorEastAsia" w:hAnsiTheme="minorEastAsia" w:eastAsiaTheme="minorEastAsia"/>
          <w:b/>
          <w:color w:val="auto"/>
          <w:sz w:val="24"/>
          <w:szCs w:val="24"/>
          <w:highlight w:val="none"/>
        </w:rPr>
      </w:pPr>
      <w:r>
        <w:rPr>
          <w:rFonts w:ascii="宋体" w:hAnsi="宋体"/>
          <w:b/>
          <w:color w:val="auto"/>
          <w:sz w:val="24"/>
          <w:szCs w:val="24"/>
          <w:highlight w:val="none"/>
        </w:rPr>
        <w:br w:type="page"/>
      </w:r>
    </w:p>
    <w:p w14:paraId="629232AE">
      <w:pPr>
        <w:spacing w:after="120" w:afterLines="50"/>
        <w:jc w:val="center"/>
        <w:rPr>
          <w:rFonts w:asciiTheme="minorEastAsia" w:hAnsiTheme="minorEastAsia" w:eastAsiaTheme="minorEastAsia"/>
          <w:b/>
          <w:color w:val="auto"/>
          <w:sz w:val="24"/>
          <w:szCs w:val="24"/>
          <w:highlight w:val="none"/>
        </w:rPr>
      </w:pPr>
    </w:p>
    <w:p w14:paraId="7EBB2569">
      <w:pPr>
        <w:spacing w:after="120" w:afterLines="50"/>
        <w:jc w:val="center"/>
        <w:rPr>
          <w:rFonts w:ascii="宋体"/>
          <w:b/>
          <w:color w:val="auto"/>
          <w:sz w:val="24"/>
          <w:szCs w:val="24"/>
          <w:highlight w:val="none"/>
        </w:rPr>
      </w:pPr>
      <w:r>
        <w:rPr>
          <w:rFonts w:hint="eastAsia" w:ascii="宋体" w:hAnsi="宋体"/>
          <w:b/>
          <w:color w:val="auto"/>
          <w:sz w:val="24"/>
          <w:szCs w:val="24"/>
          <w:highlight w:val="none"/>
        </w:rPr>
        <w:t>2、服务方案</w:t>
      </w:r>
    </w:p>
    <w:p w14:paraId="54F31E45">
      <w:pPr>
        <w:pStyle w:val="131"/>
        <w:ind w:firstLine="0" w:firstLineChars="0"/>
        <w:rPr>
          <w:color w:val="auto"/>
          <w:highlight w:val="none"/>
        </w:rPr>
      </w:pPr>
      <w:r>
        <w:rPr>
          <w:rFonts w:hint="eastAsia"/>
          <w:color w:val="auto"/>
          <w:highlight w:val="none"/>
        </w:rPr>
        <w:t>主要内容包括，但不限于(</w:t>
      </w:r>
      <w:r>
        <w:rPr>
          <w:rFonts w:hint="eastAsia"/>
          <w:b/>
          <w:bCs/>
          <w:color w:val="auto"/>
          <w:highlight w:val="none"/>
        </w:rPr>
        <w:t>根据“评分标准”中商务技术部分评分内容提供相关资料</w:t>
      </w:r>
      <w:r>
        <w:rPr>
          <w:rFonts w:hint="eastAsia"/>
          <w:color w:val="auto"/>
          <w:highlight w:val="none"/>
        </w:rPr>
        <w:t>)：</w:t>
      </w:r>
    </w:p>
    <w:p w14:paraId="7C976DC4">
      <w:pPr>
        <w:pStyle w:val="17"/>
        <w:rPr>
          <w:color w:val="auto"/>
          <w:highlight w:val="none"/>
        </w:rPr>
      </w:pPr>
    </w:p>
    <w:p w14:paraId="3D2E96E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color w:val="auto"/>
          <w:highlight w:val="none"/>
          <w:lang w:eastAsia="zh-CN"/>
        </w:rPr>
      </w:pPr>
    </w:p>
    <w:p w14:paraId="387BDDDB">
      <w:pPr>
        <w:rPr>
          <w:color w:val="auto"/>
          <w:highlight w:val="none"/>
        </w:rPr>
      </w:pPr>
      <w:r>
        <w:rPr>
          <w:rFonts w:hint="eastAsia"/>
          <w:color w:val="auto"/>
          <w:highlight w:val="none"/>
        </w:rPr>
        <w:tab/>
      </w:r>
    </w:p>
    <w:p w14:paraId="35A55379">
      <w:pPr>
        <w:spacing w:before="120" w:beforeLines="50" w:after="120" w:afterLines="50" w:line="360" w:lineRule="auto"/>
        <w:jc w:val="center"/>
        <w:rPr>
          <w:rFonts w:hAnsi="宋体"/>
          <w:b/>
          <w:bCs/>
          <w:color w:val="auto"/>
          <w:kern w:val="0"/>
          <w:highlight w:val="none"/>
        </w:rPr>
      </w:pPr>
    </w:p>
    <w:p w14:paraId="792FA800">
      <w:pPr>
        <w:spacing w:before="120" w:beforeLines="50" w:after="120" w:afterLines="50" w:line="360" w:lineRule="auto"/>
        <w:jc w:val="center"/>
        <w:rPr>
          <w:rFonts w:hAnsi="宋体"/>
          <w:b/>
          <w:bCs/>
          <w:color w:val="auto"/>
          <w:kern w:val="0"/>
          <w:highlight w:val="none"/>
        </w:rPr>
      </w:pPr>
    </w:p>
    <w:p w14:paraId="1AE22C63">
      <w:pPr>
        <w:spacing w:before="120" w:beforeLines="50" w:after="120" w:afterLines="50" w:line="360" w:lineRule="auto"/>
        <w:jc w:val="center"/>
        <w:rPr>
          <w:rFonts w:hAnsi="宋体"/>
          <w:b/>
          <w:bCs/>
          <w:color w:val="auto"/>
          <w:kern w:val="0"/>
          <w:highlight w:val="none"/>
        </w:rPr>
      </w:pPr>
    </w:p>
    <w:p w14:paraId="74A96DBD">
      <w:pPr>
        <w:spacing w:before="120" w:beforeLines="50" w:after="120" w:afterLines="50" w:line="360" w:lineRule="auto"/>
        <w:jc w:val="center"/>
        <w:rPr>
          <w:rFonts w:hAnsi="宋体"/>
          <w:b/>
          <w:bCs/>
          <w:color w:val="auto"/>
          <w:kern w:val="0"/>
          <w:highlight w:val="none"/>
        </w:rPr>
      </w:pPr>
    </w:p>
    <w:p w14:paraId="00644EF2">
      <w:pPr>
        <w:spacing w:before="120" w:beforeLines="50" w:after="120" w:afterLines="50" w:line="360" w:lineRule="auto"/>
        <w:jc w:val="center"/>
        <w:rPr>
          <w:rFonts w:hAnsi="宋体"/>
          <w:b/>
          <w:bCs/>
          <w:color w:val="auto"/>
          <w:kern w:val="0"/>
          <w:highlight w:val="none"/>
        </w:rPr>
      </w:pPr>
    </w:p>
    <w:p w14:paraId="2A2482FC">
      <w:pPr>
        <w:spacing w:before="120" w:beforeLines="50" w:after="120" w:afterLines="50" w:line="360" w:lineRule="auto"/>
        <w:jc w:val="center"/>
        <w:rPr>
          <w:rFonts w:hAnsi="宋体"/>
          <w:b/>
          <w:bCs/>
          <w:color w:val="auto"/>
          <w:kern w:val="0"/>
          <w:highlight w:val="none"/>
        </w:rPr>
      </w:pPr>
    </w:p>
    <w:p w14:paraId="5DCC61F8">
      <w:pPr>
        <w:spacing w:before="120" w:beforeLines="50" w:after="120" w:afterLines="50" w:line="360" w:lineRule="auto"/>
        <w:jc w:val="center"/>
        <w:rPr>
          <w:rFonts w:hAnsi="宋体"/>
          <w:b/>
          <w:bCs/>
          <w:color w:val="auto"/>
          <w:kern w:val="0"/>
          <w:highlight w:val="none"/>
        </w:rPr>
      </w:pPr>
    </w:p>
    <w:p w14:paraId="00E19E3C">
      <w:pPr>
        <w:spacing w:before="120" w:beforeLines="50" w:after="120" w:afterLines="50" w:line="360" w:lineRule="auto"/>
        <w:jc w:val="center"/>
        <w:rPr>
          <w:rFonts w:hAnsi="宋体"/>
          <w:b/>
          <w:bCs/>
          <w:color w:val="auto"/>
          <w:kern w:val="0"/>
          <w:highlight w:val="none"/>
        </w:rPr>
      </w:pPr>
    </w:p>
    <w:p w14:paraId="544A19E2">
      <w:pPr>
        <w:spacing w:before="120" w:beforeLines="50" w:after="120" w:afterLines="50" w:line="360" w:lineRule="auto"/>
        <w:jc w:val="center"/>
        <w:rPr>
          <w:rFonts w:hAnsi="宋体"/>
          <w:b/>
          <w:bCs/>
          <w:color w:val="auto"/>
          <w:kern w:val="0"/>
          <w:highlight w:val="none"/>
        </w:rPr>
      </w:pPr>
    </w:p>
    <w:p w14:paraId="4BC816D2">
      <w:pPr>
        <w:spacing w:before="120" w:beforeLines="50" w:after="120" w:afterLines="50" w:line="360" w:lineRule="auto"/>
        <w:jc w:val="center"/>
        <w:rPr>
          <w:rFonts w:hAnsi="宋体"/>
          <w:b/>
          <w:bCs/>
          <w:color w:val="auto"/>
          <w:kern w:val="0"/>
          <w:highlight w:val="none"/>
        </w:rPr>
      </w:pPr>
    </w:p>
    <w:p w14:paraId="068C72E6">
      <w:pPr>
        <w:spacing w:before="120" w:beforeLines="50" w:after="120" w:afterLines="50" w:line="360" w:lineRule="auto"/>
        <w:jc w:val="center"/>
        <w:rPr>
          <w:rFonts w:hAnsi="宋体"/>
          <w:b/>
          <w:bCs/>
          <w:color w:val="auto"/>
          <w:kern w:val="0"/>
          <w:highlight w:val="none"/>
        </w:rPr>
      </w:pPr>
    </w:p>
    <w:p w14:paraId="33954783">
      <w:pPr>
        <w:spacing w:before="120" w:beforeLines="50" w:after="120" w:afterLines="50" w:line="360" w:lineRule="auto"/>
        <w:jc w:val="center"/>
        <w:rPr>
          <w:rFonts w:hAnsi="宋体"/>
          <w:b/>
          <w:bCs/>
          <w:color w:val="auto"/>
          <w:kern w:val="0"/>
          <w:highlight w:val="none"/>
        </w:rPr>
      </w:pPr>
    </w:p>
    <w:p w14:paraId="31425263">
      <w:pPr>
        <w:spacing w:before="120" w:beforeLines="50" w:after="120" w:afterLines="50" w:line="360" w:lineRule="auto"/>
        <w:jc w:val="center"/>
        <w:rPr>
          <w:rFonts w:hAnsi="宋体"/>
          <w:b/>
          <w:bCs/>
          <w:color w:val="auto"/>
          <w:kern w:val="0"/>
          <w:highlight w:val="none"/>
        </w:rPr>
      </w:pPr>
    </w:p>
    <w:p w14:paraId="5696B9E1">
      <w:pPr>
        <w:spacing w:before="120" w:beforeLines="50" w:after="120" w:afterLines="50" w:line="360" w:lineRule="auto"/>
        <w:jc w:val="center"/>
        <w:rPr>
          <w:rFonts w:hAnsi="宋体"/>
          <w:b/>
          <w:bCs/>
          <w:color w:val="auto"/>
          <w:kern w:val="0"/>
          <w:highlight w:val="none"/>
        </w:rPr>
      </w:pPr>
    </w:p>
    <w:p w14:paraId="3F196106">
      <w:pPr>
        <w:spacing w:before="120" w:beforeLines="50" w:after="120" w:afterLines="50" w:line="360" w:lineRule="auto"/>
        <w:jc w:val="center"/>
        <w:rPr>
          <w:rFonts w:hAnsi="宋体"/>
          <w:b/>
          <w:bCs/>
          <w:color w:val="auto"/>
          <w:kern w:val="0"/>
          <w:highlight w:val="none"/>
        </w:rPr>
      </w:pPr>
    </w:p>
    <w:p w14:paraId="04AFDB03">
      <w:pPr>
        <w:spacing w:before="120" w:beforeLines="50" w:after="120" w:afterLines="50" w:line="360" w:lineRule="auto"/>
        <w:jc w:val="center"/>
        <w:rPr>
          <w:rFonts w:hAnsi="宋体"/>
          <w:b/>
          <w:bCs/>
          <w:color w:val="auto"/>
          <w:kern w:val="0"/>
          <w:highlight w:val="none"/>
        </w:rPr>
      </w:pPr>
    </w:p>
    <w:p w14:paraId="6A4F40CD">
      <w:pPr>
        <w:spacing w:before="120" w:beforeLines="50" w:after="120" w:afterLines="50" w:line="360" w:lineRule="auto"/>
        <w:jc w:val="center"/>
        <w:rPr>
          <w:rFonts w:hAnsi="宋体"/>
          <w:b/>
          <w:bCs/>
          <w:color w:val="auto"/>
          <w:kern w:val="0"/>
          <w:highlight w:val="none"/>
        </w:rPr>
        <w:sectPr>
          <w:headerReference r:id="rId11" w:type="default"/>
          <w:pgSz w:w="11907" w:h="16840"/>
          <w:pgMar w:top="1304" w:right="1588" w:bottom="1304" w:left="1588" w:header="720" w:footer="720" w:gutter="0"/>
          <w:pgBorders>
            <w:top w:val="none" w:sz="0" w:space="0"/>
            <w:left w:val="none" w:sz="0" w:space="0"/>
            <w:bottom w:val="none" w:sz="0" w:space="0"/>
            <w:right w:val="none" w:sz="0" w:space="0"/>
          </w:pgBorders>
          <w:pgNumType w:fmt="decimal"/>
          <w:cols w:space="720" w:num="1"/>
          <w:docGrid w:linePitch="285" w:charSpace="0"/>
        </w:sectPr>
      </w:pPr>
    </w:p>
    <w:p w14:paraId="11DB330F">
      <w:pPr>
        <w:spacing w:before="120" w:beforeLines="50" w:after="120" w:afterLines="50" w:line="360" w:lineRule="auto"/>
        <w:jc w:val="center"/>
        <w:rPr>
          <w:rFonts w:hAnsi="宋体"/>
          <w:b/>
          <w:bCs/>
          <w:color w:val="auto"/>
          <w:kern w:val="0"/>
          <w:highlight w:val="none"/>
        </w:rPr>
      </w:pPr>
    </w:p>
    <w:p w14:paraId="3B4D3067">
      <w:pPr>
        <w:widowControl/>
        <w:spacing w:line="360" w:lineRule="auto"/>
        <w:jc w:val="left"/>
        <w:rPr>
          <w:rFonts w:ascii="宋体"/>
          <w:color w:val="auto"/>
          <w:kern w:val="0"/>
          <w:sz w:val="24"/>
          <w:szCs w:val="24"/>
          <w:highlight w:val="none"/>
        </w:rPr>
      </w:pPr>
      <w:r>
        <w:rPr>
          <w:rFonts w:hint="eastAsia" w:ascii="宋体" w:hAnsi="宋体" w:cs="宋体"/>
          <w:b/>
          <w:bCs/>
          <w:color w:val="auto"/>
          <w:kern w:val="0"/>
          <w:highlight w:val="none"/>
        </w:rPr>
        <w:t>报价文件组成：</w:t>
      </w:r>
    </w:p>
    <w:p w14:paraId="5A5C5E48">
      <w:pPr>
        <w:tabs>
          <w:tab w:val="left" w:pos="1418"/>
        </w:tabs>
        <w:spacing w:line="360" w:lineRule="auto"/>
        <w:ind w:firstLine="420" w:firstLineChars="200"/>
        <w:contextualSpacing/>
        <w:rPr>
          <w:rFonts w:hint="eastAsia" w:asciiTheme="minorEastAsia" w:hAnsiTheme="minorEastAsia" w:eastAsiaTheme="minorEastAsia"/>
          <w:color w:val="auto"/>
          <w:highlight w:val="none"/>
        </w:rPr>
      </w:pPr>
      <w:r>
        <w:rPr>
          <w:rFonts w:hint="eastAsia" w:asciiTheme="minorEastAsia" w:hAnsiTheme="minorEastAsia" w:eastAsiaTheme="minorEastAsia"/>
          <w:color w:val="auto"/>
          <w:highlight w:val="none"/>
        </w:rPr>
        <w:t>（1）投标函；</w:t>
      </w:r>
    </w:p>
    <w:p w14:paraId="096FBD01">
      <w:pPr>
        <w:tabs>
          <w:tab w:val="left" w:pos="1418"/>
        </w:tabs>
        <w:spacing w:line="360" w:lineRule="auto"/>
        <w:ind w:firstLine="420" w:firstLineChars="200"/>
        <w:contextualSpacing/>
        <w:rPr>
          <w:rFonts w:hint="eastAsia" w:asciiTheme="minorEastAsia" w:hAnsiTheme="minorEastAsia" w:eastAsiaTheme="minorEastAsia"/>
          <w:color w:val="auto"/>
          <w:highlight w:val="none"/>
        </w:rPr>
      </w:pPr>
      <w:r>
        <w:rPr>
          <w:rFonts w:hint="eastAsia" w:asciiTheme="minorEastAsia" w:hAnsiTheme="minorEastAsia" w:eastAsiaTheme="minorEastAsia"/>
          <w:color w:val="auto"/>
          <w:highlight w:val="none"/>
        </w:rPr>
        <w:t>（2）开标一览表；</w:t>
      </w:r>
    </w:p>
    <w:p w14:paraId="43E013CD">
      <w:pPr>
        <w:tabs>
          <w:tab w:val="left" w:pos="1418"/>
        </w:tabs>
        <w:spacing w:line="360" w:lineRule="auto"/>
        <w:ind w:firstLine="420" w:firstLineChars="200"/>
        <w:contextualSpacing/>
        <w:rPr>
          <w:rFonts w:hint="eastAsia" w:asciiTheme="minorEastAsia" w:hAnsiTheme="minorEastAsia" w:eastAsiaTheme="minorEastAsia"/>
          <w:color w:val="auto"/>
          <w:highlight w:val="none"/>
        </w:rPr>
      </w:pPr>
      <w:r>
        <w:rPr>
          <w:rFonts w:hint="eastAsia" w:asciiTheme="minorEastAsia" w:hAnsiTheme="minorEastAsia" w:eastAsiaTheme="minorEastAsia"/>
          <w:color w:val="auto"/>
          <w:highlight w:val="none"/>
        </w:rPr>
        <w:t>（3）投标分项报价表；</w:t>
      </w:r>
    </w:p>
    <w:p w14:paraId="5FA1C2BA">
      <w:pPr>
        <w:tabs>
          <w:tab w:val="left" w:pos="1418"/>
        </w:tabs>
        <w:spacing w:line="360" w:lineRule="auto"/>
        <w:ind w:firstLine="420" w:firstLineChars="200"/>
        <w:contextualSpacing/>
        <w:rPr>
          <w:rFonts w:hint="eastAsia" w:asciiTheme="minorEastAsia" w:hAnsiTheme="minorEastAsia" w:eastAsiaTheme="minorEastAsia"/>
          <w:color w:val="auto"/>
          <w:highlight w:val="none"/>
        </w:rPr>
      </w:pPr>
      <w:r>
        <w:rPr>
          <w:rFonts w:hint="eastAsia" w:asciiTheme="minorEastAsia" w:hAnsiTheme="minorEastAsia" w:eastAsiaTheme="minorEastAsia"/>
          <w:color w:val="auto"/>
          <w:highlight w:val="none"/>
        </w:rPr>
        <w:t>（4）关于符合本国产品标准的声明函或财政部会同有关部门规定的有关证明文件（如有）；</w:t>
      </w:r>
    </w:p>
    <w:p w14:paraId="3D40B459">
      <w:pPr>
        <w:tabs>
          <w:tab w:val="left" w:pos="1418"/>
        </w:tabs>
        <w:spacing w:line="360" w:lineRule="auto"/>
        <w:ind w:firstLine="420" w:firstLineChars="200"/>
        <w:contextualSpacing/>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（5）享受政府采购价格优惠政策需提供的证明资料（如有）</w:t>
      </w:r>
    </w:p>
    <w:p w14:paraId="501D394C">
      <w:pPr>
        <w:tabs>
          <w:tab w:val="left" w:pos="1418"/>
        </w:tabs>
        <w:spacing w:line="360" w:lineRule="auto"/>
        <w:ind w:firstLine="420" w:firstLineChars="200"/>
        <w:contextualSpacing/>
        <w:rPr>
          <w:rFonts w:cs="宋体" w:asciiTheme="minorEastAsia" w:hAnsiTheme="minorEastAsia" w:eastAsiaTheme="minorEastAsia"/>
          <w:color w:val="auto"/>
          <w:kern w:val="0"/>
          <w:highlight w:val="none"/>
        </w:rPr>
      </w:pPr>
    </w:p>
    <w:p w14:paraId="79B410DD">
      <w:pPr>
        <w:tabs>
          <w:tab w:val="left" w:pos="1418"/>
        </w:tabs>
        <w:spacing w:line="360" w:lineRule="auto"/>
        <w:ind w:firstLine="420" w:firstLineChars="200"/>
        <w:contextualSpacing/>
        <w:rPr>
          <w:rFonts w:asciiTheme="minorEastAsia" w:hAnsiTheme="minorEastAsia" w:eastAsiaTheme="minorEastAsia"/>
          <w:color w:val="auto"/>
          <w:highlight w:val="none"/>
        </w:rPr>
      </w:pPr>
    </w:p>
    <w:p w14:paraId="14920753">
      <w:pPr>
        <w:pStyle w:val="4"/>
        <w:spacing w:line="380" w:lineRule="exact"/>
        <w:rPr>
          <w:rFonts w:asciiTheme="minorEastAsia" w:hAnsiTheme="minorEastAsia" w:eastAsiaTheme="minorEastAsia"/>
          <w:bCs w:val="0"/>
          <w:color w:val="auto"/>
          <w:sz w:val="24"/>
          <w:szCs w:val="24"/>
          <w:highlight w:val="none"/>
        </w:rPr>
      </w:pPr>
    </w:p>
    <w:p w14:paraId="725616A8">
      <w:pPr>
        <w:widowControl/>
        <w:jc w:val="left"/>
        <w:rPr>
          <w:rFonts w:asciiTheme="minorEastAsia" w:hAnsiTheme="minorEastAsia" w:eastAsiaTheme="minorEastAsia"/>
          <w:b/>
          <w:color w:val="auto"/>
          <w:sz w:val="24"/>
          <w:szCs w:val="24"/>
          <w:highlight w:val="none"/>
        </w:rPr>
      </w:pPr>
      <w:r>
        <w:rPr>
          <w:rFonts w:asciiTheme="minorEastAsia" w:hAnsiTheme="minorEastAsia" w:eastAsiaTheme="minorEastAsia"/>
          <w:bCs/>
          <w:color w:val="auto"/>
          <w:sz w:val="24"/>
          <w:szCs w:val="24"/>
          <w:highlight w:val="none"/>
        </w:rPr>
        <w:br w:type="page"/>
      </w:r>
    </w:p>
    <w:p w14:paraId="7A6A3583">
      <w:pPr>
        <w:pStyle w:val="4"/>
        <w:spacing w:line="380" w:lineRule="exact"/>
        <w:rPr>
          <w:rFonts w:asciiTheme="minorEastAsia" w:hAnsiTheme="minorEastAsia" w:eastAsiaTheme="minorEastAsia"/>
          <w:b w:val="0"/>
          <w:color w:val="auto"/>
          <w:sz w:val="28"/>
          <w:szCs w:val="28"/>
          <w:highlight w:val="none"/>
        </w:rPr>
      </w:pPr>
      <w:bookmarkStart w:id="142" w:name="_Toc141797144"/>
      <w:bookmarkStart w:id="143" w:name="_Toc141797700"/>
      <w:r>
        <w:rPr>
          <w:rFonts w:hint="eastAsia" w:asciiTheme="minorEastAsia" w:hAnsiTheme="minorEastAsia" w:eastAsiaTheme="minorEastAsia"/>
          <w:bCs w:val="0"/>
          <w:color w:val="auto"/>
          <w:sz w:val="28"/>
          <w:szCs w:val="28"/>
          <w:highlight w:val="none"/>
        </w:rPr>
        <w:t>（一）投标函</w:t>
      </w:r>
      <w:bookmarkEnd w:id="142"/>
      <w:bookmarkEnd w:id="143"/>
    </w:p>
    <w:p w14:paraId="3A486DFD">
      <w:pPr>
        <w:pStyle w:val="18"/>
        <w:ind w:firstLine="0"/>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u w:val="single"/>
        </w:rPr>
        <w:t>致</w:t>
      </w:r>
      <w:r>
        <w:rPr>
          <w:rFonts w:hint="eastAsia" w:asciiTheme="minorEastAsia" w:hAnsiTheme="minorEastAsia" w:eastAsiaTheme="minorEastAsia"/>
          <w:i/>
          <w:color w:val="auto"/>
          <w:sz w:val="21"/>
          <w:szCs w:val="21"/>
          <w:highlight w:val="none"/>
          <w:u w:val="single"/>
        </w:rPr>
        <w:t>（采购人）</w:t>
      </w:r>
      <w:r>
        <w:rPr>
          <w:rFonts w:hint="eastAsia" w:asciiTheme="minorEastAsia" w:hAnsiTheme="minorEastAsia" w:eastAsiaTheme="minorEastAsia"/>
          <w:color w:val="auto"/>
          <w:sz w:val="21"/>
          <w:szCs w:val="21"/>
          <w:highlight w:val="none"/>
        </w:rPr>
        <w:t>：</w:t>
      </w:r>
    </w:p>
    <w:p w14:paraId="0BA1A937">
      <w:pPr>
        <w:pStyle w:val="18"/>
        <w:ind w:firstLine="0"/>
        <w:rPr>
          <w:rFonts w:asciiTheme="minorEastAsia" w:hAnsiTheme="minorEastAsia" w:eastAsiaTheme="minorEastAsia"/>
          <w:color w:val="auto"/>
          <w:sz w:val="21"/>
          <w:szCs w:val="21"/>
          <w:highlight w:val="none"/>
          <w:u w:val="single"/>
        </w:rPr>
      </w:pPr>
      <w:r>
        <w:rPr>
          <w:rFonts w:hint="eastAsia" w:asciiTheme="minorEastAsia" w:hAnsiTheme="minorEastAsia" w:eastAsiaTheme="minorEastAsia"/>
          <w:i/>
          <w:color w:val="auto"/>
          <w:sz w:val="21"/>
          <w:szCs w:val="21"/>
          <w:highlight w:val="none"/>
          <w:u w:val="single"/>
        </w:rPr>
        <w:t>（投标人全称）</w:t>
      </w:r>
      <w:r>
        <w:rPr>
          <w:rFonts w:hint="eastAsia" w:asciiTheme="minorEastAsia" w:hAnsiTheme="minorEastAsia" w:eastAsiaTheme="minorEastAsia"/>
          <w:color w:val="auto"/>
          <w:sz w:val="21"/>
          <w:szCs w:val="21"/>
          <w:highlight w:val="none"/>
        </w:rPr>
        <w:t>参加贵方组织的</w:t>
      </w:r>
      <w:r>
        <w:rPr>
          <w:rFonts w:hint="eastAsia" w:asciiTheme="minorEastAsia" w:hAnsiTheme="minorEastAsia" w:eastAsiaTheme="minorEastAsia"/>
          <w:i/>
          <w:color w:val="auto"/>
          <w:sz w:val="21"/>
          <w:szCs w:val="21"/>
          <w:highlight w:val="none"/>
          <w:u w:val="single"/>
        </w:rPr>
        <w:t>（招标编号、招标项目名称）</w:t>
      </w:r>
      <w:r>
        <w:rPr>
          <w:rFonts w:hint="eastAsia" w:asciiTheme="minorEastAsia" w:hAnsiTheme="minorEastAsia" w:eastAsiaTheme="minorEastAsia"/>
          <w:color w:val="auto"/>
          <w:sz w:val="21"/>
          <w:szCs w:val="21"/>
          <w:highlight w:val="none"/>
        </w:rPr>
        <w:t>招投标活动，代表本公司处理招投标活动中的一切事宜，现对</w:t>
      </w:r>
      <w:r>
        <w:rPr>
          <w:rFonts w:hint="eastAsia" w:asciiTheme="minorEastAsia" w:hAnsiTheme="minorEastAsia" w:eastAsiaTheme="minorEastAsia"/>
          <w:i/>
          <w:color w:val="auto"/>
          <w:sz w:val="21"/>
          <w:szCs w:val="21"/>
          <w:highlight w:val="none"/>
          <w:u w:val="single"/>
        </w:rPr>
        <w:t>（项目名称）</w:t>
      </w:r>
      <w:r>
        <w:rPr>
          <w:rFonts w:hint="eastAsia" w:asciiTheme="minorEastAsia" w:hAnsiTheme="minorEastAsia" w:eastAsiaTheme="minorEastAsia"/>
          <w:color w:val="auto"/>
          <w:sz w:val="21"/>
          <w:szCs w:val="21"/>
          <w:highlight w:val="none"/>
        </w:rPr>
        <w:t>进行投标，在此：</w:t>
      </w:r>
    </w:p>
    <w:p w14:paraId="03B8F162">
      <w:pPr>
        <w:pStyle w:val="18"/>
        <w:numPr>
          <w:ilvl w:val="0"/>
          <w:numId w:val="7"/>
        </w:numPr>
        <w:tabs>
          <w:tab w:val="left" w:pos="525"/>
        </w:tabs>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提供招标文件中“投标人须知”规定的全部投标文件。</w:t>
      </w:r>
    </w:p>
    <w:p w14:paraId="1326A5DD">
      <w:pPr>
        <w:pStyle w:val="18"/>
        <w:tabs>
          <w:tab w:val="left" w:pos="525"/>
        </w:tabs>
        <w:ind w:firstLine="0"/>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2、据此函，签字代表宣布并承诺如下：</w:t>
      </w:r>
    </w:p>
    <w:p w14:paraId="1C64CFE2">
      <w:pPr>
        <w:pStyle w:val="18"/>
        <w:numPr>
          <w:ilvl w:val="0"/>
          <w:numId w:val="8"/>
        </w:numPr>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投标总价为（大写）：人民币元。</w:t>
      </w:r>
    </w:p>
    <w:p w14:paraId="0F0A8E28">
      <w:pPr>
        <w:pStyle w:val="18"/>
        <w:ind w:firstLine="420" w:firstLineChars="200"/>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本报价已经包含了所供货物及服务应纳的税金及招标文件规定的报价方式应包含的其它费用。本报价在投标有效期内固定不变，并在合同有效期内不受利率波动的影响。</w:t>
      </w:r>
    </w:p>
    <w:p w14:paraId="4DEEFC0A">
      <w:pPr>
        <w:pStyle w:val="18"/>
        <w:numPr>
          <w:ilvl w:val="0"/>
          <w:numId w:val="8"/>
        </w:numPr>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本投标自开标之日起90天内有效。</w:t>
      </w:r>
    </w:p>
    <w:p w14:paraId="6193E1DD">
      <w:pPr>
        <w:pStyle w:val="18"/>
        <w:numPr>
          <w:ilvl w:val="0"/>
          <w:numId w:val="8"/>
        </w:numPr>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我们已详细审查全部招标文件及有关的澄清/修改文件(若有的话)，我们完全理解并同意放弃对这方面提出任何异议的权利，保证遵守招标文件有关条款规定。</w:t>
      </w:r>
    </w:p>
    <w:p w14:paraId="13773C6B">
      <w:pPr>
        <w:pStyle w:val="18"/>
        <w:numPr>
          <w:ilvl w:val="0"/>
          <w:numId w:val="8"/>
        </w:numPr>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保证遵守招标文件有关条款规定。</w:t>
      </w:r>
    </w:p>
    <w:p w14:paraId="68A0BF81">
      <w:pPr>
        <w:pStyle w:val="18"/>
        <w:numPr>
          <w:ilvl w:val="0"/>
          <w:numId w:val="8"/>
        </w:numPr>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保证在中标后忠实地执行与采购人所签署的合同，并承担合同规定的责任义务。保证在中标后按照招标文件的规定支付中标服务费。</w:t>
      </w:r>
    </w:p>
    <w:p w14:paraId="70370BA2">
      <w:pPr>
        <w:pStyle w:val="18"/>
        <w:numPr>
          <w:ilvl w:val="0"/>
          <w:numId w:val="8"/>
        </w:numPr>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承诺应贵方要求提供任何与该项目投标有关的数据、情况和技术资料。</w:t>
      </w:r>
    </w:p>
    <w:p w14:paraId="73CFB0E8">
      <w:pPr>
        <w:pStyle w:val="18"/>
        <w:numPr>
          <w:ilvl w:val="0"/>
          <w:numId w:val="8"/>
        </w:numPr>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我们承诺，与为采购人采购本项目进行设计、编制规范和其他文件所委托的咨询公司或其附属机构无任何直接或间接的关联。</w:t>
      </w:r>
    </w:p>
    <w:p w14:paraId="39EE3321">
      <w:pPr>
        <w:pStyle w:val="18"/>
        <w:numPr>
          <w:ilvl w:val="0"/>
          <w:numId w:val="8"/>
        </w:numPr>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我们郑重声明：我公司符合政府采购法规定的参加采购活动应当具备的条件：具有独立承担民事责任的能力、具有良好的商业信誉和健全的财务会计制度、具有履行合同所必需的设备和专业技术能力、有依法缴纳税收和社会保障资金的良好记录、参加本次采购活动前的三年内，在经营活动中没有重大违法记录。</w:t>
      </w:r>
    </w:p>
    <w:p w14:paraId="5EDE41B6">
      <w:pPr>
        <w:pStyle w:val="18"/>
        <w:ind w:firstLine="0"/>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lang w:val="en-US" w:eastAsia="zh-CN"/>
        </w:rPr>
        <w:t>3</w:t>
      </w:r>
      <w:r>
        <w:rPr>
          <w:rFonts w:hint="eastAsia" w:asciiTheme="minorEastAsia" w:hAnsiTheme="minorEastAsia" w:eastAsiaTheme="minorEastAsia"/>
          <w:color w:val="auto"/>
          <w:sz w:val="21"/>
          <w:szCs w:val="21"/>
          <w:highlight w:val="none"/>
        </w:rPr>
        <w:t>、与本投标有关的一切往来通讯请寄：</w:t>
      </w:r>
    </w:p>
    <w:p w14:paraId="65580DE4">
      <w:pPr>
        <w:pStyle w:val="18"/>
        <w:ind w:firstLine="0"/>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地址：</w:t>
      </w:r>
    </w:p>
    <w:p w14:paraId="168DB036">
      <w:pPr>
        <w:pStyle w:val="18"/>
        <w:ind w:firstLine="0"/>
        <w:rPr>
          <w:rFonts w:asciiTheme="minorEastAsia" w:hAnsiTheme="minorEastAsia" w:eastAsiaTheme="minorEastAsia"/>
          <w:color w:val="auto"/>
          <w:sz w:val="21"/>
          <w:szCs w:val="21"/>
          <w:highlight w:val="none"/>
          <w:u w:val="single"/>
        </w:rPr>
      </w:pPr>
      <w:r>
        <w:rPr>
          <w:rFonts w:hint="eastAsia" w:asciiTheme="minorEastAsia" w:hAnsiTheme="minorEastAsia" w:eastAsiaTheme="minorEastAsia"/>
          <w:color w:val="auto"/>
          <w:sz w:val="21"/>
          <w:szCs w:val="21"/>
          <w:highlight w:val="none"/>
        </w:rPr>
        <w:t>邮编：电话：传真：</w:t>
      </w:r>
    </w:p>
    <w:p w14:paraId="0CABB198">
      <w:pPr>
        <w:pStyle w:val="18"/>
        <w:ind w:firstLine="0"/>
        <w:rPr>
          <w:rFonts w:asciiTheme="minorEastAsia" w:hAnsiTheme="minorEastAsia" w:eastAsiaTheme="minorEastAsia"/>
          <w:color w:val="auto"/>
          <w:sz w:val="21"/>
          <w:szCs w:val="21"/>
          <w:highlight w:val="none"/>
        </w:rPr>
      </w:pPr>
    </w:p>
    <w:p w14:paraId="6FEC2B70">
      <w:pPr>
        <w:pStyle w:val="18"/>
        <w:ind w:firstLine="0"/>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投标人（公章）：投标人代表（签字或印章）：</w:t>
      </w:r>
    </w:p>
    <w:p w14:paraId="16E8C4A2">
      <w:pPr>
        <w:pStyle w:val="18"/>
        <w:tabs>
          <w:tab w:val="left" w:pos="4841"/>
        </w:tabs>
        <w:ind w:firstLine="0"/>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日期：年月日</w:t>
      </w:r>
    </w:p>
    <w:p w14:paraId="306C0B83">
      <w:pPr>
        <w:pStyle w:val="18"/>
        <w:tabs>
          <w:tab w:val="left" w:pos="4841"/>
        </w:tabs>
        <w:ind w:firstLine="0"/>
        <w:rPr>
          <w:rFonts w:asciiTheme="minorEastAsia" w:hAnsiTheme="minorEastAsia" w:eastAsiaTheme="minorEastAsia"/>
          <w:color w:val="auto"/>
          <w:sz w:val="21"/>
          <w:szCs w:val="21"/>
          <w:highlight w:val="none"/>
        </w:rPr>
      </w:pPr>
    </w:p>
    <w:p w14:paraId="743A7C4D">
      <w:pPr>
        <w:pStyle w:val="4"/>
        <w:spacing w:line="380" w:lineRule="exact"/>
        <w:rPr>
          <w:rFonts w:asciiTheme="minorEastAsia" w:hAnsiTheme="minorEastAsia" w:eastAsiaTheme="minorEastAsia"/>
          <w:bCs w:val="0"/>
          <w:color w:val="auto"/>
          <w:sz w:val="28"/>
          <w:szCs w:val="28"/>
          <w:highlight w:val="none"/>
        </w:rPr>
      </w:pPr>
      <w:r>
        <w:rPr>
          <w:rFonts w:asciiTheme="minorEastAsia" w:hAnsiTheme="minorEastAsia" w:eastAsiaTheme="minorEastAsia"/>
          <w:bCs w:val="0"/>
          <w:color w:val="auto"/>
          <w:sz w:val="24"/>
          <w:szCs w:val="24"/>
          <w:highlight w:val="none"/>
        </w:rPr>
        <w:br w:type="page"/>
      </w:r>
      <w:bookmarkStart w:id="144" w:name="_Toc141797701"/>
      <w:bookmarkStart w:id="145" w:name="_Toc141797145"/>
      <w:r>
        <w:rPr>
          <w:rFonts w:hint="eastAsia" w:asciiTheme="minorEastAsia" w:hAnsiTheme="minorEastAsia" w:eastAsiaTheme="minorEastAsia"/>
          <w:bCs w:val="0"/>
          <w:color w:val="auto"/>
          <w:sz w:val="28"/>
          <w:szCs w:val="28"/>
          <w:highlight w:val="none"/>
        </w:rPr>
        <w:t>（二）开标一览表</w:t>
      </w:r>
      <w:bookmarkEnd w:id="144"/>
      <w:bookmarkEnd w:id="145"/>
    </w:p>
    <w:p w14:paraId="3A02AD34">
      <w:pPr>
        <w:spacing w:line="400" w:lineRule="exact"/>
        <w:ind w:left="525"/>
        <w:rPr>
          <w:rFonts w:asciiTheme="minorEastAsia" w:hAnsiTheme="minorEastAsia" w:eastAsiaTheme="minorEastAsia"/>
          <w:color w:val="auto"/>
          <w:highlight w:val="none"/>
        </w:rPr>
      </w:pPr>
    </w:p>
    <w:p w14:paraId="4E527B77">
      <w:pPr>
        <w:keepNext w:val="0"/>
        <w:keepLines w:val="0"/>
        <w:pageBreakBefore w:val="0"/>
        <w:widowControl w:val="0"/>
        <w:kinsoku/>
        <w:wordWrap/>
        <w:overflowPunct/>
        <w:topLinePunct w:val="0"/>
        <w:autoSpaceDE/>
        <w:autoSpaceDN/>
        <w:bidi w:val="0"/>
        <w:adjustRightInd/>
        <w:snapToGrid/>
        <w:spacing w:line="380" w:lineRule="exact"/>
        <w:ind w:firstLine="0" w:firstLineChars="0"/>
        <w:jc w:val="left"/>
        <w:textAlignment w:val="auto"/>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项目名称：</w:t>
      </w:r>
    </w:p>
    <w:p w14:paraId="53AB8826">
      <w:pPr>
        <w:keepNext w:val="0"/>
        <w:keepLines w:val="0"/>
        <w:pageBreakBefore w:val="0"/>
        <w:widowControl w:val="0"/>
        <w:kinsoku/>
        <w:wordWrap/>
        <w:overflowPunct/>
        <w:topLinePunct w:val="0"/>
        <w:autoSpaceDE/>
        <w:autoSpaceDN/>
        <w:bidi w:val="0"/>
        <w:adjustRightInd/>
        <w:snapToGrid/>
        <w:spacing w:line="380" w:lineRule="exact"/>
        <w:ind w:firstLine="0" w:firstLineChars="0"/>
        <w:jc w:val="left"/>
        <w:textAlignment w:val="auto"/>
        <w:rPr>
          <w:rFonts w:hint="eastAsia" w:asciiTheme="minorEastAsia" w:hAnsiTheme="minorEastAsia" w:eastAsiaTheme="minorEastAsia"/>
          <w:color w:val="auto"/>
          <w:highlight w:val="none"/>
        </w:rPr>
      </w:pPr>
      <w:r>
        <w:rPr>
          <w:rFonts w:hint="eastAsia" w:asciiTheme="minorEastAsia" w:hAnsiTheme="minorEastAsia" w:eastAsiaTheme="minorEastAsia"/>
          <w:color w:val="auto"/>
          <w:highlight w:val="none"/>
        </w:rPr>
        <w:t>招标编号：</w:t>
      </w:r>
    </w:p>
    <w:tbl>
      <w:tblPr>
        <w:tblStyle w:val="38"/>
        <w:tblW w:w="918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9"/>
        <w:gridCol w:w="1791"/>
        <w:gridCol w:w="2831"/>
        <w:gridCol w:w="2582"/>
        <w:gridCol w:w="1275"/>
      </w:tblGrid>
      <w:tr w14:paraId="46BE3C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6"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01341B82">
            <w:pPr>
              <w:jc w:val="center"/>
              <w:rPr>
                <w:rFonts w:cs="宋体" w:asciiTheme="minorEastAsia" w:hAnsiTheme="minorEastAsia" w:eastAsiaTheme="minorEastAsia"/>
                <w:i/>
                <w:color w:val="auto"/>
                <w:sz w:val="24"/>
                <w:highlight w:val="none"/>
              </w:rPr>
            </w:pPr>
            <w:r>
              <w:rPr>
                <w:rFonts w:hint="eastAsia" w:cs="宋体" w:asciiTheme="minorEastAsia" w:hAnsiTheme="minorEastAsia" w:eastAsiaTheme="minorEastAsia"/>
                <w:color w:val="auto"/>
                <w:sz w:val="24"/>
                <w:highlight w:val="none"/>
              </w:rPr>
              <w:t>标项</w:t>
            </w:r>
          </w:p>
        </w:tc>
        <w:tc>
          <w:tcPr>
            <w:tcW w:w="1791" w:type="dxa"/>
            <w:tcBorders>
              <w:top w:val="single" w:color="000000" w:sz="4" w:space="0"/>
              <w:left w:val="single" w:color="000000" w:sz="4" w:space="0"/>
              <w:bottom w:val="single" w:color="000000" w:sz="4" w:space="0"/>
              <w:right w:val="single" w:color="000000" w:sz="4" w:space="0"/>
            </w:tcBorders>
            <w:vAlign w:val="center"/>
          </w:tcPr>
          <w:p w14:paraId="3C3BC4E2">
            <w:pPr>
              <w:jc w:val="center"/>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项目内容</w:t>
            </w:r>
          </w:p>
        </w:tc>
        <w:tc>
          <w:tcPr>
            <w:tcW w:w="2831" w:type="dxa"/>
            <w:tcBorders>
              <w:top w:val="single" w:color="000000" w:sz="4" w:space="0"/>
              <w:left w:val="single" w:color="000000" w:sz="4" w:space="0"/>
              <w:bottom w:val="single" w:color="000000" w:sz="4" w:space="0"/>
              <w:right w:val="single" w:color="000000" w:sz="4" w:space="0"/>
            </w:tcBorders>
            <w:vAlign w:val="center"/>
          </w:tcPr>
          <w:p w14:paraId="4D90F716">
            <w:pPr>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投标总价</w:t>
            </w:r>
            <w:r>
              <w:rPr>
                <w:rFonts w:cs="宋体" w:asciiTheme="minorEastAsia" w:hAnsiTheme="minorEastAsia" w:eastAsiaTheme="minorEastAsia"/>
                <w:color w:val="auto"/>
                <w:sz w:val="24"/>
                <w:highlight w:val="none"/>
              </w:rPr>
              <w:t>（单位：元）</w:t>
            </w:r>
          </w:p>
        </w:tc>
        <w:tc>
          <w:tcPr>
            <w:tcW w:w="2582" w:type="dxa"/>
            <w:tcBorders>
              <w:top w:val="single" w:color="000000" w:sz="4" w:space="0"/>
              <w:left w:val="single" w:color="000000" w:sz="4" w:space="0"/>
              <w:bottom w:val="single" w:color="000000" w:sz="4" w:space="0"/>
              <w:right w:val="single" w:color="000000" w:sz="4" w:space="0"/>
            </w:tcBorders>
            <w:vAlign w:val="center"/>
          </w:tcPr>
          <w:p w14:paraId="65864D5F">
            <w:pPr>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合同履约期限</w:t>
            </w:r>
          </w:p>
        </w:tc>
        <w:tc>
          <w:tcPr>
            <w:tcW w:w="1275" w:type="dxa"/>
            <w:tcBorders>
              <w:top w:val="single" w:color="000000" w:sz="4" w:space="0"/>
              <w:left w:val="single" w:color="000000" w:sz="4" w:space="0"/>
              <w:bottom w:val="single" w:color="000000" w:sz="4" w:space="0"/>
              <w:right w:val="single" w:color="000000" w:sz="4" w:space="0"/>
            </w:tcBorders>
            <w:vAlign w:val="center"/>
          </w:tcPr>
          <w:p w14:paraId="74A6693B">
            <w:pPr>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投标声明</w:t>
            </w:r>
          </w:p>
        </w:tc>
      </w:tr>
      <w:tr w14:paraId="17562D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64" w:hRule="atLeast"/>
          <w:jc w:val="center"/>
        </w:trPr>
        <w:tc>
          <w:tcPr>
            <w:tcW w:w="709" w:type="dxa"/>
            <w:tcBorders>
              <w:top w:val="single" w:color="000000" w:sz="4" w:space="0"/>
              <w:left w:val="single" w:color="000000" w:sz="4" w:space="0"/>
              <w:right w:val="single" w:color="000000" w:sz="4" w:space="0"/>
            </w:tcBorders>
            <w:vAlign w:val="center"/>
          </w:tcPr>
          <w:p w14:paraId="5C04A1EB">
            <w:pPr>
              <w:jc w:val="center"/>
              <w:rPr>
                <w:rFonts w:cs="宋体" w:asciiTheme="minorEastAsia" w:hAnsiTheme="minorEastAsia" w:eastAsiaTheme="minorEastAsia"/>
                <w:color w:val="auto"/>
                <w:sz w:val="24"/>
                <w:highlight w:val="none"/>
              </w:rPr>
            </w:pPr>
          </w:p>
        </w:tc>
        <w:tc>
          <w:tcPr>
            <w:tcW w:w="1791" w:type="dxa"/>
            <w:tcBorders>
              <w:top w:val="single" w:color="000000" w:sz="4" w:space="0"/>
              <w:left w:val="single" w:color="000000" w:sz="4" w:space="0"/>
              <w:bottom w:val="single" w:color="000000" w:sz="4" w:space="0"/>
              <w:right w:val="single" w:color="000000" w:sz="4" w:space="0"/>
            </w:tcBorders>
            <w:vAlign w:val="center"/>
          </w:tcPr>
          <w:p w14:paraId="388DE09B">
            <w:pPr>
              <w:snapToGrid w:val="0"/>
              <w:spacing w:line="26" w:lineRule="atLeast"/>
              <w:jc w:val="center"/>
              <w:rPr>
                <w:rFonts w:cs="宋体" w:asciiTheme="minorEastAsia" w:hAnsiTheme="minorEastAsia" w:eastAsiaTheme="minorEastAsia"/>
                <w:color w:val="auto"/>
                <w:sz w:val="24"/>
                <w:highlight w:val="none"/>
              </w:rPr>
            </w:pPr>
          </w:p>
        </w:tc>
        <w:tc>
          <w:tcPr>
            <w:tcW w:w="2831" w:type="dxa"/>
            <w:tcBorders>
              <w:top w:val="single" w:color="000000" w:sz="4" w:space="0"/>
              <w:left w:val="single" w:color="000000" w:sz="4" w:space="0"/>
              <w:bottom w:val="single" w:color="000000" w:sz="4" w:space="0"/>
              <w:right w:val="single" w:color="000000" w:sz="4" w:space="0"/>
            </w:tcBorders>
            <w:vAlign w:val="center"/>
          </w:tcPr>
          <w:p w14:paraId="0957C05D">
            <w:pPr>
              <w:snapToGrid w:val="0"/>
              <w:spacing w:line="26" w:lineRule="atLeas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大</w:t>
            </w:r>
            <w:r>
              <w:rPr>
                <w:rFonts w:asciiTheme="minorEastAsia" w:hAnsiTheme="minorEastAsia" w:eastAsiaTheme="minorEastAsia"/>
                <w:color w:val="auto"/>
                <w:highlight w:val="none"/>
              </w:rPr>
              <w:t>写</w:t>
            </w:r>
            <w:r>
              <w:rPr>
                <w:rFonts w:hint="eastAsia" w:asciiTheme="minorEastAsia" w:hAnsiTheme="minorEastAsia" w:eastAsiaTheme="minorEastAsia"/>
                <w:color w:val="auto"/>
                <w:highlight w:val="none"/>
              </w:rPr>
              <w:t>：</w:t>
            </w:r>
          </w:p>
          <w:p w14:paraId="562C0FE3">
            <w:pPr>
              <w:snapToGrid w:val="0"/>
              <w:spacing w:line="26" w:lineRule="atLeast"/>
              <w:ind w:firstLine="210" w:firstLineChars="100"/>
              <w:rPr>
                <w:rFonts w:asciiTheme="minorEastAsia" w:hAnsiTheme="minorEastAsia" w:eastAsiaTheme="minorEastAsia"/>
                <w:color w:val="auto"/>
                <w:highlight w:val="none"/>
              </w:rPr>
            </w:pPr>
          </w:p>
          <w:p w14:paraId="2A2770D3">
            <w:pPr>
              <w:snapToGrid w:val="0"/>
              <w:spacing w:line="26" w:lineRule="atLeas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小写：¥</w:t>
            </w:r>
          </w:p>
        </w:tc>
        <w:tc>
          <w:tcPr>
            <w:tcW w:w="2582" w:type="dxa"/>
            <w:tcBorders>
              <w:top w:val="single" w:color="000000" w:sz="4" w:space="0"/>
              <w:left w:val="single" w:color="000000" w:sz="4" w:space="0"/>
              <w:right w:val="single" w:color="000000" w:sz="4" w:space="0"/>
            </w:tcBorders>
            <w:vAlign w:val="center"/>
          </w:tcPr>
          <w:p w14:paraId="1F8A62DB">
            <w:pPr>
              <w:snapToGrid w:val="0"/>
              <w:spacing w:line="26" w:lineRule="atLeast"/>
              <w:jc w:val="center"/>
              <w:rPr>
                <w:rFonts w:asciiTheme="minorEastAsia" w:hAnsiTheme="minorEastAsia" w:eastAsiaTheme="minorEastAsia"/>
                <w:color w:val="auto"/>
                <w:highlight w:val="none"/>
              </w:rPr>
            </w:pPr>
          </w:p>
        </w:tc>
        <w:tc>
          <w:tcPr>
            <w:tcW w:w="1275" w:type="dxa"/>
            <w:tcBorders>
              <w:top w:val="single" w:color="000000" w:sz="4" w:space="0"/>
              <w:left w:val="single" w:color="000000" w:sz="4" w:space="0"/>
              <w:right w:val="single" w:color="000000" w:sz="4" w:space="0"/>
            </w:tcBorders>
            <w:vAlign w:val="center"/>
          </w:tcPr>
          <w:p w14:paraId="0A93E524">
            <w:pPr>
              <w:jc w:val="center"/>
              <w:rPr>
                <w:rFonts w:cs="宋体" w:asciiTheme="minorEastAsia" w:hAnsiTheme="minorEastAsia" w:eastAsiaTheme="minorEastAsia"/>
                <w:color w:val="auto"/>
                <w:sz w:val="24"/>
                <w:highlight w:val="none"/>
              </w:rPr>
            </w:pPr>
          </w:p>
        </w:tc>
      </w:tr>
    </w:tbl>
    <w:p w14:paraId="64EEEFEC">
      <w:pPr>
        <w:spacing w:line="380" w:lineRule="exact"/>
        <w:rPr>
          <w:rFonts w:asciiTheme="minorEastAsia" w:hAnsiTheme="minorEastAsia" w:eastAsiaTheme="minorEastAsia"/>
          <w:color w:val="auto"/>
          <w:highlight w:val="none"/>
          <w:u w:val="single"/>
        </w:rPr>
      </w:pPr>
      <w:r>
        <w:rPr>
          <w:rFonts w:hint="eastAsia" w:ascii="宋体" w:hAnsi="宋体"/>
          <w:color w:val="auto"/>
          <w:highlight w:val="none"/>
        </w:rPr>
        <w:t>注：投标文件中开标一览表内容与政采云系统“开标一览表”中录入的内容不一致的，以投标文件中开标一览表为准。</w:t>
      </w:r>
    </w:p>
    <w:p w14:paraId="52857AE5">
      <w:pPr>
        <w:spacing w:line="380" w:lineRule="exact"/>
        <w:rPr>
          <w:rFonts w:asciiTheme="minorEastAsia" w:hAnsiTheme="minorEastAsia" w:eastAsiaTheme="minorEastAsia"/>
          <w:color w:val="auto"/>
          <w:highlight w:val="none"/>
        </w:rPr>
      </w:pPr>
    </w:p>
    <w:p w14:paraId="19774987">
      <w:pPr>
        <w:spacing w:line="38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投标人（公章）：</w:t>
      </w:r>
    </w:p>
    <w:p w14:paraId="5CAEEAB9">
      <w:pPr>
        <w:spacing w:line="380" w:lineRule="exact"/>
        <w:rPr>
          <w:rFonts w:asciiTheme="minorEastAsia" w:hAnsiTheme="minorEastAsia" w:eastAsiaTheme="minorEastAsia"/>
          <w:color w:val="auto"/>
          <w:highlight w:val="none"/>
        </w:rPr>
      </w:pPr>
    </w:p>
    <w:p w14:paraId="2957AF78">
      <w:pPr>
        <w:spacing w:line="38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投标人代表（签字或印章）：</w:t>
      </w:r>
    </w:p>
    <w:p w14:paraId="3F7DEC8A">
      <w:pPr>
        <w:spacing w:line="380" w:lineRule="exact"/>
        <w:rPr>
          <w:rFonts w:asciiTheme="minorEastAsia" w:hAnsiTheme="minorEastAsia" w:eastAsiaTheme="minorEastAsia"/>
          <w:color w:val="auto"/>
          <w:highlight w:val="none"/>
        </w:rPr>
      </w:pPr>
    </w:p>
    <w:p w14:paraId="4399170F">
      <w:pPr>
        <w:rPr>
          <w:color w:val="auto"/>
          <w:highlight w:val="none"/>
        </w:rPr>
        <w:sectPr>
          <w:pgSz w:w="11907" w:h="16840"/>
          <w:pgMar w:top="1304" w:right="1588" w:bottom="1304" w:left="1588" w:header="720" w:footer="720" w:gutter="0"/>
          <w:pgBorders>
            <w:top w:val="none" w:sz="0" w:space="0"/>
            <w:left w:val="none" w:sz="0" w:space="0"/>
            <w:bottom w:val="none" w:sz="0" w:space="0"/>
            <w:right w:val="none" w:sz="0" w:space="0"/>
          </w:pgBorders>
          <w:pgNumType w:fmt="decimal"/>
          <w:cols w:space="720" w:num="1"/>
          <w:docGrid w:linePitch="285" w:charSpace="0"/>
        </w:sectPr>
      </w:pPr>
      <w:r>
        <w:rPr>
          <w:rFonts w:hint="eastAsia" w:asciiTheme="minorEastAsia" w:hAnsiTheme="minorEastAsia" w:eastAsiaTheme="minorEastAsia"/>
          <w:color w:val="auto"/>
          <w:highlight w:val="none"/>
        </w:rPr>
        <w:t>日期：年月日</w:t>
      </w:r>
    </w:p>
    <w:p w14:paraId="5B8513DC">
      <w:pPr>
        <w:jc w:val="center"/>
        <w:rPr>
          <w:b/>
          <w:color w:val="auto"/>
          <w:sz w:val="28"/>
          <w:szCs w:val="28"/>
          <w:highlight w:val="none"/>
        </w:rPr>
      </w:pPr>
      <w:r>
        <w:rPr>
          <w:rFonts w:hint="eastAsia"/>
          <w:b/>
          <w:color w:val="auto"/>
          <w:sz w:val="28"/>
          <w:szCs w:val="28"/>
          <w:highlight w:val="none"/>
        </w:rPr>
        <w:t>（三）投标分项报价表</w:t>
      </w:r>
    </w:p>
    <w:p w14:paraId="652C7568">
      <w:pPr>
        <w:spacing w:line="380" w:lineRule="exact"/>
        <w:rPr>
          <w:rFonts w:ascii="宋体" w:hAnsi="宋体"/>
          <w:color w:val="auto"/>
          <w:highlight w:val="none"/>
        </w:rPr>
      </w:pPr>
    </w:p>
    <w:p w14:paraId="4039F288">
      <w:pPr>
        <w:spacing w:line="380" w:lineRule="exact"/>
        <w:rPr>
          <w:rFonts w:asciiTheme="minorEastAsia" w:hAnsiTheme="minorEastAsia" w:eastAsiaTheme="minorEastAsia"/>
          <w:color w:val="auto"/>
          <w:highlight w:val="none"/>
          <w:u w:val="single"/>
        </w:rPr>
      </w:pPr>
      <w:r>
        <w:rPr>
          <w:rFonts w:hint="eastAsia" w:ascii="宋体" w:hAnsi="宋体"/>
          <w:color w:val="auto"/>
          <w:highlight w:val="none"/>
        </w:rPr>
        <w:t>项目名称：</w:t>
      </w:r>
      <w:r>
        <w:rPr>
          <w:rFonts w:hint="eastAsia" w:asciiTheme="minorEastAsia" w:hAnsiTheme="minorEastAsia" w:eastAsiaTheme="minorEastAsia"/>
          <w:color w:val="auto"/>
          <w:highlight w:val="none"/>
        </w:rPr>
        <w:t>招标编号：</w:t>
      </w:r>
    </w:p>
    <w:tbl>
      <w:tblPr>
        <w:tblStyle w:val="38"/>
        <w:tblW w:w="95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7"/>
        <w:gridCol w:w="1889"/>
        <w:gridCol w:w="1500"/>
        <w:gridCol w:w="705"/>
        <w:gridCol w:w="847"/>
        <w:gridCol w:w="1411"/>
        <w:gridCol w:w="1411"/>
        <w:gridCol w:w="987"/>
      </w:tblGrid>
      <w:tr w14:paraId="503C5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47" w:type="dxa"/>
            <w:vAlign w:val="center"/>
          </w:tcPr>
          <w:p w14:paraId="233FED6A">
            <w:pPr>
              <w:keepNext w:val="0"/>
              <w:keepLines w:val="0"/>
              <w:pageBreakBefore w:val="0"/>
              <w:kinsoku/>
              <w:wordWrap w:val="0"/>
              <w:overflowPunct/>
              <w:topLinePunct w:val="0"/>
              <w:autoSpaceDE/>
              <w:autoSpaceDN/>
              <w:bidi w:val="0"/>
              <w:adjustRightInd/>
              <w:snapToGrid/>
              <w:spacing w:line="360" w:lineRule="exact"/>
              <w:jc w:val="center"/>
              <w:rPr>
                <w:rFonts w:ascii="宋体" w:hAnsi="宋体"/>
                <w:b/>
                <w:color w:val="auto"/>
                <w:highlight w:val="none"/>
              </w:rPr>
            </w:pPr>
          </w:p>
        </w:tc>
        <w:tc>
          <w:tcPr>
            <w:tcW w:w="1889" w:type="dxa"/>
            <w:vAlign w:val="center"/>
          </w:tcPr>
          <w:p w14:paraId="18C43D48">
            <w:pPr>
              <w:keepNext w:val="0"/>
              <w:keepLines w:val="0"/>
              <w:pageBreakBefore w:val="0"/>
              <w:kinsoku/>
              <w:wordWrap w:val="0"/>
              <w:overflowPunct/>
              <w:topLinePunct w:val="0"/>
              <w:autoSpaceDE/>
              <w:autoSpaceDN/>
              <w:bidi w:val="0"/>
              <w:adjustRightInd/>
              <w:snapToGrid/>
              <w:spacing w:line="360" w:lineRule="exact"/>
              <w:jc w:val="center"/>
              <w:rPr>
                <w:rFonts w:ascii="宋体" w:hAnsi="宋体"/>
                <w:b/>
                <w:color w:val="auto"/>
                <w:highlight w:val="none"/>
              </w:rPr>
            </w:pPr>
          </w:p>
        </w:tc>
        <w:tc>
          <w:tcPr>
            <w:tcW w:w="1500" w:type="dxa"/>
            <w:vAlign w:val="center"/>
          </w:tcPr>
          <w:p w14:paraId="6D5E559B">
            <w:pPr>
              <w:keepNext w:val="0"/>
              <w:keepLines w:val="0"/>
              <w:pageBreakBefore w:val="0"/>
              <w:kinsoku/>
              <w:wordWrap w:val="0"/>
              <w:overflowPunct/>
              <w:topLinePunct w:val="0"/>
              <w:autoSpaceDE/>
              <w:autoSpaceDN/>
              <w:bidi w:val="0"/>
              <w:adjustRightInd/>
              <w:snapToGrid/>
              <w:spacing w:line="360" w:lineRule="exact"/>
              <w:jc w:val="center"/>
              <w:rPr>
                <w:rFonts w:ascii="宋体" w:hAnsi="宋体" w:cs="宋体"/>
                <w:bCs/>
                <w:color w:val="auto"/>
                <w:spacing w:val="-6"/>
                <w:kern w:val="0"/>
                <w:highlight w:val="none"/>
                <w:lang w:val="zh-CN"/>
              </w:rPr>
            </w:pPr>
          </w:p>
        </w:tc>
        <w:tc>
          <w:tcPr>
            <w:tcW w:w="705" w:type="dxa"/>
            <w:vAlign w:val="center"/>
          </w:tcPr>
          <w:p w14:paraId="5716CE02">
            <w:pPr>
              <w:keepNext w:val="0"/>
              <w:keepLines w:val="0"/>
              <w:pageBreakBefore w:val="0"/>
              <w:kinsoku/>
              <w:wordWrap w:val="0"/>
              <w:overflowPunct/>
              <w:topLinePunct w:val="0"/>
              <w:autoSpaceDE/>
              <w:autoSpaceDN/>
              <w:bidi w:val="0"/>
              <w:adjustRightInd/>
              <w:snapToGrid/>
              <w:spacing w:line="360" w:lineRule="exact"/>
              <w:jc w:val="center"/>
              <w:rPr>
                <w:rFonts w:ascii="宋体" w:hAnsi="宋体"/>
                <w:b/>
                <w:color w:val="auto"/>
                <w:highlight w:val="none"/>
              </w:rPr>
            </w:pPr>
          </w:p>
        </w:tc>
        <w:tc>
          <w:tcPr>
            <w:tcW w:w="847" w:type="dxa"/>
            <w:vAlign w:val="center"/>
          </w:tcPr>
          <w:p w14:paraId="76275CDA">
            <w:pPr>
              <w:keepNext w:val="0"/>
              <w:keepLines w:val="0"/>
              <w:pageBreakBefore w:val="0"/>
              <w:kinsoku/>
              <w:wordWrap w:val="0"/>
              <w:overflowPunct/>
              <w:topLinePunct w:val="0"/>
              <w:autoSpaceDE/>
              <w:autoSpaceDN/>
              <w:bidi w:val="0"/>
              <w:adjustRightInd/>
              <w:snapToGrid/>
              <w:spacing w:line="360" w:lineRule="exact"/>
              <w:jc w:val="center"/>
              <w:rPr>
                <w:rFonts w:ascii="宋体" w:hAnsi="宋体"/>
                <w:b/>
                <w:color w:val="auto"/>
                <w:highlight w:val="none"/>
              </w:rPr>
            </w:pPr>
          </w:p>
        </w:tc>
        <w:tc>
          <w:tcPr>
            <w:tcW w:w="1411" w:type="dxa"/>
            <w:vAlign w:val="center"/>
          </w:tcPr>
          <w:p w14:paraId="1E6EB833">
            <w:pPr>
              <w:keepNext w:val="0"/>
              <w:keepLines w:val="0"/>
              <w:pageBreakBefore w:val="0"/>
              <w:kinsoku/>
              <w:wordWrap w:val="0"/>
              <w:overflowPunct/>
              <w:topLinePunct w:val="0"/>
              <w:autoSpaceDE/>
              <w:autoSpaceDN/>
              <w:bidi w:val="0"/>
              <w:adjustRightInd/>
              <w:snapToGrid/>
              <w:spacing w:line="360" w:lineRule="exact"/>
              <w:jc w:val="center"/>
              <w:rPr>
                <w:rFonts w:ascii="宋体" w:hAnsi="宋体"/>
                <w:b/>
                <w:color w:val="auto"/>
                <w:highlight w:val="none"/>
              </w:rPr>
            </w:pPr>
          </w:p>
        </w:tc>
        <w:tc>
          <w:tcPr>
            <w:tcW w:w="1411" w:type="dxa"/>
            <w:vAlign w:val="center"/>
          </w:tcPr>
          <w:p w14:paraId="06389407">
            <w:pPr>
              <w:keepNext w:val="0"/>
              <w:keepLines w:val="0"/>
              <w:pageBreakBefore w:val="0"/>
              <w:kinsoku/>
              <w:wordWrap w:val="0"/>
              <w:overflowPunct/>
              <w:topLinePunct w:val="0"/>
              <w:autoSpaceDE/>
              <w:autoSpaceDN/>
              <w:bidi w:val="0"/>
              <w:adjustRightInd/>
              <w:snapToGrid/>
              <w:spacing w:line="360" w:lineRule="exact"/>
              <w:jc w:val="center"/>
              <w:rPr>
                <w:rFonts w:ascii="宋体" w:hAnsi="宋体"/>
                <w:b/>
                <w:color w:val="auto"/>
                <w:highlight w:val="none"/>
              </w:rPr>
            </w:pPr>
          </w:p>
        </w:tc>
        <w:tc>
          <w:tcPr>
            <w:tcW w:w="987" w:type="dxa"/>
            <w:vAlign w:val="center"/>
          </w:tcPr>
          <w:p w14:paraId="14E2745D">
            <w:pPr>
              <w:keepNext w:val="0"/>
              <w:keepLines w:val="0"/>
              <w:pageBreakBefore w:val="0"/>
              <w:kinsoku/>
              <w:wordWrap w:val="0"/>
              <w:overflowPunct/>
              <w:topLinePunct w:val="0"/>
              <w:autoSpaceDE/>
              <w:autoSpaceDN/>
              <w:bidi w:val="0"/>
              <w:adjustRightInd/>
              <w:snapToGrid/>
              <w:spacing w:line="360" w:lineRule="exact"/>
              <w:jc w:val="center"/>
              <w:rPr>
                <w:rFonts w:ascii="宋体" w:hAnsi="宋体"/>
                <w:b/>
                <w:color w:val="auto"/>
                <w:highlight w:val="none"/>
              </w:rPr>
            </w:pPr>
          </w:p>
        </w:tc>
      </w:tr>
      <w:tr w14:paraId="1A8F8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47" w:type="dxa"/>
            <w:vAlign w:val="center"/>
          </w:tcPr>
          <w:p w14:paraId="5311DBF9">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hint="eastAsia" w:ascii="宋体" w:hAnsi="宋体" w:eastAsia="宋体" w:cs="宋体"/>
                <w:bCs/>
                <w:color w:val="auto"/>
                <w:spacing w:val="-6"/>
                <w:kern w:val="0"/>
                <w:highlight w:val="none"/>
                <w:lang w:val="en-US" w:eastAsia="zh-CN"/>
              </w:rPr>
            </w:pPr>
          </w:p>
        </w:tc>
        <w:tc>
          <w:tcPr>
            <w:tcW w:w="1889" w:type="dxa"/>
            <w:vAlign w:val="center"/>
          </w:tcPr>
          <w:p w14:paraId="70CB4731">
            <w:pPr>
              <w:keepNext w:val="0"/>
              <w:keepLines w:val="0"/>
              <w:pageBreakBefore w:val="0"/>
              <w:widowControl/>
              <w:kinsoku/>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1500" w:type="dxa"/>
            <w:vAlign w:val="center"/>
          </w:tcPr>
          <w:p w14:paraId="3407634A">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705" w:type="dxa"/>
            <w:vAlign w:val="center"/>
          </w:tcPr>
          <w:p w14:paraId="45061F1E">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847" w:type="dxa"/>
            <w:vAlign w:val="center"/>
          </w:tcPr>
          <w:p w14:paraId="1B8DF6CC">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1411" w:type="dxa"/>
            <w:vAlign w:val="center"/>
          </w:tcPr>
          <w:p w14:paraId="705E9CFE">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1411" w:type="dxa"/>
            <w:vAlign w:val="center"/>
          </w:tcPr>
          <w:p w14:paraId="3CA20E7D">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987" w:type="dxa"/>
            <w:vAlign w:val="center"/>
          </w:tcPr>
          <w:p w14:paraId="0848E36E">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r>
      <w:tr w14:paraId="4D5BF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47" w:type="dxa"/>
            <w:vAlign w:val="center"/>
          </w:tcPr>
          <w:p w14:paraId="4C4741EC">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hint="default" w:ascii="宋体" w:hAnsi="宋体" w:eastAsia="宋体" w:cs="宋体"/>
                <w:bCs/>
                <w:color w:val="auto"/>
                <w:spacing w:val="-6"/>
                <w:kern w:val="0"/>
                <w:highlight w:val="none"/>
                <w:lang w:val="en-US" w:eastAsia="zh-CN"/>
              </w:rPr>
            </w:pPr>
          </w:p>
        </w:tc>
        <w:tc>
          <w:tcPr>
            <w:tcW w:w="1889" w:type="dxa"/>
            <w:vAlign w:val="center"/>
          </w:tcPr>
          <w:p w14:paraId="5C477881">
            <w:pPr>
              <w:keepNext w:val="0"/>
              <w:keepLines w:val="0"/>
              <w:pageBreakBefore w:val="0"/>
              <w:widowControl/>
              <w:kinsoku/>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1500" w:type="dxa"/>
            <w:vAlign w:val="center"/>
          </w:tcPr>
          <w:p w14:paraId="307B3A68">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705" w:type="dxa"/>
            <w:vAlign w:val="center"/>
          </w:tcPr>
          <w:p w14:paraId="19B1AA0E">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847" w:type="dxa"/>
            <w:vAlign w:val="center"/>
          </w:tcPr>
          <w:p w14:paraId="6E4687A3">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1411" w:type="dxa"/>
            <w:vAlign w:val="center"/>
          </w:tcPr>
          <w:p w14:paraId="766582F9">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1411" w:type="dxa"/>
            <w:vAlign w:val="center"/>
          </w:tcPr>
          <w:p w14:paraId="34B07398">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987" w:type="dxa"/>
            <w:vAlign w:val="center"/>
          </w:tcPr>
          <w:p w14:paraId="3BE33D10">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r>
      <w:tr w14:paraId="0B0FA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47" w:type="dxa"/>
            <w:vAlign w:val="center"/>
          </w:tcPr>
          <w:p w14:paraId="4C9EAE0A">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hint="eastAsia" w:ascii="宋体" w:hAnsi="宋体" w:eastAsia="宋体" w:cs="宋体"/>
                <w:bCs/>
                <w:color w:val="auto"/>
                <w:spacing w:val="-6"/>
                <w:kern w:val="0"/>
                <w:highlight w:val="none"/>
                <w:lang w:val="en-US" w:eastAsia="zh-CN"/>
              </w:rPr>
            </w:pPr>
          </w:p>
        </w:tc>
        <w:tc>
          <w:tcPr>
            <w:tcW w:w="1889" w:type="dxa"/>
            <w:vAlign w:val="center"/>
          </w:tcPr>
          <w:p w14:paraId="2CEC561A">
            <w:pPr>
              <w:keepNext w:val="0"/>
              <w:keepLines w:val="0"/>
              <w:pageBreakBefore w:val="0"/>
              <w:widowControl/>
              <w:kinsoku/>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1500" w:type="dxa"/>
            <w:vAlign w:val="center"/>
          </w:tcPr>
          <w:p w14:paraId="5051CD14">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705" w:type="dxa"/>
            <w:vAlign w:val="center"/>
          </w:tcPr>
          <w:p w14:paraId="3E77640A">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847" w:type="dxa"/>
            <w:vAlign w:val="center"/>
          </w:tcPr>
          <w:p w14:paraId="02D1D9B1">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1411" w:type="dxa"/>
            <w:vAlign w:val="center"/>
          </w:tcPr>
          <w:p w14:paraId="48E37CF8">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1411" w:type="dxa"/>
            <w:vAlign w:val="center"/>
          </w:tcPr>
          <w:p w14:paraId="79AB77D6">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987" w:type="dxa"/>
            <w:vAlign w:val="center"/>
          </w:tcPr>
          <w:p w14:paraId="4A7CB763">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r>
      <w:tr w14:paraId="30A0A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47" w:type="dxa"/>
            <w:vAlign w:val="center"/>
          </w:tcPr>
          <w:p w14:paraId="3BF4EAC2">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hint="eastAsia" w:ascii="宋体" w:hAnsi="宋体" w:eastAsia="宋体" w:cs="宋体"/>
                <w:bCs/>
                <w:color w:val="auto"/>
                <w:spacing w:val="-6"/>
                <w:kern w:val="0"/>
                <w:highlight w:val="none"/>
                <w:lang w:val="en-US" w:eastAsia="zh-CN"/>
              </w:rPr>
            </w:pPr>
          </w:p>
        </w:tc>
        <w:tc>
          <w:tcPr>
            <w:tcW w:w="1889" w:type="dxa"/>
            <w:vAlign w:val="center"/>
          </w:tcPr>
          <w:p w14:paraId="7DC88C83">
            <w:pPr>
              <w:keepNext w:val="0"/>
              <w:keepLines w:val="0"/>
              <w:pageBreakBefore w:val="0"/>
              <w:widowControl/>
              <w:kinsoku/>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1500" w:type="dxa"/>
            <w:vAlign w:val="center"/>
          </w:tcPr>
          <w:p w14:paraId="2F98F319">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705" w:type="dxa"/>
            <w:vAlign w:val="center"/>
          </w:tcPr>
          <w:p w14:paraId="5E2571A9">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847" w:type="dxa"/>
            <w:vAlign w:val="center"/>
          </w:tcPr>
          <w:p w14:paraId="651E1D89">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1411" w:type="dxa"/>
            <w:vAlign w:val="center"/>
          </w:tcPr>
          <w:p w14:paraId="1A82E87A">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1411" w:type="dxa"/>
            <w:vAlign w:val="center"/>
          </w:tcPr>
          <w:p w14:paraId="0167A017">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987" w:type="dxa"/>
            <w:vAlign w:val="center"/>
          </w:tcPr>
          <w:p w14:paraId="240C0247">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r>
      <w:tr w14:paraId="31E4F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47" w:type="dxa"/>
            <w:vAlign w:val="center"/>
          </w:tcPr>
          <w:p w14:paraId="185C4EEC">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hint="eastAsia" w:ascii="宋体" w:hAnsi="宋体" w:cs="宋体"/>
                <w:bCs/>
                <w:color w:val="auto"/>
                <w:spacing w:val="-6"/>
                <w:kern w:val="0"/>
                <w:highlight w:val="none"/>
                <w:lang w:val="zh-CN"/>
              </w:rPr>
            </w:pPr>
          </w:p>
        </w:tc>
        <w:tc>
          <w:tcPr>
            <w:tcW w:w="1889" w:type="dxa"/>
            <w:vAlign w:val="center"/>
          </w:tcPr>
          <w:p w14:paraId="5F5238D3">
            <w:pPr>
              <w:keepNext w:val="0"/>
              <w:keepLines w:val="0"/>
              <w:pageBreakBefore w:val="0"/>
              <w:widowControl/>
              <w:kinsoku/>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1500" w:type="dxa"/>
            <w:vAlign w:val="center"/>
          </w:tcPr>
          <w:p w14:paraId="39F5E32C">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705" w:type="dxa"/>
            <w:vAlign w:val="center"/>
          </w:tcPr>
          <w:p w14:paraId="78881242">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847" w:type="dxa"/>
            <w:vAlign w:val="center"/>
          </w:tcPr>
          <w:p w14:paraId="1C2E8D0A">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1411" w:type="dxa"/>
            <w:vAlign w:val="center"/>
          </w:tcPr>
          <w:p w14:paraId="33ADD40A">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1411" w:type="dxa"/>
            <w:vAlign w:val="center"/>
          </w:tcPr>
          <w:p w14:paraId="19FCDEEE">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987" w:type="dxa"/>
            <w:vAlign w:val="center"/>
          </w:tcPr>
          <w:p w14:paraId="78CE93F6">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r>
      <w:tr w14:paraId="01AFD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47" w:type="dxa"/>
            <w:vAlign w:val="center"/>
          </w:tcPr>
          <w:p w14:paraId="73F4E6A7">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hint="default" w:ascii="宋体" w:hAnsi="宋体" w:eastAsia="宋体" w:cs="宋体"/>
                <w:bCs/>
                <w:color w:val="auto"/>
                <w:spacing w:val="-6"/>
                <w:kern w:val="0"/>
                <w:highlight w:val="none"/>
                <w:lang w:val="en-US" w:eastAsia="zh-CN"/>
              </w:rPr>
            </w:pPr>
          </w:p>
        </w:tc>
        <w:tc>
          <w:tcPr>
            <w:tcW w:w="1889" w:type="dxa"/>
            <w:vAlign w:val="center"/>
          </w:tcPr>
          <w:p w14:paraId="4BADF589">
            <w:pPr>
              <w:keepNext w:val="0"/>
              <w:keepLines w:val="0"/>
              <w:pageBreakBefore w:val="0"/>
              <w:widowControl/>
              <w:kinsoku/>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1500" w:type="dxa"/>
            <w:vAlign w:val="center"/>
          </w:tcPr>
          <w:p w14:paraId="5249D401">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705" w:type="dxa"/>
            <w:vAlign w:val="center"/>
          </w:tcPr>
          <w:p w14:paraId="45F6E5CD">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847" w:type="dxa"/>
            <w:vAlign w:val="center"/>
          </w:tcPr>
          <w:p w14:paraId="1F1526CB">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1411" w:type="dxa"/>
            <w:vAlign w:val="center"/>
          </w:tcPr>
          <w:p w14:paraId="0255BCA9">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1411" w:type="dxa"/>
            <w:vAlign w:val="center"/>
          </w:tcPr>
          <w:p w14:paraId="2044968F">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987" w:type="dxa"/>
            <w:vAlign w:val="center"/>
          </w:tcPr>
          <w:p w14:paraId="3C753042">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r>
      <w:tr w14:paraId="53AF3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47" w:type="dxa"/>
            <w:vAlign w:val="center"/>
          </w:tcPr>
          <w:p w14:paraId="3AC850EF">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hint="default" w:ascii="宋体" w:hAnsi="宋体" w:eastAsia="宋体" w:cs="宋体"/>
                <w:bCs/>
                <w:color w:val="auto"/>
                <w:spacing w:val="-6"/>
                <w:kern w:val="0"/>
                <w:highlight w:val="none"/>
                <w:lang w:val="en-US" w:eastAsia="zh-CN"/>
              </w:rPr>
            </w:pPr>
          </w:p>
        </w:tc>
        <w:tc>
          <w:tcPr>
            <w:tcW w:w="1889" w:type="dxa"/>
            <w:vAlign w:val="center"/>
          </w:tcPr>
          <w:p w14:paraId="4FBCB8D7">
            <w:pPr>
              <w:keepNext w:val="0"/>
              <w:keepLines w:val="0"/>
              <w:pageBreakBefore w:val="0"/>
              <w:widowControl/>
              <w:kinsoku/>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1500" w:type="dxa"/>
            <w:vAlign w:val="center"/>
          </w:tcPr>
          <w:p w14:paraId="44A81B31">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705" w:type="dxa"/>
            <w:vAlign w:val="center"/>
          </w:tcPr>
          <w:p w14:paraId="32F6AD23">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847" w:type="dxa"/>
            <w:vAlign w:val="center"/>
          </w:tcPr>
          <w:p w14:paraId="6F5CC097">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1411" w:type="dxa"/>
            <w:vAlign w:val="center"/>
          </w:tcPr>
          <w:p w14:paraId="66737E3E">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1411" w:type="dxa"/>
            <w:vAlign w:val="center"/>
          </w:tcPr>
          <w:p w14:paraId="38920F3E">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987" w:type="dxa"/>
            <w:vAlign w:val="center"/>
          </w:tcPr>
          <w:p w14:paraId="6B41C7ED">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r>
      <w:tr w14:paraId="369F0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47" w:type="dxa"/>
            <w:vAlign w:val="center"/>
          </w:tcPr>
          <w:p w14:paraId="161884B6">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hint="eastAsia" w:ascii="宋体" w:hAnsi="宋体" w:cs="宋体"/>
                <w:bCs/>
                <w:color w:val="auto"/>
                <w:spacing w:val="-6"/>
                <w:kern w:val="0"/>
                <w:highlight w:val="none"/>
                <w:lang w:val="zh-CN"/>
              </w:rPr>
            </w:pPr>
          </w:p>
        </w:tc>
        <w:tc>
          <w:tcPr>
            <w:tcW w:w="1889" w:type="dxa"/>
            <w:vAlign w:val="center"/>
          </w:tcPr>
          <w:p w14:paraId="56C528D4">
            <w:pPr>
              <w:keepNext w:val="0"/>
              <w:keepLines w:val="0"/>
              <w:pageBreakBefore w:val="0"/>
              <w:widowControl/>
              <w:kinsoku/>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1500" w:type="dxa"/>
            <w:vAlign w:val="center"/>
          </w:tcPr>
          <w:p w14:paraId="76FBD659">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705" w:type="dxa"/>
            <w:vAlign w:val="center"/>
          </w:tcPr>
          <w:p w14:paraId="4A4F2D44">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847" w:type="dxa"/>
            <w:vAlign w:val="center"/>
          </w:tcPr>
          <w:p w14:paraId="317D1CEF">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1411" w:type="dxa"/>
            <w:vAlign w:val="center"/>
          </w:tcPr>
          <w:p w14:paraId="4E97572C">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1411" w:type="dxa"/>
            <w:vAlign w:val="center"/>
          </w:tcPr>
          <w:p w14:paraId="229140B2">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987" w:type="dxa"/>
            <w:vAlign w:val="center"/>
          </w:tcPr>
          <w:p w14:paraId="50771592">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r>
      <w:tr w14:paraId="78F3F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47" w:type="dxa"/>
            <w:vAlign w:val="center"/>
          </w:tcPr>
          <w:p w14:paraId="5AA57D65">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hint="default" w:ascii="宋体" w:hAnsi="宋体" w:eastAsia="宋体" w:cs="宋体"/>
                <w:bCs/>
                <w:color w:val="auto"/>
                <w:spacing w:val="-6"/>
                <w:kern w:val="0"/>
                <w:highlight w:val="none"/>
                <w:lang w:val="en-US" w:eastAsia="zh-CN"/>
              </w:rPr>
            </w:pPr>
          </w:p>
        </w:tc>
        <w:tc>
          <w:tcPr>
            <w:tcW w:w="1889" w:type="dxa"/>
            <w:vAlign w:val="center"/>
          </w:tcPr>
          <w:p w14:paraId="79C74AB7">
            <w:pPr>
              <w:keepNext w:val="0"/>
              <w:keepLines w:val="0"/>
              <w:pageBreakBefore w:val="0"/>
              <w:widowControl/>
              <w:kinsoku/>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1500" w:type="dxa"/>
            <w:vAlign w:val="center"/>
          </w:tcPr>
          <w:p w14:paraId="179A9887">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705" w:type="dxa"/>
            <w:vAlign w:val="center"/>
          </w:tcPr>
          <w:p w14:paraId="494A2327">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847" w:type="dxa"/>
            <w:vAlign w:val="center"/>
          </w:tcPr>
          <w:p w14:paraId="0C076EA1">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1411" w:type="dxa"/>
            <w:vAlign w:val="center"/>
          </w:tcPr>
          <w:p w14:paraId="085AA408">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1411" w:type="dxa"/>
            <w:vAlign w:val="center"/>
          </w:tcPr>
          <w:p w14:paraId="2D33C8DB">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987" w:type="dxa"/>
            <w:vAlign w:val="center"/>
          </w:tcPr>
          <w:p w14:paraId="36192516">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r>
      <w:tr w14:paraId="7AABA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47" w:type="dxa"/>
            <w:vAlign w:val="center"/>
          </w:tcPr>
          <w:p w14:paraId="5AD4FA60">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hint="default" w:ascii="宋体" w:hAnsi="宋体" w:cs="宋体"/>
                <w:bCs/>
                <w:color w:val="auto"/>
                <w:spacing w:val="-6"/>
                <w:kern w:val="0"/>
                <w:highlight w:val="none"/>
                <w:lang w:val="en-US"/>
              </w:rPr>
            </w:pPr>
          </w:p>
        </w:tc>
        <w:tc>
          <w:tcPr>
            <w:tcW w:w="1889" w:type="dxa"/>
            <w:vAlign w:val="center"/>
          </w:tcPr>
          <w:p w14:paraId="04DE53ED">
            <w:pPr>
              <w:keepNext w:val="0"/>
              <w:keepLines w:val="0"/>
              <w:pageBreakBefore w:val="0"/>
              <w:widowControl/>
              <w:kinsoku/>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1500" w:type="dxa"/>
            <w:vAlign w:val="center"/>
          </w:tcPr>
          <w:p w14:paraId="461E90BB">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705" w:type="dxa"/>
            <w:vAlign w:val="center"/>
          </w:tcPr>
          <w:p w14:paraId="4E50EDE5">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847" w:type="dxa"/>
            <w:vAlign w:val="center"/>
          </w:tcPr>
          <w:p w14:paraId="4C46FBF6">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1411" w:type="dxa"/>
            <w:vAlign w:val="center"/>
          </w:tcPr>
          <w:p w14:paraId="728495FC">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1411" w:type="dxa"/>
            <w:vAlign w:val="center"/>
          </w:tcPr>
          <w:p w14:paraId="40DFEBA0">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987" w:type="dxa"/>
            <w:vAlign w:val="center"/>
          </w:tcPr>
          <w:p w14:paraId="70838F71">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r>
      <w:tr w14:paraId="4DD20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47" w:type="dxa"/>
            <w:vAlign w:val="center"/>
          </w:tcPr>
          <w:p w14:paraId="0AFE59E8">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hint="eastAsia" w:ascii="宋体" w:hAnsi="宋体" w:cs="宋体"/>
                <w:bCs/>
                <w:color w:val="auto"/>
                <w:spacing w:val="-6"/>
                <w:kern w:val="0"/>
                <w:highlight w:val="none"/>
                <w:lang w:val="zh-CN"/>
              </w:rPr>
            </w:pPr>
          </w:p>
        </w:tc>
        <w:tc>
          <w:tcPr>
            <w:tcW w:w="1889" w:type="dxa"/>
            <w:vAlign w:val="center"/>
          </w:tcPr>
          <w:p w14:paraId="0B8CF3F8">
            <w:pPr>
              <w:keepNext w:val="0"/>
              <w:keepLines w:val="0"/>
              <w:pageBreakBefore w:val="0"/>
              <w:widowControl/>
              <w:kinsoku/>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1500" w:type="dxa"/>
            <w:vAlign w:val="center"/>
          </w:tcPr>
          <w:p w14:paraId="15A913D9">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705" w:type="dxa"/>
            <w:vAlign w:val="center"/>
          </w:tcPr>
          <w:p w14:paraId="00A8A5E6">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847" w:type="dxa"/>
            <w:vAlign w:val="center"/>
          </w:tcPr>
          <w:p w14:paraId="7D007C30">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1411" w:type="dxa"/>
            <w:vAlign w:val="center"/>
          </w:tcPr>
          <w:p w14:paraId="594BB306">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1411" w:type="dxa"/>
            <w:vAlign w:val="center"/>
          </w:tcPr>
          <w:p w14:paraId="41DE3F0C">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987" w:type="dxa"/>
            <w:vAlign w:val="center"/>
          </w:tcPr>
          <w:p w14:paraId="41779368">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r>
      <w:tr w14:paraId="40E61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47" w:type="dxa"/>
            <w:vAlign w:val="center"/>
          </w:tcPr>
          <w:p w14:paraId="376DE9BB">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hint="default" w:ascii="宋体" w:hAnsi="宋体" w:eastAsia="宋体" w:cs="宋体"/>
                <w:bCs/>
                <w:color w:val="auto"/>
                <w:spacing w:val="-6"/>
                <w:kern w:val="0"/>
                <w:highlight w:val="none"/>
                <w:lang w:val="en-US" w:eastAsia="zh-CN"/>
              </w:rPr>
            </w:pPr>
          </w:p>
        </w:tc>
        <w:tc>
          <w:tcPr>
            <w:tcW w:w="1889" w:type="dxa"/>
            <w:vAlign w:val="center"/>
          </w:tcPr>
          <w:p w14:paraId="4D5F1F0A">
            <w:pPr>
              <w:keepNext w:val="0"/>
              <w:keepLines w:val="0"/>
              <w:pageBreakBefore w:val="0"/>
              <w:widowControl/>
              <w:kinsoku/>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1500" w:type="dxa"/>
            <w:vAlign w:val="center"/>
          </w:tcPr>
          <w:p w14:paraId="6E25C8C8">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705" w:type="dxa"/>
            <w:vAlign w:val="center"/>
          </w:tcPr>
          <w:p w14:paraId="1DC91D53">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847" w:type="dxa"/>
            <w:vAlign w:val="center"/>
          </w:tcPr>
          <w:p w14:paraId="716B3EC5">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1411" w:type="dxa"/>
            <w:vAlign w:val="center"/>
          </w:tcPr>
          <w:p w14:paraId="5F2A2BAB">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1411" w:type="dxa"/>
            <w:vAlign w:val="center"/>
          </w:tcPr>
          <w:p w14:paraId="5FBE82D8">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987" w:type="dxa"/>
            <w:vAlign w:val="center"/>
          </w:tcPr>
          <w:p w14:paraId="479E3FA4">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r>
      <w:tr w14:paraId="44D97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47" w:type="dxa"/>
            <w:vAlign w:val="center"/>
          </w:tcPr>
          <w:p w14:paraId="62489328">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hint="default" w:ascii="宋体" w:hAnsi="宋体" w:cs="宋体"/>
                <w:bCs/>
                <w:color w:val="auto"/>
                <w:spacing w:val="-6"/>
                <w:kern w:val="0"/>
                <w:highlight w:val="none"/>
                <w:lang w:val="en-US"/>
              </w:rPr>
            </w:pPr>
          </w:p>
        </w:tc>
        <w:tc>
          <w:tcPr>
            <w:tcW w:w="1889" w:type="dxa"/>
            <w:vAlign w:val="center"/>
          </w:tcPr>
          <w:p w14:paraId="13B112AF">
            <w:pPr>
              <w:keepNext w:val="0"/>
              <w:keepLines w:val="0"/>
              <w:pageBreakBefore w:val="0"/>
              <w:widowControl/>
              <w:kinsoku/>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1500" w:type="dxa"/>
            <w:vAlign w:val="center"/>
          </w:tcPr>
          <w:p w14:paraId="3248F93A">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705" w:type="dxa"/>
            <w:vAlign w:val="center"/>
          </w:tcPr>
          <w:p w14:paraId="79B0A1FD">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847" w:type="dxa"/>
            <w:vAlign w:val="center"/>
          </w:tcPr>
          <w:p w14:paraId="251A96D9">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1411" w:type="dxa"/>
            <w:vAlign w:val="center"/>
          </w:tcPr>
          <w:p w14:paraId="1D78EFE1">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1411" w:type="dxa"/>
            <w:vAlign w:val="center"/>
          </w:tcPr>
          <w:p w14:paraId="61283CAA">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987" w:type="dxa"/>
            <w:vAlign w:val="center"/>
          </w:tcPr>
          <w:p w14:paraId="1D18DAD2">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r>
      <w:tr w14:paraId="4B8B7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47" w:type="dxa"/>
            <w:vAlign w:val="center"/>
          </w:tcPr>
          <w:p w14:paraId="477AFDDB">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hint="default" w:ascii="宋体" w:hAnsi="宋体" w:cs="宋体"/>
                <w:bCs/>
                <w:color w:val="auto"/>
                <w:spacing w:val="-6"/>
                <w:kern w:val="0"/>
                <w:highlight w:val="none"/>
                <w:lang w:val="en-US"/>
              </w:rPr>
            </w:pPr>
          </w:p>
        </w:tc>
        <w:tc>
          <w:tcPr>
            <w:tcW w:w="1889" w:type="dxa"/>
            <w:vAlign w:val="center"/>
          </w:tcPr>
          <w:p w14:paraId="09F3CAC1">
            <w:pPr>
              <w:keepNext w:val="0"/>
              <w:keepLines w:val="0"/>
              <w:pageBreakBefore w:val="0"/>
              <w:widowControl/>
              <w:kinsoku/>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1500" w:type="dxa"/>
            <w:vAlign w:val="center"/>
          </w:tcPr>
          <w:p w14:paraId="7F8F44CA">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705" w:type="dxa"/>
            <w:vAlign w:val="center"/>
          </w:tcPr>
          <w:p w14:paraId="7DC41CF6">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847" w:type="dxa"/>
            <w:vAlign w:val="center"/>
          </w:tcPr>
          <w:p w14:paraId="098E1BB6">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1411" w:type="dxa"/>
            <w:vAlign w:val="center"/>
          </w:tcPr>
          <w:p w14:paraId="7285D49A">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1411" w:type="dxa"/>
            <w:vAlign w:val="center"/>
          </w:tcPr>
          <w:p w14:paraId="3DDF9563">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987" w:type="dxa"/>
            <w:vAlign w:val="center"/>
          </w:tcPr>
          <w:p w14:paraId="06804354">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r>
      <w:tr w14:paraId="4E449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47" w:type="dxa"/>
            <w:vAlign w:val="center"/>
          </w:tcPr>
          <w:p w14:paraId="3891742D">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hint="default" w:ascii="宋体" w:hAnsi="宋体" w:eastAsia="宋体" w:cs="宋体"/>
                <w:bCs/>
                <w:color w:val="auto"/>
                <w:spacing w:val="-6"/>
                <w:kern w:val="0"/>
                <w:highlight w:val="none"/>
                <w:lang w:val="en-US" w:eastAsia="zh-CN"/>
              </w:rPr>
            </w:pPr>
          </w:p>
        </w:tc>
        <w:tc>
          <w:tcPr>
            <w:tcW w:w="1889" w:type="dxa"/>
            <w:vAlign w:val="center"/>
          </w:tcPr>
          <w:p w14:paraId="711E45DB">
            <w:pPr>
              <w:keepNext w:val="0"/>
              <w:keepLines w:val="0"/>
              <w:pageBreakBefore w:val="0"/>
              <w:widowControl/>
              <w:kinsoku/>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1500" w:type="dxa"/>
            <w:vAlign w:val="center"/>
          </w:tcPr>
          <w:p w14:paraId="11BB43A8">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705" w:type="dxa"/>
            <w:vAlign w:val="center"/>
          </w:tcPr>
          <w:p w14:paraId="20E746C0">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847" w:type="dxa"/>
            <w:vAlign w:val="center"/>
          </w:tcPr>
          <w:p w14:paraId="2FDCF680">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1411" w:type="dxa"/>
            <w:vAlign w:val="center"/>
          </w:tcPr>
          <w:p w14:paraId="33C5F5F0">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1411" w:type="dxa"/>
            <w:vAlign w:val="center"/>
          </w:tcPr>
          <w:p w14:paraId="5064C177">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987" w:type="dxa"/>
            <w:vAlign w:val="center"/>
          </w:tcPr>
          <w:p w14:paraId="5DE6FE09">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r>
      <w:tr w14:paraId="052B7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9597" w:type="dxa"/>
            <w:gridSpan w:val="8"/>
            <w:vAlign w:val="center"/>
          </w:tcPr>
          <w:p w14:paraId="1A60D0A3">
            <w:pPr>
              <w:keepNext w:val="0"/>
              <w:keepLines w:val="0"/>
              <w:pageBreakBefore w:val="0"/>
              <w:widowControl/>
              <w:kinsoku/>
              <w:wordWrap w:val="0"/>
              <w:overflowPunct/>
              <w:topLinePunct w:val="0"/>
              <w:autoSpaceDE/>
              <w:autoSpaceDN/>
              <w:bidi w:val="0"/>
              <w:adjustRightInd/>
              <w:snapToGrid/>
              <w:spacing w:line="360" w:lineRule="exact"/>
              <w:jc w:val="left"/>
              <w:textAlignment w:val="center"/>
              <w:rPr>
                <w:rFonts w:ascii="宋体" w:hAnsi="宋体" w:cs="宋体"/>
                <w:bCs/>
                <w:color w:val="auto"/>
                <w:spacing w:val="-6"/>
                <w:kern w:val="0"/>
                <w:highlight w:val="none"/>
                <w:lang w:val="zh-CN"/>
              </w:rPr>
            </w:pPr>
          </w:p>
        </w:tc>
      </w:tr>
      <w:tr w14:paraId="07C48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47" w:type="dxa"/>
            <w:vAlign w:val="center"/>
          </w:tcPr>
          <w:p w14:paraId="6A7598C6">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hint="default" w:ascii="宋体" w:hAnsi="宋体" w:cs="宋体"/>
                <w:bCs/>
                <w:color w:val="auto"/>
                <w:spacing w:val="-6"/>
                <w:kern w:val="0"/>
                <w:highlight w:val="none"/>
                <w:lang w:val="en-US" w:eastAsia="zh-CN"/>
              </w:rPr>
            </w:pPr>
          </w:p>
        </w:tc>
        <w:tc>
          <w:tcPr>
            <w:tcW w:w="1889" w:type="dxa"/>
            <w:vAlign w:val="center"/>
          </w:tcPr>
          <w:p w14:paraId="064215A3">
            <w:pPr>
              <w:keepNext w:val="0"/>
              <w:keepLines w:val="0"/>
              <w:pageBreakBefore w:val="0"/>
              <w:widowControl/>
              <w:kinsoku/>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1500" w:type="dxa"/>
            <w:vAlign w:val="center"/>
          </w:tcPr>
          <w:p w14:paraId="5F240CB2">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705" w:type="dxa"/>
            <w:vAlign w:val="center"/>
          </w:tcPr>
          <w:p w14:paraId="52A27D0F">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847" w:type="dxa"/>
            <w:vAlign w:val="center"/>
          </w:tcPr>
          <w:p w14:paraId="6AC625B4">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1411" w:type="dxa"/>
            <w:vAlign w:val="center"/>
          </w:tcPr>
          <w:p w14:paraId="273151BF">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1411" w:type="dxa"/>
            <w:vAlign w:val="center"/>
          </w:tcPr>
          <w:p w14:paraId="00453BFE">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987" w:type="dxa"/>
            <w:vAlign w:val="center"/>
          </w:tcPr>
          <w:p w14:paraId="3769CBD2">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r>
      <w:tr w14:paraId="66520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47" w:type="dxa"/>
            <w:vAlign w:val="center"/>
          </w:tcPr>
          <w:p w14:paraId="37CE2ECB">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hint="default" w:ascii="宋体" w:hAnsi="宋体" w:cs="宋体"/>
                <w:bCs/>
                <w:color w:val="auto"/>
                <w:spacing w:val="-6"/>
                <w:kern w:val="0"/>
                <w:highlight w:val="none"/>
                <w:lang w:val="en-US" w:eastAsia="zh-CN"/>
              </w:rPr>
            </w:pPr>
          </w:p>
        </w:tc>
        <w:tc>
          <w:tcPr>
            <w:tcW w:w="1889" w:type="dxa"/>
            <w:vAlign w:val="center"/>
          </w:tcPr>
          <w:p w14:paraId="57E11639">
            <w:pPr>
              <w:keepNext w:val="0"/>
              <w:keepLines w:val="0"/>
              <w:pageBreakBefore w:val="0"/>
              <w:widowControl/>
              <w:kinsoku/>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1500" w:type="dxa"/>
            <w:vAlign w:val="center"/>
          </w:tcPr>
          <w:p w14:paraId="5F5A621A">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705" w:type="dxa"/>
            <w:vAlign w:val="center"/>
          </w:tcPr>
          <w:p w14:paraId="2ADE9898">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847" w:type="dxa"/>
            <w:vAlign w:val="center"/>
          </w:tcPr>
          <w:p w14:paraId="70D7D358">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1411" w:type="dxa"/>
            <w:vAlign w:val="center"/>
          </w:tcPr>
          <w:p w14:paraId="323B54F0">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1411" w:type="dxa"/>
            <w:vAlign w:val="center"/>
          </w:tcPr>
          <w:p w14:paraId="5A2E287A">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987" w:type="dxa"/>
            <w:vAlign w:val="center"/>
          </w:tcPr>
          <w:p w14:paraId="58F5144F">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r>
      <w:tr w14:paraId="3C0F6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47" w:type="dxa"/>
            <w:vAlign w:val="center"/>
          </w:tcPr>
          <w:p w14:paraId="441F9C68">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hint="default" w:ascii="宋体" w:hAnsi="宋体" w:cs="宋体"/>
                <w:bCs/>
                <w:color w:val="auto"/>
                <w:spacing w:val="-6"/>
                <w:kern w:val="0"/>
                <w:highlight w:val="none"/>
                <w:lang w:val="en-US" w:eastAsia="zh-CN"/>
              </w:rPr>
            </w:pPr>
          </w:p>
        </w:tc>
        <w:tc>
          <w:tcPr>
            <w:tcW w:w="1889" w:type="dxa"/>
            <w:vAlign w:val="center"/>
          </w:tcPr>
          <w:p w14:paraId="06392EAE">
            <w:pPr>
              <w:keepNext w:val="0"/>
              <w:keepLines w:val="0"/>
              <w:pageBreakBefore w:val="0"/>
              <w:widowControl/>
              <w:kinsoku/>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1500" w:type="dxa"/>
            <w:vAlign w:val="center"/>
          </w:tcPr>
          <w:p w14:paraId="26D3AA1F">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705" w:type="dxa"/>
            <w:vAlign w:val="center"/>
          </w:tcPr>
          <w:p w14:paraId="1E57EA0A">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847" w:type="dxa"/>
            <w:vAlign w:val="center"/>
          </w:tcPr>
          <w:p w14:paraId="62AC3149">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1411" w:type="dxa"/>
            <w:vAlign w:val="center"/>
          </w:tcPr>
          <w:p w14:paraId="05E809AA">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1411" w:type="dxa"/>
            <w:vAlign w:val="center"/>
          </w:tcPr>
          <w:p w14:paraId="3EB5E094">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987" w:type="dxa"/>
            <w:vAlign w:val="center"/>
          </w:tcPr>
          <w:p w14:paraId="3BDFA862">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r>
      <w:tr w14:paraId="63847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9597" w:type="dxa"/>
            <w:gridSpan w:val="8"/>
            <w:vAlign w:val="center"/>
          </w:tcPr>
          <w:p w14:paraId="67DF984B">
            <w:pPr>
              <w:keepNext w:val="0"/>
              <w:keepLines w:val="0"/>
              <w:pageBreakBefore w:val="0"/>
              <w:widowControl/>
              <w:kinsoku/>
              <w:wordWrap w:val="0"/>
              <w:overflowPunct/>
              <w:topLinePunct w:val="0"/>
              <w:autoSpaceDE/>
              <w:autoSpaceDN/>
              <w:bidi w:val="0"/>
              <w:adjustRightInd/>
              <w:snapToGrid/>
              <w:spacing w:line="360" w:lineRule="exact"/>
              <w:jc w:val="left"/>
              <w:textAlignment w:val="center"/>
              <w:rPr>
                <w:rFonts w:ascii="宋体" w:hAnsi="宋体" w:cs="宋体"/>
                <w:bCs/>
                <w:color w:val="auto"/>
                <w:spacing w:val="-6"/>
                <w:kern w:val="0"/>
                <w:highlight w:val="none"/>
                <w:lang w:val="zh-CN"/>
              </w:rPr>
            </w:pPr>
          </w:p>
        </w:tc>
      </w:tr>
      <w:tr w14:paraId="0EBE4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47" w:type="dxa"/>
            <w:vAlign w:val="center"/>
          </w:tcPr>
          <w:p w14:paraId="3C56C49C">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hint="default" w:ascii="宋体" w:hAnsi="宋体" w:cs="宋体"/>
                <w:bCs/>
                <w:color w:val="auto"/>
                <w:spacing w:val="-6"/>
                <w:kern w:val="0"/>
                <w:highlight w:val="none"/>
                <w:lang w:val="en-US" w:eastAsia="zh-CN"/>
              </w:rPr>
            </w:pPr>
          </w:p>
        </w:tc>
        <w:tc>
          <w:tcPr>
            <w:tcW w:w="1889" w:type="dxa"/>
            <w:vAlign w:val="center"/>
          </w:tcPr>
          <w:p w14:paraId="324F0694">
            <w:pPr>
              <w:keepNext w:val="0"/>
              <w:keepLines w:val="0"/>
              <w:pageBreakBefore w:val="0"/>
              <w:widowControl/>
              <w:kinsoku/>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1500" w:type="dxa"/>
            <w:vAlign w:val="center"/>
          </w:tcPr>
          <w:p w14:paraId="5912BE13">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705" w:type="dxa"/>
            <w:vAlign w:val="center"/>
          </w:tcPr>
          <w:p w14:paraId="12E2E177">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847" w:type="dxa"/>
            <w:vAlign w:val="center"/>
          </w:tcPr>
          <w:p w14:paraId="6919A567">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1411" w:type="dxa"/>
            <w:vAlign w:val="center"/>
          </w:tcPr>
          <w:p w14:paraId="4F9A904B">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1411" w:type="dxa"/>
            <w:vAlign w:val="center"/>
          </w:tcPr>
          <w:p w14:paraId="0369C8B6">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987" w:type="dxa"/>
            <w:vAlign w:val="center"/>
          </w:tcPr>
          <w:p w14:paraId="353C1328">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r>
      <w:tr w14:paraId="2E03D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47" w:type="dxa"/>
            <w:vAlign w:val="center"/>
          </w:tcPr>
          <w:p w14:paraId="418DF5A4">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hint="default" w:ascii="宋体" w:hAnsi="宋体" w:cs="宋体"/>
                <w:bCs/>
                <w:color w:val="auto"/>
                <w:spacing w:val="-6"/>
                <w:kern w:val="0"/>
                <w:highlight w:val="none"/>
                <w:lang w:val="en-US" w:eastAsia="zh-CN"/>
              </w:rPr>
            </w:pPr>
          </w:p>
        </w:tc>
        <w:tc>
          <w:tcPr>
            <w:tcW w:w="1889" w:type="dxa"/>
            <w:vAlign w:val="center"/>
          </w:tcPr>
          <w:p w14:paraId="4D2E1718">
            <w:pPr>
              <w:keepNext w:val="0"/>
              <w:keepLines w:val="0"/>
              <w:pageBreakBefore w:val="0"/>
              <w:widowControl/>
              <w:kinsoku/>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1500" w:type="dxa"/>
            <w:vAlign w:val="center"/>
          </w:tcPr>
          <w:p w14:paraId="36DE4811">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705" w:type="dxa"/>
            <w:vAlign w:val="center"/>
          </w:tcPr>
          <w:p w14:paraId="156C3ED0">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847" w:type="dxa"/>
            <w:vAlign w:val="center"/>
          </w:tcPr>
          <w:p w14:paraId="3F92E3FE">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1411" w:type="dxa"/>
            <w:vAlign w:val="center"/>
          </w:tcPr>
          <w:p w14:paraId="5934DC77">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1411" w:type="dxa"/>
            <w:vAlign w:val="center"/>
          </w:tcPr>
          <w:p w14:paraId="5C60A77B">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987" w:type="dxa"/>
            <w:vAlign w:val="center"/>
          </w:tcPr>
          <w:p w14:paraId="03C1FE1B">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r>
      <w:tr w14:paraId="22994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47" w:type="dxa"/>
            <w:vAlign w:val="center"/>
          </w:tcPr>
          <w:p w14:paraId="496DD522">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hint="default" w:ascii="宋体" w:hAnsi="宋体" w:cs="宋体"/>
                <w:bCs/>
                <w:color w:val="auto"/>
                <w:spacing w:val="-6"/>
                <w:kern w:val="0"/>
                <w:highlight w:val="none"/>
                <w:lang w:val="en-US" w:eastAsia="zh-CN"/>
              </w:rPr>
            </w:pPr>
          </w:p>
        </w:tc>
        <w:tc>
          <w:tcPr>
            <w:tcW w:w="1889" w:type="dxa"/>
            <w:vAlign w:val="center"/>
          </w:tcPr>
          <w:p w14:paraId="197586CC">
            <w:pPr>
              <w:keepNext w:val="0"/>
              <w:keepLines w:val="0"/>
              <w:pageBreakBefore w:val="0"/>
              <w:widowControl/>
              <w:kinsoku/>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1500" w:type="dxa"/>
            <w:vAlign w:val="center"/>
          </w:tcPr>
          <w:p w14:paraId="04D1C7A2">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705" w:type="dxa"/>
            <w:vAlign w:val="center"/>
          </w:tcPr>
          <w:p w14:paraId="71761E07">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847" w:type="dxa"/>
            <w:vAlign w:val="center"/>
          </w:tcPr>
          <w:p w14:paraId="09248B13">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1411" w:type="dxa"/>
            <w:vAlign w:val="center"/>
          </w:tcPr>
          <w:p w14:paraId="169CB7E7">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1411" w:type="dxa"/>
            <w:vAlign w:val="center"/>
          </w:tcPr>
          <w:p w14:paraId="0FBF2C29">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987" w:type="dxa"/>
            <w:vAlign w:val="center"/>
          </w:tcPr>
          <w:p w14:paraId="4CB6B46A">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r>
      <w:tr w14:paraId="40C7E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9597" w:type="dxa"/>
            <w:gridSpan w:val="8"/>
            <w:vAlign w:val="center"/>
          </w:tcPr>
          <w:p w14:paraId="03CFE88C">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r>
      <w:tr w14:paraId="2B8BC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47" w:type="dxa"/>
            <w:vAlign w:val="center"/>
          </w:tcPr>
          <w:p w14:paraId="17FB3A1B">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hint="default" w:ascii="宋体" w:hAnsi="宋体" w:cs="宋体"/>
                <w:bCs/>
                <w:color w:val="auto"/>
                <w:spacing w:val="-6"/>
                <w:kern w:val="0"/>
                <w:highlight w:val="none"/>
                <w:lang w:val="en-US" w:eastAsia="zh-CN"/>
              </w:rPr>
            </w:pPr>
          </w:p>
        </w:tc>
        <w:tc>
          <w:tcPr>
            <w:tcW w:w="1889" w:type="dxa"/>
            <w:vAlign w:val="center"/>
          </w:tcPr>
          <w:p w14:paraId="6CD509C8">
            <w:pPr>
              <w:keepNext w:val="0"/>
              <w:keepLines w:val="0"/>
              <w:pageBreakBefore w:val="0"/>
              <w:widowControl/>
              <w:kinsoku/>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1500" w:type="dxa"/>
            <w:vAlign w:val="center"/>
          </w:tcPr>
          <w:p w14:paraId="067F13A7">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705" w:type="dxa"/>
            <w:vAlign w:val="center"/>
          </w:tcPr>
          <w:p w14:paraId="01904546">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847" w:type="dxa"/>
            <w:vAlign w:val="center"/>
          </w:tcPr>
          <w:p w14:paraId="40811155">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1411" w:type="dxa"/>
            <w:vAlign w:val="center"/>
          </w:tcPr>
          <w:p w14:paraId="0E1A2E16">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1411" w:type="dxa"/>
            <w:vAlign w:val="center"/>
          </w:tcPr>
          <w:p w14:paraId="66A1876D">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c>
          <w:tcPr>
            <w:tcW w:w="987" w:type="dxa"/>
            <w:vAlign w:val="center"/>
          </w:tcPr>
          <w:p w14:paraId="4129721E">
            <w:pPr>
              <w:keepNext w:val="0"/>
              <w:keepLines w:val="0"/>
              <w:pageBreakBefore w:val="0"/>
              <w:widowControl/>
              <w:kinsoku/>
              <w:wordWrap w:val="0"/>
              <w:overflowPunct/>
              <w:topLinePunct w:val="0"/>
              <w:autoSpaceDE/>
              <w:autoSpaceDN/>
              <w:bidi w:val="0"/>
              <w:adjustRightInd/>
              <w:snapToGrid/>
              <w:spacing w:line="360" w:lineRule="exact"/>
              <w:jc w:val="center"/>
              <w:textAlignment w:val="center"/>
              <w:rPr>
                <w:rFonts w:ascii="宋体" w:hAnsi="宋体" w:cs="宋体"/>
                <w:bCs/>
                <w:color w:val="auto"/>
                <w:spacing w:val="-6"/>
                <w:kern w:val="0"/>
                <w:highlight w:val="none"/>
                <w:lang w:val="zh-CN"/>
              </w:rPr>
            </w:pPr>
          </w:p>
        </w:tc>
      </w:tr>
      <w:tr w14:paraId="69293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9597" w:type="dxa"/>
            <w:gridSpan w:val="8"/>
            <w:vAlign w:val="center"/>
          </w:tcPr>
          <w:p w14:paraId="48911007">
            <w:pPr>
              <w:keepNext w:val="0"/>
              <w:keepLines w:val="0"/>
              <w:pageBreakBefore w:val="0"/>
              <w:widowControl/>
              <w:kinsoku/>
              <w:wordWrap w:val="0"/>
              <w:overflowPunct/>
              <w:topLinePunct w:val="0"/>
              <w:autoSpaceDE/>
              <w:autoSpaceDN/>
              <w:bidi w:val="0"/>
              <w:adjustRightInd/>
              <w:snapToGrid/>
              <w:spacing w:line="360" w:lineRule="exact"/>
              <w:jc w:val="left"/>
              <w:textAlignment w:val="center"/>
              <w:rPr>
                <w:rFonts w:ascii="宋体" w:hAnsi="宋体" w:cs="宋体"/>
                <w:bCs/>
                <w:color w:val="auto"/>
                <w:spacing w:val="-6"/>
                <w:kern w:val="0"/>
                <w:highlight w:val="none"/>
                <w:lang w:val="zh-CN"/>
              </w:rPr>
            </w:pPr>
          </w:p>
        </w:tc>
      </w:tr>
    </w:tbl>
    <w:p w14:paraId="4A9F504B">
      <w:pPr>
        <w:pStyle w:val="18"/>
        <w:ind w:firstLine="0"/>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注：1</w:t>
      </w:r>
      <w:r>
        <w:rPr>
          <w:rFonts w:hint="eastAsia" w:asciiTheme="minorEastAsia" w:hAnsiTheme="minorEastAsia" w:eastAsiaTheme="minorEastAsia"/>
          <w:color w:val="auto"/>
          <w:sz w:val="21"/>
          <w:szCs w:val="21"/>
          <w:highlight w:val="none"/>
          <w:lang w:val="en-US" w:eastAsia="zh-CN"/>
        </w:rPr>
        <w:t>.</w:t>
      </w:r>
      <w:r>
        <w:rPr>
          <w:rFonts w:hint="eastAsia" w:asciiTheme="minorEastAsia" w:hAnsiTheme="minorEastAsia" w:eastAsiaTheme="minorEastAsia"/>
          <w:color w:val="auto"/>
          <w:sz w:val="21"/>
          <w:szCs w:val="21"/>
          <w:highlight w:val="none"/>
        </w:rPr>
        <w:t>本表中的“合计”应与“（一）投标函”及“（二）投标一览表”中的“投标总价”一致；</w:t>
      </w:r>
    </w:p>
    <w:p w14:paraId="11C54736">
      <w:pPr>
        <w:pStyle w:val="18"/>
        <w:ind w:firstLine="0"/>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2</w:t>
      </w:r>
      <w:r>
        <w:rPr>
          <w:rFonts w:hint="eastAsia" w:asciiTheme="minorEastAsia" w:hAnsiTheme="minorEastAsia" w:eastAsiaTheme="minorEastAsia"/>
          <w:color w:val="auto"/>
          <w:sz w:val="21"/>
          <w:szCs w:val="21"/>
          <w:highlight w:val="none"/>
          <w:lang w:eastAsia="zh-CN"/>
        </w:rPr>
        <w:t>.</w:t>
      </w:r>
      <w:r>
        <w:rPr>
          <w:rFonts w:hint="eastAsia" w:asciiTheme="minorEastAsia" w:hAnsiTheme="minorEastAsia" w:eastAsiaTheme="minorEastAsia"/>
          <w:color w:val="auto"/>
          <w:sz w:val="21"/>
          <w:szCs w:val="21"/>
          <w:highlight w:val="none"/>
        </w:rPr>
        <w:t>表格可自行扩展。</w:t>
      </w:r>
    </w:p>
    <w:p w14:paraId="4E35D9C6">
      <w:pPr>
        <w:pStyle w:val="18"/>
        <w:ind w:left="440"/>
        <w:rPr>
          <w:rFonts w:asciiTheme="minorEastAsia" w:hAnsiTheme="minorEastAsia" w:eastAsiaTheme="minorEastAsia"/>
          <w:color w:val="auto"/>
          <w:szCs w:val="24"/>
          <w:highlight w:val="none"/>
        </w:rPr>
      </w:pPr>
    </w:p>
    <w:p w14:paraId="7ED9D2E2">
      <w:pPr>
        <w:spacing w:line="380" w:lineRule="exact"/>
        <w:rPr>
          <w:rFonts w:hint="eastAsia" w:asciiTheme="minorEastAsia" w:hAnsiTheme="minorEastAsia" w:eastAsiaTheme="minorEastAsia"/>
          <w:color w:val="auto"/>
          <w:highlight w:val="none"/>
        </w:rPr>
      </w:pPr>
    </w:p>
    <w:p w14:paraId="292B11F9">
      <w:pPr>
        <w:spacing w:line="380" w:lineRule="exact"/>
        <w:rPr>
          <w:rFonts w:hint="eastAsia" w:asciiTheme="minorEastAsia" w:hAnsiTheme="minorEastAsia" w:eastAsiaTheme="minorEastAsia"/>
          <w:color w:val="auto"/>
          <w:highlight w:val="none"/>
        </w:rPr>
      </w:pPr>
    </w:p>
    <w:p w14:paraId="0D7CF793">
      <w:pPr>
        <w:spacing w:line="380" w:lineRule="exact"/>
        <w:rPr>
          <w:rFonts w:hint="eastAsia" w:asciiTheme="minorEastAsia" w:hAnsiTheme="minorEastAsia" w:eastAsiaTheme="minorEastAsia"/>
          <w:color w:val="auto"/>
          <w:highlight w:val="none"/>
        </w:rPr>
      </w:pPr>
    </w:p>
    <w:p w14:paraId="76BB5553">
      <w:pPr>
        <w:spacing w:line="38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投标人（公章）：</w:t>
      </w:r>
    </w:p>
    <w:p w14:paraId="5B0F4AB5">
      <w:pPr>
        <w:spacing w:line="380" w:lineRule="exact"/>
        <w:rPr>
          <w:rFonts w:asciiTheme="minorEastAsia" w:hAnsiTheme="minorEastAsia" w:eastAsiaTheme="minorEastAsia"/>
          <w:color w:val="auto"/>
          <w:highlight w:val="none"/>
        </w:rPr>
      </w:pPr>
    </w:p>
    <w:p w14:paraId="3694CE3B">
      <w:pPr>
        <w:spacing w:line="38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投标人代表（签字或印章）：</w:t>
      </w:r>
    </w:p>
    <w:p w14:paraId="7C574DBC">
      <w:pPr>
        <w:spacing w:line="380" w:lineRule="exact"/>
        <w:rPr>
          <w:rFonts w:asciiTheme="minorEastAsia" w:hAnsiTheme="minorEastAsia" w:eastAsiaTheme="minorEastAsia"/>
          <w:color w:val="auto"/>
          <w:highlight w:val="none"/>
        </w:rPr>
      </w:pPr>
    </w:p>
    <w:p w14:paraId="6A1E9BE9">
      <w:pPr>
        <w:spacing w:line="400" w:lineRule="exact"/>
        <w:jc w:val="left"/>
        <w:rPr>
          <w:rFonts w:asciiTheme="minorEastAsia" w:hAnsiTheme="minorEastAsia" w:eastAsiaTheme="minorEastAsia"/>
          <w:color w:val="auto"/>
          <w:highlight w:val="none"/>
        </w:rPr>
        <w:sectPr>
          <w:pgSz w:w="11907" w:h="16840"/>
          <w:pgMar w:top="1304" w:right="1588" w:bottom="1304" w:left="1588" w:header="720" w:footer="720" w:gutter="0"/>
          <w:pgBorders>
            <w:top w:val="none" w:sz="0" w:space="0"/>
            <w:left w:val="none" w:sz="0" w:space="0"/>
            <w:bottom w:val="none" w:sz="0" w:space="0"/>
            <w:right w:val="none" w:sz="0" w:space="0"/>
          </w:pgBorders>
          <w:pgNumType w:fmt="decimal"/>
          <w:cols w:space="720" w:num="1"/>
          <w:docGrid w:linePitch="286" w:charSpace="0"/>
        </w:sectPr>
      </w:pPr>
      <w:r>
        <w:rPr>
          <w:rFonts w:hint="eastAsia" w:asciiTheme="minorEastAsia" w:hAnsiTheme="minorEastAsia" w:eastAsiaTheme="minorEastAsia"/>
          <w:color w:val="auto"/>
          <w:highlight w:val="none"/>
        </w:rPr>
        <w:t>日期：</w:t>
      </w:r>
    </w:p>
    <w:p w14:paraId="68FDA9D4">
      <w:pPr>
        <w:rPr>
          <w:color w:val="auto"/>
          <w:highlight w:val="none"/>
        </w:rPr>
      </w:pPr>
    </w:p>
    <w:p w14:paraId="68A00565">
      <w:pPr>
        <w:pStyle w:val="4"/>
        <w:spacing w:line="380" w:lineRule="exact"/>
        <w:rPr>
          <w:rFonts w:asciiTheme="minorEastAsia" w:hAnsiTheme="minorEastAsia" w:eastAsiaTheme="minorEastAsia"/>
          <w:color w:val="auto"/>
          <w:sz w:val="28"/>
          <w:szCs w:val="28"/>
          <w:highlight w:val="none"/>
        </w:rPr>
      </w:pPr>
      <w:bookmarkStart w:id="146" w:name="_Toc141797153"/>
      <w:bookmarkStart w:id="147" w:name="_Toc141797709"/>
      <w:r>
        <w:rPr>
          <w:rFonts w:hint="eastAsia" w:asciiTheme="minorEastAsia" w:hAnsiTheme="minorEastAsia" w:eastAsiaTheme="minorEastAsia"/>
          <w:color w:val="auto"/>
          <w:sz w:val="28"/>
          <w:szCs w:val="28"/>
          <w:highlight w:val="none"/>
        </w:rPr>
        <w:t>附件</w:t>
      </w:r>
      <w:bookmarkEnd w:id="146"/>
      <w:bookmarkEnd w:id="147"/>
    </w:p>
    <w:p w14:paraId="05F3DEBB">
      <w:pPr>
        <w:pStyle w:val="4"/>
        <w:spacing w:line="380" w:lineRule="exact"/>
        <w:rPr>
          <w:rFonts w:asciiTheme="minorEastAsia" w:hAnsiTheme="minorEastAsia" w:eastAsiaTheme="minorEastAsia"/>
          <w:color w:val="auto"/>
          <w:sz w:val="24"/>
          <w:szCs w:val="24"/>
          <w:highlight w:val="none"/>
        </w:rPr>
      </w:pPr>
    </w:p>
    <w:p w14:paraId="20C0A6C5">
      <w:pPr>
        <w:pStyle w:val="4"/>
        <w:spacing w:line="380" w:lineRule="exact"/>
        <w:jc w:val="both"/>
        <w:rPr>
          <w:rFonts w:hint="eastAsia" w:asciiTheme="minorEastAsia" w:hAnsiTheme="minorEastAsia" w:eastAsiaTheme="minorEastAsia"/>
          <w:color w:val="auto"/>
          <w:sz w:val="24"/>
          <w:szCs w:val="24"/>
          <w:highlight w:val="none"/>
          <w:lang w:eastAsia="zh-CN"/>
        </w:rPr>
      </w:pPr>
      <w:bookmarkStart w:id="148" w:name="_Toc141797710"/>
      <w:bookmarkStart w:id="149" w:name="_Toc141797154"/>
      <w:r>
        <w:rPr>
          <w:rFonts w:hint="eastAsia" w:asciiTheme="minorEastAsia" w:hAnsiTheme="minorEastAsia" w:eastAsiaTheme="minorEastAsia"/>
          <w:color w:val="auto"/>
          <w:sz w:val="24"/>
          <w:szCs w:val="24"/>
          <w:highlight w:val="none"/>
        </w:rPr>
        <w:t>附件1中小企业声明函</w:t>
      </w:r>
      <w:bookmarkEnd w:id="148"/>
      <w:bookmarkEnd w:id="149"/>
    </w:p>
    <w:p w14:paraId="5B3BF076">
      <w:pPr>
        <w:spacing w:line="360" w:lineRule="auto"/>
        <w:ind w:firstLine="444" w:firstLineChars="200"/>
        <w:rPr>
          <w:rFonts w:asciiTheme="minorEastAsia" w:hAnsiTheme="minorEastAsia" w:eastAsiaTheme="minorEastAsia"/>
          <w:color w:val="auto"/>
          <w:spacing w:val="6"/>
          <w:highlight w:val="none"/>
        </w:rPr>
      </w:pPr>
    </w:p>
    <w:p w14:paraId="1717966C">
      <w:pPr>
        <w:pStyle w:val="25"/>
        <w:rPr>
          <w:color w:val="auto"/>
          <w:highlight w:val="none"/>
        </w:rPr>
      </w:pPr>
    </w:p>
    <w:p w14:paraId="1FE36354">
      <w:pPr>
        <w:keepNext w:val="0"/>
        <w:keepLines w:val="0"/>
        <w:pageBreakBefore w:val="0"/>
        <w:widowControl w:val="0"/>
        <w:kinsoku/>
        <w:wordWrap/>
        <w:overflowPunct/>
        <w:topLinePunct w:val="0"/>
        <w:autoSpaceDE/>
        <w:autoSpaceDN/>
        <w:bidi w:val="0"/>
        <w:snapToGrid/>
        <w:spacing w:line="360" w:lineRule="auto"/>
        <w:ind w:firstLine="420" w:firstLineChars="200"/>
        <w:rPr>
          <w:rFonts w:hint="eastAsia" w:ascii="宋体" w:hAnsi="宋体" w:eastAsia="宋体" w:cs="宋体"/>
          <w:color w:val="auto"/>
          <w:spacing w:val="6"/>
          <w:highlight w:val="none"/>
        </w:rPr>
      </w:pPr>
      <w:r>
        <w:rPr>
          <w:rFonts w:hint="eastAsia" w:ascii="宋体" w:hAnsi="宋体" w:eastAsia="宋体" w:cs="宋体"/>
          <w:color w:val="auto"/>
          <w:highlight w:val="none"/>
        </w:rPr>
        <w:t>本公司（联合体）郑重声明，根据《政府采购促进中小企业发展管理办法》（财库〔2020）46号）的规定，本公司（联合体）参加</w:t>
      </w:r>
      <w:r>
        <w:rPr>
          <w:rFonts w:hint="eastAsia" w:ascii="宋体" w:hAnsi="宋体" w:eastAsia="宋体" w:cs="宋体"/>
          <w:color w:val="auto"/>
          <w:highlight w:val="none"/>
          <w:u w:val="single"/>
        </w:rPr>
        <w:t>（单位名称）</w:t>
      </w:r>
      <w:r>
        <w:rPr>
          <w:rFonts w:hint="eastAsia" w:ascii="宋体" w:hAnsi="宋体" w:eastAsia="宋体" w:cs="宋体"/>
          <w:color w:val="auto"/>
          <w:highlight w:val="none"/>
        </w:rPr>
        <w:t>的</w:t>
      </w:r>
      <w:r>
        <w:rPr>
          <w:rFonts w:hint="eastAsia" w:ascii="宋体" w:hAnsi="宋体" w:eastAsia="宋体" w:cs="宋体"/>
          <w:color w:val="auto"/>
          <w:highlight w:val="none"/>
          <w:u w:val="single"/>
        </w:rPr>
        <w:t>（项目名称）</w:t>
      </w:r>
      <w:r>
        <w:rPr>
          <w:rFonts w:hint="eastAsia" w:ascii="宋体" w:hAnsi="宋体" w:eastAsia="宋体" w:cs="宋体"/>
          <w:color w:val="auto"/>
          <w:highlight w:val="none"/>
        </w:rPr>
        <w:t>采购活动,提供的货物全部由符合政策要求的中小企业制造。相关企业（含联合体中的中小企业、签订分包意向协议的中小企业）的具体情况如下</w:t>
      </w:r>
      <w:r>
        <w:rPr>
          <w:rFonts w:hint="eastAsia" w:ascii="宋体" w:hAnsi="宋体" w:eastAsia="宋体" w:cs="宋体"/>
          <w:color w:val="auto"/>
          <w:spacing w:val="6"/>
          <w:highlight w:val="none"/>
        </w:rPr>
        <w:t>：</w:t>
      </w:r>
    </w:p>
    <w:p w14:paraId="629F7166">
      <w:pPr>
        <w:keepNext w:val="0"/>
        <w:keepLines w:val="0"/>
        <w:pageBreakBefore w:val="0"/>
        <w:widowControl w:val="0"/>
        <w:numPr>
          <w:ilvl w:val="0"/>
          <w:numId w:val="9"/>
        </w:numPr>
        <w:kinsoku/>
        <w:wordWrap/>
        <w:overflowPunct/>
        <w:topLinePunct w:val="0"/>
        <w:autoSpaceDE/>
        <w:autoSpaceDN/>
        <w:bidi w:val="0"/>
        <w:adjustRightInd w:val="0"/>
        <w:snapToGrid/>
        <w:spacing w:line="360" w:lineRule="auto"/>
        <w:ind w:firstLine="444" w:firstLineChars="200"/>
        <w:jc w:val="left"/>
        <w:textAlignment w:val="baseline"/>
        <w:rPr>
          <w:rFonts w:hint="eastAsia" w:ascii="宋体" w:hAnsi="宋体" w:eastAsia="宋体" w:cs="宋体"/>
          <w:color w:val="auto"/>
          <w:spacing w:val="6"/>
          <w:kern w:val="0"/>
          <w:highlight w:val="none"/>
          <w:u w:val="single"/>
        </w:rPr>
      </w:pPr>
      <w:r>
        <w:rPr>
          <w:rFonts w:hint="eastAsia" w:ascii="宋体" w:hAnsi="宋体" w:eastAsia="宋体" w:cs="宋体"/>
          <w:color w:val="auto"/>
          <w:spacing w:val="6"/>
          <w:kern w:val="0"/>
          <w:highlight w:val="none"/>
        </w:rPr>
        <w:t>，属于</w:t>
      </w:r>
      <w:r>
        <w:rPr>
          <w:rFonts w:hint="eastAsia" w:ascii="宋体" w:hAnsi="宋体" w:eastAsia="宋体" w:cs="宋体"/>
          <w:b/>
          <w:bCs/>
          <w:color w:val="auto"/>
          <w:spacing w:val="6"/>
          <w:kern w:val="0"/>
          <w:highlight w:val="none"/>
          <w:u w:val="single"/>
        </w:rPr>
        <w:t>工业行业</w:t>
      </w:r>
      <w:r>
        <w:rPr>
          <w:rFonts w:hint="eastAsia" w:ascii="宋体" w:hAnsi="宋体" w:eastAsia="宋体" w:cs="宋体"/>
          <w:color w:val="auto"/>
          <w:spacing w:val="6"/>
          <w:kern w:val="0"/>
          <w:highlight w:val="none"/>
        </w:rPr>
        <w:t>；制造商企业为</w:t>
      </w:r>
      <w:r>
        <w:rPr>
          <w:rFonts w:hint="eastAsia" w:ascii="宋体" w:hAnsi="宋体" w:eastAsia="宋体" w:cs="宋体"/>
          <w:i/>
          <w:color w:val="auto"/>
          <w:spacing w:val="6"/>
          <w:kern w:val="0"/>
          <w:highlight w:val="none"/>
          <w:u w:val="single"/>
        </w:rPr>
        <w:t>（企业名称）</w:t>
      </w:r>
      <w:r>
        <w:rPr>
          <w:rFonts w:hint="eastAsia" w:ascii="宋体" w:hAnsi="宋体" w:eastAsia="宋体" w:cs="宋体"/>
          <w:color w:val="auto"/>
          <w:spacing w:val="6"/>
          <w:kern w:val="0"/>
          <w:highlight w:val="none"/>
        </w:rPr>
        <w:t>，从业人员人，营业收入为万元，资产总额为万元，属于</w:t>
      </w:r>
      <w:r>
        <w:rPr>
          <w:rFonts w:hint="eastAsia" w:ascii="宋体" w:hAnsi="宋体" w:eastAsia="宋体" w:cs="宋体"/>
          <w:i/>
          <w:color w:val="auto"/>
          <w:spacing w:val="6"/>
          <w:kern w:val="0"/>
          <w:highlight w:val="none"/>
          <w:u w:val="single"/>
        </w:rPr>
        <w:t>（中型企业、小型企业、微型企业）</w:t>
      </w:r>
      <w:r>
        <w:rPr>
          <w:rFonts w:hint="eastAsia" w:ascii="宋体" w:hAnsi="宋体" w:eastAsia="宋体" w:cs="宋体"/>
          <w:color w:val="auto"/>
          <w:spacing w:val="6"/>
          <w:kern w:val="0"/>
          <w:highlight w:val="none"/>
        </w:rPr>
        <w:t>；</w:t>
      </w:r>
    </w:p>
    <w:p w14:paraId="61B5FC96">
      <w:pPr>
        <w:spacing w:line="360" w:lineRule="auto"/>
        <w:ind w:firstLine="444" w:firstLineChars="200"/>
        <w:rPr>
          <w:rFonts w:ascii="宋体" w:hAnsi="宋体" w:cs="宋体"/>
          <w:color w:val="auto"/>
          <w:spacing w:val="6"/>
          <w:highlight w:val="none"/>
        </w:rPr>
      </w:pPr>
      <w:r>
        <w:rPr>
          <w:rFonts w:hint="eastAsia" w:ascii="宋体" w:hAnsi="宋体" w:cs="宋体"/>
          <w:color w:val="auto"/>
          <w:spacing w:val="6"/>
          <w:highlight w:val="none"/>
        </w:rPr>
        <w:t>……</w:t>
      </w:r>
    </w:p>
    <w:p w14:paraId="69594B54">
      <w:pPr>
        <w:keepNext w:val="0"/>
        <w:keepLines w:val="0"/>
        <w:pageBreakBefore w:val="0"/>
        <w:widowControl w:val="0"/>
        <w:numPr>
          <w:ilvl w:val="0"/>
          <w:numId w:val="9"/>
        </w:numPr>
        <w:kinsoku/>
        <w:wordWrap/>
        <w:overflowPunct/>
        <w:topLinePunct w:val="0"/>
        <w:autoSpaceDE/>
        <w:autoSpaceDN/>
        <w:bidi w:val="0"/>
        <w:adjustRightInd w:val="0"/>
        <w:snapToGrid/>
        <w:spacing w:line="360" w:lineRule="auto"/>
        <w:ind w:firstLine="444" w:firstLineChars="200"/>
        <w:jc w:val="left"/>
        <w:textAlignment w:val="baseline"/>
        <w:rPr>
          <w:rFonts w:hint="eastAsia" w:ascii="宋体" w:hAnsi="宋体" w:eastAsia="宋体" w:cs="宋体"/>
          <w:color w:val="auto"/>
          <w:spacing w:val="6"/>
          <w:kern w:val="0"/>
          <w:highlight w:val="none"/>
          <w:u w:val="single"/>
        </w:rPr>
      </w:pPr>
      <w:r>
        <w:rPr>
          <w:rFonts w:hint="eastAsia" w:ascii="宋体" w:hAnsi="宋体" w:eastAsia="宋体" w:cs="宋体"/>
          <w:color w:val="auto"/>
          <w:spacing w:val="6"/>
          <w:kern w:val="0"/>
          <w:highlight w:val="none"/>
        </w:rPr>
        <w:t>，属于</w:t>
      </w:r>
      <w:r>
        <w:rPr>
          <w:rFonts w:hint="eastAsia" w:ascii="宋体" w:hAnsi="宋体" w:eastAsia="宋体" w:cs="宋体"/>
          <w:b/>
          <w:bCs/>
          <w:color w:val="auto"/>
          <w:spacing w:val="6"/>
          <w:kern w:val="0"/>
          <w:highlight w:val="none"/>
          <w:u w:val="single"/>
        </w:rPr>
        <w:t>工业行业</w:t>
      </w:r>
      <w:r>
        <w:rPr>
          <w:rFonts w:hint="eastAsia" w:ascii="宋体" w:hAnsi="宋体" w:eastAsia="宋体" w:cs="宋体"/>
          <w:color w:val="auto"/>
          <w:spacing w:val="6"/>
          <w:kern w:val="0"/>
          <w:highlight w:val="none"/>
        </w:rPr>
        <w:t>；制造商企业为</w:t>
      </w:r>
      <w:r>
        <w:rPr>
          <w:rFonts w:hint="eastAsia" w:ascii="宋体" w:hAnsi="宋体" w:eastAsia="宋体" w:cs="宋体"/>
          <w:i/>
          <w:color w:val="auto"/>
          <w:spacing w:val="6"/>
          <w:kern w:val="0"/>
          <w:highlight w:val="none"/>
          <w:u w:val="single"/>
        </w:rPr>
        <w:t>（企业名称）</w:t>
      </w:r>
      <w:r>
        <w:rPr>
          <w:rFonts w:hint="eastAsia" w:ascii="宋体" w:hAnsi="宋体" w:eastAsia="宋体" w:cs="宋体"/>
          <w:color w:val="auto"/>
          <w:spacing w:val="6"/>
          <w:kern w:val="0"/>
          <w:highlight w:val="none"/>
        </w:rPr>
        <w:t>，从业人员人，营业收入为万元，资产总额为万元，属于</w:t>
      </w:r>
      <w:r>
        <w:rPr>
          <w:rFonts w:hint="eastAsia" w:ascii="宋体" w:hAnsi="宋体" w:eastAsia="宋体" w:cs="宋体"/>
          <w:i/>
          <w:color w:val="auto"/>
          <w:spacing w:val="6"/>
          <w:kern w:val="0"/>
          <w:highlight w:val="none"/>
          <w:u w:val="single"/>
        </w:rPr>
        <w:t>（中型企业、小型企业、微型企业）</w:t>
      </w:r>
      <w:r>
        <w:rPr>
          <w:rFonts w:hint="eastAsia" w:ascii="宋体" w:hAnsi="宋体" w:eastAsia="宋体" w:cs="宋体"/>
          <w:color w:val="auto"/>
          <w:spacing w:val="6"/>
          <w:kern w:val="0"/>
          <w:highlight w:val="none"/>
        </w:rPr>
        <w:t>；</w:t>
      </w:r>
    </w:p>
    <w:p w14:paraId="251A2417">
      <w:pPr>
        <w:spacing w:line="360" w:lineRule="auto"/>
        <w:ind w:firstLine="444" w:firstLineChars="200"/>
        <w:rPr>
          <w:rFonts w:ascii="宋体" w:hAnsi="宋体" w:cs="宋体"/>
          <w:color w:val="auto"/>
          <w:spacing w:val="6"/>
          <w:highlight w:val="none"/>
        </w:rPr>
      </w:pPr>
      <w:r>
        <w:rPr>
          <w:rFonts w:hint="eastAsia" w:ascii="宋体" w:hAnsi="宋体" w:cs="宋体"/>
          <w:color w:val="auto"/>
          <w:spacing w:val="6"/>
          <w:highlight w:val="none"/>
        </w:rPr>
        <w:t>……</w:t>
      </w:r>
    </w:p>
    <w:p w14:paraId="43F1EC55">
      <w:pPr>
        <w:keepNext w:val="0"/>
        <w:keepLines w:val="0"/>
        <w:pageBreakBefore w:val="0"/>
        <w:widowControl w:val="0"/>
        <w:numPr>
          <w:ilvl w:val="0"/>
          <w:numId w:val="9"/>
        </w:numPr>
        <w:kinsoku/>
        <w:wordWrap/>
        <w:overflowPunct/>
        <w:topLinePunct w:val="0"/>
        <w:autoSpaceDE/>
        <w:autoSpaceDN/>
        <w:bidi w:val="0"/>
        <w:adjustRightInd w:val="0"/>
        <w:snapToGrid/>
        <w:spacing w:line="360" w:lineRule="auto"/>
        <w:ind w:firstLine="444" w:firstLineChars="200"/>
        <w:jc w:val="left"/>
        <w:textAlignment w:val="baseline"/>
        <w:rPr>
          <w:rFonts w:hint="eastAsia" w:ascii="宋体" w:hAnsi="宋体" w:eastAsia="宋体" w:cs="宋体"/>
          <w:color w:val="auto"/>
          <w:spacing w:val="6"/>
          <w:kern w:val="0"/>
          <w:highlight w:val="none"/>
          <w:u w:val="single"/>
        </w:rPr>
      </w:pPr>
      <w:r>
        <w:rPr>
          <w:rFonts w:hint="eastAsia" w:ascii="宋体" w:hAnsi="宋体" w:eastAsia="宋体" w:cs="宋体"/>
          <w:color w:val="auto"/>
          <w:spacing w:val="6"/>
          <w:kern w:val="0"/>
          <w:highlight w:val="none"/>
        </w:rPr>
        <w:t>，属于</w:t>
      </w:r>
      <w:r>
        <w:rPr>
          <w:rFonts w:hint="eastAsia" w:ascii="宋体" w:hAnsi="宋体" w:eastAsia="宋体" w:cs="宋体"/>
          <w:b/>
          <w:bCs/>
          <w:color w:val="auto"/>
          <w:spacing w:val="6"/>
          <w:kern w:val="0"/>
          <w:highlight w:val="none"/>
          <w:u w:val="single"/>
        </w:rPr>
        <w:t>工业行业</w:t>
      </w:r>
      <w:r>
        <w:rPr>
          <w:rFonts w:hint="eastAsia" w:ascii="宋体" w:hAnsi="宋体" w:eastAsia="宋体" w:cs="宋体"/>
          <w:color w:val="auto"/>
          <w:spacing w:val="6"/>
          <w:kern w:val="0"/>
          <w:highlight w:val="none"/>
        </w:rPr>
        <w:t>；制造商企业为</w:t>
      </w:r>
      <w:r>
        <w:rPr>
          <w:rFonts w:hint="eastAsia" w:ascii="宋体" w:hAnsi="宋体" w:eastAsia="宋体" w:cs="宋体"/>
          <w:i/>
          <w:color w:val="auto"/>
          <w:spacing w:val="6"/>
          <w:kern w:val="0"/>
          <w:highlight w:val="none"/>
          <w:u w:val="single"/>
        </w:rPr>
        <w:t>（企业名称）</w:t>
      </w:r>
      <w:r>
        <w:rPr>
          <w:rFonts w:hint="eastAsia" w:ascii="宋体" w:hAnsi="宋体" w:eastAsia="宋体" w:cs="宋体"/>
          <w:color w:val="auto"/>
          <w:spacing w:val="6"/>
          <w:kern w:val="0"/>
          <w:highlight w:val="none"/>
        </w:rPr>
        <w:t>，从业人员人，营业收入为万元，资产总额为万元，属于</w:t>
      </w:r>
      <w:r>
        <w:rPr>
          <w:rFonts w:hint="eastAsia" w:ascii="宋体" w:hAnsi="宋体" w:eastAsia="宋体" w:cs="宋体"/>
          <w:i/>
          <w:color w:val="auto"/>
          <w:spacing w:val="6"/>
          <w:kern w:val="0"/>
          <w:highlight w:val="none"/>
          <w:u w:val="single"/>
        </w:rPr>
        <w:t>（中型企业、小型企业、微型企业）</w:t>
      </w:r>
      <w:r>
        <w:rPr>
          <w:rFonts w:hint="eastAsia" w:ascii="宋体" w:hAnsi="宋体" w:eastAsia="宋体" w:cs="宋体"/>
          <w:color w:val="auto"/>
          <w:spacing w:val="6"/>
          <w:kern w:val="0"/>
          <w:highlight w:val="none"/>
        </w:rPr>
        <w:t>；</w:t>
      </w:r>
    </w:p>
    <w:p w14:paraId="21FB9EEB">
      <w:pPr>
        <w:spacing w:line="360" w:lineRule="auto"/>
        <w:ind w:firstLine="444" w:firstLineChars="200"/>
        <w:rPr>
          <w:rFonts w:ascii="宋体" w:hAnsi="宋体" w:cs="宋体"/>
          <w:color w:val="auto"/>
          <w:spacing w:val="6"/>
          <w:highlight w:val="none"/>
        </w:rPr>
      </w:pPr>
      <w:r>
        <w:rPr>
          <w:rFonts w:hint="eastAsia" w:ascii="宋体" w:hAnsi="宋体" w:cs="宋体"/>
          <w:color w:val="auto"/>
          <w:spacing w:val="6"/>
          <w:highlight w:val="none"/>
        </w:rPr>
        <w:t>……</w:t>
      </w:r>
    </w:p>
    <w:p w14:paraId="60629BE4">
      <w:pPr>
        <w:keepNext w:val="0"/>
        <w:keepLines w:val="0"/>
        <w:pageBreakBefore w:val="0"/>
        <w:widowControl w:val="0"/>
        <w:numPr>
          <w:ilvl w:val="0"/>
          <w:numId w:val="9"/>
        </w:numPr>
        <w:kinsoku/>
        <w:wordWrap/>
        <w:overflowPunct/>
        <w:topLinePunct w:val="0"/>
        <w:autoSpaceDE/>
        <w:autoSpaceDN/>
        <w:bidi w:val="0"/>
        <w:adjustRightInd w:val="0"/>
        <w:snapToGrid/>
        <w:spacing w:line="360" w:lineRule="auto"/>
        <w:ind w:firstLine="420" w:firstLineChars="200"/>
        <w:jc w:val="left"/>
        <w:textAlignment w:val="baseline"/>
        <w:rPr>
          <w:rFonts w:hint="eastAsia" w:ascii="宋体" w:hAnsi="宋体" w:eastAsia="宋体" w:cs="宋体"/>
          <w:color w:val="auto"/>
          <w:spacing w:val="6"/>
          <w:kern w:val="0"/>
          <w:highlight w:val="none"/>
          <w:u w:val="single"/>
        </w:rPr>
      </w:pPr>
      <w:r>
        <w:rPr>
          <w:rFonts w:hint="eastAsia"/>
          <w:color w:val="auto"/>
          <w:highlight w:val="none"/>
          <w:u w:val="single"/>
        </w:rPr>
        <w:t>100寸高清显示屏</w:t>
      </w:r>
      <w:r>
        <w:rPr>
          <w:rFonts w:hint="eastAsia" w:ascii="宋体" w:hAnsi="宋体" w:eastAsia="宋体" w:cs="宋体"/>
          <w:color w:val="auto"/>
          <w:spacing w:val="6"/>
          <w:kern w:val="0"/>
          <w:highlight w:val="none"/>
        </w:rPr>
        <w:t>，属于</w:t>
      </w:r>
      <w:r>
        <w:rPr>
          <w:rFonts w:hint="eastAsia" w:ascii="宋体" w:hAnsi="宋体" w:eastAsia="宋体" w:cs="宋体"/>
          <w:b/>
          <w:bCs/>
          <w:color w:val="auto"/>
          <w:spacing w:val="6"/>
          <w:kern w:val="0"/>
          <w:highlight w:val="none"/>
          <w:u w:val="single"/>
        </w:rPr>
        <w:t>工业行业</w:t>
      </w:r>
      <w:r>
        <w:rPr>
          <w:rFonts w:hint="eastAsia" w:ascii="宋体" w:hAnsi="宋体" w:eastAsia="宋体" w:cs="宋体"/>
          <w:color w:val="auto"/>
          <w:spacing w:val="6"/>
          <w:kern w:val="0"/>
          <w:highlight w:val="none"/>
        </w:rPr>
        <w:t>；制造商企业为</w:t>
      </w:r>
      <w:r>
        <w:rPr>
          <w:rFonts w:hint="eastAsia" w:ascii="宋体" w:hAnsi="宋体" w:eastAsia="宋体" w:cs="宋体"/>
          <w:i/>
          <w:color w:val="auto"/>
          <w:spacing w:val="6"/>
          <w:kern w:val="0"/>
          <w:highlight w:val="none"/>
          <w:u w:val="single"/>
        </w:rPr>
        <w:t>（企业名称）</w:t>
      </w:r>
      <w:r>
        <w:rPr>
          <w:rFonts w:hint="eastAsia" w:ascii="宋体" w:hAnsi="宋体" w:eastAsia="宋体" w:cs="宋体"/>
          <w:color w:val="auto"/>
          <w:spacing w:val="6"/>
          <w:kern w:val="0"/>
          <w:highlight w:val="none"/>
        </w:rPr>
        <w:t>，从业人员人，营业收入为万元，资产总额为万元，属于</w:t>
      </w:r>
      <w:r>
        <w:rPr>
          <w:rFonts w:hint="eastAsia" w:ascii="宋体" w:hAnsi="宋体" w:eastAsia="宋体" w:cs="宋体"/>
          <w:i/>
          <w:color w:val="auto"/>
          <w:spacing w:val="6"/>
          <w:kern w:val="0"/>
          <w:highlight w:val="none"/>
          <w:u w:val="single"/>
        </w:rPr>
        <w:t>（中型企业、小型企业、微型企业）</w:t>
      </w:r>
      <w:r>
        <w:rPr>
          <w:rFonts w:hint="eastAsia" w:ascii="宋体" w:hAnsi="宋体" w:eastAsia="宋体" w:cs="宋体"/>
          <w:color w:val="auto"/>
          <w:spacing w:val="6"/>
          <w:kern w:val="0"/>
          <w:highlight w:val="none"/>
        </w:rPr>
        <w:t>；</w:t>
      </w:r>
    </w:p>
    <w:p w14:paraId="647A72ED">
      <w:pPr>
        <w:keepNext w:val="0"/>
        <w:keepLines w:val="0"/>
        <w:pageBreakBefore w:val="0"/>
        <w:widowControl w:val="0"/>
        <w:numPr>
          <w:ilvl w:val="0"/>
          <w:numId w:val="9"/>
        </w:numPr>
        <w:kinsoku/>
        <w:wordWrap/>
        <w:overflowPunct/>
        <w:topLinePunct w:val="0"/>
        <w:autoSpaceDE/>
        <w:autoSpaceDN/>
        <w:bidi w:val="0"/>
        <w:adjustRightInd w:val="0"/>
        <w:snapToGrid/>
        <w:spacing w:line="360" w:lineRule="auto"/>
        <w:ind w:firstLine="444" w:firstLineChars="200"/>
        <w:jc w:val="left"/>
        <w:textAlignment w:val="baseline"/>
        <w:rPr>
          <w:rFonts w:hint="eastAsia" w:ascii="宋体" w:hAnsi="宋体" w:eastAsia="宋体" w:cs="宋体"/>
          <w:color w:val="auto"/>
          <w:spacing w:val="6"/>
          <w:kern w:val="0"/>
          <w:highlight w:val="none"/>
          <w:u w:val="single"/>
        </w:rPr>
      </w:pPr>
      <w:r>
        <w:rPr>
          <w:rFonts w:hint="eastAsia" w:ascii="宋体" w:hAnsi="宋体" w:eastAsia="宋体" w:cs="宋体"/>
          <w:color w:val="auto"/>
          <w:spacing w:val="6"/>
          <w:kern w:val="0"/>
          <w:highlight w:val="none"/>
        </w:rPr>
        <w:t>，属于</w:t>
      </w:r>
      <w:r>
        <w:rPr>
          <w:rFonts w:hint="eastAsia" w:ascii="宋体" w:hAnsi="宋体" w:eastAsia="宋体" w:cs="宋体"/>
          <w:b/>
          <w:bCs/>
          <w:color w:val="auto"/>
          <w:spacing w:val="6"/>
          <w:kern w:val="0"/>
          <w:highlight w:val="none"/>
          <w:u w:val="single"/>
        </w:rPr>
        <w:t>工业行业</w:t>
      </w:r>
      <w:r>
        <w:rPr>
          <w:rFonts w:hint="eastAsia" w:ascii="宋体" w:hAnsi="宋体" w:eastAsia="宋体" w:cs="宋体"/>
          <w:color w:val="auto"/>
          <w:spacing w:val="6"/>
          <w:kern w:val="0"/>
          <w:highlight w:val="none"/>
        </w:rPr>
        <w:t>；制造商企业为</w:t>
      </w:r>
      <w:r>
        <w:rPr>
          <w:rFonts w:hint="eastAsia" w:ascii="宋体" w:hAnsi="宋体" w:eastAsia="宋体" w:cs="宋体"/>
          <w:i/>
          <w:color w:val="auto"/>
          <w:spacing w:val="6"/>
          <w:kern w:val="0"/>
          <w:highlight w:val="none"/>
          <w:u w:val="single"/>
        </w:rPr>
        <w:t>（企业名称）</w:t>
      </w:r>
      <w:r>
        <w:rPr>
          <w:rFonts w:hint="eastAsia" w:ascii="宋体" w:hAnsi="宋体" w:eastAsia="宋体" w:cs="宋体"/>
          <w:color w:val="auto"/>
          <w:spacing w:val="6"/>
          <w:kern w:val="0"/>
          <w:highlight w:val="none"/>
        </w:rPr>
        <w:t>，从业人员人，营业收入为万元，资产总额为万元，属于</w:t>
      </w:r>
      <w:r>
        <w:rPr>
          <w:rFonts w:hint="eastAsia" w:ascii="宋体" w:hAnsi="宋体" w:eastAsia="宋体" w:cs="宋体"/>
          <w:i/>
          <w:color w:val="auto"/>
          <w:spacing w:val="6"/>
          <w:kern w:val="0"/>
          <w:highlight w:val="none"/>
          <w:u w:val="single"/>
        </w:rPr>
        <w:t>（中型企业、小型企业、微型企业）</w:t>
      </w:r>
      <w:r>
        <w:rPr>
          <w:rFonts w:hint="eastAsia" w:ascii="宋体" w:hAnsi="宋体" w:eastAsia="宋体" w:cs="宋体"/>
          <w:color w:val="auto"/>
          <w:spacing w:val="6"/>
          <w:kern w:val="0"/>
          <w:highlight w:val="none"/>
        </w:rPr>
        <w:t>；</w:t>
      </w:r>
    </w:p>
    <w:p w14:paraId="07DAD329">
      <w:pPr>
        <w:spacing w:line="360" w:lineRule="auto"/>
        <w:ind w:firstLine="444" w:firstLineChars="200"/>
        <w:rPr>
          <w:rFonts w:ascii="宋体" w:hAnsi="宋体" w:cs="宋体"/>
          <w:color w:val="auto"/>
          <w:spacing w:val="6"/>
          <w:highlight w:val="none"/>
        </w:rPr>
      </w:pPr>
      <w:r>
        <w:rPr>
          <w:rFonts w:hint="eastAsia" w:ascii="宋体" w:hAnsi="宋体" w:cs="宋体"/>
          <w:color w:val="auto"/>
          <w:spacing w:val="6"/>
          <w:highlight w:val="none"/>
        </w:rPr>
        <w:t>……</w:t>
      </w:r>
    </w:p>
    <w:p w14:paraId="27028F00">
      <w:pPr>
        <w:keepNext w:val="0"/>
        <w:keepLines w:val="0"/>
        <w:pageBreakBefore w:val="0"/>
        <w:widowControl w:val="0"/>
        <w:numPr>
          <w:ilvl w:val="0"/>
          <w:numId w:val="9"/>
        </w:numPr>
        <w:kinsoku/>
        <w:wordWrap/>
        <w:overflowPunct/>
        <w:topLinePunct w:val="0"/>
        <w:autoSpaceDE/>
        <w:autoSpaceDN/>
        <w:bidi w:val="0"/>
        <w:adjustRightInd w:val="0"/>
        <w:snapToGrid/>
        <w:spacing w:line="360" w:lineRule="auto"/>
        <w:ind w:firstLine="444" w:firstLineChars="200"/>
        <w:jc w:val="left"/>
        <w:textAlignment w:val="baseline"/>
        <w:rPr>
          <w:rFonts w:hint="eastAsia" w:ascii="宋体" w:hAnsi="宋体" w:eastAsia="宋体" w:cs="宋体"/>
          <w:color w:val="auto"/>
          <w:spacing w:val="6"/>
          <w:kern w:val="0"/>
          <w:highlight w:val="none"/>
          <w:u w:val="single"/>
        </w:rPr>
      </w:pPr>
      <w:r>
        <w:rPr>
          <w:rFonts w:hint="eastAsia" w:ascii="宋体" w:hAnsi="宋体" w:eastAsia="宋体" w:cs="宋体"/>
          <w:color w:val="auto"/>
          <w:spacing w:val="6"/>
          <w:kern w:val="0"/>
          <w:highlight w:val="none"/>
        </w:rPr>
        <w:t>，属于</w:t>
      </w:r>
      <w:r>
        <w:rPr>
          <w:rFonts w:hint="eastAsia" w:ascii="宋体" w:hAnsi="宋体" w:eastAsia="宋体" w:cs="宋体"/>
          <w:b/>
          <w:bCs/>
          <w:color w:val="auto"/>
          <w:spacing w:val="6"/>
          <w:kern w:val="0"/>
          <w:highlight w:val="none"/>
          <w:u w:val="single"/>
        </w:rPr>
        <w:t>工业行业</w:t>
      </w:r>
      <w:r>
        <w:rPr>
          <w:rFonts w:hint="eastAsia" w:ascii="宋体" w:hAnsi="宋体" w:eastAsia="宋体" w:cs="宋体"/>
          <w:color w:val="auto"/>
          <w:spacing w:val="6"/>
          <w:kern w:val="0"/>
          <w:highlight w:val="none"/>
        </w:rPr>
        <w:t>；制造商企业为</w:t>
      </w:r>
      <w:r>
        <w:rPr>
          <w:rFonts w:hint="eastAsia" w:ascii="宋体" w:hAnsi="宋体" w:eastAsia="宋体" w:cs="宋体"/>
          <w:i/>
          <w:color w:val="auto"/>
          <w:spacing w:val="6"/>
          <w:kern w:val="0"/>
          <w:highlight w:val="none"/>
          <w:u w:val="single"/>
        </w:rPr>
        <w:t>（企业名称）</w:t>
      </w:r>
      <w:r>
        <w:rPr>
          <w:rFonts w:hint="eastAsia" w:ascii="宋体" w:hAnsi="宋体" w:eastAsia="宋体" w:cs="宋体"/>
          <w:color w:val="auto"/>
          <w:spacing w:val="6"/>
          <w:kern w:val="0"/>
          <w:highlight w:val="none"/>
        </w:rPr>
        <w:t>，从业人员人，营业收入为万元，资产总额为万元，属于</w:t>
      </w:r>
      <w:r>
        <w:rPr>
          <w:rFonts w:hint="eastAsia" w:ascii="宋体" w:hAnsi="宋体" w:eastAsia="宋体" w:cs="宋体"/>
          <w:i/>
          <w:color w:val="auto"/>
          <w:spacing w:val="6"/>
          <w:kern w:val="0"/>
          <w:highlight w:val="none"/>
          <w:u w:val="single"/>
        </w:rPr>
        <w:t>（中型企业、小型企业、微型企业）</w:t>
      </w:r>
      <w:r>
        <w:rPr>
          <w:rFonts w:hint="eastAsia" w:ascii="宋体" w:hAnsi="宋体" w:eastAsia="宋体" w:cs="宋体"/>
          <w:color w:val="auto"/>
          <w:spacing w:val="6"/>
          <w:kern w:val="0"/>
          <w:highlight w:val="none"/>
        </w:rPr>
        <w:t>；</w:t>
      </w:r>
    </w:p>
    <w:p w14:paraId="102C6C7A">
      <w:pPr>
        <w:spacing w:line="360" w:lineRule="auto"/>
        <w:ind w:firstLine="444" w:firstLineChars="200"/>
        <w:rPr>
          <w:rFonts w:ascii="宋体" w:hAnsi="宋体" w:cs="宋体"/>
          <w:color w:val="auto"/>
          <w:spacing w:val="6"/>
          <w:highlight w:val="none"/>
        </w:rPr>
      </w:pPr>
      <w:r>
        <w:rPr>
          <w:rFonts w:hint="eastAsia" w:ascii="宋体" w:hAnsi="宋体" w:cs="宋体"/>
          <w:color w:val="auto"/>
          <w:spacing w:val="6"/>
          <w:highlight w:val="none"/>
        </w:rPr>
        <w:t>……</w:t>
      </w:r>
    </w:p>
    <w:p w14:paraId="277F15AD">
      <w:pPr>
        <w:keepNext w:val="0"/>
        <w:keepLines w:val="0"/>
        <w:pageBreakBefore w:val="0"/>
        <w:widowControl w:val="0"/>
        <w:numPr>
          <w:ilvl w:val="0"/>
          <w:numId w:val="9"/>
        </w:numPr>
        <w:kinsoku/>
        <w:wordWrap/>
        <w:overflowPunct/>
        <w:topLinePunct w:val="0"/>
        <w:autoSpaceDE/>
        <w:autoSpaceDN/>
        <w:bidi w:val="0"/>
        <w:adjustRightInd w:val="0"/>
        <w:snapToGrid/>
        <w:spacing w:line="360" w:lineRule="auto"/>
        <w:ind w:firstLine="444" w:firstLineChars="200"/>
        <w:jc w:val="left"/>
        <w:textAlignment w:val="baseline"/>
        <w:rPr>
          <w:rFonts w:hint="eastAsia" w:ascii="宋体" w:hAnsi="宋体" w:eastAsia="宋体" w:cs="宋体"/>
          <w:color w:val="auto"/>
          <w:spacing w:val="6"/>
          <w:kern w:val="0"/>
          <w:highlight w:val="none"/>
          <w:u w:val="single"/>
        </w:rPr>
      </w:pPr>
      <w:r>
        <w:rPr>
          <w:rFonts w:hint="eastAsia" w:ascii="宋体" w:hAnsi="宋体" w:eastAsia="宋体" w:cs="宋体"/>
          <w:color w:val="auto"/>
          <w:spacing w:val="6"/>
          <w:kern w:val="0"/>
          <w:highlight w:val="none"/>
        </w:rPr>
        <w:t>，属于</w:t>
      </w:r>
      <w:r>
        <w:rPr>
          <w:rFonts w:hint="eastAsia" w:ascii="宋体" w:hAnsi="宋体" w:eastAsia="宋体" w:cs="宋体"/>
          <w:b/>
          <w:bCs/>
          <w:color w:val="auto"/>
          <w:spacing w:val="6"/>
          <w:kern w:val="0"/>
          <w:highlight w:val="none"/>
          <w:u w:val="single"/>
        </w:rPr>
        <w:t>工业行业</w:t>
      </w:r>
      <w:r>
        <w:rPr>
          <w:rFonts w:hint="eastAsia" w:ascii="宋体" w:hAnsi="宋体" w:eastAsia="宋体" w:cs="宋体"/>
          <w:color w:val="auto"/>
          <w:spacing w:val="6"/>
          <w:kern w:val="0"/>
          <w:highlight w:val="none"/>
        </w:rPr>
        <w:t>；制造商企业为</w:t>
      </w:r>
      <w:r>
        <w:rPr>
          <w:rFonts w:hint="eastAsia" w:ascii="宋体" w:hAnsi="宋体" w:eastAsia="宋体" w:cs="宋体"/>
          <w:i/>
          <w:color w:val="auto"/>
          <w:spacing w:val="6"/>
          <w:kern w:val="0"/>
          <w:highlight w:val="none"/>
          <w:u w:val="single"/>
        </w:rPr>
        <w:t>（企业名称）</w:t>
      </w:r>
      <w:r>
        <w:rPr>
          <w:rFonts w:hint="eastAsia" w:ascii="宋体" w:hAnsi="宋体" w:eastAsia="宋体" w:cs="宋体"/>
          <w:color w:val="auto"/>
          <w:spacing w:val="6"/>
          <w:kern w:val="0"/>
          <w:highlight w:val="none"/>
        </w:rPr>
        <w:t>，从业人员人，营业收入为万元，资产总额为万元，属于</w:t>
      </w:r>
      <w:r>
        <w:rPr>
          <w:rFonts w:hint="eastAsia" w:ascii="宋体" w:hAnsi="宋体" w:eastAsia="宋体" w:cs="宋体"/>
          <w:i/>
          <w:color w:val="auto"/>
          <w:spacing w:val="6"/>
          <w:kern w:val="0"/>
          <w:highlight w:val="none"/>
          <w:u w:val="single"/>
        </w:rPr>
        <w:t>（中型企业、小型企业、微型企业）</w:t>
      </w:r>
      <w:r>
        <w:rPr>
          <w:rFonts w:hint="eastAsia" w:ascii="宋体" w:hAnsi="宋体" w:eastAsia="宋体" w:cs="宋体"/>
          <w:color w:val="auto"/>
          <w:spacing w:val="6"/>
          <w:kern w:val="0"/>
          <w:highlight w:val="none"/>
        </w:rPr>
        <w:t>；</w:t>
      </w:r>
    </w:p>
    <w:p w14:paraId="266E8491">
      <w:pPr>
        <w:spacing w:line="360" w:lineRule="auto"/>
        <w:ind w:firstLine="444" w:firstLineChars="200"/>
        <w:rPr>
          <w:rFonts w:ascii="宋体" w:hAnsi="宋体" w:cs="宋体"/>
          <w:color w:val="auto"/>
          <w:spacing w:val="6"/>
          <w:highlight w:val="none"/>
        </w:rPr>
      </w:pPr>
      <w:r>
        <w:rPr>
          <w:rFonts w:hint="eastAsia" w:ascii="宋体" w:hAnsi="宋体" w:cs="宋体"/>
          <w:color w:val="auto"/>
          <w:spacing w:val="6"/>
          <w:highlight w:val="none"/>
        </w:rPr>
        <w:t>……</w:t>
      </w:r>
    </w:p>
    <w:p w14:paraId="448F0EC5">
      <w:pPr>
        <w:keepNext w:val="0"/>
        <w:keepLines w:val="0"/>
        <w:pageBreakBefore w:val="0"/>
        <w:widowControl w:val="0"/>
        <w:numPr>
          <w:ilvl w:val="0"/>
          <w:numId w:val="9"/>
        </w:numPr>
        <w:kinsoku/>
        <w:wordWrap/>
        <w:overflowPunct/>
        <w:topLinePunct w:val="0"/>
        <w:autoSpaceDE/>
        <w:autoSpaceDN/>
        <w:bidi w:val="0"/>
        <w:adjustRightInd w:val="0"/>
        <w:snapToGrid/>
        <w:spacing w:line="360" w:lineRule="auto"/>
        <w:ind w:firstLine="444" w:firstLineChars="200"/>
        <w:jc w:val="left"/>
        <w:textAlignment w:val="baseline"/>
        <w:rPr>
          <w:rFonts w:hint="eastAsia" w:ascii="宋体" w:hAnsi="宋体" w:eastAsia="宋体" w:cs="宋体"/>
          <w:color w:val="auto"/>
          <w:spacing w:val="6"/>
          <w:kern w:val="0"/>
          <w:highlight w:val="none"/>
          <w:u w:val="single"/>
        </w:rPr>
      </w:pPr>
      <w:r>
        <w:rPr>
          <w:rFonts w:hint="eastAsia" w:ascii="宋体" w:hAnsi="宋体" w:eastAsia="宋体" w:cs="宋体"/>
          <w:color w:val="auto"/>
          <w:spacing w:val="6"/>
          <w:kern w:val="0"/>
          <w:highlight w:val="none"/>
        </w:rPr>
        <w:t>，属于</w:t>
      </w:r>
      <w:r>
        <w:rPr>
          <w:rFonts w:hint="eastAsia" w:ascii="宋体" w:hAnsi="宋体" w:eastAsia="宋体" w:cs="宋体"/>
          <w:b/>
          <w:bCs/>
          <w:color w:val="auto"/>
          <w:spacing w:val="6"/>
          <w:kern w:val="0"/>
          <w:highlight w:val="none"/>
          <w:u w:val="single"/>
        </w:rPr>
        <w:t>工业行业</w:t>
      </w:r>
      <w:r>
        <w:rPr>
          <w:rFonts w:hint="eastAsia" w:ascii="宋体" w:hAnsi="宋体" w:eastAsia="宋体" w:cs="宋体"/>
          <w:color w:val="auto"/>
          <w:spacing w:val="6"/>
          <w:kern w:val="0"/>
          <w:highlight w:val="none"/>
        </w:rPr>
        <w:t>；制造商企业为</w:t>
      </w:r>
      <w:r>
        <w:rPr>
          <w:rFonts w:hint="eastAsia" w:ascii="宋体" w:hAnsi="宋体" w:eastAsia="宋体" w:cs="宋体"/>
          <w:i/>
          <w:color w:val="auto"/>
          <w:spacing w:val="6"/>
          <w:kern w:val="0"/>
          <w:highlight w:val="none"/>
          <w:u w:val="single"/>
        </w:rPr>
        <w:t>（企业名称）</w:t>
      </w:r>
      <w:r>
        <w:rPr>
          <w:rFonts w:hint="eastAsia" w:ascii="宋体" w:hAnsi="宋体" w:eastAsia="宋体" w:cs="宋体"/>
          <w:color w:val="auto"/>
          <w:spacing w:val="6"/>
          <w:kern w:val="0"/>
          <w:highlight w:val="none"/>
        </w:rPr>
        <w:t>，从业人员人，营业收入为万元，资产总额为万元，属于</w:t>
      </w:r>
      <w:r>
        <w:rPr>
          <w:rFonts w:hint="eastAsia" w:ascii="宋体" w:hAnsi="宋体" w:eastAsia="宋体" w:cs="宋体"/>
          <w:i/>
          <w:color w:val="auto"/>
          <w:spacing w:val="6"/>
          <w:kern w:val="0"/>
          <w:highlight w:val="none"/>
          <w:u w:val="single"/>
        </w:rPr>
        <w:t>（中型企业、小型企业、微型企业）</w:t>
      </w:r>
      <w:r>
        <w:rPr>
          <w:rFonts w:hint="eastAsia" w:ascii="宋体" w:hAnsi="宋体" w:eastAsia="宋体" w:cs="宋体"/>
          <w:color w:val="auto"/>
          <w:spacing w:val="6"/>
          <w:kern w:val="0"/>
          <w:highlight w:val="none"/>
        </w:rPr>
        <w:t>；</w:t>
      </w:r>
    </w:p>
    <w:p w14:paraId="214995C5">
      <w:pPr>
        <w:spacing w:line="360" w:lineRule="auto"/>
        <w:ind w:firstLine="444" w:firstLineChars="200"/>
        <w:rPr>
          <w:rFonts w:ascii="宋体" w:hAnsi="宋体" w:cs="宋体"/>
          <w:color w:val="auto"/>
          <w:spacing w:val="6"/>
          <w:highlight w:val="none"/>
        </w:rPr>
      </w:pPr>
      <w:r>
        <w:rPr>
          <w:rFonts w:hint="eastAsia" w:ascii="宋体" w:hAnsi="宋体" w:cs="宋体"/>
          <w:color w:val="auto"/>
          <w:spacing w:val="6"/>
          <w:highlight w:val="none"/>
        </w:rPr>
        <w:t>……</w:t>
      </w:r>
    </w:p>
    <w:p w14:paraId="5275F346">
      <w:pPr>
        <w:keepNext w:val="0"/>
        <w:keepLines w:val="0"/>
        <w:pageBreakBefore w:val="0"/>
        <w:widowControl w:val="0"/>
        <w:numPr>
          <w:ilvl w:val="0"/>
          <w:numId w:val="9"/>
        </w:numPr>
        <w:kinsoku/>
        <w:wordWrap/>
        <w:overflowPunct/>
        <w:topLinePunct w:val="0"/>
        <w:autoSpaceDE/>
        <w:autoSpaceDN/>
        <w:bidi w:val="0"/>
        <w:adjustRightInd w:val="0"/>
        <w:snapToGrid/>
        <w:spacing w:line="360" w:lineRule="auto"/>
        <w:ind w:firstLine="444" w:firstLineChars="200"/>
        <w:jc w:val="left"/>
        <w:textAlignment w:val="baseline"/>
        <w:rPr>
          <w:rFonts w:hint="eastAsia" w:ascii="宋体" w:hAnsi="宋体" w:eastAsia="宋体" w:cs="宋体"/>
          <w:color w:val="auto"/>
          <w:spacing w:val="6"/>
          <w:kern w:val="0"/>
          <w:highlight w:val="none"/>
          <w:u w:val="single"/>
        </w:rPr>
      </w:pPr>
      <w:r>
        <w:rPr>
          <w:rFonts w:hint="eastAsia" w:ascii="宋体" w:hAnsi="宋体" w:eastAsia="宋体" w:cs="宋体"/>
          <w:color w:val="auto"/>
          <w:spacing w:val="6"/>
          <w:kern w:val="0"/>
          <w:highlight w:val="none"/>
        </w:rPr>
        <w:t>，属于</w:t>
      </w:r>
      <w:r>
        <w:rPr>
          <w:rFonts w:hint="eastAsia" w:ascii="宋体" w:hAnsi="宋体" w:eastAsia="宋体" w:cs="宋体"/>
          <w:b/>
          <w:bCs/>
          <w:color w:val="auto"/>
          <w:spacing w:val="6"/>
          <w:kern w:val="0"/>
          <w:highlight w:val="none"/>
          <w:u w:val="single"/>
        </w:rPr>
        <w:t>工业行业</w:t>
      </w:r>
      <w:r>
        <w:rPr>
          <w:rFonts w:hint="eastAsia" w:ascii="宋体" w:hAnsi="宋体" w:eastAsia="宋体" w:cs="宋体"/>
          <w:color w:val="auto"/>
          <w:spacing w:val="6"/>
          <w:kern w:val="0"/>
          <w:highlight w:val="none"/>
        </w:rPr>
        <w:t>；制造商企业为</w:t>
      </w:r>
      <w:r>
        <w:rPr>
          <w:rFonts w:hint="eastAsia" w:ascii="宋体" w:hAnsi="宋体" w:eastAsia="宋体" w:cs="宋体"/>
          <w:i/>
          <w:color w:val="auto"/>
          <w:spacing w:val="6"/>
          <w:kern w:val="0"/>
          <w:highlight w:val="none"/>
          <w:u w:val="single"/>
        </w:rPr>
        <w:t>（企业名称）</w:t>
      </w:r>
      <w:r>
        <w:rPr>
          <w:rFonts w:hint="eastAsia" w:ascii="宋体" w:hAnsi="宋体" w:eastAsia="宋体" w:cs="宋体"/>
          <w:color w:val="auto"/>
          <w:spacing w:val="6"/>
          <w:kern w:val="0"/>
          <w:highlight w:val="none"/>
        </w:rPr>
        <w:t>，从业人员人，营业收入为万元，资产总额为万元，属于</w:t>
      </w:r>
      <w:r>
        <w:rPr>
          <w:rFonts w:hint="eastAsia" w:ascii="宋体" w:hAnsi="宋体" w:eastAsia="宋体" w:cs="宋体"/>
          <w:i/>
          <w:color w:val="auto"/>
          <w:spacing w:val="6"/>
          <w:kern w:val="0"/>
          <w:highlight w:val="none"/>
          <w:u w:val="single"/>
        </w:rPr>
        <w:t>（中型企业、小型企业、微型企业）</w:t>
      </w:r>
      <w:r>
        <w:rPr>
          <w:rFonts w:hint="eastAsia" w:ascii="宋体" w:hAnsi="宋体" w:eastAsia="宋体" w:cs="宋体"/>
          <w:color w:val="auto"/>
          <w:spacing w:val="6"/>
          <w:kern w:val="0"/>
          <w:highlight w:val="none"/>
        </w:rPr>
        <w:t>；</w:t>
      </w:r>
    </w:p>
    <w:p w14:paraId="44603AC3">
      <w:pPr>
        <w:spacing w:line="360" w:lineRule="auto"/>
        <w:ind w:firstLine="444" w:firstLineChars="200"/>
        <w:rPr>
          <w:rFonts w:ascii="宋体" w:hAnsi="宋体" w:cs="宋体"/>
          <w:color w:val="auto"/>
          <w:spacing w:val="6"/>
          <w:highlight w:val="none"/>
        </w:rPr>
      </w:pPr>
      <w:r>
        <w:rPr>
          <w:rFonts w:hint="eastAsia" w:ascii="宋体" w:hAnsi="宋体" w:cs="宋体"/>
          <w:color w:val="auto"/>
          <w:spacing w:val="6"/>
          <w:highlight w:val="none"/>
        </w:rPr>
        <w:t>……</w:t>
      </w:r>
    </w:p>
    <w:p w14:paraId="2FD3AAF3">
      <w:pPr>
        <w:keepNext w:val="0"/>
        <w:keepLines w:val="0"/>
        <w:pageBreakBefore w:val="0"/>
        <w:widowControl w:val="0"/>
        <w:numPr>
          <w:ilvl w:val="0"/>
          <w:numId w:val="9"/>
        </w:numPr>
        <w:kinsoku/>
        <w:wordWrap/>
        <w:overflowPunct/>
        <w:topLinePunct w:val="0"/>
        <w:autoSpaceDE/>
        <w:autoSpaceDN/>
        <w:bidi w:val="0"/>
        <w:adjustRightInd w:val="0"/>
        <w:snapToGrid/>
        <w:spacing w:line="360" w:lineRule="auto"/>
        <w:ind w:firstLine="444" w:firstLineChars="200"/>
        <w:jc w:val="left"/>
        <w:textAlignment w:val="baseline"/>
        <w:rPr>
          <w:rFonts w:hint="eastAsia" w:ascii="宋体" w:hAnsi="宋体" w:eastAsia="宋体" w:cs="宋体"/>
          <w:color w:val="auto"/>
          <w:spacing w:val="6"/>
          <w:kern w:val="0"/>
          <w:highlight w:val="none"/>
          <w:u w:val="single"/>
        </w:rPr>
      </w:pPr>
      <w:r>
        <w:rPr>
          <w:rFonts w:hint="eastAsia" w:ascii="宋体" w:hAnsi="宋体" w:eastAsia="宋体" w:cs="宋体"/>
          <w:color w:val="auto"/>
          <w:spacing w:val="6"/>
          <w:kern w:val="0"/>
          <w:highlight w:val="none"/>
        </w:rPr>
        <w:t>，属于</w:t>
      </w:r>
      <w:r>
        <w:rPr>
          <w:rFonts w:hint="eastAsia" w:ascii="宋体" w:hAnsi="宋体" w:eastAsia="宋体" w:cs="宋体"/>
          <w:b/>
          <w:bCs/>
          <w:color w:val="auto"/>
          <w:spacing w:val="6"/>
          <w:kern w:val="0"/>
          <w:highlight w:val="none"/>
          <w:u w:val="single"/>
        </w:rPr>
        <w:t>工业行业</w:t>
      </w:r>
      <w:r>
        <w:rPr>
          <w:rFonts w:hint="eastAsia" w:ascii="宋体" w:hAnsi="宋体" w:eastAsia="宋体" w:cs="宋体"/>
          <w:color w:val="auto"/>
          <w:spacing w:val="6"/>
          <w:kern w:val="0"/>
          <w:highlight w:val="none"/>
        </w:rPr>
        <w:t>；制造商企业为</w:t>
      </w:r>
      <w:r>
        <w:rPr>
          <w:rFonts w:hint="eastAsia" w:ascii="宋体" w:hAnsi="宋体" w:eastAsia="宋体" w:cs="宋体"/>
          <w:i/>
          <w:color w:val="auto"/>
          <w:spacing w:val="6"/>
          <w:kern w:val="0"/>
          <w:highlight w:val="none"/>
          <w:u w:val="single"/>
        </w:rPr>
        <w:t>（企业名称）</w:t>
      </w:r>
      <w:r>
        <w:rPr>
          <w:rFonts w:hint="eastAsia" w:ascii="宋体" w:hAnsi="宋体" w:eastAsia="宋体" w:cs="宋体"/>
          <w:color w:val="auto"/>
          <w:spacing w:val="6"/>
          <w:kern w:val="0"/>
          <w:highlight w:val="none"/>
        </w:rPr>
        <w:t>，从业人员人，营业收入为万元，资产总额为万元，属于</w:t>
      </w:r>
      <w:r>
        <w:rPr>
          <w:rFonts w:hint="eastAsia" w:ascii="宋体" w:hAnsi="宋体" w:eastAsia="宋体" w:cs="宋体"/>
          <w:i/>
          <w:color w:val="auto"/>
          <w:spacing w:val="6"/>
          <w:kern w:val="0"/>
          <w:highlight w:val="none"/>
          <w:u w:val="single"/>
        </w:rPr>
        <w:t>（中型企业、小型企业、微型企业）</w:t>
      </w:r>
      <w:r>
        <w:rPr>
          <w:rFonts w:hint="eastAsia" w:ascii="宋体" w:hAnsi="宋体" w:eastAsia="宋体" w:cs="宋体"/>
          <w:color w:val="auto"/>
          <w:spacing w:val="6"/>
          <w:kern w:val="0"/>
          <w:highlight w:val="none"/>
        </w:rPr>
        <w:t>；</w:t>
      </w:r>
    </w:p>
    <w:p w14:paraId="148C9B71">
      <w:pPr>
        <w:spacing w:line="360" w:lineRule="auto"/>
        <w:ind w:firstLine="444" w:firstLineChars="200"/>
        <w:rPr>
          <w:rFonts w:ascii="宋体" w:hAnsi="宋体" w:cs="宋体"/>
          <w:color w:val="auto"/>
          <w:spacing w:val="6"/>
          <w:highlight w:val="none"/>
        </w:rPr>
      </w:pPr>
      <w:r>
        <w:rPr>
          <w:rFonts w:hint="eastAsia" w:ascii="宋体" w:hAnsi="宋体" w:cs="宋体"/>
          <w:color w:val="auto"/>
          <w:spacing w:val="6"/>
          <w:highlight w:val="none"/>
        </w:rPr>
        <w:t>……</w:t>
      </w:r>
    </w:p>
    <w:p w14:paraId="5A3ED26C">
      <w:pPr>
        <w:keepNext w:val="0"/>
        <w:keepLines w:val="0"/>
        <w:pageBreakBefore w:val="0"/>
        <w:widowControl w:val="0"/>
        <w:numPr>
          <w:ilvl w:val="0"/>
          <w:numId w:val="9"/>
        </w:numPr>
        <w:kinsoku/>
        <w:wordWrap/>
        <w:overflowPunct/>
        <w:topLinePunct w:val="0"/>
        <w:autoSpaceDE/>
        <w:autoSpaceDN/>
        <w:bidi w:val="0"/>
        <w:adjustRightInd w:val="0"/>
        <w:snapToGrid/>
        <w:spacing w:line="360" w:lineRule="auto"/>
        <w:ind w:firstLine="444" w:firstLineChars="200"/>
        <w:jc w:val="left"/>
        <w:textAlignment w:val="baseline"/>
        <w:rPr>
          <w:rFonts w:hint="eastAsia" w:ascii="宋体" w:hAnsi="宋体" w:eastAsia="宋体" w:cs="宋体"/>
          <w:color w:val="auto"/>
          <w:spacing w:val="6"/>
          <w:kern w:val="0"/>
          <w:highlight w:val="none"/>
          <w:u w:val="single"/>
        </w:rPr>
      </w:pPr>
      <w:r>
        <w:rPr>
          <w:rFonts w:hint="eastAsia" w:ascii="宋体" w:hAnsi="宋体" w:eastAsia="宋体" w:cs="宋体"/>
          <w:color w:val="auto"/>
          <w:spacing w:val="6"/>
          <w:kern w:val="0"/>
          <w:highlight w:val="none"/>
        </w:rPr>
        <w:t>，属于</w:t>
      </w:r>
      <w:r>
        <w:rPr>
          <w:rFonts w:hint="eastAsia" w:ascii="宋体" w:hAnsi="宋体" w:eastAsia="宋体" w:cs="宋体"/>
          <w:b/>
          <w:bCs/>
          <w:color w:val="auto"/>
          <w:spacing w:val="6"/>
          <w:kern w:val="0"/>
          <w:highlight w:val="none"/>
          <w:u w:val="single"/>
        </w:rPr>
        <w:t>工业行业</w:t>
      </w:r>
      <w:r>
        <w:rPr>
          <w:rFonts w:hint="eastAsia" w:ascii="宋体" w:hAnsi="宋体" w:eastAsia="宋体" w:cs="宋体"/>
          <w:color w:val="auto"/>
          <w:spacing w:val="6"/>
          <w:kern w:val="0"/>
          <w:highlight w:val="none"/>
        </w:rPr>
        <w:t>；制造商企业为</w:t>
      </w:r>
      <w:r>
        <w:rPr>
          <w:rFonts w:hint="eastAsia" w:ascii="宋体" w:hAnsi="宋体" w:eastAsia="宋体" w:cs="宋体"/>
          <w:i/>
          <w:color w:val="auto"/>
          <w:spacing w:val="6"/>
          <w:kern w:val="0"/>
          <w:highlight w:val="none"/>
          <w:u w:val="single"/>
        </w:rPr>
        <w:t>（企业名称）</w:t>
      </w:r>
      <w:r>
        <w:rPr>
          <w:rFonts w:hint="eastAsia" w:ascii="宋体" w:hAnsi="宋体" w:eastAsia="宋体" w:cs="宋体"/>
          <w:color w:val="auto"/>
          <w:spacing w:val="6"/>
          <w:kern w:val="0"/>
          <w:highlight w:val="none"/>
        </w:rPr>
        <w:t>，从业人员人，营业收入为万元，资产总额为万元，属于</w:t>
      </w:r>
      <w:r>
        <w:rPr>
          <w:rFonts w:hint="eastAsia" w:ascii="宋体" w:hAnsi="宋体" w:eastAsia="宋体" w:cs="宋体"/>
          <w:i/>
          <w:color w:val="auto"/>
          <w:spacing w:val="6"/>
          <w:kern w:val="0"/>
          <w:highlight w:val="none"/>
          <w:u w:val="single"/>
        </w:rPr>
        <w:t>（中型企业、小型企业、微型企业）</w:t>
      </w:r>
      <w:r>
        <w:rPr>
          <w:rFonts w:hint="eastAsia" w:ascii="宋体" w:hAnsi="宋体" w:eastAsia="宋体" w:cs="宋体"/>
          <w:color w:val="auto"/>
          <w:spacing w:val="6"/>
          <w:kern w:val="0"/>
          <w:highlight w:val="none"/>
        </w:rPr>
        <w:t>；</w:t>
      </w:r>
    </w:p>
    <w:p w14:paraId="411459C3">
      <w:pPr>
        <w:spacing w:line="360" w:lineRule="auto"/>
        <w:ind w:firstLine="444" w:firstLineChars="200"/>
        <w:rPr>
          <w:rFonts w:ascii="宋体" w:hAnsi="宋体" w:cs="宋体"/>
          <w:color w:val="auto"/>
          <w:spacing w:val="6"/>
          <w:highlight w:val="none"/>
        </w:rPr>
      </w:pPr>
      <w:r>
        <w:rPr>
          <w:rFonts w:hint="eastAsia" w:ascii="宋体" w:hAnsi="宋体" w:cs="宋体"/>
          <w:color w:val="auto"/>
          <w:spacing w:val="6"/>
          <w:highlight w:val="none"/>
        </w:rPr>
        <w:t>……</w:t>
      </w:r>
    </w:p>
    <w:p w14:paraId="6DB0E962">
      <w:pPr>
        <w:keepNext w:val="0"/>
        <w:keepLines w:val="0"/>
        <w:pageBreakBefore w:val="0"/>
        <w:widowControl w:val="0"/>
        <w:numPr>
          <w:ilvl w:val="0"/>
          <w:numId w:val="9"/>
        </w:numPr>
        <w:kinsoku/>
        <w:wordWrap/>
        <w:overflowPunct/>
        <w:topLinePunct w:val="0"/>
        <w:autoSpaceDE/>
        <w:autoSpaceDN/>
        <w:bidi w:val="0"/>
        <w:adjustRightInd w:val="0"/>
        <w:snapToGrid/>
        <w:spacing w:line="360" w:lineRule="auto"/>
        <w:ind w:firstLine="444" w:firstLineChars="200"/>
        <w:jc w:val="left"/>
        <w:textAlignment w:val="baseline"/>
        <w:rPr>
          <w:rFonts w:hint="eastAsia" w:ascii="宋体" w:hAnsi="宋体" w:eastAsia="宋体" w:cs="宋体"/>
          <w:color w:val="auto"/>
          <w:spacing w:val="6"/>
          <w:kern w:val="0"/>
          <w:highlight w:val="none"/>
          <w:u w:val="single"/>
        </w:rPr>
      </w:pPr>
      <w:r>
        <w:rPr>
          <w:rFonts w:hint="eastAsia" w:ascii="宋体" w:hAnsi="宋体" w:eastAsia="宋体" w:cs="宋体"/>
          <w:color w:val="auto"/>
          <w:spacing w:val="6"/>
          <w:kern w:val="0"/>
          <w:highlight w:val="none"/>
        </w:rPr>
        <w:t>，属于</w:t>
      </w:r>
      <w:r>
        <w:rPr>
          <w:rFonts w:hint="eastAsia" w:ascii="宋体" w:hAnsi="宋体" w:eastAsia="宋体" w:cs="宋体"/>
          <w:b/>
          <w:bCs/>
          <w:color w:val="auto"/>
          <w:spacing w:val="6"/>
          <w:kern w:val="0"/>
          <w:highlight w:val="none"/>
          <w:u w:val="single"/>
        </w:rPr>
        <w:t>工业行业</w:t>
      </w:r>
      <w:r>
        <w:rPr>
          <w:rFonts w:hint="eastAsia" w:ascii="宋体" w:hAnsi="宋体" w:eastAsia="宋体" w:cs="宋体"/>
          <w:color w:val="auto"/>
          <w:spacing w:val="6"/>
          <w:kern w:val="0"/>
          <w:highlight w:val="none"/>
        </w:rPr>
        <w:t>；制造商企业为</w:t>
      </w:r>
      <w:r>
        <w:rPr>
          <w:rFonts w:hint="eastAsia" w:ascii="宋体" w:hAnsi="宋体" w:eastAsia="宋体" w:cs="宋体"/>
          <w:i/>
          <w:color w:val="auto"/>
          <w:spacing w:val="6"/>
          <w:kern w:val="0"/>
          <w:highlight w:val="none"/>
          <w:u w:val="single"/>
        </w:rPr>
        <w:t>（企业名称）</w:t>
      </w:r>
      <w:r>
        <w:rPr>
          <w:rFonts w:hint="eastAsia" w:ascii="宋体" w:hAnsi="宋体" w:eastAsia="宋体" w:cs="宋体"/>
          <w:color w:val="auto"/>
          <w:spacing w:val="6"/>
          <w:kern w:val="0"/>
          <w:highlight w:val="none"/>
        </w:rPr>
        <w:t>，从业人员人，营业收入为万元，资产总额为万元，属于</w:t>
      </w:r>
      <w:r>
        <w:rPr>
          <w:rFonts w:hint="eastAsia" w:ascii="宋体" w:hAnsi="宋体" w:eastAsia="宋体" w:cs="宋体"/>
          <w:i/>
          <w:color w:val="auto"/>
          <w:spacing w:val="6"/>
          <w:kern w:val="0"/>
          <w:highlight w:val="none"/>
          <w:u w:val="single"/>
        </w:rPr>
        <w:t>（中型企业、小型企业、微型企业）</w:t>
      </w:r>
      <w:r>
        <w:rPr>
          <w:rFonts w:hint="eastAsia" w:ascii="宋体" w:hAnsi="宋体" w:eastAsia="宋体" w:cs="宋体"/>
          <w:color w:val="auto"/>
          <w:spacing w:val="6"/>
          <w:kern w:val="0"/>
          <w:highlight w:val="none"/>
        </w:rPr>
        <w:t>；</w:t>
      </w:r>
    </w:p>
    <w:p w14:paraId="12A850BE">
      <w:pPr>
        <w:spacing w:line="360" w:lineRule="auto"/>
        <w:ind w:firstLine="444" w:firstLineChars="200"/>
        <w:rPr>
          <w:rFonts w:ascii="宋体" w:hAnsi="宋体" w:cs="宋体"/>
          <w:color w:val="auto"/>
          <w:spacing w:val="6"/>
          <w:highlight w:val="none"/>
        </w:rPr>
      </w:pPr>
      <w:r>
        <w:rPr>
          <w:rFonts w:hint="eastAsia" w:ascii="宋体" w:hAnsi="宋体" w:cs="宋体"/>
          <w:color w:val="auto"/>
          <w:spacing w:val="6"/>
          <w:highlight w:val="none"/>
        </w:rPr>
        <w:t>……</w:t>
      </w:r>
    </w:p>
    <w:p w14:paraId="78CB5CEC">
      <w:pPr>
        <w:spacing w:line="360" w:lineRule="auto"/>
        <w:ind w:firstLine="444" w:firstLineChars="200"/>
        <w:rPr>
          <w:rFonts w:asciiTheme="minorEastAsia" w:hAnsiTheme="minorEastAsia" w:eastAsiaTheme="minorEastAsia"/>
          <w:color w:val="auto"/>
          <w:spacing w:val="6"/>
          <w:highlight w:val="none"/>
        </w:rPr>
      </w:pPr>
      <w:r>
        <w:rPr>
          <w:rFonts w:hint="eastAsia" w:asciiTheme="minorEastAsia" w:hAnsiTheme="minorEastAsia" w:eastAsiaTheme="minorEastAsia"/>
          <w:color w:val="auto"/>
          <w:spacing w:val="6"/>
          <w:highlight w:val="none"/>
        </w:rPr>
        <w:t>以上企业，不属于大企业的分支机构，不存在控股股东为大企业的情形，也不存在与大企业的负责人为同一人的情形。</w:t>
      </w:r>
    </w:p>
    <w:p w14:paraId="338C8FC1">
      <w:pPr>
        <w:spacing w:line="360" w:lineRule="auto"/>
        <w:ind w:firstLine="444" w:firstLineChars="200"/>
        <w:rPr>
          <w:rFonts w:asciiTheme="minorEastAsia" w:hAnsiTheme="minorEastAsia" w:eastAsiaTheme="minorEastAsia"/>
          <w:color w:val="auto"/>
          <w:spacing w:val="6"/>
          <w:highlight w:val="none"/>
        </w:rPr>
      </w:pPr>
      <w:r>
        <w:rPr>
          <w:rFonts w:hint="eastAsia" w:asciiTheme="minorEastAsia" w:hAnsiTheme="minorEastAsia" w:eastAsiaTheme="minorEastAsia"/>
          <w:color w:val="auto"/>
          <w:spacing w:val="6"/>
          <w:highlight w:val="none"/>
        </w:rPr>
        <w:t>本企业对上述声明内容的真实性负责。如有虚假，将依法承担相应责任。</w:t>
      </w:r>
    </w:p>
    <w:p w14:paraId="7B3B039D">
      <w:pPr>
        <w:tabs>
          <w:tab w:val="left" w:pos="4860"/>
        </w:tabs>
        <w:spacing w:line="360" w:lineRule="auto"/>
        <w:ind w:right="-58" w:firstLine="999" w:firstLineChars="450"/>
        <w:rPr>
          <w:rFonts w:asciiTheme="minorEastAsia" w:hAnsiTheme="minorEastAsia" w:eastAsiaTheme="minorEastAsia"/>
          <w:color w:val="auto"/>
          <w:spacing w:val="6"/>
          <w:highlight w:val="none"/>
        </w:rPr>
      </w:pPr>
    </w:p>
    <w:p w14:paraId="13477354">
      <w:pPr>
        <w:tabs>
          <w:tab w:val="left" w:pos="4860"/>
        </w:tabs>
        <w:spacing w:line="360" w:lineRule="auto"/>
        <w:ind w:right="-58" w:firstLine="4773" w:firstLineChars="2150"/>
        <w:rPr>
          <w:rFonts w:asciiTheme="minorEastAsia" w:hAnsiTheme="minorEastAsia" w:eastAsiaTheme="minorEastAsia"/>
          <w:color w:val="auto"/>
          <w:spacing w:val="6"/>
          <w:highlight w:val="none"/>
        </w:rPr>
      </w:pPr>
      <w:r>
        <w:rPr>
          <w:rFonts w:hint="eastAsia" w:asciiTheme="minorEastAsia" w:hAnsiTheme="minorEastAsia" w:eastAsiaTheme="minorEastAsia"/>
          <w:color w:val="auto"/>
          <w:spacing w:val="6"/>
          <w:highlight w:val="none"/>
        </w:rPr>
        <w:t>企业名称（公章）：</w:t>
      </w:r>
    </w:p>
    <w:p w14:paraId="2E023675">
      <w:pPr>
        <w:tabs>
          <w:tab w:val="left" w:pos="4860"/>
        </w:tabs>
        <w:spacing w:line="360" w:lineRule="auto"/>
        <w:ind w:right="-58" w:firstLine="4773" w:firstLineChars="2150"/>
        <w:rPr>
          <w:rFonts w:asciiTheme="minorEastAsia" w:hAnsiTheme="minorEastAsia" w:eastAsiaTheme="minorEastAsia"/>
          <w:color w:val="auto"/>
          <w:spacing w:val="6"/>
          <w:highlight w:val="none"/>
        </w:rPr>
      </w:pPr>
      <w:r>
        <w:rPr>
          <w:rFonts w:hint="eastAsia" w:asciiTheme="minorEastAsia" w:hAnsiTheme="minorEastAsia" w:eastAsiaTheme="minorEastAsia"/>
          <w:color w:val="auto"/>
          <w:spacing w:val="6"/>
          <w:highlight w:val="none"/>
        </w:rPr>
        <w:t>日期：</w:t>
      </w:r>
    </w:p>
    <w:p w14:paraId="4E450C4F">
      <w:pPr>
        <w:spacing w:line="360" w:lineRule="auto"/>
        <w:ind w:right="420" w:firstLine="444" w:firstLineChars="200"/>
        <w:rPr>
          <w:rFonts w:asciiTheme="minorEastAsia" w:hAnsiTheme="minorEastAsia" w:eastAsiaTheme="minorEastAsia"/>
          <w:color w:val="auto"/>
          <w:spacing w:val="6"/>
          <w:highlight w:val="none"/>
        </w:rPr>
      </w:pPr>
      <w:r>
        <w:rPr>
          <w:rFonts w:hint="eastAsia" w:asciiTheme="minorEastAsia" w:hAnsiTheme="minorEastAsia" w:eastAsiaTheme="minorEastAsia"/>
          <w:color w:val="auto"/>
          <w:spacing w:val="6"/>
          <w:highlight w:val="none"/>
        </w:rPr>
        <w:t>注：1、填写要求：①“标的名称”、“招标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确定；</w:t>
      </w:r>
      <w:r>
        <w:rPr>
          <w:rFonts w:hint="eastAsia" w:asciiTheme="minorEastAsia" w:hAnsiTheme="minorEastAsia" w:eastAsiaTheme="minorEastAsia"/>
          <w:b/>
          <w:bCs/>
          <w:color w:val="auto"/>
          <w:spacing w:val="6"/>
          <w:highlight w:val="none"/>
          <w:u w:val="double"/>
        </w:rPr>
        <w:t>④投标人提供的《中小企业声明函》与实际情况不符的或者未按以上要求填写的，《中小企业声明函》无效，不享受中小企业扶持政策。声明内容不实的，属于提供虚假材料谋取中标、成交的，依法承担法律责任。</w:t>
      </w:r>
    </w:p>
    <w:p w14:paraId="5F1D0470">
      <w:pPr>
        <w:spacing w:line="360" w:lineRule="auto"/>
        <w:ind w:right="420" w:firstLine="444" w:firstLineChars="200"/>
        <w:rPr>
          <w:rFonts w:cs="仿宋_GB2312" w:asciiTheme="minorEastAsia" w:hAnsiTheme="minorEastAsia" w:eastAsiaTheme="minorEastAsia"/>
          <w:color w:val="auto"/>
          <w:highlight w:val="none"/>
        </w:rPr>
        <w:sectPr>
          <w:headerReference r:id="rId12" w:type="default"/>
          <w:pgSz w:w="11907" w:h="16840"/>
          <w:pgMar w:top="1304" w:right="1588" w:bottom="1304" w:left="1588" w:header="720" w:footer="720" w:gutter="0"/>
          <w:pgBorders>
            <w:top w:val="none" w:sz="0" w:space="0"/>
            <w:left w:val="none" w:sz="0" w:space="0"/>
            <w:bottom w:val="none" w:sz="0" w:space="0"/>
            <w:right w:val="none" w:sz="0" w:space="0"/>
          </w:pgBorders>
          <w:pgNumType w:fmt="decimal"/>
          <w:cols w:space="720" w:num="1"/>
          <w:docGrid w:linePitch="285" w:charSpace="0"/>
        </w:sectPr>
      </w:pPr>
      <w:r>
        <w:rPr>
          <w:rFonts w:hint="eastAsia" w:asciiTheme="minorEastAsia" w:hAnsiTheme="minorEastAsia" w:eastAsiaTheme="minorEastAsia"/>
          <w:color w:val="auto"/>
          <w:spacing w:val="6"/>
          <w:highlight w:val="none"/>
        </w:rPr>
        <w:t>2、符合《关于促进残疾人就业政府采购政策的通知》（财库〔2017〕141号）规定的条件并提供《残疾人福利性单位声明函》（附件2）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r>
        <w:rPr>
          <w:rFonts w:cs="仿宋_GB2312" w:asciiTheme="minorEastAsia" w:hAnsiTheme="minorEastAsia" w:eastAsiaTheme="minorEastAsia"/>
          <w:color w:val="auto"/>
          <w:highlight w:val="none"/>
        </w:rPr>
        <w:t>。</w:t>
      </w:r>
    </w:p>
    <w:p w14:paraId="7FC402B5">
      <w:pPr>
        <w:jc w:val="center"/>
        <w:rPr>
          <w:rStyle w:val="140"/>
          <w:rFonts w:asciiTheme="minorEastAsia" w:hAnsiTheme="minorEastAsia" w:eastAsiaTheme="minorEastAsia"/>
          <w:color w:val="auto"/>
          <w:sz w:val="28"/>
          <w:szCs w:val="28"/>
          <w:highlight w:val="none"/>
        </w:rPr>
      </w:pPr>
      <w:r>
        <w:rPr>
          <w:rFonts w:hint="eastAsia" w:cs="宋体" w:asciiTheme="minorEastAsia" w:hAnsiTheme="minorEastAsia" w:eastAsiaTheme="minorEastAsia"/>
          <w:b/>
          <w:color w:val="auto"/>
          <w:kern w:val="0"/>
          <w:sz w:val="28"/>
          <w:szCs w:val="28"/>
          <w:highlight w:val="none"/>
        </w:rPr>
        <w:t>中小微行业划型标准规定</w:t>
      </w:r>
      <w:r>
        <w:rPr>
          <w:rStyle w:val="140"/>
          <w:rFonts w:asciiTheme="minorEastAsia" w:hAnsiTheme="minorEastAsia" w:eastAsiaTheme="minorEastAsia"/>
          <w:color w:val="auto"/>
          <w:sz w:val="28"/>
          <w:szCs w:val="28"/>
          <w:highlight w:val="none"/>
        </w:rPr>
        <w:t>（根据工信部联企业〔2011〕300号制定）</w:t>
      </w:r>
    </w:p>
    <w:tbl>
      <w:tblPr>
        <w:tblStyle w:val="38"/>
        <w:tblW w:w="15008" w:type="dxa"/>
        <w:tblInd w:w="0" w:type="dxa"/>
        <w:tblLayout w:type="fixed"/>
        <w:tblCellMar>
          <w:top w:w="15" w:type="dxa"/>
          <w:left w:w="15" w:type="dxa"/>
          <w:bottom w:w="15" w:type="dxa"/>
          <w:right w:w="15" w:type="dxa"/>
        </w:tblCellMar>
      </w:tblPr>
      <w:tblGrid>
        <w:gridCol w:w="2153"/>
        <w:gridCol w:w="1320"/>
        <w:gridCol w:w="1560"/>
        <w:gridCol w:w="1500"/>
        <w:gridCol w:w="1320"/>
        <w:gridCol w:w="1500"/>
        <w:gridCol w:w="1406"/>
        <w:gridCol w:w="1264"/>
        <w:gridCol w:w="1470"/>
        <w:gridCol w:w="1515"/>
      </w:tblGrid>
      <w:tr w14:paraId="63ECD8A3">
        <w:tblPrEx>
          <w:tblCellMar>
            <w:top w:w="15" w:type="dxa"/>
            <w:left w:w="15" w:type="dxa"/>
            <w:bottom w:w="15" w:type="dxa"/>
            <w:right w:w="15" w:type="dxa"/>
          </w:tblCellMar>
        </w:tblPrEx>
        <w:trPr>
          <w:trHeight w:val="90" w:hRule="atLeast"/>
        </w:trPr>
        <w:tc>
          <w:tcPr>
            <w:tcW w:w="2153" w:type="dxa"/>
            <w:vMerge w:val="restart"/>
            <w:tcBorders>
              <w:top w:val="single" w:color="000000" w:sz="12" w:space="0"/>
              <w:left w:val="single" w:color="000000" w:sz="12" w:space="0"/>
              <w:bottom w:val="single" w:color="000000" w:sz="4" w:space="0"/>
              <w:right w:val="single" w:color="000000" w:sz="12" w:space="0"/>
            </w:tcBorders>
            <w:vAlign w:val="center"/>
          </w:tcPr>
          <w:p w14:paraId="7A82C86B">
            <w:pPr>
              <w:widowControl/>
              <w:jc w:val="center"/>
              <w:textAlignment w:val="center"/>
              <w:rPr>
                <w:rFonts w:cs="宋体" w:asciiTheme="minorEastAsia" w:hAnsiTheme="minorEastAsia" w:eastAsiaTheme="minorEastAsia"/>
                <w:b/>
                <w:color w:val="auto"/>
                <w:sz w:val="18"/>
                <w:szCs w:val="18"/>
                <w:highlight w:val="none"/>
              </w:rPr>
            </w:pPr>
            <w:r>
              <w:rPr>
                <w:rFonts w:hint="eastAsia" w:cs="宋体" w:asciiTheme="minorEastAsia" w:hAnsiTheme="minorEastAsia" w:eastAsiaTheme="minorEastAsia"/>
                <w:b/>
                <w:color w:val="auto"/>
                <w:kern w:val="0"/>
                <w:sz w:val="18"/>
                <w:szCs w:val="18"/>
                <w:highlight w:val="none"/>
              </w:rPr>
              <w:t>行业</w:t>
            </w:r>
          </w:p>
        </w:tc>
        <w:tc>
          <w:tcPr>
            <w:tcW w:w="4380" w:type="dxa"/>
            <w:gridSpan w:val="3"/>
            <w:tcBorders>
              <w:top w:val="single" w:color="000000" w:sz="12" w:space="0"/>
              <w:left w:val="single" w:color="000000" w:sz="12" w:space="0"/>
              <w:bottom w:val="single" w:color="000000" w:sz="4" w:space="0"/>
              <w:right w:val="single" w:color="000000" w:sz="12" w:space="0"/>
            </w:tcBorders>
            <w:vAlign w:val="bottom"/>
          </w:tcPr>
          <w:p w14:paraId="30A02119">
            <w:pPr>
              <w:widowControl/>
              <w:jc w:val="center"/>
              <w:textAlignment w:val="bottom"/>
              <w:rPr>
                <w:rFonts w:cs="宋体" w:asciiTheme="minorEastAsia" w:hAnsiTheme="minorEastAsia" w:eastAsiaTheme="minorEastAsia"/>
                <w:b/>
                <w:color w:val="auto"/>
                <w:sz w:val="18"/>
                <w:szCs w:val="18"/>
                <w:highlight w:val="none"/>
              </w:rPr>
            </w:pPr>
            <w:r>
              <w:rPr>
                <w:rFonts w:hint="eastAsia" w:cs="宋体" w:asciiTheme="minorEastAsia" w:hAnsiTheme="minorEastAsia" w:eastAsiaTheme="minorEastAsia"/>
                <w:b/>
                <w:color w:val="auto"/>
                <w:kern w:val="0"/>
                <w:sz w:val="18"/>
                <w:szCs w:val="18"/>
                <w:highlight w:val="none"/>
              </w:rPr>
              <w:t>中型企业</w:t>
            </w:r>
          </w:p>
        </w:tc>
        <w:tc>
          <w:tcPr>
            <w:tcW w:w="4226" w:type="dxa"/>
            <w:gridSpan w:val="3"/>
            <w:tcBorders>
              <w:top w:val="single" w:color="000000" w:sz="12" w:space="0"/>
              <w:left w:val="single" w:color="000000" w:sz="12" w:space="0"/>
              <w:bottom w:val="single" w:color="000000" w:sz="4" w:space="0"/>
              <w:right w:val="single" w:color="000000" w:sz="12" w:space="0"/>
            </w:tcBorders>
            <w:vAlign w:val="bottom"/>
          </w:tcPr>
          <w:p w14:paraId="6BB064EA">
            <w:pPr>
              <w:widowControl/>
              <w:jc w:val="center"/>
              <w:textAlignment w:val="bottom"/>
              <w:rPr>
                <w:rFonts w:cs="宋体" w:asciiTheme="minorEastAsia" w:hAnsiTheme="minorEastAsia" w:eastAsiaTheme="minorEastAsia"/>
                <w:b/>
                <w:color w:val="auto"/>
                <w:sz w:val="18"/>
                <w:szCs w:val="18"/>
                <w:highlight w:val="none"/>
              </w:rPr>
            </w:pPr>
            <w:r>
              <w:rPr>
                <w:rFonts w:hint="eastAsia" w:cs="宋体" w:asciiTheme="minorEastAsia" w:hAnsiTheme="minorEastAsia" w:eastAsiaTheme="minorEastAsia"/>
                <w:b/>
                <w:color w:val="auto"/>
                <w:kern w:val="0"/>
                <w:sz w:val="18"/>
                <w:szCs w:val="18"/>
                <w:highlight w:val="none"/>
              </w:rPr>
              <w:t>小型企业</w:t>
            </w:r>
          </w:p>
        </w:tc>
        <w:tc>
          <w:tcPr>
            <w:tcW w:w="4249" w:type="dxa"/>
            <w:gridSpan w:val="3"/>
            <w:tcBorders>
              <w:top w:val="single" w:color="000000" w:sz="12" w:space="0"/>
              <w:left w:val="single" w:color="000000" w:sz="12" w:space="0"/>
              <w:bottom w:val="single" w:color="000000" w:sz="4" w:space="0"/>
              <w:right w:val="single" w:color="000000" w:sz="12" w:space="0"/>
            </w:tcBorders>
            <w:vAlign w:val="bottom"/>
          </w:tcPr>
          <w:p w14:paraId="2014B097">
            <w:pPr>
              <w:widowControl/>
              <w:jc w:val="center"/>
              <w:textAlignment w:val="bottom"/>
              <w:rPr>
                <w:rFonts w:cs="宋体" w:asciiTheme="minorEastAsia" w:hAnsiTheme="minorEastAsia" w:eastAsiaTheme="minorEastAsia"/>
                <w:b/>
                <w:color w:val="auto"/>
                <w:sz w:val="18"/>
                <w:szCs w:val="18"/>
                <w:highlight w:val="none"/>
              </w:rPr>
            </w:pPr>
            <w:r>
              <w:rPr>
                <w:rFonts w:hint="eastAsia" w:cs="宋体" w:asciiTheme="minorEastAsia" w:hAnsiTheme="minorEastAsia" w:eastAsiaTheme="minorEastAsia"/>
                <w:b/>
                <w:color w:val="auto"/>
                <w:kern w:val="0"/>
                <w:sz w:val="18"/>
                <w:szCs w:val="18"/>
                <w:highlight w:val="none"/>
              </w:rPr>
              <w:t>微型企业</w:t>
            </w:r>
          </w:p>
        </w:tc>
      </w:tr>
      <w:tr w14:paraId="7880B32C">
        <w:tblPrEx>
          <w:tblCellMar>
            <w:top w:w="15" w:type="dxa"/>
            <w:left w:w="15" w:type="dxa"/>
            <w:bottom w:w="15" w:type="dxa"/>
            <w:right w:w="15" w:type="dxa"/>
          </w:tblCellMar>
        </w:tblPrEx>
        <w:trPr>
          <w:trHeight w:val="374" w:hRule="atLeast"/>
        </w:trPr>
        <w:tc>
          <w:tcPr>
            <w:tcW w:w="2153" w:type="dxa"/>
            <w:vMerge w:val="continue"/>
            <w:tcBorders>
              <w:top w:val="single" w:color="000000" w:sz="12" w:space="0"/>
              <w:left w:val="single" w:color="000000" w:sz="12" w:space="0"/>
              <w:bottom w:val="single" w:color="000000" w:sz="4" w:space="0"/>
              <w:right w:val="single" w:color="000000" w:sz="12" w:space="0"/>
            </w:tcBorders>
            <w:vAlign w:val="center"/>
          </w:tcPr>
          <w:p w14:paraId="47E0A480">
            <w:pPr>
              <w:jc w:val="center"/>
              <w:rPr>
                <w:rFonts w:cs="宋体" w:asciiTheme="minorEastAsia" w:hAnsiTheme="minorEastAsia" w:eastAsiaTheme="minorEastAsia"/>
                <w:b/>
                <w:color w:val="auto"/>
                <w:sz w:val="18"/>
                <w:szCs w:val="18"/>
                <w:highlight w:val="none"/>
              </w:rPr>
            </w:pPr>
          </w:p>
        </w:tc>
        <w:tc>
          <w:tcPr>
            <w:tcW w:w="1320" w:type="dxa"/>
            <w:tcBorders>
              <w:top w:val="single" w:color="000000" w:sz="4" w:space="0"/>
              <w:left w:val="single" w:color="000000" w:sz="12" w:space="0"/>
              <w:bottom w:val="single" w:color="000000" w:sz="4" w:space="0"/>
              <w:right w:val="single" w:color="000000" w:sz="4" w:space="0"/>
            </w:tcBorders>
            <w:vAlign w:val="bottom"/>
          </w:tcPr>
          <w:p w14:paraId="10B986D7">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从业人员X（人）</w:t>
            </w:r>
          </w:p>
        </w:tc>
        <w:tc>
          <w:tcPr>
            <w:tcW w:w="1560" w:type="dxa"/>
            <w:tcBorders>
              <w:top w:val="single" w:color="000000" w:sz="4" w:space="0"/>
              <w:left w:val="single" w:color="000000" w:sz="4" w:space="0"/>
              <w:bottom w:val="single" w:color="000000" w:sz="4" w:space="0"/>
              <w:right w:val="single" w:color="000000" w:sz="4" w:space="0"/>
            </w:tcBorders>
            <w:vAlign w:val="bottom"/>
          </w:tcPr>
          <w:p w14:paraId="608AEEB0">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营业收入Y（万元）</w:t>
            </w:r>
          </w:p>
        </w:tc>
        <w:tc>
          <w:tcPr>
            <w:tcW w:w="1500" w:type="dxa"/>
            <w:tcBorders>
              <w:top w:val="single" w:color="000000" w:sz="4" w:space="0"/>
              <w:left w:val="single" w:color="000000" w:sz="4" w:space="0"/>
              <w:bottom w:val="single" w:color="000000" w:sz="4" w:space="0"/>
              <w:right w:val="single" w:color="000000" w:sz="12" w:space="0"/>
            </w:tcBorders>
            <w:vAlign w:val="bottom"/>
          </w:tcPr>
          <w:p w14:paraId="4F2AA831">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资产总额Z（万元）</w:t>
            </w:r>
          </w:p>
        </w:tc>
        <w:tc>
          <w:tcPr>
            <w:tcW w:w="1320" w:type="dxa"/>
            <w:tcBorders>
              <w:top w:val="single" w:color="000000" w:sz="4" w:space="0"/>
              <w:left w:val="single" w:color="000000" w:sz="12" w:space="0"/>
              <w:bottom w:val="single" w:color="000000" w:sz="4" w:space="0"/>
              <w:right w:val="single" w:color="000000" w:sz="4" w:space="0"/>
            </w:tcBorders>
            <w:vAlign w:val="bottom"/>
          </w:tcPr>
          <w:p w14:paraId="1AAD4B97">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从业人员X（人）</w:t>
            </w:r>
          </w:p>
        </w:tc>
        <w:tc>
          <w:tcPr>
            <w:tcW w:w="1500" w:type="dxa"/>
            <w:tcBorders>
              <w:top w:val="single" w:color="000000" w:sz="4" w:space="0"/>
              <w:left w:val="single" w:color="000000" w:sz="4" w:space="0"/>
              <w:bottom w:val="single" w:color="000000" w:sz="4" w:space="0"/>
              <w:right w:val="single" w:color="000000" w:sz="4" w:space="0"/>
            </w:tcBorders>
            <w:vAlign w:val="bottom"/>
          </w:tcPr>
          <w:p w14:paraId="5498D27B">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营业收入Y（万元）</w:t>
            </w:r>
          </w:p>
        </w:tc>
        <w:tc>
          <w:tcPr>
            <w:tcW w:w="1406" w:type="dxa"/>
            <w:tcBorders>
              <w:top w:val="single" w:color="000000" w:sz="4" w:space="0"/>
              <w:left w:val="single" w:color="000000" w:sz="4" w:space="0"/>
              <w:bottom w:val="single" w:color="000000" w:sz="4" w:space="0"/>
              <w:right w:val="single" w:color="000000" w:sz="12" w:space="0"/>
            </w:tcBorders>
            <w:vAlign w:val="bottom"/>
          </w:tcPr>
          <w:p w14:paraId="77515729">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资产总额Z（万元）</w:t>
            </w:r>
          </w:p>
        </w:tc>
        <w:tc>
          <w:tcPr>
            <w:tcW w:w="1264" w:type="dxa"/>
            <w:tcBorders>
              <w:top w:val="single" w:color="000000" w:sz="4" w:space="0"/>
              <w:left w:val="single" w:color="000000" w:sz="12" w:space="0"/>
              <w:bottom w:val="single" w:color="000000" w:sz="4" w:space="0"/>
              <w:right w:val="single" w:color="000000" w:sz="4" w:space="0"/>
            </w:tcBorders>
            <w:vAlign w:val="bottom"/>
          </w:tcPr>
          <w:p w14:paraId="57BDF133">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从业人员X（人）</w:t>
            </w:r>
          </w:p>
        </w:tc>
        <w:tc>
          <w:tcPr>
            <w:tcW w:w="1470" w:type="dxa"/>
            <w:tcBorders>
              <w:top w:val="single" w:color="000000" w:sz="4" w:space="0"/>
              <w:left w:val="single" w:color="000000" w:sz="4" w:space="0"/>
              <w:bottom w:val="single" w:color="000000" w:sz="4" w:space="0"/>
              <w:right w:val="single" w:color="000000" w:sz="4" w:space="0"/>
            </w:tcBorders>
            <w:vAlign w:val="bottom"/>
          </w:tcPr>
          <w:p w14:paraId="3894DF89">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营业收入Y（万元）</w:t>
            </w:r>
          </w:p>
        </w:tc>
        <w:tc>
          <w:tcPr>
            <w:tcW w:w="1515" w:type="dxa"/>
            <w:tcBorders>
              <w:top w:val="single" w:color="000000" w:sz="4" w:space="0"/>
              <w:left w:val="single" w:color="000000" w:sz="4" w:space="0"/>
              <w:bottom w:val="single" w:color="000000" w:sz="4" w:space="0"/>
              <w:right w:val="single" w:color="000000" w:sz="12" w:space="0"/>
            </w:tcBorders>
            <w:vAlign w:val="bottom"/>
          </w:tcPr>
          <w:p w14:paraId="40241D9B">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资产总额Z（万元）</w:t>
            </w:r>
          </w:p>
        </w:tc>
      </w:tr>
      <w:tr w14:paraId="15448BAE">
        <w:tblPrEx>
          <w:tblCellMar>
            <w:top w:w="15" w:type="dxa"/>
            <w:left w:w="15" w:type="dxa"/>
            <w:bottom w:w="15" w:type="dxa"/>
            <w:right w:w="15" w:type="dxa"/>
          </w:tblCellMar>
        </w:tblPrEx>
        <w:trPr>
          <w:trHeight w:val="306" w:hRule="atLeast"/>
        </w:trPr>
        <w:tc>
          <w:tcPr>
            <w:tcW w:w="2153" w:type="dxa"/>
            <w:tcBorders>
              <w:top w:val="single" w:color="000000" w:sz="4" w:space="0"/>
              <w:left w:val="single" w:color="000000" w:sz="12" w:space="0"/>
              <w:bottom w:val="single" w:color="000000" w:sz="4" w:space="0"/>
              <w:right w:val="single" w:color="000000" w:sz="12" w:space="0"/>
            </w:tcBorders>
            <w:vAlign w:val="bottom"/>
          </w:tcPr>
          <w:p w14:paraId="03E283CC">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1、农林牧渔业</w:t>
            </w:r>
          </w:p>
        </w:tc>
        <w:tc>
          <w:tcPr>
            <w:tcW w:w="1320" w:type="dxa"/>
            <w:tcBorders>
              <w:top w:val="single" w:color="000000" w:sz="4" w:space="0"/>
              <w:left w:val="single" w:color="000000" w:sz="12" w:space="0"/>
              <w:bottom w:val="single" w:color="000000" w:sz="4" w:space="0"/>
              <w:right w:val="single" w:color="000000" w:sz="4" w:space="0"/>
            </w:tcBorders>
            <w:vAlign w:val="bottom"/>
          </w:tcPr>
          <w:p w14:paraId="72EDDED9">
            <w:pPr>
              <w:rPr>
                <w:rFonts w:cs="宋体" w:asciiTheme="minorEastAsia" w:hAnsiTheme="minorEastAsia" w:eastAsiaTheme="minorEastAsia"/>
                <w:color w:val="auto"/>
                <w:sz w:val="18"/>
                <w:szCs w:val="18"/>
                <w:highlight w:val="none"/>
              </w:rPr>
            </w:pPr>
          </w:p>
        </w:tc>
        <w:tc>
          <w:tcPr>
            <w:tcW w:w="1560" w:type="dxa"/>
            <w:tcBorders>
              <w:top w:val="single" w:color="000000" w:sz="4" w:space="0"/>
              <w:left w:val="single" w:color="000000" w:sz="4" w:space="0"/>
              <w:bottom w:val="single" w:color="000000" w:sz="4" w:space="0"/>
              <w:right w:val="single" w:color="000000" w:sz="4" w:space="0"/>
            </w:tcBorders>
            <w:vAlign w:val="bottom"/>
          </w:tcPr>
          <w:p w14:paraId="6E3A170C">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500≤Y＜20000</w:t>
            </w:r>
          </w:p>
        </w:tc>
        <w:tc>
          <w:tcPr>
            <w:tcW w:w="1500" w:type="dxa"/>
            <w:tcBorders>
              <w:top w:val="single" w:color="000000" w:sz="4" w:space="0"/>
              <w:left w:val="single" w:color="000000" w:sz="4" w:space="0"/>
              <w:bottom w:val="single" w:color="000000" w:sz="4" w:space="0"/>
              <w:right w:val="single" w:color="000000" w:sz="12" w:space="0"/>
            </w:tcBorders>
            <w:vAlign w:val="bottom"/>
          </w:tcPr>
          <w:p w14:paraId="48F3F23B">
            <w:pPr>
              <w:rPr>
                <w:rFonts w:cs="宋体" w:asciiTheme="minorEastAsia" w:hAnsiTheme="minorEastAsia" w:eastAsiaTheme="minorEastAsia"/>
                <w:color w:val="auto"/>
                <w:sz w:val="18"/>
                <w:szCs w:val="18"/>
                <w:highlight w:val="none"/>
              </w:rPr>
            </w:pPr>
          </w:p>
        </w:tc>
        <w:tc>
          <w:tcPr>
            <w:tcW w:w="1320" w:type="dxa"/>
            <w:tcBorders>
              <w:top w:val="single" w:color="000000" w:sz="4" w:space="0"/>
              <w:left w:val="single" w:color="000000" w:sz="12" w:space="0"/>
              <w:bottom w:val="single" w:color="000000" w:sz="4" w:space="0"/>
              <w:right w:val="single" w:color="000000" w:sz="4" w:space="0"/>
            </w:tcBorders>
            <w:vAlign w:val="bottom"/>
          </w:tcPr>
          <w:p w14:paraId="14F38C0B">
            <w:pPr>
              <w:rPr>
                <w:rFonts w:cs="宋体" w:asciiTheme="minorEastAsia" w:hAnsiTheme="minorEastAsia" w:eastAsiaTheme="minorEastAsia"/>
                <w:color w:val="auto"/>
                <w:sz w:val="18"/>
                <w:szCs w:val="18"/>
                <w:highlight w:val="none"/>
              </w:rPr>
            </w:pPr>
          </w:p>
        </w:tc>
        <w:tc>
          <w:tcPr>
            <w:tcW w:w="1500" w:type="dxa"/>
            <w:tcBorders>
              <w:top w:val="single" w:color="000000" w:sz="4" w:space="0"/>
              <w:left w:val="single" w:color="000000" w:sz="4" w:space="0"/>
              <w:bottom w:val="single" w:color="000000" w:sz="4" w:space="0"/>
              <w:right w:val="single" w:color="000000" w:sz="4" w:space="0"/>
            </w:tcBorders>
            <w:vAlign w:val="bottom"/>
          </w:tcPr>
          <w:p w14:paraId="1AE7728C">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50≤Y＜500</w:t>
            </w:r>
          </w:p>
        </w:tc>
        <w:tc>
          <w:tcPr>
            <w:tcW w:w="1406" w:type="dxa"/>
            <w:tcBorders>
              <w:top w:val="single" w:color="000000" w:sz="4" w:space="0"/>
              <w:left w:val="single" w:color="000000" w:sz="4" w:space="0"/>
              <w:bottom w:val="single" w:color="000000" w:sz="4" w:space="0"/>
              <w:right w:val="single" w:color="000000" w:sz="12" w:space="0"/>
            </w:tcBorders>
            <w:vAlign w:val="bottom"/>
          </w:tcPr>
          <w:p w14:paraId="4E5B55B6">
            <w:pPr>
              <w:rPr>
                <w:rFonts w:cs="宋体" w:asciiTheme="minorEastAsia" w:hAnsiTheme="minorEastAsia" w:eastAsiaTheme="minorEastAsia"/>
                <w:color w:val="auto"/>
                <w:sz w:val="18"/>
                <w:szCs w:val="18"/>
                <w:highlight w:val="none"/>
              </w:rPr>
            </w:pPr>
          </w:p>
        </w:tc>
        <w:tc>
          <w:tcPr>
            <w:tcW w:w="1264" w:type="dxa"/>
            <w:tcBorders>
              <w:top w:val="single" w:color="000000" w:sz="4" w:space="0"/>
              <w:left w:val="single" w:color="000000" w:sz="12" w:space="0"/>
              <w:bottom w:val="single" w:color="000000" w:sz="4" w:space="0"/>
              <w:right w:val="single" w:color="000000" w:sz="4" w:space="0"/>
            </w:tcBorders>
            <w:vAlign w:val="bottom"/>
          </w:tcPr>
          <w:p w14:paraId="52065925">
            <w:pPr>
              <w:rPr>
                <w:rFonts w:cs="宋体" w:asciiTheme="minorEastAsia" w:hAnsiTheme="minorEastAsia" w:eastAsiaTheme="minorEastAsia"/>
                <w:color w:val="auto"/>
                <w:sz w:val="18"/>
                <w:szCs w:val="18"/>
                <w:highlight w:val="none"/>
              </w:rPr>
            </w:pPr>
          </w:p>
        </w:tc>
        <w:tc>
          <w:tcPr>
            <w:tcW w:w="1470" w:type="dxa"/>
            <w:tcBorders>
              <w:top w:val="single" w:color="000000" w:sz="4" w:space="0"/>
              <w:left w:val="single" w:color="000000" w:sz="4" w:space="0"/>
              <w:bottom w:val="single" w:color="000000" w:sz="4" w:space="0"/>
              <w:right w:val="single" w:color="000000" w:sz="4" w:space="0"/>
            </w:tcBorders>
            <w:vAlign w:val="bottom"/>
          </w:tcPr>
          <w:p w14:paraId="4BE01F08">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Y＜50</w:t>
            </w:r>
          </w:p>
        </w:tc>
        <w:tc>
          <w:tcPr>
            <w:tcW w:w="1515" w:type="dxa"/>
            <w:tcBorders>
              <w:top w:val="single" w:color="000000" w:sz="4" w:space="0"/>
              <w:left w:val="single" w:color="000000" w:sz="4" w:space="0"/>
              <w:bottom w:val="single" w:color="000000" w:sz="4" w:space="0"/>
              <w:right w:val="single" w:color="000000" w:sz="12" w:space="0"/>
            </w:tcBorders>
            <w:vAlign w:val="bottom"/>
          </w:tcPr>
          <w:p w14:paraId="4944482F">
            <w:pPr>
              <w:rPr>
                <w:rFonts w:cs="宋体" w:asciiTheme="minorEastAsia" w:hAnsiTheme="minorEastAsia" w:eastAsiaTheme="minorEastAsia"/>
                <w:color w:val="auto"/>
                <w:sz w:val="18"/>
                <w:szCs w:val="18"/>
                <w:highlight w:val="none"/>
              </w:rPr>
            </w:pPr>
          </w:p>
        </w:tc>
      </w:tr>
      <w:tr w14:paraId="549F6FD7">
        <w:tblPrEx>
          <w:tblCellMar>
            <w:top w:w="15" w:type="dxa"/>
            <w:left w:w="15" w:type="dxa"/>
            <w:bottom w:w="15" w:type="dxa"/>
            <w:right w:w="15" w:type="dxa"/>
          </w:tblCellMar>
        </w:tblPrEx>
        <w:trPr>
          <w:trHeight w:val="306" w:hRule="atLeast"/>
        </w:trPr>
        <w:tc>
          <w:tcPr>
            <w:tcW w:w="2153" w:type="dxa"/>
            <w:tcBorders>
              <w:top w:val="single" w:color="000000" w:sz="4" w:space="0"/>
              <w:left w:val="single" w:color="000000" w:sz="12" w:space="0"/>
              <w:bottom w:val="single" w:color="000000" w:sz="4" w:space="0"/>
              <w:right w:val="single" w:color="000000" w:sz="12" w:space="0"/>
            </w:tcBorders>
            <w:vAlign w:val="bottom"/>
          </w:tcPr>
          <w:p w14:paraId="1760AD0A">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2、工业</w:t>
            </w:r>
          </w:p>
        </w:tc>
        <w:tc>
          <w:tcPr>
            <w:tcW w:w="1320" w:type="dxa"/>
            <w:tcBorders>
              <w:top w:val="single" w:color="000000" w:sz="4" w:space="0"/>
              <w:left w:val="single" w:color="000000" w:sz="12" w:space="0"/>
              <w:bottom w:val="single" w:color="000000" w:sz="4" w:space="0"/>
              <w:right w:val="single" w:color="000000" w:sz="4" w:space="0"/>
            </w:tcBorders>
            <w:vAlign w:val="bottom"/>
          </w:tcPr>
          <w:p w14:paraId="46E16DB7">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300≤X＜1000</w:t>
            </w:r>
          </w:p>
        </w:tc>
        <w:tc>
          <w:tcPr>
            <w:tcW w:w="1560" w:type="dxa"/>
            <w:tcBorders>
              <w:top w:val="single" w:color="000000" w:sz="4" w:space="0"/>
              <w:left w:val="single" w:color="000000" w:sz="4" w:space="0"/>
              <w:bottom w:val="single" w:color="000000" w:sz="4" w:space="0"/>
              <w:right w:val="single" w:color="000000" w:sz="4" w:space="0"/>
            </w:tcBorders>
            <w:vAlign w:val="bottom"/>
          </w:tcPr>
          <w:p w14:paraId="7DF26E2C">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2000≤Y＜40000</w:t>
            </w:r>
          </w:p>
        </w:tc>
        <w:tc>
          <w:tcPr>
            <w:tcW w:w="1500" w:type="dxa"/>
            <w:tcBorders>
              <w:top w:val="single" w:color="000000" w:sz="4" w:space="0"/>
              <w:left w:val="single" w:color="000000" w:sz="4" w:space="0"/>
              <w:bottom w:val="single" w:color="000000" w:sz="4" w:space="0"/>
              <w:right w:val="single" w:color="000000" w:sz="12" w:space="0"/>
            </w:tcBorders>
            <w:vAlign w:val="bottom"/>
          </w:tcPr>
          <w:p w14:paraId="1D60A08C">
            <w:pPr>
              <w:rPr>
                <w:rFonts w:cs="宋体" w:asciiTheme="minorEastAsia" w:hAnsiTheme="minorEastAsia" w:eastAsiaTheme="minorEastAsia"/>
                <w:color w:val="auto"/>
                <w:sz w:val="18"/>
                <w:szCs w:val="18"/>
                <w:highlight w:val="none"/>
              </w:rPr>
            </w:pPr>
          </w:p>
        </w:tc>
        <w:tc>
          <w:tcPr>
            <w:tcW w:w="1320" w:type="dxa"/>
            <w:tcBorders>
              <w:top w:val="single" w:color="000000" w:sz="4" w:space="0"/>
              <w:left w:val="single" w:color="000000" w:sz="12" w:space="0"/>
              <w:bottom w:val="single" w:color="000000" w:sz="4" w:space="0"/>
              <w:right w:val="single" w:color="000000" w:sz="4" w:space="0"/>
            </w:tcBorders>
            <w:vAlign w:val="bottom"/>
          </w:tcPr>
          <w:p w14:paraId="56C54B84">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20≤X＜300</w:t>
            </w:r>
          </w:p>
        </w:tc>
        <w:tc>
          <w:tcPr>
            <w:tcW w:w="1500" w:type="dxa"/>
            <w:tcBorders>
              <w:top w:val="single" w:color="000000" w:sz="4" w:space="0"/>
              <w:left w:val="single" w:color="000000" w:sz="4" w:space="0"/>
              <w:bottom w:val="single" w:color="000000" w:sz="4" w:space="0"/>
              <w:right w:val="single" w:color="000000" w:sz="4" w:space="0"/>
            </w:tcBorders>
            <w:vAlign w:val="bottom"/>
          </w:tcPr>
          <w:p w14:paraId="188DD7DD">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300≤Y＜2000</w:t>
            </w:r>
          </w:p>
        </w:tc>
        <w:tc>
          <w:tcPr>
            <w:tcW w:w="1406" w:type="dxa"/>
            <w:tcBorders>
              <w:top w:val="single" w:color="000000" w:sz="4" w:space="0"/>
              <w:left w:val="single" w:color="000000" w:sz="4" w:space="0"/>
              <w:bottom w:val="single" w:color="000000" w:sz="4" w:space="0"/>
              <w:right w:val="single" w:color="000000" w:sz="12" w:space="0"/>
            </w:tcBorders>
            <w:vAlign w:val="bottom"/>
          </w:tcPr>
          <w:p w14:paraId="4662DE54">
            <w:pPr>
              <w:rPr>
                <w:rFonts w:cs="宋体" w:asciiTheme="minorEastAsia" w:hAnsiTheme="minorEastAsia" w:eastAsiaTheme="minorEastAsia"/>
                <w:color w:val="auto"/>
                <w:sz w:val="18"/>
                <w:szCs w:val="18"/>
                <w:highlight w:val="none"/>
              </w:rPr>
            </w:pPr>
          </w:p>
        </w:tc>
        <w:tc>
          <w:tcPr>
            <w:tcW w:w="1264" w:type="dxa"/>
            <w:tcBorders>
              <w:top w:val="single" w:color="000000" w:sz="4" w:space="0"/>
              <w:left w:val="single" w:color="000000" w:sz="12" w:space="0"/>
              <w:bottom w:val="single" w:color="000000" w:sz="4" w:space="0"/>
              <w:right w:val="single" w:color="000000" w:sz="4" w:space="0"/>
            </w:tcBorders>
            <w:vAlign w:val="bottom"/>
          </w:tcPr>
          <w:p w14:paraId="11E12F14">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X＜20</w:t>
            </w:r>
          </w:p>
        </w:tc>
        <w:tc>
          <w:tcPr>
            <w:tcW w:w="1470" w:type="dxa"/>
            <w:tcBorders>
              <w:top w:val="single" w:color="000000" w:sz="4" w:space="0"/>
              <w:left w:val="single" w:color="000000" w:sz="4" w:space="0"/>
              <w:bottom w:val="single" w:color="000000" w:sz="4" w:space="0"/>
              <w:right w:val="single" w:color="000000" w:sz="4" w:space="0"/>
            </w:tcBorders>
            <w:vAlign w:val="bottom"/>
          </w:tcPr>
          <w:p w14:paraId="3DC45425">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Y＜300</w:t>
            </w:r>
          </w:p>
        </w:tc>
        <w:tc>
          <w:tcPr>
            <w:tcW w:w="1515" w:type="dxa"/>
            <w:tcBorders>
              <w:top w:val="single" w:color="000000" w:sz="4" w:space="0"/>
              <w:left w:val="single" w:color="000000" w:sz="4" w:space="0"/>
              <w:bottom w:val="single" w:color="000000" w:sz="4" w:space="0"/>
              <w:right w:val="single" w:color="000000" w:sz="12" w:space="0"/>
            </w:tcBorders>
            <w:vAlign w:val="bottom"/>
          </w:tcPr>
          <w:p w14:paraId="5EE27943">
            <w:pPr>
              <w:rPr>
                <w:rFonts w:cs="宋体" w:asciiTheme="minorEastAsia" w:hAnsiTheme="minorEastAsia" w:eastAsiaTheme="minorEastAsia"/>
                <w:color w:val="auto"/>
                <w:sz w:val="18"/>
                <w:szCs w:val="18"/>
                <w:highlight w:val="none"/>
              </w:rPr>
            </w:pPr>
          </w:p>
        </w:tc>
      </w:tr>
      <w:tr w14:paraId="7D3573E4">
        <w:tblPrEx>
          <w:tblCellMar>
            <w:top w:w="15" w:type="dxa"/>
            <w:left w:w="15" w:type="dxa"/>
            <w:bottom w:w="15" w:type="dxa"/>
            <w:right w:w="15" w:type="dxa"/>
          </w:tblCellMar>
        </w:tblPrEx>
        <w:trPr>
          <w:trHeight w:val="306" w:hRule="atLeast"/>
        </w:trPr>
        <w:tc>
          <w:tcPr>
            <w:tcW w:w="2153" w:type="dxa"/>
            <w:tcBorders>
              <w:top w:val="single" w:color="000000" w:sz="4" w:space="0"/>
              <w:left w:val="single" w:color="000000" w:sz="12" w:space="0"/>
              <w:bottom w:val="single" w:color="000000" w:sz="4" w:space="0"/>
              <w:right w:val="single" w:color="000000" w:sz="12" w:space="0"/>
            </w:tcBorders>
            <w:vAlign w:val="bottom"/>
          </w:tcPr>
          <w:p w14:paraId="06EC6B48">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3、建筑业</w:t>
            </w:r>
          </w:p>
        </w:tc>
        <w:tc>
          <w:tcPr>
            <w:tcW w:w="1320" w:type="dxa"/>
            <w:tcBorders>
              <w:top w:val="single" w:color="000000" w:sz="4" w:space="0"/>
              <w:left w:val="single" w:color="000000" w:sz="12" w:space="0"/>
              <w:bottom w:val="single" w:color="000000" w:sz="4" w:space="0"/>
              <w:right w:val="single" w:color="000000" w:sz="4" w:space="0"/>
            </w:tcBorders>
            <w:vAlign w:val="bottom"/>
          </w:tcPr>
          <w:p w14:paraId="5036483A">
            <w:pPr>
              <w:rPr>
                <w:rFonts w:cs="宋体" w:asciiTheme="minorEastAsia" w:hAnsiTheme="minorEastAsia" w:eastAsiaTheme="minorEastAsia"/>
                <w:color w:val="auto"/>
                <w:sz w:val="18"/>
                <w:szCs w:val="18"/>
                <w:highlight w:val="none"/>
              </w:rPr>
            </w:pPr>
          </w:p>
        </w:tc>
        <w:tc>
          <w:tcPr>
            <w:tcW w:w="1560" w:type="dxa"/>
            <w:tcBorders>
              <w:top w:val="single" w:color="000000" w:sz="4" w:space="0"/>
              <w:left w:val="single" w:color="000000" w:sz="4" w:space="0"/>
              <w:bottom w:val="single" w:color="000000" w:sz="4" w:space="0"/>
              <w:right w:val="single" w:color="000000" w:sz="4" w:space="0"/>
            </w:tcBorders>
            <w:vAlign w:val="bottom"/>
          </w:tcPr>
          <w:p w14:paraId="57198F8C">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6000≤Y＜80000</w:t>
            </w:r>
          </w:p>
        </w:tc>
        <w:tc>
          <w:tcPr>
            <w:tcW w:w="1500" w:type="dxa"/>
            <w:tcBorders>
              <w:top w:val="single" w:color="000000" w:sz="4" w:space="0"/>
              <w:left w:val="single" w:color="000000" w:sz="4" w:space="0"/>
              <w:bottom w:val="single" w:color="000000" w:sz="4" w:space="0"/>
              <w:right w:val="single" w:color="000000" w:sz="12" w:space="0"/>
            </w:tcBorders>
            <w:vAlign w:val="bottom"/>
          </w:tcPr>
          <w:p w14:paraId="50E1C3BB">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5000≤Z＜80000</w:t>
            </w:r>
          </w:p>
        </w:tc>
        <w:tc>
          <w:tcPr>
            <w:tcW w:w="1320" w:type="dxa"/>
            <w:tcBorders>
              <w:top w:val="single" w:color="000000" w:sz="4" w:space="0"/>
              <w:left w:val="single" w:color="000000" w:sz="12" w:space="0"/>
              <w:bottom w:val="single" w:color="000000" w:sz="4" w:space="0"/>
              <w:right w:val="single" w:color="000000" w:sz="4" w:space="0"/>
            </w:tcBorders>
            <w:vAlign w:val="bottom"/>
          </w:tcPr>
          <w:p w14:paraId="0777C154">
            <w:pPr>
              <w:rPr>
                <w:rFonts w:cs="宋体" w:asciiTheme="minorEastAsia" w:hAnsiTheme="minorEastAsia" w:eastAsiaTheme="minorEastAsia"/>
                <w:color w:val="auto"/>
                <w:sz w:val="18"/>
                <w:szCs w:val="18"/>
                <w:highlight w:val="none"/>
              </w:rPr>
            </w:pPr>
          </w:p>
        </w:tc>
        <w:tc>
          <w:tcPr>
            <w:tcW w:w="1500" w:type="dxa"/>
            <w:tcBorders>
              <w:top w:val="single" w:color="000000" w:sz="4" w:space="0"/>
              <w:left w:val="single" w:color="000000" w:sz="4" w:space="0"/>
              <w:bottom w:val="single" w:color="000000" w:sz="4" w:space="0"/>
              <w:right w:val="single" w:color="000000" w:sz="4" w:space="0"/>
            </w:tcBorders>
            <w:vAlign w:val="bottom"/>
          </w:tcPr>
          <w:p w14:paraId="22CD84E5">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300≤Y＜6000</w:t>
            </w:r>
          </w:p>
        </w:tc>
        <w:tc>
          <w:tcPr>
            <w:tcW w:w="1406" w:type="dxa"/>
            <w:tcBorders>
              <w:top w:val="single" w:color="000000" w:sz="4" w:space="0"/>
              <w:left w:val="single" w:color="000000" w:sz="4" w:space="0"/>
              <w:bottom w:val="single" w:color="000000" w:sz="4" w:space="0"/>
              <w:right w:val="single" w:color="000000" w:sz="12" w:space="0"/>
            </w:tcBorders>
            <w:vAlign w:val="bottom"/>
          </w:tcPr>
          <w:p w14:paraId="7E439375">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300≤Z＜5000</w:t>
            </w:r>
          </w:p>
        </w:tc>
        <w:tc>
          <w:tcPr>
            <w:tcW w:w="1264" w:type="dxa"/>
            <w:tcBorders>
              <w:top w:val="single" w:color="000000" w:sz="4" w:space="0"/>
              <w:left w:val="single" w:color="000000" w:sz="12" w:space="0"/>
              <w:bottom w:val="single" w:color="000000" w:sz="4" w:space="0"/>
              <w:right w:val="single" w:color="000000" w:sz="4" w:space="0"/>
            </w:tcBorders>
            <w:vAlign w:val="bottom"/>
          </w:tcPr>
          <w:p w14:paraId="7C86DEFD">
            <w:pPr>
              <w:rPr>
                <w:rFonts w:cs="宋体" w:asciiTheme="minorEastAsia" w:hAnsiTheme="minorEastAsia" w:eastAsiaTheme="minorEastAsia"/>
                <w:color w:val="auto"/>
                <w:sz w:val="18"/>
                <w:szCs w:val="18"/>
                <w:highlight w:val="none"/>
              </w:rPr>
            </w:pPr>
          </w:p>
        </w:tc>
        <w:tc>
          <w:tcPr>
            <w:tcW w:w="1470" w:type="dxa"/>
            <w:tcBorders>
              <w:top w:val="single" w:color="000000" w:sz="4" w:space="0"/>
              <w:left w:val="single" w:color="000000" w:sz="4" w:space="0"/>
              <w:bottom w:val="single" w:color="000000" w:sz="4" w:space="0"/>
              <w:right w:val="single" w:color="000000" w:sz="4" w:space="0"/>
            </w:tcBorders>
            <w:vAlign w:val="bottom"/>
          </w:tcPr>
          <w:p w14:paraId="59C8D52E">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Y＜300</w:t>
            </w:r>
          </w:p>
        </w:tc>
        <w:tc>
          <w:tcPr>
            <w:tcW w:w="1515" w:type="dxa"/>
            <w:tcBorders>
              <w:top w:val="single" w:color="000000" w:sz="4" w:space="0"/>
              <w:left w:val="single" w:color="000000" w:sz="4" w:space="0"/>
              <w:bottom w:val="single" w:color="000000" w:sz="4" w:space="0"/>
              <w:right w:val="single" w:color="000000" w:sz="12" w:space="0"/>
            </w:tcBorders>
            <w:vAlign w:val="bottom"/>
          </w:tcPr>
          <w:p w14:paraId="2E17124A">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Z＜300</w:t>
            </w:r>
          </w:p>
        </w:tc>
      </w:tr>
      <w:tr w14:paraId="43191692">
        <w:tblPrEx>
          <w:tblCellMar>
            <w:top w:w="15" w:type="dxa"/>
            <w:left w:w="15" w:type="dxa"/>
            <w:bottom w:w="15" w:type="dxa"/>
            <w:right w:w="15" w:type="dxa"/>
          </w:tblCellMar>
        </w:tblPrEx>
        <w:trPr>
          <w:trHeight w:val="306" w:hRule="atLeast"/>
        </w:trPr>
        <w:tc>
          <w:tcPr>
            <w:tcW w:w="2153" w:type="dxa"/>
            <w:tcBorders>
              <w:top w:val="single" w:color="000000" w:sz="4" w:space="0"/>
              <w:left w:val="single" w:color="000000" w:sz="12" w:space="0"/>
              <w:bottom w:val="single" w:color="000000" w:sz="4" w:space="0"/>
              <w:right w:val="single" w:color="000000" w:sz="12" w:space="0"/>
            </w:tcBorders>
            <w:vAlign w:val="bottom"/>
          </w:tcPr>
          <w:p w14:paraId="63474928">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4、批发业</w:t>
            </w:r>
          </w:p>
        </w:tc>
        <w:tc>
          <w:tcPr>
            <w:tcW w:w="1320" w:type="dxa"/>
            <w:tcBorders>
              <w:top w:val="single" w:color="000000" w:sz="4" w:space="0"/>
              <w:left w:val="single" w:color="000000" w:sz="12" w:space="0"/>
              <w:bottom w:val="single" w:color="000000" w:sz="4" w:space="0"/>
              <w:right w:val="single" w:color="000000" w:sz="4" w:space="0"/>
            </w:tcBorders>
            <w:vAlign w:val="bottom"/>
          </w:tcPr>
          <w:p w14:paraId="61AF4CF5">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20≤X＜200</w:t>
            </w:r>
          </w:p>
        </w:tc>
        <w:tc>
          <w:tcPr>
            <w:tcW w:w="1560" w:type="dxa"/>
            <w:tcBorders>
              <w:top w:val="single" w:color="000000" w:sz="4" w:space="0"/>
              <w:left w:val="single" w:color="000000" w:sz="4" w:space="0"/>
              <w:bottom w:val="single" w:color="000000" w:sz="4" w:space="0"/>
              <w:right w:val="single" w:color="000000" w:sz="4" w:space="0"/>
            </w:tcBorders>
            <w:vAlign w:val="bottom"/>
          </w:tcPr>
          <w:p w14:paraId="1A52FAFE">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5000≤Y＜40000</w:t>
            </w:r>
          </w:p>
        </w:tc>
        <w:tc>
          <w:tcPr>
            <w:tcW w:w="1500" w:type="dxa"/>
            <w:tcBorders>
              <w:top w:val="single" w:color="000000" w:sz="4" w:space="0"/>
              <w:left w:val="single" w:color="000000" w:sz="4" w:space="0"/>
              <w:bottom w:val="single" w:color="000000" w:sz="4" w:space="0"/>
              <w:right w:val="single" w:color="000000" w:sz="12" w:space="0"/>
            </w:tcBorders>
            <w:vAlign w:val="bottom"/>
          </w:tcPr>
          <w:p w14:paraId="01BA5E67">
            <w:pPr>
              <w:rPr>
                <w:rFonts w:cs="宋体" w:asciiTheme="minorEastAsia" w:hAnsiTheme="minorEastAsia" w:eastAsiaTheme="minorEastAsia"/>
                <w:color w:val="auto"/>
                <w:sz w:val="18"/>
                <w:szCs w:val="18"/>
                <w:highlight w:val="none"/>
              </w:rPr>
            </w:pPr>
          </w:p>
        </w:tc>
        <w:tc>
          <w:tcPr>
            <w:tcW w:w="1320" w:type="dxa"/>
            <w:tcBorders>
              <w:top w:val="single" w:color="000000" w:sz="4" w:space="0"/>
              <w:left w:val="single" w:color="000000" w:sz="12" w:space="0"/>
              <w:bottom w:val="single" w:color="000000" w:sz="4" w:space="0"/>
              <w:right w:val="single" w:color="000000" w:sz="4" w:space="0"/>
            </w:tcBorders>
            <w:vAlign w:val="bottom"/>
          </w:tcPr>
          <w:p w14:paraId="60CFDF85">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5≤X＜20</w:t>
            </w:r>
          </w:p>
        </w:tc>
        <w:tc>
          <w:tcPr>
            <w:tcW w:w="1500" w:type="dxa"/>
            <w:tcBorders>
              <w:top w:val="single" w:color="000000" w:sz="4" w:space="0"/>
              <w:left w:val="single" w:color="000000" w:sz="4" w:space="0"/>
              <w:bottom w:val="single" w:color="000000" w:sz="4" w:space="0"/>
              <w:right w:val="single" w:color="000000" w:sz="4" w:space="0"/>
            </w:tcBorders>
            <w:vAlign w:val="bottom"/>
          </w:tcPr>
          <w:p w14:paraId="3CF5F8B6">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1000≤Y＜5000</w:t>
            </w:r>
          </w:p>
        </w:tc>
        <w:tc>
          <w:tcPr>
            <w:tcW w:w="1406" w:type="dxa"/>
            <w:tcBorders>
              <w:top w:val="single" w:color="000000" w:sz="4" w:space="0"/>
              <w:left w:val="single" w:color="000000" w:sz="4" w:space="0"/>
              <w:bottom w:val="single" w:color="000000" w:sz="4" w:space="0"/>
              <w:right w:val="single" w:color="000000" w:sz="12" w:space="0"/>
            </w:tcBorders>
            <w:vAlign w:val="bottom"/>
          </w:tcPr>
          <w:p w14:paraId="432561D8">
            <w:pPr>
              <w:rPr>
                <w:rFonts w:cs="宋体" w:asciiTheme="minorEastAsia" w:hAnsiTheme="minorEastAsia" w:eastAsiaTheme="minorEastAsia"/>
                <w:color w:val="auto"/>
                <w:sz w:val="18"/>
                <w:szCs w:val="18"/>
                <w:highlight w:val="none"/>
              </w:rPr>
            </w:pPr>
          </w:p>
        </w:tc>
        <w:tc>
          <w:tcPr>
            <w:tcW w:w="1264" w:type="dxa"/>
            <w:tcBorders>
              <w:top w:val="single" w:color="000000" w:sz="4" w:space="0"/>
              <w:left w:val="single" w:color="000000" w:sz="12" w:space="0"/>
              <w:bottom w:val="single" w:color="000000" w:sz="4" w:space="0"/>
              <w:right w:val="single" w:color="000000" w:sz="4" w:space="0"/>
            </w:tcBorders>
            <w:vAlign w:val="bottom"/>
          </w:tcPr>
          <w:p w14:paraId="3E602041">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X＜5</w:t>
            </w:r>
          </w:p>
        </w:tc>
        <w:tc>
          <w:tcPr>
            <w:tcW w:w="1470" w:type="dxa"/>
            <w:tcBorders>
              <w:top w:val="single" w:color="000000" w:sz="4" w:space="0"/>
              <w:left w:val="single" w:color="000000" w:sz="4" w:space="0"/>
              <w:bottom w:val="single" w:color="000000" w:sz="4" w:space="0"/>
              <w:right w:val="single" w:color="000000" w:sz="4" w:space="0"/>
            </w:tcBorders>
            <w:vAlign w:val="bottom"/>
          </w:tcPr>
          <w:p w14:paraId="1551675F">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Y＜1000</w:t>
            </w:r>
          </w:p>
        </w:tc>
        <w:tc>
          <w:tcPr>
            <w:tcW w:w="1515" w:type="dxa"/>
            <w:tcBorders>
              <w:top w:val="single" w:color="000000" w:sz="4" w:space="0"/>
              <w:left w:val="single" w:color="000000" w:sz="4" w:space="0"/>
              <w:bottom w:val="single" w:color="000000" w:sz="4" w:space="0"/>
              <w:right w:val="single" w:color="000000" w:sz="12" w:space="0"/>
            </w:tcBorders>
            <w:vAlign w:val="bottom"/>
          </w:tcPr>
          <w:p w14:paraId="612117B4">
            <w:pPr>
              <w:rPr>
                <w:rFonts w:cs="宋体" w:asciiTheme="minorEastAsia" w:hAnsiTheme="minorEastAsia" w:eastAsiaTheme="minorEastAsia"/>
                <w:color w:val="auto"/>
                <w:sz w:val="18"/>
                <w:szCs w:val="18"/>
                <w:highlight w:val="none"/>
              </w:rPr>
            </w:pPr>
          </w:p>
        </w:tc>
      </w:tr>
      <w:tr w14:paraId="1FD083AE">
        <w:tblPrEx>
          <w:tblCellMar>
            <w:top w:w="15" w:type="dxa"/>
            <w:left w:w="15" w:type="dxa"/>
            <w:bottom w:w="15" w:type="dxa"/>
            <w:right w:w="15" w:type="dxa"/>
          </w:tblCellMar>
        </w:tblPrEx>
        <w:trPr>
          <w:trHeight w:val="306" w:hRule="atLeast"/>
        </w:trPr>
        <w:tc>
          <w:tcPr>
            <w:tcW w:w="2153" w:type="dxa"/>
            <w:tcBorders>
              <w:top w:val="single" w:color="000000" w:sz="4" w:space="0"/>
              <w:left w:val="single" w:color="000000" w:sz="12" w:space="0"/>
              <w:bottom w:val="single" w:color="000000" w:sz="4" w:space="0"/>
              <w:right w:val="single" w:color="000000" w:sz="12" w:space="0"/>
            </w:tcBorders>
            <w:vAlign w:val="bottom"/>
          </w:tcPr>
          <w:p w14:paraId="0E0D0334">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5、零售业</w:t>
            </w:r>
          </w:p>
        </w:tc>
        <w:tc>
          <w:tcPr>
            <w:tcW w:w="1320" w:type="dxa"/>
            <w:tcBorders>
              <w:top w:val="single" w:color="000000" w:sz="4" w:space="0"/>
              <w:left w:val="single" w:color="000000" w:sz="12" w:space="0"/>
              <w:bottom w:val="single" w:color="000000" w:sz="4" w:space="0"/>
              <w:right w:val="single" w:color="000000" w:sz="4" w:space="0"/>
            </w:tcBorders>
            <w:vAlign w:val="bottom"/>
          </w:tcPr>
          <w:p w14:paraId="142090DE">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50≤X＜300</w:t>
            </w:r>
          </w:p>
        </w:tc>
        <w:tc>
          <w:tcPr>
            <w:tcW w:w="1560" w:type="dxa"/>
            <w:tcBorders>
              <w:top w:val="single" w:color="000000" w:sz="4" w:space="0"/>
              <w:left w:val="single" w:color="000000" w:sz="4" w:space="0"/>
              <w:bottom w:val="single" w:color="000000" w:sz="4" w:space="0"/>
              <w:right w:val="single" w:color="000000" w:sz="4" w:space="0"/>
            </w:tcBorders>
            <w:vAlign w:val="bottom"/>
          </w:tcPr>
          <w:p w14:paraId="76C6CECF">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500≤Y＜20000</w:t>
            </w:r>
          </w:p>
        </w:tc>
        <w:tc>
          <w:tcPr>
            <w:tcW w:w="1500" w:type="dxa"/>
            <w:tcBorders>
              <w:top w:val="single" w:color="000000" w:sz="4" w:space="0"/>
              <w:left w:val="single" w:color="000000" w:sz="4" w:space="0"/>
              <w:bottom w:val="single" w:color="000000" w:sz="4" w:space="0"/>
              <w:right w:val="single" w:color="000000" w:sz="12" w:space="0"/>
            </w:tcBorders>
            <w:vAlign w:val="bottom"/>
          </w:tcPr>
          <w:p w14:paraId="21AC27EC">
            <w:pPr>
              <w:rPr>
                <w:rFonts w:cs="宋体" w:asciiTheme="minorEastAsia" w:hAnsiTheme="minorEastAsia" w:eastAsiaTheme="minorEastAsia"/>
                <w:color w:val="auto"/>
                <w:sz w:val="18"/>
                <w:szCs w:val="18"/>
                <w:highlight w:val="none"/>
              </w:rPr>
            </w:pPr>
          </w:p>
        </w:tc>
        <w:tc>
          <w:tcPr>
            <w:tcW w:w="1320" w:type="dxa"/>
            <w:tcBorders>
              <w:top w:val="single" w:color="000000" w:sz="4" w:space="0"/>
              <w:left w:val="single" w:color="000000" w:sz="12" w:space="0"/>
              <w:bottom w:val="single" w:color="000000" w:sz="4" w:space="0"/>
              <w:right w:val="single" w:color="000000" w:sz="4" w:space="0"/>
            </w:tcBorders>
            <w:vAlign w:val="bottom"/>
          </w:tcPr>
          <w:p w14:paraId="5D36FE45">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10≤X＜50</w:t>
            </w:r>
          </w:p>
        </w:tc>
        <w:tc>
          <w:tcPr>
            <w:tcW w:w="1500" w:type="dxa"/>
            <w:tcBorders>
              <w:top w:val="single" w:color="000000" w:sz="4" w:space="0"/>
              <w:left w:val="single" w:color="000000" w:sz="4" w:space="0"/>
              <w:bottom w:val="single" w:color="000000" w:sz="4" w:space="0"/>
              <w:right w:val="single" w:color="000000" w:sz="4" w:space="0"/>
            </w:tcBorders>
            <w:vAlign w:val="bottom"/>
          </w:tcPr>
          <w:p w14:paraId="4232938E">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100≤Y＜500</w:t>
            </w:r>
          </w:p>
        </w:tc>
        <w:tc>
          <w:tcPr>
            <w:tcW w:w="1406" w:type="dxa"/>
            <w:tcBorders>
              <w:top w:val="single" w:color="000000" w:sz="4" w:space="0"/>
              <w:left w:val="single" w:color="000000" w:sz="4" w:space="0"/>
              <w:bottom w:val="single" w:color="000000" w:sz="4" w:space="0"/>
              <w:right w:val="single" w:color="000000" w:sz="12" w:space="0"/>
            </w:tcBorders>
            <w:vAlign w:val="bottom"/>
          </w:tcPr>
          <w:p w14:paraId="0B2B1C51">
            <w:pPr>
              <w:rPr>
                <w:rFonts w:cs="宋体" w:asciiTheme="minorEastAsia" w:hAnsiTheme="minorEastAsia" w:eastAsiaTheme="minorEastAsia"/>
                <w:color w:val="auto"/>
                <w:sz w:val="18"/>
                <w:szCs w:val="18"/>
                <w:highlight w:val="none"/>
              </w:rPr>
            </w:pPr>
          </w:p>
        </w:tc>
        <w:tc>
          <w:tcPr>
            <w:tcW w:w="1264" w:type="dxa"/>
            <w:tcBorders>
              <w:top w:val="single" w:color="000000" w:sz="4" w:space="0"/>
              <w:left w:val="single" w:color="000000" w:sz="12" w:space="0"/>
              <w:bottom w:val="single" w:color="000000" w:sz="4" w:space="0"/>
              <w:right w:val="single" w:color="000000" w:sz="4" w:space="0"/>
            </w:tcBorders>
            <w:vAlign w:val="bottom"/>
          </w:tcPr>
          <w:p w14:paraId="521674C2">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X＜10</w:t>
            </w:r>
          </w:p>
        </w:tc>
        <w:tc>
          <w:tcPr>
            <w:tcW w:w="1470" w:type="dxa"/>
            <w:tcBorders>
              <w:top w:val="single" w:color="000000" w:sz="4" w:space="0"/>
              <w:left w:val="single" w:color="000000" w:sz="4" w:space="0"/>
              <w:bottom w:val="single" w:color="000000" w:sz="4" w:space="0"/>
              <w:right w:val="single" w:color="000000" w:sz="4" w:space="0"/>
            </w:tcBorders>
            <w:vAlign w:val="bottom"/>
          </w:tcPr>
          <w:p w14:paraId="6D196D4C">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Y＜100</w:t>
            </w:r>
          </w:p>
        </w:tc>
        <w:tc>
          <w:tcPr>
            <w:tcW w:w="1515" w:type="dxa"/>
            <w:tcBorders>
              <w:top w:val="single" w:color="000000" w:sz="4" w:space="0"/>
              <w:left w:val="single" w:color="000000" w:sz="4" w:space="0"/>
              <w:bottom w:val="single" w:color="000000" w:sz="4" w:space="0"/>
              <w:right w:val="single" w:color="000000" w:sz="12" w:space="0"/>
            </w:tcBorders>
            <w:vAlign w:val="bottom"/>
          </w:tcPr>
          <w:p w14:paraId="5C8E7E0E">
            <w:pPr>
              <w:rPr>
                <w:rFonts w:cs="宋体" w:asciiTheme="minorEastAsia" w:hAnsiTheme="minorEastAsia" w:eastAsiaTheme="minorEastAsia"/>
                <w:color w:val="auto"/>
                <w:sz w:val="18"/>
                <w:szCs w:val="18"/>
                <w:highlight w:val="none"/>
              </w:rPr>
            </w:pPr>
          </w:p>
        </w:tc>
      </w:tr>
      <w:tr w14:paraId="3C55B8E3">
        <w:tblPrEx>
          <w:tblCellMar>
            <w:top w:w="15" w:type="dxa"/>
            <w:left w:w="15" w:type="dxa"/>
            <w:bottom w:w="15" w:type="dxa"/>
            <w:right w:w="15" w:type="dxa"/>
          </w:tblCellMar>
        </w:tblPrEx>
        <w:trPr>
          <w:trHeight w:val="306" w:hRule="atLeast"/>
        </w:trPr>
        <w:tc>
          <w:tcPr>
            <w:tcW w:w="2153" w:type="dxa"/>
            <w:tcBorders>
              <w:top w:val="single" w:color="000000" w:sz="4" w:space="0"/>
              <w:left w:val="single" w:color="000000" w:sz="12" w:space="0"/>
              <w:bottom w:val="single" w:color="000000" w:sz="4" w:space="0"/>
              <w:right w:val="single" w:color="000000" w:sz="12" w:space="0"/>
            </w:tcBorders>
            <w:vAlign w:val="bottom"/>
          </w:tcPr>
          <w:p w14:paraId="03326EF4">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6、交通运输业</w:t>
            </w:r>
          </w:p>
        </w:tc>
        <w:tc>
          <w:tcPr>
            <w:tcW w:w="1320" w:type="dxa"/>
            <w:tcBorders>
              <w:top w:val="single" w:color="000000" w:sz="4" w:space="0"/>
              <w:left w:val="single" w:color="000000" w:sz="12" w:space="0"/>
              <w:bottom w:val="single" w:color="000000" w:sz="4" w:space="0"/>
              <w:right w:val="single" w:color="000000" w:sz="4" w:space="0"/>
            </w:tcBorders>
            <w:vAlign w:val="bottom"/>
          </w:tcPr>
          <w:p w14:paraId="41871121">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300≤X＜1000</w:t>
            </w:r>
          </w:p>
        </w:tc>
        <w:tc>
          <w:tcPr>
            <w:tcW w:w="1560" w:type="dxa"/>
            <w:tcBorders>
              <w:top w:val="single" w:color="000000" w:sz="4" w:space="0"/>
              <w:left w:val="single" w:color="000000" w:sz="4" w:space="0"/>
              <w:bottom w:val="single" w:color="000000" w:sz="4" w:space="0"/>
              <w:right w:val="single" w:color="000000" w:sz="4" w:space="0"/>
            </w:tcBorders>
            <w:vAlign w:val="bottom"/>
          </w:tcPr>
          <w:p w14:paraId="6821C949">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3000≤Y＜30000</w:t>
            </w:r>
          </w:p>
        </w:tc>
        <w:tc>
          <w:tcPr>
            <w:tcW w:w="1500" w:type="dxa"/>
            <w:tcBorders>
              <w:top w:val="single" w:color="000000" w:sz="4" w:space="0"/>
              <w:left w:val="single" w:color="000000" w:sz="4" w:space="0"/>
              <w:bottom w:val="single" w:color="000000" w:sz="4" w:space="0"/>
              <w:right w:val="single" w:color="000000" w:sz="12" w:space="0"/>
            </w:tcBorders>
            <w:vAlign w:val="bottom"/>
          </w:tcPr>
          <w:p w14:paraId="1769C02D">
            <w:pPr>
              <w:rPr>
                <w:rFonts w:cs="宋体" w:asciiTheme="minorEastAsia" w:hAnsiTheme="minorEastAsia" w:eastAsiaTheme="minorEastAsia"/>
                <w:color w:val="auto"/>
                <w:sz w:val="18"/>
                <w:szCs w:val="18"/>
                <w:highlight w:val="none"/>
              </w:rPr>
            </w:pPr>
          </w:p>
        </w:tc>
        <w:tc>
          <w:tcPr>
            <w:tcW w:w="1320" w:type="dxa"/>
            <w:tcBorders>
              <w:top w:val="single" w:color="000000" w:sz="4" w:space="0"/>
              <w:left w:val="single" w:color="000000" w:sz="12" w:space="0"/>
              <w:bottom w:val="single" w:color="000000" w:sz="4" w:space="0"/>
              <w:right w:val="single" w:color="000000" w:sz="4" w:space="0"/>
            </w:tcBorders>
            <w:vAlign w:val="bottom"/>
          </w:tcPr>
          <w:p w14:paraId="08F12B79">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20≤X＜300</w:t>
            </w:r>
          </w:p>
        </w:tc>
        <w:tc>
          <w:tcPr>
            <w:tcW w:w="1500" w:type="dxa"/>
            <w:tcBorders>
              <w:top w:val="single" w:color="000000" w:sz="4" w:space="0"/>
              <w:left w:val="single" w:color="000000" w:sz="4" w:space="0"/>
              <w:bottom w:val="single" w:color="000000" w:sz="4" w:space="0"/>
              <w:right w:val="single" w:color="000000" w:sz="4" w:space="0"/>
            </w:tcBorders>
            <w:vAlign w:val="bottom"/>
          </w:tcPr>
          <w:p w14:paraId="08198945">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200≤Y＜3000</w:t>
            </w:r>
          </w:p>
        </w:tc>
        <w:tc>
          <w:tcPr>
            <w:tcW w:w="1406" w:type="dxa"/>
            <w:tcBorders>
              <w:top w:val="single" w:color="000000" w:sz="4" w:space="0"/>
              <w:left w:val="single" w:color="000000" w:sz="4" w:space="0"/>
              <w:bottom w:val="single" w:color="000000" w:sz="4" w:space="0"/>
              <w:right w:val="single" w:color="000000" w:sz="12" w:space="0"/>
            </w:tcBorders>
            <w:vAlign w:val="bottom"/>
          </w:tcPr>
          <w:p w14:paraId="18125409">
            <w:pPr>
              <w:rPr>
                <w:rFonts w:cs="宋体" w:asciiTheme="minorEastAsia" w:hAnsiTheme="minorEastAsia" w:eastAsiaTheme="minorEastAsia"/>
                <w:color w:val="auto"/>
                <w:sz w:val="18"/>
                <w:szCs w:val="18"/>
                <w:highlight w:val="none"/>
              </w:rPr>
            </w:pPr>
          </w:p>
        </w:tc>
        <w:tc>
          <w:tcPr>
            <w:tcW w:w="1264" w:type="dxa"/>
            <w:tcBorders>
              <w:top w:val="single" w:color="000000" w:sz="4" w:space="0"/>
              <w:left w:val="single" w:color="000000" w:sz="12" w:space="0"/>
              <w:bottom w:val="single" w:color="000000" w:sz="4" w:space="0"/>
              <w:right w:val="single" w:color="000000" w:sz="4" w:space="0"/>
            </w:tcBorders>
            <w:vAlign w:val="bottom"/>
          </w:tcPr>
          <w:p w14:paraId="6F20C485">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X＜20</w:t>
            </w:r>
          </w:p>
        </w:tc>
        <w:tc>
          <w:tcPr>
            <w:tcW w:w="1470" w:type="dxa"/>
            <w:tcBorders>
              <w:top w:val="single" w:color="000000" w:sz="4" w:space="0"/>
              <w:left w:val="single" w:color="000000" w:sz="4" w:space="0"/>
              <w:bottom w:val="single" w:color="000000" w:sz="4" w:space="0"/>
              <w:right w:val="single" w:color="000000" w:sz="4" w:space="0"/>
            </w:tcBorders>
            <w:vAlign w:val="bottom"/>
          </w:tcPr>
          <w:p w14:paraId="2897E331">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V＜200</w:t>
            </w:r>
          </w:p>
        </w:tc>
        <w:tc>
          <w:tcPr>
            <w:tcW w:w="1515" w:type="dxa"/>
            <w:tcBorders>
              <w:top w:val="single" w:color="000000" w:sz="4" w:space="0"/>
              <w:left w:val="single" w:color="000000" w:sz="4" w:space="0"/>
              <w:bottom w:val="single" w:color="000000" w:sz="4" w:space="0"/>
              <w:right w:val="single" w:color="000000" w:sz="12" w:space="0"/>
            </w:tcBorders>
            <w:vAlign w:val="bottom"/>
          </w:tcPr>
          <w:p w14:paraId="31563CCC">
            <w:pPr>
              <w:rPr>
                <w:rFonts w:cs="宋体" w:asciiTheme="minorEastAsia" w:hAnsiTheme="minorEastAsia" w:eastAsiaTheme="minorEastAsia"/>
                <w:color w:val="auto"/>
                <w:sz w:val="18"/>
                <w:szCs w:val="18"/>
                <w:highlight w:val="none"/>
              </w:rPr>
            </w:pPr>
          </w:p>
        </w:tc>
      </w:tr>
      <w:tr w14:paraId="160997C8">
        <w:tblPrEx>
          <w:tblCellMar>
            <w:top w:w="15" w:type="dxa"/>
            <w:left w:w="15" w:type="dxa"/>
            <w:bottom w:w="15" w:type="dxa"/>
            <w:right w:w="15" w:type="dxa"/>
          </w:tblCellMar>
        </w:tblPrEx>
        <w:trPr>
          <w:trHeight w:val="306" w:hRule="atLeast"/>
        </w:trPr>
        <w:tc>
          <w:tcPr>
            <w:tcW w:w="2153" w:type="dxa"/>
            <w:tcBorders>
              <w:top w:val="single" w:color="000000" w:sz="4" w:space="0"/>
              <w:left w:val="single" w:color="000000" w:sz="12" w:space="0"/>
              <w:bottom w:val="single" w:color="000000" w:sz="4" w:space="0"/>
              <w:right w:val="single" w:color="000000" w:sz="12" w:space="0"/>
            </w:tcBorders>
            <w:vAlign w:val="bottom"/>
          </w:tcPr>
          <w:p w14:paraId="4644BC13">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7、仓储业</w:t>
            </w:r>
          </w:p>
        </w:tc>
        <w:tc>
          <w:tcPr>
            <w:tcW w:w="1320" w:type="dxa"/>
            <w:tcBorders>
              <w:top w:val="single" w:color="000000" w:sz="4" w:space="0"/>
              <w:left w:val="single" w:color="000000" w:sz="12" w:space="0"/>
              <w:bottom w:val="single" w:color="000000" w:sz="4" w:space="0"/>
              <w:right w:val="single" w:color="000000" w:sz="4" w:space="0"/>
            </w:tcBorders>
            <w:vAlign w:val="bottom"/>
          </w:tcPr>
          <w:p w14:paraId="6B4838C1">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100≤X＜200</w:t>
            </w:r>
          </w:p>
        </w:tc>
        <w:tc>
          <w:tcPr>
            <w:tcW w:w="1560" w:type="dxa"/>
            <w:tcBorders>
              <w:top w:val="single" w:color="000000" w:sz="4" w:space="0"/>
              <w:left w:val="single" w:color="000000" w:sz="4" w:space="0"/>
              <w:bottom w:val="single" w:color="000000" w:sz="4" w:space="0"/>
              <w:right w:val="single" w:color="000000" w:sz="4" w:space="0"/>
            </w:tcBorders>
            <w:vAlign w:val="bottom"/>
          </w:tcPr>
          <w:p w14:paraId="7F49C02B">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1000≤Y＜30000</w:t>
            </w:r>
          </w:p>
        </w:tc>
        <w:tc>
          <w:tcPr>
            <w:tcW w:w="1500" w:type="dxa"/>
            <w:tcBorders>
              <w:top w:val="single" w:color="000000" w:sz="4" w:space="0"/>
              <w:left w:val="single" w:color="000000" w:sz="4" w:space="0"/>
              <w:bottom w:val="single" w:color="000000" w:sz="4" w:space="0"/>
              <w:right w:val="single" w:color="000000" w:sz="12" w:space="0"/>
            </w:tcBorders>
            <w:vAlign w:val="bottom"/>
          </w:tcPr>
          <w:p w14:paraId="60E3FF51">
            <w:pPr>
              <w:rPr>
                <w:rFonts w:cs="宋体" w:asciiTheme="minorEastAsia" w:hAnsiTheme="minorEastAsia" w:eastAsiaTheme="minorEastAsia"/>
                <w:color w:val="auto"/>
                <w:sz w:val="18"/>
                <w:szCs w:val="18"/>
                <w:highlight w:val="none"/>
              </w:rPr>
            </w:pPr>
          </w:p>
        </w:tc>
        <w:tc>
          <w:tcPr>
            <w:tcW w:w="1320" w:type="dxa"/>
            <w:tcBorders>
              <w:top w:val="single" w:color="000000" w:sz="4" w:space="0"/>
              <w:left w:val="single" w:color="000000" w:sz="12" w:space="0"/>
              <w:bottom w:val="single" w:color="000000" w:sz="4" w:space="0"/>
              <w:right w:val="single" w:color="000000" w:sz="4" w:space="0"/>
            </w:tcBorders>
            <w:vAlign w:val="bottom"/>
          </w:tcPr>
          <w:p w14:paraId="5391A542">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20≤X＜100</w:t>
            </w:r>
          </w:p>
        </w:tc>
        <w:tc>
          <w:tcPr>
            <w:tcW w:w="1500" w:type="dxa"/>
            <w:tcBorders>
              <w:top w:val="single" w:color="000000" w:sz="4" w:space="0"/>
              <w:left w:val="single" w:color="000000" w:sz="4" w:space="0"/>
              <w:bottom w:val="single" w:color="000000" w:sz="4" w:space="0"/>
              <w:right w:val="single" w:color="000000" w:sz="4" w:space="0"/>
            </w:tcBorders>
            <w:vAlign w:val="bottom"/>
          </w:tcPr>
          <w:p w14:paraId="5BA45C3A">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100≤Y＜1000</w:t>
            </w:r>
          </w:p>
        </w:tc>
        <w:tc>
          <w:tcPr>
            <w:tcW w:w="1406" w:type="dxa"/>
            <w:tcBorders>
              <w:top w:val="single" w:color="000000" w:sz="4" w:space="0"/>
              <w:left w:val="single" w:color="000000" w:sz="4" w:space="0"/>
              <w:bottom w:val="single" w:color="000000" w:sz="4" w:space="0"/>
              <w:right w:val="single" w:color="000000" w:sz="12" w:space="0"/>
            </w:tcBorders>
            <w:vAlign w:val="bottom"/>
          </w:tcPr>
          <w:p w14:paraId="3F4379E4">
            <w:pPr>
              <w:rPr>
                <w:rFonts w:cs="宋体" w:asciiTheme="minorEastAsia" w:hAnsiTheme="minorEastAsia" w:eastAsiaTheme="minorEastAsia"/>
                <w:color w:val="auto"/>
                <w:sz w:val="18"/>
                <w:szCs w:val="18"/>
                <w:highlight w:val="none"/>
              </w:rPr>
            </w:pPr>
          </w:p>
        </w:tc>
        <w:tc>
          <w:tcPr>
            <w:tcW w:w="1264" w:type="dxa"/>
            <w:tcBorders>
              <w:top w:val="single" w:color="000000" w:sz="4" w:space="0"/>
              <w:left w:val="single" w:color="000000" w:sz="12" w:space="0"/>
              <w:bottom w:val="single" w:color="000000" w:sz="4" w:space="0"/>
              <w:right w:val="single" w:color="000000" w:sz="4" w:space="0"/>
            </w:tcBorders>
            <w:vAlign w:val="bottom"/>
          </w:tcPr>
          <w:p w14:paraId="218D0FB7">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X＜20</w:t>
            </w:r>
          </w:p>
        </w:tc>
        <w:tc>
          <w:tcPr>
            <w:tcW w:w="1470" w:type="dxa"/>
            <w:tcBorders>
              <w:top w:val="single" w:color="000000" w:sz="4" w:space="0"/>
              <w:left w:val="single" w:color="000000" w:sz="4" w:space="0"/>
              <w:bottom w:val="single" w:color="000000" w:sz="4" w:space="0"/>
              <w:right w:val="single" w:color="000000" w:sz="4" w:space="0"/>
            </w:tcBorders>
            <w:vAlign w:val="bottom"/>
          </w:tcPr>
          <w:p w14:paraId="352CEE65">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Y＜100</w:t>
            </w:r>
          </w:p>
        </w:tc>
        <w:tc>
          <w:tcPr>
            <w:tcW w:w="1515" w:type="dxa"/>
            <w:tcBorders>
              <w:top w:val="single" w:color="000000" w:sz="4" w:space="0"/>
              <w:left w:val="single" w:color="000000" w:sz="4" w:space="0"/>
              <w:bottom w:val="single" w:color="000000" w:sz="4" w:space="0"/>
              <w:right w:val="single" w:color="000000" w:sz="12" w:space="0"/>
            </w:tcBorders>
            <w:vAlign w:val="bottom"/>
          </w:tcPr>
          <w:p w14:paraId="110FFBF8">
            <w:pPr>
              <w:rPr>
                <w:rFonts w:cs="宋体" w:asciiTheme="minorEastAsia" w:hAnsiTheme="minorEastAsia" w:eastAsiaTheme="minorEastAsia"/>
                <w:color w:val="auto"/>
                <w:sz w:val="18"/>
                <w:szCs w:val="18"/>
                <w:highlight w:val="none"/>
              </w:rPr>
            </w:pPr>
          </w:p>
        </w:tc>
      </w:tr>
      <w:tr w14:paraId="7B9E9D77">
        <w:tblPrEx>
          <w:tblCellMar>
            <w:top w:w="15" w:type="dxa"/>
            <w:left w:w="15" w:type="dxa"/>
            <w:bottom w:w="15" w:type="dxa"/>
            <w:right w:w="15" w:type="dxa"/>
          </w:tblCellMar>
        </w:tblPrEx>
        <w:trPr>
          <w:trHeight w:val="306" w:hRule="atLeast"/>
        </w:trPr>
        <w:tc>
          <w:tcPr>
            <w:tcW w:w="2153" w:type="dxa"/>
            <w:tcBorders>
              <w:top w:val="single" w:color="000000" w:sz="4" w:space="0"/>
              <w:left w:val="single" w:color="000000" w:sz="12" w:space="0"/>
              <w:bottom w:val="single" w:color="000000" w:sz="4" w:space="0"/>
              <w:right w:val="single" w:color="000000" w:sz="12" w:space="0"/>
            </w:tcBorders>
            <w:vAlign w:val="bottom"/>
          </w:tcPr>
          <w:p w14:paraId="12B02A3B">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8、邮政业</w:t>
            </w:r>
          </w:p>
        </w:tc>
        <w:tc>
          <w:tcPr>
            <w:tcW w:w="1320" w:type="dxa"/>
            <w:tcBorders>
              <w:top w:val="single" w:color="000000" w:sz="4" w:space="0"/>
              <w:left w:val="single" w:color="000000" w:sz="12" w:space="0"/>
              <w:bottom w:val="single" w:color="000000" w:sz="4" w:space="0"/>
              <w:right w:val="single" w:color="000000" w:sz="4" w:space="0"/>
            </w:tcBorders>
            <w:vAlign w:val="bottom"/>
          </w:tcPr>
          <w:p w14:paraId="1D1EEC99">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300≤X＜1000</w:t>
            </w:r>
          </w:p>
        </w:tc>
        <w:tc>
          <w:tcPr>
            <w:tcW w:w="1560" w:type="dxa"/>
            <w:tcBorders>
              <w:top w:val="single" w:color="000000" w:sz="4" w:space="0"/>
              <w:left w:val="single" w:color="000000" w:sz="4" w:space="0"/>
              <w:bottom w:val="single" w:color="000000" w:sz="4" w:space="0"/>
              <w:right w:val="single" w:color="000000" w:sz="4" w:space="0"/>
            </w:tcBorders>
            <w:vAlign w:val="bottom"/>
          </w:tcPr>
          <w:p w14:paraId="09D9E514">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2000≤Y＜30000</w:t>
            </w:r>
          </w:p>
        </w:tc>
        <w:tc>
          <w:tcPr>
            <w:tcW w:w="1500" w:type="dxa"/>
            <w:tcBorders>
              <w:top w:val="single" w:color="000000" w:sz="4" w:space="0"/>
              <w:left w:val="single" w:color="000000" w:sz="4" w:space="0"/>
              <w:bottom w:val="single" w:color="000000" w:sz="4" w:space="0"/>
              <w:right w:val="single" w:color="000000" w:sz="12" w:space="0"/>
            </w:tcBorders>
            <w:vAlign w:val="bottom"/>
          </w:tcPr>
          <w:p w14:paraId="49A1FC56">
            <w:pPr>
              <w:rPr>
                <w:rFonts w:cs="宋体" w:asciiTheme="minorEastAsia" w:hAnsiTheme="minorEastAsia" w:eastAsiaTheme="minorEastAsia"/>
                <w:color w:val="auto"/>
                <w:sz w:val="18"/>
                <w:szCs w:val="18"/>
                <w:highlight w:val="none"/>
              </w:rPr>
            </w:pPr>
          </w:p>
        </w:tc>
        <w:tc>
          <w:tcPr>
            <w:tcW w:w="1320" w:type="dxa"/>
            <w:tcBorders>
              <w:top w:val="single" w:color="000000" w:sz="4" w:space="0"/>
              <w:left w:val="single" w:color="000000" w:sz="12" w:space="0"/>
              <w:bottom w:val="single" w:color="000000" w:sz="4" w:space="0"/>
              <w:right w:val="single" w:color="000000" w:sz="4" w:space="0"/>
            </w:tcBorders>
            <w:vAlign w:val="bottom"/>
          </w:tcPr>
          <w:p w14:paraId="7F293F80">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20≤X＜300</w:t>
            </w:r>
          </w:p>
        </w:tc>
        <w:tc>
          <w:tcPr>
            <w:tcW w:w="1500" w:type="dxa"/>
            <w:tcBorders>
              <w:top w:val="single" w:color="000000" w:sz="4" w:space="0"/>
              <w:left w:val="single" w:color="000000" w:sz="4" w:space="0"/>
              <w:bottom w:val="single" w:color="000000" w:sz="4" w:space="0"/>
              <w:right w:val="single" w:color="000000" w:sz="4" w:space="0"/>
            </w:tcBorders>
            <w:vAlign w:val="bottom"/>
          </w:tcPr>
          <w:p w14:paraId="5FB6DD18">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100≤Y＜2000</w:t>
            </w:r>
          </w:p>
        </w:tc>
        <w:tc>
          <w:tcPr>
            <w:tcW w:w="1406" w:type="dxa"/>
            <w:tcBorders>
              <w:top w:val="single" w:color="000000" w:sz="4" w:space="0"/>
              <w:left w:val="single" w:color="000000" w:sz="4" w:space="0"/>
              <w:bottom w:val="single" w:color="000000" w:sz="4" w:space="0"/>
              <w:right w:val="single" w:color="000000" w:sz="12" w:space="0"/>
            </w:tcBorders>
            <w:vAlign w:val="bottom"/>
          </w:tcPr>
          <w:p w14:paraId="631ECD35">
            <w:pPr>
              <w:rPr>
                <w:rFonts w:cs="宋体" w:asciiTheme="minorEastAsia" w:hAnsiTheme="minorEastAsia" w:eastAsiaTheme="minorEastAsia"/>
                <w:color w:val="auto"/>
                <w:sz w:val="18"/>
                <w:szCs w:val="18"/>
                <w:highlight w:val="none"/>
              </w:rPr>
            </w:pPr>
          </w:p>
        </w:tc>
        <w:tc>
          <w:tcPr>
            <w:tcW w:w="1264" w:type="dxa"/>
            <w:tcBorders>
              <w:top w:val="single" w:color="000000" w:sz="4" w:space="0"/>
              <w:left w:val="single" w:color="000000" w:sz="12" w:space="0"/>
              <w:bottom w:val="single" w:color="000000" w:sz="4" w:space="0"/>
              <w:right w:val="single" w:color="000000" w:sz="4" w:space="0"/>
            </w:tcBorders>
            <w:vAlign w:val="bottom"/>
          </w:tcPr>
          <w:p w14:paraId="1032397F">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X＜20</w:t>
            </w:r>
          </w:p>
        </w:tc>
        <w:tc>
          <w:tcPr>
            <w:tcW w:w="1470" w:type="dxa"/>
            <w:tcBorders>
              <w:top w:val="single" w:color="000000" w:sz="4" w:space="0"/>
              <w:left w:val="single" w:color="000000" w:sz="4" w:space="0"/>
              <w:bottom w:val="single" w:color="000000" w:sz="4" w:space="0"/>
              <w:right w:val="single" w:color="000000" w:sz="4" w:space="0"/>
            </w:tcBorders>
            <w:vAlign w:val="bottom"/>
          </w:tcPr>
          <w:p w14:paraId="6C5E4896">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Y＜100</w:t>
            </w:r>
          </w:p>
        </w:tc>
        <w:tc>
          <w:tcPr>
            <w:tcW w:w="1515" w:type="dxa"/>
            <w:tcBorders>
              <w:top w:val="single" w:color="000000" w:sz="4" w:space="0"/>
              <w:left w:val="single" w:color="000000" w:sz="4" w:space="0"/>
              <w:bottom w:val="single" w:color="000000" w:sz="4" w:space="0"/>
              <w:right w:val="single" w:color="000000" w:sz="12" w:space="0"/>
            </w:tcBorders>
            <w:vAlign w:val="bottom"/>
          </w:tcPr>
          <w:p w14:paraId="10873144">
            <w:pPr>
              <w:rPr>
                <w:rFonts w:cs="宋体" w:asciiTheme="minorEastAsia" w:hAnsiTheme="minorEastAsia" w:eastAsiaTheme="minorEastAsia"/>
                <w:color w:val="auto"/>
                <w:sz w:val="18"/>
                <w:szCs w:val="18"/>
                <w:highlight w:val="none"/>
              </w:rPr>
            </w:pPr>
          </w:p>
        </w:tc>
      </w:tr>
      <w:tr w14:paraId="2CE6CC27">
        <w:tblPrEx>
          <w:tblCellMar>
            <w:top w:w="15" w:type="dxa"/>
            <w:left w:w="15" w:type="dxa"/>
            <w:bottom w:w="15" w:type="dxa"/>
            <w:right w:w="15" w:type="dxa"/>
          </w:tblCellMar>
        </w:tblPrEx>
        <w:trPr>
          <w:trHeight w:val="306" w:hRule="atLeast"/>
        </w:trPr>
        <w:tc>
          <w:tcPr>
            <w:tcW w:w="2153" w:type="dxa"/>
            <w:tcBorders>
              <w:top w:val="single" w:color="000000" w:sz="4" w:space="0"/>
              <w:left w:val="single" w:color="000000" w:sz="12" w:space="0"/>
              <w:bottom w:val="single" w:color="000000" w:sz="4" w:space="0"/>
              <w:right w:val="single" w:color="000000" w:sz="12" w:space="0"/>
            </w:tcBorders>
            <w:vAlign w:val="bottom"/>
          </w:tcPr>
          <w:p w14:paraId="026EA69A">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9、住宿业</w:t>
            </w:r>
          </w:p>
        </w:tc>
        <w:tc>
          <w:tcPr>
            <w:tcW w:w="1320" w:type="dxa"/>
            <w:tcBorders>
              <w:top w:val="single" w:color="000000" w:sz="4" w:space="0"/>
              <w:left w:val="single" w:color="000000" w:sz="12" w:space="0"/>
              <w:bottom w:val="single" w:color="000000" w:sz="4" w:space="0"/>
              <w:right w:val="single" w:color="000000" w:sz="4" w:space="0"/>
            </w:tcBorders>
            <w:vAlign w:val="bottom"/>
          </w:tcPr>
          <w:p w14:paraId="07C6C0D2">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100≤X＜300</w:t>
            </w:r>
          </w:p>
        </w:tc>
        <w:tc>
          <w:tcPr>
            <w:tcW w:w="1560" w:type="dxa"/>
            <w:tcBorders>
              <w:top w:val="single" w:color="000000" w:sz="4" w:space="0"/>
              <w:left w:val="single" w:color="000000" w:sz="4" w:space="0"/>
              <w:bottom w:val="single" w:color="000000" w:sz="4" w:space="0"/>
              <w:right w:val="single" w:color="000000" w:sz="4" w:space="0"/>
            </w:tcBorders>
            <w:vAlign w:val="bottom"/>
          </w:tcPr>
          <w:p w14:paraId="34337E0F">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2000≤Y＜10000</w:t>
            </w:r>
          </w:p>
        </w:tc>
        <w:tc>
          <w:tcPr>
            <w:tcW w:w="1500" w:type="dxa"/>
            <w:tcBorders>
              <w:top w:val="single" w:color="000000" w:sz="4" w:space="0"/>
              <w:left w:val="single" w:color="000000" w:sz="4" w:space="0"/>
              <w:bottom w:val="single" w:color="000000" w:sz="4" w:space="0"/>
              <w:right w:val="single" w:color="000000" w:sz="12" w:space="0"/>
            </w:tcBorders>
            <w:vAlign w:val="bottom"/>
          </w:tcPr>
          <w:p w14:paraId="0C3BDB7F">
            <w:pPr>
              <w:rPr>
                <w:rFonts w:cs="宋体" w:asciiTheme="minorEastAsia" w:hAnsiTheme="minorEastAsia" w:eastAsiaTheme="minorEastAsia"/>
                <w:color w:val="auto"/>
                <w:sz w:val="18"/>
                <w:szCs w:val="18"/>
                <w:highlight w:val="none"/>
              </w:rPr>
            </w:pPr>
          </w:p>
        </w:tc>
        <w:tc>
          <w:tcPr>
            <w:tcW w:w="1320" w:type="dxa"/>
            <w:tcBorders>
              <w:top w:val="single" w:color="000000" w:sz="4" w:space="0"/>
              <w:left w:val="single" w:color="000000" w:sz="12" w:space="0"/>
              <w:bottom w:val="single" w:color="000000" w:sz="4" w:space="0"/>
              <w:right w:val="single" w:color="000000" w:sz="4" w:space="0"/>
            </w:tcBorders>
            <w:vAlign w:val="bottom"/>
          </w:tcPr>
          <w:p w14:paraId="6111F038">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10≤X＜100</w:t>
            </w:r>
          </w:p>
        </w:tc>
        <w:tc>
          <w:tcPr>
            <w:tcW w:w="1500" w:type="dxa"/>
            <w:tcBorders>
              <w:top w:val="single" w:color="000000" w:sz="4" w:space="0"/>
              <w:left w:val="single" w:color="000000" w:sz="4" w:space="0"/>
              <w:bottom w:val="single" w:color="000000" w:sz="4" w:space="0"/>
              <w:right w:val="single" w:color="000000" w:sz="4" w:space="0"/>
            </w:tcBorders>
            <w:vAlign w:val="bottom"/>
          </w:tcPr>
          <w:p w14:paraId="3F6096D3">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100≤Y＜2000</w:t>
            </w:r>
          </w:p>
        </w:tc>
        <w:tc>
          <w:tcPr>
            <w:tcW w:w="1406" w:type="dxa"/>
            <w:tcBorders>
              <w:top w:val="single" w:color="000000" w:sz="4" w:space="0"/>
              <w:left w:val="single" w:color="000000" w:sz="4" w:space="0"/>
              <w:bottom w:val="single" w:color="000000" w:sz="4" w:space="0"/>
              <w:right w:val="single" w:color="000000" w:sz="12" w:space="0"/>
            </w:tcBorders>
            <w:vAlign w:val="bottom"/>
          </w:tcPr>
          <w:p w14:paraId="64745555">
            <w:pPr>
              <w:rPr>
                <w:rFonts w:cs="宋体" w:asciiTheme="minorEastAsia" w:hAnsiTheme="minorEastAsia" w:eastAsiaTheme="minorEastAsia"/>
                <w:color w:val="auto"/>
                <w:sz w:val="18"/>
                <w:szCs w:val="18"/>
                <w:highlight w:val="none"/>
              </w:rPr>
            </w:pPr>
          </w:p>
        </w:tc>
        <w:tc>
          <w:tcPr>
            <w:tcW w:w="1264" w:type="dxa"/>
            <w:tcBorders>
              <w:top w:val="single" w:color="000000" w:sz="4" w:space="0"/>
              <w:left w:val="single" w:color="000000" w:sz="12" w:space="0"/>
              <w:bottom w:val="single" w:color="000000" w:sz="4" w:space="0"/>
              <w:right w:val="single" w:color="000000" w:sz="4" w:space="0"/>
            </w:tcBorders>
            <w:vAlign w:val="bottom"/>
          </w:tcPr>
          <w:p w14:paraId="7C6D3BEA">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X＜10</w:t>
            </w:r>
          </w:p>
        </w:tc>
        <w:tc>
          <w:tcPr>
            <w:tcW w:w="1470" w:type="dxa"/>
            <w:tcBorders>
              <w:top w:val="single" w:color="000000" w:sz="4" w:space="0"/>
              <w:left w:val="single" w:color="000000" w:sz="4" w:space="0"/>
              <w:bottom w:val="single" w:color="000000" w:sz="4" w:space="0"/>
              <w:right w:val="single" w:color="000000" w:sz="4" w:space="0"/>
            </w:tcBorders>
            <w:vAlign w:val="bottom"/>
          </w:tcPr>
          <w:p w14:paraId="5C000D32">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Y＜100</w:t>
            </w:r>
          </w:p>
        </w:tc>
        <w:tc>
          <w:tcPr>
            <w:tcW w:w="1515" w:type="dxa"/>
            <w:tcBorders>
              <w:top w:val="single" w:color="000000" w:sz="4" w:space="0"/>
              <w:left w:val="single" w:color="000000" w:sz="4" w:space="0"/>
              <w:bottom w:val="single" w:color="000000" w:sz="4" w:space="0"/>
              <w:right w:val="single" w:color="000000" w:sz="12" w:space="0"/>
            </w:tcBorders>
            <w:vAlign w:val="bottom"/>
          </w:tcPr>
          <w:p w14:paraId="0A116CC2">
            <w:pPr>
              <w:rPr>
                <w:rFonts w:cs="宋体" w:asciiTheme="minorEastAsia" w:hAnsiTheme="minorEastAsia" w:eastAsiaTheme="minorEastAsia"/>
                <w:color w:val="auto"/>
                <w:sz w:val="18"/>
                <w:szCs w:val="18"/>
                <w:highlight w:val="none"/>
              </w:rPr>
            </w:pPr>
          </w:p>
        </w:tc>
      </w:tr>
      <w:tr w14:paraId="3317E856">
        <w:tblPrEx>
          <w:tblCellMar>
            <w:top w:w="15" w:type="dxa"/>
            <w:left w:w="15" w:type="dxa"/>
            <w:bottom w:w="15" w:type="dxa"/>
            <w:right w:w="15" w:type="dxa"/>
          </w:tblCellMar>
        </w:tblPrEx>
        <w:trPr>
          <w:trHeight w:val="306" w:hRule="atLeast"/>
        </w:trPr>
        <w:tc>
          <w:tcPr>
            <w:tcW w:w="2153" w:type="dxa"/>
            <w:tcBorders>
              <w:top w:val="single" w:color="000000" w:sz="4" w:space="0"/>
              <w:left w:val="single" w:color="000000" w:sz="12" w:space="0"/>
              <w:bottom w:val="single" w:color="000000" w:sz="4" w:space="0"/>
              <w:right w:val="single" w:color="000000" w:sz="12" w:space="0"/>
            </w:tcBorders>
            <w:vAlign w:val="bottom"/>
          </w:tcPr>
          <w:p w14:paraId="20CC7AD4">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10、餐饮业</w:t>
            </w:r>
          </w:p>
        </w:tc>
        <w:tc>
          <w:tcPr>
            <w:tcW w:w="1320" w:type="dxa"/>
            <w:tcBorders>
              <w:top w:val="single" w:color="000000" w:sz="4" w:space="0"/>
              <w:left w:val="single" w:color="000000" w:sz="12" w:space="0"/>
              <w:bottom w:val="single" w:color="000000" w:sz="4" w:space="0"/>
              <w:right w:val="single" w:color="000000" w:sz="4" w:space="0"/>
            </w:tcBorders>
            <w:vAlign w:val="bottom"/>
          </w:tcPr>
          <w:p w14:paraId="1B9358ED">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100≤X＜300</w:t>
            </w:r>
          </w:p>
        </w:tc>
        <w:tc>
          <w:tcPr>
            <w:tcW w:w="1560" w:type="dxa"/>
            <w:tcBorders>
              <w:top w:val="single" w:color="000000" w:sz="4" w:space="0"/>
              <w:left w:val="single" w:color="000000" w:sz="4" w:space="0"/>
              <w:bottom w:val="single" w:color="000000" w:sz="4" w:space="0"/>
              <w:right w:val="single" w:color="000000" w:sz="4" w:space="0"/>
            </w:tcBorders>
            <w:vAlign w:val="bottom"/>
          </w:tcPr>
          <w:p w14:paraId="283AF605">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2000≤Y＜10000</w:t>
            </w:r>
          </w:p>
        </w:tc>
        <w:tc>
          <w:tcPr>
            <w:tcW w:w="1500" w:type="dxa"/>
            <w:tcBorders>
              <w:top w:val="single" w:color="000000" w:sz="4" w:space="0"/>
              <w:left w:val="single" w:color="000000" w:sz="4" w:space="0"/>
              <w:bottom w:val="single" w:color="000000" w:sz="4" w:space="0"/>
              <w:right w:val="single" w:color="000000" w:sz="12" w:space="0"/>
            </w:tcBorders>
            <w:vAlign w:val="bottom"/>
          </w:tcPr>
          <w:p w14:paraId="09C6768B">
            <w:pPr>
              <w:rPr>
                <w:rFonts w:cs="宋体" w:asciiTheme="minorEastAsia" w:hAnsiTheme="minorEastAsia" w:eastAsiaTheme="minorEastAsia"/>
                <w:color w:val="auto"/>
                <w:sz w:val="18"/>
                <w:szCs w:val="18"/>
                <w:highlight w:val="none"/>
              </w:rPr>
            </w:pPr>
          </w:p>
        </w:tc>
        <w:tc>
          <w:tcPr>
            <w:tcW w:w="1320" w:type="dxa"/>
            <w:tcBorders>
              <w:top w:val="single" w:color="000000" w:sz="4" w:space="0"/>
              <w:left w:val="single" w:color="000000" w:sz="12" w:space="0"/>
              <w:bottom w:val="single" w:color="000000" w:sz="4" w:space="0"/>
              <w:right w:val="single" w:color="000000" w:sz="4" w:space="0"/>
            </w:tcBorders>
            <w:vAlign w:val="bottom"/>
          </w:tcPr>
          <w:p w14:paraId="194E2D9A">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10≤X＜100</w:t>
            </w:r>
          </w:p>
        </w:tc>
        <w:tc>
          <w:tcPr>
            <w:tcW w:w="1500" w:type="dxa"/>
            <w:tcBorders>
              <w:top w:val="single" w:color="000000" w:sz="4" w:space="0"/>
              <w:left w:val="single" w:color="000000" w:sz="4" w:space="0"/>
              <w:bottom w:val="single" w:color="000000" w:sz="4" w:space="0"/>
              <w:right w:val="single" w:color="000000" w:sz="4" w:space="0"/>
            </w:tcBorders>
            <w:vAlign w:val="bottom"/>
          </w:tcPr>
          <w:p w14:paraId="4349B0FA">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100≤Y＜2000</w:t>
            </w:r>
          </w:p>
        </w:tc>
        <w:tc>
          <w:tcPr>
            <w:tcW w:w="1406" w:type="dxa"/>
            <w:tcBorders>
              <w:top w:val="single" w:color="000000" w:sz="4" w:space="0"/>
              <w:left w:val="single" w:color="000000" w:sz="4" w:space="0"/>
              <w:bottom w:val="single" w:color="000000" w:sz="4" w:space="0"/>
              <w:right w:val="single" w:color="000000" w:sz="12" w:space="0"/>
            </w:tcBorders>
            <w:vAlign w:val="bottom"/>
          </w:tcPr>
          <w:p w14:paraId="28F5C516">
            <w:pPr>
              <w:rPr>
                <w:rFonts w:cs="宋体" w:asciiTheme="minorEastAsia" w:hAnsiTheme="minorEastAsia" w:eastAsiaTheme="minorEastAsia"/>
                <w:color w:val="auto"/>
                <w:sz w:val="18"/>
                <w:szCs w:val="18"/>
                <w:highlight w:val="none"/>
              </w:rPr>
            </w:pPr>
          </w:p>
        </w:tc>
        <w:tc>
          <w:tcPr>
            <w:tcW w:w="1264" w:type="dxa"/>
            <w:tcBorders>
              <w:top w:val="single" w:color="000000" w:sz="4" w:space="0"/>
              <w:left w:val="single" w:color="000000" w:sz="12" w:space="0"/>
              <w:bottom w:val="single" w:color="000000" w:sz="4" w:space="0"/>
              <w:right w:val="single" w:color="000000" w:sz="4" w:space="0"/>
            </w:tcBorders>
            <w:vAlign w:val="bottom"/>
          </w:tcPr>
          <w:p w14:paraId="0C39914A">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X＜10</w:t>
            </w:r>
          </w:p>
        </w:tc>
        <w:tc>
          <w:tcPr>
            <w:tcW w:w="1470" w:type="dxa"/>
            <w:tcBorders>
              <w:top w:val="single" w:color="000000" w:sz="4" w:space="0"/>
              <w:left w:val="single" w:color="000000" w:sz="4" w:space="0"/>
              <w:bottom w:val="single" w:color="000000" w:sz="4" w:space="0"/>
              <w:right w:val="single" w:color="000000" w:sz="4" w:space="0"/>
            </w:tcBorders>
            <w:vAlign w:val="bottom"/>
          </w:tcPr>
          <w:p w14:paraId="1D109AF3">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V＜100</w:t>
            </w:r>
          </w:p>
        </w:tc>
        <w:tc>
          <w:tcPr>
            <w:tcW w:w="1515" w:type="dxa"/>
            <w:tcBorders>
              <w:top w:val="single" w:color="000000" w:sz="4" w:space="0"/>
              <w:left w:val="single" w:color="000000" w:sz="4" w:space="0"/>
              <w:bottom w:val="single" w:color="000000" w:sz="4" w:space="0"/>
              <w:right w:val="single" w:color="000000" w:sz="12" w:space="0"/>
            </w:tcBorders>
            <w:vAlign w:val="bottom"/>
          </w:tcPr>
          <w:p w14:paraId="4C5E1ADA">
            <w:pPr>
              <w:rPr>
                <w:rFonts w:cs="宋体" w:asciiTheme="minorEastAsia" w:hAnsiTheme="minorEastAsia" w:eastAsiaTheme="minorEastAsia"/>
                <w:color w:val="auto"/>
                <w:sz w:val="18"/>
                <w:szCs w:val="18"/>
                <w:highlight w:val="none"/>
              </w:rPr>
            </w:pPr>
          </w:p>
        </w:tc>
      </w:tr>
      <w:tr w14:paraId="394ED14B">
        <w:tblPrEx>
          <w:tblCellMar>
            <w:top w:w="15" w:type="dxa"/>
            <w:left w:w="15" w:type="dxa"/>
            <w:bottom w:w="15" w:type="dxa"/>
            <w:right w:w="15" w:type="dxa"/>
          </w:tblCellMar>
        </w:tblPrEx>
        <w:trPr>
          <w:trHeight w:val="306" w:hRule="atLeast"/>
        </w:trPr>
        <w:tc>
          <w:tcPr>
            <w:tcW w:w="2153" w:type="dxa"/>
            <w:tcBorders>
              <w:top w:val="single" w:color="000000" w:sz="4" w:space="0"/>
              <w:left w:val="single" w:color="000000" w:sz="12" w:space="0"/>
              <w:bottom w:val="single" w:color="000000" w:sz="4" w:space="0"/>
              <w:right w:val="single" w:color="000000" w:sz="12" w:space="0"/>
            </w:tcBorders>
            <w:vAlign w:val="bottom"/>
          </w:tcPr>
          <w:p w14:paraId="555D87EE">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11、信息传输业</w:t>
            </w:r>
          </w:p>
        </w:tc>
        <w:tc>
          <w:tcPr>
            <w:tcW w:w="1320" w:type="dxa"/>
            <w:tcBorders>
              <w:top w:val="single" w:color="000000" w:sz="4" w:space="0"/>
              <w:left w:val="single" w:color="000000" w:sz="12" w:space="0"/>
              <w:bottom w:val="single" w:color="000000" w:sz="4" w:space="0"/>
              <w:right w:val="single" w:color="000000" w:sz="4" w:space="0"/>
            </w:tcBorders>
            <w:vAlign w:val="bottom"/>
          </w:tcPr>
          <w:p w14:paraId="7F4FCA8F">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100≤X＜2000</w:t>
            </w:r>
          </w:p>
        </w:tc>
        <w:tc>
          <w:tcPr>
            <w:tcW w:w="1560" w:type="dxa"/>
            <w:tcBorders>
              <w:top w:val="single" w:color="000000" w:sz="4" w:space="0"/>
              <w:left w:val="single" w:color="000000" w:sz="4" w:space="0"/>
              <w:bottom w:val="single" w:color="000000" w:sz="4" w:space="0"/>
              <w:right w:val="single" w:color="000000" w:sz="4" w:space="0"/>
            </w:tcBorders>
            <w:vAlign w:val="bottom"/>
          </w:tcPr>
          <w:p w14:paraId="487551F4">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1000≤Y＜100000</w:t>
            </w:r>
          </w:p>
        </w:tc>
        <w:tc>
          <w:tcPr>
            <w:tcW w:w="1500" w:type="dxa"/>
            <w:tcBorders>
              <w:top w:val="single" w:color="000000" w:sz="4" w:space="0"/>
              <w:left w:val="single" w:color="000000" w:sz="4" w:space="0"/>
              <w:bottom w:val="single" w:color="000000" w:sz="4" w:space="0"/>
              <w:right w:val="single" w:color="000000" w:sz="12" w:space="0"/>
            </w:tcBorders>
            <w:vAlign w:val="bottom"/>
          </w:tcPr>
          <w:p w14:paraId="714A75CD">
            <w:pPr>
              <w:rPr>
                <w:rFonts w:cs="宋体" w:asciiTheme="minorEastAsia" w:hAnsiTheme="minorEastAsia" w:eastAsiaTheme="minorEastAsia"/>
                <w:color w:val="auto"/>
                <w:sz w:val="18"/>
                <w:szCs w:val="18"/>
                <w:highlight w:val="none"/>
              </w:rPr>
            </w:pPr>
          </w:p>
        </w:tc>
        <w:tc>
          <w:tcPr>
            <w:tcW w:w="1320" w:type="dxa"/>
            <w:tcBorders>
              <w:top w:val="single" w:color="000000" w:sz="4" w:space="0"/>
              <w:left w:val="single" w:color="000000" w:sz="12" w:space="0"/>
              <w:bottom w:val="single" w:color="000000" w:sz="4" w:space="0"/>
              <w:right w:val="single" w:color="000000" w:sz="4" w:space="0"/>
            </w:tcBorders>
            <w:vAlign w:val="bottom"/>
          </w:tcPr>
          <w:p w14:paraId="74EA7EA7">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10≤X＜100</w:t>
            </w:r>
          </w:p>
        </w:tc>
        <w:tc>
          <w:tcPr>
            <w:tcW w:w="1500" w:type="dxa"/>
            <w:tcBorders>
              <w:top w:val="single" w:color="000000" w:sz="4" w:space="0"/>
              <w:left w:val="single" w:color="000000" w:sz="4" w:space="0"/>
              <w:bottom w:val="single" w:color="000000" w:sz="4" w:space="0"/>
              <w:right w:val="single" w:color="000000" w:sz="4" w:space="0"/>
            </w:tcBorders>
            <w:vAlign w:val="bottom"/>
          </w:tcPr>
          <w:p w14:paraId="7F2AF7A6">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100≤Y＜1000</w:t>
            </w:r>
          </w:p>
        </w:tc>
        <w:tc>
          <w:tcPr>
            <w:tcW w:w="1406" w:type="dxa"/>
            <w:tcBorders>
              <w:top w:val="single" w:color="000000" w:sz="4" w:space="0"/>
              <w:left w:val="single" w:color="000000" w:sz="4" w:space="0"/>
              <w:bottom w:val="single" w:color="000000" w:sz="4" w:space="0"/>
              <w:right w:val="single" w:color="000000" w:sz="12" w:space="0"/>
            </w:tcBorders>
            <w:vAlign w:val="bottom"/>
          </w:tcPr>
          <w:p w14:paraId="1A6885E2">
            <w:pPr>
              <w:rPr>
                <w:rFonts w:cs="宋体" w:asciiTheme="minorEastAsia" w:hAnsiTheme="minorEastAsia" w:eastAsiaTheme="minorEastAsia"/>
                <w:color w:val="auto"/>
                <w:sz w:val="18"/>
                <w:szCs w:val="18"/>
                <w:highlight w:val="none"/>
              </w:rPr>
            </w:pPr>
          </w:p>
        </w:tc>
        <w:tc>
          <w:tcPr>
            <w:tcW w:w="1264" w:type="dxa"/>
            <w:tcBorders>
              <w:top w:val="single" w:color="000000" w:sz="4" w:space="0"/>
              <w:left w:val="single" w:color="000000" w:sz="12" w:space="0"/>
              <w:bottom w:val="single" w:color="000000" w:sz="4" w:space="0"/>
              <w:right w:val="single" w:color="000000" w:sz="4" w:space="0"/>
            </w:tcBorders>
            <w:vAlign w:val="bottom"/>
          </w:tcPr>
          <w:p w14:paraId="1C861205">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X＜10</w:t>
            </w:r>
          </w:p>
        </w:tc>
        <w:tc>
          <w:tcPr>
            <w:tcW w:w="1470" w:type="dxa"/>
            <w:tcBorders>
              <w:top w:val="single" w:color="000000" w:sz="4" w:space="0"/>
              <w:left w:val="single" w:color="000000" w:sz="4" w:space="0"/>
              <w:bottom w:val="single" w:color="000000" w:sz="4" w:space="0"/>
              <w:right w:val="single" w:color="000000" w:sz="4" w:space="0"/>
            </w:tcBorders>
            <w:vAlign w:val="bottom"/>
          </w:tcPr>
          <w:p w14:paraId="6E7EEDA0">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Y＜100</w:t>
            </w:r>
          </w:p>
        </w:tc>
        <w:tc>
          <w:tcPr>
            <w:tcW w:w="1515" w:type="dxa"/>
            <w:tcBorders>
              <w:top w:val="single" w:color="000000" w:sz="4" w:space="0"/>
              <w:left w:val="single" w:color="000000" w:sz="4" w:space="0"/>
              <w:bottom w:val="single" w:color="000000" w:sz="4" w:space="0"/>
              <w:right w:val="single" w:color="000000" w:sz="12" w:space="0"/>
            </w:tcBorders>
            <w:vAlign w:val="bottom"/>
          </w:tcPr>
          <w:p w14:paraId="74015B4D">
            <w:pPr>
              <w:rPr>
                <w:rFonts w:cs="宋体" w:asciiTheme="minorEastAsia" w:hAnsiTheme="minorEastAsia" w:eastAsiaTheme="minorEastAsia"/>
                <w:color w:val="auto"/>
                <w:sz w:val="18"/>
                <w:szCs w:val="18"/>
                <w:highlight w:val="none"/>
              </w:rPr>
            </w:pPr>
          </w:p>
        </w:tc>
      </w:tr>
      <w:tr w14:paraId="50596091">
        <w:tblPrEx>
          <w:tblCellMar>
            <w:top w:w="15" w:type="dxa"/>
            <w:left w:w="15" w:type="dxa"/>
            <w:bottom w:w="15" w:type="dxa"/>
            <w:right w:w="15" w:type="dxa"/>
          </w:tblCellMar>
        </w:tblPrEx>
        <w:trPr>
          <w:trHeight w:val="306" w:hRule="atLeast"/>
        </w:trPr>
        <w:tc>
          <w:tcPr>
            <w:tcW w:w="2153" w:type="dxa"/>
            <w:tcBorders>
              <w:top w:val="single" w:color="000000" w:sz="4" w:space="0"/>
              <w:left w:val="single" w:color="000000" w:sz="12" w:space="0"/>
              <w:bottom w:val="single" w:color="000000" w:sz="4" w:space="0"/>
              <w:right w:val="single" w:color="000000" w:sz="12" w:space="0"/>
            </w:tcBorders>
            <w:vAlign w:val="bottom"/>
          </w:tcPr>
          <w:p w14:paraId="35F79C4D">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12、软件和信息技术服务业</w:t>
            </w:r>
          </w:p>
        </w:tc>
        <w:tc>
          <w:tcPr>
            <w:tcW w:w="1320" w:type="dxa"/>
            <w:tcBorders>
              <w:top w:val="single" w:color="000000" w:sz="4" w:space="0"/>
              <w:left w:val="single" w:color="000000" w:sz="12" w:space="0"/>
              <w:bottom w:val="single" w:color="000000" w:sz="4" w:space="0"/>
              <w:right w:val="single" w:color="000000" w:sz="4" w:space="0"/>
            </w:tcBorders>
            <w:vAlign w:val="bottom"/>
          </w:tcPr>
          <w:p w14:paraId="2EBA629C">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100≤X＜300</w:t>
            </w:r>
          </w:p>
        </w:tc>
        <w:tc>
          <w:tcPr>
            <w:tcW w:w="1560" w:type="dxa"/>
            <w:tcBorders>
              <w:top w:val="single" w:color="000000" w:sz="4" w:space="0"/>
              <w:left w:val="single" w:color="000000" w:sz="4" w:space="0"/>
              <w:bottom w:val="single" w:color="000000" w:sz="4" w:space="0"/>
              <w:right w:val="single" w:color="000000" w:sz="4" w:space="0"/>
            </w:tcBorders>
            <w:vAlign w:val="bottom"/>
          </w:tcPr>
          <w:p w14:paraId="5AC778F2">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1000≤Y＜10000</w:t>
            </w:r>
          </w:p>
        </w:tc>
        <w:tc>
          <w:tcPr>
            <w:tcW w:w="1500" w:type="dxa"/>
            <w:tcBorders>
              <w:top w:val="single" w:color="000000" w:sz="4" w:space="0"/>
              <w:left w:val="single" w:color="000000" w:sz="4" w:space="0"/>
              <w:bottom w:val="single" w:color="000000" w:sz="4" w:space="0"/>
              <w:right w:val="single" w:color="000000" w:sz="12" w:space="0"/>
            </w:tcBorders>
            <w:vAlign w:val="bottom"/>
          </w:tcPr>
          <w:p w14:paraId="47731E0C">
            <w:pPr>
              <w:rPr>
                <w:rFonts w:cs="宋体" w:asciiTheme="minorEastAsia" w:hAnsiTheme="minorEastAsia" w:eastAsiaTheme="minorEastAsia"/>
                <w:color w:val="auto"/>
                <w:sz w:val="18"/>
                <w:szCs w:val="18"/>
                <w:highlight w:val="none"/>
              </w:rPr>
            </w:pPr>
          </w:p>
        </w:tc>
        <w:tc>
          <w:tcPr>
            <w:tcW w:w="1320" w:type="dxa"/>
            <w:tcBorders>
              <w:top w:val="single" w:color="000000" w:sz="4" w:space="0"/>
              <w:left w:val="single" w:color="000000" w:sz="12" w:space="0"/>
              <w:bottom w:val="single" w:color="000000" w:sz="4" w:space="0"/>
              <w:right w:val="single" w:color="000000" w:sz="4" w:space="0"/>
            </w:tcBorders>
            <w:vAlign w:val="bottom"/>
          </w:tcPr>
          <w:p w14:paraId="746CEA9D">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10≤X＜100</w:t>
            </w:r>
          </w:p>
        </w:tc>
        <w:tc>
          <w:tcPr>
            <w:tcW w:w="1500" w:type="dxa"/>
            <w:tcBorders>
              <w:top w:val="single" w:color="000000" w:sz="4" w:space="0"/>
              <w:left w:val="single" w:color="000000" w:sz="4" w:space="0"/>
              <w:bottom w:val="single" w:color="000000" w:sz="4" w:space="0"/>
              <w:right w:val="single" w:color="000000" w:sz="4" w:space="0"/>
            </w:tcBorders>
            <w:vAlign w:val="bottom"/>
          </w:tcPr>
          <w:p w14:paraId="42F97ED6">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50≤Y＜1000</w:t>
            </w:r>
          </w:p>
        </w:tc>
        <w:tc>
          <w:tcPr>
            <w:tcW w:w="1406" w:type="dxa"/>
            <w:tcBorders>
              <w:top w:val="single" w:color="000000" w:sz="4" w:space="0"/>
              <w:left w:val="single" w:color="000000" w:sz="4" w:space="0"/>
              <w:bottom w:val="single" w:color="000000" w:sz="4" w:space="0"/>
              <w:right w:val="single" w:color="000000" w:sz="12" w:space="0"/>
            </w:tcBorders>
            <w:vAlign w:val="bottom"/>
          </w:tcPr>
          <w:p w14:paraId="244ACD49">
            <w:pPr>
              <w:rPr>
                <w:rFonts w:cs="宋体" w:asciiTheme="minorEastAsia" w:hAnsiTheme="minorEastAsia" w:eastAsiaTheme="minorEastAsia"/>
                <w:color w:val="auto"/>
                <w:sz w:val="18"/>
                <w:szCs w:val="18"/>
                <w:highlight w:val="none"/>
              </w:rPr>
            </w:pPr>
          </w:p>
        </w:tc>
        <w:tc>
          <w:tcPr>
            <w:tcW w:w="1264" w:type="dxa"/>
            <w:tcBorders>
              <w:top w:val="single" w:color="000000" w:sz="4" w:space="0"/>
              <w:left w:val="single" w:color="000000" w:sz="12" w:space="0"/>
              <w:bottom w:val="single" w:color="000000" w:sz="4" w:space="0"/>
              <w:right w:val="single" w:color="000000" w:sz="4" w:space="0"/>
            </w:tcBorders>
            <w:vAlign w:val="bottom"/>
          </w:tcPr>
          <w:p w14:paraId="7CD5CCCB">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X＜10</w:t>
            </w:r>
          </w:p>
        </w:tc>
        <w:tc>
          <w:tcPr>
            <w:tcW w:w="1470" w:type="dxa"/>
            <w:tcBorders>
              <w:top w:val="single" w:color="000000" w:sz="4" w:space="0"/>
              <w:left w:val="single" w:color="000000" w:sz="4" w:space="0"/>
              <w:bottom w:val="single" w:color="000000" w:sz="4" w:space="0"/>
              <w:right w:val="single" w:color="000000" w:sz="4" w:space="0"/>
            </w:tcBorders>
            <w:vAlign w:val="bottom"/>
          </w:tcPr>
          <w:p w14:paraId="7E058CA5">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Y＜50</w:t>
            </w:r>
          </w:p>
        </w:tc>
        <w:tc>
          <w:tcPr>
            <w:tcW w:w="1515" w:type="dxa"/>
            <w:tcBorders>
              <w:top w:val="single" w:color="000000" w:sz="4" w:space="0"/>
              <w:left w:val="single" w:color="000000" w:sz="4" w:space="0"/>
              <w:bottom w:val="single" w:color="000000" w:sz="4" w:space="0"/>
              <w:right w:val="single" w:color="000000" w:sz="12" w:space="0"/>
            </w:tcBorders>
            <w:vAlign w:val="bottom"/>
          </w:tcPr>
          <w:p w14:paraId="1709AD75">
            <w:pPr>
              <w:rPr>
                <w:rFonts w:cs="宋体" w:asciiTheme="minorEastAsia" w:hAnsiTheme="minorEastAsia" w:eastAsiaTheme="minorEastAsia"/>
                <w:color w:val="auto"/>
                <w:sz w:val="18"/>
                <w:szCs w:val="18"/>
                <w:highlight w:val="none"/>
              </w:rPr>
            </w:pPr>
          </w:p>
        </w:tc>
      </w:tr>
      <w:tr w14:paraId="21F3D5E9">
        <w:tblPrEx>
          <w:tblCellMar>
            <w:top w:w="15" w:type="dxa"/>
            <w:left w:w="15" w:type="dxa"/>
            <w:bottom w:w="15" w:type="dxa"/>
            <w:right w:w="15" w:type="dxa"/>
          </w:tblCellMar>
        </w:tblPrEx>
        <w:trPr>
          <w:trHeight w:val="306" w:hRule="atLeast"/>
        </w:trPr>
        <w:tc>
          <w:tcPr>
            <w:tcW w:w="2153" w:type="dxa"/>
            <w:tcBorders>
              <w:top w:val="single" w:color="000000" w:sz="4" w:space="0"/>
              <w:left w:val="single" w:color="000000" w:sz="12" w:space="0"/>
              <w:bottom w:val="single" w:color="000000" w:sz="4" w:space="0"/>
              <w:right w:val="single" w:color="000000" w:sz="12" w:space="0"/>
            </w:tcBorders>
            <w:vAlign w:val="bottom"/>
          </w:tcPr>
          <w:p w14:paraId="1A52AA0D">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13、房地产开发经营</w:t>
            </w:r>
          </w:p>
        </w:tc>
        <w:tc>
          <w:tcPr>
            <w:tcW w:w="1320" w:type="dxa"/>
            <w:tcBorders>
              <w:top w:val="single" w:color="000000" w:sz="4" w:space="0"/>
              <w:left w:val="single" w:color="000000" w:sz="12" w:space="0"/>
              <w:bottom w:val="single" w:color="000000" w:sz="4" w:space="0"/>
              <w:right w:val="single" w:color="000000" w:sz="4" w:space="0"/>
            </w:tcBorders>
            <w:vAlign w:val="bottom"/>
          </w:tcPr>
          <w:p w14:paraId="3E5F89FF">
            <w:pPr>
              <w:rPr>
                <w:rFonts w:cs="宋体" w:asciiTheme="minorEastAsia" w:hAnsiTheme="minorEastAsia" w:eastAsiaTheme="minorEastAsia"/>
                <w:color w:val="auto"/>
                <w:sz w:val="18"/>
                <w:szCs w:val="18"/>
                <w:highlight w:val="none"/>
              </w:rPr>
            </w:pPr>
          </w:p>
        </w:tc>
        <w:tc>
          <w:tcPr>
            <w:tcW w:w="1560" w:type="dxa"/>
            <w:tcBorders>
              <w:top w:val="single" w:color="000000" w:sz="4" w:space="0"/>
              <w:left w:val="single" w:color="000000" w:sz="4" w:space="0"/>
              <w:bottom w:val="single" w:color="000000" w:sz="4" w:space="0"/>
              <w:right w:val="single" w:color="000000" w:sz="4" w:space="0"/>
            </w:tcBorders>
            <w:vAlign w:val="bottom"/>
          </w:tcPr>
          <w:p w14:paraId="5DF92B6F">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1000≤Y＜200000</w:t>
            </w:r>
          </w:p>
        </w:tc>
        <w:tc>
          <w:tcPr>
            <w:tcW w:w="1500" w:type="dxa"/>
            <w:tcBorders>
              <w:top w:val="single" w:color="000000" w:sz="4" w:space="0"/>
              <w:left w:val="single" w:color="000000" w:sz="4" w:space="0"/>
              <w:bottom w:val="single" w:color="000000" w:sz="4" w:space="0"/>
              <w:right w:val="single" w:color="000000" w:sz="12" w:space="0"/>
            </w:tcBorders>
            <w:vAlign w:val="bottom"/>
          </w:tcPr>
          <w:p w14:paraId="65040065">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5000≤Z＜10000</w:t>
            </w:r>
          </w:p>
        </w:tc>
        <w:tc>
          <w:tcPr>
            <w:tcW w:w="1320" w:type="dxa"/>
            <w:tcBorders>
              <w:top w:val="single" w:color="000000" w:sz="4" w:space="0"/>
              <w:left w:val="single" w:color="000000" w:sz="12" w:space="0"/>
              <w:bottom w:val="single" w:color="000000" w:sz="4" w:space="0"/>
              <w:right w:val="single" w:color="000000" w:sz="4" w:space="0"/>
            </w:tcBorders>
            <w:vAlign w:val="bottom"/>
          </w:tcPr>
          <w:p w14:paraId="6EE0B2F5">
            <w:pPr>
              <w:rPr>
                <w:rFonts w:cs="宋体" w:asciiTheme="minorEastAsia" w:hAnsiTheme="minorEastAsia" w:eastAsiaTheme="minorEastAsia"/>
                <w:color w:val="auto"/>
                <w:sz w:val="18"/>
                <w:szCs w:val="18"/>
                <w:highlight w:val="none"/>
              </w:rPr>
            </w:pPr>
          </w:p>
        </w:tc>
        <w:tc>
          <w:tcPr>
            <w:tcW w:w="1500" w:type="dxa"/>
            <w:tcBorders>
              <w:top w:val="single" w:color="000000" w:sz="4" w:space="0"/>
              <w:left w:val="single" w:color="000000" w:sz="4" w:space="0"/>
              <w:bottom w:val="single" w:color="000000" w:sz="4" w:space="0"/>
              <w:right w:val="single" w:color="000000" w:sz="4" w:space="0"/>
            </w:tcBorders>
            <w:vAlign w:val="bottom"/>
          </w:tcPr>
          <w:p w14:paraId="7649F917">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100≤Y＜1000</w:t>
            </w:r>
          </w:p>
        </w:tc>
        <w:tc>
          <w:tcPr>
            <w:tcW w:w="1406" w:type="dxa"/>
            <w:tcBorders>
              <w:top w:val="single" w:color="000000" w:sz="4" w:space="0"/>
              <w:left w:val="single" w:color="000000" w:sz="4" w:space="0"/>
              <w:bottom w:val="single" w:color="000000" w:sz="4" w:space="0"/>
              <w:right w:val="single" w:color="000000" w:sz="12" w:space="0"/>
            </w:tcBorders>
            <w:vAlign w:val="bottom"/>
          </w:tcPr>
          <w:p w14:paraId="5810694D">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2000≤Z＜5000</w:t>
            </w:r>
          </w:p>
        </w:tc>
        <w:tc>
          <w:tcPr>
            <w:tcW w:w="1264" w:type="dxa"/>
            <w:tcBorders>
              <w:top w:val="single" w:color="000000" w:sz="4" w:space="0"/>
              <w:left w:val="single" w:color="000000" w:sz="12" w:space="0"/>
              <w:bottom w:val="single" w:color="000000" w:sz="4" w:space="0"/>
              <w:right w:val="single" w:color="000000" w:sz="4" w:space="0"/>
            </w:tcBorders>
            <w:vAlign w:val="bottom"/>
          </w:tcPr>
          <w:p w14:paraId="35ED9CAE">
            <w:pPr>
              <w:rPr>
                <w:rFonts w:cs="宋体" w:asciiTheme="minorEastAsia" w:hAnsiTheme="minorEastAsia" w:eastAsiaTheme="minorEastAsia"/>
                <w:color w:val="auto"/>
                <w:sz w:val="18"/>
                <w:szCs w:val="18"/>
                <w:highlight w:val="none"/>
              </w:rPr>
            </w:pPr>
          </w:p>
        </w:tc>
        <w:tc>
          <w:tcPr>
            <w:tcW w:w="1470" w:type="dxa"/>
            <w:tcBorders>
              <w:top w:val="single" w:color="000000" w:sz="4" w:space="0"/>
              <w:left w:val="single" w:color="000000" w:sz="4" w:space="0"/>
              <w:bottom w:val="single" w:color="000000" w:sz="4" w:space="0"/>
              <w:right w:val="single" w:color="000000" w:sz="4" w:space="0"/>
            </w:tcBorders>
            <w:vAlign w:val="bottom"/>
          </w:tcPr>
          <w:p w14:paraId="53C35857">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Y＜100</w:t>
            </w:r>
          </w:p>
        </w:tc>
        <w:tc>
          <w:tcPr>
            <w:tcW w:w="1515" w:type="dxa"/>
            <w:tcBorders>
              <w:top w:val="single" w:color="000000" w:sz="4" w:space="0"/>
              <w:left w:val="single" w:color="000000" w:sz="4" w:space="0"/>
              <w:bottom w:val="single" w:color="000000" w:sz="4" w:space="0"/>
              <w:right w:val="single" w:color="000000" w:sz="12" w:space="0"/>
            </w:tcBorders>
            <w:vAlign w:val="bottom"/>
          </w:tcPr>
          <w:p w14:paraId="042CB4E3">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Z＜2000</w:t>
            </w:r>
          </w:p>
        </w:tc>
      </w:tr>
      <w:tr w14:paraId="0B8F8B8A">
        <w:tblPrEx>
          <w:tblCellMar>
            <w:top w:w="15" w:type="dxa"/>
            <w:left w:w="15" w:type="dxa"/>
            <w:bottom w:w="15" w:type="dxa"/>
            <w:right w:w="15" w:type="dxa"/>
          </w:tblCellMar>
        </w:tblPrEx>
        <w:trPr>
          <w:trHeight w:val="306" w:hRule="atLeast"/>
        </w:trPr>
        <w:tc>
          <w:tcPr>
            <w:tcW w:w="2153" w:type="dxa"/>
            <w:tcBorders>
              <w:top w:val="single" w:color="000000" w:sz="4" w:space="0"/>
              <w:left w:val="single" w:color="000000" w:sz="12" w:space="0"/>
              <w:bottom w:val="single" w:color="000000" w:sz="4" w:space="0"/>
              <w:right w:val="single" w:color="000000" w:sz="12" w:space="0"/>
            </w:tcBorders>
            <w:vAlign w:val="bottom"/>
          </w:tcPr>
          <w:p w14:paraId="6AAAA873">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14、物业管理</w:t>
            </w:r>
          </w:p>
        </w:tc>
        <w:tc>
          <w:tcPr>
            <w:tcW w:w="1320" w:type="dxa"/>
            <w:tcBorders>
              <w:top w:val="single" w:color="000000" w:sz="4" w:space="0"/>
              <w:left w:val="single" w:color="000000" w:sz="12" w:space="0"/>
              <w:bottom w:val="single" w:color="000000" w:sz="4" w:space="0"/>
              <w:right w:val="single" w:color="000000" w:sz="4" w:space="0"/>
            </w:tcBorders>
            <w:vAlign w:val="bottom"/>
          </w:tcPr>
          <w:p w14:paraId="7B8CBEDE">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300≤X＜1000</w:t>
            </w:r>
          </w:p>
        </w:tc>
        <w:tc>
          <w:tcPr>
            <w:tcW w:w="1560" w:type="dxa"/>
            <w:tcBorders>
              <w:top w:val="single" w:color="000000" w:sz="4" w:space="0"/>
              <w:left w:val="single" w:color="000000" w:sz="4" w:space="0"/>
              <w:bottom w:val="single" w:color="000000" w:sz="4" w:space="0"/>
              <w:right w:val="single" w:color="000000" w:sz="4" w:space="0"/>
            </w:tcBorders>
            <w:vAlign w:val="bottom"/>
          </w:tcPr>
          <w:p w14:paraId="16D581FF">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1000≤Y＜5000</w:t>
            </w:r>
          </w:p>
        </w:tc>
        <w:tc>
          <w:tcPr>
            <w:tcW w:w="1500" w:type="dxa"/>
            <w:tcBorders>
              <w:top w:val="single" w:color="000000" w:sz="4" w:space="0"/>
              <w:left w:val="single" w:color="000000" w:sz="4" w:space="0"/>
              <w:bottom w:val="single" w:color="000000" w:sz="4" w:space="0"/>
              <w:right w:val="single" w:color="000000" w:sz="12" w:space="0"/>
            </w:tcBorders>
            <w:vAlign w:val="bottom"/>
          </w:tcPr>
          <w:p w14:paraId="103FDA1F">
            <w:pPr>
              <w:rPr>
                <w:rFonts w:cs="宋体" w:asciiTheme="minorEastAsia" w:hAnsiTheme="minorEastAsia" w:eastAsiaTheme="minorEastAsia"/>
                <w:color w:val="auto"/>
                <w:sz w:val="18"/>
                <w:szCs w:val="18"/>
                <w:highlight w:val="none"/>
              </w:rPr>
            </w:pPr>
          </w:p>
        </w:tc>
        <w:tc>
          <w:tcPr>
            <w:tcW w:w="1320" w:type="dxa"/>
            <w:tcBorders>
              <w:top w:val="single" w:color="000000" w:sz="4" w:space="0"/>
              <w:left w:val="single" w:color="000000" w:sz="12" w:space="0"/>
              <w:bottom w:val="single" w:color="000000" w:sz="4" w:space="0"/>
              <w:right w:val="single" w:color="000000" w:sz="4" w:space="0"/>
            </w:tcBorders>
            <w:vAlign w:val="bottom"/>
          </w:tcPr>
          <w:p w14:paraId="7047F23D">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100≤X＜300</w:t>
            </w:r>
          </w:p>
        </w:tc>
        <w:tc>
          <w:tcPr>
            <w:tcW w:w="1500" w:type="dxa"/>
            <w:tcBorders>
              <w:top w:val="single" w:color="000000" w:sz="4" w:space="0"/>
              <w:left w:val="single" w:color="000000" w:sz="4" w:space="0"/>
              <w:bottom w:val="single" w:color="000000" w:sz="4" w:space="0"/>
              <w:right w:val="single" w:color="000000" w:sz="4" w:space="0"/>
            </w:tcBorders>
            <w:vAlign w:val="bottom"/>
          </w:tcPr>
          <w:p w14:paraId="7A11BFB2">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500≤Y＜1000</w:t>
            </w:r>
          </w:p>
        </w:tc>
        <w:tc>
          <w:tcPr>
            <w:tcW w:w="1406" w:type="dxa"/>
            <w:tcBorders>
              <w:top w:val="single" w:color="000000" w:sz="4" w:space="0"/>
              <w:left w:val="single" w:color="000000" w:sz="4" w:space="0"/>
              <w:bottom w:val="single" w:color="000000" w:sz="4" w:space="0"/>
              <w:right w:val="single" w:color="000000" w:sz="12" w:space="0"/>
            </w:tcBorders>
            <w:vAlign w:val="bottom"/>
          </w:tcPr>
          <w:p w14:paraId="5FEEA0A0">
            <w:pPr>
              <w:rPr>
                <w:rFonts w:cs="宋体" w:asciiTheme="minorEastAsia" w:hAnsiTheme="minorEastAsia" w:eastAsiaTheme="minorEastAsia"/>
                <w:color w:val="auto"/>
                <w:sz w:val="18"/>
                <w:szCs w:val="18"/>
                <w:highlight w:val="none"/>
              </w:rPr>
            </w:pPr>
          </w:p>
        </w:tc>
        <w:tc>
          <w:tcPr>
            <w:tcW w:w="1264" w:type="dxa"/>
            <w:tcBorders>
              <w:top w:val="single" w:color="000000" w:sz="4" w:space="0"/>
              <w:left w:val="single" w:color="000000" w:sz="12" w:space="0"/>
              <w:bottom w:val="single" w:color="000000" w:sz="4" w:space="0"/>
              <w:right w:val="single" w:color="000000" w:sz="4" w:space="0"/>
            </w:tcBorders>
            <w:vAlign w:val="bottom"/>
          </w:tcPr>
          <w:p w14:paraId="3EDF7966">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X＜100</w:t>
            </w:r>
          </w:p>
        </w:tc>
        <w:tc>
          <w:tcPr>
            <w:tcW w:w="1470" w:type="dxa"/>
            <w:tcBorders>
              <w:top w:val="single" w:color="000000" w:sz="4" w:space="0"/>
              <w:left w:val="single" w:color="000000" w:sz="4" w:space="0"/>
              <w:bottom w:val="single" w:color="000000" w:sz="4" w:space="0"/>
              <w:right w:val="single" w:color="000000" w:sz="4" w:space="0"/>
            </w:tcBorders>
            <w:vAlign w:val="bottom"/>
          </w:tcPr>
          <w:p w14:paraId="4515CDC5">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Y＜500</w:t>
            </w:r>
          </w:p>
        </w:tc>
        <w:tc>
          <w:tcPr>
            <w:tcW w:w="1515" w:type="dxa"/>
            <w:tcBorders>
              <w:top w:val="single" w:color="000000" w:sz="4" w:space="0"/>
              <w:left w:val="single" w:color="000000" w:sz="4" w:space="0"/>
              <w:bottom w:val="single" w:color="000000" w:sz="4" w:space="0"/>
              <w:right w:val="single" w:color="000000" w:sz="12" w:space="0"/>
            </w:tcBorders>
            <w:vAlign w:val="bottom"/>
          </w:tcPr>
          <w:p w14:paraId="5117A317">
            <w:pPr>
              <w:rPr>
                <w:rFonts w:cs="宋体" w:asciiTheme="minorEastAsia" w:hAnsiTheme="minorEastAsia" w:eastAsiaTheme="minorEastAsia"/>
                <w:color w:val="auto"/>
                <w:sz w:val="18"/>
                <w:szCs w:val="18"/>
                <w:highlight w:val="none"/>
              </w:rPr>
            </w:pPr>
          </w:p>
        </w:tc>
      </w:tr>
      <w:tr w14:paraId="53A07D5A">
        <w:tblPrEx>
          <w:tblCellMar>
            <w:top w:w="15" w:type="dxa"/>
            <w:left w:w="15" w:type="dxa"/>
            <w:bottom w:w="15" w:type="dxa"/>
            <w:right w:w="15" w:type="dxa"/>
          </w:tblCellMar>
        </w:tblPrEx>
        <w:trPr>
          <w:trHeight w:val="306" w:hRule="atLeast"/>
        </w:trPr>
        <w:tc>
          <w:tcPr>
            <w:tcW w:w="2153" w:type="dxa"/>
            <w:tcBorders>
              <w:top w:val="single" w:color="000000" w:sz="4" w:space="0"/>
              <w:left w:val="single" w:color="000000" w:sz="12" w:space="0"/>
              <w:bottom w:val="single" w:color="000000" w:sz="4" w:space="0"/>
              <w:right w:val="single" w:color="000000" w:sz="12" w:space="0"/>
            </w:tcBorders>
            <w:vAlign w:val="bottom"/>
          </w:tcPr>
          <w:p w14:paraId="2D526F46">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15、租赁和商务服务业</w:t>
            </w:r>
          </w:p>
        </w:tc>
        <w:tc>
          <w:tcPr>
            <w:tcW w:w="1320" w:type="dxa"/>
            <w:tcBorders>
              <w:top w:val="single" w:color="000000" w:sz="4" w:space="0"/>
              <w:left w:val="single" w:color="000000" w:sz="12" w:space="0"/>
              <w:bottom w:val="single" w:color="000000" w:sz="4" w:space="0"/>
              <w:right w:val="single" w:color="000000" w:sz="4" w:space="0"/>
            </w:tcBorders>
            <w:vAlign w:val="bottom"/>
          </w:tcPr>
          <w:p w14:paraId="12BA9BF3">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100≤X＜300</w:t>
            </w:r>
          </w:p>
        </w:tc>
        <w:tc>
          <w:tcPr>
            <w:tcW w:w="1560" w:type="dxa"/>
            <w:tcBorders>
              <w:top w:val="single" w:color="000000" w:sz="4" w:space="0"/>
              <w:left w:val="single" w:color="000000" w:sz="4" w:space="0"/>
              <w:bottom w:val="single" w:color="000000" w:sz="4" w:space="0"/>
              <w:right w:val="single" w:color="000000" w:sz="4" w:space="0"/>
            </w:tcBorders>
            <w:vAlign w:val="bottom"/>
          </w:tcPr>
          <w:p w14:paraId="32C04118">
            <w:pPr>
              <w:rPr>
                <w:rFonts w:cs="宋体" w:asciiTheme="minorEastAsia" w:hAnsiTheme="minorEastAsia" w:eastAsiaTheme="minorEastAsia"/>
                <w:color w:val="auto"/>
                <w:sz w:val="18"/>
                <w:szCs w:val="18"/>
                <w:highlight w:val="none"/>
              </w:rPr>
            </w:pPr>
          </w:p>
        </w:tc>
        <w:tc>
          <w:tcPr>
            <w:tcW w:w="1500" w:type="dxa"/>
            <w:tcBorders>
              <w:top w:val="single" w:color="000000" w:sz="4" w:space="0"/>
              <w:left w:val="single" w:color="000000" w:sz="4" w:space="0"/>
              <w:bottom w:val="single" w:color="000000" w:sz="4" w:space="0"/>
              <w:right w:val="single" w:color="000000" w:sz="12" w:space="0"/>
            </w:tcBorders>
            <w:vAlign w:val="bottom"/>
          </w:tcPr>
          <w:p w14:paraId="1CB86B12">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8000≤Z＜120000</w:t>
            </w:r>
          </w:p>
        </w:tc>
        <w:tc>
          <w:tcPr>
            <w:tcW w:w="1320" w:type="dxa"/>
            <w:tcBorders>
              <w:top w:val="single" w:color="000000" w:sz="4" w:space="0"/>
              <w:left w:val="single" w:color="000000" w:sz="12" w:space="0"/>
              <w:bottom w:val="single" w:color="000000" w:sz="4" w:space="0"/>
              <w:right w:val="single" w:color="000000" w:sz="4" w:space="0"/>
            </w:tcBorders>
            <w:vAlign w:val="bottom"/>
          </w:tcPr>
          <w:p w14:paraId="2713F4F3">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10≤X＜100</w:t>
            </w:r>
          </w:p>
        </w:tc>
        <w:tc>
          <w:tcPr>
            <w:tcW w:w="1500" w:type="dxa"/>
            <w:tcBorders>
              <w:top w:val="single" w:color="000000" w:sz="4" w:space="0"/>
              <w:left w:val="single" w:color="000000" w:sz="4" w:space="0"/>
              <w:bottom w:val="single" w:color="000000" w:sz="4" w:space="0"/>
              <w:right w:val="single" w:color="000000" w:sz="4" w:space="0"/>
            </w:tcBorders>
            <w:vAlign w:val="bottom"/>
          </w:tcPr>
          <w:p w14:paraId="7606C912">
            <w:pPr>
              <w:rPr>
                <w:rFonts w:cs="宋体" w:asciiTheme="minorEastAsia" w:hAnsiTheme="minorEastAsia" w:eastAsiaTheme="minorEastAsia"/>
                <w:color w:val="auto"/>
                <w:sz w:val="18"/>
                <w:szCs w:val="18"/>
                <w:highlight w:val="none"/>
              </w:rPr>
            </w:pPr>
          </w:p>
        </w:tc>
        <w:tc>
          <w:tcPr>
            <w:tcW w:w="1406" w:type="dxa"/>
            <w:tcBorders>
              <w:top w:val="single" w:color="000000" w:sz="4" w:space="0"/>
              <w:left w:val="single" w:color="000000" w:sz="4" w:space="0"/>
              <w:bottom w:val="single" w:color="000000" w:sz="4" w:space="0"/>
              <w:right w:val="single" w:color="000000" w:sz="12" w:space="0"/>
            </w:tcBorders>
            <w:vAlign w:val="bottom"/>
          </w:tcPr>
          <w:p w14:paraId="7C987D87">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100≤Z＜8000</w:t>
            </w:r>
          </w:p>
        </w:tc>
        <w:tc>
          <w:tcPr>
            <w:tcW w:w="1264" w:type="dxa"/>
            <w:tcBorders>
              <w:top w:val="single" w:color="000000" w:sz="4" w:space="0"/>
              <w:left w:val="single" w:color="000000" w:sz="12" w:space="0"/>
              <w:bottom w:val="single" w:color="000000" w:sz="4" w:space="0"/>
              <w:right w:val="single" w:color="000000" w:sz="4" w:space="0"/>
            </w:tcBorders>
            <w:vAlign w:val="bottom"/>
          </w:tcPr>
          <w:p w14:paraId="76624A26">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X＜10</w:t>
            </w:r>
          </w:p>
        </w:tc>
        <w:tc>
          <w:tcPr>
            <w:tcW w:w="1470" w:type="dxa"/>
            <w:tcBorders>
              <w:top w:val="single" w:color="000000" w:sz="4" w:space="0"/>
              <w:left w:val="single" w:color="000000" w:sz="4" w:space="0"/>
              <w:bottom w:val="single" w:color="000000" w:sz="4" w:space="0"/>
              <w:right w:val="single" w:color="000000" w:sz="4" w:space="0"/>
            </w:tcBorders>
            <w:vAlign w:val="bottom"/>
          </w:tcPr>
          <w:p w14:paraId="7918CDB3">
            <w:pPr>
              <w:rPr>
                <w:rFonts w:cs="宋体" w:asciiTheme="minorEastAsia" w:hAnsiTheme="minorEastAsia" w:eastAsiaTheme="minorEastAsia"/>
                <w:color w:val="auto"/>
                <w:sz w:val="18"/>
                <w:szCs w:val="18"/>
                <w:highlight w:val="none"/>
              </w:rPr>
            </w:pPr>
          </w:p>
        </w:tc>
        <w:tc>
          <w:tcPr>
            <w:tcW w:w="1515" w:type="dxa"/>
            <w:tcBorders>
              <w:top w:val="single" w:color="000000" w:sz="4" w:space="0"/>
              <w:left w:val="single" w:color="000000" w:sz="4" w:space="0"/>
              <w:bottom w:val="single" w:color="000000" w:sz="4" w:space="0"/>
              <w:right w:val="single" w:color="000000" w:sz="12" w:space="0"/>
            </w:tcBorders>
            <w:vAlign w:val="bottom"/>
          </w:tcPr>
          <w:p w14:paraId="19C1FF26">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Z＜100</w:t>
            </w:r>
          </w:p>
        </w:tc>
      </w:tr>
      <w:tr w14:paraId="6900BEA0">
        <w:tblPrEx>
          <w:tblCellMar>
            <w:top w:w="15" w:type="dxa"/>
            <w:left w:w="15" w:type="dxa"/>
            <w:bottom w:w="15" w:type="dxa"/>
            <w:right w:w="15" w:type="dxa"/>
          </w:tblCellMar>
        </w:tblPrEx>
        <w:trPr>
          <w:trHeight w:val="306" w:hRule="atLeast"/>
        </w:trPr>
        <w:tc>
          <w:tcPr>
            <w:tcW w:w="2153" w:type="dxa"/>
            <w:tcBorders>
              <w:top w:val="single" w:color="000000" w:sz="4" w:space="0"/>
              <w:left w:val="single" w:color="000000" w:sz="12" w:space="0"/>
              <w:bottom w:val="single" w:color="000000" w:sz="12" w:space="0"/>
              <w:right w:val="single" w:color="000000" w:sz="12" w:space="0"/>
            </w:tcBorders>
            <w:vAlign w:val="bottom"/>
          </w:tcPr>
          <w:p w14:paraId="474FD0C7">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16、其他未列明行业</w:t>
            </w:r>
          </w:p>
        </w:tc>
        <w:tc>
          <w:tcPr>
            <w:tcW w:w="1320" w:type="dxa"/>
            <w:tcBorders>
              <w:top w:val="single" w:color="000000" w:sz="4" w:space="0"/>
              <w:left w:val="single" w:color="000000" w:sz="12" w:space="0"/>
              <w:bottom w:val="single" w:color="000000" w:sz="12" w:space="0"/>
              <w:right w:val="single" w:color="000000" w:sz="4" w:space="0"/>
            </w:tcBorders>
            <w:vAlign w:val="bottom"/>
          </w:tcPr>
          <w:p w14:paraId="5A7B28FB">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100≤X＜300</w:t>
            </w:r>
          </w:p>
        </w:tc>
        <w:tc>
          <w:tcPr>
            <w:tcW w:w="1560" w:type="dxa"/>
            <w:tcBorders>
              <w:top w:val="single" w:color="000000" w:sz="4" w:space="0"/>
              <w:left w:val="single" w:color="000000" w:sz="4" w:space="0"/>
              <w:bottom w:val="single" w:color="000000" w:sz="12" w:space="0"/>
              <w:right w:val="single" w:color="000000" w:sz="4" w:space="0"/>
            </w:tcBorders>
            <w:vAlign w:val="bottom"/>
          </w:tcPr>
          <w:p w14:paraId="5D1FC888">
            <w:pPr>
              <w:rPr>
                <w:rFonts w:cs="宋体" w:asciiTheme="minorEastAsia" w:hAnsiTheme="minorEastAsia" w:eastAsiaTheme="minorEastAsia"/>
                <w:color w:val="auto"/>
                <w:sz w:val="18"/>
                <w:szCs w:val="18"/>
                <w:highlight w:val="none"/>
              </w:rPr>
            </w:pPr>
          </w:p>
        </w:tc>
        <w:tc>
          <w:tcPr>
            <w:tcW w:w="1500" w:type="dxa"/>
            <w:tcBorders>
              <w:top w:val="single" w:color="000000" w:sz="4" w:space="0"/>
              <w:left w:val="single" w:color="000000" w:sz="4" w:space="0"/>
              <w:bottom w:val="single" w:color="000000" w:sz="12" w:space="0"/>
              <w:right w:val="single" w:color="000000" w:sz="12" w:space="0"/>
            </w:tcBorders>
            <w:vAlign w:val="bottom"/>
          </w:tcPr>
          <w:p w14:paraId="7210CF5D">
            <w:pPr>
              <w:rPr>
                <w:rFonts w:cs="宋体" w:asciiTheme="minorEastAsia" w:hAnsiTheme="minorEastAsia" w:eastAsiaTheme="minorEastAsia"/>
                <w:color w:val="auto"/>
                <w:sz w:val="18"/>
                <w:szCs w:val="18"/>
                <w:highlight w:val="none"/>
              </w:rPr>
            </w:pPr>
          </w:p>
        </w:tc>
        <w:tc>
          <w:tcPr>
            <w:tcW w:w="1320" w:type="dxa"/>
            <w:tcBorders>
              <w:top w:val="single" w:color="000000" w:sz="4" w:space="0"/>
              <w:left w:val="single" w:color="000000" w:sz="12" w:space="0"/>
              <w:bottom w:val="single" w:color="000000" w:sz="12" w:space="0"/>
              <w:right w:val="single" w:color="000000" w:sz="4" w:space="0"/>
            </w:tcBorders>
            <w:vAlign w:val="bottom"/>
          </w:tcPr>
          <w:p w14:paraId="7D8AF162">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10≤X＜100</w:t>
            </w:r>
          </w:p>
        </w:tc>
        <w:tc>
          <w:tcPr>
            <w:tcW w:w="1500" w:type="dxa"/>
            <w:tcBorders>
              <w:top w:val="single" w:color="000000" w:sz="4" w:space="0"/>
              <w:left w:val="single" w:color="000000" w:sz="4" w:space="0"/>
              <w:bottom w:val="single" w:color="000000" w:sz="12" w:space="0"/>
              <w:right w:val="single" w:color="000000" w:sz="4" w:space="0"/>
            </w:tcBorders>
            <w:vAlign w:val="bottom"/>
          </w:tcPr>
          <w:p w14:paraId="5B1ABAA9">
            <w:pPr>
              <w:rPr>
                <w:rFonts w:cs="宋体" w:asciiTheme="minorEastAsia" w:hAnsiTheme="minorEastAsia" w:eastAsiaTheme="minorEastAsia"/>
                <w:color w:val="auto"/>
                <w:sz w:val="18"/>
                <w:szCs w:val="18"/>
                <w:highlight w:val="none"/>
              </w:rPr>
            </w:pPr>
          </w:p>
        </w:tc>
        <w:tc>
          <w:tcPr>
            <w:tcW w:w="1406" w:type="dxa"/>
            <w:tcBorders>
              <w:top w:val="single" w:color="000000" w:sz="4" w:space="0"/>
              <w:left w:val="single" w:color="000000" w:sz="4" w:space="0"/>
              <w:bottom w:val="single" w:color="000000" w:sz="12" w:space="0"/>
              <w:right w:val="single" w:color="000000" w:sz="12" w:space="0"/>
            </w:tcBorders>
            <w:vAlign w:val="bottom"/>
          </w:tcPr>
          <w:p w14:paraId="69169BE8">
            <w:pPr>
              <w:rPr>
                <w:rFonts w:cs="宋体" w:asciiTheme="minorEastAsia" w:hAnsiTheme="minorEastAsia" w:eastAsiaTheme="minorEastAsia"/>
                <w:color w:val="auto"/>
                <w:sz w:val="18"/>
                <w:szCs w:val="18"/>
                <w:highlight w:val="none"/>
              </w:rPr>
            </w:pPr>
          </w:p>
        </w:tc>
        <w:tc>
          <w:tcPr>
            <w:tcW w:w="1264" w:type="dxa"/>
            <w:tcBorders>
              <w:top w:val="single" w:color="000000" w:sz="4" w:space="0"/>
              <w:left w:val="single" w:color="000000" w:sz="12" w:space="0"/>
              <w:bottom w:val="single" w:color="000000" w:sz="12" w:space="0"/>
              <w:right w:val="single" w:color="000000" w:sz="4" w:space="0"/>
            </w:tcBorders>
            <w:vAlign w:val="bottom"/>
          </w:tcPr>
          <w:p w14:paraId="29010AF3">
            <w:pPr>
              <w:widowControl/>
              <w:jc w:val="left"/>
              <w:textAlignment w:val="bottom"/>
              <w:rPr>
                <w:rFonts w:cs="宋体" w:asciiTheme="minorEastAsia" w:hAnsiTheme="minorEastAsia" w:eastAsiaTheme="minorEastAsia"/>
                <w:color w:val="auto"/>
                <w:sz w:val="18"/>
                <w:szCs w:val="18"/>
                <w:highlight w:val="none"/>
              </w:rPr>
            </w:pPr>
            <w:r>
              <w:rPr>
                <w:rFonts w:hint="eastAsia" w:cs="宋体" w:asciiTheme="minorEastAsia" w:hAnsiTheme="minorEastAsia" w:eastAsiaTheme="minorEastAsia"/>
                <w:color w:val="auto"/>
                <w:kern w:val="0"/>
                <w:sz w:val="18"/>
                <w:szCs w:val="18"/>
                <w:highlight w:val="none"/>
              </w:rPr>
              <w:t>X＜10</w:t>
            </w:r>
          </w:p>
        </w:tc>
        <w:tc>
          <w:tcPr>
            <w:tcW w:w="1470" w:type="dxa"/>
            <w:tcBorders>
              <w:top w:val="single" w:color="000000" w:sz="4" w:space="0"/>
              <w:left w:val="single" w:color="000000" w:sz="4" w:space="0"/>
              <w:bottom w:val="single" w:color="000000" w:sz="12" w:space="0"/>
              <w:right w:val="single" w:color="000000" w:sz="4" w:space="0"/>
            </w:tcBorders>
            <w:vAlign w:val="bottom"/>
          </w:tcPr>
          <w:p w14:paraId="254A1F97">
            <w:pPr>
              <w:rPr>
                <w:rFonts w:cs="宋体" w:asciiTheme="minorEastAsia" w:hAnsiTheme="minorEastAsia" w:eastAsiaTheme="minorEastAsia"/>
                <w:color w:val="auto"/>
                <w:sz w:val="18"/>
                <w:szCs w:val="18"/>
                <w:highlight w:val="none"/>
              </w:rPr>
            </w:pPr>
          </w:p>
        </w:tc>
        <w:tc>
          <w:tcPr>
            <w:tcW w:w="1515" w:type="dxa"/>
            <w:tcBorders>
              <w:top w:val="single" w:color="000000" w:sz="4" w:space="0"/>
              <w:left w:val="single" w:color="000000" w:sz="4" w:space="0"/>
              <w:bottom w:val="single" w:color="000000" w:sz="12" w:space="0"/>
              <w:right w:val="single" w:color="000000" w:sz="12" w:space="0"/>
            </w:tcBorders>
            <w:vAlign w:val="bottom"/>
          </w:tcPr>
          <w:p w14:paraId="0B6F0B11">
            <w:pPr>
              <w:rPr>
                <w:rFonts w:cs="宋体" w:asciiTheme="minorEastAsia" w:hAnsiTheme="minorEastAsia" w:eastAsiaTheme="minorEastAsia"/>
                <w:color w:val="auto"/>
                <w:sz w:val="18"/>
                <w:szCs w:val="18"/>
                <w:highlight w:val="none"/>
              </w:rPr>
            </w:pPr>
          </w:p>
        </w:tc>
      </w:tr>
    </w:tbl>
    <w:p w14:paraId="05F82023">
      <w:pPr>
        <w:rPr>
          <w:rFonts w:asciiTheme="minorEastAsia" w:hAnsiTheme="minorEastAsia" w:eastAsiaTheme="minorEastAsia"/>
          <w:color w:val="auto"/>
          <w:sz w:val="28"/>
          <w:szCs w:val="28"/>
          <w:highlight w:val="none"/>
        </w:rPr>
      </w:pPr>
      <w:r>
        <w:rPr>
          <w:rFonts w:hint="eastAsia" w:cs="宋体" w:asciiTheme="minorEastAsia" w:hAnsiTheme="minorEastAsia" w:eastAsiaTheme="minorEastAsia"/>
          <w:color w:val="auto"/>
          <w:kern w:val="0"/>
          <w:sz w:val="18"/>
          <w:szCs w:val="18"/>
          <w:highlight w:val="none"/>
        </w:rPr>
        <w:t>说明1、企业类型的划分以统计部门的统计数据为依据。2、个体工商户和本规定以外的行业，参照本规定进行划型。3、本规定的中型企业标准上限即为大型企业标准的下限。</w:t>
      </w:r>
    </w:p>
    <w:p w14:paraId="04B0F0EA">
      <w:pPr>
        <w:pStyle w:val="5"/>
        <w:spacing w:line="380" w:lineRule="exact"/>
        <w:rPr>
          <w:rFonts w:asciiTheme="minorEastAsia" w:hAnsiTheme="minorEastAsia" w:eastAsiaTheme="minorEastAsia"/>
          <w:color w:val="auto"/>
          <w:sz w:val="28"/>
          <w:szCs w:val="28"/>
          <w:highlight w:val="none"/>
        </w:rPr>
        <w:sectPr>
          <w:pgSz w:w="16840" w:h="11907" w:orient="landscape"/>
          <w:pgMar w:top="1588" w:right="1304" w:bottom="1588" w:left="1304" w:header="720" w:footer="720" w:gutter="0"/>
          <w:pgBorders>
            <w:top w:val="none" w:sz="0" w:space="0"/>
            <w:left w:val="none" w:sz="0" w:space="0"/>
            <w:bottom w:val="none" w:sz="0" w:space="0"/>
            <w:right w:val="none" w:sz="0" w:space="0"/>
          </w:pgBorders>
          <w:pgNumType w:fmt="decimal"/>
          <w:cols w:space="720" w:num="1"/>
          <w:docGrid w:linePitch="285" w:charSpace="0"/>
        </w:sectPr>
      </w:pPr>
    </w:p>
    <w:p w14:paraId="3B8C330A">
      <w:pPr>
        <w:pStyle w:val="4"/>
        <w:spacing w:line="380" w:lineRule="exact"/>
        <w:jc w:val="both"/>
        <w:rPr>
          <w:rFonts w:asciiTheme="minorEastAsia" w:hAnsiTheme="minorEastAsia" w:eastAsiaTheme="minorEastAsia"/>
          <w:color w:val="auto"/>
          <w:sz w:val="24"/>
          <w:szCs w:val="24"/>
          <w:highlight w:val="none"/>
        </w:rPr>
      </w:pPr>
      <w:bookmarkStart w:id="150" w:name="_Toc141797156"/>
      <w:bookmarkStart w:id="151" w:name="_Toc141797712"/>
      <w:r>
        <w:rPr>
          <w:rFonts w:hint="eastAsia" w:asciiTheme="minorEastAsia" w:hAnsiTheme="minorEastAsia" w:eastAsiaTheme="minorEastAsia"/>
          <w:color w:val="auto"/>
          <w:sz w:val="24"/>
          <w:szCs w:val="24"/>
          <w:highlight w:val="none"/>
        </w:rPr>
        <w:t>附件2</w:t>
      </w:r>
      <w:bookmarkEnd w:id="150"/>
      <w:bookmarkEnd w:id="151"/>
    </w:p>
    <w:p w14:paraId="07D2AAD0">
      <w:pPr>
        <w:pStyle w:val="4"/>
        <w:spacing w:line="380" w:lineRule="exact"/>
        <w:rPr>
          <w:rFonts w:asciiTheme="minorEastAsia" w:hAnsiTheme="minorEastAsia" w:eastAsiaTheme="minorEastAsia"/>
          <w:color w:val="auto"/>
          <w:sz w:val="24"/>
          <w:szCs w:val="24"/>
          <w:highlight w:val="none"/>
        </w:rPr>
      </w:pPr>
      <w:bookmarkStart w:id="152" w:name="_Toc141797713"/>
      <w:bookmarkStart w:id="153" w:name="_Toc141797157"/>
      <w:r>
        <w:rPr>
          <w:rFonts w:hint="eastAsia" w:asciiTheme="minorEastAsia" w:hAnsiTheme="minorEastAsia" w:eastAsiaTheme="minorEastAsia"/>
          <w:color w:val="auto"/>
          <w:sz w:val="24"/>
          <w:szCs w:val="24"/>
          <w:highlight w:val="none"/>
        </w:rPr>
        <w:t>残疾人福利性单位声明函（如有需提供）</w:t>
      </w:r>
      <w:bookmarkEnd w:id="152"/>
      <w:bookmarkEnd w:id="153"/>
    </w:p>
    <w:p w14:paraId="6D784BFC">
      <w:pPr>
        <w:ind w:firstLine="420" w:firstLineChars="200"/>
        <w:rPr>
          <w:rFonts w:asciiTheme="minorEastAsia" w:hAnsiTheme="minorEastAsia" w:eastAsiaTheme="minorEastAsia"/>
          <w:color w:val="auto"/>
          <w:highlight w:val="none"/>
        </w:rPr>
      </w:pPr>
    </w:p>
    <w:p w14:paraId="243F6B0A">
      <w:pPr>
        <w:spacing w:line="588" w:lineRule="exact"/>
        <w:ind w:firstLine="420" w:firstLineChars="20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本单位郑重声明，根据《财政部民政部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6A3E305F">
      <w:pPr>
        <w:spacing w:line="588" w:lineRule="exact"/>
        <w:ind w:firstLine="420" w:firstLineChars="20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本单位对上述声明的真实性负责。如有虚假，将依法承担相应责任。</w:t>
      </w:r>
    </w:p>
    <w:p w14:paraId="0F43258B">
      <w:pPr>
        <w:tabs>
          <w:tab w:val="left" w:pos="4860"/>
        </w:tabs>
        <w:spacing w:line="588" w:lineRule="exact"/>
        <w:ind w:right="1560" w:firstLine="420" w:firstLineChars="200"/>
        <w:jc w:val="center"/>
        <w:rPr>
          <w:rFonts w:asciiTheme="minorEastAsia" w:hAnsiTheme="minorEastAsia" w:eastAsiaTheme="minorEastAsia"/>
          <w:color w:val="auto"/>
          <w:highlight w:val="none"/>
        </w:rPr>
      </w:pPr>
    </w:p>
    <w:p w14:paraId="05728431">
      <w:pPr>
        <w:tabs>
          <w:tab w:val="left" w:pos="4860"/>
        </w:tabs>
        <w:spacing w:line="588" w:lineRule="exact"/>
        <w:ind w:right="1560" w:firstLine="420" w:firstLineChars="200"/>
        <w:jc w:val="center"/>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单位名称（公章）：</w:t>
      </w:r>
    </w:p>
    <w:p w14:paraId="7A7DAFEA">
      <w:pPr>
        <w:spacing w:line="38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日期：</w:t>
      </w:r>
    </w:p>
    <w:p w14:paraId="3F7AE4B7">
      <w:pPr>
        <w:spacing w:line="400" w:lineRule="exact"/>
        <w:ind w:firstLine="422" w:firstLineChars="200"/>
        <w:rPr>
          <w:rFonts w:asciiTheme="minorEastAsia" w:hAnsiTheme="minorEastAsia" w:eastAsiaTheme="minorEastAsia"/>
          <w:b/>
          <w:color w:val="auto"/>
          <w:highlight w:val="none"/>
        </w:rPr>
      </w:pPr>
    </w:p>
    <w:p w14:paraId="1267BD62">
      <w:pPr>
        <w:spacing w:line="400" w:lineRule="exact"/>
        <w:ind w:firstLine="422" w:firstLineChars="200"/>
        <w:rPr>
          <w:rFonts w:asciiTheme="minorEastAsia" w:hAnsiTheme="minorEastAsia" w:eastAsiaTheme="minorEastAsia"/>
          <w:b/>
          <w:color w:val="auto"/>
          <w:highlight w:val="none"/>
        </w:rPr>
      </w:pPr>
      <w:r>
        <w:rPr>
          <w:rFonts w:hint="eastAsia" w:asciiTheme="minorEastAsia" w:hAnsiTheme="minorEastAsia" w:eastAsiaTheme="minorEastAsia"/>
          <w:b/>
          <w:color w:val="auto"/>
          <w:highlight w:val="none"/>
        </w:rPr>
        <w:t>注：</w:t>
      </w:r>
    </w:p>
    <w:p w14:paraId="5C3206EE">
      <w:pPr>
        <w:spacing w:line="400" w:lineRule="exact"/>
        <w:ind w:firstLine="422" w:firstLineChars="200"/>
        <w:rPr>
          <w:rFonts w:asciiTheme="minorEastAsia" w:hAnsiTheme="minorEastAsia" w:eastAsiaTheme="minorEastAsia"/>
          <w:b/>
          <w:color w:val="auto"/>
          <w:highlight w:val="none"/>
        </w:rPr>
      </w:pPr>
      <w:r>
        <w:rPr>
          <w:rFonts w:hint="eastAsia" w:asciiTheme="minorEastAsia" w:hAnsiTheme="minorEastAsia" w:eastAsiaTheme="minorEastAsia"/>
          <w:b/>
          <w:color w:val="auto"/>
          <w:highlight w:val="none"/>
        </w:rPr>
        <w:t>享受政府采购支持政策的残疾人福利性单位应当同时满足以下条件：</w:t>
      </w:r>
    </w:p>
    <w:p w14:paraId="16EE3952">
      <w:pPr>
        <w:spacing w:line="400" w:lineRule="exact"/>
        <w:ind w:firstLine="422" w:firstLineChars="200"/>
        <w:rPr>
          <w:rFonts w:asciiTheme="minorEastAsia" w:hAnsiTheme="minorEastAsia" w:eastAsiaTheme="minorEastAsia"/>
          <w:b/>
          <w:color w:val="auto"/>
          <w:highlight w:val="none"/>
        </w:rPr>
      </w:pPr>
      <w:r>
        <w:rPr>
          <w:rFonts w:hint="eastAsia" w:asciiTheme="minorEastAsia" w:hAnsiTheme="minorEastAsia" w:eastAsiaTheme="minorEastAsia"/>
          <w:b/>
          <w:color w:val="auto"/>
          <w:highlight w:val="none"/>
        </w:rPr>
        <w:t>（一）安置的残疾人占本单位在职职工人数的比例不低于</w:t>
      </w:r>
      <w:r>
        <w:rPr>
          <w:rFonts w:asciiTheme="minorEastAsia" w:hAnsiTheme="minorEastAsia" w:eastAsiaTheme="minorEastAsia"/>
          <w:b/>
          <w:color w:val="auto"/>
          <w:highlight w:val="none"/>
        </w:rPr>
        <w:t>25%</w:t>
      </w:r>
      <w:r>
        <w:rPr>
          <w:rFonts w:hint="eastAsia" w:asciiTheme="minorEastAsia" w:hAnsiTheme="minorEastAsia" w:eastAsiaTheme="minorEastAsia"/>
          <w:b/>
          <w:color w:val="auto"/>
          <w:highlight w:val="none"/>
        </w:rPr>
        <w:t>（含</w:t>
      </w:r>
      <w:r>
        <w:rPr>
          <w:rFonts w:asciiTheme="minorEastAsia" w:hAnsiTheme="minorEastAsia" w:eastAsiaTheme="minorEastAsia"/>
          <w:b/>
          <w:color w:val="auto"/>
          <w:highlight w:val="none"/>
        </w:rPr>
        <w:t>25%</w:t>
      </w:r>
      <w:r>
        <w:rPr>
          <w:rFonts w:hint="eastAsia" w:asciiTheme="minorEastAsia" w:hAnsiTheme="minorEastAsia" w:eastAsiaTheme="minorEastAsia"/>
          <w:b/>
          <w:color w:val="auto"/>
          <w:highlight w:val="none"/>
        </w:rPr>
        <w:t>），并且安置的残疾人人数不少于</w:t>
      </w:r>
      <w:r>
        <w:rPr>
          <w:rFonts w:asciiTheme="minorEastAsia" w:hAnsiTheme="minorEastAsia" w:eastAsiaTheme="minorEastAsia"/>
          <w:b/>
          <w:color w:val="auto"/>
          <w:highlight w:val="none"/>
        </w:rPr>
        <w:t>10</w:t>
      </w:r>
      <w:r>
        <w:rPr>
          <w:rFonts w:hint="eastAsia" w:asciiTheme="minorEastAsia" w:hAnsiTheme="minorEastAsia" w:eastAsiaTheme="minorEastAsia"/>
          <w:b/>
          <w:color w:val="auto"/>
          <w:highlight w:val="none"/>
        </w:rPr>
        <w:t>人（含</w:t>
      </w:r>
      <w:r>
        <w:rPr>
          <w:rFonts w:asciiTheme="minorEastAsia" w:hAnsiTheme="minorEastAsia" w:eastAsiaTheme="minorEastAsia"/>
          <w:b/>
          <w:color w:val="auto"/>
          <w:highlight w:val="none"/>
        </w:rPr>
        <w:t>10</w:t>
      </w:r>
      <w:r>
        <w:rPr>
          <w:rFonts w:hint="eastAsia" w:asciiTheme="minorEastAsia" w:hAnsiTheme="minorEastAsia" w:eastAsiaTheme="minorEastAsia"/>
          <w:b/>
          <w:color w:val="auto"/>
          <w:highlight w:val="none"/>
        </w:rPr>
        <w:t>人）；</w:t>
      </w:r>
    </w:p>
    <w:p w14:paraId="1E9B4AE3">
      <w:pPr>
        <w:spacing w:line="400" w:lineRule="exact"/>
        <w:ind w:firstLine="422" w:firstLineChars="200"/>
        <w:rPr>
          <w:rFonts w:asciiTheme="minorEastAsia" w:hAnsiTheme="minorEastAsia" w:eastAsiaTheme="minorEastAsia"/>
          <w:b/>
          <w:color w:val="auto"/>
          <w:highlight w:val="none"/>
        </w:rPr>
      </w:pPr>
      <w:r>
        <w:rPr>
          <w:rFonts w:hint="eastAsia" w:asciiTheme="minorEastAsia" w:hAnsiTheme="minorEastAsia" w:eastAsiaTheme="minorEastAsia"/>
          <w:b/>
          <w:color w:val="auto"/>
          <w:highlight w:val="none"/>
        </w:rPr>
        <w:t>（二）依法与安置的每位残疾人签订了一年以上（含一年）的劳动合同或服务协议；</w:t>
      </w:r>
    </w:p>
    <w:p w14:paraId="700F1B5B">
      <w:pPr>
        <w:spacing w:line="400" w:lineRule="exact"/>
        <w:ind w:firstLine="422" w:firstLineChars="200"/>
        <w:rPr>
          <w:rFonts w:asciiTheme="minorEastAsia" w:hAnsiTheme="minorEastAsia" w:eastAsiaTheme="minorEastAsia"/>
          <w:b/>
          <w:color w:val="auto"/>
          <w:highlight w:val="none"/>
        </w:rPr>
      </w:pPr>
      <w:r>
        <w:rPr>
          <w:rFonts w:hint="eastAsia" w:asciiTheme="minorEastAsia" w:hAnsiTheme="minorEastAsia" w:eastAsiaTheme="minorEastAsia"/>
          <w:b/>
          <w:color w:val="auto"/>
          <w:highlight w:val="none"/>
        </w:rPr>
        <w:t>（三）为安置的每位残疾人按月足额缴纳了基本养老保险、基本医疗保险、失业保险、工伤保险和生育保险等社会保险费；</w:t>
      </w:r>
    </w:p>
    <w:p w14:paraId="6F49F598">
      <w:pPr>
        <w:spacing w:line="400" w:lineRule="exact"/>
        <w:ind w:firstLine="422" w:firstLineChars="200"/>
        <w:rPr>
          <w:rFonts w:asciiTheme="minorEastAsia" w:hAnsiTheme="minorEastAsia" w:eastAsiaTheme="minorEastAsia"/>
          <w:b/>
          <w:color w:val="auto"/>
          <w:highlight w:val="none"/>
        </w:rPr>
      </w:pPr>
      <w:r>
        <w:rPr>
          <w:rFonts w:hint="eastAsia" w:asciiTheme="minorEastAsia" w:hAnsiTheme="minorEastAsia" w:eastAsiaTheme="minorEastAsia"/>
          <w:b/>
          <w:color w:val="auto"/>
          <w:highlight w:val="none"/>
        </w:rPr>
        <w:t>（四）通过银行等金融机构向安置的每位残疾人，按月支付了不低于单位所在区县适用的经省级人民政府批准的月最低工资标准的工资；</w:t>
      </w:r>
    </w:p>
    <w:p w14:paraId="18DB810E">
      <w:pPr>
        <w:spacing w:line="400" w:lineRule="exact"/>
        <w:ind w:firstLine="422" w:firstLineChars="200"/>
        <w:rPr>
          <w:rFonts w:asciiTheme="minorEastAsia" w:hAnsiTheme="minorEastAsia" w:eastAsiaTheme="minorEastAsia"/>
          <w:b/>
          <w:color w:val="auto"/>
          <w:highlight w:val="none"/>
        </w:rPr>
      </w:pPr>
      <w:r>
        <w:rPr>
          <w:rFonts w:hint="eastAsia" w:asciiTheme="minorEastAsia" w:hAnsiTheme="minorEastAsia" w:eastAsiaTheme="minorEastAsia"/>
          <w:b/>
          <w:color w:val="auto"/>
          <w:highlight w:val="none"/>
        </w:rPr>
        <w:t>（五）提供本单位制造的货物、承担的工程或者服务（以下简称产品），或者提供其他残疾人福利性单位制造的货物（不包括使用非残疾人福利性单位注册商标的货物）。</w:t>
      </w:r>
    </w:p>
    <w:p w14:paraId="25C96C5D">
      <w:pPr>
        <w:spacing w:line="380" w:lineRule="exact"/>
        <w:rPr>
          <w:rFonts w:hint="eastAsia" w:asciiTheme="minorEastAsia" w:hAnsiTheme="minorEastAsia" w:eastAsiaTheme="minorEastAsia"/>
          <w:b/>
          <w:color w:val="auto"/>
          <w:highlight w:val="none"/>
        </w:rPr>
        <w:sectPr>
          <w:headerReference r:id="rId13" w:type="default"/>
          <w:pgSz w:w="11907" w:h="16840"/>
          <w:pgMar w:top="1304" w:right="1588" w:bottom="1304" w:left="1588" w:header="720" w:footer="720" w:gutter="0"/>
          <w:pgBorders>
            <w:top w:val="none" w:sz="0" w:space="0"/>
            <w:left w:val="none" w:sz="0" w:space="0"/>
            <w:bottom w:val="none" w:sz="0" w:space="0"/>
            <w:right w:val="none" w:sz="0" w:space="0"/>
          </w:pgBorders>
          <w:pgNumType w:fmt="decimal"/>
          <w:cols w:space="720" w:num="1"/>
          <w:docGrid w:linePitch="285" w:charSpace="0"/>
        </w:sectPr>
      </w:pPr>
      <w:r>
        <w:rPr>
          <w:rFonts w:hint="eastAsia" w:asciiTheme="minorEastAsia" w:hAnsiTheme="minorEastAsia" w:eastAsiaTheme="minorEastAsia"/>
          <w:b/>
          <w:color w:val="auto"/>
          <w:highlight w:val="none"/>
        </w:rPr>
        <w:t>前款所称残疾人是指法定劳动年龄内，持有《中华人民共和国残疾人证》或者《中华人民共和国残疾军人证（</w:t>
      </w:r>
      <w:r>
        <w:rPr>
          <w:rFonts w:asciiTheme="minorEastAsia" w:hAnsiTheme="minorEastAsia" w:eastAsiaTheme="minorEastAsia"/>
          <w:b/>
          <w:color w:val="auto"/>
          <w:highlight w:val="none"/>
        </w:rPr>
        <w:t>1</w:t>
      </w:r>
      <w:r>
        <w:rPr>
          <w:rFonts w:hint="eastAsia" w:asciiTheme="minorEastAsia" w:hAnsiTheme="minorEastAsia" w:eastAsiaTheme="minorEastAsia"/>
          <w:b/>
          <w:color w:val="auto"/>
          <w:highlight w:val="none"/>
        </w:rPr>
        <w:t>至</w:t>
      </w:r>
      <w:r>
        <w:rPr>
          <w:rFonts w:asciiTheme="minorEastAsia" w:hAnsiTheme="minorEastAsia" w:eastAsiaTheme="minorEastAsia"/>
          <w:b/>
          <w:color w:val="auto"/>
          <w:highlight w:val="none"/>
        </w:rPr>
        <w:t>8</w:t>
      </w:r>
      <w:r>
        <w:rPr>
          <w:rFonts w:hint="eastAsia" w:asciiTheme="minorEastAsia" w:hAnsiTheme="minorEastAsia" w:eastAsiaTheme="minorEastAsia"/>
          <w:b/>
          <w:color w:val="auto"/>
          <w:highlight w:val="none"/>
        </w:rPr>
        <w:t>级）》的自然人，包括具有劳动条件和劳动意愿的精神残疾人。在职职工人数是指与残疾人福利性单位建立劳动关系并依法签订劳动合同或者服务协议的雇员人数。</w:t>
      </w:r>
    </w:p>
    <w:p w14:paraId="5A0A652B">
      <w:pPr>
        <w:pStyle w:val="37"/>
        <w:rPr>
          <w:rFonts w:hint="eastAsia" w:ascii="宋体" w:hAnsi="宋体" w:eastAsia="宋体" w:cs="宋体"/>
          <w:color w:val="auto"/>
          <w:sz w:val="21"/>
          <w:szCs w:val="21"/>
          <w:highlight w:val="none"/>
        </w:rPr>
      </w:pPr>
      <w:r>
        <w:rPr>
          <w:rFonts w:hint="eastAsia" w:ascii="宋体" w:hAnsi="宋体" w:eastAsia="宋体" w:cs="宋体"/>
          <w:b/>
          <w:bCs/>
          <w:color w:val="auto"/>
          <w:kern w:val="2"/>
          <w:sz w:val="21"/>
          <w:szCs w:val="21"/>
          <w:highlight w:val="none"/>
          <w:lang w:val="en-US" w:eastAsia="zh-CN" w:bidi="ar-SA"/>
        </w:rPr>
        <w:t>附件3</w:t>
      </w:r>
    </w:p>
    <w:p w14:paraId="018ECBE8">
      <w:pPr>
        <w:pStyle w:val="3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560" w:lineRule="atLeast"/>
        <w:ind w:left="0" w:right="0" w:firstLine="0"/>
        <w:jc w:val="center"/>
        <w:textAlignment w:val="baseline"/>
        <w:rPr>
          <w:rFonts w:hint="eastAsia" w:ascii="宋体" w:hAnsi="宋体" w:eastAsia="宋体" w:cs="宋体"/>
          <w:i w:val="0"/>
          <w:iCs w:val="0"/>
          <w:caps w:val="0"/>
          <w:color w:val="auto"/>
          <w:spacing w:val="0"/>
          <w:sz w:val="21"/>
          <w:szCs w:val="21"/>
          <w:highlight w:val="none"/>
        </w:rPr>
      </w:pPr>
      <w:r>
        <w:rPr>
          <w:rStyle w:val="41"/>
          <w:rFonts w:hint="eastAsia" w:ascii="宋体" w:hAnsi="宋体" w:eastAsia="宋体" w:cs="宋体"/>
          <w:i w:val="0"/>
          <w:iCs w:val="0"/>
          <w:caps w:val="0"/>
          <w:color w:val="auto"/>
          <w:spacing w:val="0"/>
          <w:sz w:val="21"/>
          <w:szCs w:val="21"/>
          <w:highlight w:val="none"/>
          <w:shd w:val="clear" w:color="auto" w:fill="FFFFFF"/>
          <w:vertAlign w:val="baseline"/>
        </w:rPr>
        <w:t>关于符合本国产品标准的声明函</w:t>
      </w:r>
    </w:p>
    <w:p w14:paraId="2BE36E82">
      <w:pPr>
        <w:pStyle w:val="3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560" w:lineRule="atLeast"/>
        <w:ind w:left="0" w:right="0" w:firstLine="420"/>
        <w:textAlignment w:val="baseline"/>
        <w:rPr>
          <w:rFonts w:hint="eastAsia" w:ascii="宋体" w:hAnsi="宋体" w:eastAsia="宋体" w:cs="宋体"/>
          <w:i w:val="0"/>
          <w:iCs w:val="0"/>
          <w:caps w:val="0"/>
          <w:color w:val="auto"/>
          <w:spacing w:val="0"/>
          <w:sz w:val="21"/>
          <w:szCs w:val="21"/>
          <w:highlight w:val="none"/>
        </w:rPr>
      </w:pPr>
    </w:p>
    <w:p w14:paraId="3F65BAB3">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baseline"/>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sz w:val="21"/>
          <w:szCs w:val="21"/>
          <w:highlight w:val="none"/>
          <w:shd w:val="clear" w:color="auto" w:fill="FFFFFF"/>
          <w:vertAlign w:val="baseline"/>
        </w:rPr>
        <w:t>本公司（单位）郑重声明，根据《国务院办公厅关于在政府采购中实施本国产品标准及相关政策的通知》（国办发〔2025〕34号）的规定，本公司（单位）提供的以下产品属于本国产品。具体情况如下：</w:t>
      </w:r>
    </w:p>
    <w:p w14:paraId="1EDD194C">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本公司(单位)郑重声明，根据《国务院办公厅关于在政府采购中实施本国产品标准及相关政策的通知》(国办发〔2025〕34号)的规定，本公司(单位)提供的以下产品属于本国产品。具体情况如下：</w:t>
      </w:r>
    </w:p>
    <w:p w14:paraId="71DACA13">
      <w:pPr>
        <w:pStyle w:val="17"/>
        <w:spacing w:before="110" w:line="364" w:lineRule="auto"/>
        <w:ind w:right="64"/>
        <w:rPr>
          <w:rFonts w:hint="eastAsia" w:ascii="宋体" w:hAnsi="宋体" w:eastAsia="宋体" w:cs="宋体"/>
          <w:color w:val="auto"/>
          <w:sz w:val="24"/>
          <w:szCs w:val="24"/>
          <w:highlight w:val="none"/>
        </w:rPr>
      </w:pPr>
      <w:r>
        <w:rPr>
          <w:rFonts w:hint="eastAsia" w:ascii="宋体" w:hAnsi="宋体" w:eastAsia="宋体" w:cs="宋体"/>
          <w:i/>
          <w:iCs/>
          <w:color w:val="auto"/>
          <w:spacing w:val="10"/>
          <w:sz w:val="24"/>
          <w:szCs w:val="24"/>
          <w:highlight w:val="none"/>
        </w:rPr>
        <w:t>1.</w:t>
      </w:r>
      <w:r>
        <w:rPr>
          <w:rFonts w:hint="eastAsia" w:ascii="宋体" w:hAnsi="宋体" w:eastAsia="宋体" w:cs="宋体"/>
          <w:i/>
          <w:iCs/>
          <w:color w:val="auto"/>
          <w:spacing w:val="10"/>
          <w:sz w:val="24"/>
          <w:szCs w:val="24"/>
          <w:highlight w:val="none"/>
          <w:u w:val="single" w:color="auto"/>
        </w:rPr>
        <w:t>(产品名称1)¹</w:t>
      </w:r>
      <w:r>
        <w:rPr>
          <w:rFonts w:hint="eastAsia" w:ascii="宋体" w:hAnsi="宋体" w:eastAsia="宋体" w:cs="宋体"/>
          <w:i/>
          <w:iCs/>
          <w:color w:val="auto"/>
          <w:spacing w:val="10"/>
          <w:sz w:val="24"/>
          <w:szCs w:val="24"/>
          <w:highlight w:val="none"/>
        </w:rPr>
        <w:t>,生产厂为</w:t>
      </w:r>
      <w:r>
        <w:rPr>
          <w:rFonts w:hint="eastAsia" w:ascii="宋体" w:hAnsi="宋体" w:eastAsia="宋体" w:cs="宋体"/>
          <w:i/>
          <w:iCs/>
          <w:color w:val="auto"/>
          <w:spacing w:val="10"/>
          <w:sz w:val="24"/>
          <w:szCs w:val="24"/>
          <w:highlight w:val="none"/>
          <w:u w:val="single" w:color="auto"/>
        </w:rPr>
        <w:t>(厂名</w:t>
      </w:r>
      <w:r>
        <w:rPr>
          <w:rFonts w:hint="eastAsia" w:ascii="宋体" w:hAnsi="宋体" w:eastAsia="宋体" w:cs="宋体"/>
          <w:i/>
          <w:iCs/>
          <w:color w:val="auto"/>
          <w:spacing w:val="9"/>
          <w:sz w:val="24"/>
          <w:szCs w:val="24"/>
          <w:highlight w:val="none"/>
          <w:u w:val="single" w:color="auto"/>
        </w:rPr>
        <w:t>)²</w:t>
      </w:r>
      <w:r>
        <w:rPr>
          <w:rFonts w:hint="eastAsia" w:ascii="宋体" w:hAnsi="宋体" w:eastAsia="宋体" w:cs="宋体"/>
          <w:i/>
          <w:iCs/>
          <w:color w:val="auto"/>
          <w:spacing w:val="9"/>
          <w:sz w:val="24"/>
          <w:szCs w:val="24"/>
          <w:highlight w:val="none"/>
        </w:rPr>
        <w:t>,厂址为</w:t>
      </w:r>
      <w:r>
        <w:rPr>
          <w:rFonts w:hint="eastAsia" w:ascii="宋体" w:hAnsi="宋体" w:eastAsia="宋体" w:cs="宋体"/>
          <w:i/>
          <w:iCs/>
          <w:color w:val="auto"/>
          <w:spacing w:val="9"/>
          <w:sz w:val="24"/>
          <w:szCs w:val="24"/>
          <w:highlight w:val="none"/>
          <w:u w:val="single" w:color="auto"/>
        </w:rPr>
        <w:t>(生产厂</w:t>
      </w:r>
      <w:r>
        <w:rPr>
          <w:rFonts w:hint="eastAsia" w:ascii="宋体" w:hAnsi="宋体" w:eastAsia="宋体" w:cs="宋体"/>
          <w:color w:val="auto"/>
          <w:spacing w:val="17"/>
          <w:sz w:val="24"/>
          <w:szCs w:val="24"/>
          <w:highlight w:val="none"/>
          <w:u w:val="single" w:color="auto"/>
        </w:rPr>
        <w:t>址)</w:t>
      </w:r>
      <w:r>
        <w:rPr>
          <w:rFonts w:hint="eastAsia" w:ascii="宋体" w:hAnsi="宋体" w:eastAsia="宋体" w:cs="宋体"/>
          <w:color w:val="auto"/>
          <w:spacing w:val="17"/>
          <w:sz w:val="24"/>
          <w:szCs w:val="24"/>
          <w:highlight w:val="none"/>
        </w:rPr>
        <w:t>。</w:t>
      </w:r>
      <w:r>
        <w:rPr>
          <w:rFonts w:hint="eastAsia" w:ascii="宋体" w:hAnsi="宋体" w:eastAsia="宋体" w:cs="宋体"/>
          <w:color w:val="auto"/>
          <w:spacing w:val="17"/>
          <w:sz w:val="24"/>
          <w:szCs w:val="24"/>
          <w:highlight w:val="none"/>
          <w:u w:val="single" w:color="auto"/>
        </w:rPr>
        <w:t>(产品名称1)</w:t>
      </w:r>
      <w:r>
        <w:rPr>
          <w:rFonts w:hint="eastAsia" w:ascii="宋体" w:hAnsi="宋体" w:eastAsia="宋体" w:cs="宋体"/>
          <w:color w:val="auto"/>
          <w:spacing w:val="17"/>
          <w:sz w:val="24"/>
          <w:szCs w:val="24"/>
          <w:highlight w:val="none"/>
        </w:rPr>
        <w:t>的中国境内生产的组件成本占比≥</w:t>
      </w:r>
      <w:r>
        <w:rPr>
          <w:rFonts w:hint="eastAsia" w:ascii="宋体" w:hAnsi="宋体" w:eastAsia="宋体" w:cs="宋体"/>
          <w:color w:val="auto"/>
          <w:spacing w:val="16"/>
          <w:sz w:val="24"/>
          <w:szCs w:val="24"/>
          <w:highlight w:val="none"/>
          <w:u w:val="single" w:color="auto"/>
        </w:rPr>
        <w:t>(规定</w:t>
      </w:r>
      <w:r>
        <w:rPr>
          <w:rFonts w:hint="eastAsia" w:ascii="宋体" w:hAnsi="宋体" w:eastAsia="宋体" w:cs="宋体"/>
          <w:color w:val="auto"/>
          <w:spacing w:val="7"/>
          <w:sz w:val="24"/>
          <w:szCs w:val="24"/>
          <w:highlight w:val="none"/>
          <w:u w:val="single" w:color="auto"/>
        </w:rPr>
        <w:t>比例)³</w:t>
      </w:r>
      <w:r>
        <w:rPr>
          <w:rFonts w:hint="eastAsia" w:ascii="宋体" w:hAnsi="宋体" w:eastAsia="宋体" w:cs="宋体"/>
          <w:color w:val="auto"/>
          <w:spacing w:val="7"/>
          <w:sz w:val="24"/>
          <w:szCs w:val="24"/>
          <w:highlight w:val="none"/>
        </w:rPr>
        <w:t>。</w:t>
      </w:r>
      <w:r>
        <w:rPr>
          <w:rFonts w:hint="eastAsia" w:ascii="宋体" w:hAnsi="宋体" w:eastAsia="宋体" w:cs="宋体"/>
          <w:color w:val="auto"/>
          <w:spacing w:val="7"/>
          <w:sz w:val="24"/>
          <w:szCs w:val="24"/>
          <w:highlight w:val="none"/>
          <w:u w:val="single" w:color="auto"/>
        </w:rPr>
        <w:t>(产品名称1)</w:t>
      </w:r>
      <w:r>
        <w:rPr>
          <w:rFonts w:hint="eastAsia" w:ascii="宋体" w:hAnsi="宋体" w:eastAsia="宋体" w:cs="宋体"/>
          <w:color w:val="auto"/>
          <w:spacing w:val="7"/>
          <w:sz w:val="24"/>
          <w:szCs w:val="24"/>
          <w:highlight w:val="none"/>
        </w:rPr>
        <w:t>的</w:t>
      </w:r>
      <w:r>
        <w:rPr>
          <w:rFonts w:hint="eastAsia" w:ascii="宋体" w:hAnsi="宋体" w:eastAsia="宋体" w:cs="宋体"/>
          <w:color w:val="auto"/>
          <w:spacing w:val="7"/>
          <w:sz w:val="24"/>
          <w:szCs w:val="24"/>
          <w:highlight w:val="none"/>
          <w:u w:val="single" w:color="auto"/>
        </w:rPr>
        <w:t>(关键组件)⁴</w:t>
      </w:r>
      <w:r>
        <w:rPr>
          <w:rFonts w:hint="eastAsia" w:ascii="宋体" w:hAnsi="宋体" w:eastAsia="宋体" w:cs="宋体"/>
          <w:color w:val="auto"/>
          <w:spacing w:val="7"/>
          <w:sz w:val="24"/>
          <w:szCs w:val="24"/>
          <w:highlight w:val="none"/>
        </w:rPr>
        <w:t>在中国境内生产。</w:t>
      </w:r>
      <w:r>
        <w:rPr>
          <w:rFonts w:hint="eastAsia" w:ascii="宋体" w:hAnsi="宋体" w:eastAsia="宋体" w:cs="宋体"/>
          <w:color w:val="auto"/>
          <w:spacing w:val="7"/>
          <w:sz w:val="24"/>
          <w:szCs w:val="24"/>
          <w:highlight w:val="none"/>
          <w:u w:val="single" w:color="auto"/>
        </w:rPr>
        <w:t>(产</w:t>
      </w:r>
      <w:r>
        <w:rPr>
          <w:rFonts w:hint="eastAsia" w:ascii="宋体" w:hAnsi="宋体" w:eastAsia="宋体" w:cs="宋体"/>
          <w:i/>
          <w:iCs/>
          <w:color w:val="auto"/>
          <w:spacing w:val="-8"/>
          <w:sz w:val="24"/>
          <w:szCs w:val="24"/>
          <w:highlight w:val="none"/>
          <w:u w:val="single" w:color="auto"/>
        </w:rPr>
        <w:t>品名称1)</w:t>
      </w:r>
      <w:r>
        <w:rPr>
          <w:rFonts w:hint="eastAsia" w:ascii="宋体" w:hAnsi="宋体" w:eastAsia="宋体" w:cs="宋体"/>
          <w:i/>
          <w:iCs/>
          <w:color w:val="auto"/>
          <w:spacing w:val="-8"/>
          <w:sz w:val="24"/>
          <w:szCs w:val="24"/>
          <w:highlight w:val="none"/>
        </w:rPr>
        <w:t>的</w:t>
      </w:r>
      <w:r>
        <w:rPr>
          <w:rFonts w:hint="eastAsia" w:ascii="宋体" w:hAnsi="宋体" w:eastAsia="宋体" w:cs="宋体"/>
          <w:i/>
          <w:iCs/>
          <w:color w:val="auto"/>
          <w:spacing w:val="-8"/>
          <w:sz w:val="24"/>
          <w:szCs w:val="24"/>
          <w:highlight w:val="none"/>
          <w:u w:val="single" w:color="auto"/>
        </w:rPr>
        <w:t>(关键工序)⁵</w:t>
      </w:r>
      <w:r>
        <w:rPr>
          <w:rFonts w:hint="eastAsia" w:ascii="宋体" w:hAnsi="宋体" w:eastAsia="宋体" w:cs="宋体"/>
          <w:i/>
          <w:iCs/>
          <w:color w:val="auto"/>
          <w:spacing w:val="-8"/>
          <w:sz w:val="24"/>
          <w:szCs w:val="24"/>
          <w:highlight w:val="none"/>
        </w:rPr>
        <w:t>在中国境内完成。</w:t>
      </w:r>
    </w:p>
    <w:p w14:paraId="47B42AEF">
      <w:pPr>
        <w:pStyle w:val="17"/>
        <w:spacing w:before="326" w:line="338" w:lineRule="auto"/>
        <w:ind w:right="47"/>
        <w:rPr>
          <w:rFonts w:hint="eastAsia" w:ascii="宋体" w:hAnsi="宋体" w:eastAsia="宋体" w:cs="宋体"/>
          <w:color w:val="auto"/>
          <w:sz w:val="24"/>
          <w:szCs w:val="24"/>
          <w:highlight w:val="none"/>
        </w:rPr>
      </w:pPr>
      <w:r>
        <w:rPr>
          <w:rFonts w:hint="eastAsia" w:ascii="宋体" w:hAnsi="宋体" w:eastAsia="宋体" w:cs="宋体"/>
          <w:i/>
          <w:iCs/>
          <w:color w:val="auto"/>
          <w:spacing w:val="6"/>
          <w:sz w:val="24"/>
          <w:szCs w:val="24"/>
          <w:highlight w:val="none"/>
        </w:rPr>
        <w:t>2.</w:t>
      </w:r>
      <w:r>
        <w:rPr>
          <w:rFonts w:hint="eastAsia" w:ascii="宋体" w:hAnsi="宋体" w:eastAsia="宋体" w:cs="宋体"/>
          <w:i/>
          <w:iCs/>
          <w:color w:val="auto"/>
          <w:spacing w:val="6"/>
          <w:sz w:val="24"/>
          <w:szCs w:val="24"/>
          <w:highlight w:val="none"/>
          <w:u w:val="single" w:color="auto"/>
        </w:rPr>
        <w:t>(产品名称2)</w:t>
      </w:r>
      <w:r>
        <w:rPr>
          <w:rFonts w:hint="eastAsia" w:ascii="宋体" w:hAnsi="宋体" w:eastAsia="宋体" w:cs="宋体"/>
          <w:i/>
          <w:iCs/>
          <w:color w:val="auto"/>
          <w:spacing w:val="6"/>
          <w:sz w:val="24"/>
          <w:szCs w:val="24"/>
          <w:highlight w:val="none"/>
        </w:rPr>
        <w:t>,生产厂为</w:t>
      </w:r>
      <w:r>
        <w:rPr>
          <w:rFonts w:hint="eastAsia" w:ascii="宋体" w:hAnsi="宋体" w:eastAsia="宋体" w:cs="宋体"/>
          <w:i/>
          <w:iCs/>
          <w:color w:val="auto"/>
          <w:spacing w:val="6"/>
          <w:sz w:val="24"/>
          <w:szCs w:val="24"/>
          <w:highlight w:val="none"/>
          <w:u w:val="single" w:color="auto"/>
        </w:rPr>
        <w:t>(厂名</w:t>
      </w:r>
      <w:r>
        <w:rPr>
          <w:rFonts w:hint="eastAsia" w:ascii="宋体" w:hAnsi="宋体" w:eastAsia="宋体" w:cs="宋体"/>
          <w:i/>
          <w:iCs/>
          <w:color w:val="auto"/>
          <w:spacing w:val="6"/>
          <w:sz w:val="24"/>
          <w:szCs w:val="24"/>
          <w:highlight w:val="none"/>
        </w:rPr>
        <w:t>),厂址为</w:t>
      </w:r>
      <w:r>
        <w:rPr>
          <w:rFonts w:hint="eastAsia" w:ascii="宋体" w:hAnsi="宋体" w:eastAsia="宋体" w:cs="宋体"/>
          <w:i/>
          <w:iCs/>
          <w:color w:val="auto"/>
          <w:spacing w:val="6"/>
          <w:sz w:val="24"/>
          <w:szCs w:val="24"/>
          <w:highlight w:val="none"/>
          <w:u w:val="single" w:color="auto"/>
        </w:rPr>
        <w:t>(生产厂</w:t>
      </w:r>
      <w:r>
        <w:rPr>
          <w:rFonts w:hint="eastAsia" w:ascii="宋体" w:hAnsi="宋体" w:eastAsia="宋体" w:cs="宋体"/>
          <w:color w:val="auto"/>
          <w:spacing w:val="17"/>
          <w:sz w:val="24"/>
          <w:szCs w:val="24"/>
          <w:highlight w:val="none"/>
          <w:u w:val="single" w:color="auto"/>
        </w:rPr>
        <w:t>址)</w:t>
      </w:r>
      <w:r>
        <w:rPr>
          <w:rFonts w:hint="eastAsia" w:ascii="宋体" w:hAnsi="宋体" w:eastAsia="宋体" w:cs="宋体"/>
          <w:color w:val="auto"/>
          <w:spacing w:val="17"/>
          <w:sz w:val="24"/>
          <w:szCs w:val="24"/>
          <w:highlight w:val="none"/>
        </w:rPr>
        <w:t>。</w:t>
      </w:r>
      <w:r>
        <w:rPr>
          <w:rFonts w:hint="eastAsia" w:ascii="宋体" w:hAnsi="宋体" w:eastAsia="宋体" w:cs="宋体"/>
          <w:color w:val="auto"/>
          <w:spacing w:val="17"/>
          <w:sz w:val="24"/>
          <w:szCs w:val="24"/>
          <w:highlight w:val="none"/>
          <w:u w:val="single" w:color="auto"/>
        </w:rPr>
        <w:t>(产品名称2)</w:t>
      </w:r>
      <w:r>
        <w:rPr>
          <w:rFonts w:hint="eastAsia" w:ascii="宋体" w:hAnsi="宋体" w:eastAsia="宋体" w:cs="宋体"/>
          <w:color w:val="auto"/>
          <w:spacing w:val="17"/>
          <w:sz w:val="24"/>
          <w:szCs w:val="24"/>
          <w:highlight w:val="none"/>
        </w:rPr>
        <w:t>的中国境内生产的组件成本占比≥</w:t>
      </w:r>
      <w:r>
        <w:rPr>
          <w:rFonts w:hint="eastAsia" w:ascii="宋体" w:hAnsi="宋体" w:eastAsia="宋体" w:cs="宋体"/>
          <w:color w:val="auto"/>
          <w:spacing w:val="16"/>
          <w:sz w:val="24"/>
          <w:szCs w:val="24"/>
          <w:highlight w:val="none"/>
          <w:u w:val="single" w:color="auto"/>
        </w:rPr>
        <w:t>(规定</w:t>
      </w:r>
      <w:r>
        <w:rPr>
          <w:rFonts w:hint="eastAsia" w:ascii="宋体" w:hAnsi="宋体" w:eastAsia="宋体" w:cs="宋体"/>
          <w:color w:val="auto"/>
          <w:spacing w:val="4"/>
          <w:sz w:val="24"/>
          <w:szCs w:val="24"/>
          <w:highlight w:val="none"/>
          <w:u w:val="single" w:color="auto"/>
        </w:rPr>
        <w:t>比例)</w:t>
      </w:r>
      <w:r>
        <w:rPr>
          <w:rFonts w:hint="eastAsia" w:ascii="宋体" w:hAnsi="宋体" w:eastAsia="宋体" w:cs="宋体"/>
          <w:color w:val="auto"/>
          <w:spacing w:val="4"/>
          <w:sz w:val="24"/>
          <w:szCs w:val="24"/>
          <w:highlight w:val="none"/>
        </w:rPr>
        <w:t>。</w:t>
      </w:r>
      <w:r>
        <w:rPr>
          <w:rFonts w:hint="eastAsia" w:ascii="宋体" w:hAnsi="宋体" w:eastAsia="宋体" w:cs="宋体"/>
          <w:color w:val="auto"/>
          <w:spacing w:val="4"/>
          <w:sz w:val="24"/>
          <w:szCs w:val="24"/>
          <w:highlight w:val="none"/>
          <w:u w:val="single" w:color="auto"/>
        </w:rPr>
        <w:t>(产品名称2)</w:t>
      </w:r>
      <w:r>
        <w:rPr>
          <w:rFonts w:hint="eastAsia" w:ascii="宋体" w:hAnsi="宋体" w:eastAsia="宋体" w:cs="宋体"/>
          <w:color w:val="auto"/>
          <w:spacing w:val="4"/>
          <w:sz w:val="24"/>
          <w:szCs w:val="24"/>
          <w:highlight w:val="none"/>
        </w:rPr>
        <w:t>的</w:t>
      </w:r>
      <w:r>
        <w:rPr>
          <w:rFonts w:hint="eastAsia" w:ascii="宋体" w:hAnsi="宋体" w:eastAsia="宋体" w:cs="宋体"/>
          <w:color w:val="auto"/>
          <w:spacing w:val="4"/>
          <w:sz w:val="24"/>
          <w:szCs w:val="24"/>
          <w:highlight w:val="none"/>
          <w:u w:val="single" w:color="auto"/>
        </w:rPr>
        <w:t>(关键组件)</w:t>
      </w:r>
      <w:r>
        <w:rPr>
          <w:rFonts w:hint="eastAsia" w:ascii="宋体" w:hAnsi="宋体" w:eastAsia="宋体" w:cs="宋体"/>
          <w:color w:val="auto"/>
          <w:spacing w:val="4"/>
          <w:sz w:val="24"/>
          <w:szCs w:val="24"/>
          <w:highlight w:val="none"/>
        </w:rPr>
        <w:t>在中</w:t>
      </w:r>
      <w:r>
        <w:rPr>
          <w:rFonts w:hint="eastAsia" w:ascii="宋体" w:hAnsi="宋体" w:eastAsia="宋体" w:cs="宋体"/>
          <w:color w:val="auto"/>
          <w:spacing w:val="3"/>
          <w:sz w:val="24"/>
          <w:szCs w:val="24"/>
          <w:highlight w:val="none"/>
        </w:rPr>
        <w:t>国境内生产。</w:t>
      </w:r>
      <w:r>
        <w:rPr>
          <w:rFonts w:hint="eastAsia" w:ascii="宋体" w:hAnsi="宋体" w:eastAsia="宋体" w:cs="宋体"/>
          <w:color w:val="auto"/>
          <w:spacing w:val="3"/>
          <w:sz w:val="24"/>
          <w:szCs w:val="24"/>
          <w:highlight w:val="none"/>
          <w:u w:val="single" w:color="auto"/>
        </w:rPr>
        <w:t>(产品</w:t>
      </w:r>
      <w:r>
        <w:rPr>
          <w:rFonts w:hint="eastAsia" w:ascii="宋体" w:hAnsi="宋体" w:eastAsia="宋体" w:cs="宋体"/>
          <w:color w:val="auto"/>
          <w:spacing w:val="14"/>
          <w:sz w:val="24"/>
          <w:szCs w:val="24"/>
          <w:highlight w:val="none"/>
          <w:u w:val="single" w:color="auto"/>
        </w:rPr>
        <w:t>名称2)</w:t>
      </w:r>
      <w:r>
        <w:rPr>
          <w:rFonts w:hint="eastAsia" w:ascii="宋体" w:hAnsi="宋体" w:eastAsia="宋体" w:cs="宋体"/>
          <w:color w:val="auto"/>
          <w:spacing w:val="14"/>
          <w:sz w:val="24"/>
          <w:szCs w:val="24"/>
          <w:highlight w:val="none"/>
        </w:rPr>
        <w:t>的</w:t>
      </w:r>
      <w:r>
        <w:rPr>
          <w:rFonts w:hint="eastAsia" w:ascii="宋体" w:hAnsi="宋体" w:eastAsia="宋体" w:cs="宋体"/>
          <w:color w:val="auto"/>
          <w:spacing w:val="14"/>
          <w:sz w:val="24"/>
          <w:szCs w:val="24"/>
          <w:highlight w:val="none"/>
          <w:u w:val="single" w:color="auto"/>
        </w:rPr>
        <w:t>(关键工序)</w:t>
      </w:r>
      <w:r>
        <w:rPr>
          <w:rFonts w:hint="eastAsia" w:ascii="宋体" w:hAnsi="宋体" w:eastAsia="宋体" w:cs="宋体"/>
          <w:color w:val="auto"/>
          <w:spacing w:val="14"/>
          <w:sz w:val="24"/>
          <w:szCs w:val="24"/>
          <w:highlight w:val="none"/>
        </w:rPr>
        <w:t>在中国境内完成。</w:t>
      </w:r>
    </w:p>
    <w:p w14:paraId="4E73EB91">
      <w:pPr>
        <w:spacing w:line="407" w:lineRule="auto"/>
        <w:rPr>
          <w:rFonts w:hint="eastAsia" w:ascii="宋体" w:hAnsi="宋体" w:eastAsia="宋体" w:cs="宋体"/>
          <w:color w:val="auto"/>
          <w:sz w:val="24"/>
          <w:szCs w:val="24"/>
          <w:highlight w:val="none"/>
        </w:rPr>
      </w:pPr>
    </w:p>
    <w:p w14:paraId="5625D6BD">
      <w:pPr>
        <w:spacing w:before="1" w:line="70" w:lineRule="exact"/>
        <w:ind w:firstLine="1350"/>
        <w:rPr>
          <w:color w:val="auto"/>
          <w:highlight w:val="none"/>
        </w:rPr>
      </w:pPr>
      <w:r>
        <w:rPr>
          <w:color w:val="auto"/>
          <w:position w:val="-1"/>
          <w:highlight w:val="none"/>
        </w:rPr>
        <w:drawing>
          <wp:inline distT="0" distB="0" distL="0" distR="0">
            <wp:extent cx="368300" cy="44450"/>
            <wp:effectExtent l="0" t="0" r="12700" b="127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8"/>
                    <a:stretch>
                      <a:fillRect/>
                    </a:stretch>
                  </pic:blipFill>
                  <pic:spPr>
                    <a:xfrm>
                      <a:off x="0" y="0"/>
                      <a:ext cx="368317" cy="44484"/>
                    </a:xfrm>
                    <a:prstGeom prst="rect">
                      <a:avLst/>
                    </a:prstGeom>
                  </pic:spPr>
                </pic:pic>
              </a:graphicData>
            </a:graphic>
          </wp:inline>
        </w:drawing>
      </w:r>
    </w:p>
    <w:p w14:paraId="14448C12">
      <w:pPr>
        <w:spacing w:line="359" w:lineRule="auto"/>
        <w:rPr>
          <w:rFonts w:ascii="Arial"/>
          <w:color w:val="auto"/>
          <w:sz w:val="21"/>
          <w:highlight w:val="none"/>
        </w:rPr>
      </w:pPr>
    </w:p>
    <w:p w14:paraId="41F1959A">
      <w:pPr>
        <w:spacing w:line="359" w:lineRule="auto"/>
        <w:rPr>
          <w:rFonts w:ascii="Arial"/>
          <w:color w:val="auto"/>
          <w:sz w:val="21"/>
          <w:highlight w:val="none"/>
        </w:rPr>
      </w:pPr>
      <w:r>
        <w:rPr>
          <w:color w:val="auto"/>
          <w:highlight w:val="none"/>
        </w:rPr>
        <w:drawing>
          <wp:anchor distT="0" distB="0" distL="0" distR="0" simplePos="0" relativeHeight="251661312" behindDoc="0" locked="0" layoutInCell="1" allowOverlap="1">
            <wp:simplePos x="0" y="0"/>
            <wp:positionH relativeFrom="column">
              <wp:posOffset>457200</wp:posOffset>
            </wp:positionH>
            <wp:positionV relativeFrom="paragraph">
              <wp:posOffset>5715</wp:posOffset>
            </wp:positionV>
            <wp:extent cx="1371600" cy="6350"/>
            <wp:effectExtent l="0" t="0" r="0" b="0"/>
            <wp:wrapNone/>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9"/>
                    <a:stretch>
                      <a:fillRect/>
                    </a:stretch>
                  </pic:blipFill>
                  <pic:spPr>
                    <a:xfrm>
                      <a:off x="0" y="0"/>
                      <a:ext cx="1371539" cy="6350"/>
                    </a:xfrm>
                    <a:prstGeom prst="rect">
                      <a:avLst/>
                    </a:prstGeom>
                  </pic:spPr>
                </pic:pic>
              </a:graphicData>
            </a:graphic>
          </wp:anchor>
        </w:drawing>
      </w:r>
    </w:p>
    <w:p w14:paraId="14870066">
      <w:pPr>
        <w:pStyle w:val="3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560" w:lineRule="atLeast"/>
        <w:ind w:left="0" w:right="0" w:firstLine="420"/>
        <w:textAlignment w:val="baseline"/>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sz w:val="21"/>
          <w:szCs w:val="21"/>
          <w:highlight w:val="none"/>
          <w:shd w:val="clear" w:color="auto" w:fill="FFFFFF"/>
          <w:vertAlign w:val="baseline"/>
        </w:rPr>
        <w:t>本公司（单位）对上述声明内容的真实性负责。如有虚假，愿承担相应法律责任。</w:t>
      </w:r>
    </w:p>
    <w:p w14:paraId="07804C59">
      <w:pPr>
        <w:pStyle w:val="3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560" w:lineRule="atLeast"/>
        <w:ind w:left="0" w:right="0" w:firstLine="0"/>
        <w:textAlignment w:val="baseline"/>
        <w:rPr>
          <w:rFonts w:hint="eastAsia" w:ascii="宋体" w:hAnsi="宋体" w:eastAsia="宋体" w:cs="宋体"/>
          <w:i w:val="0"/>
          <w:iCs w:val="0"/>
          <w:caps w:val="0"/>
          <w:color w:val="auto"/>
          <w:spacing w:val="0"/>
          <w:sz w:val="21"/>
          <w:szCs w:val="21"/>
          <w:highlight w:val="none"/>
        </w:rPr>
      </w:pPr>
    </w:p>
    <w:p w14:paraId="7B5D0014">
      <w:pPr>
        <w:pStyle w:val="3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560" w:lineRule="atLeast"/>
        <w:ind w:left="0" w:right="0" w:firstLine="0"/>
        <w:jc w:val="right"/>
        <w:textAlignment w:val="baseline"/>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sz w:val="21"/>
          <w:szCs w:val="21"/>
          <w:highlight w:val="none"/>
          <w:shd w:val="clear" w:color="auto" w:fill="FFFFFF"/>
          <w:vertAlign w:val="baseline"/>
        </w:rPr>
        <w:t>公司（单位）名称（盖章）：        </w:t>
      </w:r>
    </w:p>
    <w:p w14:paraId="4ED5A90E">
      <w:pPr>
        <w:pStyle w:val="3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560" w:lineRule="atLeast"/>
        <w:ind w:left="0" w:right="0" w:firstLine="0"/>
        <w:jc w:val="center"/>
        <w:textAlignment w:val="baseline"/>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sz w:val="21"/>
          <w:szCs w:val="21"/>
          <w:highlight w:val="none"/>
          <w:shd w:val="clear" w:color="auto" w:fill="FFFFFF"/>
          <w:vertAlign w:val="baseline"/>
        </w:rPr>
        <w:t>日期：     年  月  日     </w:t>
      </w:r>
    </w:p>
    <w:p w14:paraId="3D47FA8D">
      <w:pPr>
        <w:pStyle w:val="3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560" w:lineRule="atLeast"/>
        <w:ind w:left="0" w:right="0" w:firstLine="420"/>
        <w:textAlignment w:val="baseline"/>
        <w:rPr>
          <w:rFonts w:hint="eastAsia" w:ascii="宋体" w:hAnsi="宋体" w:eastAsia="宋体" w:cs="宋体"/>
          <w:b/>
          <w:bCs/>
          <w:i w:val="0"/>
          <w:iCs w:val="0"/>
          <w:caps w:val="0"/>
          <w:color w:val="auto"/>
          <w:spacing w:val="0"/>
          <w:sz w:val="21"/>
          <w:szCs w:val="21"/>
          <w:highlight w:val="none"/>
          <w:shd w:val="clear" w:color="auto" w:fill="FFFFFF"/>
          <w:vertAlign w:val="baseline"/>
          <w:lang w:val="en-US" w:eastAsia="zh-CN"/>
        </w:rPr>
      </w:pPr>
      <w:r>
        <w:rPr>
          <w:rFonts w:hint="eastAsia" w:ascii="宋体" w:hAnsi="宋体" w:eastAsia="宋体" w:cs="宋体"/>
          <w:b/>
          <w:bCs/>
          <w:i w:val="0"/>
          <w:iCs w:val="0"/>
          <w:caps w:val="0"/>
          <w:color w:val="auto"/>
          <w:spacing w:val="0"/>
          <w:sz w:val="21"/>
          <w:szCs w:val="21"/>
          <w:highlight w:val="none"/>
          <w:shd w:val="clear" w:color="auto" w:fill="FFFFFF"/>
          <w:vertAlign w:val="baseline"/>
          <w:lang w:val="en-US" w:eastAsia="zh-CN"/>
        </w:rPr>
        <w:t>填写说明：</w:t>
      </w:r>
    </w:p>
    <w:p w14:paraId="05EDBB76">
      <w:pPr>
        <w:pStyle w:val="3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00" w:lineRule="atLeast"/>
        <w:ind w:left="0" w:right="0" w:firstLine="0"/>
        <w:textAlignment w:val="baseline"/>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sz w:val="21"/>
          <w:szCs w:val="21"/>
          <w:highlight w:val="none"/>
          <w:shd w:val="clear" w:color="auto" w:fill="FFFFFF"/>
          <w:vertAlign w:val="baseline"/>
        </w:rPr>
        <w:t>①产品如有型号，请在“产品名称”栏一并填写。</w:t>
      </w:r>
    </w:p>
    <w:p w14:paraId="7C0BC04E">
      <w:pPr>
        <w:pStyle w:val="3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00" w:lineRule="atLeast"/>
        <w:ind w:left="0" w:right="0" w:firstLine="0"/>
        <w:textAlignment w:val="baseline"/>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sz w:val="21"/>
          <w:szCs w:val="21"/>
          <w:highlight w:val="none"/>
          <w:shd w:val="clear" w:color="auto" w:fill="FFFFFF"/>
          <w:vertAlign w:val="baseline"/>
        </w:rPr>
        <w:t>②生产厂名与厂址应与生产厂营业执照载明的相关信息保持一致。</w:t>
      </w:r>
    </w:p>
    <w:p w14:paraId="2A5434B4">
      <w:pPr>
        <w:pStyle w:val="3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00" w:lineRule="atLeast"/>
        <w:ind w:left="0" w:right="0" w:firstLine="0"/>
        <w:textAlignment w:val="baseline"/>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sz w:val="21"/>
          <w:szCs w:val="21"/>
          <w:highlight w:val="none"/>
          <w:shd w:val="clear" w:color="auto" w:fill="FFFFFF"/>
          <w:vertAlign w:val="baseline"/>
        </w:rPr>
        <w:t>③该产品的中国境内生产的组件成本占比相关要求实施前，“规定比例”栏可不填，下同。</w:t>
      </w:r>
    </w:p>
    <w:p w14:paraId="7650F513">
      <w:pPr>
        <w:pStyle w:val="3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00" w:lineRule="atLeast"/>
        <w:ind w:left="0" w:right="0" w:firstLine="0"/>
        <w:textAlignment w:val="baseline"/>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sz w:val="21"/>
          <w:szCs w:val="21"/>
          <w:highlight w:val="none"/>
          <w:shd w:val="clear" w:color="auto" w:fill="FFFFFF"/>
          <w:vertAlign w:val="baseline"/>
        </w:rPr>
        <w:t>④该产品的关键组件要求实施前，“关键组件”栏可不填，下同。</w:t>
      </w:r>
    </w:p>
    <w:p w14:paraId="72195635">
      <w:pPr>
        <w:pStyle w:val="3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00" w:lineRule="atLeast"/>
        <w:ind w:left="0" w:right="0" w:firstLine="0"/>
        <w:textAlignment w:val="baseline"/>
        <w:rPr>
          <w:rFonts w:hint="eastAsia" w:ascii="宋体" w:hAnsi="宋体" w:eastAsia="宋体" w:cs="宋体"/>
          <w:i w:val="0"/>
          <w:iCs w:val="0"/>
          <w:caps w:val="0"/>
          <w:color w:val="auto"/>
          <w:spacing w:val="0"/>
          <w:sz w:val="21"/>
          <w:szCs w:val="21"/>
          <w:highlight w:val="none"/>
          <w:shd w:val="clear" w:color="auto" w:fill="FFFFFF"/>
          <w:vertAlign w:val="baseline"/>
        </w:rPr>
      </w:pPr>
      <w:r>
        <w:rPr>
          <w:rFonts w:hint="eastAsia" w:ascii="宋体" w:hAnsi="宋体" w:eastAsia="宋体" w:cs="宋体"/>
          <w:i w:val="0"/>
          <w:iCs w:val="0"/>
          <w:caps w:val="0"/>
          <w:color w:val="auto"/>
          <w:spacing w:val="0"/>
          <w:sz w:val="21"/>
          <w:szCs w:val="21"/>
          <w:highlight w:val="none"/>
          <w:shd w:val="clear" w:color="auto" w:fill="FFFFFF"/>
          <w:vertAlign w:val="baseline"/>
        </w:rPr>
        <w:t>⑤该产品的关键工序要求实施前，“关键工序”栏可不填，下同。</w:t>
      </w:r>
    </w:p>
    <w:p w14:paraId="6F49D127">
      <w:pPr>
        <w:rPr>
          <w:rFonts w:hint="eastAsia" w:ascii="宋体" w:hAnsi="宋体" w:eastAsia="宋体" w:cs="宋体"/>
          <w:color w:val="auto"/>
          <w:sz w:val="21"/>
          <w:szCs w:val="21"/>
          <w:highlight w:val="none"/>
        </w:rPr>
      </w:pPr>
    </w:p>
    <w:sectPr>
      <w:pgSz w:w="11907" w:h="16840"/>
      <w:pgMar w:top="1304" w:right="1588" w:bottom="1304" w:left="1588" w:header="720" w:footer="720" w:gutter="0"/>
      <w:pgBorders>
        <w:top w:val="none" w:sz="0" w:space="0"/>
        <w:left w:val="none" w:sz="0" w:space="0"/>
        <w:bottom w:val="none" w:sz="0" w:space="0"/>
        <w:right w:val="none" w:sz="0" w:space="0"/>
      </w:pgBorders>
      <w:pgNumType w:fmt="decimal"/>
      <w:cols w:space="720" w:num="1"/>
      <w:docGrid w:linePitch="28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7F" w:usb3="00000000" w:csb0="203F01FF" w:csb1="DFFF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细黑">
    <w:altName w:val="微软雅黑"/>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新宋体">
    <w:panose1 w:val="02010609030101010101"/>
    <w:charset w:val="86"/>
    <w:family w:val="modern"/>
    <w:pitch w:val="default"/>
    <w:sig w:usb0="00000203" w:usb1="288F0000" w:usb2="00000006" w:usb3="00000000" w:csb0="00040001" w:csb1="00000000"/>
  </w:font>
  <w:font w:name="Helvetica">
    <w:panose1 w:val="020B0504020202030204"/>
    <w:charset w:val="00"/>
    <w:family w:val="swiss"/>
    <w:pitch w:val="default"/>
    <w:sig w:usb0="00000007" w:usb1="00000000" w:usb2="00000000" w:usb3="00000000" w:csb0="00000093"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7961B6">
    <w:pPr>
      <w:pStyle w:val="2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108ABA">
    <w:pPr>
      <w:pStyle w:val="2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75BD2B">
                          <w:pPr>
                            <w:pStyle w:val="25"/>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1275BD2B">
                    <w:pPr>
                      <w:pStyle w:val="25"/>
                    </w:pPr>
                    <w:r>
                      <w:fldChar w:fldCharType="begin"/>
                    </w:r>
                    <w:r>
                      <w:instrText xml:space="preserve"> PAGE  \* MERGEFORMAT </w:instrText>
                    </w:r>
                    <w:r>
                      <w:fldChar w:fldCharType="separate"/>
                    </w:r>
                    <w:r>
                      <w:t>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276F54">
    <w:pPr>
      <w:rPr>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50A8F4">
    <w:pPr>
      <w:rPr>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2E43AA">
    <w:pPr>
      <w:rPr>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1B9DA1">
    <w:pPr>
      <w:rPr>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1BF536">
    <w:pPr>
      <w:rPr>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6199E5">
    <w:pPr>
      <w:rPr>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E0CE18">
    <w:pPr>
      <w:pStyle w:val="26"/>
      <w:wordWrap w:val="0"/>
      <w:jc w:val="both"/>
      <w:rPr>
        <w:sz w:val="21"/>
        <w:szCs w:val="21"/>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A658B9">
    <w:pPr>
      <w:wordWrap w:val="0"/>
      <w:rPr>
        <w:u w:val="single"/>
      </w:rPr>
    </w:pPr>
    <w:r>
      <w:rPr>
        <w:rFonts w:hint="eastAsia"/>
        <w:u w:val="single"/>
      </w:rPr>
      <w:t>政府采购公开招标招标文件                                           投标文件格式</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ED377B">
    <w:pPr>
      <w:pStyle w:val="26"/>
      <w:jc w:val="both"/>
      <w:rPr>
        <w:sz w:val="21"/>
        <w:szCs w:val="21"/>
      </w:rPr>
    </w:pPr>
    <w:r>
      <w:rPr>
        <w:rFonts w:hint="eastAsia" w:cs="宋体"/>
        <w:sz w:val="21"/>
        <w:szCs w:val="21"/>
      </w:rPr>
      <w:t>政府采购公开招标采购文件附件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2A5D118"/>
    <w:multiLevelType w:val="singleLevel"/>
    <w:tmpl w:val="D2A5D118"/>
    <w:lvl w:ilvl="0" w:tentative="0">
      <w:start w:val="2"/>
      <w:numFmt w:val="decimal"/>
      <w:suff w:val="nothing"/>
      <w:lvlText w:val="%1．"/>
      <w:lvlJc w:val="left"/>
    </w:lvl>
  </w:abstractNum>
  <w:abstractNum w:abstractNumId="1">
    <w:nsid w:val="DB02A339"/>
    <w:multiLevelType w:val="singleLevel"/>
    <w:tmpl w:val="DB02A339"/>
    <w:lvl w:ilvl="0" w:tentative="0">
      <w:start w:val="2"/>
      <w:numFmt w:val="decimal"/>
      <w:suff w:val="nothing"/>
      <w:lvlText w:val="（%1）"/>
      <w:lvlJc w:val="left"/>
      <w:rPr>
        <w:b w:val="0"/>
        <w:color w:val="auto"/>
      </w:rPr>
    </w:lvl>
  </w:abstractNum>
  <w:abstractNum w:abstractNumId="2">
    <w:nsid w:val="00000020"/>
    <w:multiLevelType w:val="singleLevel"/>
    <w:tmpl w:val="00000020"/>
    <w:lvl w:ilvl="0" w:tentative="0">
      <w:start w:val="1"/>
      <w:numFmt w:val="chineseCounting"/>
      <w:suff w:val="nothing"/>
      <w:lvlText w:val="（%1）"/>
      <w:lvlJc w:val="left"/>
    </w:lvl>
  </w:abstractNum>
  <w:abstractNum w:abstractNumId="3">
    <w:nsid w:val="13305CFE"/>
    <w:multiLevelType w:val="multilevel"/>
    <w:tmpl w:val="13305CF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1FB509F3"/>
    <w:multiLevelType w:val="multilevel"/>
    <w:tmpl w:val="1FB509F3"/>
    <w:lvl w:ilvl="0" w:tentative="0">
      <w:start w:val="1"/>
      <w:numFmt w:val="decimal"/>
      <w:pStyle w:val="154"/>
      <w:lvlText w:val="%1、"/>
      <w:lvlJc w:val="left"/>
      <w:pPr>
        <w:tabs>
          <w:tab w:val="left" w:pos="306"/>
        </w:tabs>
        <w:ind w:left="306" w:hanging="360"/>
      </w:pPr>
      <w:rPr>
        <w:rFonts w:hint="eastAsia"/>
      </w:rPr>
    </w:lvl>
    <w:lvl w:ilvl="1" w:tentative="0">
      <w:start w:val="1"/>
      <w:numFmt w:val="lowerLetter"/>
      <w:lvlText w:val="%2)"/>
      <w:lvlJc w:val="left"/>
      <w:pPr>
        <w:tabs>
          <w:tab w:val="left" w:pos="366"/>
        </w:tabs>
        <w:ind w:left="366" w:hanging="420"/>
      </w:pPr>
    </w:lvl>
    <w:lvl w:ilvl="2" w:tentative="0">
      <w:start w:val="1"/>
      <w:numFmt w:val="lowerRoman"/>
      <w:lvlText w:val="%3."/>
      <w:lvlJc w:val="right"/>
      <w:pPr>
        <w:tabs>
          <w:tab w:val="left" w:pos="786"/>
        </w:tabs>
        <w:ind w:left="786" w:hanging="420"/>
      </w:pPr>
    </w:lvl>
    <w:lvl w:ilvl="3" w:tentative="0">
      <w:start w:val="1"/>
      <w:numFmt w:val="decimal"/>
      <w:lvlText w:val="%4."/>
      <w:lvlJc w:val="left"/>
      <w:pPr>
        <w:tabs>
          <w:tab w:val="left" w:pos="1206"/>
        </w:tabs>
        <w:ind w:left="1206" w:hanging="420"/>
      </w:pPr>
    </w:lvl>
    <w:lvl w:ilvl="4" w:tentative="0">
      <w:start w:val="1"/>
      <w:numFmt w:val="lowerLetter"/>
      <w:lvlText w:val="%5)"/>
      <w:lvlJc w:val="left"/>
      <w:pPr>
        <w:tabs>
          <w:tab w:val="left" w:pos="1626"/>
        </w:tabs>
        <w:ind w:left="1626" w:hanging="420"/>
      </w:pPr>
    </w:lvl>
    <w:lvl w:ilvl="5" w:tentative="0">
      <w:start w:val="1"/>
      <w:numFmt w:val="lowerRoman"/>
      <w:lvlText w:val="%6."/>
      <w:lvlJc w:val="right"/>
      <w:pPr>
        <w:tabs>
          <w:tab w:val="left" w:pos="2046"/>
        </w:tabs>
        <w:ind w:left="2046" w:hanging="420"/>
      </w:pPr>
    </w:lvl>
    <w:lvl w:ilvl="6" w:tentative="0">
      <w:start w:val="1"/>
      <w:numFmt w:val="decimal"/>
      <w:lvlText w:val="%7."/>
      <w:lvlJc w:val="left"/>
      <w:pPr>
        <w:tabs>
          <w:tab w:val="left" w:pos="2466"/>
        </w:tabs>
        <w:ind w:left="2466" w:hanging="420"/>
      </w:pPr>
    </w:lvl>
    <w:lvl w:ilvl="7" w:tentative="0">
      <w:start w:val="1"/>
      <w:numFmt w:val="lowerLetter"/>
      <w:lvlText w:val="%8)"/>
      <w:lvlJc w:val="left"/>
      <w:pPr>
        <w:tabs>
          <w:tab w:val="left" w:pos="2886"/>
        </w:tabs>
        <w:ind w:left="2886" w:hanging="420"/>
      </w:pPr>
    </w:lvl>
    <w:lvl w:ilvl="8" w:tentative="0">
      <w:start w:val="1"/>
      <w:numFmt w:val="lowerRoman"/>
      <w:lvlText w:val="%9."/>
      <w:lvlJc w:val="right"/>
      <w:pPr>
        <w:tabs>
          <w:tab w:val="left" w:pos="3306"/>
        </w:tabs>
        <w:ind w:left="3306" w:hanging="420"/>
      </w:pPr>
    </w:lvl>
  </w:abstractNum>
  <w:abstractNum w:abstractNumId="5">
    <w:nsid w:val="3B5F78C6"/>
    <w:multiLevelType w:val="multilevel"/>
    <w:tmpl w:val="3B5F78C6"/>
    <w:lvl w:ilvl="0" w:tentative="0">
      <w:start w:val="1"/>
      <w:numFmt w:val="decimal"/>
      <w:lvlText w:val="（%1）"/>
      <w:lvlJc w:val="left"/>
      <w:pPr>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48E49E67"/>
    <w:multiLevelType w:val="singleLevel"/>
    <w:tmpl w:val="48E49E67"/>
    <w:lvl w:ilvl="0" w:tentative="0">
      <w:start w:val="1"/>
      <w:numFmt w:val="decimal"/>
      <w:suff w:val="space"/>
      <w:lvlText w:val="%1."/>
      <w:lvlJc w:val="left"/>
    </w:lvl>
  </w:abstractNum>
  <w:abstractNum w:abstractNumId="7">
    <w:nsid w:val="71D91424"/>
    <w:multiLevelType w:val="singleLevel"/>
    <w:tmpl w:val="71D91424"/>
    <w:lvl w:ilvl="0" w:tentative="0">
      <w:start w:val="2"/>
      <w:numFmt w:val="chineseCounting"/>
      <w:suff w:val="nothing"/>
      <w:lvlText w:val="%1、"/>
      <w:lvlJc w:val="left"/>
      <w:rPr>
        <w:rFonts w:hint="eastAsia"/>
      </w:rPr>
    </w:lvl>
  </w:abstractNum>
  <w:abstractNum w:abstractNumId="8">
    <w:nsid w:val="7A4FBFD1"/>
    <w:multiLevelType w:val="singleLevel"/>
    <w:tmpl w:val="7A4FBFD1"/>
    <w:lvl w:ilvl="0" w:tentative="0">
      <w:start w:val="32"/>
      <w:numFmt w:val="decimal"/>
      <w:suff w:val="space"/>
      <w:lvlText w:val="%1."/>
      <w:lvlJc w:val="left"/>
    </w:lvl>
  </w:abstractNum>
  <w:num w:numId="1">
    <w:abstractNumId w:val="4"/>
  </w:num>
  <w:num w:numId="2">
    <w:abstractNumId w:val="7"/>
  </w:num>
  <w:num w:numId="3">
    <w:abstractNumId w:val="1"/>
  </w:num>
  <w:num w:numId="4">
    <w:abstractNumId w:val="8"/>
  </w:num>
  <w:num w:numId="5">
    <w:abstractNumId w:val="2"/>
  </w:num>
  <w:num w:numId="6">
    <w:abstractNumId w:val="0"/>
  </w:num>
  <w:num w:numId="7">
    <w:abstractNumId w:val="3"/>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5"/>
  <w:embedSystemFonts/>
  <w:bordersDoNotSurroundHeader w:val="0"/>
  <w:bordersDoNotSurroundFooter w:val="0"/>
  <w:hideSpellingErrors/>
  <w:documentProtection w:enforcement="0"/>
  <w:defaultTabStop w:val="420"/>
  <w:doNotHyphenateCaps/>
  <w:drawingGridHorizontalSpacing w:val="105"/>
  <w:drawingGridVerticalSpacing w:val="143"/>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VjNDljOTNiOGQ3OTM2YjgyZDg3ZTNhMzRkNmI2ZDAifQ=="/>
  </w:docVars>
  <w:rsids>
    <w:rsidRoot w:val="00172A27"/>
    <w:rsid w:val="0000154C"/>
    <w:rsid w:val="00001DA5"/>
    <w:rsid w:val="000026B7"/>
    <w:rsid w:val="000033D9"/>
    <w:rsid w:val="000038FC"/>
    <w:rsid w:val="000044DF"/>
    <w:rsid w:val="000059B7"/>
    <w:rsid w:val="0000638F"/>
    <w:rsid w:val="00006955"/>
    <w:rsid w:val="00007C72"/>
    <w:rsid w:val="00007EB7"/>
    <w:rsid w:val="000111A1"/>
    <w:rsid w:val="0001295F"/>
    <w:rsid w:val="00013FBC"/>
    <w:rsid w:val="00014CB0"/>
    <w:rsid w:val="00014F3E"/>
    <w:rsid w:val="0001514B"/>
    <w:rsid w:val="00015180"/>
    <w:rsid w:val="0001534C"/>
    <w:rsid w:val="0001578F"/>
    <w:rsid w:val="00016B63"/>
    <w:rsid w:val="00016FB3"/>
    <w:rsid w:val="00017C9C"/>
    <w:rsid w:val="00020537"/>
    <w:rsid w:val="000207EE"/>
    <w:rsid w:val="00020F9A"/>
    <w:rsid w:val="0002130B"/>
    <w:rsid w:val="00022DBD"/>
    <w:rsid w:val="0002342D"/>
    <w:rsid w:val="0002496A"/>
    <w:rsid w:val="00025826"/>
    <w:rsid w:val="000270E0"/>
    <w:rsid w:val="0003127A"/>
    <w:rsid w:val="0003280D"/>
    <w:rsid w:val="00032AB1"/>
    <w:rsid w:val="000364B5"/>
    <w:rsid w:val="00037B77"/>
    <w:rsid w:val="00040575"/>
    <w:rsid w:val="00043133"/>
    <w:rsid w:val="000435FF"/>
    <w:rsid w:val="000439E8"/>
    <w:rsid w:val="00043F35"/>
    <w:rsid w:val="00045BF5"/>
    <w:rsid w:val="0004642D"/>
    <w:rsid w:val="0004663F"/>
    <w:rsid w:val="000516E1"/>
    <w:rsid w:val="00051830"/>
    <w:rsid w:val="000533FA"/>
    <w:rsid w:val="0005540C"/>
    <w:rsid w:val="00057C77"/>
    <w:rsid w:val="00060096"/>
    <w:rsid w:val="00060ABC"/>
    <w:rsid w:val="00061107"/>
    <w:rsid w:val="00062360"/>
    <w:rsid w:val="00062718"/>
    <w:rsid w:val="00062DAC"/>
    <w:rsid w:val="00063B83"/>
    <w:rsid w:val="000667E6"/>
    <w:rsid w:val="00067049"/>
    <w:rsid w:val="00067545"/>
    <w:rsid w:val="00067BEE"/>
    <w:rsid w:val="00067DC2"/>
    <w:rsid w:val="00071A90"/>
    <w:rsid w:val="000729D5"/>
    <w:rsid w:val="00080353"/>
    <w:rsid w:val="000806C0"/>
    <w:rsid w:val="00080713"/>
    <w:rsid w:val="00080A0F"/>
    <w:rsid w:val="000811E6"/>
    <w:rsid w:val="0008169B"/>
    <w:rsid w:val="0008191D"/>
    <w:rsid w:val="00082A4E"/>
    <w:rsid w:val="00082CDD"/>
    <w:rsid w:val="00083803"/>
    <w:rsid w:val="00083FC6"/>
    <w:rsid w:val="00084B92"/>
    <w:rsid w:val="00084EE6"/>
    <w:rsid w:val="000859F9"/>
    <w:rsid w:val="00087328"/>
    <w:rsid w:val="00090A64"/>
    <w:rsid w:val="00091070"/>
    <w:rsid w:val="00091E8C"/>
    <w:rsid w:val="00093976"/>
    <w:rsid w:val="00094113"/>
    <w:rsid w:val="00094AD7"/>
    <w:rsid w:val="00096B3E"/>
    <w:rsid w:val="000971F0"/>
    <w:rsid w:val="0009789A"/>
    <w:rsid w:val="00097A22"/>
    <w:rsid w:val="00097D71"/>
    <w:rsid w:val="000A07DC"/>
    <w:rsid w:val="000A0861"/>
    <w:rsid w:val="000A0CAD"/>
    <w:rsid w:val="000A1C2F"/>
    <w:rsid w:val="000A386A"/>
    <w:rsid w:val="000A4F52"/>
    <w:rsid w:val="000A51AC"/>
    <w:rsid w:val="000A678C"/>
    <w:rsid w:val="000A778E"/>
    <w:rsid w:val="000B14F7"/>
    <w:rsid w:val="000B20FA"/>
    <w:rsid w:val="000B2452"/>
    <w:rsid w:val="000B2CD2"/>
    <w:rsid w:val="000B37C5"/>
    <w:rsid w:val="000B380B"/>
    <w:rsid w:val="000B3FB2"/>
    <w:rsid w:val="000B4340"/>
    <w:rsid w:val="000B6CB5"/>
    <w:rsid w:val="000B7137"/>
    <w:rsid w:val="000C02D0"/>
    <w:rsid w:val="000C189C"/>
    <w:rsid w:val="000C1AFB"/>
    <w:rsid w:val="000C5C2C"/>
    <w:rsid w:val="000C5D8A"/>
    <w:rsid w:val="000C6B2B"/>
    <w:rsid w:val="000C7390"/>
    <w:rsid w:val="000D1A53"/>
    <w:rsid w:val="000D1E32"/>
    <w:rsid w:val="000D26A3"/>
    <w:rsid w:val="000D68F1"/>
    <w:rsid w:val="000D6D10"/>
    <w:rsid w:val="000E0158"/>
    <w:rsid w:val="000E0D05"/>
    <w:rsid w:val="000E1023"/>
    <w:rsid w:val="000E1097"/>
    <w:rsid w:val="000E269D"/>
    <w:rsid w:val="000E325D"/>
    <w:rsid w:val="000E449E"/>
    <w:rsid w:val="000E5C6B"/>
    <w:rsid w:val="000E6C56"/>
    <w:rsid w:val="000E7057"/>
    <w:rsid w:val="000F0DA1"/>
    <w:rsid w:val="000F0F6F"/>
    <w:rsid w:val="000F1B10"/>
    <w:rsid w:val="000F3AA2"/>
    <w:rsid w:val="000F4B6E"/>
    <w:rsid w:val="000F4C08"/>
    <w:rsid w:val="000F4F74"/>
    <w:rsid w:val="000F5518"/>
    <w:rsid w:val="000F57BD"/>
    <w:rsid w:val="000F5E42"/>
    <w:rsid w:val="000F5E86"/>
    <w:rsid w:val="000F69BB"/>
    <w:rsid w:val="0010043B"/>
    <w:rsid w:val="0010075F"/>
    <w:rsid w:val="00100AEF"/>
    <w:rsid w:val="00100B95"/>
    <w:rsid w:val="00100F5A"/>
    <w:rsid w:val="00102E82"/>
    <w:rsid w:val="00103906"/>
    <w:rsid w:val="00103FA5"/>
    <w:rsid w:val="00104008"/>
    <w:rsid w:val="001046A8"/>
    <w:rsid w:val="0010481C"/>
    <w:rsid w:val="00106ABC"/>
    <w:rsid w:val="001101A3"/>
    <w:rsid w:val="001103AA"/>
    <w:rsid w:val="001103BB"/>
    <w:rsid w:val="00110AF2"/>
    <w:rsid w:val="00110BB3"/>
    <w:rsid w:val="00112359"/>
    <w:rsid w:val="0011290C"/>
    <w:rsid w:val="00112BFF"/>
    <w:rsid w:val="00115B8D"/>
    <w:rsid w:val="001163EC"/>
    <w:rsid w:val="00116F3B"/>
    <w:rsid w:val="00117216"/>
    <w:rsid w:val="0012010C"/>
    <w:rsid w:val="00123FDE"/>
    <w:rsid w:val="00124963"/>
    <w:rsid w:val="00124B80"/>
    <w:rsid w:val="001254F0"/>
    <w:rsid w:val="0012584B"/>
    <w:rsid w:val="001258B9"/>
    <w:rsid w:val="001265C7"/>
    <w:rsid w:val="00126BC6"/>
    <w:rsid w:val="001279F2"/>
    <w:rsid w:val="0013137E"/>
    <w:rsid w:val="001316A9"/>
    <w:rsid w:val="00133163"/>
    <w:rsid w:val="001331FC"/>
    <w:rsid w:val="00133D9E"/>
    <w:rsid w:val="0013425B"/>
    <w:rsid w:val="0013607E"/>
    <w:rsid w:val="00137625"/>
    <w:rsid w:val="001378ED"/>
    <w:rsid w:val="00141804"/>
    <w:rsid w:val="00141D2C"/>
    <w:rsid w:val="00143B92"/>
    <w:rsid w:val="0014483F"/>
    <w:rsid w:val="00145BE2"/>
    <w:rsid w:val="00146872"/>
    <w:rsid w:val="001469BF"/>
    <w:rsid w:val="00147025"/>
    <w:rsid w:val="00147092"/>
    <w:rsid w:val="0014750F"/>
    <w:rsid w:val="00147996"/>
    <w:rsid w:val="00147CC9"/>
    <w:rsid w:val="001510C0"/>
    <w:rsid w:val="0015204A"/>
    <w:rsid w:val="00153030"/>
    <w:rsid w:val="00154BF5"/>
    <w:rsid w:val="00155D71"/>
    <w:rsid w:val="00157A8C"/>
    <w:rsid w:val="0016016A"/>
    <w:rsid w:val="001610B9"/>
    <w:rsid w:val="00162AB6"/>
    <w:rsid w:val="00162DD6"/>
    <w:rsid w:val="00163690"/>
    <w:rsid w:val="00164B24"/>
    <w:rsid w:val="001654A4"/>
    <w:rsid w:val="00166232"/>
    <w:rsid w:val="00170473"/>
    <w:rsid w:val="00170D8C"/>
    <w:rsid w:val="00172A27"/>
    <w:rsid w:val="001734C2"/>
    <w:rsid w:val="00174335"/>
    <w:rsid w:val="001755E5"/>
    <w:rsid w:val="00175773"/>
    <w:rsid w:val="0017650C"/>
    <w:rsid w:val="001765A8"/>
    <w:rsid w:val="001777A0"/>
    <w:rsid w:val="00177910"/>
    <w:rsid w:val="00177E35"/>
    <w:rsid w:val="001818DE"/>
    <w:rsid w:val="00182175"/>
    <w:rsid w:val="00186B37"/>
    <w:rsid w:val="00187B16"/>
    <w:rsid w:val="0019037E"/>
    <w:rsid w:val="001905A5"/>
    <w:rsid w:val="001908B3"/>
    <w:rsid w:val="00190CE6"/>
    <w:rsid w:val="00191B44"/>
    <w:rsid w:val="00191D4B"/>
    <w:rsid w:val="00191D5E"/>
    <w:rsid w:val="00191F43"/>
    <w:rsid w:val="00194A4F"/>
    <w:rsid w:val="00194E39"/>
    <w:rsid w:val="001955A9"/>
    <w:rsid w:val="001974DD"/>
    <w:rsid w:val="00197899"/>
    <w:rsid w:val="001A03A1"/>
    <w:rsid w:val="001A06CA"/>
    <w:rsid w:val="001A542C"/>
    <w:rsid w:val="001A555F"/>
    <w:rsid w:val="001A6893"/>
    <w:rsid w:val="001B034F"/>
    <w:rsid w:val="001B049D"/>
    <w:rsid w:val="001B3014"/>
    <w:rsid w:val="001B3F1F"/>
    <w:rsid w:val="001B3F78"/>
    <w:rsid w:val="001B46E4"/>
    <w:rsid w:val="001B55CF"/>
    <w:rsid w:val="001B5801"/>
    <w:rsid w:val="001B60F7"/>
    <w:rsid w:val="001B7CAC"/>
    <w:rsid w:val="001B7D86"/>
    <w:rsid w:val="001C0D22"/>
    <w:rsid w:val="001C1A4F"/>
    <w:rsid w:val="001C22FD"/>
    <w:rsid w:val="001C23EA"/>
    <w:rsid w:val="001C2A36"/>
    <w:rsid w:val="001C3540"/>
    <w:rsid w:val="001C4873"/>
    <w:rsid w:val="001C4C30"/>
    <w:rsid w:val="001C54AF"/>
    <w:rsid w:val="001C67C2"/>
    <w:rsid w:val="001C67DF"/>
    <w:rsid w:val="001C6F6D"/>
    <w:rsid w:val="001C7961"/>
    <w:rsid w:val="001D1258"/>
    <w:rsid w:val="001D28C3"/>
    <w:rsid w:val="001D36A1"/>
    <w:rsid w:val="001D480F"/>
    <w:rsid w:val="001D52CE"/>
    <w:rsid w:val="001D5590"/>
    <w:rsid w:val="001D56E3"/>
    <w:rsid w:val="001D5805"/>
    <w:rsid w:val="001D6C14"/>
    <w:rsid w:val="001D7F60"/>
    <w:rsid w:val="001E0C96"/>
    <w:rsid w:val="001E315A"/>
    <w:rsid w:val="001E3FCB"/>
    <w:rsid w:val="001E4B99"/>
    <w:rsid w:val="001E58AC"/>
    <w:rsid w:val="001F005A"/>
    <w:rsid w:val="001F2107"/>
    <w:rsid w:val="001F284E"/>
    <w:rsid w:val="001F74FF"/>
    <w:rsid w:val="00200012"/>
    <w:rsid w:val="002030EE"/>
    <w:rsid w:val="00203783"/>
    <w:rsid w:val="002039E0"/>
    <w:rsid w:val="002043F2"/>
    <w:rsid w:val="0020447D"/>
    <w:rsid w:val="00204B2F"/>
    <w:rsid w:val="0020535A"/>
    <w:rsid w:val="00205CE3"/>
    <w:rsid w:val="00206FF9"/>
    <w:rsid w:val="0021030F"/>
    <w:rsid w:val="00211534"/>
    <w:rsid w:val="00211C78"/>
    <w:rsid w:val="00213338"/>
    <w:rsid w:val="00213575"/>
    <w:rsid w:val="00213C57"/>
    <w:rsid w:val="002147D6"/>
    <w:rsid w:val="00214BE7"/>
    <w:rsid w:val="002154C8"/>
    <w:rsid w:val="002166F2"/>
    <w:rsid w:val="00216A4A"/>
    <w:rsid w:val="00220A5A"/>
    <w:rsid w:val="0022197F"/>
    <w:rsid w:val="00222445"/>
    <w:rsid w:val="00222CB3"/>
    <w:rsid w:val="00222D78"/>
    <w:rsid w:val="002243C9"/>
    <w:rsid w:val="00224D60"/>
    <w:rsid w:val="00224E40"/>
    <w:rsid w:val="00225102"/>
    <w:rsid w:val="002253D7"/>
    <w:rsid w:val="00226F52"/>
    <w:rsid w:val="002274CA"/>
    <w:rsid w:val="002301D6"/>
    <w:rsid w:val="00230926"/>
    <w:rsid w:val="002309AD"/>
    <w:rsid w:val="00231355"/>
    <w:rsid w:val="002315E6"/>
    <w:rsid w:val="0023247E"/>
    <w:rsid w:val="00234C1F"/>
    <w:rsid w:val="00234CF2"/>
    <w:rsid w:val="00235EC4"/>
    <w:rsid w:val="002365C9"/>
    <w:rsid w:val="00236613"/>
    <w:rsid w:val="00236D7D"/>
    <w:rsid w:val="002379A9"/>
    <w:rsid w:val="00241EFB"/>
    <w:rsid w:val="00241FFA"/>
    <w:rsid w:val="0024255D"/>
    <w:rsid w:val="002452A0"/>
    <w:rsid w:val="0024622B"/>
    <w:rsid w:val="002473A8"/>
    <w:rsid w:val="00247AC1"/>
    <w:rsid w:val="00250248"/>
    <w:rsid w:val="0025338C"/>
    <w:rsid w:val="00253C90"/>
    <w:rsid w:val="00254A09"/>
    <w:rsid w:val="00256488"/>
    <w:rsid w:val="002565D0"/>
    <w:rsid w:val="0025674E"/>
    <w:rsid w:val="002567F3"/>
    <w:rsid w:val="00257C4D"/>
    <w:rsid w:val="00260ED7"/>
    <w:rsid w:val="00261512"/>
    <w:rsid w:val="0026157B"/>
    <w:rsid w:val="00261B83"/>
    <w:rsid w:val="00262066"/>
    <w:rsid w:val="002645ED"/>
    <w:rsid w:val="00266D88"/>
    <w:rsid w:val="002673A8"/>
    <w:rsid w:val="00267A9A"/>
    <w:rsid w:val="002705C7"/>
    <w:rsid w:val="00272634"/>
    <w:rsid w:val="002731CA"/>
    <w:rsid w:val="00273E30"/>
    <w:rsid w:val="00274684"/>
    <w:rsid w:val="002747F2"/>
    <w:rsid w:val="00274FD3"/>
    <w:rsid w:val="002758DB"/>
    <w:rsid w:val="00276348"/>
    <w:rsid w:val="002771BE"/>
    <w:rsid w:val="00277A6F"/>
    <w:rsid w:val="00280A32"/>
    <w:rsid w:val="002813D9"/>
    <w:rsid w:val="00282ACA"/>
    <w:rsid w:val="00283328"/>
    <w:rsid w:val="00283964"/>
    <w:rsid w:val="00285424"/>
    <w:rsid w:val="00287021"/>
    <w:rsid w:val="002871A8"/>
    <w:rsid w:val="002871E6"/>
    <w:rsid w:val="0028735B"/>
    <w:rsid w:val="00287ED8"/>
    <w:rsid w:val="002911DC"/>
    <w:rsid w:val="002921BA"/>
    <w:rsid w:val="0029294B"/>
    <w:rsid w:val="00294ED9"/>
    <w:rsid w:val="0029797D"/>
    <w:rsid w:val="00297D02"/>
    <w:rsid w:val="00297EA6"/>
    <w:rsid w:val="002A05CD"/>
    <w:rsid w:val="002A0692"/>
    <w:rsid w:val="002A18C2"/>
    <w:rsid w:val="002A1AD4"/>
    <w:rsid w:val="002A214D"/>
    <w:rsid w:val="002A31F5"/>
    <w:rsid w:val="002A450E"/>
    <w:rsid w:val="002A4578"/>
    <w:rsid w:val="002A47C9"/>
    <w:rsid w:val="002A5039"/>
    <w:rsid w:val="002A5556"/>
    <w:rsid w:val="002A55B9"/>
    <w:rsid w:val="002A6321"/>
    <w:rsid w:val="002A73E0"/>
    <w:rsid w:val="002B0F0C"/>
    <w:rsid w:val="002B1C78"/>
    <w:rsid w:val="002B218C"/>
    <w:rsid w:val="002B2698"/>
    <w:rsid w:val="002B28C1"/>
    <w:rsid w:val="002B2FB6"/>
    <w:rsid w:val="002B3848"/>
    <w:rsid w:val="002B41D3"/>
    <w:rsid w:val="002B4B77"/>
    <w:rsid w:val="002B4F37"/>
    <w:rsid w:val="002B5E02"/>
    <w:rsid w:val="002B5F48"/>
    <w:rsid w:val="002B6155"/>
    <w:rsid w:val="002C0018"/>
    <w:rsid w:val="002C1206"/>
    <w:rsid w:val="002C16C5"/>
    <w:rsid w:val="002C1717"/>
    <w:rsid w:val="002C1851"/>
    <w:rsid w:val="002C480C"/>
    <w:rsid w:val="002C6A74"/>
    <w:rsid w:val="002C6E34"/>
    <w:rsid w:val="002C739C"/>
    <w:rsid w:val="002C7668"/>
    <w:rsid w:val="002D06AA"/>
    <w:rsid w:val="002D2085"/>
    <w:rsid w:val="002D21E0"/>
    <w:rsid w:val="002D2837"/>
    <w:rsid w:val="002D2D29"/>
    <w:rsid w:val="002D4C2E"/>
    <w:rsid w:val="002D6702"/>
    <w:rsid w:val="002E0449"/>
    <w:rsid w:val="002E0762"/>
    <w:rsid w:val="002E0FBD"/>
    <w:rsid w:val="002E1369"/>
    <w:rsid w:val="002E1885"/>
    <w:rsid w:val="002E18E4"/>
    <w:rsid w:val="002E2392"/>
    <w:rsid w:val="002E3C3A"/>
    <w:rsid w:val="002E6EFD"/>
    <w:rsid w:val="002E791C"/>
    <w:rsid w:val="002F0D78"/>
    <w:rsid w:val="002F142F"/>
    <w:rsid w:val="002F1744"/>
    <w:rsid w:val="002F266C"/>
    <w:rsid w:val="002F2DCB"/>
    <w:rsid w:val="002F45E3"/>
    <w:rsid w:val="002F4669"/>
    <w:rsid w:val="002F5BBE"/>
    <w:rsid w:val="002F6B39"/>
    <w:rsid w:val="00301559"/>
    <w:rsid w:val="003029E0"/>
    <w:rsid w:val="00302FEE"/>
    <w:rsid w:val="00303D51"/>
    <w:rsid w:val="00304904"/>
    <w:rsid w:val="00306613"/>
    <w:rsid w:val="00307048"/>
    <w:rsid w:val="00307A9E"/>
    <w:rsid w:val="003108FE"/>
    <w:rsid w:val="00311237"/>
    <w:rsid w:val="00311A45"/>
    <w:rsid w:val="00311E68"/>
    <w:rsid w:val="00314C48"/>
    <w:rsid w:val="00315C0A"/>
    <w:rsid w:val="00316296"/>
    <w:rsid w:val="00316DA2"/>
    <w:rsid w:val="0032019A"/>
    <w:rsid w:val="00320426"/>
    <w:rsid w:val="00322736"/>
    <w:rsid w:val="003228A0"/>
    <w:rsid w:val="00323576"/>
    <w:rsid w:val="00323DE8"/>
    <w:rsid w:val="00326B6F"/>
    <w:rsid w:val="00326D49"/>
    <w:rsid w:val="00326E5D"/>
    <w:rsid w:val="003277E7"/>
    <w:rsid w:val="00331A5E"/>
    <w:rsid w:val="00333053"/>
    <w:rsid w:val="00334939"/>
    <w:rsid w:val="00335A2F"/>
    <w:rsid w:val="0033668D"/>
    <w:rsid w:val="00337064"/>
    <w:rsid w:val="0033707D"/>
    <w:rsid w:val="00340785"/>
    <w:rsid w:val="00342F88"/>
    <w:rsid w:val="0034545E"/>
    <w:rsid w:val="00345599"/>
    <w:rsid w:val="00346CEB"/>
    <w:rsid w:val="00347004"/>
    <w:rsid w:val="003470CC"/>
    <w:rsid w:val="00351B5E"/>
    <w:rsid w:val="00353D47"/>
    <w:rsid w:val="00354107"/>
    <w:rsid w:val="00354F62"/>
    <w:rsid w:val="00356065"/>
    <w:rsid w:val="00356520"/>
    <w:rsid w:val="003568EB"/>
    <w:rsid w:val="00356E5B"/>
    <w:rsid w:val="003579D7"/>
    <w:rsid w:val="00360235"/>
    <w:rsid w:val="00361975"/>
    <w:rsid w:val="0036695F"/>
    <w:rsid w:val="00367900"/>
    <w:rsid w:val="003679DE"/>
    <w:rsid w:val="00367C0F"/>
    <w:rsid w:val="00371059"/>
    <w:rsid w:val="003718D6"/>
    <w:rsid w:val="00373150"/>
    <w:rsid w:val="0037411C"/>
    <w:rsid w:val="00374D32"/>
    <w:rsid w:val="003769F5"/>
    <w:rsid w:val="00376DE4"/>
    <w:rsid w:val="00380518"/>
    <w:rsid w:val="003810D6"/>
    <w:rsid w:val="0038191C"/>
    <w:rsid w:val="00382C86"/>
    <w:rsid w:val="0038359E"/>
    <w:rsid w:val="003837A1"/>
    <w:rsid w:val="00383D36"/>
    <w:rsid w:val="00383F37"/>
    <w:rsid w:val="0038453E"/>
    <w:rsid w:val="00385556"/>
    <w:rsid w:val="0038559C"/>
    <w:rsid w:val="00385943"/>
    <w:rsid w:val="00386B55"/>
    <w:rsid w:val="00386CCD"/>
    <w:rsid w:val="00386FA8"/>
    <w:rsid w:val="00390577"/>
    <w:rsid w:val="0039091B"/>
    <w:rsid w:val="00390FD8"/>
    <w:rsid w:val="00393C08"/>
    <w:rsid w:val="0039408A"/>
    <w:rsid w:val="003947A7"/>
    <w:rsid w:val="0039603F"/>
    <w:rsid w:val="003965A6"/>
    <w:rsid w:val="00396A76"/>
    <w:rsid w:val="00397B7D"/>
    <w:rsid w:val="003A03AF"/>
    <w:rsid w:val="003A11D1"/>
    <w:rsid w:val="003A20FC"/>
    <w:rsid w:val="003A2585"/>
    <w:rsid w:val="003A2590"/>
    <w:rsid w:val="003A3754"/>
    <w:rsid w:val="003A47F3"/>
    <w:rsid w:val="003A7C7B"/>
    <w:rsid w:val="003B005C"/>
    <w:rsid w:val="003B0066"/>
    <w:rsid w:val="003B090A"/>
    <w:rsid w:val="003B12BC"/>
    <w:rsid w:val="003B1560"/>
    <w:rsid w:val="003B200B"/>
    <w:rsid w:val="003B343F"/>
    <w:rsid w:val="003B4257"/>
    <w:rsid w:val="003B475D"/>
    <w:rsid w:val="003B6046"/>
    <w:rsid w:val="003B65B7"/>
    <w:rsid w:val="003B735A"/>
    <w:rsid w:val="003C01C1"/>
    <w:rsid w:val="003C1E32"/>
    <w:rsid w:val="003C2376"/>
    <w:rsid w:val="003C3117"/>
    <w:rsid w:val="003C35AB"/>
    <w:rsid w:val="003C3E08"/>
    <w:rsid w:val="003C44B8"/>
    <w:rsid w:val="003C59BA"/>
    <w:rsid w:val="003C6ABC"/>
    <w:rsid w:val="003D3665"/>
    <w:rsid w:val="003D554F"/>
    <w:rsid w:val="003D7C83"/>
    <w:rsid w:val="003D7EE0"/>
    <w:rsid w:val="003E00B3"/>
    <w:rsid w:val="003E0549"/>
    <w:rsid w:val="003E0C54"/>
    <w:rsid w:val="003E18DA"/>
    <w:rsid w:val="003E22FE"/>
    <w:rsid w:val="003E4836"/>
    <w:rsid w:val="003E4DC9"/>
    <w:rsid w:val="003E5225"/>
    <w:rsid w:val="003E5457"/>
    <w:rsid w:val="003E6D60"/>
    <w:rsid w:val="003E73CA"/>
    <w:rsid w:val="003F010F"/>
    <w:rsid w:val="003F1A0C"/>
    <w:rsid w:val="003F24AA"/>
    <w:rsid w:val="003F4FC0"/>
    <w:rsid w:val="003F69A8"/>
    <w:rsid w:val="003F72BB"/>
    <w:rsid w:val="003F7435"/>
    <w:rsid w:val="003F7BAC"/>
    <w:rsid w:val="0040072B"/>
    <w:rsid w:val="00400C4B"/>
    <w:rsid w:val="00400D97"/>
    <w:rsid w:val="0040100B"/>
    <w:rsid w:val="0040127E"/>
    <w:rsid w:val="004015B3"/>
    <w:rsid w:val="00401EA7"/>
    <w:rsid w:val="00402D31"/>
    <w:rsid w:val="0040363E"/>
    <w:rsid w:val="00403CCC"/>
    <w:rsid w:val="004049A7"/>
    <w:rsid w:val="00404CE6"/>
    <w:rsid w:val="0040506C"/>
    <w:rsid w:val="00406261"/>
    <w:rsid w:val="00406290"/>
    <w:rsid w:val="0040751C"/>
    <w:rsid w:val="0040768D"/>
    <w:rsid w:val="00411238"/>
    <w:rsid w:val="00411686"/>
    <w:rsid w:val="0041238D"/>
    <w:rsid w:val="004132F6"/>
    <w:rsid w:val="00414D0F"/>
    <w:rsid w:val="0041593F"/>
    <w:rsid w:val="00417031"/>
    <w:rsid w:val="00417D26"/>
    <w:rsid w:val="00417EA0"/>
    <w:rsid w:val="0042074C"/>
    <w:rsid w:val="00420B33"/>
    <w:rsid w:val="0042247B"/>
    <w:rsid w:val="00422537"/>
    <w:rsid w:val="0042377D"/>
    <w:rsid w:val="00423C85"/>
    <w:rsid w:val="004243AA"/>
    <w:rsid w:val="00425EAC"/>
    <w:rsid w:val="00427A37"/>
    <w:rsid w:val="004313B2"/>
    <w:rsid w:val="004315E2"/>
    <w:rsid w:val="00432704"/>
    <w:rsid w:val="004332D5"/>
    <w:rsid w:val="00434B05"/>
    <w:rsid w:val="004359BB"/>
    <w:rsid w:val="00435AEC"/>
    <w:rsid w:val="00435D35"/>
    <w:rsid w:val="00436156"/>
    <w:rsid w:val="004370B8"/>
    <w:rsid w:val="00437A37"/>
    <w:rsid w:val="00437EFD"/>
    <w:rsid w:val="0044001F"/>
    <w:rsid w:val="0044055E"/>
    <w:rsid w:val="00440635"/>
    <w:rsid w:val="00440CF6"/>
    <w:rsid w:val="004417F1"/>
    <w:rsid w:val="00442A8B"/>
    <w:rsid w:val="0044367E"/>
    <w:rsid w:val="00445007"/>
    <w:rsid w:val="00446014"/>
    <w:rsid w:val="0044688C"/>
    <w:rsid w:val="0044693E"/>
    <w:rsid w:val="00447100"/>
    <w:rsid w:val="0045255B"/>
    <w:rsid w:val="004531AC"/>
    <w:rsid w:val="00453717"/>
    <w:rsid w:val="00455231"/>
    <w:rsid w:val="00460013"/>
    <w:rsid w:val="0046050E"/>
    <w:rsid w:val="00460775"/>
    <w:rsid w:val="00460F16"/>
    <w:rsid w:val="00461860"/>
    <w:rsid w:val="00461A9E"/>
    <w:rsid w:val="00462031"/>
    <w:rsid w:val="0046225E"/>
    <w:rsid w:val="00462919"/>
    <w:rsid w:val="00463333"/>
    <w:rsid w:val="0046475C"/>
    <w:rsid w:val="0046735F"/>
    <w:rsid w:val="004679CB"/>
    <w:rsid w:val="004700C0"/>
    <w:rsid w:val="00471CCA"/>
    <w:rsid w:val="00472873"/>
    <w:rsid w:val="00472908"/>
    <w:rsid w:val="00472D35"/>
    <w:rsid w:val="0047411C"/>
    <w:rsid w:val="00474B5D"/>
    <w:rsid w:val="004751B9"/>
    <w:rsid w:val="00475537"/>
    <w:rsid w:val="00475FA8"/>
    <w:rsid w:val="00475FAA"/>
    <w:rsid w:val="00476928"/>
    <w:rsid w:val="00476AE1"/>
    <w:rsid w:val="00476BD7"/>
    <w:rsid w:val="00477F2F"/>
    <w:rsid w:val="00483A74"/>
    <w:rsid w:val="00485548"/>
    <w:rsid w:val="004858E1"/>
    <w:rsid w:val="00487106"/>
    <w:rsid w:val="00487A5A"/>
    <w:rsid w:val="0049110F"/>
    <w:rsid w:val="00491B36"/>
    <w:rsid w:val="00491C7D"/>
    <w:rsid w:val="00491ED6"/>
    <w:rsid w:val="00491F94"/>
    <w:rsid w:val="004929D6"/>
    <w:rsid w:val="00493267"/>
    <w:rsid w:val="0049399A"/>
    <w:rsid w:val="00493AF8"/>
    <w:rsid w:val="004942E7"/>
    <w:rsid w:val="00494B98"/>
    <w:rsid w:val="00495022"/>
    <w:rsid w:val="00495F07"/>
    <w:rsid w:val="004A1E50"/>
    <w:rsid w:val="004A2F5F"/>
    <w:rsid w:val="004A4403"/>
    <w:rsid w:val="004A4D80"/>
    <w:rsid w:val="004A4DBA"/>
    <w:rsid w:val="004A5C59"/>
    <w:rsid w:val="004A6A20"/>
    <w:rsid w:val="004B1826"/>
    <w:rsid w:val="004B1E38"/>
    <w:rsid w:val="004B272D"/>
    <w:rsid w:val="004B38A0"/>
    <w:rsid w:val="004B4534"/>
    <w:rsid w:val="004B5670"/>
    <w:rsid w:val="004B568B"/>
    <w:rsid w:val="004B71D1"/>
    <w:rsid w:val="004B7CF3"/>
    <w:rsid w:val="004B7DEF"/>
    <w:rsid w:val="004C09B8"/>
    <w:rsid w:val="004C0B5E"/>
    <w:rsid w:val="004C2765"/>
    <w:rsid w:val="004C5FA6"/>
    <w:rsid w:val="004D1473"/>
    <w:rsid w:val="004D1DCF"/>
    <w:rsid w:val="004D3DD9"/>
    <w:rsid w:val="004D5044"/>
    <w:rsid w:val="004D5D22"/>
    <w:rsid w:val="004D6595"/>
    <w:rsid w:val="004D6C37"/>
    <w:rsid w:val="004D7372"/>
    <w:rsid w:val="004E04FE"/>
    <w:rsid w:val="004E1B5B"/>
    <w:rsid w:val="004E2AB2"/>
    <w:rsid w:val="004E3AB3"/>
    <w:rsid w:val="004E5211"/>
    <w:rsid w:val="004E72A2"/>
    <w:rsid w:val="004E7D00"/>
    <w:rsid w:val="004E7EEE"/>
    <w:rsid w:val="004F0449"/>
    <w:rsid w:val="004F07D7"/>
    <w:rsid w:val="004F25CE"/>
    <w:rsid w:val="004F2A41"/>
    <w:rsid w:val="004F2DE5"/>
    <w:rsid w:val="004F5631"/>
    <w:rsid w:val="004F68E9"/>
    <w:rsid w:val="00500CCB"/>
    <w:rsid w:val="00501FF0"/>
    <w:rsid w:val="005020D4"/>
    <w:rsid w:val="005025C0"/>
    <w:rsid w:val="0050269E"/>
    <w:rsid w:val="005028D9"/>
    <w:rsid w:val="00503236"/>
    <w:rsid w:val="005045CC"/>
    <w:rsid w:val="0050588B"/>
    <w:rsid w:val="00506401"/>
    <w:rsid w:val="00506C3B"/>
    <w:rsid w:val="005070CE"/>
    <w:rsid w:val="005072B6"/>
    <w:rsid w:val="00510051"/>
    <w:rsid w:val="00511BF0"/>
    <w:rsid w:val="00512404"/>
    <w:rsid w:val="00512A62"/>
    <w:rsid w:val="00512BF6"/>
    <w:rsid w:val="00513488"/>
    <w:rsid w:val="00514204"/>
    <w:rsid w:val="0051620E"/>
    <w:rsid w:val="00516654"/>
    <w:rsid w:val="00517C6E"/>
    <w:rsid w:val="00520EB1"/>
    <w:rsid w:val="00521209"/>
    <w:rsid w:val="0052206B"/>
    <w:rsid w:val="0052404B"/>
    <w:rsid w:val="005260F4"/>
    <w:rsid w:val="00527AF1"/>
    <w:rsid w:val="00532143"/>
    <w:rsid w:val="00532761"/>
    <w:rsid w:val="00533D84"/>
    <w:rsid w:val="00535D63"/>
    <w:rsid w:val="005410B8"/>
    <w:rsid w:val="00542741"/>
    <w:rsid w:val="005441D8"/>
    <w:rsid w:val="0054479C"/>
    <w:rsid w:val="00544857"/>
    <w:rsid w:val="00551363"/>
    <w:rsid w:val="00552003"/>
    <w:rsid w:val="00552206"/>
    <w:rsid w:val="00552424"/>
    <w:rsid w:val="00552FE0"/>
    <w:rsid w:val="00553913"/>
    <w:rsid w:val="00553CB2"/>
    <w:rsid w:val="00554BC7"/>
    <w:rsid w:val="00554DBE"/>
    <w:rsid w:val="00554F7F"/>
    <w:rsid w:val="005551AE"/>
    <w:rsid w:val="00556899"/>
    <w:rsid w:val="00556E8C"/>
    <w:rsid w:val="005602B7"/>
    <w:rsid w:val="00560819"/>
    <w:rsid w:val="00560F09"/>
    <w:rsid w:val="00561C00"/>
    <w:rsid w:val="005625A4"/>
    <w:rsid w:val="00563660"/>
    <w:rsid w:val="00563BE9"/>
    <w:rsid w:val="00564300"/>
    <w:rsid w:val="00564D6F"/>
    <w:rsid w:val="00571539"/>
    <w:rsid w:val="00572312"/>
    <w:rsid w:val="00574906"/>
    <w:rsid w:val="00575252"/>
    <w:rsid w:val="00575265"/>
    <w:rsid w:val="00575481"/>
    <w:rsid w:val="005764C6"/>
    <w:rsid w:val="0057653C"/>
    <w:rsid w:val="00577261"/>
    <w:rsid w:val="0058031B"/>
    <w:rsid w:val="00580B75"/>
    <w:rsid w:val="005810D4"/>
    <w:rsid w:val="00586E2C"/>
    <w:rsid w:val="00591D2F"/>
    <w:rsid w:val="00592438"/>
    <w:rsid w:val="005924CD"/>
    <w:rsid w:val="0059370E"/>
    <w:rsid w:val="00594206"/>
    <w:rsid w:val="0059503A"/>
    <w:rsid w:val="00595A49"/>
    <w:rsid w:val="00596855"/>
    <w:rsid w:val="005976C5"/>
    <w:rsid w:val="005A0238"/>
    <w:rsid w:val="005A16D2"/>
    <w:rsid w:val="005A2FE6"/>
    <w:rsid w:val="005A4177"/>
    <w:rsid w:val="005A4984"/>
    <w:rsid w:val="005A698E"/>
    <w:rsid w:val="005A74D3"/>
    <w:rsid w:val="005A7752"/>
    <w:rsid w:val="005A7765"/>
    <w:rsid w:val="005B0BF1"/>
    <w:rsid w:val="005B1008"/>
    <w:rsid w:val="005B13B1"/>
    <w:rsid w:val="005B25AA"/>
    <w:rsid w:val="005B49BF"/>
    <w:rsid w:val="005B5542"/>
    <w:rsid w:val="005B60D5"/>
    <w:rsid w:val="005B677C"/>
    <w:rsid w:val="005B6B37"/>
    <w:rsid w:val="005B7158"/>
    <w:rsid w:val="005B7F15"/>
    <w:rsid w:val="005C0FCD"/>
    <w:rsid w:val="005C11DE"/>
    <w:rsid w:val="005C30B1"/>
    <w:rsid w:val="005C3209"/>
    <w:rsid w:val="005C5488"/>
    <w:rsid w:val="005C5B21"/>
    <w:rsid w:val="005C5B2A"/>
    <w:rsid w:val="005C639B"/>
    <w:rsid w:val="005C661B"/>
    <w:rsid w:val="005C66FB"/>
    <w:rsid w:val="005C6EC5"/>
    <w:rsid w:val="005C7721"/>
    <w:rsid w:val="005C77E1"/>
    <w:rsid w:val="005D01B5"/>
    <w:rsid w:val="005D10B0"/>
    <w:rsid w:val="005D134A"/>
    <w:rsid w:val="005D1FB9"/>
    <w:rsid w:val="005D50F8"/>
    <w:rsid w:val="005D5AAB"/>
    <w:rsid w:val="005D686E"/>
    <w:rsid w:val="005D6A9A"/>
    <w:rsid w:val="005E4372"/>
    <w:rsid w:val="005E4898"/>
    <w:rsid w:val="005E4FF0"/>
    <w:rsid w:val="005E6270"/>
    <w:rsid w:val="005F08D0"/>
    <w:rsid w:val="005F6BD6"/>
    <w:rsid w:val="005F75DA"/>
    <w:rsid w:val="00602999"/>
    <w:rsid w:val="006035CB"/>
    <w:rsid w:val="00603D9A"/>
    <w:rsid w:val="00603DE3"/>
    <w:rsid w:val="006047AE"/>
    <w:rsid w:val="00610250"/>
    <w:rsid w:val="00610A58"/>
    <w:rsid w:val="00610A74"/>
    <w:rsid w:val="00610F87"/>
    <w:rsid w:val="00611851"/>
    <w:rsid w:val="0061350B"/>
    <w:rsid w:val="006135F6"/>
    <w:rsid w:val="0061420F"/>
    <w:rsid w:val="00616E0A"/>
    <w:rsid w:val="006170FF"/>
    <w:rsid w:val="00617584"/>
    <w:rsid w:val="00617D85"/>
    <w:rsid w:val="00617FB5"/>
    <w:rsid w:val="006214CD"/>
    <w:rsid w:val="006216A3"/>
    <w:rsid w:val="00621C19"/>
    <w:rsid w:val="00623128"/>
    <w:rsid w:val="00623BCA"/>
    <w:rsid w:val="006242BE"/>
    <w:rsid w:val="00624370"/>
    <w:rsid w:val="00625A4F"/>
    <w:rsid w:val="0063084B"/>
    <w:rsid w:val="00632EA1"/>
    <w:rsid w:val="006350F3"/>
    <w:rsid w:val="006355A0"/>
    <w:rsid w:val="006363C2"/>
    <w:rsid w:val="00636792"/>
    <w:rsid w:val="006368E3"/>
    <w:rsid w:val="00637127"/>
    <w:rsid w:val="0064032F"/>
    <w:rsid w:val="00641F89"/>
    <w:rsid w:val="006423DF"/>
    <w:rsid w:val="006435A1"/>
    <w:rsid w:val="00643E72"/>
    <w:rsid w:val="00644037"/>
    <w:rsid w:val="00644114"/>
    <w:rsid w:val="0064584A"/>
    <w:rsid w:val="00650182"/>
    <w:rsid w:val="00651AF0"/>
    <w:rsid w:val="00653ACF"/>
    <w:rsid w:val="00653BD3"/>
    <w:rsid w:val="00653DC2"/>
    <w:rsid w:val="00653F21"/>
    <w:rsid w:val="00654069"/>
    <w:rsid w:val="00654617"/>
    <w:rsid w:val="00654EC8"/>
    <w:rsid w:val="00656AC3"/>
    <w:rsid w:val="00657472"/>
    <w:rsid w:val="00661D38"/>
    <w:rsid w:val="00662DB8"/>
    <w:rsid w:val="00664317"/>
    <w:rsid w:val="006651A1"/>
    <w:rsid w:val="00666216"/>
    <w:rsid w:val="00666B53"/>
    <w:rsid w:val="00670C9C"/>
    <w:rsid w:val="00670D25"/>
    <w:rsid w:val="00671008"/>
    <w:rsid w:val="0067142E"/>
    <w:rsid w:val="00672A61"/>
    <w:rsid w:val="00676109"/>
    <w:rsid w:val="006762CC"/>
    <w:rsid w:val="006769C1"/>
    <w:rsid w:val="00677710"/>
    <w:rsid w:val="00681C2F"/>
    <w:rsid w:val="00682023"/>
    <w:rsid w:val="006829EB"/>
    <w:rsid w:val="00682D8B"/>
    <w:rsid w:val="00682F97"/>
    <w:rsid w:val="0069017C"/>
    <w:rsid w:val="006920CC"/>
    <w:rsid w:val="00692412"/>
    <w:rsid w:val="00693A99"/>
    <w:rsid w:val="00697022"/>
    <w:rsid w:val="006A18CB"/>
    <w:rsid w:val="006A3918"/>
    <w:rsid w:val="006A3FFF"/>
    <w:rsid w:val="006A41B6"/>
    <w:rsid w:val="006A4C46"/>
    <w:rsid w:val="006A64D0"/>
    <w:rsid w:val="006A767B"/>
    <w:rsid w:val="006A77FC"/>
    <w:rsid w:val="006B06A8"/>
    <w:rsid w:val="006B07B1"/>
    <w:rsid w:val="006B0B38"/>
    <w:rsid w:val="006B1C57"/>
    <w:rsid w:val="006B4345"/>
    <w:rsid w:val="006B49D1"/>
    <w:rsid w:val="006B4DB8"/>
    <w:rsid w:val="006B57C3"/>
    <w:rsid w:val="006B5A5D"/>
    <w:rsid w:val="006C061F"/>
    <w:rsid w:val="006C0F6D"/>
    <w:rsid w:val="006C15EA"/>
    <w:rsid w:val="006C3AD0"/>
    <w:rsid w:val="006C5AE4"/>
    <w:rsid w:val="006C7220"/>
    <w:rsid w:val="006D0700"/>
    <w:rsid w:val="006D1B1D"/>
    <w:rsid w:val="006D2919"/>
    <w:rsid w:val="006D2BD1"/>
    <w:rsid w:val="006D38FD"/>
    <w:rsid w:val="006D46EC"/>
    <w:rsid w:val="006D4B0D"/>
    <w:rsid w:val="006D5F4B"/>
    <w:rsid w:val="006D7068"/>
    <w:rsid w:val="006D7378"/>
    <w:rsid w:val="006D7827"/>
    <w:rsid w:val="006E1A78"/>
    <w:rsid w:val="006E1D8A"/>
    <w:rsid w:val="006E2193"/>
    <w:rsid w:val="006E2658"/>
    <w:rsid w:val="006E2D74"/>
    <w:rsid w:val="006E3475"/>
    <w:rsid w:val="006E36CE"/>
    <w:rsid w:val="006E4D9E"/>
    <w:rsid w:val="006E5456"/>
    <w:rsid w:val="006E59AF"/>
    <w:rsid w:val="006E5CE2"/>
    <w:rsid w:val="006E6EF9"/>
    <w:rsid w:val="006E703E"/>
    <w:rsid w:val="006F0430"/>
    <w:rsid w:val="006F2811"/>
    <w:rsid w:val="006F47FD"/>
    <w:rsid w:val="006F530B"/>
    <w:rsid w:val="006F60A2"/>
    <w:rsid w:val="006F6BC1"/>
    <w:rsid w:val="006F6BFE"/>
    <w:rsid w:val="00700313"/>
    <w:rsid w:val="00700552"/>
    <w:rsid w:val="00700F66"/>
    <w:rsid w:val="00705B01"/>
    <w:rsid w:val="00706A50"/>
    <w:rsid w:val="00706DB7"/>
    <w:rsid w:val="00710941"/>
    <w:rsid w:val="00713B34"/>
    <w:rsid w:val="00713D98"/>
    <w:rsid w:val="007155D3"/>
    <w:rsid w:val="00716598"/>
    <w:rsid w:val="0071741F"/>
    <w:rsid w:val="007177F8"/>
    <w:rsid w:val="00720433"/>
    <w:rsid w:val="00721182"/>
    <w:rsid w:val="00721D8E"/>
    <w:rsid w:val="007226AB"/>
    <w:rsid w:val="00722AB7"/>
    <w:rsid w:val="00726280"/>
    <w:rsid w:val="007278AC"/>
    <w:rsid w:val="00732339"/>
    <w:rsid w:val="007329FB"/>
    <w:rsid w:val="00732D07"/>
    <w:rsid w:val="00734B1F"/>
    <w:rsid w:val="0073556F"/>
    <w:rsid w:val="007358AE"/>
    <w:rsid w:val="007358EB"/>
    <w:rsid w:val="0073631B"/>
    <w:rsid w:val="0073715E"/>
    <w:rsid w:val="00737961"/>
    <w:rsid w:val="00740176"/>
    <w:rsid w:val="007415B4"/>
    <w:rsid w:val="00741FD3"/>
    <w:rsid w:val="0074268E"/>
    <w:rsid w:val="00744DF7"/>
    <w:rsid w:val="00744FF0"/>
    <w:rsid w:val="00745383"/>
    <w:rsid w:val="007461B6"/>
    <w:rsid w:val="0075076F"/>
    <w:rsid w:val="00750B65"/>
    <w:rsid w:val="00750B8D"/>
    <w:rsid w:val="0075195E"/>
    <w:rsid w:val="00753771"/>
    <w:rsid w:val="0075432E"/>
    <w:rsid w:val="007560E8"/>
    <w:rsid w:val="007571D6"/>
    <w:rsid w:val="007574D6"/>
    <w:rsid w:val="00757735"/>
    <w:rsid w:val="007626DF"/>
    <w:rsid w:val="00767DE3"/>
    <w:rsid w:val="0077231A"/>
    <w:rsid w:val="00772B6D"/>
    <w:rsid w:val="0077451B"/>
    <w:rsid w:val="007749BC"/>
    <w:rsid w:val="00775330"/>
    <w:rsid w:val="00776EE8"/>
    <w:rsid w:val="007803AE"/>
    <w:rsid w:val="00781DFF"/>
    <w:rsid w:val="00783C9C"/>
    <w:rsid w:val="0078450E"/>
    <w:rsid w:val="00784829"/>
    <w:rsid w:val="00784E42"/>
    <w:rsid w:val="00784E47"/>
    <w:rsid w:val="007870F3"/>
    <w:rsid w:val="007902D5"/>
    <w:rsid w:val="007903A7"/>
    <w:rsid w:val="007909DA"/>
    <w:rsid w:val="007916FA"/>
    <w:rsid w:val="00791AB3"/>
    <w:rsid w:val="00792EFF"/>
    <w:rsid w:val="007944CA"/>
    <w:rsid w:val="007946E6"/>
    <w:rsid w:val="00796185"/>
    <w:rsid w:val="00796AE0"/>
    <w:rsid w:val="007A23BC"/>
    <w:rsid w:val="007A2BD7"/>
    <w:rsid w:val="007A3BFE"/>
    <w:rsid w:val="007A64A6"/>
    <w:rsid w:val="007A6A3B"/>
    <w:rsid w:val="007A730E"/>
    <w:rsid w:val="007B00A8"/>
    <w:rsid w:val="007B0859"/>
    <w:rsid w:val="007B0CD6"/>
    <w:rsid w:val="007B0EB2"/>
    <w:rsid w:val="007B2148"/>
    <w:rsid w:val="007B2B0D"/>
    <w:rsid w:val="007B30F1"/>
    <w:rsid w:val="007B34BB"/>
    <w:rsid w:val="007B4AA4"/>
    <w:rsid w:val="007B51F7"/>
    <w:rsid w:val="007B63F5"/>
    <w:rsid w:val="007C15C2"/>
    <w:rsid w:val="007C1BAA"/>
    <w:rsid w:val="007C2078"/>
    <w:rsid w:val="007C21F4"/>
    <w:rsid w:val="007C3663"/>
    <w:rsid w:val="007C3D0E"/>
    <w:rsid w:val="007C5257"/>
    <w:rsid w:val="007C58D8"/>
    <w:rsid w:val="007C68EA"/>
    <w:rsid w:val="007D1B95"/>
    <w:rsid w:val="007D1F3B"/>
    <w:rsid w:val="007D200D"/>
    <w:rsid w:val="007D5191"/>
    <w:rsid w:val="007D56AC"/>
    <w:rsid w:val="007D60E8"/>
    <w:rsid w:val="007D644C"/>
    <w:rsid w:val="007D6CC5"/>
    <w:rsid w:val="007D774C"/>
    <w:rsid w:val="007E0C4F"/>
    <w:rsid w:val="007E12C3"/>
    <w:rsid w:val="007E1310"/>
    <w:rsid w:val="007E337C"/>
    <w:rsid w:val="007E3AF8"/>
    <w:rsid w:val="007E3C6C"/>
    <w:rsid w:val="007E3DEE"/>
    <w:rsid w:val="007E5254"/>
    <w:rsid w:val="007E666B"/>
    <w:rsid w:val="007E7112"/>
    <w:rsid w:val="007E7253"/>
    <w:rsid w:val="007E7474"/>
    <w:rsid w:val="007F0CEF"/>
    <w:rsid w:val="007F1667"/>
    <w:rsid w:val="007F1818"/>
    <w:rsid w:val="007F2DEF"/>
    <w:rsid w:val="007F3D1C"/>
    <w:rsid w:val="007F7118"/>
    <w:rsid w:val="008008F4"/>
    <w:rsid w:val="00800E58"/>
    <w:rsid w:val="00801FEC"/>
    <w:rsid w:val="008021DE"/>
    <w:rsid w:val="00802481"/>
    <w:rsid w:val="00802C83"/>
    <w:rsid w:val="008036EB"/>
    <w:rsid w:val="00805286"/>
    <w:rsid w:val="00805384"/>
    <w:rsid w:val="00807499"/>
    <w:rsid w:val="00807A46"/>
    <w:rsid w:val="00807DD7"/>
    <w:rsid w:val="008100EA"/>
    <w:rsid w:val="00810679"/>
    <w:rsid w:val="00810971"/>
    <w:rsid w:val="00810B14"/>
    <w:rsid w:val="0081115D"/>
    <w:rsid w:val="00812BDA"/>
    <w:rsid w:val="00812DCF"/>
    <w:rsid w:val="0081314D"/>
    <w:rsid w:val="0081413F"/>
    <w:rsid w:val="008142E9"/>
    <w:rsid w:val="00815557"/>
    <w:rsid w:val="008167C4"/>
    <w:rsid w:val="00822731"/>
    <w:rsid w:val="00830738"/>
    <w:rsid w:val="00830C9C"/>
    <w:rsid w:val="0083116E"/>
    <w:rsid w:val="0083163A"/>
    <w:rsid w:val="00831851"/>
    <w:rsid w:val="00832A4F"/>
    <w:rsid w:val="00832AC7"/>
    <w:rsid w:val="00833B7E"/>
    <w:rsid w:val="00834789"/>
    <w:rsid w:val="00835AA3"/>
    <w:rsid w:val="008367C4"/>
    <w:rsid w:val="008375E0"/>
    <w:rsid w:val="00837FF0"/>
    <w:rsid w:val="00840126"/>
    <w:rsid w:val="00842FAC"/>
    <w:rsid w:val="0084659B"/>
    <w:rsid w:val="008465B2"/>
    <w:rsid w:val="0084671E"/>
    <w:rsid w:val="00847057"/>
    <w:rsid w:val="00847606"/>
    <w:rsid w:val="00847E5C"/>
    <w:rsid w:val="00851A85"/>
    <w:rsid w:val="008540E9"/>
    <w:rsid w:val="0085457B"/>
    <w:rsid w:val="00854D86"/>
    <w:rsid w:val="00855011"/>
    <w:rsid w:val="00856167"/>
    <w:rsid w:val="00856D32"/>
    <w:rsid w:val="0085760B"/>
    <w:rsid w:val="008577E5"/>
    <w:rsid w:val="00860040"/>
    <w:rsid w:val="00860A13"/>
    <w:rsid w:val="008614BF"/>
    <w:rsid w:val="008614E0"/>
    <w:rsid w:val="00863AF4"/>
    <w:rsid w:val="00863BEB"/>
    <w:rsid w:val="00864269"/>
    <w:rsid w:val="00864D90"/>
    <w:rsid w:val="00864F2B"/>
    <w:rsid w:val="00865290"/>
    <w:rsid w:val="00865E09"/>
    <w:rsid w:val="0086603B"/>
    <w:rsid w:val="0086634A"/>
    <w:rsid w:val="008668D7"/>
    <w:rsid w:val="00866A0C"/>
    <w:rsid w:val="00867715"/>
    <w:rsid w:val="00867954"/>
    <w:rsid w:val="00870A83"/>
    <w:rsid w:val="00870AE7"/>
    <w:rsid w:val="00870FB6"/>
    <w:rsid w:val="00871565"/>
    <w:rsid w:val="00871C70"/>
    <w:rsid w:val="008723AC"/>
    <w:rsid w:val="0087295C"/>
    <w:rsid w:val="00872C2A"/>
    <w:rsid w:val="0087353F"/>
    <w:rsid w:val="008738C8"/>
    <w:rsid w:val="0087492A"/>
    <w:rsid w:val="00875A5D"/>
    <w:rsid w:val="0087640A"/>
    <w:rsid w:val="008801A3"/>
    <w:rsid w:val="00880280"/>
    <w:rsid w:val="0088047C"/>
    <w:rsid w:val="0088053F"/>
    <w:rsid w:val="00881868"/>
    <w:rsid w:val="00882581"/>
    <w:rsid w:val="00882B19"/>
    <w:rsid w:val="00883687"/>
    <w:rsid w:val="00883E95"/>
    <w:rsid w:val="008841C6"/>
    <w:rsid w:val="0088429B"/>
    <w:rsid w:val="00884625"/>
    <w:rsid w:val="00885C8C"/>
    <w:rsid w:val="00885E14"/>
    <w:rsid w:val="00887545"/>
    <w:rsid w:val="00887FB0"/>
    <w:rsid w:val="00890385"/>
    <w:rsid w:val="008914C2"/>
    <w:rsid w:val="0089165B"/>
    <w:rsid w:val="008921C5"/>
    <w:rsid w:val="00892373"/>
    <w:rsid w:val="00892744"/>
    <w:rsid w:val="00892849"/>
    <w:rsid w:val="008937C0"/>
    <w:rsid w:val="00894D9D"/>
    <w:rsid w:val="00895104"/>
    <w:rsid w:val="00895778"/>
    <w:rsid w:val="00895E96"/>
    <w:rsid w:val="00897004"/>
    <w:rsid w:val="00897059"/>
    <w:rsid w:val="0089727F"/>
    <w:rsid w:val="00897BCB"/>
    <w:rsid w:val="008A052C"/>
    <w:rsid w:val="008A06DB"/>
    <w:rsid w:val="008A0808"/>
    <w:rsid w:val="008A2D30"/>
    <w:rsid w:val="008A30BF"/>
    <w:rsid w:val="008A412F"/>
    <w:rsid w:val="008A480C"/>
    <w:rsid w:val="008A4911"/>
    <w:rsid w:val="008A54A8"/>
    <w:rsid w:val="008A54AC"/>
    <w:rsid w:val="008A61B6"/>
    <w:rsid w:val="008A666D"/>
    <w:rsid w:val="008A6C64"/>
    <w:rsid w:val="008B0DC5"/>
    <w:rsid w:val="008B1504"/>
    <w:rsid w:val="008B2AD7"/>
    <w:rsid w:val="008B2B28"/>
    <w:rsid w:val="008B3D7A"/>
    <w:rsid w:val="008B4572"/>
    <w:rsid w:val="008B55EE"/>
    <w:rsid w:val="008B5E3F"/>
    <w:rsid w:val="008B7634"/>
    <w:rsid w:val="008B7FD7"/>
    <w:rsid w:val="008C0274"/>
    <w:rsid w:val="008C0FA4"/>
    <w:rsid w:val="008C3FB3"/>
    <w:rsid w:val="008C4539"/>
    <w:rsid w:val="008C549D"/>
    <w:rsid w:val="008C6366"/>
    <w:rsid w:val="008C7C1F"/>
    <w:rsid w:val="008D171D"/>
    <w:rsid w:val="008D24B0"/>
    <w:rsid w:val="008D2CD9"/>
    <w:rsid w:val="008D2F60"/>
    <w:rsid w:val="008D48B0"/>
    <w:rsid w:val="008D51BB"/>
    <w:rsid w:val="008D6193"/>
    <w:rsid w:val="008D635E"/>
    <w:rsid w:val="008D7216"/>
    <w:rsid w:val="008E075B"/>
    <w:rsid w:val="008E0A23"/>
    <w:rsid w:val="008E1ADE"/>
    <w:rsid w:val="008E1D7D"/>
    <w:rsid w:val="008E2E80"/>
    <w:rsid w:val="008E38E1"/>
    <w:rsid w:val="008E3B78"/>
    <w:rsid w:val="008E477D"/>
    <w:rsid w:val="008E4DCB"/>
    <w:rsid w:val="008E582D"/>
    <w:rsid w:val="008E5AFB"/>
    <w:rsid w:val="008E678D"/>
    <w:rsid w:val="008E68EC"/>
    <w:rsid w:val="008E696D"/>
    <w:rsid w:val="008E7EE0"/>
    <w:rsid w:val="008F10AC"/>
    <w:rsid w:val="008F2338"/>
    <w:rsid w:val="008F2668"/>
    <w:rsid w:val="008F267D"/>
    <w:rsid w:val="008F346A"/>
    <w:rsid w:val="008F3B4B"/>
    <w:rsid w:val="008F4FC0"/>
    <w:rsid w:val="008F55EE"/>
    <w:rsid w:val="008F7645"/>
    <w:rsid w:val="0090009C"/>
    <w:rsid w:val="0090065D"/>
    <w:rsid w:val="0090089C"/>
    <w:rsid w:val="0090115E"/>
    <w:rsid w:val="00902346"/>
    <w:rsid w:val="0090295A"/>
    <w:rsid w:val="009029FC"/>
    <w:rsid w:val="00902FEF"/>
    <w:rsid w:val="00905687"/>
    <w:rsid w:val="00906533"/>
    <w:rsid w:val="00906935"/>
    <w:rsid w:val="00907B73"/>
    <w:rsid w:val="0091040F"/>
    <w:rsid w:val="00910B9A"/>
    <w:rsid w:val="0091176C"/>
    <w:rsid w:val="00912C86"/>
    <w:rsid w:val="00913563"/>
    <w:rsid w:val="00914058"/>
    <w:rsid w:val="00915B4B"/>
    <w:rsid w:val="00920426"/>
    <w:rsid w:val="00921012"/>
    <w:rsid w:val="00923FE8"/>
    <w:rsid w:val="00924194"/>
    <w:rsid w:val="00924297"/>
    <w:rsid w:val="009265D0"/>
    <w:rsid w:val="009276E3"/>
    <w:rsid w:val="00927764"/>
    <w:rsid w:val="00931A50"/>
    <w:rsid w:val="00932395"/>
    <w:rsid w:val="009358FF"/>
    <w:rsid w:val="00935BA2"/>
    <w:rsid w:val="009417C9"/>
    <w:rsid w:val="0094187B"/>
    <w:rsid w:val="00941DE8"/>
    <w:rsid w:val="00942217"/>
    <w:rsid w:val="00942F1E"/>
    <w:rsid w:val="009437B6"/>
    <w:rsid w:val="00943F85"/>
    <w:rsid w:val="00944088"/>
    <w:rsid w:val="00944980"/>
    <w:rsid w:val="00944EA6"/>
    <w:rsid w:val="009450FE"/>
    <w:rsid w:val="00945911"/>
    <w:rsid w:val="00950928"/>
    <w:rsid w:val="00950C9A"/>
    <w:rsid w:val="00951847"/>
    <w:rsid w:val="00952306"/>
    <w:rsid w:val="00953B6B"/>
    <w:rsid w:val="00953B89"/>
    <w:rsid w:val="00957043"/>
    <w:rsid w:val="009570E7"/>
    <w:rsid w:val="009578AD"/>
    <w:rsid w:val="00960C0D"/>
    <w:rsid w:val="00961521"/>
    <w:rsid w:val="00963014"/>
    <w:rsid w:val="00963413"/>
    <w:rsid w:val="009634A1"/>
    <w:rsid w:val="00963660"/>
    <w:rsid w:val="00963BE8"/>
    <w:rsid w:val="00964FFB"/>
    <w:rsid w:val="00965FA3"/>
    <w:rsid w:val="009662A6"/>
    <w:rsid w:val="009670AA"/>
    <w:rsid w:val="009678CF"/>
    <w:rsid w:val="00970117"/>
    <w:rsid w:val="00971CBF"/>
    <w:rsid w:val="00972AA9"/>
    <w:rsid w:val="00972AF8"/>
    <w:rsid w:val="0097386D"/>
    <w:rsid w:val="00973FCA"/>
    <w:rsid w:val="00974218"/>
    <w:rsid w:val="009771E0"/>
    <w:rsid w:val="00977861"/>
    <w:rsid w:val="009811AB"/>
    <w:rsid w:val="00981F0A"/>
    <w:rsid w:val="00981FD8"/>
    <w:rsid w:val="0098298D"/>
    <w:rsid w:val="00982AC0"/>
    <w:rsid w:val="00983158"/>
    <w:rsid w:val="009839F7"/>
    <w:rsid w:val="00984682"/>
    <w:rsid w:val="00985C8B"/>
    <w:rsid w:val="00986BFD"/>
    <w:rsid w:val="009871A0"/>
    <w:rsid w:val="00987720"/>
    <w:rsid w:val="009904BB"/>
    <w:rsid w:val="00990F5F"/>
    <w:rsid w:val="009917BB"/>
    <w:rsid w:val="0099183D"/>
    <w:rsid w:val="00992127"/>
    <w:rsid w:val="00992958"/>
    <w:rsid w:val="0099326A"/>
    <w:rsid w:val="00993EA6"/>
    <w:rsid w:val="009947F4"/>
    <w:rsid w:val="009962FA"/>
    <w:rsid w:val="00996ED8"/>
    <w:rsid w:val="009A0433"/>
    <w:rsid w:val="009A3808"/>
    <w:rsid w:val="009A52AB"/>
    <w:rsid w:val="009A77E3"/>
    <w:rsid w:val="009B04A3"/>
    <w:rsid w:val="009B0DAB"/>
    <w:rsid w:val="009B19E4"/>
    <w:rsid w:val="009B2A99"/>
    <w:rsid w:val="009B31E8"/>
    <w:rsid w:val="009B4BB3"/>
    <w:rsid w:val="009B4C5B"/>
    <w:rsid w:val="009B57D8"/>
    <w:rsid w:val="009B660A"/>
    <w:rsid w:val="009B6C3D"/>
    <w:rsid w:val="009B6D2F"/>
    <w:rsid w:val="009B6DCB"/>
    <w:rsid w:val="009B7D91"/>
    <w:rsid w:val="009C3391"/>
    <w:rsid w:val="009C4A44"/>
    <w:rsid w:val="009C4E53"/>
    <w:rsid w:val="009C5432"/>
    <w:rsid w:val="009C6933"/>
    <w:rsid w:val="009C71BB"/>
    <w:rsid w:val="009C776F"/>
    <w:rsid w:val="009C7D43"/>
    <w:rsid w:val="009D11FE"/>
    <w:rsid w:val="009D122F"/>
    <w:rsid w:val="009D2DB0"/>
    <w:rsid w:val="009D3978"/>
    <w:rsid w:val="009D499A"/>
    <w:rsid w:val="009D4BDC"/>
    <w:rsid w:val="009D52BE"/>
    <w:rsid w:val="009D5AE4"/>
    <w:rsid w:val="009D5DA7"/>
    <w:rsid w:val="009D78BE"/>
    <w:rsid w:val="009D7FCB"/>
    <w:rsid w:val="009E45C1"/>
    <w:rsid w:val="009E5711"/>
    <w:rsid w:val="009E63E8"/>
    <w:rsid w:val="009E6CBE"/>
    <w:rsid w:val="009E7A8C"/>
    <w:rsid w:val="009F04FD"/>
    <w:rsid w:val="009F0538"/>
    <w:rsid w:val="009F0A63"/>
    <w:rsid w:val="009F0C64"/>
    <w:rsid w:val="009F146B"/>
    <w:rsid w:val="009F26BD"/>
    <w:rsid w:val="009F2E29"/>
    <w:rsid w:val="009F38D3"/>
    <w:rsid w:val="009F3E58"/>
    <w:rsid w:val="009F57D9"/>
    <w:rsid w:val="009F6B02"/>
    <w:rsid w:val="009F7310"/>
    <w:rsid w:val="009F7E98"/>
    <w:rsid w:val="00A02664"/>
    <w:rsid w:val="00A03517"/>
    <w:rsid w:val="00A040B4"/>
    <w:rsid w:val="00A051E7"/>
    <w:rsid w:val="00A06817"/>
    <w:rsid w:val="00A074E5"/>
    <w:rsid w:val="00A07942"/>
    <w:rsid w:val="00A12995"/>
    <w:rsid w:val="00A12C39"/>
    <w:rsid w:val="00A14B93"/>
    <w:rsid w:val="00A14F9E"/>
    <w:rsid w:val="00A14FD6"/>
    <w:rsid w:val="00A1610D"/>
    <w:rsid w:val="00A166AF"/>
    <w:rsid w:val="00A16F6E"/>
    <w:rsid w:val="00A17D6E"/>
    <w:rsid w:val="00A17E4D"/>
    <w:rsid w:val="00A220A1"/>
    <w:rsid w:val="00A2224C"/>
    <w:rsid w:val="00A22E8A"/>
    <w:rsid w:val="00A2469D"/>
    <w:rsid w:val="00A27033"/>
    <w:rsid w:val="00A27276"/>
    <w:rsid w:val="00A30263"/>
    <w:rsid w:val="00A30651"/>
    <w:rsid w:val="00A30ACC"/>
    <w:rsid w:val="00A32D8F"/>
    <w:rsid w:val="00A32F5F"/>
    <w:rsid w:val="00A34FDB"/>
    <w:rsid w:val="00A35407"/>
    <w:rsid w:val="00A35D06"/>
    <w:rsid w:val="00A405F8"/>
    <w:rsid w:val="00A421C5"/>
    <w:rsid w:val="00A42A6E"/>
    <w:rsid w:val="00A439CF"/>
    <w:rsid w:val="00A445A9"/>
    <w:rsid w:val="00A45472"/>
    <w:rsid w:val="00A46091"/>
    <w:rsid w:val="00A520BF"/>
    <w:rsid w:val="00A60A39"/>
    <w:rsid w:val="00A6127D"/>
    <w:rsid w:val="00A62E3E"/>
    <w:rsid w:val="00A63002"/>
    <w:rsid w:val="00A636C7"/>
    <w:rsid w:val="00A64730"/>
    <w:rsid w:val="00A647C0"/>
    <w:rsid w:val="00A67324"/>
    <w:rsid w:val="00A6776C"/>
    <w:rsid w:val="00A67FE1"/>
    <w:rsid w:val="00A70958"/>
    <w:rsid w:val="00A70A87"/>
    <w:rsid w:val="00A70AD3"/>
    <w:rsid w:val="00A71633"/>
    <w:rsid w:val="00A71880"/>
    <w:rsid w:val="00A730EB"/>
    <w:rsid w:val="00A731CF"/>
    <w:rsid w:val="00A73768"/>
    <w:rsid w:val="00A75092"/>
    <w:rsid w:val="00A762BD"/>
    <w:rsid w:val="00A76396"/>
    <w:rsid w:val="00A76A81"/>
    <w:rsid w:val="00A801A3"/>
    <w:rsid w:val="00A801AA"/>
    <w:rsid w:val="00A81A70"/>
    <w:rsid w:val="00A81CAD"/>
    <w:rsid w:val="00A8223C"/>
    <w:rsid w:val="00A82BE0"/>
    <w:rsid w:val="00A838F7"/>
    <w:rsid w:val="00A84246"/>
    <w:rsid w:val="00A84E33"/>
    <w:rsid w:val="00A8692E"/>
    <w:rsid w:val="00A86D04"/>
    <w:rsid w:val="00A90DC5"/>
    <w:rsid w:val="00A9245F"/>
    <w:rsid w:val="00A92761"/>
    <w:rsid w:val="00A94B20"/>
    <w:rsid w:val="00A9759F"/>
    <w:rsid w:val="00A977B3"/>
    <w:rsid w:val="00AA023E"/>
    <w:rsid w:val="00AA27B2"/>
    <w:rsid w:val="00AA2E1D"/>
    <w:rsid w:val="00AA343D"/>
    <w:rsid w:val="00AA43A8"/>
    <w:rsid w:val="00AB1F25"/>
    <w:rsid w:val="00AB2088"/>
    <w:rsid w:val="00AB3576"/>
    <w:rsid w:val="00AB7DE9"/>
    <w:rsid w:val="00AC19DA"/>
    <w:rsid w:val="00AC2297"/>
    <w:rsid w:val="00AC2361"/>
    <w:rsid w:val="00AC24DF"/>
    <w:rsid w:val="00AC39E5"/>
    <w:rsid w:val="00AC4E8A"/>
    <w:rsid w:val="00AC595E"/>
    <w:rsid w:val="00AC754A"/>
    <w:rsid w:val="00AC7F04"/>
    <w:rsid w:val="00AD009C"/>
    <w:rsid w:val="00AD1A1E"/>
    <w:rsid w:val="00AD3036"/>
    <w:rsid w:val="00AD406C"/>
    <w:rsid w:val="00AD4278"/>
    <w:rsid w:val="00AD5589"/>
    <w:rsid w:val="00AD6211"/>
    <w:rsid w:val="00AD7DF3"/>
    <w:rsid w:val="00AE3161"/>
    <w:rsid w:val="00AE5C6D"/>
    <w:rsid w:val="00AE6479"/>
    <w:rsid w:val="00AE7238"/>
    <w:rsid w:val="00AE745E"/>
    <w:rsid w:val="00AF178F"/>
    <w:rsid w:val="00AF3440"/>
    <w:rsid w:val="00AF47F6"/>
    <w:rsid w:val="00AF4D8E"/>
    <w:rsid w:val="00B0036C"/>
    <w:rsid w:val="00B015FD"/>
    <w:rsid w:val="00B01DE1"/>
    <w:rsid w:val="00B02040"/>
    <w:rsid w:val="00B021D8"/>
    <w:rsid w:val="00B02624"/>
    <w:rsid w:val="00B028F3"/>
    <w:rsid w:val="00B03336"/>
    <w:rsid w:val="00B03CD5"/>
    <w:rsid w:val="00B06FF2"/>
    <w:rsid w:val="00B07EAA"/>
    <w:rsid w:val="00B105FF"/>
    <w:rsid w:val="00B10E9C"/>
    <w:rsid w:val="00B13803"/>
    <w:rsid w:val="00B138CC"/>
    <w:rsid w:val="00B147A0"/>
    <w:rsid w:val="00B15175"/>
    <w:rsid w:val="00B152A8"/>
    <w:rsid w:val="00B15A48"/>
    <w:rsid w:val="00B15B2F"/>
    <w:rsid w:val="00B15D19"/>
    <w:rsid w:val="00B15DB7"/>
    <w:rsid w:val="00B219E8"/>
    <w:rsid w:val="00B21B89"/>
    <w:rsid w:val="00B25CE1"/>
    <w:rsid w:val="00B26463"/>
    <w:rsid w:val="00B26819"/>
    <w:rsid w:val="00B2721E"/>
    <w:rsid w:val="00B278F1"/>
    <w:rsid w:val="00B27958"/>
    <w:rsid w:val="00B31491"/>
    <w:rsid w:val="00B32DEA"/>
    <w:rsid w:val="00B32DEE"/>
    <w:rsid w:val="00B33575"/>
    <w:rsid w:val="00B34BFD"/>
    <w:rsid w:val="00B34CEB"/>
    <w:rsid w:val="00B35317"/>
    <w:rsid w:val="00B35A72"/>
    <w:rsid w:val="00B36809"/>
    <w:rsid w:val="00B3681C"/>
    <w:rsid w:val="00B36D7D"/>
    <w:rsid w:val="00B3708B"/>
    <w:rsid w:val="00B3733D"/>
    <w:rsid w:val="00B400A9"/>
    <w:rsid w:val="00B40EE7"/>
    <w:rsid w:val="00B4221B"/>
    <w:rsid w:val="00B42D34"/>
    <w:rsid w:val="00B42DD3"/>
    <w:rsid w:val="00B435B2"/>
    <w:rsid w:val="00B43DED"/>
    <w:rsid w:val="00B505FA"/>
    <w:rsid w:val="00B50A1F"/>
    <w:rsid w:val="00B5103D"/>
    <w:rsid w:val="00B513A1"/>
    <w:rsid w:val="00B51D60"/>
    <w:rsid w:val="00B5240F"/>
    <w:rsid w:val="00B533A6"/>
    <w:rsid w:val="00B535AC"/>
    <w:rsid w:val="00B53AE6"/>
    <w:rsid w:val="00B54FC8"/>
    <w:rsid w:val="00B5637F"/>
    <w:rsid w:val="00B60071"/>
    <w:rsid w:val="00B60676"/>
    <w:rsid w:val="00B60780"/>
    <w:rsid w:val="00B637A5"/>
    <w:rsid w:val="00B64F39"/>
    <w:rsid w:val="00B6509E"/>
    <w:rsid w:val="00B65A00"/>
    <w:rsid w:val="00B66092"/>
    <w:rsid w:val="00B67551"/>
    <w:rsid w:val="00B70378"/>
    <w:rsid w:val="00B705E2"/>
    <w:rsid w:val="00B71389"/>
    <w:rsid w:val="00B71534"/>
    <w:rsid w:val="00B7156B"/>
    <w:rsid w:val="00B72DEC"/>
    <w:rsid w:val="00B73ED9"/>
    <w:rsid w:val="00B74A8D"/>
    <w:rsid w:val="00B7626E"/>
    <w:rsid w:val="00B767B8"/>
    <w:rsid w:val="00B775EA"/>
    <w:rsid w:val="00B81433"/>
    <w:rsid w:val="00B8161B"/>
    <w:rsid w:val="00B838B3"/>
    <w:rsid w:val="00B83FCC"/>
    <w:rsid w:val="00B84EF9"/>
    <w:rsid w:val="00B86347"/>
    <w:rsid w:val="00B873D9"/>
    <w:rsid w:val="00B87878"/>
    <w:rsid w:val="00B911FF"/>
    <w:rsid w:val="00B9129C"/>
    <w:rsid w:val="00B91727"/>
    <w:rsid w:val="00B93EC6"/>
    <w:rsid w:val="00B94309"/>
    <w:rsid w:val="00B943E5"/>
    <w:rsid w:val="00B94A05"/>
    <w:rsid w:val="00B94E13"/>
    <w:rsid w:val="00B95663"/>
    <w:rsid w:val="00B95B4C"/>
    <w:rsid w:val="00B97457"/>
    <w:rsid w:val="00BA0B82"/>
    <w:rsid w:val="00BA1CFE"/>
    <w:rsid w:val="00BA2B0E"/>
    <w:rsid w:val="00BA2C2A"/>
    <w:rsid w:val="00BA3A5C"/>
    <w:rsid w:val="00BA45D3"/>
    <w:rsid w:val="00BA709C"/>
    <w:rsid w:val="00BA76CC"/>
    <w:rsid w:val="00BA7DE5"/>
    <w:rsid w:val="00BB032F"/>
    <w:rsid w:val="00BB0AA2"/>
    <w:rsid w:val="00BB2274"/>
    <w:rsid w:val="00BB2926"/>
    <w:rsid w:val="00BB40F0"/>
    <w:rsid w:val="00BB4536"/>
    <w:rsid w:val="00BB4A4C"/>
    <w:rsid w:val="00BB5B10"/>
    <w:rsid w:val="00BB61B1"/>
    <w:rsid w:val="00BB77D7"/>
    <w:rsid w:val="00BC0E8F"/>
    <w:rsid w:val="00BC26F4"/>
    <w:rsid w:val="00BC32CA"/>
    <w:rsid w:val="00BC3B25"/>
    <w:rsid w:val="00BC54E6"/>
    <w:rsid w:val="00BC5821"/>
    <w:rsid w:val="00BC7D2A"/>
    <w:rsid w:val="00BD1977"/>
    <w:rsid w:val="00BD1B1F"/>
    <w:rsid w:val="00BD234E"/>
    <w:rsid w:val="00BD2ED3"/>
    <w:rsid w:val="00BD30AB"/>
    <w:rsid w:val="00BD4995"/>
    <w:rsid w:val="00BD5145"/>
    <w:rsid w:val="00BD525E"/>
    <w:rsid w:val="00BD5604"/>
    <w:rsid w:val="00BD79F7"/>
    <w:rsid w:val="00BE1515"/>
    <w:rsid w:val="00BE1F3C"/>
    <w:rsid w:val="00BE219E"/>
    <w:rsid w:val="00BE2AC3"/>
    <w:rsid w:val="00BE3F41"/>
    <w:rsid w:val="00BE418E"/>
    <w:rsid w:val="00BE4960"/>
    <w:rsid w:val="00BE5736"/>
    <w:rsid w:val="00BE643A"/>
    <w:rsid w:val="00BE7B9F"/>
    <w:rsid w:val="00BF3100"/>
    <w:rsid w:val="00BF47DA"/>
    <w:rsid w:val="00BF5483"/>
    <w:rsid w:val="00BF68D7"/>
    <w:rsid w:val="00BF6D22"/>
    <w:rsid w:val="00BF6D40"/>
    <w:rsid w:val="00BF6D93"/>
    <w:rsid w:val="00BF7A75"/>
    <w:rsid w:val="00C03047"/>
    <w:rsid w:val="00C033FC"/>
    <w:rsid w:val="00C03B65"/>
    <w:rsid w:val="00C06581"/>
    <w:rsid w:val="00C06BBD"/>
    <w:rsid w:val="00C07124"/>
    <w:rsid w:val="00C07378"/>
    <w:rsid w:val="00C07E3C"/>
    <w:rsid w:val="00C11393"/>
    <w:rsid w:val="00C128E7"/>
    <w:rsid w:val="00C12DDE"/>
    <w:rsid w:val="00C12FD2"/>
    <w:rsid w:val="00C1384E"/>
    <w:rsid w:val="00C1454C"/>
    <w:rsid w:val="00C14B50"/>
    <w:rsid w:val="00C15EB4"/>
    <w:rsid w:val="00C16101"/>
    <w:rsid w:val="00C16813"/>
    <w:rsid w:val="00C20A76"/>
    <w:rsid w:val="00C20D66"/>
    <w:rsid w:val="00C218CA"/>
    <w:rsid w:val="00C21ED8"/>
    <w:rsid w:val="00C2221F"/>
    <w:rsid w:val="00C22945"/>
    <w:rsid w:val="00C25745"/>
    <w:rsid w:val="00C2644F"/>
    <w:rsid w:val="00C26FF1"/>
    <w:rsid w:val="00C27B7D"/>
    <w:rsid w:val="00C27FEC"/>
    <w:rsid w:val="00C30F85"/>
    <w:rsid w:val="00C32595"/>
    <w:rsid w:val="00C358E4"/>
    <w:rsid w:val="00C36D2A"/>
    <w:rsid w:val="00C37020"/>
    <w:rsid w:val="00C3768C"/>
    <w:rsid w:val="00C41AC4"/>
    <w:rsid w:val="00C42ECF"/>
    <w:rsid w:val="00C43824"/>
    <w:rsid w:val="00C43BF4"/>
    <w:rsid w:val="00C43C10"/>
    <w:rsid w:val="00C43F85"/>
    <w:rsid w:val="00C4619F"/>
    <w:rsid w:val="00C461EE"/>
    <w:rsid w:val="00C46C7F"/>
    <w:rsid w:val="00C502E4"/>
    <w:rsid w:val="00C52AEB"/>
    <w:rsid w:val="00C557A3"/>
    <w:rsid w:val="00C55C68"/>
    <w:rsid w:val="00C57475"/>
    <w:rsid w:val="00C619A2"/>
    <w:rsid w:val="00C61CE1"/>
    <w:rsid w:val="00C62113"/>
    <w:rsid w:val="00C65085"/>
    <w:rsid w:val="00C65832"/>
    <w:rsid w:val="00C6773B"/>
    <w:rsid w:val="00C67B4A"/>
    <w:rsid w:val="00C71064"/>
    <w:rsid w:val="00C723B2"/>
    <w:rsid w:val="00C73120"/>
    <w:rsid w:val="00C744F0"/>
    <w:rsid w:val="00C74B96"/>
    <w:rsid w:val="00C74E8D"/>
    <w:rsid w:val="00C758B3"/>
    <w:rsid w:val="00C76861"/>
    <w:rsid w:val="00C76938"/>
    <w:rsid w:val="00C76A95"/>
    <w:rsid w:val="00C76F38"/>
    <w:rsid w:val="00C77D45"/>
    <w:rsid w:val="00C80D4D"/>
    <w:rsid w:val="00C812E0"/>
    <w:rsid w:val="00C82DC7"/>
    <w:rsid w:val="00C8355E"/>
    <w:rsid w:val="00C83D87"/>
    <w:rsid w:val="00C86172"/>
    <w:rsid w:val="00C867CB"/>
    <w:rsid w:val="00C87AFD"/>
    <w:rsid w:val="00C91C93"/>
    <w:rsid w:val="00C92C3C"/>
    <w:rsid w:val="00C92C4B"/>
    <w:rsid w:val="00C93CAD"/>
    <w:rsid w:val="00C941AE"/>
    <w:rsid w:val="00C944E6"/>
    <w:rsid w:val="00C94F37"/>
    <w:rsid w:val="00C95261"/>
    <w:rsid w:val="00C95A43"/>
    <w:rsid w:val="00C96E84"/>
    <w:rsid w:val="00C96F25"/>
    <w:rsid w:val="00C971F0"/>
    <w:rsid w:val="00CA007D"/>
    <w:rsid w:val="00CA2325"/>
    <w:rsid w:val="00CA5FF3"/>
    <w:rsid w:val="00CA79F9"/>
    <w:rsid w:val="00CA7EEE"/>
    <w:rsid w:val="00CB20EB"/>
    <w:rsid w:val="00CB27C1"/>
    <w:rsid w:val="00CB3E26"/>
    <w:rsid w:val="00CB43F4"/>
    <w:rsid w:val="00CB5712"/>
    <w:rsid w:val="00CB6A3D"/>
    <w:rsid w:val="00CB6FA4"/>
    <w:rsid w:val="00CB7B08"/>
    <w:rsid w:val="00CB7F91"/>
    <w:rsid w:val="00CC1C66"/>
    <w:rsid w:val="00CC34DA"/>
    <w:rsid w:val="00CC3DCB"/>
    <w:rsid w:val="00CC462C"/>
    <w:rsid w:val="00CC479E"/>
    <w:rsid w:val="00CC53AA"/>
    <w:rsid w:val="00CC6200"/>
    <w:rsid w:val="00CC6700"/>
    <w:rsid w:val="00CC6BAD"/>
    <w:rsid w:val="00CC7468"/>
    <w:rsid w:val="00CD1370"/>
    <w:rsid w:val="00CD1B0E"/>
    <w:rsid w:val="00CD314C"/>
    <w:rsid w:val="00CD4EB5"/>
    <w:rsid w:val="00CD574E"/>
    <w:rsid w:val="00CD5D83"/>
    <w:rsid w:val="00CD6C89"/>
    <w:rsid w:val="00CD7094"/>
    <w:rsid w:val="00CD72EB"/>
    <w:rsid w:val="00CE0A1E"/>
    <w:rsid w:val="00CE15C8"/>
    <w:rsid w:val="00CE19CE"/>
    <w:rsid w:val="00CE3000"/>
    <w:rsid w:val="00CE5430"/>
    <w:rsid w:val="00CE5D4E"/>
    <w:rsid w:val="00CE651E"/>
    <w:rsid w:val="00CE6C17"/>
    <w:rsid w:val="00CE722D"/>
    <w:rsid w:val="00CE7E38"/>
    <w:rsid w:val="00CF07A8"/>
    <w:rsid w:val="00CF0ACA"/>
    <w:rsid w:val="00CF1000"/>
    <w:rsid w:val="00CF1238"/>
    <w:rsid w:val="00CF1E5B"/>
    <w:rsid w:val="00CF2359"/>
    <w:rsid w:val="00CF2B40"/>
    <w:rsid w:val="00CF4705"/>
    <w:rsid w:val="00CF4734"/>
    <w:rsid w:val="00CF4F9E"/>
    <w:rsid w:val="00CF6019"/>
    <w:rsid w:val="00D01E56"/>
    <w:rsid w:val="00D024C8"/>
    <w:rsid w:val="00D02D39"/>
    <w:rsid w:val="00D03F02"/>
    <w:rsid w:val="00D05E90"/>
    <w:rsid w:val="00D068E2"/>
    <w:rsid w:val="00D07E51"/>
    <w:rsid w:val="00D10262"/>
    <w:rsid w:val="00D12107"/>
    <w:rsid w:val="00D14104"/>
    <w:rsid w:val="00D142FA"/>
    <w:rsid w:val="00D17228"/>
    <w:rsid w:val="00D213BD"/>
    <w:rsid w:val="00D23830"/>
    <w:rsid w:val="00D24314"/>
    <w:rsid w:val="00D24B47"/>
    <w:rsid w:val="00D25895"/>
    <w:rsid w:val="00D30242"/>
    <w:rsid w:val="00D30DC0"/>
    <w:rsid w:val="00D310F5"/>
    <w:rsid w:val="00D318A4"/>
    <w:rsid w:val="00D31C3D"/>
    <w:rsid w:val="00D32200"/>
    <w:rsid w:val="00D335F0"/>
    <w:rsid w:val="00D3360C"/>
    <w:rsid w:val="00D34A02"/>
    <w:rsid w:val="00D34D47"/>
    <w:rsid w:val="00D35DE9"/>
    <w:rsid w:val="00D37439"/>
    <w:rsid w:val="00D37596"/>
    <w:rsid w:val="00D40F15"/>
    <w:rsid w:val="00D40F2A"/>
    <w:rsid w:val="00D41C41"/>
    <w:rsid w:val="00D4202E"/>
    <w:rsid w:val="00D42066"/>
    <w:rsid w:val="00D420FA"/>
    <w:rsid w:val="00D422EA"/>
    <w:rsid w:val="00D4245C"/>
    <w:rsid w:val="00D4277C"/>
    <w:rsid w:val="00D428DB"/>
    <w:rsid w:val="00D42E43"/>
    <w:rsid w:val="00D431D6"/>
    <w:rsid w:val="00D43393"/>
    <w:rsid w:val="00D43BD2"/>
    <w:rsid w:val="00D44AA2"/>
    <w:rsid w:val="00D454E6"/>
    <w:rsid w:val="00D47408"/>
    <w:rsid w:val="00D4742E"/>
    <w:rsid w:val="00D519BC"/>
    <w:rsid w:val="00D53195"/>
    <w:rsid w:val="00D5622D"/>
    <w:rsid w:val="00D564B5"/>
    <w:rsid w:val="00D56AB7"/>
    <w:rsid w:val="00D60DB3"/>
    <w:rsid w:val="00D612F5"/>
    <w:rsid w:val="00D644D1"/>
    <w:rsid w:val="00D648D4"/>
    <w:rsid w:val="00D64995"/>
    <w:rsid w:val="00D65161"/>
    <w:rsid w:val="00D67A93"/>
    <w:rsid w:val="00D67C04"/>
    <w:rsid w:val="00D7133A"/>
    <w:rsid w:val="00D71B9B"/>
    <w:rsid w:val="00D72937"/>
    <w:rsid w:val="00D74958"/>
    <w:rsid w:val="00D74E20"/>
    <w:rsid w:val="00D75A96"/>
    <w:rsid w:val="00D75C41"/>
    <w:rsid w:val="00D75E0D"/>
    <w:rsid w:val="00D762A7"/>
    <w:rsid w:val="00D76569"/>
    <w:rsid w:val="00D7703F"/>
    <w:rsid w:val="00D80663"/>
    <w:rsid w:val="00D80DAF"/>
    <w:rsid w:val="00D8103D"/>
    <w:rsid w:val="00D810A3"/>
    <w:rsid w:val="00D855BF"/>
    <w:rsid w:val="00D85C40"/>
    <w:rsid w:val="00D8689F"/>
    <w:rsid w:val="00D904A2"/>
    <w:rsid w:val="00D91496"/>
    <w:rsid w:val="00D950E3"/>
    <w:rsid w:val="00D9568C"/>
    <w:rsid w:val="00D96375"/>
    <w:rsid w:val="00D964DD"/>
    <w:rsid w:val="00D964E2"/>
    <w:rsid w:val="00D96F91"/>
    <w:rsid w:val="00DA0342"/>
    <w:rsid w:val="00DA03B6"/>
    <w:rsid w:val="00DA0D8E"/>
    <w:rsid w:val="00DA10B6"/>
    <w:rsid w:val="00DA132C"/>
    <w:rsid w:val="00DA1886"/>
    <w:rsid w:val="00DA231F"/>
    <w:rsid w:val="00DA2ADB"/>
    <w:rsid w:val="00DA2F2B"/>
    <w:rsid w:val="00DA326E"/>
    <w:rsid w:val="00DA4357"/>
    <w:rsid w:val="00DA5EB8"/>
    <w:rsid w:val="00DA75A0"/>
    <w:rsid w:val="00DB0838"/>
    <w:rsid w:val="00DB0895"/>
    <w:rsid w:val="00DB208A"/>
    <w:rsid w:val="00DB2698"/>
    <w:rsid w:val="00DB2F59"/>
    <w:rsid w:val="00DB2F78"/>
    <w:rsid w:val="00DB383E"/>
    <w:rsid w:val="00DB590B"/>
    <w:rsid w:val="00DB64AE"/>
    <w:rsid w:val="00DB6804"/>
    <w:rsid w:val="00DB6AED"/>
    <w:rsid w:val="00DB6E98"/>
    <w:rsid w:val="00DB7E54"/>
    <w:rsid w:val="00DC0743"/>
    <w:rsid w:val="00DC12F9"/>
    <w:rsid w:val="00DC172C"/>
    <w:rsid w:val="00DC1A7E"/>
    <w:rsid w:val="00DC1D08"/>
    <w:rsid w:val="00DC25AE"/>
    <w:rsid w:val="00DC2AC1"/>
    <w:rsid w:val="00DC2CAC"/>
    <w:rsid w:val="00DC41A9"/>
    <w:rsid w:val="00DC457A"/>
    <w:rsid w:val="00DC5274"/>
    <w:rsid w:val="00DC5352"/>
    <w:rsid w:val="00DC6353"/>
    <w:rsid w:val="00DC691B"/>
    <w:rsid w:val="00DC7905"/>
    <w:rsid w:val="00DC7BEB"/>
    <w:rsid w:val="00DD0317"/>
    <w:rsid w:val="00DD0ED6"/>
    <w:rsid w:val="00DD237C"/>
    <w:rsid w:val="00DD2524"/>
    <w:rsid w:val="00DD2963"/>
    <w:rsid w:val="00DD2CF9"/>
    <w:rsid w:val="00DD3CD0"/>
    <w:rsid w:val="00DD53E3"/>
    <w:rsid w:val="00DD551F"/>
    <w:rsid w:val="00DD556C"/>
    <w:rsid w:val="00DD5584"/>
    <w:rsid w:val="00DD5591"/>
    <w:rsid w:val="00DD6DE2"/>
    <w:rsid w:val="00DE1675"/>
    <w:rsid w:val="00DE1780"/>
    <w:rsid w:val="00DE192E"/>
    <w:rsid w:val="00DE1D0E"/>
    <w:rsid w:val="00DE1DAC"/>
    <w:rsid w:val="00DE30F9"/>
    <w:rsid w:val="00DE3276"/>
    <w:rsid w:val="00DE41A4"/>
    <w:rsid w:val="00DE4EB1"/>
    <w:rsid w:val="00DE5C22"/>
    <w:rsid w:val="00DE7048"/>
    <w:rsid w:val="00DE7362"/>
    <w:rsid w:val="00DE7415"/>
    <w:rsid w:val="00DF1F9C"/>
    <w:rsid w:val="00DF35FF"/>
    <w:rsid w:val="00DF4D03"/>
    <w:rsid w:val="00DF4E35"/>
    <w:rsid w:val="00DF5D27"/>
    <w:rsid w:val="00DF6A1E"/>
    <w:rsid w:val="00DF76B7"/>
    <w:rsid w:val="00DF7A52"/>
    <w:rsid w:val="00E00ACA"/>
    <w:rsid w:val="00E00C4C"/>
    <w:rsid w:val="00E01FCA"/>
    <w:rsid w:val="00E02E5A"/>
    <w:rsid w:val="00E03DB2"/>
    <w:rsid w:val="00E0459D"/>
    <w:rsid w:val="00E04754"/>
    <w:rsid w:val="00E04DE9"/>
    <w:rsid w:val="00E05442"/>
    <w:rsid w:val="00E059CD"/>
    <w:rsid w:val="00E05A3D"/>
    <w:rsid w:val="00E0681F"/>
    <w:rsid w:val="00E10E31"/>
    <w:rsid w:val="00E117B0"/>
    <w:rsid w:val="00E12E17"/>
    <w:rsid w:val="00E13001"/>
    <w:rsid w:val="00E13036"/>
    <w:rsid w:val="00E13469"/>
    <w:rsid w:val="00E13888"/>
    <w:rsid w:val="00E1481E"/>
    <w:rsid w:val="00E15E8E"/>
    <w:rsid w:val="00E16232"/>
    <w:rsid w:val="00E20575"/>
    <w:rsid w:val="00E20E7C"/>
    <w:rsid w:val="00E216C0"/>
    <w:rsid w:val="00E2182A"/>
    <w:rsid w:val="00E21C4C"/>
    <w:rsid w:val="00E220B2"/>
    <w:rsid w:val="00E22317"/>
    <w:rsid w:val="00E2321A"/>
    <w:rsid w:val="00E24272"/>
    <w:rsid w:val="00E249DE"/>
    <w:rsid w:val="00E24F69"/>
    <w:rsid w:val="00E2534B"/>
    <w:rsid w:val="00E2535E"/>
    <w:rsid w:val="00E25C82"/>
    <w:rsid w:val="00E274BF"/>
    <w:rsid w:val="00E27901"/>
    <w:rsid w:val="00E27A29"/>
    <w:rsid w:val="00E31E2B"/>
    <w:rsid w:val="00E31F51"/>
    <w:rsid w:val="00E32104"/>
    <w:rsid w:val="00E3390D"/>
    <w:rsid w:val="00E343BE"/>
    <w:rsid w:val="00E36A91"/>
    <w:rsid w:val="00E3719D"/>
    <w:rsid w:val="00E37251"/>
    <w:rsid w:val="00E378FF"/>
    <w:rsid w:val="00E40784"/>
    <w:rsid w:val="00E41FD3"/>
    <w:rsid w:val="00E4235C"/>
    <w:rsid w:val="00E424D9"/>
    <w:rsid w:val="00E42DF8"/>
    <w:rsid w:val="00E43A28"/>
    <w:rsid w:val="00E4611C"/>
    <w:rsid w:val="00E50B54"/>
    <w:rsid w:val="00E50B85"/>
    <w:rsid w:val="00E51145"/>
    <w:rsid w:val="00E51839"/>
    <w:rsid w:val="00E534BA"/>
    <w:rsid w:val="00E55A71"/>
    <w:rsid w:val="00E60FC3"/>
    <w:rsid w:val="00E62C15"/>
    <w:rsid w:val="00E63407"/>
    <w:rsid w:val="00E65E91"/>
    <w:rsid w:val="00E6629D"/>
    <w:rsid w:val="00E7059F"/>
    <w:rsid w:val="00E70A95"/>
    <w:rsid w:val="00E71254"/>
    <w:rsid w:val="00E719C0"/>
    <w:rsid w:val="00E73602"/>
    <w:rsid w:val="00E74D34"/>
    <w:rsid w:val="00E75A71"/>
    <w:rsid w:val="00E80281"/>
    <w:rsid w:val="00E8215D"/>
    <w:rsid w:val="00E827E8"/>
    <w:rsid w:val="00E854B0"/>
    <w:rsid w:val="00E859AB"/>
    <w:rsid w:val="00E86F72"/>
    <w:rsid w:val="00E91447"/>
    <w:rsid w:val="00E92073"/>
    <w:rsid w:val="00E92617"/>
    <w:rsid w:val="00E92E42"/>
    <w:rsid w:val="00E940F0"/>
    <w:rsid w:val="00E94558"/>
    <w:rsid w:val="00E9480D"/>
    <w:rsid w:val="00E9532F"/>
    <w:rsid w:val="00E95582"/>
    <w:rsid w:val="00E9558A"/>
    <w:rsid w:val="00EA0EE4"/>
    <w:rsid w:val="00EA2152"/>
    <w:rsid w:val="00EA2221"/>
    <w:rsid w:val="00EA42F3"/>
    <w:rsid w:val="00EA4638"/>
    <w:rsid w:val="00EA50AC"/>
    <w:rsid w:val="00EA5141"/>
    <w:rsid w:val="00EA560A"/>
    <w:rsid w:val="00EA6A16"/>
    <w:rsid w:val="00EB020E"/>
    <w:rsid w:val="00EB0C05"/>
    <w:rsid w:val="00EB0D7C"/>
    <w:rsid w:val="00EB14B9"/>
    <w:rsid w:val="00EB18CE"/>
    <w:rsid w:val="00EB2857"/>
    <w:rsid w:val="00EB29E3"/>
    <w:rsid w:val="00EB419F"/>
    <w:rsid w:val="00EB4824"/>
    <w:rsid w:val="00EB4F91"/>
    <w:rsid w:val="00EB5069"/>
    <w:rsid w:val="00EB5F87"/>
    <w:rsid w:val="00EB663A"/>
    <w:rsid w:val="00EB6AB9"/>
    <w:rsid w:val="00EB744C"/>
    <w:rsid w:val="00EB7CD2"/>
    <w:rsid w:val="00EC0B20"/>
    <w:rsid w:val="00EC0B25"/>
    <w:rsid w:val="00EC0E20"/>
    <w:rsid w:val="00EC1805"/>
    <w:rsid w:val="00EC2125"/>
    <w:rsid w:val="00EC252B"/>
    <w:rsid w:val="00EC368E"/>
    <w:rsid w:val="00EC4E79"/>
    <w:rsid w:val="00EC54D8"/>
    <w:rsid w:val="00EC56D4"/>
    <w:rsid w:val="00ED0E77"/>
    <w:rsid w:val="00ED252D"/>
    <w:rsid w:val="00ED3186"/>
    <w:rsid w:val="00ED37D6"/>
    <w:rsid w:val="00ED4BEA"/>
    <w:rsid w:val="00ED5723"/>
    <w:rsid w:val="00ED683F"/>
    <w:rsid w:val="00ED74B4"/>
    <w:rsid w:val="00ED7A17"/>
    <w:rsid w:val="00ED7C9F"/>
    <w:rsid w:val="00EE034E"/>
    <w:rsid w:val="00EE0EAF"/>
    <w:rsid w:val="00EE1B86"/>
    <w:rsid w:val="00EE25EF"/>
    <w:rsid w:val="00EE3462"/>
    <w:rsid w:val="00EE5700"/>
    <w:rsid w:val="00EE5874"/>
    <w:rsid w:val="00EE6ABE"/>
    <w:rsid w:val="00EE7ACD"/>
    <w:rsid w:val="00EF0F2C"/>
    <w:rsid w:val="00EF1700"/>
    <w:rsid w:val="00EF1BBB"/>
    <w:rsid w:val="00EF2C8B"/>
    <w:rsid w:val="00EF5580"/>
    <w:rsid w:val="00EF5D1C"/>
    <w:rsid w:val="00EF76D6"/>
    <w:rsid w:val="00F00486"/>
    <w:rsid w:val="00F00C2F"/>
    <w:rsid w:val="00F00FE5"/>
    <w:rsid w:val="00F0153D"/>
    <w:rsid w:val="00F01F7C"/>
    <w:rsid w:val="00F044C7"/>
    <w:rsid w:val="00F06A96"/>
    <w:rsid w:val="00F06AB5"/>
    <w:rsid w:val="00F071C6"/>
    <w:rsid w:val="00F07983"/>
    <w:rsid w:val="00F109CA"/>
    <w:rsid w:val="00F10F32"/>
    <w:rsid w:val="00F10F94"/>
    <w:rsid w:val="00F11017"/>
    <w:rsid w:val="00F1279B"/>
    <w:rsid w:val="00F12A6E"/>
    <w:rsid w:val="00F12F7F"/>
    <w:rsid w:val="00F13F6D"/>
    <w:rsid w:val="00F145E7"/>
    <w:rsid w:val="00F14CAA"/>
    <w:rsid w:val="00F14FE3"/>
    <w:rsid w:val="00F16CCA"/>
    <w:rsid w:val="00F17003"/>
    <w:rsid w:val="00F17750"/>
    <w:rsid w:val="00F17E49"/>
    <w:rsid w:val="00F20572"/>
    <w:rsid w:val="00F20697"/>
    <w:rsid w:val="00F20A44"/>
    <w:rsid w:val="00F20CD5"/>
    <w:rsid w:val="00F21044"/>
    <w:rsid w:val="00F23F40"/>
    <w:rsid w:val="00F24508"/>
    <w:rsid w:val="00F2543F"/>
    <w:rsid w:val="00F25CC9"/>
    <w:rsid w:val="00F26E84"/>
    <w:rsid w:val="00F30147"/>
    <w:rsid w:val="00F307D4"/>
    <w:rsid w:val="00F30B17"/>
    <w:rsid w:val="00F31A11"/>
    <w:rsid w:val="00F31EAE"/>
    <w:rsid w:val="00F3367B"/>
    <w:rsid w:val="00F33700"/>
    <w:rsid w:val="00F34954"/>
    <w:rsid w:val="00F352EE"/>
    <w:rsid w:val="00F358CA"/>
    <w:rsid w:val="00F37177"/>
    <w:rsid w:val="00F3735A"/>
    <w:rsid w:val="00F377FB"/>
    <w:rsid w:val="00F37DFC"/>
    <w:rsid w:val="00F4131E"/>
    <w:rsid w:val="00F415A6"/>
    <w:rsid w:val="00F41906"/>
    <w:rsid w:val="00F42B1A"/>
    <w:rsid w:val="00F42D1E"/>
    <w:rsid w:val="00F44F34"/>
    <w:rsid w:val="00F44F81"/>
    <w:rsid w:val="00F46F5F"/>
    <w:rsid w:val="00F47943"/>
    <w:rsid w:val="00F47B47"/>
    <w:rsid w:val="00F504BA"/>
    <w:rsid w:val="00F51190"/>
    <w:rsid w:val="00F5179E"/>
    <w:rsid w:val="00F52C48"/>
    <w:rsid w:val="00F52CFE"/>
    <w:rsid w:val="00F53E51"/>
    <w:rsid w:val="00F54081"/>
    <w:rsid w:val="00F54E30"/>
    <w:rsid w:val="00F54EF0"/>
    <w:rsid w:val="00F55CD7"/>
    <w:rsid w:val="00F560AA"/>
    <w:rsid w:val="00F5798F"/>
    <w:rsid w:val="00F60870"/>
    <w:rsid w:val="00F62001"/>
    <w:rsid w:val="00F62784"/>
    <w:rsid w:val="00F6282D"/>
    <w:rsid w:val="00F63190"/>
    <w:rsid w:val="00F636DA"/>
    <w:rsid w:val="00F6373D"/>
    <w:rsid w:val="00F638D7"/>
    <w:rsid w:val="00F6432F"/>
    <w:rsid w:val="00F64817"/>
    <w:rsid w:val="00F655A9"/>
    <w:rsid w:val="00F66309"/>
    <w:rsid w:val="00F6680F"/>
    <w:rsid w:val="00F66B4A"/>
    <w:rsid w:val="00F66EB2"/>
    <w:rsid w:val="00F67AA3"/>
    <w:rsid w:val="00F67D52"/>
    <w:rsid w:val="00F7232E"/>
    <w:rsid w:val="00F754F2"/>
    <w:rsid w:val="00F758AE"/>
    <w:rsid w:val="00F75F8E"/>
    <w:rsid w:val="00F80AD2"/>
    <w:rsid w:val="00F81089"/>
    <w:rsid w:val="00F8244F"/>
    <w:rsid w:val="00F82510"/>
    <w:rsid w:val="00F82CD7"/>
    <w:rsid w:val="00F82F64"/>
    <w:rsid w:val="00F8457D"/>
    <w:rsid w:val="00F860BB"/>
    <w:rsid w:val="00F8667C"/>
    <w:rsid w:val="00F869AF"/>
    <w:rsid w:val="00F86BB4"/>
    <w:rsid w:val="00F87593"/>
    <w:rsid w:val="00F90315"/>
    <w:rsid w:val="00F9038B"/>
    <w:rsid w:val="00F90B81"/>
    <w:rsid w:val="00F90BD8"/>
    <w:rsid w:val="00F91121"/>
    <w:rsid w:val="00F914AE"/>
    <w:rsid w:val="00F929FA"/>
    <w:rsid w:val="00F92D6E"/>
    <w:rsid w:val="00F941C0"/>
    <w:rsid w:val="00F9438B"/>
    <w:rsid w:val="00F94984"/>
    <w:rsid w:val="00F94B38"/>
    <w:rsid w:val="00F94BEB"/>
    <w:rsid w:val="00F974D8"/>
    <w:rsid w:val="00FA0C66"/>
    <w:rsid w:val="00FA28DF"/>
    <w:rsid w:val="00FA2E8F"/>
    <w:rsid w:val="00FA2EBD"/>
    <w:rsid w:val="00FA4BC4"/>
    <w:rsid w:val="00FB0C78"/>
    <w:rsid w:val="00FB1576"/>
    <w:rsid w:val="00FB1954"/>
    <w:rsid w:val="00FB35CE"/>
    <w:rsid w:val="00FB3BA1"/>
    <w:rsid w:val="00FB3BFA"/>
    <w:rsid w:val="00FC01B8"/>
    <w:rsid w:val="00FC0510"/>
    <w:rsid w:val="00FC17AD"/>
    <w:rsid w:val="00FC1BAE"/>
    <w:rsid w:val="00FC225A"/>
    <w:rsid w:val="00FC4D04"/>
    <w:rsid w:val="00FC5394"/>
    <w:rsid w:val="00FC715C"/>
    <w:rsid w:val="00FC7A69"/>
    <w:rsid w:val="00FC7A70"/>
    <w:rsid w:val="00FD49FD"/>
    <w:rsid w:val="00FD4CE2"/>
    <w:rsid w:val="00FD7760"/>
    <w:rsid w:val="00FE0AE2"/>
    <w:rsid w:val="00FE1B10"/>
    <w:rsid w:val="00FE2555"/>
    <w:rsid w:val="00FE33AF"/>
    <w:rsid w:val="00FE3B1B"/>
    <w:rsid w:val="00FE445E"/>
    <w:rsid w:val="00FE4DF4"/>
    <w:rsid w:val="00FE5103"/>
    <w:rsid w:val="00FE69DB"/>
    <w:rsid w:val="00FF0804"/>
    <w:rsid w:val="00FF1F6D"/>
    <w:rsid w:val="00FF2F45"/>
    <w:rsid w:val="00FF443A"/>
    <w:rsid w:val="00FF4A74"/>
    <w:rsid w:val="00FF4C07"/>
    <w:rsid w:val="00FF6B85"/>
    <w:rsid w:val="00FF6CCB"/>
    <w:rsid w:val="00FF7F70"/>
    <w:rsid w:val="01544153"/>
    <w:rsid w:val="018F525A"/>
    <w:rsid w:val="01AC2FD8"/>
    <w:rsid w:val="03423232"/>
    <w:rsid w:val="036859EC"/>
    <w:rsid w:val="0380429F"/>
    <w:rsid w:val="03EC7C9F"/>
    <w:rsid w:val="044D7027"/>
    <w:rsid w:val="045F4DED"/>
    <w:rsid w:val="046C7E5F"/>
    <w:rsid w:val="04773E19"/>
    <w:rsid w:val="050B2331"/>
    <w:rsid w:val="05685F23"/>
    <w:rsid w:val="058014BF"/>
    <w:rsid w:val="058E0499"/>
    <w:rsid w:val="059877F6"/>
    <w:rsid w:val="05A14251"/>
    <w:rsid w:val="05F77C78"/>
    <w:rsid w:val="060E76BD"/>
    <w:rsid w:val="06BF2AA4"/>
    <w:rsid w:val="071D2940"/>
    <w:rsid w:val="07B91AFB"/>
    <w:rsid w:val="08290AD2"/>
    <w:rsid w:val="082F4AD6"/>
    <w:rsid w:val="086C5D2B"/>
    <w:rsid w:val="089E09DF"/>
    <w:rsid w:val="09304B50"/>
    <w:rsid w:val="09726530"/>
    <w:rsid w:val="09985D9F"/>
    <w:rsid w:val="09CD0A4B"/>
    <w:rsid w:val="0A053D41"/>
    <w:rsid w:val="0B2226D0"/>
    <w:rsid w:val="0B57057A"/>
    <w:rsid w:val="0B805123"/>
    <w:rsid w:val="0C524E24"/>
    <w:rsid w:val="0CAC2B9A"/>
    <w:rsid w:val="0CB63A18"/>
    <w:rsid w:val="0CD10076"/>
    <w:rsid w:val="0DA767ED"/>
    <w:rsid w:val="0DAC63D4"/>
    <w:rsid w:val="0E2A2D8D"/>
    <w:rsid w:val="0E3A4631"/>
    <w:rsid w:val="0E472C11"/>
    <w:rsid w:val="0E8A3A31"/>
    <w:rsid w:val="0ECC12D1"/>
    <w:rsid w:val="0ED77703"/>
    <w:rsid w:val="0F7F43FD"/>
    <w:rsid w:val="0FEA0D06"/>
    <w:rsid w:val="101B28E7"/>
    <w:rsid w:val="10441F3B"/>
    <w:rsid w:val="10FB4325"/>
    <w:rsid w:val="11263022"/>
    <w:rsid w:val="117246A3"/>
    <w:rsid w:val="11852DF5"/>
    <w:rsid w:val="11EE264C"/>
    <w:rsid w:val="12241200"/>
    <w:rsid w:val="122E739E"/>
    <w:rsid w:val="126374F8"/>
    <w:rsid w:val="128C0358"/>
    <w:rsid w:val="12F901BB"/>
    <w:rsid w:val="136E0CAF"/>
    <w:rsid w:val="14203A32"/>
    <w:rsid w:val="142D6B1A"/>
    <w:rsid w:val="14FD1598"/>
    <w:rsid w:val="155555DD"/>
    <w:rsid w:val="1587309D"/>
    <w:rsid w:val="16060BB7"/>
    <w:rsid w:val="16575CAA"/>
    <w:rsid w:val="16C20672"/>
    <w:rsid w:val="172E75C4"/>
    <w:rsid w:val="176825E4"/>
    <w:rsid w:val="17BE19D3"/>
    <w:rsid w:val="17C9293E"/>
    <w:rsid w:val="17D47CB2"/>
    <w:rsid w:val="1807337A"/>
    <w:rsid w:val="18C7045F"/>
    <w:rsid w:val="19074199"/>
    <w:rsid w:val="191F3B17"/>
    <w:rsid w:val="192E2666"/>
    <w:rsid w:val="196F7429"/>
    <w:rsid w:val="19DE0657"/>
    <w:rsid w:val="19E305EE"/>
    <w:rsid w:val="1AAD16D5"/>
    <w:rsid w:val="1ADB3611"/>
    <w:rsid w:val="1B122B0A"/>
    <w:rsid w:val="1B747704"/>
    <w:rsid w:val="1BBC5D0B"/>
    <w:rsid w:val="1BC174D0"/>
    <w:rsid w:val="1BC41AAF"/>
    <w:rsid w:val="1BEA5591"/>
    <w:rsid w:val="1C2A035E"/>
    <w:rsid w:val="1C5A616E"/>
    <w:rsid w:val="1C623275"/>
    <w:rsid w:val="1CD65C5D"/>
    <w:rsid w:val="1D091459"/>
    <w:rsid w:val="1D0A6CCE"/>
    <w:rsid w:val="1D352C93"/>
    <w:rsid w:val="1DAF5486"/>
    <w:rsid w:val="1DC1547F"/>
    <w:rsid w:val="1DC711FE"/>
    <w:rsid w:val="1E3D6448"/>
    <w:rsid w:val="1E474D4D"/>
    <w:rsid w:val="1E650DFA"/>
    <w:rsid w:val="1F2239E9"/>
    <w:rsid w:val="1F9279CD"/>
    <w:rsid w:val="1FED5050"/>
    <w:rsid w:val="1FEF0EF4"/>
    <w:rsid w:val="1FFB1A16"/>
    <w:rsid w:val="200B353F"/>
    <w:rsid w:val="205D7A69"/>
    <w:rsid w:val="205F1151"/>
    <w:rsid w:val="212A1105"/>
    <w:rsid w:val="21933507"/>
    <w:rsid w:val="2297354C"/>
    <w:rsid w:val="22A636EA"/>
    <w:rsid w:val="2513335E"/>
    <w:rsid w:val="25207829"/>
    <w:rsid w:val="253A7320"/>
    <w:rsid w:val="255B79CF"/>
    <w:rsid w:val="25695674"/>
    <w:rsid w:val="25835EFF"/>
    <w:rsid w:val="265806C1"/>
    <w:rsid w:val="26782B61"/>
    <w:rsid w:val="2681079B"/>
    <w:rsid w:val="26C172AB"/>
    <w:rsid w:val="26D371BC"/>
    <w:rsid w:val="26D517F6"/>
    <w:rsid w:val="273B0C60"/>
    <w:rsid w:val="274A7E01"/>
    <w:rsid w:val="276827B1"/>
    <w:rsid w:val="27A57282"/>
    <w:rsid w:val="28A50DBC"/>
    <w:rsid w:val="28C34187"/>
    <w:rsid w:val="28DF46B0"/>
    <w:rsid w:val="296C600A"/>
    <w:rsid w:val="299F70A3"/>
    <w:rsid w:val="29B608D0"/>
    <w:rsid w:val="2A134DDE"/>
    <w:rsid w:val="2A2A7DBB"/>
    <w:rsid w:val="2A460945"/>
    <w:rsid w:val="2A687A85"/>
    <w:rsid w:val="2A715E7D"/>
    <w:rsid w:val="2B4F0E68"/>
    <w:rsid w:val="2B6A3EF4"/>
    <w:rsid w:val="2BD670F1"/>
    <w:rsid w:val="2C7E7560"/>
    <w:rsid w:val="2D2A45C8"/>
    <w:rsid w:val="2D595FCE"/>
    <w:rsid w:val="2DAC0314"/>
    <w:rsid w:val="2DFF6B28"/>
    <w:rsid w:val="2E0A4CA7"/>
    <w:rsid w:val="2E151DA6"/>
    <w:rsid w:val="2E26328B"/>
    <w:rsid w:val="2E47051C"/>
    <w:rsid w:val="2E4E3659"/>
    <w:rsid w:val="2E627104"/>
    <w:rsid w:val="2EC5320A"/>
    <w:rsid w:val="2EDE2C2F"/>
    <w:rsid w:val="2EF54BF8"/>
    <w:rsid w:val="2F471B57"/>
    <w:rsid w:val="2FE371D0"/>
    <w:rsid w:val="30032221"/>
    <w:rsid w:val="30AD6369"/>
    <w:rsid w:val="30FB7ED9"/>
    <w:rsid w:val="314F750B"/>
    <w:rsid w:val="31532246"/>
    <w:rsid w:val="31D3131B"/>
    <w:rsid w:val="32606DD9"/>
    <w:rsid w:val="32CB7266"/>
    <w:rsid w:val="33497D51"/>
    <w:rsid w:val="336D7C69"/>
    <w:rsid w:val="33CD6DCE"/>
    <w:rsid w:val="345B06C7"/>
    <w:rsid w:val="347D3A58"/>
    <w:rsid w:val="355419F6"/>
    <w:rsid w:val="357E55F4"/>
    <w:rsid w:val="368F4762"/>
    <w:rsid w:val="36BF25BF"/>
    <w:rsid w:val="36CA64AC"/>
    <w:rsid w:val="37021484"/>
    <w:rsid w:val="37A34163"/>
    <w:rsid w:val="37DF0639"/>
    <w:rsid w:val="37E1553E"/>
    <w:rsid w:val="37FE6190"/>
    <w:rsid w:val="388D4D7E"/>
    <w:rsid w:val="38D84C17"/>
    <w:rsid w:val="39C27610"/>
    <w:rsid w:val="39D21C33"/>
    <w:rsid w:val="39EC74A8"/>
    <w:rsid w:val="3A6B7341"/>
    <w:rsid w:val="3AA04B14"/>
    <w:rsid w:val="3AE45843"/>
    <w:rsid w:val="3B031237"/>
    <w:rsid w:val="3B3C2A86"/>
    <w:rsid w:val="3B4503AF"/>
    <w:rsid w:val="3B556940"/>
    <w:rsid w:val="3BF90095"/>
    <w:rsid w:val="3C9A404C"/>
    <w:rsid w:val="3CBB33D4"/>
    <w:rsid w:val="3CD47902"/>
    <w:rsid w:val="3D157604"/>
    <w:rsid w:val="3D573571"/>
    <w:rsid w:val="3D6320AE"/>
    <w:rsid w:val="3D74475E"/>
    <w:rsid w:val="3DA7291A"/>
    <w:rsid w:val="3E207CAC"/>
    <w:rsid w:val="3E225299"/>
    <w:rsid w:val="3E4B1CB0"/>
    <w:rsid w:val="3E5C5B0E"/>
    <w:rsid w:val="3E781815"/>
    <w:rsid w:val="3EB25C4E"/>
    <w:rsid w:val="3F690FCD"/>
    <w:rsid w:val="3F9F5738"/>
    <w:rsid w:val="3FE060DB"/>
    <w:rsid w:val="3FFB0793"/>
    <w:rsid w:val="40BC1FB3"/>
    <w:rsid w:val="40D8227D"/>
    <w:rsid w:val="427F7566"/>
    <w:rsid w:val="429A4C67"/>
    <w:rsid w:val="433A45C7"/>
    <w:rsid w:val="434222DF"/>
    <w:rsid w:val="43E42B27"/>
    <w:rsid w:val="440D1EF2"/>
    <w:rsid w:val="44823C05"/>
    <w:rsid w:val="448B2AB9"/>
    <w:rsid w:val="44D53D34"/>
    <w:rsid w:val="44EB17AA"/>
    <w:rsid w:val="44F71EFD"/>
    <w:rsid w:val="458831C0"/>
    <w:rsid w:val="45E46003"/>
    <w:rsid w:val="462931FD"/>
    <w:rsid w:val="472D0A9D"/>
    <w:rsid w:val="4744791E"/>
    <w:rsid w:val="47580124"/>
    <w:rsid w:val="47947ED7"/>
    <w:rsid w:val="4826706B"/>
    <w:rsid w:val="4880045B"/>
    <w:rsid w:val="48C95562"/>
    <w:rsid w:val="48E4656F"/>
    <w:rsid w:val="495A7CA0"/>
    <w:rsid w:val="497F4054"/>
    <w:rsid w:val="49DC1A6E"/>
    <w:rsid w:val="4AE14E89"/>
    <w:rsid w:val="4B956E05"/>
    <w:rsid w:val="4B9E40F4"/>
    <w:rsid w:val="4C2F76D3"/>
    <w:rsid w:val="4CA02081"/>
    <w:rsid w:val="4CA413D0"/>
    <w:rsid w:val="4CE538BC"/>
    <w:rsid w:val="4D1C2EF1"/>
    <w:rsid w:val="4D802E05"/>
    <w:rsid w:val="4DCA424A"/>
    <w:rsid w:val="4DDD3C5A"/>
    <w:rsid w:val="4E353A96"/>
    <w:rsid w:val="4E84140A"/>
    <w:rsid w:val="4E8801E6"/>
    <w:rsid w:val="4EBE1CDD"/>
    <w:rsid w:val="4EBF1AFB"/>
    <w:rsid w:val="4EDF27F9"/>
    <w:rsid w:val="4F30258E"/>
    <w:rsid w:val="4FA34B34"/>
    <w:rsid w:val="4FB87C9C"/>
    <w:rsid w:val="50A3113A"/>
    <w:rsid w:val="50BF353A"/>
    <w:rsid w:val="50E7551B"/>
    <w:rsid w:val="50F6750C"/>
    <w:rsid w:val="51341948"/>
    <w:rsid w:val="51C26568"/>
    <w:rsid w:val="521336BD"/>
    <w:rsid w:val="529614BB"/>
    <w:rsid w:val="52BA7964"/>
    <w:rsid w:val="52DC0BDE"/>
    <w:rsid w:val="52E9110F"/>
    <w:rsid w:val="530F7478"/>
    <w:rsid w:val="53E64F42"/>
    <w:rsid w:val="540A0A49"/>
    <w:rsid w:val="54E14F96"/>
    <w:rsid w:val="551A0AAB"/>
    <w:rsid w:val="55BD4321"/>
    <w:rsid w:val="55DD0C9B"/>
    <w:rsid w:val="55F36DF9"/>
    <w:rsid w:val="55F41085"/>
    <w:rsid w:val="579E08FE"/>
    <w:rsid w:val="57BE09B8"/>
    <w:rsid w:val="581000BA"/>
    <w:rsid w:val="582E5A21"/>
    <w:rsid w:val="58781D96"/>
    <w:rsid w:val="58782EFD"/>
    <w:rsid w:val="587D515A"/>
    <w:rsid w:val="58BD0A48"/>
    <w:rsid w:val="598918A5"/>
    <w:rsid w:val="5992632E"/>
    <w:rsid w:val="5A0A04CC"/>
    <w:rsid w:val="5A570960"/>
    <w:rsid w:val="5AD442C5"/>
    <w:rsid w:val="5B8E7603"/>
    <w:rsid w:val="5BA6155E"/>
    <w:rsid w:val="5BA977CB"/>
    <w:rsid w:val="5C532D3A"/>
    <w:rsid w:val="5CA36E04"/>
    <w:rsid w:val="5CC2557F"/>
    <w:rsid w:val="5E530E11"/>
    <w:rsid w:val="5EED551D"/>
    <w:rsid w:val="5EFD79A7"/>
    <w:rsid w:val="5F3978EA"/>
    <w:rsid w:val="5F599C12"/>
    <w:rsid w:val="5FA907B0"/>
    <w:rsid w:val="604D6993"/>
    <w:rsid w:val="60EA5995"/>
    <w:rsid w:val="60F3366F"/>
    <w:rsid w:val="61771494"/>
    <w:rsid w:val="61871686"/>
    <w:rsid w:val="62631251"/>
    <w:rsid w:val="62C854DF"/>
    <w:rsid w:val="62E775FD"/>
    <w:rsid w:val="631F6D97"/>
    <w:rsid w:val="635B26C5"/>
    <w:rsid w:val="636E387A"/>
    <w:rsid w:val="651641C9"/>
    <w:rsid w:val="652E6D08"/>
    <w:rsid w:val="65371303"/>
    <w:rsid w:val="6551165C"/>
    <w:rsid w:val="656968B3"/>
    <w:rsid w:val="65973353"/>
    <w:rsid w:val="66CA0DC7"/>
    <w:rsid w:val="68592C4A"/>
    <w:rsid w:val="68DD6173"/>
    <w:rsid w:val="690A194F"/>
    <w:rsid w:val="694A5A01"/>
    <w:rsid w:val="6A210198"/>
    <w:rsid w:val="6A816AAB"/>
    <w:rsid w:val="6A8D1284"/>
    <w:rsid w:val="6AE9F601"/>
    <w:rsid w:val="6AF13D8B"/>
    <w:rsid w:val="6BAA11C7"/>
    <w:rsid w:val="6C04107C"/>
    <w:rsid w:val="6C7A1884"/>
    <w:rsid w:val="6C937EAD"/>
    <w:rsid w:val="6CA66324"/>
    <w:rsid w:val="6CBA0F3F"/>
    <w:rsid w:val="6CD234C9"/>
    <w:rsid w:val="6D21370B"/>
    <w:rsid w:val="6D263BC7"/>
    <w:rsid w:val="6D4E3543"/>
    <w:rsid w:val="6DCA53A8"/>
    <w:rsid w:val="6DE86A7F"/>
    <w:rsid w:val="6E052EEF"/>
    <w:rsid w:val="6E1F40EF"/>
    <w:rsid w:val="6E774A69"/>
    <w:rsid w:val="6E8A6B40"/>
    <w:rsid w:val="6EDE176C"/>
    <w:rsid w:val="6F2FD018"/>
    <w:rsid w:val="6F627B98"/>
    <w:rsid w:val="6FDC504A"/>
    <w:rsid w:val="6FDD03BA"/>
    <w:rsid w:val="701F03D6"/>
    <w:rsid w:val="70221319"/>
    <w:rsid w:val="70C71D41"/>
    <w:rsid w:val="7103375E"/>
    <w:rsid w:val="71B8597C"/>
    <w:rsid w:val="71BC7EA6"/>
    <w:rsid w:val="72175B12"/>
    <w:rsid w:val="7249173A"/>
    <w:rsid w:val="72582BC5"/>
    <w:rsid w:val="7351583B"/>
    <w:rsid w:val="7355410F"/>
    <w:rsid w:val="73836ECE"/>
    <w:rsid w:val="73AC2138"/>
    <w:rsid w:val="73BE15F4"/>
    <w:rsid w:val="73D6271F"/>
    <w:rsid w:val="74113530"/>
    <w:rsid w:val="74237469"/>
    <w:rsid w:val="744D33A2"/>
    <w:rsid w:val="74A73D90"/>
    <w:rsid w:val="74C82F77"/>
    <w:rsid w:val="752B3379"/>
    <w:rsid w:val="75C07B2A"/>
    <w:rsid w:val="767B54CE"/>
    <w:rsid w:val="76AA29C3"/>
    <w:rsid w:val="76E41A31"/>
    <w:rsid w:val="7755639E"/>
    <w:rsid w:val="781E0018"/>
    <w:rsid w:val="78853310"/>
    <w:rsid w:val="789D6CAA"/>
    <w:rsid w:val="78A551F0"/>
    <w:rsid w:val="78B2790D"/>
    <w:rsid w:val="793D203B"/>
    <w:rsid w:val="796750C2"/>
    <w:rsid w:val="79AC25AE"/>
    <w:rsid w:val="7A0F7E9C"/>
    <w:rsid w:val="7A3710B1"/>
    <w:rsid w:val="7A4D603C"/>
    <w:rsid w:val="7A5D4015"/>
    <w:rsid w:val="7A856A2A"/>
    <w:rsid w:val="7AB61937"/>
    <w:rsid w:val="7B276391"/>
    <w:rsid w:val="7B2A4444"/>
    <w:rsid w:val="7B5F4C7C"/>
    <w:rsid w:val="7B7610C6"/>
    <w:rsid w:val="7BCA733B"/>
    <w:rsid w:val="7BF857EB"/>
    <w:rsid w:val="7BFB1D42"/>
    <w:rsid w:val="7CDE1B55"/>
    <w:rsid w:val="7D515C94"/>
    <w:rsid w:val="7D957F29"/>
    <w:rsid w:val="7DB9054B"/>
    <w:rsid w:val="7E23750D"/>
    <w:rsid w:val="7E9257A7"/>
    <w:rsid w:val="7EB90507"/>
    <w:rsid w:val="7ECD724F"/>
    <w:rsid w:val="7EE57742"/>
    <w:rsid w:val="7FAE3EEC"/>
    <w:rsid w:val="7FBF5C9D"/>
    <w:rsid w:val="7FDE2701"/>
    <w:rsid w:val="7FE7D059"/>
    <w:rsid w:val="7FF6161F"/>
    <w:rsid w:val="7FFF5959"/>
    <w:rsid w:val="BEBD0464"/>
    <w:rsid w:val="DFFF1138"/>
    <w:rsid w:val="FAFDE292"/>
    <w:rsid w:val="FB4BA15D"/>
    <w:rsid w:val="FE2E4E27"/>
    <w:rsid w:val="FE9F4606"/>
    <w:rsid w:val="FEEB930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iPriority="99" w:name="footnote text" w:locked="1"/>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ocked="1"/>
    <w:lsdException w:qFormat="1" w:unhideWhenUsed="0" w:uiPriority="0" w:semiHidden="0" w:name="caption"/>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0" w:semiHidden="0" w:name="annotation reference"/>
    <w:lsdException w:uiPriority="99" w:name="line number" w:locked="1"/>
    <w:lsdException w:qFormat="1" w:unhideWhenUsed="0" w:uiPriority="0" w:semiHidden="0" w:name="page number"/>
    <w:lsdException w:uiPriority="99" w:name="endnote reference" w:locked="1"/>
    <w:lsdException w:uiPriority="99" w:name="endnote text" w:locked="1"/>
    <w:lsdException w:uiPriority="99" w:name="table of authorities" w:locked="1"/>
    <w:lsdException w:uiPriority="99" w:name="macro" w:locked="1"/>
    <w:lsdException w:qFormat="1" w:unhideWhenUsed="0" w:uiPriority="99" w:name="toa heading"/>
    <w:lsdException w:qFormat="1" w:unhideWhenUsed="0" w:uiPriority="99" w:semiHidden="0" w:name="List" w:locked="1"/>
    <w:lsdException w:uiPriority="99" w:name="List Bullet" w:locked="1"/>
    <w:lsdException w:qFormat="1" w:unhideWhenUsed="0" w:uiPriority="0" w:semiHidden="0"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sdException w:uiPriority="99" w:name="Closing" w:locked="1"/>
    <w:lsdException w:uiPriority="99" w:name="Signature" w:locked="1"/>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qFormat="1" w:unhideWhenUsed="0" w:uiPriority="0" w:semiHidden="0" w:name="Date"/>
    <w:lsdException w:qFormat="1" w:unhideWhenUsed="0" w:uiPriority="99" w:semiHidden="0" w:name="Body Text First Indent"/>
    <w:lsdException w:qFormat="1" w:unhideWhenUsed="0" w:uiPriority="0" w:semiHidden="0" w:name="Body Text First Indent 2"/>
    <w:lsdException w:uiPriority="99" w:name="Note Heading" w:locked="1"/>
    <w:lsdException w:qFormat="1" w:unhideWhenUsed="0" w:uiPriority="0" w:semiHidden="0" w:name="Body Text 2"/>
    <w:lsdException w:uiPriority="99" w:name="Body Text 3" w:locked="1"/>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qFormat="1" w:uiPriority="99" w:name="HTML Sample" w:locked="1"/>
    <w:lsdException w:qFormat="1" w:unhideWhenUsed="0" w:uiPriority="99" w:semiHidden="0" w:name="HTML Typewriter"/>
    <w:lsdException w:uiPriority="99" w:name="HTML Variable" w:locked="1"/>
    <w:lsdException w:qFormat="1" w:uiPriority="99" w:name="Normal Table"/>
    <w:lsdException w:qFormat="1" w:unhideWhenUsed="0" w:uiPriority="0"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0" w:semiHidden="0" w:name="Balloon Text"/>
    <w:lsdException w:qFormat="1" w:unhideWhenUsed="0" w:uiPriority="59" w:semiHidden="0" w:name="Table Grid"/>
    <w:lsdException w:uiPriority="99" w:name="Table Theme" w:locked="1"/>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3">
    <w:name w:val="heading 1"/>
    <w:basedOn w:val="1"/>
    <w:next w:val="1"/>
    <w:link w:val="51"/>
    <w:qFormat/>
    <w:uiPriority w:val="9"/>
    <w:pPr>
      <w:keepNext/>
      <w:keepLines/>
      <w:spacing w:beforeLines="100" w:afterLines="100" w:line="400" w:lineRule="exact"/>
      <w:jc w:val="center"/>
      <w:outlineLvl w:val="0"/>
    </w:pPr>
    <w:rPr>
      <w:b/>
      <w:bCs/>
      <w:kern w:val="44"/>
      <w:sz w:val="44"/>
      <w:szCs w:val="44"/>
    </w:rPr>
  </w:style>
  <w:style w:type="paragraph" w:styleId="4">
    <w:name w:val="heading 2"/>
    <w:basedOn w:val="1"/>
    <w:next w:val="1"/>
    <w:link w:val="52"/>
    <w:qFormat/>
    <w:uiPriority w:val="0"/>
    <w:pPr>
      <w:keepNext/>
      <w:jc w:val="center"/>
      <w:outlineLvl w:val="1"/>
    </w:pPr>
    <w:rPr>
      <w:rFonts w:ascii="Cambria" w:hAnsi="Cambria" w:cs="Cambria"/>
      <w:b/>
      <w:bCs/>
      <w:sz w:val="30"/>
      <w:szCs w:val="30"/>
    </w:rPr>
  </w:style>
  <w:style w:type="paragraph" w:styleId="5">
    <w:name w:val="heading 3"/>
    <w:basedOn w:val="1"/>
    <w:next w:val="1"/>
    <w:link w:val="53"/>
    <w:qFormat/>
    <w:uiPriority w:val="9"/>
    <w:pPr>
      <w:keepNext/>
      <w:tabs>
        <w:tab w:val="left" w:pos="720"/>
      </w:tabs>
      <w:spacing w:line="240" w:lineRule="atLeast"/>
      <w:ind w:left="720" w:hanging="720"/>
      <w:jc w:val="center"/>
      <w:outlineLvl w:val="2"/>
    </w:pPr>
    <w:rPr>
      <w:b/>
      <w:bCs/>
      <w:kern w:val="0"/>
      <w:sz w:val="32"/>
      <w:szCs w:val="32"/>
    </w:rPr>
  </w:style>
  <w:style w:type="paragraph" w:styleId="6">
    <w:name w:val="heading 4"/>
    <w:basedOn w:val="1"/>
    <w:next w:val="1"/>
    <w:link w:val="54"/>
    <w:qFormat/>
    <w:uiPriority w:val="9"/>
    <w:pPr>
      <w:keepNext/>
      <w:keepLines/>
      <w:spacing w:before="280" w:after="290" w:line="374" w:lineRule="auto"/>
      <w:outlineLvl w:val="3"/>
    </w:pPr>
    <w:rPr>
      <w:rFonts w:ascii="Cambria" w:hAnsi="Cambria" w:cs="Cambria"/>
      <w:b/>
      <w:bCs/>
      <w:kern w:val="0"/>
      <w:sz w:val="28"/>
      <w:szCs w:val="28"/>
    </w:rPr>
  </w:style>
  <w:style w:type="paragraph" w:styleId="7">
    <w:name w:val="heading 5"/>
    <w:basedOn w:val="1"/>
    <w:next w:val="1"/>
    <w:link w:val="55"/>
    <w:qFormat/>
    <w:uiPriority w:val="9"/>
    <w:pPr>
      <w:keepNext/>
      <w:keepLines/>
      <w:spacing w:line="372" w:lineRule="auto"/>
      <w:ind w:left="1008" w:hanging="1008"/>
      <w:outlineLvl w:val="4"/>
    </w:pPr>
    <w:rPr>
      <w:rFonts w:ascii="Calibri" w:hAnsi="Calibri" w:cs="Calibri"/>
      <w:b/>
      <w:bCs/>
      <w:sz w:val="28"/>
      <w:szCs w:val="28"/>
    </w:rPr>
  </w:style>
  <w:style w:type="paragraph" w:styleId="8">
    <w:name w:val="heading 6"/>
    <w:basedOn w:val="1"/>
    <w:next w:val="1"/>
    <w:link w:val="56"/>
    <w:qFormat/>
    <w:uiPriority w:val="9"/>
    <w:pPr>
      <w:keepNext/>
      <w:keepLines/>
      <w:spacing w:line="317" w:lineRule="auto"/>
      <w:ind w:left="1151" w:hanging="1151"/>
      <w:outlineLvl w:val="5"/>
    </w:pPr>
    <w:rPr>
      <w:rFonts w:ascii="Arial" w:hAnsi="Arial" w:eastAsia="黑体" w:cs="Arial"/>
      <w:b/>
      <w:bCs/>
      <w:sz w:val="24"/>
      <w:szCs w:val="24"/>
    </w:rPr>
  </w:style>
  <w:style w:type="paragraph" w:styleId="9">
    <w:name w:val="heading 7"/>
    <w:basedOn w:val="1"/>
    <w:next w:val="1"/>
    <w:link w:val="57"/>
    <w:qFormat/>
    <w:uiPriority w:val="9"/>
    <w:pPr>
      <w:keepNext/>
      <w:keepLines/>
      <w:spacing w:line="317" w:lineRule="auto"/>
      <w:ind w:left="1296" w:hanging="1296"/>
      <w:outlineLvl w:val="6"/>
    </w:pPr>
    <w:rPr>
      <w:rFonts w:ascii="Calibri" w:hAnsi="Calibri" w:cs="Calibri"/>
      <w:b/>
      <w:bCs/>
      <w:sz w:val="24"/>
      <w:szCs w:val="24"/>
    </w:rPr>
  </w:style>
  <w:style w:type="paragraph" w:styleId="10">
    <w:name w:val="heading 8"/>
    <w:basedOn w:val="1"/>
    <w:next w:val="1"/>
    <w:link w:val="58"/>
    <w:qFormat/>
    <w:uiPriority w:val="9"/>
    <w:pPr>
      <w:keepNext/>
      <w:keepLines/>
      <w:spacing w:line="317" w:lineRule="auto"/>
      <w:ind w:left="1440" w:hanging="1440"/>
      <w:outlineLvl w:val="7"/>
    </w:pPr>
    <w:rPr>
      <w:rFonts w:ascii="Arial" w:hAnsi="Arial" w:eastAsia="黑体" w:cs="Arial"/>
      <w:sz w:val="24"/>
      <w:szCs w:val="24"/>
    </w:rPr>
  </w:style>
  <w:style w:type="paragraph" w:styleId="11">
    <w:name w:val="heading 9"/>
    <w:basedOn w:val="1"/>
    <w:next w:val="1"/>
    <w:link w:val="59"/>
    <w:qFormat/>
    <w:uiPriority w:val="9"/>
    <w:pPr>
      <w:keepNext/>
      <w:keepLines/>
      <w:spacing w:line="317" w:lineRule="auto"/>
      <w:ind w:left="1583" w:hanging="1583"/>
      <w:outlineLvl w:val="8"/>
    </w:pPr>
    <w:rPr>
      <w:rFonts w:ascii="Arial" w:hAnsi="Arial" w:eastAsia="黑体" w:cs="Arial"/>
    </w:rPr>
  </w:style>
  <w:style w:type="character" w:default="1" w:styleId="40">
    <w:name w:val="Default Paragraph Font"/>
    <w:semiHidden/>
    <w:unhideWhenUsed/>
    <w:qFormat/>
    <w:uiPriority w:val="1"/>
  </w:style>
  <w:style w:type="table" w:default="1" w:styleId="38">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link w:val="81"/>
    <w:qFormat/>
    <w:uiPriority w:val="0"/>
    <w:pPr>
      <w:widowControl/>
      <w:adjustRightInd w:val="0"/>
      <w:snapToGrid w:val="0"/>
      <w:spacing w:line="480" w:lineRule="exact"/>
      <w:ind w:firstLine="567"/>
    </w:pPr>
    <w:rPr>
      <w:rFonts w:ascii="宋体" w:cs="宋体"/>
      <w:color w:val="000000"/>
      <w:kern w:val="28"/>
      <w:sz w:val="28"/>
      <w:szCs w:val="28"/>
    </w:rPr>
  </w:style>
  <w:style w:type="paragraph" w:styleId="12">
    <w:name w:val="List Number"/>
    <w:basedOn w:val="1"/>
    <w:qFormat/>
    <w:locked/>
    <w:uiPriority w:val="0"/>
    <w:pPr>
      <w:widowControl/>
      <w:tabs>
        <w:tab w:val="left" w:pos="390"/>
        <w:tab w:val="left" w:pos="454"/>
      </w:tabs>
      <w:spacing w:afterLines="50"/>
      <w:ind w:left="454" w:hanging="284"/>
      <w:jc w:val="left"/>
    </w:pPr>
    <w:rPr>
      <w:kern w:val="0"/>
      <w:sz w:val="24"/>
      <w:szCs w:val="20"/>
    </w:rPr>
  </w:style>
  <w:style w:type="paragraph" w:styleId="13">
    <w:name w:val="caption"/>
    <w:basedOn w:val="1"/>
    <w:next w:val="1"/>
    <w:qFormat/>
    <w:uiPriority w:val="0"/>
    <w:rPr>
      <w:rFonts w:ascii="Arial" w:hAnsi="Arial" w:eastAsia="黑体"/>
      <w:sz w:val="20"/>
    </w:rPr>
  </w:style>
  <w:style w:type="paragraph" w:styleId="14">
    <w:name w:val="Document Map"/>
    <w:basedOn w:val="1"/>
    <w:link w:val="60"/>
    <w:qFormat/>
    <w:uiPriority w:val="0"/>
    <w:pPr>
      <w:shd w:val="clear" w:color="auto" w:fill="000080"/>
    </w:pPr>
    <w:rPr>
      <w:kern w:val="0"/>
      <w:sz w:val="2"/>
      <w:szCs w:val="2"/>
    </w:rPr>
  </w:style>
  <w:style w:type="paragraph" w:styleId="15">
    <w:name w:val="toa heading"/>
    <w:basedOn w:val="1"/>
    <w:next w:val="1"/>
    <w:semiHidden/>
    <w:qFormat/>
    <w:uiPriority w:val="99"/>
    <w:pPr>
      <w:spacing w:before="120"/>
    </w:pPr>
    <w:rPr>
      <w:rFonts w:ascii="Arial" w:hAnsi="Arial" w:cs="Arial"/>
      <w:sz w:val="24"/>
      <w:szCs w:val="24"/>
    </w:rPr>
  </w:style>
  <w:style w:type="paragraph" w:styleId="16">
    <w:name w:val="annotation text"/>
    <w:basedOn w:val="1"/>
    <w:link w:val="61"/>
    <w:qFormat/>
    <w:uiPriority w:val="99"/>
    <w:pPr>
      <w:jc w:val="left"/>
    </w:pPr>
  </w:style>
  <w:style w:type="paragraph" w:styleId="17">
    <w:name w:val="Body Text"/>
    <w:basedOn w:val="1"/>
    <w:link w:val="62"/>
    <w:qFormat/>
    <w:uiPriority w:val="0"/>
    <w:rPr>
      <w:b/>
      <w:kern w:val="0"/>
      <w:sz w:val="20"/>
      <w:szCs w:val="20"/>
    </w:rPr>
  </w:style>
  <w:style w:type="paragraph" w:styleId="18">
    <w:name w:val="Body Text Indent"/>
    <w:basedOn w:val="1"/>
    <w:next w:val="2"/>
    <w:link w:val="63"/>
    <w:qFormat/>
    <w:uiPriority w:val="0"/>
    <w:pPr>
      <w:spacing w:line="380" w:lineRule="exact"/>
      <w:ind w:firstLine="480"/>
    </w:pPr>
    <w:rPr>
      <w:kern w:val="0"/>
      <w:sz w:val="20"/>
      <w:szCs w:val="20"/>
    </w:rPr>
  </w:style>
  <w:style w:type="paragraph" w:styleId="19">
    <w:name w:val="Block Text"/>
    <w:basedOn w:val="1"/>
    <w:qFormat/>
    <w:uiPriority w:val="0"/>
    <w:pPr>
      <w:adjustRightInd w:val="0"/>
      <w:snapToGrid w:val="0"/>
      <w:spacing w:line="360" w:lineRule="auto"/>
      <w:ind w:left="567" w:leftChars="270" w:right="-315" w:rightChars="-150" w:firstLine="480" w:firstLineChars="200"/>
    </w:pPr>
    <w:rPr>
      <w:rFonts w:ascii="宋体" w:cs="宋体"/>
      <w:sz w:val="24"/>
      <w:szCs w:val="24"/>
    </w:rPr>
  </w:style>
  <w:style w:type="paragraph" w:styleId="20">
    <w:name w:val="toc 3"/>
    <w:basedOn w:val="1"/>
    <w:next w:val="1"/>
    <w:qFormat/>
    <w:uiPriority w:val="39"/>
    <w:pPr>
      <w:ind w:left="840" w:leftChars="400"/>
    </w:pPr>
  </w:style>
  <w:style w:type="paragraph" w:styleId="21">
    <w:name w:val="Plain Text"/>
    <w:basedOn w:val="1"/>
    <w:link w:val="64"/>
    <w:qFormat/>
    <w:uiPriority w:val="0"/>
    <w:rPr>
      <w:rFonts w:ascii="宋体" w:hAnsi="Courier New" w:cs="宋体"/>
      <w:kern w:val="0"/>
    </w:rPr>
  </w:style>
  <w:style w:type="paragraph" w:styleId="22">
    <w:name w:val="Date"/>
    <w:basedOn w:val="1"/>
    <w:next w:val="1"/>
    <w:link w:val="65"/>
    <w:qFormat/>
    <w:uiPriority w:val="0"/>
    <w:rPr>
      <w:sz w:val="28"/>
      <w:szCs w:val="28"/>
    </w:rPr>
  </w:style>
  <w:style w:type="paragraph" w:styleId="23">
    <w:name w:val="Body Text Indent 2"/>
    <w:basedOn w:val="1"/>
    <w:link w:val="66"/>
    <w:qFormat/>
    <w:uiPriority w:val="0"/>
    <w:pPr>
      <w:tabs>
        <w:tab w:val="left" w:pos="240"/>
        <w:tab w:val="left" w:pos="480"/>
      </w:tabs>
      <w:ind w:left="630" w:leftChars="300"/>
    </w:pPr>
    <w:rPr>
      <w:kern w:val="0"/>
      <w:sz w:val="20"/>
      <w:szCs w:val="20"/>
    </w:rPr>
  </w:style>
  <w:style w:type="paragraph" w:styleId="24">
    <w:name w:val="Balloon Text"/>
    <w:basedOn w:val="1"/>
    <w:link w:val="67"/>
    <w:qFormat/>
    <w:uiPriority w:val="0"/>
    <w:rPr>
      <w:sz w:val="18"/>
      <w:szCs w:val="18"/>
    </w:rPr>
  </w:style>
  <w:style w:type="paragraph" w:styleId="25">
    <w:name w:val="footer"/>
    <w:basedOn w:val="1"/>
    <w:link w:val="68"/>
    <w:qFormat/>
    <w:uiPriority w:val="99"/>
    <w:pPr>
      <w:tabs>
        <w:tab w:val="center" w:pos="4153"/>
        <w:tab w:val="right" w:pos="8306"/>
      </w:tabs>
      <w:snapToGrid w:val="0"/>
      <w:jc w:val="left"/>
    </w:pPr>
    <w:rPr>
      <w:kern w:val="0"/>
      <w:sz w:val="18"/>
      <w:szCs w:val="18"/>
    </w:rPr>
  </w:style>
  <w:style w:type="paragraph" w:styleId="26">
    <w:name w:val="header"/>
    <w:basedOn w:val="1"/>
    <w:link w:val="69"/>
    <w:qFormat/>
    <w:uiPriority w:val="99"/>
    <w:pPr>
      <w:pBdr>
        <w:bottom w:val="single" w:color="auto" w:sz="6" w:space="1"/>
      </w:pBdr>
      <w:tabs>
        <w:tab w:val="center" w:pos="4153"/>
        <w:tab w:val="right" w:pos="8306"/>
      </w:tabs>
      <w:snapToGrid w:val="0"/>
      <w:jc w:val="center"/>
    </w:pPr>
    <w:rPr>
      <w:kern w:val="0"/>
      <w:sz w:val="18"/>
      <w:szCs w:val="18"/>
    </w:rPr>
  </w:style>
  <w:style w:type="paragraph" w:styleId="27">
    <w:name w:val="toc 1"/>
    <w:basedOn w:val="1"/>
    <w:next w:val="1"/>
    <w:qFormat/>
    <w:uiPriority w:val="39"/>
    <w:rPr>
      <w:sz w:val="24"/>
      <w:szCs w:val="24"/>
    </w:rPr>
  </w:style>
  <w:style w:type="paragraph" w:styleId="28">
    <w:name w:val="List"/>
    <w:basedOn w:val="1"/>
    <w:qFormat/>
    <w:locked/>
    <w:uiPriority w:val="99"/>
    <w:pPr>
      <w:ind w:left="200" w:hanging="200" w:hangingChars="200"/>
    </w:pPr>
    <w:rPr>
      <w:rFonts w:ascii="Times New Roman" w:hAnsi="Times New Roman"/>
      <w:szCs w:val="24"/>
    </w:rPr>
  </w:style>
  <w:style w:type="paragraph" w:styleId="29">
    <w:name w:val="toc 6"/>
    <w:basedOn w:val="1"/>
    <w:next w:val="1"/>
    <w:qFormat/>
    <w:uiPriority w:val="0"/>
    <w:pPr>
      <w:ind w:left="1700"/>
    </w:pPr>
    <w:rPr>
      <w:sz w:val="18"/>
    </w:rPr>
  </w:style>
  <w:style w:type="paragraph" w:styleId="30">
    <w:name w:val="Body Text Indent 3"/>
    <w:basedOn w:val="1"/>
    <w:link w:val="70"/>
    <w:qFormat/>
    <w:uiPriority w:val="0"/>
    <w:pPr>
      <w:spacing w:after="120"/>
      <w:ind w:left="420" w:leftChars="200"/>
    </w:pPr>
    <w:rPr>
      <w:sz w:val="16"/>
      <w:szCs w:val="16"/>
    </w:rPr>
  </w:style>
  <w:style w:type="paragraph" w:styleId="31">
    <w:name w:val="toc 2"/>
    <w:basedOn w:val="1"/>
    <w:next w:val="1"/>
    <w:qFormat/>
    <w:uiPriority w:val="39"/>
    <w:pPr>
      <w:ind w:left="420" w:leftChars="200"/>
    </w:pPr>
  </w:style>
  <w:style w:type="paragraph" w:styleId="32">
    <w:name w:val="Body Text 2"/>
    <w:basedOn w:val="1"/>
    <w:link w:val="71"/>
    <w:qFormat/>
    <w:uiPriority w:val="0"/>
    <w:pPr>
      <w:spacing w:after="120" w:line="480" w:lineRule="auto"/>
    </w:pPr>
    <w:rPr>
      <w:kern w:val="0"/>
      <w:sz w:val="20"/>
      <w:szCs w:val="20"/>
    </w:rPr>
  </w:style>
  <w:style w:type="paragraph" w:styleId="33">
    <w:name w:val="Normal (Web)"/>
    <w:basedOn w:val="1"/>
    <w:qFormat/>
    <w:uiPriority w:val="99"/>
    <w:pPr>
      <w:widowControl/>
      <w:spacing w:before="100" w:beforeAutospacing="1" w:after="100" w:afterAutospacing="1"/>
      <w:jc w:val="left"/>
    </w:pPr>
    <w:rPr>
      <w:rFonts w:ascii="Arial Unicode MS" w:hAnsi="Arial Unicode MS" w:cs="Arial Unicode MS"/>
      <w:kern w:val="0"/>
      <w:sz w:val="24"/>
      <w:szCs w:val="24"/>
    </w:rPr>
  </w:style>
  <w:style w:type="paragraph" w:styleId="34">
    <w:name w:val="Title"/>
    <w:next w:val="1"/>
    <w:qFormat/>
    <w:uiPriority w:val="10"/>
    <w:pPr>
      <w:widowControl w:val="0"/>
      <w:spacing w:before="240" w:after="60"/>
      <w:jc w:val="center"/>
      <w:outlineLvl w:val="0"/>
    </w:pPr>
    <w:rPr>
      <w:rFonts w:ascii="Cambria" w:hAnsi="Cambria" w:eastAsia="宋体" w:cs="Times New Roman"/>
      <w:b/>
      <w:bCs/>
      <w:kern w:val="2"/>
      <w:sz w:val="32"/>
      <w:szCs w:val="32"/>
      <w:lang w:val="en-US" w:eastAsia="zh-CN" w:bidi="ar-SA"/>
    </w:rPr>
  </w:style>
  <w:style w:type="paragraph" w:styleId="35">
    <w:name w:val="annotation subject"/>
    <w:basedOn w:val="16"/>
    <w:next w:val="16"/>
    <w:link w:val="72"/>
    <w:qFormat/>
    <w:uiPriority w:val="0"/>
    <w:rPr>
      <w:b/>
      <w:bCs/>
    </w:rPr>
  </w:style>
  <w:style w:type="paragraph" w:styleId="36">
    <w:name w:val="Body Text First Indent"/>
    <w:basedOn w:val="17"/>
    <w:link w:val="73"/>
    <w:qFormat/>
    <w:uiPriority w:val="99"/>
    <w:pPr>
      <w:spacing w:after="120"/>
      <w:ind w:firstLine="420" w:firstLineChars="100"/>
    </w:pPr>
    <w:rPr>
      <w:kern w:val="2"/>
      <w:sz w:val="21"/>
      <w:szCs w:val="21"/>
    </w:rPr>
  </w:style>
  <w:style w:type="paragraph" w:styleId="37">
    <w:name w:val="Body Text First Indent 2"/>
    <w:basedOn w:val="18"/>
    <w:next w:val="1"/>
    <w:link w:val="74"/>
    <w:qFormat/>
    <w:uiPriority w:val="0"/>
    <w:pPr>
      <w:widowControl/>
      <w:tabs>
        <w:tab w:val="left" w:pos="0"/>
        <w:tab w:val="left" w:pos="1260"/>
        <w:tab w:val="left" w:pos="1365"/>
      </w:tabs>
      <w:ind w:left="200" w:firstLine="200" w:firstLineChars="200"/>
      <w:jc w:val="left"/>
    </w:pPr>
  </w:style>
  <w:style w:type="table" w:styleId="39">
    <w:name w:val="Table Grid"/>
    <w:basedOn w:val="38"/>
    <w:qFormat/>
    <w:uiPriority w:val="59"/>
    <w:rPr>
      <w:rFonts w:ascii="Calibri" w:hAnsi="Calibri" w:cs="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41">
    <w:name w:val="Strong"/>
    <w:basedOn w:val="40"/>
    <w:qFormat/>
    <w:uiPriority w:val="0"/>
    <w:rPr>
      <w:b/>
      <w:bCs/>
    </w:rPr>
  </w:style>
  <w:style w:type="character" w:styleId="42">
    <w:name w:val="page number"/>
    <w:basedOn w:val="40"/>
    <w:qFormat/>
    <w:uiPriority w:val="0"/>
  </w:style>
  <w:style w:type="character" w:styleId="43">
    <w:name w:val="FollowedHyperlink"/>
    <w:basedOn w:val="40"/>
    <w:qFormat/>
    <w:uiPriority w:val="99"/>
    <w:rPr>
      <w:color w:val="800080"/>
      <w:u w:val="single"/>
    </w:rPr>
  </w:style>
  <w:style w:type="character" w:styleId="44">
    <w:name w:val="Emphasis"/>
    <w:qFormat/>
    <w:uiPriority w:val="20"/>
    <w:rPr>
      <w:color w:val="CC0033"/>
    </w:rPr>
  </w:style>
  <w:style w:type="character" w:styleId="45">
    <w:name w:val="HTML Typewriter"/>
    <w:basedOn w:val="40"/>
    <w:qFormat/>
    <w:uiPriority w:val="99"/>
    <w:rPr>
      <w:rFonts w:ascii="Courier New" w:hAnsi="Courier New" w:cs="Courier New"/>
      <w:sz w:val="20"/>
      <w:szCs w:val="20"/>
    </w:rPr>
  </w:style>
  <w:style w:type="character" w:styleId="46">
    <w:name w:val="Hyperlink"/>
    <w:basedOn w:val="40"/>
    <w:qFormat/>
    <w:uiPriority w:val="99"/>
    <w:rPr>
      <w:color w:val="0000FF"/>
      <w:u w:val="single"/>
    </w:rPr>
  </w:style>
  <w:style w:type="character" w:styleId="47">
    <w:name w:val="annotation reference"/>
    <w:basedOn w:val="40"/>
    <w:qFormat/>
    <w:uiPriority w:val="0"/>
    <w:rPr>
      <w:sz w:val="21"/>
      <w:szCs w:val="21"/>
    </w:rPr>
  </w:style>
  <w:style w:type="character" w:styleId="48">
    <w:name w:val="HTML Sample"/>
    <w:basedOn w:val="40"/>
    <w:semiHidden/>
    <w:unhideWhenUsed/>
    <w:qFormat/>
    <w:locked/>
    <w:uiPriority w:val="99"/>
    <w:rPr>
      <w:rFonts w:ascii="Courier New" w:hAnsi="Courier New"/>
    </w:rPr>
  </w:style>
  <w:style w:type="paragraph" w:customStyle="1" w:styleId="49">
    <w:name w:val="自动更正"/>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50">
    <w:name w:val="List Paragraph"/>
    <w:basedOn w:val="1"/>
    <w:qFormat/>
    <w:uiPriority w:val="34"/>
    <w:pPr>
      <w:ind w:firstLine="420" w:firstLineChars="200"/>
    </w:pPr>
  </w:style>
  <w:style w:type="character" w:customStyle="1" w:styleId="51">
    <w:name w:val="标题 1 Char"/>
    <w:basedOn w:val="40"/>
    <w:link w:val="3"/>
    <w:qFormat/>
    <w:locked/>
    <w:uiPriority w:val="0"/>
    <w:rPr>
      <w:b/>
      <w:bCs/>
      <w:kern w:val="44"/>
      <w:sz w:val="44"/>
      <w:szCs w:val="44"/>
    </w:rPr>
  </w:style>
  <w:style w:type="character" w:customStyle="1" w:styleId="52">
    <w:name w:val="标题 2 Char"/>
    <w:basedOn w:val="40"/>
    <w:link w:val="4"/>
    <w:qFormat/>
    <w:locked/>
    <w:uiPriority w:val="0"/>
    <w:rPr>
      <w:rFonts w:ascii="Cambria" w:hAnsi="Cambria" w:cs="Cambria"/>
      <w:b/>
      <w:bCs/>
      <w:kern w:val="2"/>
      <w:sz w:val="32"/>
      <w:szCs w:val="32"/>
    </w:rPr>
  </w:style>
  <w:style w:type="character" w:customStyle="1" w:styleId="53">
    <w:name w:val="标题 3 Char"/>
    <w:basedOn w:val="40"/>
    <w:link w:val="5"/>
    <w:qFormat/>
    <w:locked/>
    <w:uiPriority w:val="0"/>
    <w:rPr>
      <w:b/>
      <w:bCs/>
      <w:sz w:val="32"/>
      <w:szCs w:val="32"/>
    </w:rPr>
  </w:style>
  <w:style w:type="character" w:customStyle="1" w:styleId="54">
    <w:name w:val="标题 4 Char"/>
    <w:basedOn w:val="40"/>
    <w:link w:val="6"/>
    <w:qFormat/>
    <w:locked/>
    <w:uiPriority w:val="0"/>
    <w:rPr>
      <w:rFonts w:ascii="Cambria" w:hAnsi="Cambria" w:eastAsia="宋体" w:cs="Cambria"/>
      <w:b/>
      <w:bCs/>
      <w:sz w:val="28"/>
      <w:szCs w:val="28"/>
    </w:rPr>
  </w:style>
  <w:style w:type="character" w:customStyle="1" w:styleId="55">
    <w:name w:val="标题 5 Char"/>
    <w:basedOn w:val="40"/>
    <w:link w:val="7"/>
    <w:semiHidden/>
    <w:qFormat/>
    <w:locked/>
    <w:uiPriority w:val="9"/>
    <w:rPr>
      <w:rFonts w:ascii="Calibri" w:hAnsi="Calibri" w:eastAsia="宋体" w:cs="Calibri"/>
      <w:b/>
      <w:bCs/>
      <w:kern w:val="2"/>
      <w:sz w:val="22"/>
      <w:szCs w:val="22"/>
    </w:rPr>
  </w:style>
  <w:style w:type="character" w:customStyle="1" w:styleId="56">
    <w:name w:val="标题 6 Char"/>
    <w:basedOn w:val="40"/>
    <w:link w:val="8"/>
    <w:semiHidden/>
    <w:qFormat/>
    <w:locked/>
    <w:uiPriority w:val="9"/>
    <w:rPr>
      <w:rFonts w:ascii="Arial" w:hAnsi="Arial" w:eastAsia="黑体" w:cs="Arial"/>
      <w:b/>
      <w:bCs/>
      <w:kern w:val="2"/>
      <w:sz w:val="22"/>
      <w:szCs w:val="22"/>
    </w:rPr>
  </w:style>
  <w:style w:type="character" w:customStyle="1" w:styleId="57">
    <w:name w:val="标题 7 Char"/>
    <w:basedOn w:val="40"/>
    <w:link w:val="9"/>
    <w:semiHidden/>
    <w:qFormat/>
    <w:locked/>
    <w:uiPriority w:val="9"/>
    <w:rPr>
      <w:rFonts w:ascii="Calibri" w:hAnsi="Calibri" w:eastAsia="宋体" w:cs="Calibri"/>
      <w:b/>
      <w:bCs/>
      <w:kern w:val="2"/>
      <w:sz w:val="22"/>
      <w:szCs w:val="22"/>
    </w:rPr>
  </w:style>
  <w:style w:type="character" w:customStyle="1" w:styleId="58">
    <w:name w:val="标题 8 Char"/>
    <w:basedOn w:val="40"/>
    <w:link w:val="10"/>
    <w:semiHidden/>
    <w:qFormat/>
    <w:locked/>
    <w:uiPriority w:val="9"/>
    <w:rPr>
      <w:rFonts w:ascii="Arial" w:hAnsi="Arial" w:eastAsia="黑体" w:cs="Arial"/>
      <w:kern w:val="2"/>
      <w:sz w:val="22"/>
      <w:szCs w:val="22"/>
    </w:rPr>
  </w:style>
  <w:style w:type="character" w:customStyle="1" w:styleId="59">
    <w:name w:val="标题 9 Char"/>
    <w:basedOn w:val="40"/>
    <w:link w:val="11"/>
    <w:semiHidden/>
    <w:qFormat/>
    <w:locked/>
    <w:uiPriority w:val="9"/>
    <w:rPr>
      <w:rFonts w:ascii="Arial" w:hAnsi="Arial" w:eastAsia="黑体" w:cs="Arial"/>
      <w:kern w:val="2"/>
      <w:sz w:val="22"/>
      <w:szCs w:val="22"/>
    </w:rPr>
  </w:style>
  <w:style w:type="character" w:customStyle="1" w:styleId="60">
    <w:name w:val="文档结构图 Char"/>
    <w:basedOn w:val="40"/>
    <w:link w:val="14"/>
    <w:qFormat/>
    <w:locked/>
    <w:uiPriority w:val="0"/>
    <w:rPr>
      <w:sz w:val="2"/>
      <w:szCs w:val="2"/>
    </w:rPr>
  </w:style>
  <w:style w:type="character" w:customStyle="1" w:styleId="61">
    <w:name w:val="批注文字 Char"/>
    <w:basedOn w:val="40"/>
    <w:link w:val="16"/>
    <w:qFormat/>
    <w:locked/>
    <w:uiPriority w:val="99"/>
    <w:rPr>
      <w:rFonts w:ascii="Times New Roman" w:hAnsi="Times New Roman" w:eastAsia="宋体" w:cs="Times New Roman"/>
      <w:kern w:val="2"/>
      <w:sz w:val="21"/>
      <w:szCs w:val="21"/>
    </w:rPr>
  </w:style>
  <w:style w:type="character" w:customStyle="1" w:styleId="62">
    <w:name w:val="正文文本 Char"/>
    <w:basedOn w:val="40"/>
    <w:link w:val="17"/>
    <w:qFormat/>
    <w:locked/>
    <w:uiPriority w:val="0"/>
    <w:rPr>
      <w:b/>
    </w:rPr>
  </w:style>
  <w:style w:type="character" w:customStyle="1" w:styleId="63">
    <w:name w:val="正文文本缩进 Char"/>
    <w:basedOn w:val="40"/>
    <w:link w:val="18"/>
    <w:qFormat/>
    <w:locked/>
    <w:uiPriority w:val="0"/>
    <w:rPr>
      <w:sz w:val="20"/>
      <w:szCs w:val="20"/>
    </w:rPr>
  </w:style>
  <w:style w:type="character" w:customStyle="1" w:styleId="64">
    <w:name w:val="纯文本 Char"/>
    <w:basedOn w:val="40"/>
    <w:link w:val="21"/>
    <w:qFormat/>
    <w:locked/>
    <w:uiPriority w:val="0"/>
    <w:rPr>
      <w:rFonts w:ascii="宋体" w:hAnsi="Courier New" w:cs="宋体"/>
      <w:sz w:val="21"/>
      <w:szCs w:val="21"/>
    </w:rPr>
  </w:style>
  <w:style w:type="character" w:customStyle="1" w:styleId="65">
    <w:name w:val="日期 Char"/>
    <w:basedOn w:val="40"/>
    <w:link w:val="22"/>
    <w:qFormat/>
    <w:locked/>
    <w:uiPriority w:val="0"/>
    <w:rPr>
      <w:kern w:val="2"/>
      <w:sz w:val="28"/>
      <w:szCs w:val="28"/>
    </w:rPr>
  </w:style>
  <w:style w:type="character" w:customStyle="1" w:styleId="66">
    <w:name w:val="正文文本缩进 2 Char"/>
    <w:basedOn w:val="40"/>
    <w:link w:val="23"/>
    <w:qFormat/>
    <w:locked/>
    <w:uiPriority w:val="0"/>
    <w:rPr>
      <w:sz w:val="20"/>
      <w:szCs w:val="20"/>
    </w:rPr>
  </w:style>
  <w:style w:type="character" w:customStyle="1" w:styleId="67">
    <w:name w:val="批注框文本 Char"/>
    <w:basedOn w:val="40"/>
    <w:link w:val="24"/>
    <w:qFormat/>
    <w:locked/>
    <w:uiPriority w:val="0"/>
    <w:rPr>
      <w:rFonts w:ascii="Times New Roman" w:hAnsi="Times New Roman" w:eastAsia="宋体" w:cs="Times New Roman"/>
      <w:kern w:val="2"/>
      <w:sz w:val="18"/>
      <w:szCs w:val="18"/>
    </w:rPr>
  </w:style>
  <w:style w:type="character" w:customStyle="1" w:styleId="68">
    <w:name w:val="页脚 Char"/>
    <w:basedOn w:val="40"/>
    <w:link w:val="25"/>
    <w:qFormat/>
    <w:locked/>
    <w:uiPriority w:val="99"/>
    <w:rPr>
      <w:sz w:val="18"/>
      <w:szCs w:val="18"/>
    </w:rPr>
  </w:style>
  <w:style w:type="character" w:customStyle="1" w:styleId="69">
    <w:name w:val="页眉 Char"/>
    <w:basedOn w:val="40"/>
    <w:link w:val="26"/>
    <w:qFormat/>
    <w:locked/>
    <w:uiPriority w:val="99"/>
    <w:rPr>
      <w:sz w:val="18"/>
      <w:szCs w:val="18"/>
    </w:rPr>
  </w:style>
  <w:style w:type="character" w:customStyle="1" w:styleId="70">
    <w:name w:val="正文文本缩进 3 Char"/>
    <w:basedOn w:val="40"/>
    <w:link w:val="30"/>
    <w:qFormat/>
    <w:locked/>
    <w:uiPriority w:val="0"/>
    <w:rPr>
      <w:kern w:val="2"/>
      <w:sz w:val="16"/>
      <w:szCs w:val="16"/>
    </w:rPr>
  </w:style>
  <w:style w:type="character" w:customStyle="1" w:styleId="71">
    <w:name w:val="正文文本 2 Char"/>
    <w:basedOn w:val="40"/>
    <w:link w:val="32"/>
    <w:qFormat/>
    <w:locked/>
    <w:uiPriority w:val="0"/>
    <w:rPr>
      <w:sz w:val="20"/>
      <w:szCs w:val="20"/>
    </w:rPr>
  </w:style>
  <w:style w:type="character" w:customStyle="1" w:styleId="72">
    <w:name w:val="批注主题 Char"/>
    <w:basedOn w:val="61"/>
    <w:link w:val="35"/>
    <w:qFormat/>
    <w:locked/>
    <w:uiPriority w:val="0"/>
    <w:rPr>
      <w:rFonts w:ascii="Times New Roman" w:hAnsi="Times New Roman" w:eastAsia="宋体" w:cs="Times New Roman"/>
      <w:b/>
      <w:bCs/>
      <w:kern w:val="2"/>
      <w:sz w:val="21"/>
      <w:szCs w:val="21"/>
    </w:rPr>
  </w:style>
  <w:style w:type="character" w:customStyle="1" w:styleId="73">
    <w:name w:val="正文首行缩进 Char"/>
    <w:basedOn w:val="62"/>
    <w:link w:val="36"/>
    <w:qFormat/>
    <w:locked/>
    <w:uiPriority w:val="99"/>
    <w:rPr>
      <w:kern w:val="2"/>
    </w:rPr>
  </w:style>
  <w:style w:type="character" w:customStyle="1" w:styleId="74">
    <w:name w:val="正文首行缩进 2 Char"/>
    <w:basedOn w:val="63"/>
    <w:link w:val="37"/>
    <w:semiHidden/>
    <w:qFormat/>
    <w:locked/>
    <w:uiPriority w:val="99"/>
    <w:rPr>
      <w:sz w:val="21"/>
      <w:szCs w:val="21"/>
    </w:rPr>
  </w:style>
  <w:style w:type="character" w:customStyle="1" w:styleId="75">
    <w:name w:val="普通文字 Char Char2"/>
    <w:qFormat/>
    <w:locked/>
    <w:uiPriority w:val="0"/>
    <w:rPr>
      <w:rFonts w:ascii="宋体" w:hAnsi="Courier New" w:eastAsia="宋体" w:cs="宋体"/>
      <w:kern w:val="2"/>
      <w:sz w:val="21"/>
      <w:szCs w:val="21"/>
      <w:lang w:val="en-US" w:eastAsia="zh-CN"/>
    </w:rPr>
  </w:style>
  <w:style w:type="character" w:customStyle="1" w:styleId="76">
    <w:name w:val="_正文段落 Char"/>
    <w:link w:val="77"/>
    <w:qFormat/>
    <w:locked/>
    <w:uiPriority w:val="0"/>
    <w:rPr>
      <w:rFonts w:ascii="仿宋_GB2312" w:eastAsia="仿宋_GB2312" w:cs="仿宋_GB2312"/>
      <w:sz w:val="24"/>
      <w:szCs w:val="24"/>
    </w:rPr>
  </w:style>
  <w:style w:type="paragraph" w:customStyle="1" w:styleId="77">
    <w:name w:val="_正文段落"/>
    <w:basedOn w:val="1"/>
    <w:link w:val="76"/>
    <w:qFormat/>
    <w:uiPriority w:val="0"/>
    <w:pPr>
      <w:spacing w:line="360" w:lineRule="auto"/>
      <w:ind w:firstLine="200" w:firstLineChars="200"/>
    </w:pPr>
    <w:rPr>
      <w:rFonts w:ascii="仿宋_GB2312" w:eastAsia="仿宋_GB2312" w:cs="仿宋_GB2312"/>
      <w:kern w:val="0"/>
      <w:sz w:val="24"/>
      <w:szCs w:val="24"/>
    </w:rPr>
  </w:style>
  <w:style w:type="character" w:customStyle="1" w:styleId="78">
    <w:name w:val="内容"/>
    <w:qFormat/>
    <w:uiPriority w:val="0"/>
    <w:rPr>
      <w:rFonts w:ascii="华文细黑" w:eastAsia="华文细黑" w:cs="华文细黑"/>
      <w:color w:val="auto"/>
      <w:sz w:val="20"/>
      <w:szCs w:val="20"/>
      <w:u w:val="none"/>
    </w:rPr>
  </w:style>
  <w:style w:type="character" w:customStyle="1" w:styleId="79">
    <w:name w:val="纯文本 Char1"/>
    <w:qFormat/>
    <w:uiPriority w:val="0"/>
    <w:rPr>
      <w:rFonts w:ascii="宋体" w:hAnsi="Courier New" w:eastAsia="宋体" w:cs="宋体"/>
      <w:kern w:val="2"/>
      <w:sz w:val="21"/>
      <w:szCs w:val="21"/>
      <w:lang w:val="en-US" w:eastAsia="zh-CN"/>
    </w:rPr>
  </w:style>
  <w:style w:type="character" w:customStyle="1" w:styleId="80">
    <w:name w:val="ca-31"/>
    <w:qFormat/>
    <w:uiPriority w:val="0"/>
    <w:rPr>
      <w:rFonts w:ascii="宋体" w:hAnsi="宋体" w:eastAsia="宋体" w:cs="宋体"/>
      <w:sz w:val="21"/>
      <w:szCs w:val="21"/>
    </w:rPr>
  </w:style>
  <w:style w:type="character" w:customStyle="1" w:styleId="81">
    <w:name w:val="正文缩进 Char"/>
    <w:link w:val="2"/>
    <w:qFormat/>
    <w:locked/>
    <w:uiPriority w:val="0"/>
    <w:rPr>
      <w:rFonts w:ascii="宋体" w:eastAsia="宋体" w:cs="宋体"/>
      <w:snapToGrid w:val="0"/>
      <w:color w:val="000000"/>
      <w:kern w:val="28"/>
      <w:sz w:val="28"/>
      <w:szCs w:val="28"/>
      <w:lang w:val="en-US" w:eastAsia="zh-CN"/>
    </w:rPr>
  </w:style>
  <w:style w:type="character" w:customStyle="1" w:styleId="82">
    <w:name w:val="正文2 Char Char"/>
    <w:link w:val="83"/>
    <w:qFormat/>
    <w:locked/>
    <w:uiPriority w:val="0"/>
    <w:rPr>
      <w:rFonts w:eastAsia="宋体"/>
      <w:kern w:val="2"/>
      <w:sz w:val="24"/>
      <w:szCs w:val="24"/>
      <w:lang w:val="en-US" w:eastAsia="zh-CN"/>
    </w:rPr>
  </w:style>
  <w:style w:type="paragraph" w:customStyle="1" w:styleId="83">
    <w:name w:val="正文2"/>
    <w:basedOn w:val="1"/>
    <w:link w:val="82"/>
    <w:qFormat/>
    <w:uiPriority w:val="0"/>
    <w:pPr>
      <w:spacing w:before="156" w:line="360" w:lineRule="auto"/>
      <w:ind w:firstLine="510" w:firstLineChars="200"/>
    </w:pPr>
    <w:rPr>
      <w:sz w:val="24"/>
      <w:szCs w:val="24"/>
    </w:rPr>
  </w:style>
  <w:style w:type="character" w:customStyle="1" w:styleId="84">
    <w:name w:val="ca-51"/>
    <w:qFormat/>
    <w:uiPriority w:val="0"/>
    <w:rPr>
      <w:rFonts w:ascii="宋体" w:hAnsi="宋体" w:eastAsia="宋体" w:cs="宋体"/>
      <w:color w:val="FF0000"/>
      <w:sz w:val="21"/>
      <w:szCs w:val="21"/>
    </w:rPr>
  </w:style>
  <w:style w:type="paragraph" w:customStyle="1" w:styleId="85">
    <w:name w:val="纸短情长，再祈珍重！"/>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86">
    <w:name w:val="主题:"/>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87">
    <w:name w:val="分手多日，近况如何？"/>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88">
    <w:name w:val="Char1"/>
    <w:basedOn w:val="14"/>
    <w:qFormat/>
    <w:uiPriority w:val="0"/>
    <w:pPr>
      <w:adjustRightInd w:val="0"/>
      <w:spacing w:line="436" w:lineRule="exact"/>
      <w:ind w:left="357"/>
      <w:jc w:val="left"/>
      <w:outlineLvl w:val="3"/>
    </w:pPr>
  </w:style>
  <w:style w:type="paragraph" w:customStyle="1" w:styleId="89">
    <w:name w:val="创建日期"/>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90">
    <w:name w:val="机密、页码、日期"/>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91">
    <w:name w:val="xl28"/>
    <w:basedOn w:val="1"/>
    <w:qFormat/>
    <w:uiPriority w:val="0"/>
    <w:pPr>
      <w:widowControl/>
      <w:pBdr>
        <w:bottom w:val="single" w:color="auto" w:sz="4" w:space="0"/>
      </w:pBdr>
      <w:spacing w:before="100" w:beforeAutospacing="1" w:after="100" w:afterAutospacing="1"/>
      <w:jc w:val="left"/>
    </w:pPr>
    <w:rPr>
      <w:rFonts w:ascii="宋体" w:hAnsi="宋体" w:cs="宋体"/>
      <w:kern w:val="0"/>
      <w:sz w:val="24"/>
      <w:szCs w:val="24"/>
    </w:rPr>
  </w:style>
  <w:style w:type="paragraph" w:customStyle="1" w:styleId="92">
    <w:name w:val="奉读大示，心折殊深。"/>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93">
    <w:name w:val="文件名和路径"/>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94">
    <w:name w:val="匆此先复，余容后禀。"/>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95">
    <w:name w:val="叩请金安！"/>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96">
    <w:name w:val="参考:"/>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97">
    <w:name w:val="Char Char Char Char Char Char"/>
    <w:basedOn w:val="1"/>
    <w:qFormat/>
    <w:uiPriority w:val="0"/>
    <w:pPr>
      <w:ind w:firstLine="200" w:firstLineChars="200"/>
    </w:pPr>
    <w:rPr>
      <w:rFonts w:ascii="Tahoma" w:hAnsi="Tahoma" w:cs="Tahoma"/>
      <w:sz w:val="24"/>
      <w:szCs w:val="24"/>
    </w:rPr>
  </w:style>
  <w:style w:type="paragraph" w:styleId="98">
    <w:name w:val="No Spacing"/>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99">
    <w:name w:val="音问久疏，唯愿一切康适。"/>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00">
    <w:name w:val="Char2 Char Char"/>
    <w:basedOn w:val="1"/>
    <w:qFormat/>
    <w:uiPriority w:val="0"/>
    <w:rPr>
      <w:rFonts w:ascii="Tahoma" w:hAnsi="Tahoma" w:cs="Tahoma"/>
      <w:sz w:val="24"/>
      <w:szCs w:val="24"/>
    </w:rPr>
  </w:style>
  <w:style w:type="paragraph" w:customStyle="1" w:styleId="101">
    <w:name w:val="惠书敬悉，迟复为歉。"/>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02">
    <w:name w:val="- 页码 -"/>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03">
    <w:name w:val="近来寒暑不常，希自珍慰。"/>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04">
    <w:name w:val="Char Char Char"/>
    <w:basedOn w:val="1"/>
    <w:qFormat/>
    <w:uiPriority w:val="0"/>
    <w:rPr>
      <w:rFonts w:ascii="Tahoma" w:hAnsi="Tahoma" w:cs="Tahoma"/>
      <w:sz w:val="24"/>
      <w:szCs w:val="24"/>
    </w:rPr>
  </w:style>
  <w:style w:type="paragraph" w:customStyle="1" w:styleId="105">
    <w:name w:val="知尊恙复发，心甚念之。"/>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06">
    <w:name w:val="奉恳之事，乞速复为荷。"/>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07">
    <w:name w:val="请勿折叠！"/>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08">
    <w:name w:val="上次保存者"/>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09">
    <w:name w:val="作者、页码、日期"/>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10">
    <w:name w:val="答复:"/>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11">
    <w:name w:val="TOC 标题1"/>
    <w:basedOn w:val="3"/>
    <w:next w:val="1"/>
    <w:qFormat/>
    <w:uiPriority w:val="0"/>
    <w:pPr>
      <w:widowControl/>
      <w:spacing w:beforeLines="0" w:line="276" w:lineRule="auto"/>
      <w:jc w:val="left"/>
      <w:outlineLvl w:val="9"/>
    </w:pPr>
    <w:rPr>
      <w:rFonts w:ascii="Cambria" w:hAnsi="Cambria" w:cs="Cambria"/>
      <w:color w:val="365F91"/>
      <w:kern w:val="0"/>
      <w:sz w:val="28"/>
      <w:szCs w:val="28"/>
    </w:rPr>
  </w:style>
  <w:style w:type="paragraph" w:customStyle="1" w:styleId="112">
    <w:name w:val="先生/女士："/>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13">
    <w:name w:val="文件名"/>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14">
    <w:name w:val="reader-word-layer"/>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15">
    <w:name w:val="关于:"/>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16">
    <w:name w:val="敬启者："/>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17">
    <w:name w:val="第 X 页 共 Y 页"/>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18">
    <w:name w:val="上次打印时间"/>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19">
    <w:name w:val="Char"/>
    <w:basedOn w:val="1"/>
    <w:qFormat/>
    <w:uiPriority w:val="0"/>
    <w:pPr>
      <w:widowControl/>
      <w:spacing w:line="400" w:lineRule="exact"/>
      <w:jc w:val="center"/>
    </w:pPr>
    <w:rPr>
      <w:rFonts w:ascii="Verdana" w:hAnsi="Verdana" w:cs="Verdana"/>
      <w:kern w:val="0"/>
      <w:lang w:eastAsia="en-US"/>
    </w:rPr>
  </w:style>
  <w:style w:type="paragraph" w:customStyle="1" w:styleId="120">
    <w:name w:val="Char2"/>
    <w:basedOn w:val="1"/>
    <w:qFormat/>
    <w:uiPriority w:val="0"/>
    <w:pPr>
      <w:tabs>
        <w:tab w:val="left" w:pos="720"/>
      </w:tabs>
      <w:ind w:left="720" w:hanging="360"/>
    </w:pPr>
    <w:rPr>
      <w:sz w:val="24"/>
      <w:szCs w:val="24"/>
    </w:rPr>
  </w:style>
  <w:style w:type="paragraph" w:customStyle="1" w:styleId="121">
    <w:name w:val="作者"/>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22">
    <w:name w:val="前上一函，谅达雅鉴，迄今未闻复音。"/>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23">
    <w:name w:val="临书仓促，不尽欲言。"/>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24">
    <w:name w:val="久不通函，至以为念。"/>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25">
    <w:name w:val="Char11"/>
    <w:basedOn w:val="14"/>
    <w:qFormat/>
    <w:uiPriority w:val="0"/>
    <w:pPr>
      <w:adjustRightInd w:val="0"/>
      <w:spacing w:line="436" w:lineRule="exact"/>
      <w:ind w:left="357"/>
      <w:jc w:val="left"/>
      <w:outlineLvl w:val="3"/>
    </w:pPr>
    <w:rPr>
      <w:rFonts w:ascii="Tahoma" w:hAnsi="Tahoma" w:cs="Tahoma"/>
      <w:b/>
      <w:bCs/>
      <w:sz w:val="24"/>
      <w:szCs w:val="24"/>
    </w:rPr>
  </w:style>
  <w:style w:type="paragraph" w:customStyle="1" w:styleId="126">
    <w:name w:val="尊意如何，请即示知。"/>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27">
    <w:name w:val="亲启"/>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28">
    <w:name w:val="顺颂商祺！"/>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29">
    <w:name w:val="Char Char2"/>
    <w:basedOn w:val="1"/>
    <w:qFormat/>
    <w:uiPriority w:val="0"/>
    <w:rPr>
      <w:rFonts w:ascii="宋体" w:hAnsi="宋体" w:cs="宋体"/>
      <w:b/>
      <w:bCs/>
      <w:sz w:val="28"/>
      <w:szCs w:val="28"/>
    </w:rPr>
  </w:style>
  <w:style w:type="paragraph" w:customStyle="1" w:styleId="130">
    <w:name w:val="表"/>
    <w:basedOn w:val="1"/>
    <w:qFormat/>
    <w:uiPriority w:val="0"/>
    <w:pPr>
      <w:spacing w:line="360" w:lineRule="auto"/>
    </w:pPr>
    <w:rPr>
      <w:b/>
      <w:bCs/>
      <w:color w:val="FF0000"/>
    </w:rPr>
  </w:style>
  <w:style w:type="paragraph" w:customStyle="1" w:styleId="131">
    <w:name w:val="主体"/>
    <w:basedOn w:val="1"/>
    <w:link w:val="136"/>
    <w:qFormat/>
    <w:uiPriority w:val="99"/>
    <w:pPr>
      <w:spacing w:line="360" w:lineRule="auto"/>
      <w:ind w:firstLine="480" w:firstLineChars="200"/>
    </w:pPr>
    <w:rPr>
      <w:rFonts w:ascii="宋体" w:cs="宋体"/>
      <w:kern w:val="58"/>
      <w:sz w:val="24"/>
      <w:szCs w:val="24"/>
    </w:rPr>
  </w:style>
  <w:style w:type="paragraph" w:customStyle="1" w:styleId="132">
    <w:name w:val="表格文字"/>
    <w:basedOn w:val="1"/>
    <w:link w:val="134"/>
    <w:qFormat/>
    <w:uiPriority w:val="0"/>
    <w:pPr>
      <w:jc w:val="left"/>
    </w:pPr>
    <w:rPr>
      <w:rFonts w:ascii="宋体" w:cs="宋体"/>
      <w:spacing w:val="-4"/>
      <w:kern w:val="0"/>
      <w:sz w:val="32"/>
      <w:szCs w:val="32"/>
      <w:lang w:val="zh-CN"/>
    </w:rPr>
  </w:style>
  <w:style w:type="paragraph" w:customStyle="1" w:styleId="133">
    <w:name w:val="表格文字2"/>
    <w:basedOn w:val="132"/>
    <w:qFormat/>
    <w:uiPriority w:val="99"/>
    <w:pPr>
      <w:jc w:val="both"/>
    </w:pPr>
  </w:style>
  <w:style w:type="character" w:customStyle="1" w:styleId="134">
    <w:name w:val="表格文字 Char Char"/>
    <w:link w:val="132"/>
    <w:qFormat/>
    <w:locked/>
    <w:uiPriority w:val="99"/>
    <w:rPr>
      <w:rFonts w:ascii="宋体" w:eastAsia="宋体" w:cs="宋体"/>
      <w:spacing w:val="-4"/>
      <w:sz w:val="32"/>
      <w:szCs w:val="32"/>
      <w:lang w:val="zh-CN"/>
    </w:rPr>
  </w:style>
  <w:style w:type="character" w:customStyle="1" w:styleId="135">
    <w:name w:val="标准正文 Char"/>
    <w:qFormat/>
    <w:uiPriority w:val="0"/>
    <w:rPr>
      <w:kern w:val="2"/>
      <w:sz w:val="24"/>
      <w:szCs w:val="24"/>
    </w:rPr>
  </w:style>
  <w:style w:type="character" w:customStyle="1" w:styleId="136">
    <w:name w:val="主体 Char Char"/>
    <w:link w:val="131"/>
    <w:qFormat/>
    <w:locked/>
    <w:uiPriority w:val="99"/>
    <w:rPr>
      <w:rFonts w:ascii="宋体" w:eastAsia="宋体" w:cs="宋体"/>
      <w:kern w:val="58"/>
      <w:sz w:val="24"/>
      <w:szCs w:val="24"/>
    </w:rPr>
  </w:style>
  <w:style w:type="paragraph" w:customStyle="1" w:styleId="137">
    <w:name w:val="标题2"/>
    <w:basedOn w:val="1"/>
    <w:link w:val="138"/>
    <w:qFormat/>
    <w:uiPriority w:val="0"/>
    <w:pPr>
      <w:keepNext/>
      <w:widowControl/>
      <w:tabs>
        <w:tab w:val="left" w:pos="450"/>
      </w:tabs>
      <w:autoSpaceDE w:val="0"/>
      <w:autoSpaceDN w:val="0"/>
      <w:adjustRightInd w:val="0"/>
      <w:spacing w:before="120" w:after="120"/>
      <w:jc w:val="left"/>
      <w:textAlignment w:val="center"/>
    </w:pPr>
    <w:rPr>
      <w:rFonts w:ascii="宋体" w:cs="宋体"/>
      <w:b/>
      <w:bCs/>
      <w:kern w:val="0"/>
      <w:sz w:val="24"/>
      <w:szCs w:val="24"/>
    </w:rPr>
  </w:style>
  <w:style w:type="character" w:customStyle="1" w:styleId="138">
    <w:name w:val="标题2 Char Char"/>
    <w:link w:val="137"/>
    <w:qFormat/>
    <w:locked/>
    <w:uiPriority w:val="0"/>
    <w:rPr>
      <w:rFonts w:ascii="宋体" w:cs="宋体"/>
      <w:b/>
      <w:bCs/>
      <w:sz w:val="24"/>
      <w:szCs w:val="24"/>
    </w:rPr>
  </w:style>
  <w:style w:type="paragraph" w:customStyle="1" w:styleId="139">
    <w:name w:val="修订1"/>
    <w:hidden/>
    <w:qFormat/>
    <w:uiPriority w:val="99"/>
    <w:rPr>
      <w:rFonts w:ascii="Times New Roman" w:hAnsi="Times New Roman" w:eastAsia="宋体" w:cs="Times New Roman"/>
      <w:kern w:val="2"/>
      <w:sz w:val="21"/>
      <w:szCs w:val="21"/>
      <w:lang w:val="en-US" w:eastAsia="zh-CN" w:bidi="ar-SA"/>
    </w:rPr>
  </w:style>
  <w:style w:type="character" w:customStyle="1" w:styleId="140">
    <w:name w:val="font01"/>
    <w:basedOn w:val="40"/>
    <w:qFormat/>
    <w:uiPriority w:val="0"/>
    <w:rPr>
      <w:rFonts w:ascii="宋体" w:hAnsi="宋体" w:eastAsia="宋体" w:cs="宋体"/>
      <w:b/>
      <w:bCs/>
      <w:color w:val="333333"/>
      <w:sz w:val="24"/>
      <w:szCs w:val="24"/>
      <w:u w:val="none"/>
    </w:rPr>
  </w:style>
  <w:style w:type="paragraph" w:customStyle="1" w:styleId="141">
    <w:name w:val="普通(网站)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42">
    <w:name w:val="表格序号"/>
    <w:basedOn w:val="143"/>
    <w:qFormat/>
    <w:uiPriority w:val="99"/>
    <w:pPr>
      <w:jc w:val="center"/>
    </w:pPr>
  </w:style>
  <w:style w:type="paragraph" w:customStyle="1" w:styleId="143">
    <w:name w:val="表格正文"/>
    <w:basedOn w:val="1"/>
    <w:qFormat/>
    <w:uiPriority w:val="99"/>
    <w:rPr>
      <w:rFonts w:eastAsia="黑体"/>
    </w:rPr>
  </w:style>
  <w:style w:type="paragraph" w:customStyle="1" w:styleId="144">
    <w:name w:val="修订2"/>
    <w:hidden/>
    <w:qFormat/>
    <w:uiPriority w:val="99"/>
    <w:rPr>
      <w:rFonts w:ascii="Times New Roman" w:hAnsi="Times New Roman" w:eastAsia="宋体" w:cs="Times New Roman"/>
      <w:kern w:val="2"/>
      <w:sz w:val="21"/>
      <w:szCs w:val="21"/>
      <w:lang w:val="en-US" w:eastAsia="zh-CN" w:bidi="ar-SA"/>
    </w:rPr>
  </w:style>
  <w:style w:type="paragraph" w:customStyle="1" w:styleId="145">
    <w:name w:val="正文 A"/>
    <w:qFormat/>
    <w:uiPriority w:val="0"/>
    <w:pPr>
      <w:widowControl w:val="0"/>
      <w:jc w:val="both"/>
    </w:pPr>
    <w:rPr>
      <w:rFonts w:ascii="Times New Roman" w:hAnsi="Times New Roman" w:eastAsia="宋体" w:cs="Times New Roman"/>
      <w:color w:val="000000"/>
      <w:kern w:val="2"/>
      <w:sz w:val="21"/>
      <w:szCs w:val="21"/>
      <w:u w:color="000000"/>
      <w:lang w:val="en-US" w:eastAsia="zh-CN" w:bidi="ar-SA"/>
    </w:rPr>
  </w:style>
  <w:style w:type="paragraph" w:customStyle="1" w:styleId="146">
    <w:name w:val="正文缩进1"/>
    <w:basedOn w:val="1"/>
    <w:next w:val="18"/>
    <w:qFormat/>
    <w:uiPriority w:val="0"/>
    <w:pPr>
      <w:autoSpaceDE w:val="0"/>
      <w:autoSpaceDN w:val="0"/>
      <w:snapToGrid w:val="0"/>
      <w:spacing w:after="120" w:line="360" w:lineRule="auto"/>
      <w:ind w:left="420" w:leftChars="200" w:firstLine="480" w:firstLineChars="200"/>
    </w:pPr>
    <w:rPr>
      <w:sz w:val="24"/>
    </w:rPr>
  </w:style>
  <w:style w:type="paragraph" w:customStyle="1" w:styleId="147">
    <w:name w:val="索引 11"/>
    <w:basedOn w:val="1"/>
    <w:next w:val="1"/>
    <w:qFormat/>
    <w:uiPriority w:val="99"/>
    <w:pPr>
      <w:spacing w:line="360" w:lineRule="auto"/>
    </w:pPr>
    <w:rPr>
      <w:rFonts w:ascii="仿宋_GB2312" w:eastAsia="仿宋_GB2312"/>
      <w:sz w:val="24"/>
      <w:szCs w:val="20"/>
    </w:rPr>
  </w:style>
  <w:style w:type="paragraph" w:customStyle="1" w:styleId="148">
    <w:name w:val="纯文本1"/>
    <w:basedOn w:val="1"/>
    <w:qFormat/>
    <w:uiPriority w:val="0"/>
    <w:rPr>
      <w:rFonts w:ascii="宋体" w:hAnsi="Courier New"/>
      <w:kern w:val="0"/>
      <w:sz w:val="20"/>
      <w:szCs w:val="20"/>
    </w:rPr>
  </w:style>
  <w:style w:type="paragraph" w:customStyle="1" w:styleId="149">
    <w:name w:val="text-tag"/>
    <w:basedOn w:val="1"/>
    <w:semiHidden/>
    <w:qFormat/>
    <w:uiPriority w:val="99"/>
    <w:pPr>
      <w:widowControl/>
      <w:spacing w:before="100" w:beforeAutospacing="1" w:after="100" w:afterAutospacing="1"/>
      <w:jc w:val="left"/>
    </w:pPr>
    <w:rPr>
      <w:rFonts w:ascii="宋体" w:hAnsi="宋体" w:cs="宋体"/>
      <w:kern w:val="0"/>
      <w:sz w:val="24"/>
      <w:szCs w:val="20"/>
    </w:rPr>
  </w:style>
  <w:style w:type="paragraph" w:customStyle="1" w:styleId="150">
    <w:name w:val="Body text|1"/>
    <w:basedOn w:val="1"/>
    <w:qFormat/>
    <w:uiPriority w:val="0"/>
    <w:pPr>
      <w:spacing w:line="468" w:lineRule="auto"/>
      <w:ind w:firstLine="400"/>
    </w:pPr>
    <w:rPr>
      <w:rFonts w:ascii="宋体" w:hAnsi="宋体" w:cs="宋体"/>
      <w:sz w:val="26"/>
      <w:szCs w:val="26"/>
      <w:lang w:val="zh-TW" w:eastAsia="zh-TW" w:bidi="zh-TW"/>
    </w:rPr>
  </w:style>
  <w:style w:type="character" w:customStyle="1" w:styleId="151">
    <w:name w:val="NormalCharacter"/>
    <w:semiHidden/>
    <w:qFormat/>
    <w:uiPriority w:val="99"/>
  </w:style>
  <w:style w:type="paragraph" w:customStyle="1" w:styleId="152">
    <w:name w:val="Table Text"/>
    <w:basedOn w:val="1"/>
    <w:qFormat/>
    <w:uiPriority w:val="0"/>
    <w:pPr>
      <w:widowControl/>
      <w:spacing w:before="60" w:after="60"/>
      <w:jc w:val="left"/>
    </w:pPr>
    <w:rPr>
      <w:kern w:val="0"/>
      <w:sz w:val="24"/>
    </w:rPr>
  </w:style>
  <w:style w:type="paragraph" w:customStyle="1" w:styleId="153">
    <w:name w:val="_Style 3"/>
    <w:qFormat/>
    <w:uiPriority w:val="0"/>
    <w:pPr>
      <w:widowControl w:val="0"/>
      <w:adjustRightInd/>
      <w:ind w:firstLine="420" w:firstLineChars="200"/>
      <w:jc w:val="both"/>
    </w:pPr>
    <w:rPr>
      <w:rFonts w:ascii="Calibri" w:hAnsi="Calibri" w:eastAsia="仿宋_GB2312" w:cs="Times New Roman"/>
      <w:kern w:val="2"/>
      <w:sz w:val="28"/>
      <w:szCs w:val="24"/>
      <w:lang w:val="en-US" w:eastAsia="zh-CN" w:bidi="ar-SA"/>
    </w:rPr>
  </w:style>
  <w:style w:type="paragraph" w:customStyle="1" w:styleId="154">
    <w:name w:val="正文1"/>
    <w:basedOn w:val="1"/>
    <w:next w:val="1"/>
    <w:qFormat/>
    <w:uiPriority w:val="99"/>
    <w:pPr>
      <w:numPr>
        <w:ilvl w:val="0"/>
        <w:numId w:val="1"/>
      </w:numPr>
      <w:spacing w:line="360" w:lineRule="auto"/>
      <w:jc w:val="left"/>
    </w:pPr>
    <w:rPr>
      <w:rFonts w:ascii="宋体" w:hAnsi="宋体"/>
      <w:spacing w:val="4"/>
      <w:sz w:val="18"/>
      <w:szCs w:val="20"/>
    </w:rPr>
  </w:style>
  <w:style w:type="paragraph" w:customStyle="1" w:styleId="155">
    <w:name w:val="无间隔1"/>
    <w:qFormat/>
    <w:uiPriority w:val="0"/>
    <w:rPr>
      <w:rFonts w:ascii="Calibri" w:hAnsi="Calibri" w:eastAsia="宋体" w:cs="Times New Roman"/>
      <w:sz w:val="22"/>
      <w:szCs w:val="22"/>
      <w:lang w:val="en-US" w:eastAsia="en-US" w:bidi="ar-SA"/>
    </w:rPr>
  </w:style>
  <w:style w:type="paragraph" w:customStyle="1" w:styleId="156">
    <w:name w:val="正文空2格  1."/>
    <w:qFormat/>
    <w:uiPriority w:val="0"/>
    <w:pPr>
      <w:widowControl w:val="0"/>
      <w:adjustRightInd w:val="0"/>
      <w:spacing w:line="360" w:lineRule="auto"/>
      <w:ind w:firstLine="480" w:firstLineChars="200"/>
      <w:jc w:val="both"/>
      <w:textAlignment w:val="baseline"/>
    </w:pPr>
    <w:rPr>
      <w:rFonts w:ascii="宋体" w:hAnsi="Times New Roman" w:eastAsia="仿宋" w:cs="宋体"/>
      <w:sz w:val="28"/>
      <w:lang w:val="en-US" w:eastAsia="zh-CN" w:bidi="ar-SA"/>
    </w:rPr>
  </w:style>
  <w:style w:type="paragraph" w:customStyle="1" w:styleId="157">
    <w:name w:val="Body Text First Indent 21"/>
    <w:basedOn w:val="1"/>
    <w:qFormat/>
    <w:uiPriority w:val="0"/>
    <w:pPr>
      <w:ind w:left="420" w:leftChars="200" w:firstLine="420"/>
    </w:pPr>
    <w:rPr>
      <w:szCs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header" Target="header9.xml"/><Relationship Id="rId12" Type="http://schemas.openxmlformats.org/officeDocument/2006/relationships/header" Target="header8.xml"/><Relationship Id="rId11" Type="http://schemas.openxmlformats.org/officeDocument/2006/relationships/header" Target="header7.xml"/><Relationship Id="rId10" Type="http://schemas.openxmlformats.org/officeDocument/2006/relationships/header" Target="head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StyleName="APA" SelectedStyle="\APA.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3C5F7CA-6C6B-40AB-B800-CEF46AC7CCB2}">
  <ds:schemaRefs/>
</ds:datastoreItem>
</file>

<file path=docProps/app.xml><?xml version="1.0" encoding="utf-8"?>
<Properties xmlns="http://schemas.openxmlformats.org/officeDocument/2006/extended-properties" xmlns:vt="http://schemas.openxmlformats.org/officeDocument/2006/docPropsVTypes">
  <Template>Normal</Template>
  <Company>宁波市国际招标有限公司</Company>
  <Pages>75</Pages>
  <Words>3097</Words>
  <Characters>3611</Characters>
  <Lines>416</Lines>
  <Paragraphs>117</Paragraphs>
  <TotalTime>54</TotalTime>
  <ScaleCrop>false</ScaleCrop>
  <LinksUpToDate>false</LinksUpToDate>
  <CharactersWithSpaces>3618</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2024-07-13T22:28:00Z</dcterms:created>
  <dc:creator>vivian</dc:creator>
  <cp:lastModifiedBy>Kilig</cp:lastModifiedBy>
  <cp:lastPrinted>2026-01-21T06:15:00Z</cp:lastPrinted>
  <dcterms:modified xsi:type="dcterms:W3CDTF">2026-05-14T02:31:35Z</dcterms:modified>
  <dc:title>政 府 采 购 招 标 项 目</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95B230ABFA8B45F3ABC829D1A5D21E6B_13</vt:lpwstr>
  </property>
  <property fmtid="{D5CDD505-2E9C-101B-9397-08002B2CF9AE}" pid="4" name="KSOTemplateDocerSaveRecord">
    <vt:lpwstr>eyJoZGlkIjoiYTZmZjI1MTI1NTFiN2MxNjJiNjhjMzEyMTI0NGM2NjEiLCJ1c2VySWQiOiIxMTI0MzU3ODgxIn0=</vt:lpwstr>
  </property>
</Properties>
</file>