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AE65418">
      <w:pPr>
        <w:spacing w:line="360" w:lineRule="auto"/>
        <w:jc w:val="center"/>
        <w:rPr>
          <w:rFonts w:hint="eastAsia" w:ascii="宋体" w:hAnsi="宋体" w:cs="宋体"/>
          <w:b/>
          <w:bCs/>
          <w:color w:val="auto"/>
          <w:sz w:val="48"/>
          <w:szCs w:val="48"/>
        </w:rPr>
      </w:pPr>
      <w:r>
        <w:rPr>
          <w:rFonts w:hint="eastAsia" w:ascii="宋体" w:hAnsi="宋体" w:cs="宋体"/>
          <w:b/>
          <w:bCs/>
          <w:color w:val="auto"/>
          <w:sz w:val="48"/>
          <w:szCs w:val="48"/>
        </w:rPr>
        <w:t>安宁市2026年流动人员人事档案管理</w:t>
      </w:r>
    </w:p>
    <w:p w14:paraId="0134E986">
      <w:pPr>
        <w:spacing w:line="360" w:lineRule="auto"/>
        <w:jc w:val="center"/>
        <w:rPr>
          <w:rFonts w:hint="eastAsia" w:ascii="宋体" w:hAnsi="宋体" w:cs="宋体"/>
          <w:color w:val="auto"/>
          <w:sz w:val="48"/>
          <w:szCs w:val="48"/>
        </w:rPr>
      </w:pPr>
      <w:r>
        <w:rPr>
          <w:rFonts w:hint="eastAsia" w:ascii="宋体" w:hAnsi="宋体" w:cs="宋体"/>
          <w:b/>
          <w:bCs/>
          <w:color w:val="auto"/>
          <w:sz w:val="48"/>
          <w:szCs w:val="48"/>
        </w:rPr>
        <w:t>服务项目</w:t>
      </w:r>
    </w:p>
    <w:p w14:paraId="65EF741F">
      <w:pPr>
        <w:spacing w:line="360" w:lineRule="auto"/>
        <w:jc w:val="center"/>
        <w:rPr>
          <w:rFonts w:hint="eastAsia" w:ascii="宋体" w:hAnsi="宋体" w:cs="宋体"/>
          <w:color w:val="auto"/>
          <w:sz w:val="24"/>
          <w:szCs w:val="24"/>
        </w:rPr>
      </w:pPr>
    </w:p>
    <w:p w14:paraId="2E46BD2E">
      <w:pPr>
        <w:spacing w:line="360" w:lineRule="auto"/>
        <w:jc w:val="center"/>
        <w:rPr>
          <w:rFonts w:hint="eastAsia" w:ascii="宋体" w:hAnsi="宋体" w:cs="宋体"/>
          <w:color w:val="auto"/>
          <w:sz w:val="24"/>
          <w:szCs w:val="24"/>
        </w:rPr>
      </w:pPr>
    </w:p>
    <w:p w14:paraId="6AD44C93">
      <w:pPr>
        <w:spacing w:line="360" w:lineRule="auto"/>
        <w:jc w:val="center"/>
        <w:rPr>
          <w:rFonts w:hint="eastAsia" w:ascii="宋体" w:hAnsi="宋体" w:cs="宋体"/>
          <w:color w:val="auto"/>
          <w:sz w:val="24"/>
          <w:szCs w:val="24"/>
        </w:rPr>
      </w:pPr>
    </w:p>
    <w:p w14:paraId="6D8A8C73">
      <w:pPr>
        <w:spacing w:line="360" w:lineRule="auto"/>
        <w:jc w:val="center"/>
        <w:rPr>
          <w:rFonts w:hint="eastAsia" w:ascii="宋体" w:hAnsi="宋体" w:cs="宋体"/>
          <w:color w:val="auto"/>
          <w:sz w:val="24"/>
          <w:szCs w:val="24"/>
        </w:rPr>
      </w:pPr>
    </w:p>
    <w:p w14:paraId="773B0B17">
      <w:pPr>
        <w:spacing w:line="360" w:lineRule="auto"/>
        <w:jc w:val="center"/>
        <w:rPr>
          <w:rFonts w:hint="eastAsia" w:ascii="宋体" w:hAnsi="宋体" w:cs="宋体"/>
          <w:color w:val="auto"/>
          <w:sz w:val="24"/>
          <w:szCs w:val="24"/>
        </w:rPr>
      </w:pPr>
    </w:p>
    <w:p w14:paraId="2F25602D">
      <w:pPr>
        <w:spacing w:line="360" w:lineRule="auto"/>
        <w:jc w:val="center"/>
        <w:rPr>
          <w:rFonts w:hint="eastAsia" w:ascii="宋体" w:hAnsi="宋体" w:cs="宋体"/>
          <w:color w:val="auto"/>
          <w:sz w:val="24"/>
          <w:szCs w:val="24"/>
        </w:rPr>
      </w:pPr>
    </w:p>
    <w:p w14:paraId="47E76AB3">
      <w:pPr>
        <w:pStyle w:val="66"/>
        <w:rPr>
          <w:rFonts w:hint="eastAsia" w:ascii="宋体" w:hAnsi="宋体" w:eastAsia="宋体" w:cs="宋体"/>
          <w:color w:val="auto"/>
        </w:rPr>
      </w:pPr>
    </w:p>
    <w:p w14:paraId="13F53264">
      <w:pPr>
        <w:spacing w:line="360" w:lineRule="auto"/>
        <w:jc w:val="center"/>
        <w:rPr>
          <w:rFonts w:hint="eastAsia" w:ascii="宋体" w:hAnsi="宋体" w:cs="宋体"/>
          <w:color w:val="auto"/>
          <w:sz w:val="24"/>
          <w:szCs w:val="24"/>
        </w:rPr>
      </w:pPr>
    </w:p>
    <w:p w14:paraId="409AE63E">
      <w:pPr>
        <w:spacing w:line="360" w:lineRule="auto"/>
        <w:jc w:val="center"/>
        <w:rPr>
          <w:rFonts w:hint="eastAsia" w:ascii="宋体" w:hAnsi="宋体" w:cs="宋体"/>
          <w:color w:val="auto"/>
          <w:sz w:val="24"/>
          <w:szCs w:val="24"/>
        </w:rPr>
      </w:pPr>
    </w:p>
    <w:p w14:paraId="117FB00B">
      <w:pPr>
        <w:pStyle w:val="29"/>
        <w:jc w:val="center"/>
        <w:rPr>
          <w:rFonts w:hint="eastAsia" w:hAnsi="宋体" w:cs="宋体"/>
          <w:b/>
          <w:bCs/>
          <w:color w:val="auto"/>
          <w:sz w:val="72"/>
          <w:szCs w:val="72"/>
        </w:rPr>
      </w:pPr>
      <w:r>
        <w:rPr>
          <w:rFonts w:hint="eastAsia" w:hAnsi="宋体" w:cs="宋体"/>
          <w:b/>
          <w:bCs/>
          <w:color w:val="auto"/>
          <w:sz w:val="72"/>
          <w:szCs w:val="72"/>
        </w:rPr>
        <w:t>采 购 文 件</w:t>
      </w:r>
    </w:p>
    <w:p w14:paraId="6A914F77">
      <w:pPr>
        <w:spacing w:before="120" w:beforeLines="50" w:line="360" w:lineRule="auto"/>
        <w:jc w:val="center"/>
        <w:rPr>
          <w:rFonts w:hint="eastAsia" w:ascii="宋体" w:hAnsi="宋体" w:cs="宋体"/>
          <w:b/>
          <w:color w:val="auto"/>
          <w:sz w:val="30"/>
          <w:szCs w:val="30"/>
        </w:rPr>
      </w:pPr>
      <w:r>
        <w:rPr>
          <w:rFonts w:hint="eastAsia" w:ascii="宋体" w:hAnsi="宋体" w:cs="宋体"/>
          <w:b/>
          <w:color w:val="auto"/>
          <w:sz w:val="30"/>
          <w:szCs w:val="30"/>
        </w:rPr>
        <w:t>项目编号：YNMY-2026-0133</w:t>
      </w:r>
    </w:p>
    <w:p w14:paraId="63A26E48">
      <w:pPr>
        <w:spacing w:line="360" w:lineRule="auto"/>
        <w:jc w:val="center"/>
        <w:rPr>
          <w:rFonts w:hint="eastAsia" w:ascii="宋体" w:hAnsi="宋体" w:cs="宋体"/>
          <w:b/>
          <w:color w:val="auto"/>
          <w:sz w:val="32"/>
          <w:szCs w:val="32"/>
        </w:rPr>
      </w:pPr>
    </w:p>
    <w:p w14:paraId="696DA921">
      <w:pPr>
        <w:spacing w:line="360" w:lineRule="auto"/>
        <w:jc w:val="center"/>
        <w:rPr>
          <w:rFonts w:hint="eastAsia" w:ascii="宋体" w:hAnsi="宋体" w:cs="宋体"/>
          <w:color w:val="auto"/>
          <w:sz w:val="24"/>
          <w:szCs w:val="24"/>
        </w:rPr>
      </w:pPr>
    </w:p>
    <w:p w14:paraId="2EFE4330">
      <w:pPr>
        <w:tabs>
          <w:tab w:val="left" w:pos="5190"/>
        </w:tabs>
        <w:spacing w:line="360" w:lineRule="auto"/>
        <w:jc w:val="center"/>
        <w:rPr>
          <w:rFonts w:hint="eastAsia" w:ascii="宋体" w:hAnsi="宋体" w:cs="宋体"/>
          <w:color w:val="auto"/>
          <w:sz w:val="24"/>
          <w:szCs w:val="24"/>
        </w:rPr>
      </w:pPr>
    </w:p>
    <w:p w14:paraId="6B644700">
      <w:pPr>
        <w:tabs>
          <w:tab w:val="left" w:pos="5190"/>
        </w:tabs>
        <w:spacing w:line="360" w:lineRule="auto"/>
        <w:jc w:val="center"/>
        <w:rPr>
          <w:rFonts w:hint="eastAsia" w:ascii="宋体" w:hAnsi="宋体" w:cs="宋体"/>
          <w:color w:val="auto"/>
          <w:sz w:val="24"/>
          <w:szCs w:val="24"/>
        </w:rPr>
      </w:pPr>
    </w:p>
    <w:p w14:paraId="0104BE8B">
      <w:pPr>
        <w:tabs>
          <w:tab w:val="left" w:pos="5190"/>
        </w:tabs>
        <w:spacing w:line="360" w:lineRule="auto"/>
        <w:jc w:val="center"/>
        <w:rPr>
          <w:rFonts w:hint="eastAsia" w:ascii="宋体" w:hAnsi="宋体" w:cs="宋体"/>
          <w:color w:val="auto"/>
          <w:sz w:val="24"/>
          <w:szCs w:val="24"/>
        </w:rPr>
      </w:pPr>
    </w:p>
    <w:p w14:paraId="2E0E9192">
      <w:pPr>
        <w:tabs>
          <w:tab w:val="left" w:pos="5190"/>
        </w:tabs>
        <w:spacing w:line="360" w:lineRule="auto"/>
        <w:jc w:val="center"/>
        <w:rPr>
          <w:rFonts w:hint="eastAsia" w:ascii="宋体" w:hAnsi="宋体" w:cs="宋体"/>
          <w:color w:val="auto"/>
          <w:sz w:val="24"/>
          <w:szCs w:val="24"/>
        </w:rPr>
      </w:pPr>
    </w:p>
    <w:p w14:paraId="7FF354EB">
      <w:pPr>
        <w:tabs>
          <w:tab w:val="left" w:pos="5190"/>
        </w:tabs>
        <w:spacing w:line="360" w:lineRule="auto"/>
        <w:rPr>
          <w:rFonts w:hint="eastAsia" w:ascii="宋体" w:hAnsi="宋体" w:cs="宋体"/>
          <w:color w:val="auto"/>
          <w:sz w:val="24"/>
          <w:szCs w:val="24"/>
        </w:rPr>
      </w:pPr>
    </w:p>
    <w:p w14:paraId="350DC0A2">
      <w:pPr>
        <w:pStyle w:val="66"/>
        <w:ind w:left="0"/>
        <w:rPr>
          <w:rFonts w:hint="eastAsia" w:ascii="宋体" w:hAnsi="宋体" w:eastAsia="宋体" w:cs="宋体"/>
          <w:color w:val="auto"/>
        </w:rPr>
      </w:pPr>
    </w:p>
    <w:p w14:paraId="6BA3CF74">
      <w:pPr>
        <w:tabs>
          <w:tab w:val="left" w:pos="5190"/>
        </w:tabs>
        <w:spacing w:line="360" w:lineRule="auto"/>
        <w:rPr>
          <w:rFonts w:hint="eastAsia" w:ascii="宋体" w:hAnsi="宋体" w:cs="宋体"/>
          <w:color w:val="auto"/>
          <w:sz w:val="24"/>
          <w:szCs w:val="24"/>
        </w:rPr>
      </w:pPr>
    </w:p>
    <w:p w14:paraId="065A95B9">
      <w:pPr>
        <w:spacing w:line="480" w:lineRule="auto"/>
        <w:ind w:firstLine="1205" w:firstLineChars="400"/>
        <w:rPr>
          <w:rFonts w:hint="eastAsia" w:ascii="宋体" w:hAnsi="宋体" w:cs="宋体"/>
          <w:b/>
          <w:color w:val="auto"/>
          <w:sz w:val="30"/>
          <w:szCs w:val="30"/>
        </w:rPr>
      </w:pPr>
      <w:r>
        <w:rPr>
          <w:rFonts w:hint="eastAsia" w:ascii="宋体" w:hAnsi="宋体" w:cs="宋体"/>
          <w:b/>
          <w:color w:val="auto"/>
          <w:sz w:val="30"/>
          <w:szCs w:val="30"/>
        </w:rPr>
        <w:t>采购人：安宁市公共就业和人才服务中心</w:t>
      </w:r>
    </w:p>
    <w:p w14:paraId="5C2E81FE">
      <w:pPr>
        <w:spacing w:line="480" w:lineRule="auto"/>
        <w:ind w:firstLine="1205" w:firstLineChars="400"/>
        <w:rPr>
          <w:rFonts w:hint="eastAsia" w:ascii="宋体" w:hAnsi="宋体" w:cs="宋体"/>
          <w:b/>
          <w:color w:val="auto"/>
          <w:sz w:val="30"/>
          <w:szCs w:val="30"/>
        </w:rPr>
      </w:pPr>
      <w:r>
        <w:rPr>
          <w:rFonts w:hint="eastAsia" w:ascii="宋体" w:hAnsi="宋体" w:cs="宋体"/>
          <w:b/>
          <w:color w:val="auto"/>
          <w:sz w:val="30"/>
          <w:szCs w:val="30"/>
        </w:rPr>
        <w:t>采购代理机构：云南铭漾工程技术咨询有限公司</w:t>
      </w:r>
    </w:p>
    <w:p w14:paraId="7F3DD86B">
      <w:pPr>
        <w:ind w:firstLine="198"/>
        <w:jc w:val="center"/>
        <w:rPr>
          <w:rFonts w:hint="eastAsia" w:ascii="宋体" w:hAnsi="宋体" w:cs="宋体"/>
          <w:b/>
          <w:color w:val="auto"/>
          <w:sz w:val="30"/>
          <w:szCs w:val="30"/>
        </w:rPr>
      </w:pPr>
      <w:r>
        <w:rPr>
          <w:rFonts w:hint="eastAsia" w:ascii="宋体" w:hAnsi="宋体" w:cs="宋体"/>
          <w:b/>
          <w:color w:val="auto"/>
          <w:sz w:val="30"/>
          <w:szCs w:val="30"/>
        </w:rPr>
        <w:t>2026年6月</w:t>
      </w:r>
    </w:p>
    <w:p w14:paraId="02A47756">
      <w:pPr>
        <w:spacing w:line="360" w:lineRule="auto"/>
        <w:ind w:firstLine="2554" w:firstLineChars="795"/>
        <w:rPr>
          <w:rFonts w:hint="eastAsia" w:ascii="宋体" w:hAnsi="宋体" w:cs="宋体"/>
          <w:b/>
          <w:color w:val="auto"/>
          <w:sz w:val="32"/>
          <w:szCs w:val="32"/>
        </w:rPr>
        <w:sectPr>
          <w:headerReference r:id="rId3" w:type="default"/>
          <w:footerReference r:id="rId5" w:type="default"/>
          <w:headerReference r:id="rId4" w:type="even"/>
          <w:footerReference r:id="rId6" w:type="even"/>
          <w:pgSz w:w="11906" w:h="16838"/>
          <w:pgMar w:top="1440" w:right="1304" w:bottom="1440" w:left="1304" w:header="851" w:footer="851" w:gutter="0"/>
          <w:cols w:space="720" w:num="1"/>
          <w:titlePg/>
          <w:docGrid w:linePitch="312" w:charSpace="0"/>
        </w:sectPr>
      </w:pPr>
    </w:p>
    <w:p w14:paraId="7A82D875">
      <w:pPr>
        <w:pStyle w:val="44"/>
        <w:tabs>
          <w:tab w:val="right" w:leader="dot" w:pos="9736"/>
        </w:tabs>
        <w:spacing w:line="360" w:lineRule="auto"/>
        <w:ind w:left="0"/>
        <w:jc w:val="center"/>
        <w:rPr>
          <w:rFonts w:hint="eastAsia" w:ascii="宋体" w:hAnsi="宋体" w:cs="宋体"/>
          <w:b/>
          <w:bCs/>
          <w:color w:val="auto"/>
          <w:sz w:val="28"/>
          <w:szCs w:val="28"/>
        </w:rPr>
      </w:pPr>
      <w:bookmarkStart w:id="0" w:name="_Toc458763736"/>
      <w:bookmarkStart w:id="1" w:name="_Toc37603093"/>
      <w:bookmarkStart w:id="2" w:name="_Hlk521320756"/>
      <w:r>
        <w:rPr>
          <w:rFonts w:hint="eastAsia" w:ascii="宋体" w:hAnsi="宋体" w:cs="宋体"/>
          <w:b/>
          <w:bCs/>
          <w:color w:val="auto"/>
          <w:sz w:val="28"/>
          <w:szCs w:val="28"/>
        </w:rPr>
        <w:t>目 录</w:t>
      </w:r>
    </w:p>
    <w:bookmarkEnd w:id="0"/>
    <w:bookmarkEnd w:id="1"/>
    <w:p w14:paraId="08B705E2">
      <w:pPr>
        <w:pStyle w:val="36"/>
        <w:tabs>
          <w:tab w:val="right" w:leader="dot" w:pos="9298"/>
        </w:tabs>
        <w:snapToGrid w:val="0"/>
        <w:spacing w:before="0" w:after="0" w:line="360" w:lineRule="auto"/>
        <w:rPr>
          <w:rFonts w:hint="eastAsia" w:asciiTheme="minorEastAsia" w:hAnsiTheme="minorEastAsia" w:eastAsiaTheme="minorEastAsia" w:cstheme="minorEastAsia"/>
          <w:b w:val="0"/>
          <w:bCs w:val="0"/>
          <w:color w:val="auto"/>
          <w:sz w:val="21"/>
          <w:szCs w:val="21"/>
        </w:rPr>
      </w:pPr>
      <w:bookmarkStart w:id="3" w:name="_Toc28359011"/>
      <w:bookmarkStart w:id="4" w:name="_Toc35393797"/>
      <w:bookmarkStart w:id="5" w:name="_Hlk9513089"/>
      <w:r>
        <w:rPr>
          <w:rStyle w:val="62"/>
          <w:color w:val="auto"/>
        </w:rPr>
        <w:fldChar w:fldCharType="begin"/>
      </w:r>
      <w:r>
        <w:rPr>
          <w:rStyle w:val="62"/>
          <w:rFonts w:hint="eastAsia" w:ascii="宋体" w:hAnsi="宋体" w:cs="宋体"/>
          <w:b w:val="0"/>
          <w:bCs w:val="0"/>
          <w:color w:val="auto"/>
          <w:sz w:val="21"/>
          <w:szCs w:val="21"/>
        </w:rPr>
        <w:instrText xml:space="preserve"> TOC \o "1-2" \h \z \u </w:instrText>
      </w:r>
      <w:r>
        <w:rPr>
          <w:rStyle w:val="62"/>
          <w:color w:val="auto"/>
        </w:rPr>
        <w:fldChar w:fldCharType="separate"/>
      </w:r>
      <w:r>
        <w:rPr>
          <w:color w:val="auto"/>
        </w:rPr>
        <w:fldChar w:fldCharType="begin"/>
      </w:r>
      <w:r>
        <w:rPr>
          <w:color w:val="auto"/>
        </w:rPr>
        <w:instrText xml:space="preserve"> HYPERLINK \l "_Toc639516168" </w:instrText>
      </w:r>
      <w:r>
        <w:rPr>
          <w:color w:val="auto"/>
        </w:rPr>
        <w:fldChar w:fldCharType="separate"/>
      </w:r>
      <w:r>
        <w:rPr>
          <w:rFonts w:hint="eastAsia" w:asciiTheme="minorEastAsia" w:hAnsiTheme="minorEastAsia" w:eastAsiaTheme="minorEastAsia" w:cstheme="minorEastAsia"/>
          <w:b w:val="0"/>
          <w:bCs w:val="0"/>
          <w:color w:val="auto"/>
          <w:sz w:val="21"/>
          <w:szCs w:val="21"/>
        </w:rPr>
        <w:t>第一章 竞争性磋商公告</w:t>
      </w:r>
      <w:r>
        <w:rPr>
          <w:rFonts w:hint="eastAsia" w:asciiTheme="minorEastAsia" w:hAnsiTheme="minorEastAsia" w:eastAsiaTheme="minorEastAsia" w:cstheme="minorEastAsia"/>
          <w:b w:val="0"/>
          <w:bCs w:val="0"/>
          <w:color w:val="auto"/>
          <w:sz w:val="21"/>
          <w:szCs w:val="21"/>
        </w:rPr>
        <w:tab/>
      </w:r>
      <w:r>
        <w:rPr>
          <w:rFonts w:hint="eastAsia" w:asciiTheme="minorEastAsia" w:hAnsiTheme="minorEastAsia" w:eastAsiaTheme="minorEastAsia" w:cstheme="minorEastAsia"/>
          <w:b w:val="0"/>
          <w:bCs w:val="0"/>
          <w:color w:val="auto"/>
          <w:sz w:val="21"/>
          <w:szCs w:val="21"/>
        </w:rPr>
        <w:fldChar w:fldCharType="begin"/>
      </w:r>
      <w:r>
        <w:rPr>
          <w:rFonts w:hint="eastAsia" w:asciiTheme="minorEastAsia" w:hAnsiTheme="minorEastAsia" w:eastAsiaTheme="minorEastAsia" w:cstheme="minorEastAsia"/>
          <w:b w:val="0"/>
          <w:bCs w:val="0"/>
          <w:color w:val="auto"/>
          <w:sz w:val="21"/>
          <w:szCs w:val="21"/>
        </w:rPr>
        <w:instrText xml:space="preserve"> PAGEREF _Toc639516168 \h </w:instrText>
      </w:r>
      <w:r>
        <w:rPr>
          <w:rFonts w:hint="eastAsia" w:asciiTheme="minorEastAsia" w:hAnsiTheme="minorEastAsia" w:eastAsiaTheme="minorEastAsia" w:cstheme="minorEastAsia"/>
          <w:b w:val="0"/>
          <w:bCs w:val="0"/>
          <w:color w:val="auto"/>
          <w:sz w:val="21"/>
          <w:szCs w:val="21"/>
        </w:rPr>
        <w:fldChar w:fldCharType="separate"/>
      </w:r>
      <w:r>
        <w:rPr>
          <w:rFonts w:hint="eastAsia" w:asciiTheme="minorEastAsia" w:hAnsiTheme="minorEastAsia" w:eastAsiaTheme="minorEastAsia" w:cstheme="minorEastAsia"/>
          <w:b w:val="0"/>
          <w:bCs w:val="0"/>
          <w:color w:val="auto"/>
          <w:sz w:val="21"/>
          <w:szCs w:val="21"/>
        </w:rPr>
        <w:t>2</w:t>
      </w:r>
      <w:r>
        <w:rPr>
          <w:rFonts w:hint="eastAsia" w:asciiTheme="minorEastAsia" w:hAnsiTheme="minorEastAsia" w:eastAsiaTheme="minorEastAsia" w:cstheme="minorEastAsia"/>
          <w:b w:val="0"/>
          <w:bCs w:val="0"/>
          <w:color w:val="auto"/>
          <w:sz w:val="21"/>
          <w:szCs w:val="21"/>
        </w:rPr>
        <w:fldChar w:fldCharType="end"/>
      </w:r>
      <w:r>
        <w:rPr>
          <w:rFonts w:hint="eastAsia" w:asciiTheme="minorEastAsia" w:hAnsiTheme="minorEastAsia" w:eastAsiaTheme="minorEastAsia" w:cstheme="minorEastAsia"/>
          <w:b w:val="0"/>
          <w:bCs w:val="0"/>
          <w:color w:val="auto"/>
          <w:sz w:val="21"/>
          <w:szCs w:val="21"/>
        </w:rPr>
        <w:fldChar w:fldCharType="end"/>
      </w:r>
    </w:p>
    <w:p w14:paraId="70695F94">
      <w:pPr>
        <w:pStyle w:val="36"/>
        <w:tabs>
          <w:tab w:val="right" w:leader="dot" w:pos="9298"/>
        </w:tabs>
        <w:snapToGrid w:val="0"/>
        <w:spacing w:before="0" w:after="0" w:line="360" w:lineRule="auto"/>
        <w:rPr>
          <w:rFonts w:hint="eastAsia" w:asciiTheme="minorEastAsia" w:hAnsiTheme="minorEastAsia" w:eastAsiaTheme="minorEastAsia" w:cstheme="minorEastAsia"/>
          <w:b w:val="0"/>
          <w:bCs w:val="0"/>
          <w:color w:val="auto"/>
          <w:sz w:val="21"/>
          <w:szCs w:val="21"/>
        </w:rPr>
      </w:pPr>
      <w:r>
        <w:rPr>
          <w:color w:val="auto"/>
        </w:rPr>
        <w:fldChar w:fldCharType="begin"/>
      </w:r>
      <w:r>
        <w:rPr>
          <w:color w:val="auto"/>
        </w:rPr>
        <w:instrText xml:space="preserve"> HYPERLINK \l "_Toc2123033581" </w:instrText>
      </w:r>
      <w:r>
        <w:rPr>
          <w:color w:val="auto"/>
        </w:rPr>
        <w:fldChar w:fldCharType="separate"/>
      </w:r>
      <w:r>
        <w:rPr>
          <w:rFonts w:hint="eastAsia" w:asciiTheme="minorEastAsia" w:hAnsiTheme="minorEastAsia" w:eastAsiaTheme="minorEastAsia" w:cstheme="minorEastAsia"/>
          <w:b w:val="0"/>
          <w:bCs w:val="0"/>
          <w:color w:val="auto"/>
          <w:sz w:val="21"/>
          <w:szCs w:val="21"/>
        </w:rPr>
        <w:t>第二章 供应商须知</w:t>
      </w:r>
      <w:r>
        <w:rPr>
          <w:rFonts w:hint="eastAsia" w:asciiTheme="minorEastAsia" w:hAnsiTheme="minorEastAsia" w:eastAsiaTheme="minorEastAsia" w:cstheme="minorEastAsia"/>
          <w:b w:val="0"/>
          <w:bCs w:val="0"/>
          <w:color w:val="auto"/>
          <w:sz w:val="21"/>
          <w:szCs w:val="21"/>
        </w:rPr>
        <w:tab/>
      </w:r>
      <w:r>
        <w:rPr>
          <w:rFonts w:hint="eastAsia" w:asciiTheme="minorEastAsia" w:hAnsiTheme="minorEastAsia" w:eastAsiaTheme="minorEastAsia" w:cstheme="minorEastAsia"/>
          <w:b w:val="0"/>
          <w:bCs w:val="0"/>
          <w:color w:val="auto"/>
          <w:sz w:val="21"/>
          <w:szCs w:val="21"/>
        </w:rPr>
        <w:fldChar w:fldCharType="begin"/>
      </w:r>
      <w:r>
        <w:rPr>
          <w:rFonts w:hint="eastAsia" w:asciiTheme="minorEastAsia" w:hAnsiTheme="minorEastAsia" w:eastAsiaTheme="minorEastAsia" w:cstheme="minorEastAsia"/>
          <w:b w:val="0"/>
          <w:bCs w:val="0"/>
          <w:color w:val="auto"/>
          <w:sz w:val="21"/>
          <w:szCs w:val="21"/>
        </w:rPr>
        <w:instrText xml:space="preserve"> PAGEREF _Toc2123033581 \h </w:instrText>
      </w:r>
      <w:r>
        <w:rPr>
          <w:rFonts w:hint="eastAsia" w:asciiTheme="minorEastAsia" w:hAnsiTheme="minorEastAsia" w:eastAsiaTheme="minorEastAsia" w:cstheme="minorEastAsia"/>
          <w:b w:val="0"/>
          <w:bCs w:val="0"/>
          <w:color w:val="auto"/>
          <w:sz w:val="21"/>
          <w:szCs w:val="21"/>
        </w:rPr>
        <w:fldChar w:fldCharType="separate"/>
      </w:r>
      <w:r>
        <w:rPr>
          <w:rFonts w:hint="eastAsia" w:asciiTheme="minorEastAsia" w:hAnsiTheme="minorEastAsia" w:eastAsiaTheme="minorEastAsia" w:cstheme="minorEastAsia"/>
          <w:b w:val="0"/>
          <w:bCs w:val="0"/>
          <w:color w:val="auto"/>
          <w:sz w:val="21"/>
          <w:szCs w:val="21"/>
        </w:rPr>
        <w:t>5</w:t>
      </w:r>
      <w:r>
        <w:rPr>
          <w:rFonts w:hint="eastAsia" w:asciiTheme="minorEastAsia" w:hAnsiTheme="minorEastAsia" w:eastAsiaTheme="minorEastAsia" w:cstheme="minorEastAsia"/>
          <w:b w:val="0"/>
          <w:bCs w:val="0"/>
          <w:color w:val="auto"/>
          <w:sz w:val="21"/>
          <w:szCs w:val="21"/>
        </w:rPr>
        <w:fldChar w:fldCharType="end"/>
      </w:r>
      <w:r>
        <w:rPr>
          <w:rFonts w:hint="eastAsia" w:asciiTheme="minorEastAsia" w:hAnsiTheme="minorEastAsia" w:eastAsiaTheme="minorEastAsia" w:cstheme="minorEastAsia"/>
          <w:b w:val="0"/>
          <w:bCs w:val="0"/>
          <w:color w:val="auto"/>
          <w:sz w:val="21"/>
          <w:szCs w:val="21"/>
        </w:rPr>
        <w:fldChar w:fldCharType="end"/>
      </w:r>
    </w:p>
    <w:p w14:paraId="15849E9D">
      <w:pPr>
        <w:pStyle w:val="44"/>
        <w:tabs>
          <w:tab w:val="right" w:leader="dot" w:pos="9298"/>
        </w:tabs>
        <w:snapToGrid w:val="0"/>
        <w:spacing w:line="360" w:lineRule="auto"/>
        <w:rPr>
          <w:rFonts w:hint="eastAsia" w:asciiTheme="minorEastAsia" w:hAnsiTheme="minorEastAsia" w:eastAsiaTheme="minorEastAsia" w:cstheme="minorEastAsia"/>
          <w:color w:val="auto"/>
          <w:sz w:val="21"/>
          <w:szCs w:val="21"/>
        </w:rPr>
      </w:pPr>
      <w:r>
        <w:rPr>
          <w:color w:val="auto"/>
        </w:rPr>
        <w:fldChar w:fldCharType="begin"/>
      </w:r>
      <w:r>
        <w:rPr>
          <w:color w:val="auto"/>
        </w:rPr>
        <w:instrText xml:space="preserve"> HYPERLINK \l "_Toc1516315704" </w:instrText>
      </w:r>
      <w:r>
        <w:rPr>
          <w:color w:val="auto"/>
        </w:rPr>
        <w:fldChar w:fldCharType="separate"/>
      </w:r>
      <w:r>
        <w:rPr>
          <w:rFonts w:hint="eastAsia" w:asciiTheme="minorEastAsia" w:hAnsiTheme="minorEastAsia" w:eastAsiaTheme="minorEastAsia" w:cstheme="minorEastAsia"/>
          <w:color w:val="auto"/>
          <w:sz w:val="21"/>
          <w:szCs w:val="21"/>
        </w:rPr>
        <w:t>一、供应商须知前附表</w:t>
      </w: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sz w:val="21"/>
          <w:szCs w:val="21"/>
        </w:rPr>
        <w:fldChar w:fldCharType="begin"/>
      </w:r>
      <w:r>
        <w:rPr>
          <w:rFonts w:hint="eastAsia" w:asciiTheme="minorEastAsia" w:hAnsiTheme="minorEastAsia" w:eastAsiaTheme="minorEastAsia" w:cstheme="minorEastAsia"/>
          <w:color w:val="auto"/>
          <w:sz w:val="21"/>
          <w:szCs w:val="21"/>
        </w:rPr>
        <w:instrText xml:space="preserve"> PAGEREF _Toc1516315704 \h </w:instrText>
      </w:r>
      <w:r>
        <w:rPr>
          <w:rFonts w:hint="eastAsia" w:asciiTheme="minorEastAsia" w:hAnsiTheme="minorEastAsia" w:eastAsiaTheme="minorEastAsia" w:cstheme="minorEastAsia"/>
          <w:color w:val="auto"/>
          <w:sz w:val="21"/>
          <w:szCs w:val="21"/>
        </w:rPr>
        <w:fldChar w:fldCharType="separate"/>
      </w:r>
      <w:r>
        <w:rPr>
          <w:rFonts w:hint="eastAsia" w:asciiTheme="minorEastAsia" w:hAnsiTheme="minorEastAsia" w:eastAsiaTheme="minorEastAsia" w:cstheme="minorEastAsia"/>
          <w:color w:val="auto"/>
          <w:sz w:val="21"/>
          <w:szCs w:val="21"/>
        </w:rPr>
        <w:t>5</w:t>
      </w:r>
      <w:r>
        <w:rPr>
          <w:rFonts w:hint="eastAsia" w:asciiTheme="minorEastAsia" w:hAnsiTheme="minorEastAsia" w:eastAsiaTheme="minorEastAsia" w:cstheme="minorEastAsia"/>
          <w:color w:val="auto"/>
          <w:sz w:val="21"/>
          <w:szCs w:val="21"/>
        </w:rPr>
        <w:fldChar w:fldCharType="end"/>
      </w:r>
      <w:r>
        <w:rPr>
          <w:rFonts w:hint="eastAsia" w:asciiTheme="minorEastAsia" w:hAnsiTheme="minorEastAsia" w:eastAsiaTheme="minorEastAsia" w:cstheme="minorEastAsia"/>
          <w:color w:val="auto"/>
          <w:sz w:val="21"/>
          <w:szCs w:val="21"/>
        </w:rPr>
        <w:fldChar w:fldCharType="end"/>
      </w:r>
    </w:p>
    <w:p w14:paraId="1BC5AB9A">
      <w:pPr>
        <w:pStyle w:val="44"/>
        <w:tabs>
          <w:tab w:val="right" w:leader="dot" w:pos="9298"/>
        </w:tabs>
        <w:snapToGrid w:val="0"/>
        <w:spacing w:line="360" w:lineRule="auto"/>
        <w:rPr>
          <w:rFonts w:hint="eastAsia" w:asciiTheme="minorEastAsia" w:hAnsiTheme="minorEastAsia" w:eastAsiaTheme="minorEastAsia" w:cstheme="minorEastAsia"/>
          <w:color w:val="auto"/>
          <w:sz w:val="21"/>
          <w:szCs w:val="21"/>
        </w:rPr>
      </w:pPr>
      <w:r>
        <w:rPr>
          <w:color w:val="auto"/>
        </w:rPr>
        <w:fldChar w:fldCharType="begin"/>
      </w:r>
      <w:r>
        <w:rPr>
          <w:color w:val="auto"/>
        </w:rPr>
        <w:instrText xml:space="preserve"> HYPERLINK \l "_Toc1731932462" </w:instrText>
      </w:r>
      <w:r>
        <w:rPr>
          <w:color w:val="auto"/>
        </w:rPr>
        <w:fldChar w:fldCharType="separate"/>
      </w:r>
      <w:r>
        <w:rPr>
          <w:rFonts w:hint="eastAsia" w:asciiTheme="minorEastAsia" w:hAnsiTheme="minorEastAsia" w:eastAsiaTheme="minorEastAsia" w:cstheme="minorEastAsia"/>
          <w:color w:val="auto"/>
          <w:sz w:val="21"/>
          <w:szCs w:val="21"/>
        </w:rPr>
        <w:t>二、供应商须知正文部分</w:t>
      </w: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sz w:val="21"/>
          <w:szCs w:val="21"/>
        </w:rPr>
        <w:fldChar w:fldCharType="begin"/>
      </w:r>
      <w:r>
        <w:rPr>
          <w:rFonts w:hint="eastAsia" w:asciiTheme="minorEastAsia" w:hAnsiTheme="minorEastAsia" w:eastAsiaTheme="minorEastAsia" w:cstheme="minorEastAsia"/>
          <w:color w:val="auto"/>
          <w:sz w:val="21"/>
          <w:szCs w:val="21"/>
        </w:rPr>
        <w:instrText xml:space="preserve"> PAGEREF _Toc1731932462 \h </w:instrText>
      </w:r>
      <w:r>
        <w:rPr>
          <w:rFonts w:hint="eastAsia" w:asciiTheme="minorEastAsia" w:hAnsiTheme="minorEastAsia" w:eastAsiaTheme="minorEastAsia" w:cstheme="minorEastAsia"/>
          <w:color w:val="auto"/>
          <w:sz w:val="21"/>
          <w:szCs w:val="21"/>
        </w:rPr>
        <w:fldChar w:fldCharType="separate"/>
      </w:r>
      <w:r>
        <w:rPr>
          <w:rFonts w:hint="eastAsia" w:asciiTheme="minorEastAsia" w:hAnsiTheme="minorEastAsia" w:eastAsiaTheme="minorEastAsia" w:cstheme="minorEastAsia"/>
          <w:color w:val="auto"/>
          <w:sz w:val="21"/>
          <w:szCs w:val="21"/>
        </w:rPr>
        <w:t>12</w:t>
      </w:r>
      <w:r>
        <w:rPr>
          <w:rFonts w:hint="eastAsia" w:asciiTheme="minorEastAsia" w:hAnsiTheme="minorEastAsia" w:eastAsiaTheme="minorEastAsia" w:cstheme="minorEastAsia"/>
          <w:color w:val="auto"/>
          <w:sz w:val="21"/>
          <w:szCs w:val="21"/>
        </w:rPr>
        <w:fldChar w:fldCharType="end"/>
      </w:r>
      <w:r>
        <w:rPr>
          <w:rFonts w:hint="eastAsia" w:asciiTheme="minorEastAsia" w:hAnsiTheme="minorEastAsia" w:eastAsiaTheme="minorEastAsia" w:cstheme="minorEastAsia"/>
          <w:color w:val="auto"/>
          <w:sz w:val="21"/>
          <w:szCs w:val="21"/>
        </w:rPr>
        <w:fldChar w:fldCharType="end"/>
      </w:r>
      <w:bookmarkStart w:id="1327" w:name="_GoBack"/>
      <w:bookmarkEnd w:id="1327"/>
    </w:p>
    <w:p w14:paraId="09550020">
      <w:pPr>
        <w:pStyle w:val="36"/>
        <w:tabs>
          <w:tab w:val="right" w:leader="dot" w:pos="9298"/>
        </w:tabs>
        <w:snapToGrid w:val="0"/>
        <w:spacing w:before="0" w:after="0" w:line="360" w:lineRule="auto"/>
        <w:rPr>
          <w:rFonts w:hint="eastAsia" w:asciiTheme="minorEastAsia" w:hAnsiTheme="minorEastAsia" w:eastAsiaTheme="minorEastAsia" w:cstheme="minorEastAsia"/>
          <w:b w:val="0"/>
          <w:bCs w:val="0"/>
          <w:color w:val="auto"/>
          <w:sz w:val="21"/>
          <w:szCs w:val="21"/>
        </w:rPr>
      </w:pPr>
      <w:r>
        <w:rPr>
          <w:color w:val="auto"/>
        </w:rPr>
        <w:fldChar w:fldCharType="begin"/>
      </w:r>
      <w:r>
        <w:rPr>
          <w:color w:val="auto"/>
        </w:rPr>
        <w:instrText xml:space="preserve"> HYPERLINK \l "_Toc1219997772" </w:instrText>
      </w:r>
      <w:r>
        <w:rPr>
          <w:color w:val="auto"/>
        </w:rPr>
        <w:fldChar w:fldCharType="separate"/>
      </w:r>
      <w:r>
        <w:rPr>
          <w:rFonts w:hint="eastAsia" w:asciiTheme="minorEastAsia" w:hAnsiTheme="minorEastAsia" w:eastAsiaTheme="minorEastAsia" w:cstheme="minorEastAsia"/>
          <w:b w:val="0"/>
          <w:bCs w:val="0"/>
          <w:color w:val="auto"/>
          <w:sz w:val="21"/>
          <w:szCs w:val="21"/>
        </w:rPr>
        <w:t>第三章 合同条款及格式</w:t>
      </w:r>
      <w:r>
        <w:rPr>
          <w:rFonts w:hint="eastAsia" w:asciiTheme="minorEastAsia" w:hAnsiTheme="minorEastAsia" w:eastAsiaTheme="minorEastAsia" w:cstheme="minorEastAsia"/>
          <w:b w:val="0"/>
          <w:bCs w:val="0"/>
          <w:color w:val="auto"/>
          <w:sz w:val="21"/>
          <w:szCs w:val="21"/>
        </w:rPr>
        <w:tab/>
      </w:r>
      <w:r>
        <w:rPr>
          <w:rFonts w:hint="eastAsia" w:asciiTheme="minorEastAsia" w:hAnsiTheme="minorEastAsia" w:eastAsiaTheme="minorEastAsia" w:cstheme="minorEastAsia"/>
          <w:b w:val="0"/>
          <w:bCs w:val="0"/>
          <w:color w:val="auto"/>
          <w:sz w:val="21"/>
          <w:szCs w:val="21"/>
        </w:rPr>
        <w:fldChar w:fldCharType="begin"/>
      </w:r>
      <w:r>
        <w:rPr>
          <w:rFonts w:hint="eastAsia" w:asciiTheme="minorEastAsia" w:hAnsiTheme="minorEastAsia" w:eastAsiaTheme="minorEastAsia" w:cstheme="minorEastAsia"/>
          <w:b w:val="0"/>
          <w:bCs w:val="0"/>
          <w:color w:val="auto"/>
          <w:sz w:val="21"/>
          <w:szCs w:val="21"/>
        </w:rPr>
        <w:instrText xml:space="preserve"> PAGEREF _Toc1219997772 \h </w:instrText>
      </w:r>
      <w:r>
        <w:rPr>
          <w:rFonts w:hint="eastAsia" w:asciiTheme="minorEastAsia" w:hAnsiTheme="minorEastAsia" w:eastAsiaTheme="minorEastAsia" w:cstheme="minorEastAsia"/>
          <w:b w:val="0"/>
          <w:bCs w:val="0"/>
          <w:color w:val="auto"/>
          <w:sz w:val="21"/>
          <w:szCs w:val="21"/>
        </w:rPr>
        <w:fldChar w:fldCharType="separate"/>
      </w:r>
      <w:r>
        <w:rPr>
          <w:rFonts w:hint="eastAsia" w:asciiTheme="minorEastAsia" w:hAnsiTheme="minorEastAsia" w:eastAsiaTheme="minorEastAsia" w:cstheme="minorEastAsia"/>
          <w:b w:val="0"/>
          <w:bCs w:val="0"/>
          <w:color w:val="auto"/>
          <w:sz w:val="21"/>
          <w:szCs w:val="21"/>
        </w:rPr>
        <w:t>20</w:t>
      </w:r>
      <w:r>
        <w:rPr>
          <w:rFonts w:hint="eastAsia" w:asciiTheme="minorEastAsia" w:hAnsiTheme="minorEastAsia" w:eastAsiaTheme="minorEastAsia" w:cstheme="minorEastAsia"/>
          <w:b w:val="0"/>
          <w:bCs w:val="0"/>
          <w:color w:val="auto"/>
          <w:sz w:val="21"/>
          <w:szCs w:val="21"/>
        </w:rPr>
        <w:fldChar w:fldCharType="end"/>
      </w:r>
      <w:r>
        <w:rPr>
          <w:rFonts w:hint="eastAsia" w:asciiTheme="minorEastAsia" w:hAnsiTheme="minorEastAsia" w:eastAsiaTheme="minorEastAsia" w:cstheme="minorEastAsia"/>
          <w:b w:val="0"/>
          <w:bCs w:val="0"/>
          <w:color w:val="auto"/>
          <w:sz w:val="21"/>
          <w:szCs w:val="21"/>
        </w:rPr>
        <w:fldChar w:fldCharType="end"/>
      </w:r>
    </w:p>
    <w:p w14:paraId="1CF2828D">
      <w:pPr>
        <w:pStyle w:val="36"/>
        <w:tabs>
          <w:tab w:val="right" w:leader="dot" w:pos="9298"/>
        </w:tabs>
        <w:snapToGrid w:val="0"/>
        <w:spacing w:before="0" w:after="0" w:line="360" w:lineRule="auto"/>
        <w:rPr>
          <w:rFonts w:hint="eastAsia" w:asciiTheme="minorEastAsia" w:hAnsiTheme="minorEastAsia" w:eastAsiaTheme="minorEastAsia" w:cstheme="minorEastAsia"/>
          <w:b w:val="0"/>
          <w:bCs w:val="0"/>
          <w:color w:val="auto"/>
          <w:sz w:val="21"/>
          <w:szCs w:val="21"/>
        </w:rPr>
      </w:pPr>
      <w:r>
        <w:rPr>
          <w:color w:val="auto"/>
        </w:rPr>
        <w:fldChar w:fldCharType="begin"/>
      </w:r>
      <w:r>
        <w:rPr>
          <w:color w:val="auto"/>
        </w:rPr>
        <w:instrText xml:space="preserve"> HYPERLINK \l "_Toc957756138" </w:instrText>
      </w:r>
      <w:r>
        <w:rPr>
          <w:color w:val="auto"/>
        </w:rPr>
        <w:fldChar w:fldCharType="separate"/>
      </w:r>
      <w:r>
        <w:rPr>
          <w:rFonts w:hint="eastAsia" w:asciiTheme="minorEastAsia" w:hAnsiTheme="minorEastAsia" w:eastAsiaTheme="minorEastAsia" w:cstheme="minorEastAsia"/>
          <w:b w:val="0"/>
          <w:bCs w:val="0"/>
          <w:color w:val="auto"/>
          <w:sz w:val="21"/>
          <w:szCs w:val="21"/>
        </w:rPr>
        <w:t>第四章 响应文件格式</w:t>
      </w:r>
      <w:r>
        <w:rPr>
          <w:rFonts w:hint="eastAsia" w:asciiTheme="minorEastAsia" w:hAnsiTheme="minorEastAsia" w:eastAsiaTheme="minorEastAsia" w:cstheme="minorEastAsia"/>
          <w:b w:val="0"/>
          <w:bCs w:val="0"/>
          <w:color w:val="auto"/>
          <w:sz w:val="21"/>
          <w:szCs w:val="21"/>
        </w:rPr>
        <w:tab/>
      </w:r>
      <w:r>
        <w:rPr>
          <w:rFonts w:hint="eastAsia" w:asciiTheme="minorEastAsia" w:hAnsiTheme="minorEastAsia" w:eastAsiaTheme="minorEastAsia" w:cstheme="minorEastAsia"/>
          <w:b w:val="0"/>
          <w:bCs w:val="0"/>
          <w:color w:val="auto"/>
          <w:sz w:val="21"/>
          <w:szCs w:val="21"/>
        </w:rPr>
        <w:fldChar w:fldCharType="begin"/>
      </w:r>
      <w:r>
        <w:rPr>
          <w:rFonts w:hint="eastAsia" w:asciiTheme="minorEastAsia" w:hAnsiTheme="minorEastAsia" w:eastAsiaTheme="minorEastAsia" w:cstheme="minorEastAsia"/>
          <w:b w:val="0"/>
          <w:bCs w:val="0"/>
          <w:color w:val="auto"/>
          <w:sz w:val="21"/>
          <w:szCs w:val="21"/>
        </w:rPr>
        <w:instrText xml:space="preserve"> PAGEREF _Toc957756138 \h </w:instrText>
      </w:r>
      <w:r>
        <w:rPr>
          <w:rFonts w:hint="eastAsia" w:asciiTheme="minorEastAsia" w:hAnsiTheme="minorEastAsia" w:eastAsiaTheme="minorEastAsia" w:cstheme="minorEastAsia"/>
          <w:b w:val="0"/>
          <w:bCs w:val="0"/>
          <w:color w:val="auto"/>
          <w:sz w:val="21"/>
          <w:szCs w:val="21"/>
        </w:rPr>
        <w:fldChar w:fldCharType="separate"/>
      </w:r>
      <w:r>
        <w:rPr>
          <w:rFonts w:hint="eastAsia" w:asciiTheme="minorEastAsia" w:hAnsiTheme="minorEastAsia" w:eastAsiaTheme="minorEastAsia" w:cstheme="minorEastAsia"/>
          <w:b w:val="0"/>
          <w:bCs w:val="0"/>
          <w:color w:val="auto"/>
          <w:sz w:val="21"/>
          <w:szCs w:val="21"/>
        </w:rPr>
        <w:t>24</w:t>
      </w:r>
      <w:r>
        <w:rPr>
          <w:rFonts w:hint="eastAsia" w:asciiTheme="minorEastAsia" w:hAnsiTheme="minorEastAsia" w:eastAsiaTheme="minorEastAsia" w:cstheme="minorEastAsia"/>
          <w:b w:val="0"/>
          <w:bCs w:val="0"/>
          <w:color w:val="auto"/>
          <w:sz w:val="21"/>
          <w:szCs w:val="21"/>
        </w:rPr>
        <w:fldChar w:fldCharType="end"/>
      </w:r>
      <w:r>
        <w:rPr>
          <w:rFonts w:hint="eastAsia" w:asciiTheme="minorEastAsia" w:hAnsiTheme="minorEastAsia" w:eastAsiaTheme="minorEastAsia" w:cstheme="minorEastAsia"/>
          <w:b w:val="0"/>
          <w:bCs w:val="0"/>
          <w:color w:val="auto"/>
          <w:sz w:val="21"/>
          <w:szCs w:val="21"/>
        </w:rPr>
        <w:fldChar w:fldCharType="end"/>
      </w:r>
    </w:p>
    <w:p w14:paraId="1E87142C">
      <w:pPr>
        <w:pStyle w:val="44"/>
        <w:tabs>
          <w:tab w:val="right" w:leader="dot" w:pos="9298"/>
        </w:tabs>
        <w:snapToGrid w:val="0"/>
        <w:spacing w:line="360" w:lineRule="auto"/>
        <w:rPr>
          <w:rFonts w:hint="eastAsia" w:asciiTheme="minorEastAsia" w:hAnsiTheme="minorEastAsia" w:eastAsiaTheme="minorEastAsia" w:cstheme="minorEastAsia"/>
          <w:color w:val="auto"/>
          <w:sz w:val="21"/>
          <w:szCs w:val="21"/>
        </w:rPr>
      </w:pPr>
      <w:r>
        <w:rPr>
          <w:color w:val="auto"/>
        </w:rPr>
        <w:fldChar w:fldCharType="begin"/>
      </w:r>
      <w:r>
        <w:rPr>
          <w:color w:val="auto"/>
        </w:rPr>
        <w:instrText xml:space="preserve"> HYPERLINK \l "_Toc783898445" </w:instrText>
      </w:r>
      <w:r>
        <w:rPr>
          <w:color w:val="auto"/>
        </w:rPr>
        <w:fldChar w:fldCharType="separate"/>
      </w:r>
      <w:r>
        <w:rPr>
          <w:rFonts w:hint="eastAsia" w:asciiTheme="minorEastAsia" w:hAnsiTheme="minorEastAsia" w:eastAsiaTheme="minorEastAsia" w:cstheme="minorEastAsia"/>
          <w:color w:val="auto"/>
          <w:sz w:val="21"/>
          <w:szCs w:val="21"/>
        </w:rPr>
        <w:t>开标一览表</w:t>
      </w: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sz w:val="21"/>
          <w:szCs w:val="21"/>
        </w:rPr>
        <w:fldChar w:fldCharType="begin"/>
      </w:r>
      <w:r>
        <w:rPr>
          <w:rFonts w:hint="eastAsia" w:asciiTheme="minorEastAsia" w:hAnsiTheme="minorEastAsia" w:eastAsiaTheme="minorEastAsia" w:cstheme="minorEastAsia"/>
          <w:color w:val="auto"/>
          <w:sz w:val="21"/>
          <w:szCs w:val="21"/>
        </w:rPr>
        <w:instrText xml:space="preserve"> PAGEREF _Toc783898445 \h </w:instrText>
      </w:r>
      <w:r>
        <w:rPr>
          <w:rFonts w:hint="eastAsia" w:asciiTheme="minorEastAsia" w:hAnsiTheme="minorEastAsia" w:eastAsiaTheme="minorEastAsia" w:cstheme="minorEastAsia"/>
          <w:color w:val="auto"/>
          <w:sz w:val="21"/>
          <w:szCs w:val="21"/>
        </w:rPr>
        <w:fldChar w:fldCharType="separate"/>
      </w:r>
      <w:r>
        <w:rPr>
          <w:rFonts w:hint="eastAsia" w:asciiTheme="minorEastAsia" w:hAnsiTheme="minorEastAsia" w:eastAsiaTheme="minorEastAsia" w:cstheme="minorEastAsia"/>
          <w:color w:val="auto"/>
          <w:sz w:val="21"/>
          <w:szCs w:val="21"/>
        </w:rPr>
        <w:t>25</w:t>
      </w:r>
      <w:r>
        <w:rPr>
          <w:rFonts w:hint="eastAsia" w:asciiTheme="minorEastAsia" w:hAnsiTheme="minorEastAsia" w:eastAsiaTheme="minorEastAsia" w:cstheme="minorEastAsia"/>
          <w:color w:val="auto"/>
          <w:sz w:val="21"/>
          <w:szCs w:val="21"/>
        </w:rPr>
        <w:fldChar w:fldCharType="end"/>
      </w:r>
      <w:r>
        <w:rPr>
          <w:rFonts w:hint="eastAsia" w:asciiTheme="minorEastAsia" w:hAnsiTheme="minorEastAsia" w:eastAsiaTheme="minorEastAsia" w:cstheme="minorEastAsia"/>
          <w:color w:val="auto"/>
          <w:sz w:val="21"/>
          <w:szCs w:val="21"/>
        </w:rPr>
        <w:fldChar w:fldCharType="end"/>
      </w:r>
    </w:p>
    <w:p w14:paraId="3F1D9142">
      <w:pPr>
        <w:pStyle w:val="44"/>
        <w:tabs>
          <w:tab w:val="right" w:leader="dot" w:pos="9298"/>
        </w:tabs>
        <w:snapToGrid w:val="0"/>
        <w:spacing w:line="360" w:lineRule="auto"/>
        <w:rPr>
          <w:rFonts w:hint="eastAsia" w:asciiTheme="minorEastAsia" w:hAnsiTheme="minorEastAsia" w:eastAsiaTheme="minorEastAsia" w:cstheme="minorEastAsia"/>
          <w:color w:val="auto"/>
          <w:sz w:val="21"/>
          <w:szCs w:val="21"/>
        </w:rPr>
      </w:pPr>
      <w:r>
        <w:rPr>
          <w:color w:val="auto"/>
        </w:rPr>
        <w:fldChar w:fldCharType="begin"/>
      </w:r>
      <w:r>
        <w:rPr>
          <w:color w:val="auto"/>
        </w:rPr>
        <w:instrText xml:space="preserve"> HYPERLINK \l "_Toc1839744807" </w:instrText>
      </w:r>
      <w:r>
        <w:rPr>
          <w:color w:val="auto"/>
        </w:rPr>
        <w:fldChar w:fldCharType="separate"/>
      </w:r>
      <w:r>
        <w:rPr>
          <w:rFonts w:hint="eastAsia" w:asciiTheme="minorEastAsia" w:hAnsiTheme="minorEastAsia" w:eastAsiaTheme="minorEastAsia" w:cstheme="minorEastAsia"/>
          <w:color w:val="auto"/>
          <w:sz w:val="21"/>
          <w:szCs w:val="21"/>
        </w:rPr>
        <w:t>一、资格文件</w:t>
      </w: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sz w:val="21"/>
          <w:szCs w:val="21"/>
        </w:rPr>
        <w:fldChar w:fldCharType="begin"/>
      </w:r>
      <w:r>
        <w:rPr>
          <w:rFonts w:hint="eastAsia" w:asciiTheme="minorEastAsia" w:hAnsiTheme="minorEastAsia" w:eastAsiaTheme="minorEastAsia" w:cstheme="minorEastAsia"/>
          <w:color w:val="auto"/>
          <w:sz w:val="21"/>
          <w:szCs w:val="21"/>
        </w:rPr>
        <w:instrText xml:space="preserve"> PAGEREF _Toc1839744807 \h </w:instrText>
      </w:r>
      <w:r>
        <w:rPr>
          <w:rFonts w:hint="eastAsia" w:asciiTheme="minorEastAsia" w:hAnsiTheme="minorEastAsia" w:eastAsiaTheme="minorEastAsia" w:cstheme="minorEastAsia"/>
          <w:color w:val="auto"/>
          <w:sz w:val="21"/>
          <w:szCs w:val="21"/>
        </w:rPr>
        <w:fldChar w:fldCharType="separate"/>
      </w:r>
      <w:r>
        <w:rPr>
          <w:rFonts w:hint="eastAsia" w:asciiTheme="minorEastAsia" w:hAnsiTheme="minorEastAsia" w:eastAsiaTheme="minorEastAsia" w:cstheme="minorEastAsia"/>
          <w:color w:val="auto"/>
          <w:sz w:val="21"/>
          <w:szCs w:val="21"/>
        </w:rPr>
        <w:t>26</w:t>
      </w:r>
      <w:r>
        <w:rPr>
          <w:rFonts w:hint="eastAsia" w:asciiTheme="minorEastAsia" w:hAnsiTheme="minorEastAsia" w:eastAsiaTheme="minorEastAsia" w:cstheme="minorEastAsia"/>
          <w:color w:val="auto"/>
          <w:sz w:val="21"/>
          <w:szCs w:val="21"/>
        </w:rPr>
        <w:fldChar w:fldCharType="end"/>
      </w:r>
      <w:r>
        <w:rPr>
          <w:rFonts w:hint="eastAsia" w:asciiTheme="minorEastAsia" w:hAnsiTheme="minorEastAsia" w:eastAsiaTheme="minorEastAsia" w:cstheme="minorEastAsia"/>
          <w:color w:val="auto"/>
          <w:sz w:val="21"/>
          <w:szCs w:val="21"/>
        </w:rPr>
        <w:fldChar w:fldCharType="end"/>
      </w:r>
    </w:p>
    <w:p w14:paraId="6C5A706F">
      <w:pPr>
        <w:pStyle w:val="44"/>
        <w:tabs>
          <w:tab w:val="right" w:leader="dot" w:pos="9298"/>
        </w:tabs>
        <w:snapToGrid w:val="0"/>
        <w:spacing w:line="360" w:lineRule="auto"/>
        <w:rPr>
          <w:rFonts w:hint="eastAsia" w:asciiTheme="minorEastAsia" w:hAnsiTheme="minorEastAsia" w:eastAsiaTheme="minorEastAsia" w:cstheme="minorEastAsia"/>
          <w:color w:val="auto"/>
          <w:sz w:val="21"/>
          <w:szCs w:val="21"/>
        </w:rPr>
      </w:pPr>
      <w:r>
        <w:rPr>
          <w:color w:val="auto"/>
        </w:rPr>
        <w:fldChar w:fldCharType="begin"/>
      </w:r>
      <w:r>
        <w:rPr>
          <w:color w:val="auto"/>
        </w:rPr>
        <w:instrText xml:space="preserve"> HYPERLINK \l "_Toc1103342116" </w:instrText>
      </w:r>
      <w:r>
        <w:rPr>
          <w:color w:val="auto"/>
        </w:rPr>
        <w:fldChar w:fldCharType="separate"/>
      </w:r>
      <w:r>
        <w:rPr>
          <w:rFonts w:hint="eastAsia" w:asciiTheme="minorEastAsia" w:hAnsiTheme="minorEastAsia" w:eastAsiaTheme="minorEastAsia" w:cstheme="minorEastAsia"/>
          <w:color w:val="auto"/>
          <w:sz w:val="21"/>
          <w:szCs w:val="21"/>
        </w:rPr>
        <w:t>二、商务报价文件</w:t>
      </w: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sz w:val="21"/>
          <w:szCs w:val="21"/>
        </w:rPr>
        <w:fldChar w:fldCharType="begin"/>
      </w:r>
      <w:r>
        <w:rPr>
          <w:rFonts w:hint="eastAsia" w:asciiTheme="minorEastAsia" w:hAnsiTheme="minorEastAsia" w:eastAsiaTheme="minorEastAsia" w:cstheme="minorEastAsia"/>
          <w:color w:val="auto"/>
          <w:sz w:val="21"/>
          <w:szCs w:val="21"/>
        </w:rPr>
        <w:instrText xml:space="preserve"> PAGEREF _Toc1103342116 \h </w:instrText>
      </w:r>
      <w:r>
        <w:rPr>
          <w:rFonts w:hint="eastAsia" w:asciiTheme="minorEastAsia" w:hAnsiTheme="minorEastAsia" w:eastAsiaTheme="minorEastAsia" w:cstheme="minorEastAsia"/>
          <w:color w:val="auto"/>
          <w:sz w:val="21"/>
          <w:szCs w:val="21"/>
        </w:rPr>
        <w:fldChar w:fldCharType="separate"/>
      </w:r>
      <w:r>
        <w:rPr>
          <w:rFonts w:hint="eastAsia" w:asciiTheme="minorEastAsia" w:hAnsiTheme="minorEastAsia" w:eastAsiaTheme="minorEastAsia" w:cstheme="minorEastAsia"/>
          <w:color w:val="auto"/>
          <w:sz w:val="21"/>
          <w:szCs w:val="21"/>
        </w:rPr>
        <w:t>31</w:t>
      </w:r>
      <w:r>
        <w:rPr>
          <w:rFonts w:hint="eastAsia" w:asciiTheme="minorEastAsia" w:hAnsiTheme="minorEastAsia" w:eastAsiaTheme="minorEastAsia" w:cstheme="minorEastAsia"/>
          <w:color w:val="auto"/>
          <w:sz w:val="21"/>
          <w:szCs w:val="21"/>
        </w:rPr>
        <w:fldChar w:fldCharType="end"/>
      </w:r>
      <w:r>
        <w:rPr>
          <w:rFonts w:hint="eastAsia" w:asciiTheme="minorEastAsia" w:hAnsiTheme="minorEastAsia" w:eastAsiaTheme="minorEastAsia" w:cstheme="minorEastAsia"/>
          <w:color w:val="auto"/>
          <w:sz w:val="21"/>
          <w:szCs w:val="21"/>
        </w:rPr>
        <w:fldChar w:fldCharType="end"/>
      </w:r>
    </w:p>
    <w:p w14:paraId="64983BE5">
      <w:pPr>
        <w:pStyle w:val="44"/>
        <w:tabs>
          <w:tab w:val="right" w:leader="dot" w:pos="9298"/>
        </w:tabs>
        <w:snapToGrid w:val="0"/>
        <w:spacing w:line="360" w:lineRule="auto"/>
        <w:rPr>
          <w:rFonts w:hint="eastAsia" w:asciiTheme="minorEastAsia" w:hAnsiTheme="minorEastAsia" w:eastAsiaTheme="minorEastAsia" w:cstheme="minorEastAsia"/>
          <w:color w:val="auto"/>
          <w:sz w:val="21"/>
          <w:szCs w:val="21"/>
        </w:rPr>
      </w:pPr>
      <w:r>
        <w:rPr>
          <w:color w:val="auto"/>
        </w:rPr>
        <w:fldChar w:fldCharType="begin"/>
      </w:r>
      <w:r>
        <w:rPr>
          <w:color w:val="auto"/>
        </w:rPr>
        <w:instrText xml:space="preserve"> HYPERLINK \l "_Toc484146332" </w:instrText>
      </w:r>
      <w:r>
        <w:rPr>
          <w:color w:val="auto"/>
        </w:rPr>
        <w:fldChar w:fldCharType="separate"/>
      </w:r>
      <w:r>
        <w:rPr>
          <w:rFonts w:hint="eastAsia" w:asciiTheme="minorEastAsia" w:hAnsiTheme="minorEastAsia" w:eastAsiaTheme="minorEastAsia" w:cstheme="minorEastAsia"/>
          <w:color w:val="auto"/>
          <w:sz w:val="21"/>
          <w:szCs w:val="21"/>
        </w:rPr>
        <w:t>三、技术文件</w:t>
      </w: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sz w:val="21"/>
          <w:szCs w:val="21"/>
        </w:rPr>
        <w:fldChar w:fldCharType="begin"/>
      </w:r>
      <w:r>
        <w:rPr>
          <w:rFonts w:hint="eastAsia" w:asciiTheme="minorEastAsia" w:hAnsiTheme="minorEastAsia" w:eastAsiaTheme="minorEastAsia" w:cstheme="minorEastAsia"/>
          <w:color w:val="auto"/>
          <w:sz w:val="21"/>
          <w:szCs w:val="21"/>
        </w:rPr>
        <w:instrText xml:space="preserve"> PAGEREF _Toc484146332 \h </w:instrText>
      </w:r>
      <w:r>
        <w:rPr>
          <w:rFonts w:hint="eastAsia" w:asciiTheme="minorEastAsia" w:hAnsiTheme="minorEastAsia" w:eastAsiaTheme="minorEastAsia" w:cstheme="minorEastAsia"/>
          <w:color w:val="auto"/>
          <w:sz w:val="21"/>
          <w:szCs w:val="21"/>
        </w:rPr>
        <w:fldChar w:fldCharType="separate"/>
      </w:r>
      <w:r>
        <w:rPr>
          <w:rFonts w:hint="eastAsia" w:asciiTheme="minorEastAsia" w:hAnsiTheme="minorEastAsia" w:eastAsiaTheme="minorEastAsia" w:cstheme="minorEastAsia"/>
          <w:color w:val="auto"/>
          <w:sz w:val="21"/>
          <w:szCs w:val="21"/>
        </w:rPr>
        <w:t>43</w:t>
      </w:r>
      <w:r>
        <w:rPr>
          <w:rFonts w:hint="eastAsia" w:asciiTheme="minorEastAsia" w:hAnsiTheme="minorEastAsia" w:eastAsiaTheme="minorEastAsia" w:cstheme="minorEastAsia"/>
          <w:color w:val="auto"/>
          <w:sz w:val="21"/>
          <w:szCs w:val="21"/>
        </w:rPr>
        <w:fldChar w:fldCharType="end"/>
      </w:r>
      <w:r>
        <w:rPr>
          <w:rFonts w:hint="eastAsia" w:asciiTheme="minorEastAsia" w:hAnsiTheme="minorEastAsia" w:eastAsiaTheme="minorEastAsia" w:cstheme="minorEastAsia"/>
          <w:color w:val="auto"/>
          <w:sz w:val="21"/>
          <w:szCs w:val="21"/>
        </w:rPr>
        <w:fldChar w:fldCharType="end"/>
      </w:r>
    </w:p>
    <w:p w14:paraId="3F3EBDD9">
      <w:pPr>
        <w:pStyle w:val="36"/>
        <w:tabs>
          <w:tab w:val="right" w:leader="dot" w:pos="9298"/>
        </w:tabs>
        <w:snapToGrid w:val="0"/>
        <w:spacing w:before="0" w:after="0" w:line="360" w:lineRule="auto"/>
        <w:rPr>
          <w:rFonts w:hint="eastAsia" w:asciiTheme="minorEastAsia" w:hAnsiTheme="minorEastAsia" w:eastAsiaTheme="minorEastAsia" w:cstheme="minorEastAsia"/>
          <w:b w:val="0"/>
          <w:bCs w:val="0"/>
          <w:color w:val="auto"/>
          <w:sz w:val="21"/>
          <w:szCs w:val="21"/>
        </w:rPr>
      </w:pPr>
      <w:r>
        <w:rPr>
          <w:color w:val="auto"/>
        </w:rPr>
        <w:fldChar w:fldCharType="begin"/>
      </w:r>
      <w:r>
        <w:rPr>
          <w:color w:val="auto"/>
        </w:rPr>
        <w:instrText xml:space="preserve"> HYPERLINK \l "_Toc1586168368" </w:instrText>
      </w:r>
      <w:r>
        <w:rPr>
          <w:color w:val="auto"/>
        </w:rPr>
        <w:fldChar w:fldCharType="separate"/>
      </w:r>
      <w:r>
        <w:rPr>
          <w:rFonts w:hint="eastAsia" w:asciiTheme="minorEastAsia" w:hAnsiTheme="minorEastAsia" w:eastAsiaTheme="minorEastAsia" w:cstheme="minorEastAsia"/>
          <w:b w:val="0"/>
          <w:bCs w:val="0"/>
          <w:color w:val="auto"/>
          <w:sz w:val="21"/>
          <w:szCs w:val="21"/>
        </w:rPr>
        <w:t>第五章 采购需求</w:t>
      </w:r>
      <w:r>
        <w:rPr>
          <w:rFonts w:hint="eastAsia" w:asciiTheme="minorEastAsia" w:hAnsiTheme="minorEastAsia" w:eastAsiaTheme="minorEastAsia" w:cstheme="minorEastAsia"/>
          <w:b w:val="0"/>
          <w:bCs w:val="0"/>
          <w:color w:val="auto"/>
          <w:sz w:val="21"/>
          <w:szCs w:val="21"/>
        </w:rPr>
        <w:tab/>
      </w:r>
      <w:r>
        <w:rPr>
          <w:rFonts w:hint="eastAsia" w:asciiTheme="minorEastAsia" w:hAnsiTheme="minorEastAsia" w:eastAsiaTheme="minorEastAsia" w:cstheme="minorEastAsia"/>
          <w:b w:val="0"/>
          <w:bCs w:val="0"/>
          <w:color w:val="auto"/>
          <w:sz w:val="21"/>
          <w:szCs w:val="21"/>
        </w:rPr>
        <w:fldChar w:fldCharType="begin"/>
      </w:r>
      <w:r>
        <w:rPr>
          <w:rFonts w:hint="eastAsia" w:asciiTheme="minorEastAsia" w:hAnsiTheme="minorEastAsia" w:eastAsiaTheme="minorEastAsia" w:cstheme="minorEastAsia"/>
          <w:b w:val="0"/>
          <w:bCs w:val="0"/>
          <w:color w:val="auto"/>
          <w:sz w:val="21"/>
          <w:szCs w:val="21"/>
        </w:rPr>
        <w:instrText xml:space="preserve"> PAGEREF _Toc1586168368 \h </w:instrText>
      </w:r>
      <w:r>
        <w:rPr>
          <w:rFonts w:hint="eastAsia" w:asciiTheme="minorEastAsia" w:hAnsiTheme="minorEastAsia" w:eastAsiaTheme="minorEastAsia" w:cstheme="minorEastAsia"/>
          <w:b w:val="0"/>
          <w:bCs w:val="0"/>
          <w:color w:val="auto"/>
          <w:sz w:val="21"/>
          <w:szCs w:val="21"/>
        </w:rPr>
        <w:fldChar w:fldCharType="separate"/>
      </w:r>
      <w:r>
        <w:rPr>
          <w:rFonts w:hint="eastAsia" w:asciiTheme="minorEastAsia" w:hAnsiTheme="minorEastAsia" w:eastAsiaTheme="minorEastAsia" w:cstheme="minorEastAsia"/>
          <w:b w:val="0"/>
          <w:bCs w:val="0"/>
          <w:color w:val="auto"/>
          <w:sz w:val="21"/>
          <w:szCs w:val="21"/>
        </w:rPr>
        <w:t>44</w:t>
      </w:r>
      <w:r>
        <w:rPr>
          <w:rFonts w:hint="eastAsia" w:asciiTheme="minorEastAsia" w:hAnsiTheme="minorEastAsia" w:eastAsiaTheme="minorEastAsia" w:cstheme="minorEastAsia"/>
          <w:b w:val="0"/>
          <w:bCs w:val="0"/>
          <w:color w:val="auto"/>
          <w:sz w:val="21"/>
          <w:szCs w:val="21"/>
        </w:rPr>
        <w:fldChar w:fldCharType="end"/>
      </w:r>
      <w:r>
        <w:rPr>
          <w:rFonts w:hint="eastAsia" w:asciiTheme="minorEastAsia" w:hAnsiTheme="minorEastAsia" w:eastAsiaTheme="minorEastAsia" w:cstheme="minorEastAsia"/>
          <w:b w:val="0"/>
          <w:bCs w:val="0"/>
          <w:color w:val="auto"/>
          <w:sz w:val="21"/>
          <w:szCs w:val="21"/>
        </w:rPr>
        <w:fldChar w:fldCharType="end"/>
      </w:r>
    </w:p>
    <w:p w14:paraId="6505F8C2">
      <w:pPr>
        <w:pStyle w:val="36"/>
        <w:tabs>
          <w:tab w:val="right" w:leader="dot" w:pos="9298"/>
        </w:tabs>
        <w:snapToGrid w:val="0"/>
        <w:spacing w:before="0" w:after="0" w:line="360" w:lineRule="auto"/>
        <w:rPr>
          <w:rFonts w:hint="eastAsia" w:asciiTheme="minorEastAsia" w:hAnsiTheme="minorEastAsia" w:eastAsiaTheme="minorEastAsia" w:cstheme="minorEastAsia"/>
          <w:b w:val="0"/>
          <w:bCs w:val="0"/>
          <w:color w:val="auto"/>
          <w:sz w:val="21"/>
          <w:szCs w:val="21"/>
        </w:rPr>
      </w:pPr>
      <w:r>
        <w:rPr>
          <w:color w:val="auto"/>
        </w:rPr>
        <w:fldChar w:fldCharType="begin"/>
      </w:r>
      <w:r>
        <w:rPr>
          <w:color w:val="auto"/>
        </w:rPr>
        <w:instrText xml:space="preserve"> HYPERLINK \l "_Toc489256110" </w:instrText>
      </w:r>
      <w:r>
        <w:rPr>
          <w:color w:val="auto"/>
        </w:rPr>
        <w:fldChar w:fldCharType="separate"/>
      </w:r>
      <w:r>
        <w:rPr>
          <w:rFonts w:hint="eastAsia" w:asciiTheme="minorEastAsia" w:hAnsiTheme="minorEastAsia" w:eastAsiaTheme="minorEastAsia" w:cstheme="minorEastAsia"/>
          <w:b w:val="0"/>
          <w:bCs w:val="0"/>
          <w:color w:val="auto"/>
          <w:sz w:val="21"/>
          <w:szCs w:val="21"/>
        </w:rPr>
        <w:t>第六章 评审办法（综合评分法）</w:t>
      </w:r>
      <w:r>
        <w:rPr>
          <w:rFonts w:hint="eastAsia" w:asciiTheme="minorEastAsia" w:hAnsiTheme="minorEastAsia" w:eastAsiaTheme="minorEastAsia" w:cstheme="minorEastAsia"/>
          <w:b w:val="0"/>
          <w:bCs w:val="0"/>
          <w:color w:val="auto"/>
          <w:sz w:val="21"/>
          <w:szCs w:val="21"/>
        </w:rPr>
        <w:tab/>
      </w:r>
      <w:r>
        <w:rPr>
          <w:rFonts w:hint="eastAsia" w:asciiTheme="minorEastAsia" w:hAnsiTheme="minorEastAsia" w:eastAsiaTheme="minorEastAsia" w:cstheme="minorEastAsia"/>
          <w:b w:val="0"/>
          <w:bCs w:val="0"/>
          <w:color w:val="auto"/>
          <w:sz w:val="21"/>
          <w:szCs w:val="21"/>
        </w:rPr>
        <w:fldChar w:fldCharType="begin"/>
      </w:r>
      <w:r>
        <w:rPr>
          <w:rFonts w:hint="eastAsia" w:asciiTheme="minorEastAsia" w:hAnsiTheme="minorEastAsia" w:eastAsiaTheme="minorEastAsia" w:cstheme="minorEastAsia"/>
          <w:b w:val="0"/>
          <w:bCs w:val="0"/>
          <w:color w:val="auto"/>
          <w:sz w:val="21"/>
          <w:szCs w:val="21"/>
        </w:rPr>
        <w:instrText xml:space="preserve"> PAGEREF _Toc489256110 \h </w:instrText>
      </w:r>
      <w:r>
        <w:rPr>
          <w:rFonts w:hint="eastAsia" w:asciiTheme="minorEastAsia" w:hAnsiTheme="minorEastAsia" w:eastAsiaTheme="minorEastAsia" w:cstheme="minorEastAsia"/>
          <w:b w:val="0"/>
          <w:bCs w:val="0"/>
          <w:color w:val="auto"/>
          <w:sz w:val="21"/>
          <w:szCs w:val="21"/>
        </w:rPr>
        <w:fldChar w:fldCharType="separate"/>
      </w:r>
      <w:r>
        <w:rPr>
          <w:rFonts w:hint="eastAsia" w:asciiTheme="minorEastAsia" w:hAnsiTheme="minorEastAsia" w:eastAsiaTheme="minorEastAsia" w:cstheme="minorEastAsia"/>
          <w:b w:val="0"/>
          <w:bCs w:val="0"/>
          <w:color w:val="auto"/>
          <w:sz w:val="21"/>
          <w:szCs w:val="21"/>
        </w:rPr>
        <w:t>46</w:t>
      </w:r>
      <w:r>
        <w:rPr>
          <w:rFonts w:hint="eastAsia" w:asciiTheme="minorEastAsia" w:hAnsiTheme="minorEastAsia" w:eastAsiaTheme="minorEastAsia" w:cstheme="minorEastAsia"/>
          <w:b w:val="0"/>
          <w:bCs w:val="0"/>
          <w:color w:val="auto"/>
          <w:sz w:val="21"/>
          <w:szCs w:val="21"/>
        </w:rPr>
        <w:fldChar w:fldCharType="end"/>
      </w:r>
      <w:r>
        <w:rPr>
          <w:rFonts w:hint="eastAsia" w:asciiTheme="minorEastAsia" w:hAnsiTheme="minorEastAsia" w:eastAsiaTheme="minorEastAsia" w:cstheme="minorEastAsia"/>
          <w:b w:val="0"/>
          <w:bCs w:val="0"/>
          <w:color w:val="auto"/>
          <w:sz w:val="21"/>
          <w:szCs w:val="21"/>
        </w:rPr>
        <w:fldChar w:fldCharType="end"/>
      </w:r>
    </w:p>
    <w:p w14:paraId="31251CE5">
      <w:pPr>
        <w:pStyle w:val="44"/>
        <w:tabs>
          <w:tab w:val="right" w:leader="dot" w:pos="9298"/>
        </w:tabs>
        <w:snapToGrid w:val="0"/>
        <w:spacing w:line="360" w:lineRule="auto"/>
        <w:rPr>
          <w:rFonts w:hint="eastAsia" w:asciiTheme="minorEastAsia" w:hAnsiTheme="minorEastAsia" w:eastAsiaTheme="minorEastAsia" w:cstheme="minorEastAsia"/>
          <w:color w:val="auto"/>
          <w:sz w:val="21"/>
          <w:szCs w:val="21"/>
        </w:rPr>
      </w:pPr>
      <w:r>
        <w:rPr>
          <w:color w:val="auto"/>
        </w:rPr>
        <w:fldChar w:fldCharType="begin"/>
      </w:r>
      <w:r>
        <w:rPr>
          <w:color w:val="auto"/>
        </w:rPr>
        <w:instrText xml:space="preserve"> HYPERLINK \l "_Toc801463784" </w:instrText>
      </w:r>
      <w:r>
        <w:rPr>
          <w:color w:val="auto"/>
        </w:rPr>
        <w:fldChar w:fldCharType="separate"/>
      </w:r>
      <w:r>
        <w:rPr>
          <w:rFonts w:hint="eastAsia" w:asciiTheme="minorEastAsia" w:hAnsiTheme="minorEastAsia" w:eastAsiaTheme="minorEastAsia" w:cstheme="minorEastAsia"/>
          <w:color w:val="auto"/>
          <w:sz w:val="21"/>
          <w:szCs w:val="21"/>
        </w:rPr>
        <w:t>一、评审办法前附表</w:t>
      </w: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sz w:val="21"/>
          <w:szCs w:val="21"/>
        </w:rPr>
        <w:fldChar w:fldCharType="begin"/>
      </w:r>
      <w:r>
        <w:rPr>
          <w:rFonts w:hint="eastAsia" w:asciiTheme="minorEastAsia" w:hAnsiTheme="minorEastAsia" w:eastAsiaTheme="minorEastAsia" w:cstheme="minorEastAsia"/>
          <w:color w:val="auto"/>
          <w:sz w:val="21"/>
          <w:szCs w:val="21"/>
        </w:rPr>
        <w:instrText xml:space="preserve"> PAGEREF _Toc801463784 \h </w:instrText>
      </w:r>
      <w:r>
        <w:rPr>
          <w:rFonts w:hint="eastAsia" w:asciiTheme="minorEastAsia" w:hAnsiTheme="minorEastAsia" w:eastAsiaTheme="minorEastAsia" w:cstheme="minorEastAsia"/>
          <w:color w:val="auto"/>
          <w:sz w:val="21"/>
          <w:szCs w:val="21"/>
        </w:rPr>
        <w:fldChar w:fldCharType="separate"/>
      </w:r>
      <w:r>
        <w:rPr>
          <w:rFonts w:hint="eastAsia" w:asciiTheme="minorEastAsia" w:hAnsiTheme="minorEastAsia" w:eastAsiaTheme="minorEastAsia" w:cstheme="minorEastAsia"/>
          <w:color w:val="auto"/>
          <w:sz w:val="21"/>
          <w:szCs w:val="21"/>
        </w:rPr>
        <w:t>46</w:t>
      </w:r>
      <w:r>
        <w:rPr>
          <w:rFonts w:hint="eastAsia" w:asciiTheme="minorEastAsia" w:hAnsiTheme="minorEastAsia" w:eastAsiaTheme="minorEastAsia" w:cstheme="minorEastAsia"/>
          <w:color w:val="auto"/>
          <w:sz w:val="21"/>
          <w:szCs w:val="21"/>
        </w:rPr>
        <w:fldChar w:fldCharType="end"/>
      </w:r>
      <w:r>
        <w:rPr>
          <w:rFonts w:hint="eastAsia" w:asciiTheme="minorEastAsia" w:hAnsiTheme="minorEastAsia" w:eastAsiaTheme="minorEastAsia" w:cstheme="minorEastAsia"/>
          <w:color w:val="auto"/>
          <w:sz w:val="21"/>
          <w:szCs w:val="21"/>
        </w:rPr>
        <w:fldChar w:fldCharType="end"/>
      </w:r>
    </w:p>
    <w:p w14:paraId="77D23EAD">
      <w:pPr>
        <w:pStyle w:val="44"/>
        <w:tabs>
          <w:tab w:val="right" w:leader="dot" w:pos="9298"/>
        </w:tabs>
        <w:snapToGrid w:val="0"/>
        <w:spacing w:line="360" w:lineRule="auto"/>
        <w:rPr>
          <w:color w:val="auto"/>
        </w:rPr>
      </w:pPr>
      <w:r>
        <w:rPr>
          <w:color w:val="auto"/>
        </w:rPr>
        <w:fldChar w:fldCharType="begin"/>
      </w:r>
      <w:r>
        <w:rPr>
          <w:color w:val="auto"/>
        </w:rPr>
        <w:instrText xml:space="preserve"> HYPERLINK \l "_Toc775442990" </w:instrText>
      </w:r>
      <w:r>
        <w:rPr>
          <w:color w:val="auto"/>
        </w:rPr>
        <w:fldChar w:fldCharType="separate"/>
      </w:r>
      <w:r>
        <w:rPr>
          <w:rFonts w:hint="eastAsia" w:asciiTheme="minorEastAsia" w:hAnsiTheme="minorEastAsia" w:eastAsiaTheme="minorEastAsia" w:cstheme="minorEastAsia"/>
          <w:color w:val="auto"/>
          <w:sz w:val="21"/>
          <w:szCs w:val="21"/>
        </w:rPr>
        <w:t>二、评审办法正文部分</w:t>
      </w: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sz w:val="21"/>
          <w:szCs w:val="21"/>
        </w:rPr>
        <w:fldChar w:fldCharType="begin"/>
      </w:r>
      <w:r>
        <w:rPr>
          <w:rFonts w:hint="eastAsia" w:asciiTheme="minorEastAsia" w:hAnsiTheme="minorEastAsia" w:eastAsiaTheme="minorEastAsia" w:cstheme="minorEastAsia"/>
          <w:color w:val="auto"/>
          <w:sz w:val="21"/>
          <w:szCs w:val="21"/>
        </w:rPr>
        <w:instrText xml:space="preserve"> PAGEREF _Toc775442990 \h </w:instrText>
      </w:r>
      <w:r>
        <w:rPr>
          <w:rFonts w:hint="eastAsia" w:asciiTheme="minorEastAsia" w:hAnsiTheme="minorEastAsia" w:eastAsiaTheme="minorEastAsia" w:cstheme="minorEastAsia"/>
          <w:color w:val="auto"/>
          <w:sz w:val="21"/>
          <w:szCs w:val="21"/>
        </w:rPr>
        <w:fldChar w:fldCharType="separate"/>
      </w:r>
      <w:r>
        <w:rPr>
          <w:rFonts w:hint="eastAsia" w:asciiTheme="minorEastAsia" w:hAnsiTheme="minorEastAsia" w:eastAsiaTheme="minorEastAsia" w:cstheme="minorEastAsia"/>
          <w:color w:val="auto"/>
          <w:sz w:val="21"/>
          <w:szCs w:val="21"/>
        </w:rPr>
        <w:t>49</w:t>
      </w:r>
      <w:r>
        <w:rPr>
          <w:rFonts w:hint="eastAsia" w:asciiTheme="minorEastAsia" w:hAnsiTheme="minorEastAsia" w:eastAsiaTheme="minorEastAsia" w:cstheme="minorEastAsia"/>
          <w:color w:val="auto"/>
          <w:sz w:val="21"/>
          <w:szCs w:val="21"/>
        </w:rPr>
        <w:fldChar w:fldCharType="end"/>
      </w:r>
      <w:r>
        <w:rPr>
          <w:rFonts w:hint="eastAsia" w:asciiTheme="minorEastAsia" w:hAnsiTheme="minorEastAsia" w:eastAsiaTheme="minorEastAsia" w:cstheme="minorEastAsia"/>
          <w:color w:val="auto"/>
          <w:sz w:val="21"/>
          <w:szCs w:val="21"/>
        </w:rPr>
        <w:fldChar w:fldCharType="end"/>
      </w:r>
    </w:p>
    <w:p w14:paraId="57BB699C">
      <w:pPr>
        <w:pStyle w:val="36"/>
        <w:tabs>
          <w:tab w:val="right" w:leader="dot" w:pos="8948"/>
        </w:tabs>
        <w:spacing w:before="0" w:after="0" w:line="360" w:lineRule="auto"/>
        <w:rPr>
          <w:rFonts w:hint="eastAsia" w:ascii="宋体" w:hAnsi="宋体" w:cs="宋体"/>
          <w:smallCaps/>
          <w:color w:val="auto"/>
          <w:szCs w:val="21"/>
        </w:rPr>
      </w:pPr>
      <w:r>
        <w:rPr>
          <w:rFonts w:hint="eastAsia" w:ascii="宋体" w:hAnsi="宋体" w:cs="宋体"/>
          <w:bCs w:val="0"/>
          <w:color w:val="auto"/>
          <w:szCs w:val="21"/>
        </w:rPr>
        <w:fldChar w:fldCharType="end"/>
      </w:r>
      <w:r>
        <w:rPr>
          <w:rFonts w:hint="eastAsia" w:ascii="宋体" w:hAnsi="宋体" w:cs="宋体"/>
          <w:color w:val="auto"/>
          <w:szCs w:val="21"/>
        </w:rPr>
        <w:br w:type="page"/>
      </w:r>
    </w:p>
    <w:p w14:paraId="4BCF5BC4">
      <w:pPr>
        <w:pStyle w:val="44"/>
        <w:tabs>
          <w:tab w:val="right" w:leader="dot" w:pos="8948"/>
        </w:tabs>
        <w:spacing w:line="360" w:lineRule="auto"/>
        <w:ind w:left="0"/>
        <w:jc w:val="center"/>
        <w:outlineLvl w:val="0"/>
        <w:rPr>
          <w:rFonts w:hint="eastAsia" w:ascii="宋体" w:hAnsi="宋体" w:cs="宋体"/>
          <w:b/>
          <w:bCs/>
          <w:color w:val="auto"/>
          <w:sz w:val="32"/>
          <w:szCs w:val="32"/>
        </w:rPr>
      </w:pPr>
      <w:bookmarkStart w:id="6" w:name="_Toc639516168"/>
      <w:r>
        <w:rPr>
          <w:rFonts w:hint="eastAsia" w:ascii="宋体" w:hAnsi="宋体" w:cs="宋体"/>
          <w:b/>
          <w:bCs/>
          <w:color w:val="auto"/>
          <w:sz w:val="32"/>
          <w:szCs w:val="32"/>
        </w:rPr>
        <w:t xml:space="preserve">第一章 </w:t>
      </w:r>
      <w:bookmarkStart w:id="7" w:name="_Hlk69293590"/>
      <w:r>
        <w:rPr>
          <w:rFonts w:hint="eastAsia" w:ascii="宋体" w:hAnsi="宋体" w:cs="宋体"/>
          <w:b/>
          <w:bCs/>
          <w:color w:val="auto"/>
          <w:sz w:val="32"/>
          <w:szCs w:val="32"/>
        </w:rPr>
        <w:t>竞争性磋商公告</w:t>
      </w:r>
      <w:bookmarkEnd w:id="3"/>
      <w:bookmarkEnd w:id="4"/>
      <w:bookmarkEnd w:id="6"/>
    </w:p>
    <w:p w14:paraId="6D003CBA">
      <w:pPr>
        <w:pBdr>
          <w:top w:val="single" w:color="auto" w:sz="4" w:space="4"/>
          <w:left w:val="single" w:color="auto" w:sz="4" w:space="0"/>
          <w:bottom w:val="single" w:color="auto" w:sz="4" w:space="1"/>
          <w:right w:val="single" w:color="auto" w:sz="4" w:space="0"/>
        </w:pBdr>
        <w:spacing w:line="360" w:lineRule="auto"/>
        <w:rPr>
          <w:rFonts w:hint="eastAsia" w:ascii="宋体" w:hAnsi="宋体" w:cs="宋体"/>
          <w:color w:val="auto"/>
          <w:szCs w:val="21"/>
        </w:rPr>
      </w:pPr>
      <w:r>
        <w:rPr>
          <w:rFonts w:hint="eastAsia" w:ascii="宋体" w:hAnsi="宋体" w:cs="宋体"/>
          <w:color w:val="auto"/>
          <w:szCs w:val="21"/>
        </w:rPr>
        <w:t>项目概况</w:t>
      </w:r>
    </w:p>
    <w:p w14:paraId="3D269332">
      <w:pPr>
        <w:pBdr>
          <w:top w:val="single" w:color="auto" w:sz="4" w:space="4"/>
          <w:left w:val="single" w:color="auto" w:sz="4" w:space="0"/>
          <w:bottom w:val="single" w:color="auto" w:sz="4" w:space="1"/>
          <w:right w:val="single" w:color="auto" w:sz="4" w:space="0"/>
        </w:pBdr>
        <w:wordWrap w:val="0"/>
        <w:spacing w:line="360" w:lineRule="auto"/>
        <w:ind w:firstLine="420" w:firstLineChars="200"/>
        <w:rPr>
          <w:rFonts w:hint="eastAsia" w:ascii="宋体" w:hAnsi="宋体" w:cs="宋体"/>
          <w:color w:val="auto"/>
          <w:szCs w:val="21"/>
        </w:rPr>
      </w:pPr>
      <w:r>
        <w:rPr>
          <w:rFonts w:hint="eastAsia" w:ascii="宋体" w:hAnsi="宋体" w:cs="宋体"/>
          <w:color w:val="auto"/>
          <w:szCs w:val="21"/>
          <w:u w:val="single"/>
        </w:rPr>
        <w:t>安宁市2026年流动人员人事档案管理服务项目</w:t>
      </w:r>
      <w:r>
        <w:rPr>
          <w:rFonts w:hint="eastAsia" w:ascii="宋体" w:hAnsi="宋体" w:cs="宋体"/>
          <w:color w:val="auto"/>
          <w:szCs w:val="21"/>
        </w:rPr>
        <w:t>采购项目的潜在供应商应在</w:t>
      </w:r>
      <w:r>
        <w:rPr>
          <w:rFonts w:hint="eastAsia" w:ascii="宋体" w:hAnsi="宋体" w:cs="宋体"/>
          <w:color w:val="auto"/>
          <w:szCs w:val="21"/>
          <w:u w:val="single"/>
        </w:rPr>
        <w:t>政府采购云平台（网址：https：//www.zcygov.cn/）</w:t>
      </w:r>
      <w:r>
        <w:rPr>
          <w:rFonts w:hint="eastAsia" w:ascii="宋体" w:hAnsi="宋体" w:cs="宋体"/>
          <w:color w:val="auto"/>
          <w:szCs w:val="21"/>
        </w:rPr>
        <w:t>获取采购文件，并于2026-06-16  09：30（北京时间）前提交响应文件。</w:t>
      </w:r>
    </w:p>
    <w:p w14:paraId="0BE9C719">
      <w:pPr>
        <w:spacing w:before="120" w:beforeLines="50" w:line="360" w:lineRule="auto"/>
        <w:outlineLvl w:val="1"/>
        <w:rPr>
          <w:rFonts w:hint="eastAsia" w:ascii="宋体" w:hAnsi="宋体" w:cs="宋体"/>
          <w:b/>
          <w:bCs/>
          <w:color w:val="auto"/>
          <w:sz w:val="24"/>
          <w:szCs w:val="24"/>
        </w:rPr>
      </w:pPr>
      <w:bookmarkStart w:id="8" w:name="_Toc87538346"/>
      <w:bookmarkStart w:id="9" w:name="_Toc53412193"/>
      <w:bookmarkStart w:id="10" w:name="_Toc35393798"/>
      <w:bookmarkStart w:id="11" w:name="_Toc172575785"/>
      <w:bookmarkStart w:id="12" w:name="_Toc69678406"/>
      <w:bookmarkStart w:id="13" w:name="_Toc98864988"/>
      <w:bookmarkStart w:id="14" w:name="_Toc1653572991"/>
      <w:bookmarkStart w:id="15" w:name="_Toc160031652"/>
      <w:bookmarkStart w:id="16" w:name="_Toc45791325"/>
      <w:bookmarkStart w:id="17" w:name="_Toc87543795"/>
      <w:bookmarkStart w:id="18" w:name="_Toc28359089"/>
      <w:bookmarkStart w:id="19" w:name="_Toc83753869"/>
      <w:bookmarkStart w:id="20" w:name="_Toc109809289"/>
      <w:bookmarkStart w:id="21" w:name="_Toc98033911"/>
      <w:bookmarkStart w:id="22" w:name="_Toc35393629"/>
      <w:bookmarkStart w:id="23" w:name="_Toc84356229"/>
      <w:bookmarkStart w:id="24" w:name="_Toc28359012"/>
      <w:bookmarkStart w:id="25" w:name="_Toc45976872"/>
      <w:r>
        <w:rPr>
          <w:rFonts w:hint="eastAsia" w:ascii="宋体" w:hAnsi="宋体" w:cs="宋体"/>
          <w:b/>
          <w:bCs/>
          <w:color w:val="auto"/>
          <w:sz w:val="24"/>
          <w:szCs w:val="24"/>
        </w:rPr>
        <w:t>一、项目基本情况</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2287CD1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项目编号：YNMY-2026-0133</w:t>
      </w:r>
    </w:p>
    <w:p w14:paraId="4ED2EDDA">
      <w:pPr>
        <w:spacing w:line="360" w:lineRule="auto"/>
        <w:ind w:firstLine="420" w:firstLineChars="200"/>
        <w:rPr>
          <w:rFonts w:hint="eastAsia" w:ascii="宋体" w:hAnsi="宋体" w:cs="宋体"/>
          <w:color w:val="auto"/>
          <w:szCs w:val="21"/>
          <w:u w:val="single"/>
        </w:rPr>
      </w:pPr>
      <w:r>
        <w:rPr>
          <w:rFonts w:hint="eastAsia" w:ascii="宋体" w:hAnsi="宋体" w:cs="宋体"/>
          <w:color w:val="auto"/>
          <w:szCs w:val="21"/>
        </w:rPr>
        <w:t>项目名称：</w:t>
      </w:r>
      <w:r>
        <w:rPr>
          <w:rFonts w:hint="eastAsia" w:ascii="宋体" w:hAnsi="宋体" w:cs="宋体"/>
          <w:color w:val="auto"/>
        </w:rPr>
        <w:t>安宁市2026年流动人员人事档案管理服务项目</w:t>
      </w:r>
    </w:p>
    <w:p w14:paraId="0CFB948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采购方式：竞争性磋商</w:t>
      </w:r>
    </w:p>
    <w:p w14:paraId="2A7D815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预算金额（元）：312000</w:t>
      </w:r>
    </w:p>
    <w:p w14:paraId="2BD8BED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最高限价（元）：312000</w:t>
      </w:r>
    </w:p>
    <w:p w14:paraId="351D9007">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采购需求：</w:t>
      </w:r>
    </w:p>
    <w:p w14:paraId="4A2B1B2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标项名称：</w:t>
      </w:r>
      <w:r>
        <w:rPr>
          <w:rFonts w:hint="eastAsia" w:ascii="宋体" w:hAnsi="宋体" w:cs="宋体"/>
          <w:color w:val="auto"/>
        </w:rPr>
        <w:t>安宁市2026年流动人员人事档案管理服务项目</w:t>
      </w:r>
    </w:p>
    <w:p w14:paraId="72BEAE37">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数量：1</w:t>
      </w:r>
    </w:p>
    <w:p w14:paraId="182E7383">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预算金额（元）：312000</w:t>
      </w:r>
    </w:p>
    <w:p w14:paraId="4912220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单位：项</w:t>
      </w:r>
    </w:p>
    <w:p w14:paraId="57B17F80">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简要规格描述：完成安宁市2026年流动人员人事档案管理服务工作，工作内容包括但不限于：档案管理（对安宁市行政区域内的非公有制企业和社会组织聘用人员的档案；辞职辞退、取消录（聘）用或被开除的机关事业单位工作人员档案；与企事业单位解除或终止劳动（聘用）关系人员的档案；未就业的高校毕业生及中专毕业生的档案；自费出国留学及其他因私出国（境）人员的档案；外国企业常驻代表机构的中方雇员的档案；自由职业或灵活就业人员的档案）、退休申报（其他实行社会管理人员的档案等进行专业化管理并提供优质的退休申报服务）等。</w:t>
      </w:r>
    </w:p>
    <w:p w14:paraId="4F753A7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合同履约期限：标段（包）1，合同签订之日起一年。</w:t>
      </w:r>
    </w:p>
    <w:p w14:paraId="5F512027">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本项目（否）接受联合体投标。</w:t>
      </w:r>
    </w:p>
    <w:p w14:paraId="464B5D19">
      <w:pPr>
        <w:spacing w:line="360" w:lineRule="auto"/>
        <w:outlineLvl w:val="1"/>
        <w:rPr>
          <w:rFonts w:hint="eastAsia" w:ascii="宋体" w:hAnsi="宋体" w:cs="宋体"/>
          <w:b/>
          <w:bCs/>
          <w:color w:val="auto"/>
          <w:sz w:val="24"/>
          <w:szCs w:val="24"/>
        </w:rPr>
      </w:pPr>
      <w:bookmarkStart w:id="26" w:name="_Toc28359013"/>
      <w:bookmarkStart w:id="27" w:name="_Toc84356230"/>
      <w:bookmarkStart w:id="28" w:name="_Toc83753870"/>
      <w:bookmarkStart w:id="29" w:name="_Toc160031653"/>
      <w:bookmarkStart w:id="30" w:name="_Toc69678407"/>
      <w:bookmarkStart w:id="31" w:name="_Toc172575786"/>
      <w:bookmarkStart w:id="32" w:name="_Toc887384468"/>
      <w:bookmarkStart w:id="33" w:name="_Toc45976873"/>
      <w:bookmarkStart w:id="34" w:name="_Toc53412194"/>
      <w:bookmarkStart w:id="35" w:name="_Toc35393630"/>
      <w:bookmarkStart w:id="36" w:name="_Toc98864989"/>
      <w:bookmarkStart w:id="37" w:name="_Toc109809290"/>
      <w:bookmarkStart w:id="38" w:name="_Toc45791326"/>
      <w:bookmarkStart w:id="39" w:name="_Toc28359090"/>
      <w:bookmarkStart w:id="40" w:name="_Toc35393799"/>
      <w:bookmarkStart w:id="41" w:name="_Toc98033912"/>
      <w:bookmarkStart w:id="42" w:name="_Toc87543796"/>
      <w:bookmarkStart w:id="43" w:name="_Toc87538347"/>
      <w:r>
        <w:rPr>
          <w:rFonts w:hint="eastAsia" w:ascii="宋体" w:hAnsi="宋体" w:cs="宋体"/>
          <w:b/>
          <w:bCs/>
          <w:color w:val="auto"/>
          <w:sz w:val="24"/>
          <w:szCs w:val="24"/>
        </w:rPr>
        <w:t>二、申请人的资格要求</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543F5542">
      <w:pPr>
        <w:spacing w:line="360" w:lineRule="auto"/>
        <w:ind w:firstLine="420" w:firstLineChars="200"/>
        <w:rPr>
          <w:rFonts w:hint="eastAsia" w:ascii="宋体" w:hAnsi="宋体" w:cs="宋体"/>
          <w:color w:val="auto"/>
          <w:szCs w:val="21"/>
        </w:rPr>
      </w:pPr>
      <w:bookmarkStart w:id="44" w:name="_Hlk109738198"/>
      <w:bookmarkStart w:id="45" w:name="_Toc28359014"/>
      <w:bookmarkStart w:id="46" w:name="_Toc28359091"/>
      <w:r>
        <w:rPr>
          <w:rFonts w:hint="eastAsia" w:ascii="宋体" w:hAnsi="宋体" w:cs="宋体"/>
          <w:color w:val="auto"/>
          <w:szCs w:val="21"/>
        </w:rPr>
        <w:t>1.满足《中华人民共和国政府采购法》第二十二条规定；符合《中华人民共和国政府采购法实施条例》第十八条规定。</w:t>
      </w:r>
    </w:p>
    <w:p w14:paraId="1CB6A24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2.落实政府采购政策需满足的资格要求：标段（包）1：专门面向中小企业采购。</w:t>
      </w:r>
    </w:p>
    <w:p w14:paraId="257BC3A7">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3.本项目的特定资格要求：无</w:t>
      </w:r>
    </w:p>
    <w:bookmarkEnd w:id="44"/>
    <w:p w14:paraId="180D92F2">
      <w:pPr>
        <w:spacing w:line="360" w:lineRule="auto"/>
        <w:outlineLvl w:val="1"/>
        <w:rPr>
          <w:rFonts w:hint="eastAsia" w:ascii="宋体" w:hAnsi="宋体" w:cs="宋体"/>
          <w:b/>
          <w:bCs/>
          <w:color w:val="auto"/>
          <w:sz w:val="24"/>
          <w:szCs w:val="24"/>
        </w:rPr>
      </w:pPr>
      <w:bookmarkStart w:id="47" w:name="_Toc35393800"/>
      <w:bookmarkStart w:id="48" w:name="_Toc35393631"/>
      <w:bookmarkStart w:id="49" w:name="_Toc160031654"/>
      <w:bookmarkStart w:id="50" w:name="_Toc83753871"/>
      <w:bookmarkStart w:id="51" w:name="_Toc87543797"/>
      <w:bookmarkStart w:id="52" w:name="_Toc45791327"/>
      <w:bookmarkStart w:id="53" w:name="_Toc109809291"/>
      <w:bookmarkStart w:id="54" w:name="_Toc172575787"/>
      <w:bookmarkStart w:id="55" w:name="_Toc69678408"/>
      <w:bookmarkStart w:id="56" w:name="_Toc1177161842"/>
      <w:bookmarkStart w:id="57" w:name="_Toc53412195"/>
      <w:bookmarkStart w:id="58" w:name="_Toc87538348"/>
      <w:bookmarkStart w:id="59" w:name="_Toc84356231"/>
      <w:bookmarkStart w:id="60" w:name="_Toc98033913"/>
      <w:bookmarkStart w:id="61" w:name="_Toc45976874"/>
      <w:bookmarkStart w:id="62" w:name="_Toc98864990"/>
      <w:r>
        <w:rPr>
          <w:rFonts w:hint="eastAsia" w:ascii="宋体" w:hAnsi="宋体" w:cs="宋体"/>
          <w:b/>
          <w:bCs/>
          <w:color w:val="auto"/>
          <w:sz w:val="24"/>
          <w:szCs w:val="24"/>
        </w:rPr>
        <w:t>三、获取</w:t>
      </w:r>
      <w:bookmarkEnd w:id="45"/>
      <w:bookmarkEnd w:id="46"/>
      <w:bookmarkEnd w:id="47"/>
      <w:bookmarkEnd w:id="48"/>
      <w:r>
        <w:rPr>
          <w:rFonts w:hint="eastAsia" w:ascii="宋体" w:hAnsi="宋体" w:cs="宋体"/>
          <w:b/>
          <w:bCs/>
          <w:color w:val="auto"/>
          <w:sz w:val="24"/>
          <w:szCs w:val="24"/>
        </w:rPr>
        <w:t>采购文件</w:t>
      </w:r>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5BCB070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时间：2026-06-06 06：00至2026-06-12 23：59，每天上午06：00至12：00，下午12：00至23：59（北京时间，法定节假日除外）</w:t>
      </w:r>
    </w:p>
    <w:p w14:paraId="16D8C14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地点：政府采购云平台（网址：https://www.zcygov.cn/）</w:t>
      </w:r>
    </w:p>
    <w:p w14:paraId="147C7E31">
      <w:pPr>
        <w:wordWrap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方式：1.凡有意参与磋商者，须在云南省公共资源交易系统的“交易系统注册流程”网页（网址：https://ggzy.yn.gov.cn/ynggfwpt-home-web/#/regGuide）进行注册及企业数字证书（CA）的办理；若供应商之前已经注册并办理过企业数字证书（CA）的，可以直接绑定，无需重复办理。供应商在注册办理过程中若有疑问，可以拨打客服热线4006727666咨询。</w:t>
      </w:r>
    </w:p>
    <w:p w14:paraId="0701E1C4">
      <w:pPr>
        <w:wordWrap w:val="0"/>
        <w:spacing w:line="360" w:lineRule="auto"/>
        <w:ind w:firstLine="840" w:firstLineChars="400"/>
        <w:rPr>
          <w:rFonts w:hint="eastAsia" w:ascii="宋体" w:hAnsi="宋体" w:cs="宋体"/>
          <w:color w:val="auto"/>
          <w:szCs w:val="21"/>
        </w:rPr>
      </w:pPr>
      <w:r>
        <w:rPr>
          <w:rFonts w:hint="eastAsia" w:ascii="宋体" w:hAnsi="宋体" w:cs="宋体"/>
          <w:color w:val="auto"/>
          <w:szCs w:val="21"/>
        </w:rPr>
        <w:t>2.供应商申领到企业数字证书（CA）后进入政府采购云平台（网址：https://www.zcygov.cn/）并绑定企业数字证书（CA），在网上获取采购文件及其他采购资料（操作路径：登录“政府采购云平台-项目采购-获取采购文件-找到本项目-点击“申请获取采购文件”）。</w:t>
      </w:r>
    </w:p>
    <w:p w14:paraId="6E3EC603">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售价（元）：0</w:t>
      </w:r>
    </w:p>
    <w:p w14:paraId="793F4890">
      <w:pPr>
        <w:spacing w:line="360" w:lineRule="auto"/>
        <w:outlineLvl w:val="1"/>
        <w:rPr>
          <w:rFonts w:hint="eastAsia" w:ascii="宋体" w:hAnsi="宋体" w:cs="宋体"/>
          <w:b/>
          <w:bCs/>
          <w:color w:val="auto"/>
          <w:sz w:val="24"/>
          <w:szCs w:val="24"/>
        </w:rPr>
      </w:pPr>
      <w:bookmarkStart w:id="63" w:name="_Toc45976875"/>
      <w:bookmarkStart w:id="64" w:name="_Toc45791328"/>
      <w:bookmarkStart w:id="65" w:name="_Toc53412196"/>
      <w:bookmarkStart w:id="66" w:name="_Toc84356232"/>
      <w:bookmarkStart w:id="67" w:name="_Toc35393632"/>
      <w:bookmarkStart w:id="68" w:name="_Toc172575788"/>
      <w:bookmarkStart w:id="69" w:name="_Toc28359092"/>
      <w:bookmarkStart w:id="70" w:name="_Toc87543798"/>
      <w:bookmarkStart w:id="71" w:name="_Toc98864991"/>
      <w:bookmarkStart w:id="72" w:name="_Toc109809292"/>
      <w:bookmarkStart w:id="73" w:name="_Toc98033914"/>
      <w:bookmarkStart w:id="74" w:name="_Toc87538349"/>
      <w:bookmarkStart w:id="75" w:name="_Toc83753872"/>
      <w:bookmarkStart w:id="76" w:name="_Toc1551652642"/>
      <w:bookmarkStart w:id="77" w:name="_Toc160031655"/>
      <w:bookmarkStart w:id="78" w:name="_Toc28359015"/>
      <w:bookmarkStart w:id="79" w:name="_Toc69678409"/>
      <w:bookmarkStart w:id="80" w:name="_Toc35393801"/>
      <w:r>
        <w:rPr>
          <w:rFonts w:hint="eastAsia" w:ascii="宋体" w:hAnsi="宋体" w:cs="宋体"/>
          <w:b/>
          <w:bCs/>
          <w:color w:val="auto"/>
          <w:sz w:val="24"/>
          <w:szCs w:val="24"/>
        </w:rPr>
        <w:t>四、响应文件提交</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0BCFB6AD">
      <w:pPr>
        <w:spacing w:line="360" w:lineRule="auto"/>
        <w:ind w:firstLine="420"/>
        <w:rPr>
          <w:rFonts w:hint="eastAsia" w:ascii="宋体" w:hAnsi="宋体" w:cs="宋体"/>
          <w:bCs/>
          <w:color w:val="auto"/>
          <w:szCs w:val="21"/>
        </w:rPr>
      </w:pPr>
      <w:r>
        <w:rPr>
          <w:rFonts w:hint="eastAsia" w:ascii="宋体" w:hAnsi="宋体" w:cs="宋体"/>
          <w:bCs/>
          <w:color w:val="auto"/>
          <w:szCs w:val="21"/>
        </w:rPr>
        <w:t>截止时间：</w:t>
      </w:r>
      <w:r>
        <w:rPr>
          <w:rFonts w:hint="eastAsia" w:ascii="宋体" w:hAnsi="宋体" w:cs="宋体"/>
          <w:color w:val="auto"/>
          <w:szCs w:val="21"/>
        </w:rPr>
        <w:t>2026-06-16  09：30（北京时间）</w:t>
      </w:r>
    </w:p>
    <w:p w14:paraId="3A9FAFCA">
      <w:pPr>
        <w:spacing w:line="360" w:lineRule="auto"/>
        <w:ind w:firstLine="420"/>
        <w:rPr>
          <w:rFonts w:hint="eastAsia" w:ascii="宋体" w:hAnsi="宋体" w:cs="宋体"/>
          <w:bCs/>
          <w:color w:val="auto"/>
          <w:szCs w:val="21"/>
        </w:rPr>
      </w:pPr>
      <w:r>
        <w:rPr>
          <w:rFonts w:hint="eastAsia" w:ascii="宋体" w:hAnsi="宋体" w:cs="宋体"/>
          <w:bCs/>
          <w:color w:val="auto"/>
          <w:szCs w:val="21"/>
        </w:rPr>
        <w:t>地点：请登录云南省政府采购电子交易平台（政采云）投标客户端投标</w:t>
      </w:r>
    </w:p>
    <w:p w14:paraId="1B27A0EA">
      <w:pPr>
        <w:spacing w:line="360" w:lineRule="auto"/>
        <w:outlineLvl w:val="1"/>
        <w:rPr>
          <w:rFonts w:hint="eastAsia" w:ascii="宋体" w:hAnsi="宋体" w:cs="宋体"/>
          <w:b/>
          <w:bCs/>
          <w:color w:val="auto"/>
          <w:sz w:val="24"/>
          <w:szCs w:val="24"/>
        </w:rPr>
      </w:pPr>
      <w:bookmarkStart w:id="81" w:name="_Toc53412197"/>
      <w:bookmarkStart w:id="82" w:name="_Toc35393802"/>
      <w:bookmarkStart w:id="83" w:name="_Toc98033915"/>
      <w:bookmarkStart w:id="84" w:name="_Toc160031656"/>
      <w:bookmarkStart w:id="85" w:name="_Toc45976876"/>
      <w:bookmarkStart w:id="86" w:name="_Toc35393633"/>
      <w:bookmarkStart w:id="87" w:name="_Toc81804046"/>
      <w:bookmarkStart w:id="88" w:name="_Toc87538350"/>
      <w:bookmarkStart w:id="89" w:name="_Toc98864992"/>
      <w:bookmarkStart w:id="90" w:name="_Toc83753873"/>
      <w:bookmarkStart w:id="91" w:name="_Toc45791329"/>
      <w:bookmarkStart w:id="92" w:name="_Toc28359016"/>
      <w:bookmarkStart w:id="93" w:name="_Toc172575789"/>
      <w:bookmarkStart w:id="94" w:name="_Toc84356233"/>
      <w:bookmarkStart w:id="95" w:name="_Toc109809293"/>
      <w:bookmarkStart w:id="96" w:name="_Toc69678410"/>
      <w:bookmarkStart w:id="97" w:name="_Toc87543799"/>
      <w:bookmarkStart w:id="98" w:name="_Toc28359093"/>
      <w:r>
        <w:rPr>
          <w:rFonts w:hint="eastAsia" w:ascii="宋体" w:hAnsi="宋体" w:cs="宋体"/>
          <w:b/>
          <w:bCs/>
          <w:color w:val="auto"/>
          <w:sz w:val="24"/>
          <w:szCs w:val="24"/>
        </w:rPr>
        <w:t>五、响应文件开启</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5A550440">
      <w:pPr>
        <w:spacing w:line="360" w:lineRule="auto"/>
        <w:ind w:firstLine="420" w:firstLineChars="200"/>
        <w:rPr>
          <w:rFonts w:hint="eastAsia" w:ascii="宋体" w:hAnsi="宋体" w:cs="宋体"/>
          <w:bCs/>
          <w:color w:val="auto"/>
          <w:szCs w:val="21"/>
          <w:u w:val="single"/>
        </w:rPr>
      </w:pPr>
      <w:r>
        <w:rPr>
          <w:rFonts w:hint="eastAsia" w:ascii="宋体" w:hAnsi="宋体" w:cs="宋体"/>
          <w:color w:val="auto"/>
          <w:szCs w:val="21"/>
        </w:rPr>
        <w:t>时间：2026-06-16  09：30（北京时间）</w:t>
      </w:r>
    </w:p>
    <w:p w14:paraId="0A9103E3">
      <w:pPr>
        <w:spacing w:line="360" w:lineRule="auto"/>
        <w:ind w:firstLine="420" w:firstLineChars="200"/>
        <w:rPr>
          <w:rFonts w:hint="eastAsia" w:ascii="宋体" w:hAnsi="宋体" w:cs="宋体"/>
          <w:color w:val="auto"/>
        </w:rPr>
      </w:pPr>
      <w:r>
        <w:rPr>
          <w:rFonts w:hint="eastAsia" w:ascii="宋体" w:hAnsi="宋体" w:cs="宋体"/>
          <w:color w:val="auto"/>
          <w:szCs w:val="21"/>
        </w:rPr>
        <w:t>地点：云南省昆明市五华区王筇路49号五华科创大厦14楼1407开评标室</w:t>
      </w:r>
    </w:p>
    <w:p w14:paraId="784EDFDF">
      <w:pPr>
        <w:spacing w:line="360" w:lineRule="auto"/>
        <w:outlineLvl w:val="1"/>
        <w:rPr>
          <w:rFonts w:hint="eastAsia" w:ascii="宋体" w:hAnsi="宋体" w:cs="宋体"/>
          <w:b/>
          <w:bCs/>
          <w:color w:val="auto"/>
          <w:sz w:val="24"/>
          <w:szCs w:val="24"/>
        </w:rPr>
      </w:pPr>
      <w:bookmarkStart w:id="99" w:name="_Toc35393803"/>
      <w:bookmarkStart w:id="100" w:name="_Toc45976877"/>
      <w:bookmarkStart w:id="101" w:name="_Toc28359094"/>
      <w:bookmarkStart w:id="102" w:name="_Toc45791330"/>
      <w:bookmarkStart w:id="103" w:name="_Toc35393634"/>
      <w:bookmarkStart w:id="104" w:name="_Toc28359017"/>
      <w:bookmarkStart w:id="105" w:name="_Toc160031657"/>
      <w:bookmarkStart w:id="106" w:name="_Toc109809294"/>
      <w:bookmarkStart w:id="107" w:name="_Toc172575790"/>
      <w:bookmarkStart w:id="108" w:name="_Toc84356234"/>
      <w:bookmarkStart w:id="109" w:name="_Toc1385570762"/>
      <w:bookmarkStart w:id="110" w:name="_Toc53412198"/>
      <w:bookmarkStart w:id="111" w:name="_Toc98864993"/>
      <w:bookmarkStart w:id="112" w:name="_Toc87538351"/>
      <w:bookmarkStart w:id="113" w:name="_Toc69678411"/>
      <w:bookmarkStart w:id="114" w:name="_Toc87543800"/>
      <w:bookmarkStart w:id="115" w:name="_Toc98033916"/>
      <w:bookmarkStart w:id="116" w:name="_Toc83753874"/>
      <w:r>
        <w:rPr>
          <w:rFonts w:hint="eastAsia" w:ascii="宋体" w:hAnsi="宋体" w:cs="宋体"/>
          <w:b/>
          <w:bCs/>
          <w:color w:val="auto"/>
          <w:sz w:val="24"/>
          <w:szCs w:val="24"/>
        </w:rPr>
        <w:t>六、投标保证金信息</w:t>
      </w:r>
    </w:p>
    <w:p w14:paraId="04EF6800">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是否需要缴纳磋商保证金：否</w:t>
      </w:r>
    </w:p>
    <w:p w14:paraId="6F757062">
      <w:pPr>
        <w:spacing w:line="360" w:lineRule="auto"/>
        <w:outlineLvl w:val="1"/>
        <w:rPr>
          <w:rFonts w:hint="eastAsia" w:ascii="宋体" w:hAnsi="宋体" w:cs="宋体"/>
          <w:b/>
          <w:bCs/>
          <w:color w:val="auto"/>
          <w:sz w:val="24"/>
          <w:szCs w:val="24"/>
        </w:rPr>
      </w:pPr>
      <w:r>
        <w:rPr>
          <w:rFonts w:hint="eastAsia" w:ascii="宋体" w:hAnsi="宋体" w:cs="宋体"/>
          <w:b/>
          <w:bCs/>
          <w:color w:val="auto"/>
          <w:sz w:val="24"/>
          <w:szCs w:val="24"/>
        </w:rPr>
        <w:t>七、</w:t>
      </w:r>
      <w:bookmarkEnd w:id="99"/>
      <w:bookmarkEnd w:id="100"/>
      <w:bookmarkEnd w:id="101"/>
      <w:bookmarkEnd w:id="102"/>
      <w:bookmarkEnd w:id="103"/>
      <w:bookmarkEnd w:id="104"/>
      <w:r>
        <w:rPr>
          <w:rFonts w:hint="eastAsia" w:ascii="宋体" w:hAnsi="宋体" w:cs="宋体"/>
          <w:b/>
          <w:bCs/>
          <w:color w:val="auto"/>
          <w:sz w:val="24"/>
          <w:szCs w:val="24"/>
        </w:rPr>
        <w:t>公告期限</w:t>
      </w:r>
      <w:bookmarkEnd w:id="105"/>
      <w:bookmarkEnd w:id="106"/>
      <w:bookmarkEnd w:id="107"/>
      <w:bookmarkEnd w:id="108"/>
      <w:bookmarkEnd w:id="109"/>
      <w:bookmarkEnd w:id="110"/>
      <w:bookmarkEnd w:id="111"/>
      <w:bookmarkEnd w:id="112"/>
      <w:bookmarkEnd w:id="113"/>
      <w:bookmarkEnd w:id="114"/>
      <w:bookmarkEnd w:id="115"/>
      <w:bookmarkEnd w:id="116"/>
    </w:p>
    <w:p w14:paraId="07655C23">
      <w:pPr>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自本公告发布之日起3个工作日。</w:t>
      </w:r>
    </w:p>
    <w:p w14:paraId="568C59FE">
      <w:pPr>
        <w:spacing w:line="360" w:lineRule="auto"/>
        <w:outlineLvl w:val="1"/>
        <w:rPr>
          <w:rFonts w:hint="eastAsia" w:ascii="宋体" w:hAnsi="宋体" w:cs="宋体"/>
          <w:b/>
          <w:bCs/>
          <w:color w:val="auto"/>
          <w:sz w:val="24"/>
          <w:szCs w:val="24"/>
        </w:rPr>
      </w:pPr>
      <w:bookmarkStart w:id="117" w:name="_Toc109809295"/>
      <w:bookmarkStart w:id="118" w:name="_Toc35393804"/>
      <w:bookmarkStart w:id="119" w:name="_Toc45791331"/>
      <w:bookmarkStart w:id="120" w:name="_Toc87543801"/>
      <w:bookmarkStart w:id="121" w:name="_Toc69678412"/>
      <w:bookmarkStart w:id="122" w:name="_Toc45976878"/>
      <w:bookmarkStart w:id="123" w:name="_Toc87538352"/>
      <w:bookmarkStart w:id="124" w:name="_Toc98864994"/>
      <w:bookmarkStart w:id="125" w:name="_Toc1082037831"/>
      <w:bookmarkStart w:id="126" w:name="_Toc53412199"/>
      <w:bookmarkStart w:id="127" w:name="_Toc172575791"/>
      <w:bookmarkStart w:id="128" w:name="_Toc98033917"/>
      <w:bookmarkStart w:id="129" w:name="_Toc84356235"/>
      <w:bookmarkStart w:id="130" w:name="_Toc83753875"/>
      <w:bookmarkStart w:id="131" w:name="_Toc35393635"/>
      <w:bookmarkStart w:id="132" w:name="_Toc160031658"/>
      <w:r>
        <w:rPr>
          <w:rFonts w:hint="eastAsia" w:ascii="宋体" w:hAnsi="宋体" w:cs="宋体"/>
          <w:b/>
          <w:bCs/>
          <w:color w:val="auto"/>
          <w:sz w:val="24"/>
          <w:szCs w:val="24"/>
        </w:rPr>
        <w:t>八、其他补充事宜</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616556B7">
      <w:pPr>
        <w:pStyle w:val="5"/>
        <w:spacing w:line="360" w:lineRule="auto"/>
        <w:rPr>
          <w:rFonts w:hint="eastAsia" w:ascii="宋体" w:hAnsi="宋体" w:cs="宋体"/>
          <w:color w:val="auto"/>
          <w:szCs w:val="21"/>
        </w:rPr>
      </w:pPr>
      <w:r>
        <w:rPr>
          <w:rFonts w:hint="eastAsia" w:ascii="宋体" w:hAnsi="宋体" w:cs="宋体"/>
          <w:color w:val="auto"/>
          <w:szCs w:val="21"/>
        </w:rPr>
        <w:t>1.资金来源：财政性资金；资金落实情况：已落实。</w:t>
      </w:r>
    </w:p>
    <w:p w14:paraId="07BC847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2.服务地点：</w:t>
      </w:r>
      <w:r>
        <w:rPr>
          <w:rFonts w:hint="eastAsia" w:ascii="宋体" w:hAnsi="宋体" w:cs="宋体"/>
          <w:color w:val="auto"/>
          <w:kern w:val="0"/>
          <w:szCs w:val="21"/>
        </w:rPr>
        <w:t>采购人指定地点</w:t>
      </w:r>
      <w:r>
        <w:rPr>
          <w:rFonts w:hint="eastAsia" w:ascii="宋体" w:hAnsi="宋体" w:cs="宋体"/>
          <w:bCs/>
          <w:color w:val="auto"/>
          <w:kern w:val="0"/>
          <w:szCs w:val="21"/>
        </w:rPr>
        <w:t>。</w:t>
      </w:r>
    </w:p>
    <w:p w14:paraId="6632CF33">
      <w:pPr>
        <w:pStyle w:val="5"/>
        <w:spacing w:line="360" w:lineRule="auto"/>
        <w:rPr>
          <w:rFonts w:hint="eastAsia" w:ascii="宋体" w:hAnsi="宋体" w:cs="宋体"/>
          <w:color w:val="auto"/>
          <w:szCs w:val="21"/>
        </w:rPr>
      </w:pPr>
      <w:r>
        <w:rPr>
          <w:rFonts w:hint="eastAsia" w:ascii="宋体" w:hAnsi="宋体" w:cs="宋体"/>
          <w:color w:val="auto"/>
          <w:szCs w:val="21"/>
        </w:rPr>
        <w:t>3.服务期限：合同签订之日起一年。</w:t>
      </w:r>
    </w:p>
    <w:p w14:paraId="4643CF0A">
      <w:pPr>
        <w:pStyle w:val="5"/>
        <w:spacing w:line="360" w:lineRule="auto"/>
        <w:rPr>
          <w:rFonts w:hint="eastAsia" w:ascii="宋体" w:hAnsi="宋体" w:cs="宋体"/>
          <w:color w:val="auto"/>
          <w:szCs w:val="21"/>
        </w:rPr>
      </w:pPr>
      <w:r>
        <w:rPr>
          <w:rFonts w:hint="eastAsia" w:ascii="宋体" w:hAnsi="宋体" w:cs="宋体"/>
          <w:color w:val="auto"/>
          <w:szCs w:val="21"/>
        </w:rPr>
        <w:t>4.质量要求：按照《流动人员人事档案管理服务规范》GB/T 32623-2016、《流动人员人事档案安全管理规范》LD/T 04-2020及国家现行相关法律法规开展工作。</w:t>
      </w:r>
    </w:p>
    <w:p w14:paraId="326A819C">
      <w:pPr>
        <w:pStyle w:val="5"/>
        <w:overflowPunct w:val="0"/>
        <w:spacing w:line="360" w:lineRule="auto"/>
        <w:rPr>
          <w:rFonts w:hint="eastAsia" w:ascii="宋体" w:hAnsi="宋体" w:cs="宋体"/>
          <w:color w:val="auto"/>
          <w:szCs w:val="21"/>
        </w:rPr>
      </w:pPr>
      <w:r>
        <w:rPr>
          <w:rFonts w:hint="eastAsia" w:ascii="宋体" w:hAnsi="宋体" w:cs="宋体"/>
          <w:color w:val="auto"/>
          <w:szCs w:val="21"/>
        </w:rPr>
        <w:t>5.包件划分：本项目不划分包件。</w:t>
      </w:r>
    </w:p>
    <w:p w14:paraId="3AFB0262">
      <w:pPr>
        <w:pStyle w:val="5"/>
        <w:overflowPunct w:val="0"/>
        <w:spacing w:line="360" w:lineRule="auto"/>
        <w:rPr>
          <w:rFonts w:hint="eastAsia" w:ascii="宋体" w:hAnsi="宋体" w:cs="宋体"/>
          <w:color w:val="auto"/>
          <w:szCs w:val="21"/>
        </w:rPr>
      </w:pPr>
      <w:r>
        <w:rPr>
          <w:rFonts w:hint="eastAsia" w:ascii="宋体" w:hAnsi="宋体" w:cs="宋体"/>
          <w:color w:val="auto"/>
          <w:szCs w:val="21"/>
        </w:rPr>
        <w:t>6.发布公告的媒介：云南省政府采购网（网址：</w:t>
      </w:r>
      <w:r>
        <w:rPr>
          <w:color w:val="auto"/>
        </w:rPr>
        <w:fldChar w:fldCharType="begin"/>
      </w:r>
      <w:r>
        <w:rPr>
          <w:color w:val="auto"/>
        </w:rPr>
        <w:instrText xml:space="preserve"> HYPERLINK "http://www.yngp.com/" </w:instrText>
      </w:r>
      <w:r>
        <w:rPr>
          <w:color w:val="auto"/>
        </w:rPr>
        <w:fldChar w:fldCharType="separate"/>
      </w:r>
      <w:r>
        <w:rPr>
          <w:rStyle w:val="62"/>
          <w:rFonts w:hint="eastAsia" w:ascii="宋体" w:hAnsi="宋体" w:cs="宋体"/>
          <w:color w:val="auto"/>
          <w:szCs w:val="21"/>
          <w:u w:val="none"/>
        </w:rPr>
        <w:t>http：//www.yngp.com/</w:t>
      </w:r>
      <w:r>
        <w:rPr>
          <w:rStyle w:val="62"/>
          <w:rFonts w:hint="eastAsia" w:ascii="宋体" w:hAnsi="宋体" w:cs="宋体"/>
          <w:color w:val="auto"/>
          <w:szCs w:val="21"/>
          <w:u w:val="none"/>
        </w:rPr>
        <w:fldChar w:fldCharType="end"/>
      </w:r>
      <w:r>
        <w:rPr>
          <w:rFonts w:hint="eastAsia" w:ascii="宋体" w:hAnsi="宋体" w:cs="宋体"/>
          <w:color w:val="auto"/>
          <w:szCs w:val="21"/>
        </w:rPr>
        <w:t>）。</w:t>
      </w:r>
    </w:p>
    <w:p w14:paraId="4A9732BB">
      <w:pPr>
        <w:overflowPunct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7.信誉要求：供应商未被中国执行信息公开网（网址：http://zxgk.court.gov.cn/shixin/）列为“失信被执行人”；未被信用中国（网址：https：//www.creditchina.gov.cn/）列入“重大税收违法失信主体名单”或“严重失信主体名单”；未被中国政府采购网（网址：http://www.ccgp.gov.cn/）列为“政府采购严重违法失信行为信息记录”（评审前采购人或采购代理机构将通过相关网站查询，并留存网站查询结果截图或打印件，提供给磋商小组）。</w:t>
      </w:r>
    </w:p>
    <w:p w14:paraId="25821490">
      <w:pPr>
        <w:overflowPunct w:val="0"/>
        <w:spacing w:line="360" w:lineRule="auto"/>
        <w:ind w:firstLine="420" w:firstLineChars="200"/>
        <w:jc w:val="left"/>
        <w:rPr>
          <w:rFonts w:hint="eastAsia" w:ascii="宋体" w:hAnsi="宋体" w:cs="宋体"/>
          <w:color w:val="auto"/>
        </w:rPr>
      </w:pPr>
      <w:r>
        <w:rPr>
          <w:rFonts w:hint="eastAsia" w:ascii="宋体" w:hAnsi="宋体" w:cs="宋体"/>
          <w:color w:val="auto"/>
          <w:szCs w:val="21"/>
        </w:rPr>
        <w:t>8.本项目需要落实的政府采购政策：《政府采购促进中小企业发展管理办法》（财库〔2020〕46号）、《关于进一步加大政府采购支持中小企业力度的通知》（财库〔2022〕19号）、《财政部民政部中国残疾人联合会关于促进残疾人就业政府采购政策的通知》（财库〔2017〕141号）、《关于政府采购支持监狱企业发展有关问题的通知》（财库〔2014〕68号）。</w:t>
      </w:r>
    </w:p>
    <w:p w14:paraId="0A5BAFFB">
      <w:pPr>
        <w:overflowPunct w:val="0"/>
        <w:spacing w:line="360" w:lineRule="auto"/>
        <w:ind w:firstLine="420" w:firstLineChars="200"/>
        <w:jc w:val="left"/>
        <w:rPr>
          <w:rFonts w:hint="eastAsia" w:ascii="宋体" w:hAnsi="宋体" w:cs="宋体"/>
          <w:color w:val="auto"/>
          <w:szCs w:val="21"/>
        </w:rPr>
      </w:pPr>
      <w:r>
        <w:rPr>
          <w:rFonts w:hint="eastAsia" w:ascii="宋体" w:hAnsi="宋体" w:cs="宋体"/>
          <w:color w:val="auto"/>
        </w:rPr>
        <w:t>9.</w:t>
      </w:r>
      <w:r>
        <w:rPr>
          <w:rFonts w:hint="eastAsia" w:ascii="宋体" w:hAnsi="宋体" w:cs="宋体"/>
          <w:color w:val="auto"/>
          <w:szCs w:val="21"/>
        </w:rPr>
        <w:t>响应文件的提交方式：本项目为全流程电子化项目。凡有意参与磋商者，请自行前往政府采购云平台“客户端&amp;驱动下载”网页（网址：https：//customer.zcygov.cn/CA-driver-download?utm=web-ca-front.3ddc8fbb.0.0.91c6cff0db1311ec8cfbc9f613d30204）下载并安装“政采云投标客户端”。供应商按照采购文件和政府采购云平台（网址：https：//www.zcygov.cn/）的要求编制、加密电子响应文件，响应文件在提交截止时间前未完成上传的，视为撤回响应文件。供应商在政府采购云平台提交电子版响应文件时，请填写参与远程开标活动经办人的联系方式。</w:t>
      </w:r>
    </w:p>
    <w:p w14:paraId="7A7AF796">
      <w:pPr>
        <w:spacing w:line="360" w:lineRule="auto"/>
        <w:ind w:firstLine="420" w:firstLineChars="200"/>
        <w:rPr>
          <w:rFonts w:hint="eastAsia" w:ascii="宋体" w:hAnsi="宋体" w:cs="宋体"/>
          <w:color w:val="auto"/>
        </w:rPr>
      </w:pPr>
      <w:r>
        <w:rPr>
          <w:rFonts w:hint="eastAsia" w:ascii="宋体" w:hAnsi="宋体" w:cs="宋体"/>
          <w:color w:val="auto"/>
        </w:rPr>
        <w:t>10.响应文件的解密方式：在线解密。供应商须提前在自有场地配置有音视频通话（带摄像头及话筒的电脑）功能的相应设备及稳定网络的环境下，按政府采购云平台开标大厅中的提示完成响应文件的解密。</w:t>
      </w:r>
    </w:p>
    <w:p w14:paraId="5A7939AA">
      <w:pPr>
        <w:spacing w:line="360" w:lineRule="auto"/>
        <w:outlineLvl w:val="1"/>
        <w:rPr>
          <w:rFonts w:hint="eastAsia" w:ascii="宋体" w:hAnsi="宋体" w:cs="宋体"/>
          <w:b/>
          <w:bCs/>
          <w:color w:val="auto"/>
          <w:sz w:val="24"/>
          <w:szCs w:val="24"/>
        </w:rPr>
      </w:pPr>
      <w:bookmarkStart w:id="133" w:name="_Toc69678413"/>
      <w:bookmarkStart w:id="134" w:name="_Toc45791335"/>
      <w:bookmarkStart w:id="135" w:name="_Toc28359018"/>
      <w:bookmarkStart w:id="136" w:name="_Toc87538353"/>
      <w:bookmarkStart w:id="137" w:name="_Toc28359095"/>
      <w:bookmarkStart w:id="138" w:name="_Toc98864995"/>
      <w:bookmarkStart w:id="139" w:name="_Toc84356236"/>
      <w:bookmarkStart w:id="140" w:name="_Toc35393805"/>
      <w:bookmarkStart w:id="141" w:name="_Toc35393636"/>
      <w:bookmarkStart w:id="142" w:name="_Toc172575792"/>
      <w:bookmarkStart w:id="143" w:name="_Toc1269311364"/>
      <w:bookmarkStart w:id="144" w:name="_Toc109809296"/>
      <w:bookmarkStart w:id="145" w:name="_Toc87543802"/>
      <w:bookmarkStart w:id="146" w:name="_Toc83753876"/>
      <w:bookmarkStart w:id="147" w:name="_Toc45976881"/>
      <w:bookmarkStart w:id="148" w:name="_Toc98033918"/>
      <w:bookmarkStart w:id="149" w:name="_Toc53412200"/>
      <w:bookmarkStart w:id="150" w:name="_Toc160031659"/>
      <w:r>
        <w:rPr>
          <w:rFonts w:hint="eastAsia" w:ascii="宋体" w:hAnsi="宋体" w:cs="宋体"/>
          <w:b/>
          <w:bCs/>
          <w:color w:val="auto"/>
          <w:sz w:val="24"/>
          <w:szCs w:val="24"/>
        </w:rPr>
        <w:t>九、凡对本次采购提出询问，请按以下方式联系。</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bookmarkEnd w:id="2"/>
    <w:bookmarkEnd w:id="5"/>
    <w:bookmarkEnd w:id="7"/>
    <w:p w14:paraId="77A6187B">
      <w:pPr>
        <w:spacing w:line="360" w:lineRule="auto"/>
        <w:ind w:firstLine="420" w:firstLineChars="200"/>
        <w:rPr>
          <w:rFonts w:hint="eastAsia" w:ascii="宋体" w:hAnsi="宋体" w:cs="宋体"/>
          <w:color w:val="auto"/>
          <w:szCs w:val="21"/>
        </w:rPr>
      </w:pPr>
      <w:bookmarkStart w:id="151" w:name="_Toc45452726"/>
      <w:bookmarkStart w:id="152" w:name="_Toc28359096"/>
      <w:bookmarkStart w:id="153" w:name="_Toc35393806"/>
      <w:bookmarkStart w:id="154" w:name="_Toc35393637"/>
      <w:bookmarkStart w:id="155" w:name="_Toc45900508"/>
      <w:bookmarkStart w:id="156" w:name="_Toc28359019"/>
      <w:bookmarkStart w:id="157" w:name="_Toc42204978"/>
      <w:bookmarkStart w:id="158" w:name="_Toc37603101"/>
      <w:r>
        <w:rPr>
          <w:rFonts w:hint="eastAsia" w:ascii="宋体" w:hAnsi="宋体" w:cs="宋体"/>
          <w:color w:val="auto"/>
          <w:szCs w:val="21"/>
        </w:rPr>
        <w:t>1.采购人信息</w:t>
      </w:r>
      <w:bookmarkEnd w:id="151"/>
      <w:bookmarkEnd w:id="152"/>
      <w:bookmarkEnd w:id="153"/>
      <w:bookmarkEnd w:id="154"/>
      <w:bookmarkEnd w:id="155"/>
      <w:bookmarkEnd w:id="156"/>
    </w:p>
    <w:p w14:paraId="3A060BD6">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名    称：安宁市公共就业和人才服务中心</w:t>
      </w:r>
    </w:p>
    <w:p w14:paraId="1500F2FA">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地    址：安宁市宁湖大厦4楼</w:t>
      </w:r>
    </w:p>
    <w:p w14:paraId="60761951">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联系方式：张子雯（0871-68691754）</w:t>
      </w:r>
    </w:p>
    <w:p w14:paraId="2DB6109E">
      <w:pPr>
        <w:spacing w:line="360" w:lineRule="auto"/>
        <w:rPr>
          <w:rFonts w:hint="eastAsia" w:ascii="宋体" w:hAnsi="宋体" w:cs="宋体"/>
          <w:color w:val="auto"/>
        </w:rPr>
      </w:pPr>
    </w:p>
    <w:p w14:paraId="3CA84F38">
      <w:pPr>
        <w:spacing w:line="360" w:lineRule="auto"/>
        <w:ind w:firstLine="420" w:firstLineChars="200"/>
        <w:rPr>
          <w:rFonts w:hint="eastAsia" w:ascii="宋体" w:hAnsi="宋体" w:cs="宋体"/>
          <w:color w:val="auto"/>
          <w:szCs w:val="21"/>
        </w:rPr>
      </w:pPr>
      <w:bookmarkStart w:id="159" w:name="_Toc28359097"/>
      <w:bookmarkStart w:id="160" w:name="_Toc45452727"/>
      <w:bookmarkStart w:id="161" w:name="_Toc45900509"/>
      <w:bookmarkStart w:id="162" w:name="_Toc35393638"/>
      <w:bookmarkStart w:id="163" w:name="_Toc35393807"/>
      <w:bookmarkStart w:id="164" w:name="_Toc28359020"/>
      <w:r>
        <w:rPr>
          <w:rFonts w:hint="eastAsia" w:ascii="宋体" w:hAnsi="宋体" w:cs="宋体"/>
          <w:color w:val="auto"/>
          <w:szCs w:val="21"/>
        </w:rPr>
        <w:t>2.采购代理机构信息</w:t>
      </w:r>
      <w:bookmarkEnd w:id="159"/>
      <w:bookmarkEnd w:id="160"/>
      <w:bookmarkEnd w:id="161"/>
      <w:bookmarkEnd w:id="162"/>
      <w:bookmarkEnd w:id="163"/>
      <w:bookmarkEnd w:id="164"/>
    </w:p>
    <w:p w14:paraId="1FF3FEAC">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名    称：云南铭漾工程技术咨询有限公司</w:t>
      </w:r>
    </w:p>
    <w:p w14:paraId="6E7DD277">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地　　址：昆明市五华区王筇路49号五华科创大厦14楼07室</w:t>
      </w:r>
    </w:p>
    <w:p w14:paraId="6C00121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联系方式：0871-65093696</w:t>
      </w:r>
    </w:p>
    <w:p w14:paraId="59C30E17">
      <w:pPr>
        <w:spacing w:line="360" w:lineRule="auto"/>
        <w:rPr>
          <w:rFonts w:hint="eastAsia" w:ascii="宋体" w:hAnsi="宋体" w:cs="宋体"/>
          <w:color w:val="auto"/>
        </w:rPr>
      </w:pPr>
    </w:p>
    <w:p w14:paraId="2B006D6F">
      <w:pPr>
        <w:spacing w:line="360" w:lineRule="auto"/>
        <w:ind w:firstLine="420" w:firstLineChars="200"/>
        <w:rPr>
          <w:rFonts w:hint="eastAsia" w:ascii="宋体" w:hAnsi="宋体" w:cs="宋体"/>
          <w:color w:val="auto"/>
          <w:szCs w:val="21"/>
        </w:rPr>
      </w:pPr>
      <w:bookmarkStart w:id="165" w:name="_Toc45900510"/>
      <w:bookmarkStart w:id="166" w:name="_Toc35393639"/>
      <w:bookmarkStart w:id="167" w:name="_Toc28359098"/>
      <w:bookmarkStart w:id="168" w:name="_Toc28359021"/>
      <w:bookmarkStart w:id="169" w:name="_Toc45452728"/>
      <w:bookmarkStart w:id="170" w:name="_Toc35393808"/>
      <w:r>
        <w:rPr>
          <w:rFonts w:hint="eastAsia" w:ascii="宋体" w:hAnsi="宋体" w:cs="宋体"/>
          <w:color w:val="auto"/>
          <w:szCs w:val="21"/>
        </w:rPr>
        <w:t>3.项目联系方式</w:t>
      </w:r>
      <w:bookmarkEnd w:id="165"/>
      <w:bookmarkEnd w:id="166"/>
      <w:bookmarkEnd w:id="167"/>
      <w:bookmarkEnd w:id="168"/>
      <w:bookmarkEnd w:id="169"/>
      <w:bookmarkEnd w:id="170"/>
    </w:p>
    <w:p w14:paraId="4A731670">
      <w:pPr>
        <w:pStyle w:val="29"/>
        <w:spacing w:line="360" w:lineRule="auto"/>
        <w:ind w:firstLine="420" w:firstLineChars="200"/>
        <w:rPr>
          <w:rFonts w:hint="eastAsia" w:hAnsi="宋体" w:cs="宋体"/>
          <w:color w:val="auto"/>
          <w:szCs w:val="21"/>
        </w:rPr>
      </w:pPr>
      <w:r>
        <w:rPr>
          <w:rFonts w:hint="eastAsia" w:hAnsi="宋体" w:cs="宋体"/>
          <w:color w:val="auto"/>
          <w:szCs w:val="21"/>
        </w:rPr>
        <w:t>项目联系人：</w:t>
      </w:r>
      <w:r>
        <w:rPr>
          <w:rFonts w:hint="eastAsia" w:hAnsi="宋体" w:cs="宋体"/>
          <w:color w:val="auto"/>
        </w:rPr>
        <w:t>赵仕焜</w:t>
      </w:r>
      <w:r>
        <w:rPr>
          <w:rFonts w:hint="eastAsia" w:hAnsi="宋体" w:cs="宋体"/>
          <w:color w:val="auto"/>
          <w:szCs w:val="21"/>
        </w:rPr>
        <w:t xml:space="preserve"> 李国涛 贺兴文 尹正国 杨玲英</w:t>
      </w:r>
    </w:p>
    <w:p w14:paraId="3C309BB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电      话：0871-65093696  13708885070</w:t>
      </w:r>
    </w:p>
    <w:p w14:paraId="2FD334F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br w:type="page"/>
      </w:r>
    </w:p>
    <w:p w14:paraId="54A4C8DE">
      <w:pPr>
        <w:spacing w:line="360" w:lineRule="auto"/>
        <w:jc w:val="center"/>
        <w:outlineLvl w:val="0"/>
        <w:rPr>
          <w:rFonts w:hint="eastAsia" w:ascii="宋体" w:hAnsi="宋体" w:cs="宋体"/>
          <w:b/>
          <w:bCs/>
          <w:color w:val="auto"/>
          <w:sz w:val="32"/>
          <w:szCs w:val="32"/>
        </w:rPr>
      </w:pPr>
      <w:bookmarkStart w:id="171" w:name="_Toc2123033581"/>
      <w:r>
        <w:rPr>
          <w:rFonts w:hint="eastAsia" w:ascii="宋体" w:hAnsi="宋体" w:cs="宋体"/>
          <w:b/>
          <w:bCs/>
          <w:color w:val="auto"/>
          <w:sz w:val="32"/>
          <w:szCs w:val="32"/>
        </w:rPr>
        <w:t>第二章 供应商须知</w:t>
      </w:r>
      <w:bookmarkEnd w:id="157"/>
      <w:bookmarkEnd w:id="158"/>
      <w:bookmarkEnd w:id="171"/>
    </w:p>
    <w:p w14:paraId="50BAC942">
      <w:pPr>
        <w:pStyle w:val="4"/>
        <w:spacing w:line="360" w:lineRule="auto"/>
        <w:rPr>
          <w:rFonts w:hint="eastAsia" w:ascii="宋体" w:hAnsi="宋体" w:cs="宋体"/>
          <w:color w:val="auto"/>
          <w:szCs w:val="28"/>
        </w:rPr>
      </w:pPr>
      <w:bookmarkStart w:id="172" w:name="_Toc1516315704"/>
      <w:bookmarkStart w:id="173" w:name="_Toc132362632"/>
      <w:r>
        <w:rPr>
          <w:rFonts w:hint="eastAsia" w:ascii="宋体" w:hAnsi="宋体" w:cs="宋体"/>
          <w:color w:val="auto"/>
          <w:szCs w:val="28"/>
        </w:rPr>
        <w:t>一、供应商须知前附表</w:t>
      </w:r>
      <w:bookmarkEnd w:id="172"/>
      <w:bookmarkEnd w:id="173"/>
    </w:p>
    <w:tbl>
      <w:tblPr>
        <w:tblStyle w:val="55"/>
        <w:tblW w:w="9209" w:type="dxa"/>
        <w:jc w:val="center"/>
        <w:tblLayout w:type="fixed"/>
        <w:tblCellMar>
          <w:top w:w="0" w:type="dxa"/>
          <w:left w:w="0" w:type="dxa"/>
          <w:bottom w:w="0" w:type="dxa"/>
          <w:right w:w="0" w:type="dxa"/>
        </w:tblCellMar>
      </w:tblPr>
      <w:tblGrid>
        <w:gridCol w:w="840"/>
        <w:gridCol w:w="1990"/>
        <w:gridCol w:w="6379"/>
      </w:tblGrid>
      <w:tr w14:paraId="6A0BC666">
        <w:tblPrEx>
          <w:tblCellMar>
            <w:top w:w="0" w:type="dxa"/>
            <w:left w:w="0" w:type="dxa"/>
            <w:bottom w:w="0" w:type="dxa"/>
            <w:right w:w="0" w:type="dxa"/>
          </w:tblCellMar>
        </w:tblPrEx>
        <w:trPr>
          <w:trHeight w:val="489"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14:paraId="28C7D64C">
            <w:pPr>
              <w:autoSpaceDE w:val="0"/>
              <w:autoSpaceDN w:val="0"/>
              <w:contextualSpacing/>
              <w:jc w:val="center"/>
              <w:rPr>
                <w:rFonts w:hint="eastAsia" w:ascii="宋体" w:hAnsi="宋体" w:cs="宋体"/>
                <w:b/>
                <w:color w:val="auto"/>
                <w:szCs w:val="21"/>
              </w:rPr>
            </w:pPr>
            <w:r>
              <w:rPr>
                <w:rFonts w:hint="eastAsia" w:ascii="宋体" w:hAnsi="宋体" w:cs="宋体"/>
                <w:b/>
                <w:color w:val="auto"/>
                <w:szCs w:val="21"/>
              </w:rPr>
              <w:t>条款号</w:t>
            </w:r>
          </w:p>
        </w:tc>
        <w:tc>
          <w:tcPr>
            <w:tcW w:w="1990" w:type="dxa"/>
            <w:tcBorders>
              <w:top w:val="single" w:color="auto" w:sz="4" w:space="0"/>
              <w:left w:val="single" w:color="auto" w:sz="4" w:space="0"/>
              <w:bottom w:val="single" w:color="auto" w:sz="4" w:space="0"/>
              <w:right w:val="single" w:color="auto" w:sz="4" w:space="0"/>
            </w:tcBorders>
            <w:vAlign w:val="center"/>
          </w:tcPr>
          <w:p w14:paraId="1574FBFA">
            <w:pPr>
              <w:wordWrap w:val="0"/>
              <w:autoSpaceDE w:val="0"/>
              <w:autoSpaceDN w:val="0"/>
              <w:contextualSpacing/>
              <w:jc w:val="center"/>
              <w:rPr>
                <w:rFonts w:hint="eastAsia" w:ascii="宋体" w:hAnsi="宋体" w:cs="宋体"/>
                <w:b/>
                <w:color w:val="auto"/>
                <w:szCs w:val="21"/>
              </w:rPr>
            </w:pPr>
            <w:r>
              <w:rPr>
                <w:rFonts w:hint="eastAsia" w:ascii="宋体" w:hAnsi="宋体" w:cs="宋体"/>
                <w:b/>
                <w:color w:val="auto"/>
                <w:szCs w:val="21"/>
              </w:rPr>
              <w:t>条款名称</w:t>
            </w:r>
          </w:p>
        </w:tc>
        <w:tc>
          <w:tcPr>
            <w:tcW w:w="6379" w:type="dxa"/>
            <w:tcBorders>
              <w:top w:val="single" w:color="auto" w:sz="4" w:space="0"/>
              <w:left w:val="single" w:color="auto" w:sz="4" w:space="0"/>
              <w:bottom w:val="single" w:color="auto" w:sz="4" w:space="0"/>
              <w:right w:val="single" w:color="auto" w:sz="4" w:space="0"/>
            </w:tcBorders>
            <w:vAlign w:val="center"/>
          </w:tcPr>
          <w:p w14:paraId="43F35B8B">
            <w:pPr>
              <w:wordWrap w:val="0"/>
              <w:autoSpaceDE w:val="0"/>
              <w:autoSpaceDN w:val="0"/>
              <w:spacing w:before="120" w:beforeLines="50"/>
              <w:ind w:left="-15" w:leftChars="-7" w:firstLine="15" w:firstLineChars="7"/>
              <w:contextualSpacing/>
              <w:jc w:val="center"/>
              <w:rPr>
                <w:rFonts w:hint="eastAsia" w:ascii="宋体" w:hAnsi="宋体" w:cs="宋体"/>
                <w:b/>
                <w:color w:val="auto"/>
                <w:szCs w:val="21"/>
              </w:rPr>
            </w:pPr>
            <w:r>
              <w:rPr>
                <w:rFonts w:hint="eastAsia" w:ascii="宋体" w:hAnsi="宋体" w:cs="宋体"/>
                <w:b/>
                <w:color w:val="auto"/>
                <w:szCs w:val="21"/>
              </w:rPr>
              <w:t>编列内容</w:t>
            </w:r>
          </w:p>
        </w:tc>
      </w:tr>
      <w:tr w14:paraId="17BFDB08">
        <w:tblPrEx>
          <w:tblCellMar>
            <w:top w:w="0" w:type="dxa"/>
            <w:left w:w="0" w:type="dxa"/>
            <w:bottom w:w="0" w:type="dxa"/>
            <w:right w:w="0" w:type="dxa"/>
          </w:tblCellMar>
        </w:tblPrEx>
        <w:trPr>
          <w:trHeight w:val="567"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14:paraId="60C72E44">
            <w:pPr>
              <w:wordWrap w:val="0"/>
              <w:autoSpaceDE w:val="0"/>
              <w:autoSpaceDN w:val="0"/>
              <w:spacing w:line="360" w:lineRule="auto"/>
              <w:contextualSpacing/>
              <w:jc w:val="center"/>
              <w:rPr>
                <w:rFonts w:hint="eastAsia" w:ascii="宋体" w:hAnsi="宋体" w:cs="宋体"/>
                <w:color w:val="auto"/>
                <w:szCs w:val="21"/>
              </w:rPr>
            </w:pPr>
            <w:r>
              <w:rPr>
                <w:rFonts w:hint="eastAsia" w:ascii="宋体" w:hAnsi="宋体" w:cs="宋体"/>
                <w:color w:val="auto"/>
                <w:szCs w:val="21"/>
              </w:rPr>
              <w:t>1.1.2</w:t>
            </w:r>
          </w:p>
        </w:tc>
        <w:tc>
          <w:tcPr>
            <w:tcW w:w="1990" w:type="dxa"/>
            <w:tcBorders>
              <w:top w:val="single" w:color="auto" w:sz="4" w:space="0"/>
              <w:left w:val="single" w:color="auto" w:sz="4" w:space="0"/>
              <w:bottom w:val="single" w:color="auto" w:sz="4" w:space="0"/>
              <w:right w:val="single" w:color="auto" w:sz="4" w:space="0"/>
            </w:tcBorders>
            <w:vAlign w:val="center"/>
          </w:tcPr>
          <w:p w14:paraId="5446C02B">
            <w:pPr>
              <w:wordWrap w:val="0"/>
              <w:autoSpaceDE w:val="0"/>
              <w:autoSpaceDN w:val="0"/>
              <w:spacing w:line="360" w:lineRule="auto"/>
              <w:contextualSpacing/>
              <w:jc w:val="center"/>
              <w:rPr>
                <w:rFonts w:hint="eastAsia" w:ascii="宋体" w:hAnsi="宋体" w:cs="宋体"/>
                <w:color w:val="auto"/>
                <w:szCs w:val="21"/>
              </w:rPr>
            </w:pPr>
            <w:r>
              <w:rPr>
                <w:rFonts w:hint="eastAsia" w:ascii="宋体" w:hAnsi="宋体" w:cs="宋体"/>
                <w:color w:val="auto"/>
                <w:szCs w:val="21"/>
              </w:rPr>
              <w:t>采购人</w:t>
            </w:r>
          </w:p>
        </w:tc>
        <w:tc>
          <w:tcPr>
            <w:tcW w:w="6379" w:type="dxa"/>
            <w:tcBorders>
              <w:top w:val="single" w:color="auto" w:sz="4" w:space="0"/>
              <w:left w:val="single" w:color="auto" w:sz="4" w:space="0"/>
              <w:bottom w:val="single" w:color="auto" w:sz="4" w:space="0"/>
              <w:right w:val="single" w:color="auto" w:sz="4" w:space="0"/>
            </w:tcBorders>
          </w:tcPr>
          <w:p w14:paraId="394706D1">
            <w:pPr>
              <w:spacing w:before="120" w:beforeLines="50" w:line="360" w:lineRule="auto"/>
              <w:ind w:left="105" w:leftChars="50"/>
              <w:rPr>
                <w:rFonts w:hint="eastAsia" w:ascii="宋体" w:hAnsi="宋体" w:cs="宋体"/>
                <w:color w:val="auto"/>
                <w:szCs w:val="21"/>
              </w:rPr>
            </w:pPr>
            <w:bookmarkStart w:id="174" w:name="_Hlk75780510"/>
            <w:r>
              <w:rPr>
                <w:rFonts w:hint="eastAsia" w:ascii="宋体" w:hAnsi="宋体" w:cs="宋体"/>
                <w:color w:val="auto"/>
                <w:szCs w:val="21"/>
              </w:rPr>
              <w:t>单位名称：安宁市公共就业和人才服务中心</w:t>
            </w:r>
          </w:p>
          <w:p w14:paraId="74DD478E">
            <w:pPr>
              <w:spacing w:line="360" w:lineRule="auto"/>
              <w:ind w:left="105" w:leftChars="50"/>
              <w:rPr>
                <w:rFonts w:hint="eastAsia" w:ascii="宋体" w:hAnsi="宋体" w:cs="宋体"/>
                <w:color w:val="auto"/>
                <w:szCs w:val="21"/>
              </w:rPr>
            </w:pPr>
            <w:r>
              <w:rPr>
                <w:rFonts w:hint="eastAsia" w:ascii="宋体" w:hAnsi="宋体" w:cs="宋体"/>
                <w:color w:val="auto"/>
                <w:szCs w:val="21"/>
              </w:rPr>
              <w:t>单位地址：安宁市宁湖大厦4楼</w:t>
            </w:r>
          </w:p>
          <w:p w14:paraId="680F054D">
            <w:pPr>
              <w:spacing w:line="360" w:lineRule="auto"/>
              <w:ind w:left="105" w:leftChars="50"/>
              <w:rPr>
                <w:rFonts w:hint="eastAsia" w:ascii="宋体" w:hAnsi="宋体" w:cs="宋体"/>
                <w:color w:val="auto"/>
                <w:szCs w:val="21"/>
              </w:rPr>
            </w:pPr>
            <w:r>
              <w:rPr>
                <w:rFonts w:hint="eastAsia" w:ascii="宋体" w:hAnsi="宋体" w:cs="宋体"/>
                <w:color w:val="auto"/>
                <w:szCs w:val="21"/>
              </w:rPr>
              <w:t>联 系 人：张子雯</w:t>
            </w:r>
          </w:p>
          <w:p w14:paraId="234B3869">
            <w:pPr>
              <w:spacing w:line="360" w:lineRule="auto"/>
              <w:ind w:left="105" w:leftChars="50"/>
              <w:rPr>
                <w:rFonts w:hint="eastAsia" w:ascii="宋体" w:hAnsi="宋体" w:cs="宋体"/>
                <w:color w:val="auto"/>
                <w:szCs w:val="21"/>
              </w:rPr>
            </w:pPr>
            <w:r>
              <w:rPr>
                <w:rFonts w:hint="eastAsia" w:ascii="宋体" w:hAnsi="宋体" w:cs="宋体"/>
                <w:color w:val="auto"/>
                <w:szCs w:val="21"/>
              </w:rPr>
              <w:t>联系电话</w:t>
            </w:r>
            <w:bookmarkEnd w:id="174"/>
            <w:r>
              <w:rPr>
                <w:rFonts w:hint="eastAsia" w:ascii="宋体" w:hAnsi="宋体" w:cs="宋体"/>
                <w:color w:val="auto"/>
                <w:szCs w:val="21"/>
              </w:rPr>
              <w:t>：0871-68691754</w:t>
            </w:r>
          </w:p>
        </w:tc>
      </w:tr>
      <w:tr w14:paraId="0F2E6578">
        <w:tblPrEx>
          <w:tblCellMar>
            <w:top w:w="0" w:type="dxa"/>
            <w:left w:w="0" w:type="dxa"/>
            <w:bottom w:w="0" w:type="dxa"/>
            <w:right w:w="0" w:type="dxa"/>
          </w:tblCellMar>
        </w:tblPrEx>
        <w:trPr>
          <w:trHeight w:val="567"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14:paraId="36426EF0">
            <w:pPr>
              <w:spacing w:before="120" w:beforeLines="50" w:line="360" w:lineRule="auto"/>
              <w:jc w:val="center"/>
              <w:rPr>
                <w:rFonts w:hint="eastAsia" w:ascii="宋体" w:hAnsi="宋体" w:cs="宋体"/>
                <w:color w:val="auto"/>
                <w:szCs w:val="21"/>
              </w:rPr>
            </w:pPr>
            <w:r>
              <w:rPr>
                <w:rFonts w:hint="eastAsia" w:ascii="宋体" w:hAnsi="宋体" w:cs="宋体"/>
                <w:color w:val="auto"/>
                <w:szCs w:val="21"/>
              </w:rPr>
              <w:t>1.1.3</w:t>
            </w:r>
          </w:p>
        </w:tc>
        <w:tc>
          <w:tcPr>
            <w:tcW w:w="1990" w:type="dxa"/>
            <w:tcBorders>
              <w:top w:val="single" w:color="auto" w:sz="4" w:space="0"/>
              <w:left w:val="single" w:color="auto" w:sz="4" w:space="0"/>
              <w:bottom w:val="single" w:color="auto" w:sz="4" w:space="0"/>
              <w:right w:val="single" w:color="auto" w:sz="4" w:space="0"/>
            </w:tcBorders>
            <w:vAlign w:val="center"/>
          </w:tcPr>
          <w:p w14:paraId="2DA6CD66">
            <w:pPr>
              <w:spacing w:before="120" w:beforeLines="50" w:line="360" w:lineRule="auto"/>
              <w:jc w:val="center"/>
              <w:rPr>
                <w:rFonts w:hint="eastAsia" w:ascii="宋体" w:hAnsi="宋体" w:cs="宋体"/>
                <w:color w:val="auto"/>
                <w:szCs w:val="21"/>
              </w:rPr>
            </w:pPr>
            <w:r>
              <w:rPr>
                <w:rFonts w:hint="eastAsia" w:ascii="宋体" w:hAnsi="宋体" w:cs="宋体"/>
                <w:color w:val="auto"/>
                <w:szCs w:val="21"/>
              </w:rPr>
              <w:t>采购代理机构</w:t>
            </w:r>
          </w:p>
        </w:tc>
        <w:tc>
          <w:tcPr>
            <w:tcW w:w="6379" w:type="dxa"/>
            <w:tcBorders>
              <w:top w:val="single" w:color="auto" w:sz="4" w:space="0"/>
              <w:left w:val="single" w:color="auto" w:sz="4" w:space="0"/>
              <w:bottom w:val="single" w:color="auto" w:sz="4" w:space="0"/>
              <w:right w:val="single" w:color="auto" w:sz="4" w:space="0"/>
            </w:tcBorders>
          </w:tcPr>
          <w:p w14:paraId="73227E38">
            <w:pPr>
              <w:spacing w:before="120" w:beforeLines="50" w:line="360" w:lineRule="auto"/>
              <w:ind w:left="105" w:leftChars="50"/>
              <w:rPr>
                <w:rFonts w:hint="eastAsia" w:ascii="宋体" w:hAnsi="宋体" w:cs="宋体"/>
                <w:color w:val="auto"/>
                <w:szCs w:val="21"/>
              </w:rPr>
            </w:pPr>
            <w:r>
              <w:rPr>
                <w:rFonts w:hint="eastAsia" w:ascii="宋体" w:hAnsi="宋体" w:cs="宋体"/>
                <w:color w:val="auto"/>
                <w:szCs w:val="21"/>
              </w:rPr>
              <w:t>单位名称</w:t>
            </w:r>
            <w:bookmarkStart w:id="175" w:name="_Hlk4939381"/>
            <w:r>
              <w:rPr>
                <w:rFonts w:hint="eastAsia" w:ascii="宋体" w:hAnsi="宋体" w:cs="宋体"/>
                <w:color w:val="auto"/>
                <w:szCs w:val="21"/>
              </w:rPr>
              <w:t>：云南铭漾工程技术咨询有限公司</w:t>
            </w:r>
            <w:bookmarkEnd w:id="175"/>
          </w:p>
          <w:p w14:paraId="0D512514">
            <w:pPr>
              <w:spacing w:line="360" w:lineRule="auto"/>
              <w:ind w:left="105" w:leftChars="50"/>
              <w:rPr>
                <w:rFonts w:hint="eastAsia" w:ascii="宋体" w:hAnsi="宋体" w:cs="宋体"/>
                <w:color w:val="auto"/>
                <w:szCs w:val="21"/>
              </w:rPr>
            </w:pPr>
            <w:r>
              <w:rPr>
                <w:rFonts w:hint="eastAsia" w:ascii="宋体" w:hAnsi="宋体" w:cs="宋体"/>
                <w:color w:val="auto"/>
                <w:szCs w:val="21"/>
              </w:rPr>
              <w:t>单位地址：昆明市五华区王筇路49号五华科创大厦14楼07室</w:t>
            </w:r>
          </w:p>
          <w:p w14:paraId="7D08381E">
            <w:pPr>
              <w:spacing w:line="360" w:lineRule="auto"/>
              <w:ind w:left="105" w:leftChars="50"/>
              <w:rPr>
                <w:rFonts w:hint="eastAsia" w:ascii="宋体" w:hAnsi="宋体" w:cs="宋体"/>
                <w:color w:val="auto"/>
                <w:szCs w:val="21"/>
              </w:rPr>
            </w:pPr>
            <w:r>
              <w:rPr>
                <w:rFonts w:hint="eastAsia" w:ascii="宋体" w:hAnsi="宋体" w:cs="宋体"/>
                <w:color w:val="auto"/>
                <w:szCs w:val="21"/>
              </w:rPr>
              <w:t>联 系 人：</w:t>
            </w:r>
            <w:r>
              <w:rPr>
                <w:rFonts w:hint="eastAsia" w:ascii="宋体" w:hAnsi="宋体" w:cs="宋体"/>
                <w:color w:val="auto"/>
              </w:rPr>
              <w:t xml:space="preserve">赵仕焜 </w:t>
            </w:r>
            <w:r>
              <w:rPr>
                <w:rFonts w:hint="eastAsia" w:ascii="宋体" w:hAnsi="宋体" w:cs="宋体"/>
                <w:color w:val="auto"/>
                <w:szCs w:val="21"/>
              </w:rPr>
              <w:t>李国涛 贺兴文 尹正国 杨玲英</w:t>
            </w:r>
          </w:p>
          <w:p w14:paraId="3F5DDE85">
            <w:pPr>
              <w:spacing w:line="360" w:lineRule="auto"/>
              <w:ind w:left="105" w:leftChars="50"/>
              <w:rPr>
                <w:rFonts w:hint="eastAsia" w:ascii="宋体" w:hAnsi="宋体" w:cs="宋体"/>
                <w:color w:val="auto"/>
                <w:szCs w:val="21"/>
              </w:rPr>
            </w:pPr>
            <w:r>
              <w:rPr>
                <w:rFonts w:hint="eastAsia" w:ascii="宋体" w:hAnsi="宋体" w:cs="宋体"/>
                <w:color w:val="auto"/>
                <w:szCs w:val="21"/>
              </w:rPr>
              <w:t>联系电话：0871-65093696 13708885070</w:t>
            </w:r>
          </w:p>
        </w:tc>
      </w:tr>
      <w:tr w14:paraId="4BACD58B">
        <w:tblPrEx>
          <w:tblCellMar>
            <w:top w:w="0" w:type="dxa"/>
            <w:left w:w="0" w:type="dxa"/>
            <w:bottom w:w="0" w:type="dxa"/>
            <w:right w:w="0" w:type="dxa"/>
          </w:tblCellMar>
        </w:tblPrEx>
        <w:trPr>
          <w:trHeight w:val="411"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14:paraId="01F75536">
            <w:pPr>
              <w:spacing w:before="120" w:beforeLines="50" w:line="360" w:lineRule="auto"/>
              <w:jc w:val="center"/>
              <w:rPr>
                <w:rFonts w:hint="eastAsia" w:ascii="宋体" w:hAnsi="宋体" w:cs="宋体"/>
                <w:color w:val="auto"/>
                <w:szCs w:val="21"/>
              </w:rPr>
            </w:pPr>
            <w:r>
              <w:rPr>
                <w:rFonts w:hint="eastAsia" w:ascii="宋体" w:hAnsi="宋体" w:cs="宋体"/>
                <w:color w:val="auto"/>
                <w:szCs w:val="21"/>
              </w:rPr>
              <w:t>1.1.4</w:t>
            </w:r>
          </w:p>
        </w:tc>
        <w:tc>
          <w:tcPr>
            <w:tcW w:w="1990" w:type="dxa"/>
            <w:tcBorders>
              <w:top w:val="single" w:color="auto" w:sz="4" w:space="0"/>
              <w:left w:val="single" w:color="auto" w:sz="4" w:space="0"/>
              <w:bottom w:val="single" w:color="auto" w:sz="4" w:space="0"/>
              <w:right w:val="single" w:color="auto" w:sz="4" w:space="0"/>
            </w:tcBorders>
            <w:vAlign w:val="center"/>
          </w:tcPr>
          <w:p w14:paraId="088C96F8">
            <w:pPr>
              <w:spacing w:before="120" w:beforeLines="50" w:line="360" w:lineRule="auto"/>
              <w:jc w:val="center"/>
              <w:rPr>
                <w:rFonts w:hint="eastAsia" w:ascii="宋体" w:hAnsi="宋体" w:cs="宋体"/>
                <w:color w:val="auto"/>
                <w:szCs w:val="21"/>
              </w:rPr>
            </w:pPr>
            <w:r>
              <w:rPr>
                <w:rFonts w:hint="eastAsia" w:ascii="宋体" w:hAnsi="宋体" w:cs="宋体"/>
                <w:color w:val="auto"/>
                <w:szCs w:val="21"/>
              </w:rPr>
              <w:t>项目名称</w:t>
            </w:r>
          </w:p>
        </w:tc>
        <w:tc>
          <w:tcPr>
            <w:tcW w:w="6379" w:type="dxa"/>
            <w:tcBorders>
              <w:top w:val="single" w:color="auto" w:sz="4" w:space="0"/>
              <w:left w:val="single" w:color="auto" w:sz="4" w:space="0"/>
              <w:bottom w:val="single" w:color="auto" w:sz="4" w:space="0"/>
              <w:right w:val="single" w:color="auto" w:sz="4" w:space="0"/>
            </w:tcBorders>
            <w:vAlign w:val="center"/>
          </w:tcPr>
          <w:p w14:paraId="14884ADE">
            <w:pPr>
              <w:spacing w:before="120" w:beforeLines="50" w:line="360" w:lineRule="auto"/>
              <w:ind w:left="105" w:leftChars="50" w:right="105" w:rightChars="50"/>
              <w:rPr>
                <w:rFonts w:hint="eastAsia" w:ascii="宋体" w:hAnsi="宋体" w:cs="宋体"/>
                <w:color w:val="auto"/>
                <w:szCs w:val="21"/>
              </w:rPr>
            </w:pPr>
            <w:r>
              <w:rPr>
                <w:rFonts w:hint="eastAsia" w:ascii="宋体" w:hAnsi="宋体" w:cs="宋体"/>
                <w:color w:val="auto"/>
              </w:rPr>
              <w:t>安宁市2026年流动人员人事档案管理服务项目</w:t>
            </w:r>
          </w:p>
        </w:tc>
      </w:tr>
      <w:tr w14:paraId="6C542B78">
        <w:tblPrEx>
          <w:tblCellMar>
            <w:top w:w="0" w:type="dxa"/>
            <w:left w:w="0" w:type="dxa"/>
            <w:bottom w:w="0" w:type="dxa"/>
            <w:right w:w="0" w:type="dxa"/>
          </w:tblCellMar>
        </w:tblPrEx>
        <w:trPr>
          <w:trHeight w:val="433"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14:paraId="40891B36">
            <w:pPr>
              <w:spacing w:before="120" w:beforeLines="50" w:line="360" w:lineRule="auto"/>
              <w:jc w:val="center"/>
              <w:rPr>
                <w:rFonts w:hint="eastAsia" w:ascii="宋体" w:hAnsi="宋体" w:cs="宋体"/>
                <w:color w:val="auto"/>
                <w:szCs w:val="21"/>
              </w:rPr>
            </w:pPr>
            <w:r>
              <w:rPr>
                <w:rFonts w:hint="eastAsia" w:ascii="宋体" w:hAnsi="宋体" w:cs="宋体"/>
                <w:color w:val="auto"/>
                <w:szCs w:val="21"/>
              </w:rPr>
              <w:t>1.1.5</w:t>
            </w:r>
          </w:p>
        </w:tc>
        <w:tc>
          <w:tcPr>
            <w:tcW w:w="1990" w:type="dxa"/>
            <w:tcBorders>
              <w:top w:val="single" w:color="auto" w:sz="4" w:space="0"/>
              <w:left w:val="single" w:color="auto" w:sz="4" w:space="0"/>
              <w:bottom w:val="single" w:color="auto" w:sz="4" w:space="0"/>
              <w:right w:val="single" w:color="auto" w:sz="4" w:space="0"/>
            </w:tcBorders>
            <w:vAlign w:val="center"/>
          </w:tcPr>
          <w:p w14:paraId="66E5C360">
            <w:pPr>
              <w:spacing w:before="120" w:beforeLines="50" w:line="360" w:lineRule="auto"/>
              <w:jc w:val="center"/>
              <w:rPr>
                <w:rFonts w:hint="eastAsia" w:ascii="宋体" w:hAnsi="宋体" w:cs="宋体"/>
                <w:color w:val="auto"/>
                <w:szCs w:val="21"/>
              </w:rPr>
            </w:pPr>
            <w:r>
              <w:rPr>
                <w:rFonts w:hint="eastAsia" w:ascii="宋体" w:hAnsi="宋体" w:cs="宋体"/>
                <w:color w:val="auto"/>
                <w:szCs w:val="21"/>
              </w:rPr>
              <w:t>服务地点</w:t>
            </w:r>
          </w:p>
        </w:tc>
        <w:tc>
          <w:tcPr>
            <w:tcW w:w="6379" w:type="dxa"/>
            <w:tcBorders>
              <w:top w:val="single" w:color="auto" w:sz="4" w:space="0"/>
              <w:left w:val="single" w:color="auto" w:sz="4" w:space="0"/>
              <w:bottom w:val="single" w:color="auto" w:sz="4" w:space="0"/>
              <w:right w:val="single" w:color="auto" w:sz="4" w:space="0"/>
            </w:tcBorders>
            <w:vAlign w:val="center"/>
          </w:tcPr>
          <w:p w14:paraId="17853523">
            <w:pPr>
              <w:spacing w:before="120" w:beforeLines="50" w:line="360" w:lineRule="auto"/>
              <w:ind w:left="105" w:leftChars="50"/>
              <w:rPr>
                <w:rFonts w:hint="eastAsia" w:ascii="宋体" w:hAnsi="宋体" w:cs="宋体"/>
                <w:color w:val="auto"/>
                <w:szCs w:val="21"/>
              </w:rPr>
            </w:pPr>
            <w:r>
              <w:rPr>
                <w:rFonts w:hint="eastAsia" w:ascii="宋体" w:hAnsi="宋体" w:cs="宋体"/>
                <w:color w:val="auto"/>
                <w:szCs w:val="21"/>
              </w:rPr>
              <w:t>采购人指定地点。</w:t>
            </w:r>
          </w:p>
        </w:tc>
      </w:tr>
      <w:tr w14:paraId="4BDD7375">
        <w:tblPrEx>
          <w:tblCellMar>
            <w:top w:w="0" w:type="dxa"/>
            <w:left w:w="0" w:type="dxa"/>
            <w:bottom w:w="0" w:type="dxa"/>
            <w:right w:w="0" w:type="dxa"/>
          </w:tblCellMar>
        </w:tblPrEx>
        <w:trPr>
          <w:trHeight w:val="397"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14:paraId="74149DCA">
            <w:pPr>
              <w:spacing w:before="120" w:beforeLines="50" w:line="360" w:lineRule="auto"/>
              <w:jc w:val="center"/>
              <w:rPr>
                <w:rFonts w:hint="eastAsia" w:ascii="宋体" w:hAnsi="宋体" w:cs="宋体"/>
                <w:color w:val="auto"/>
                <w:szCs w:val="21"/>
              </w:rPr>
            </w:pPr>
            <w:r>
              <w:rPr>
                <w:rFonts w:hint="eastAsia" w:ascii="宋体" w:hAnsi="宋体" w:cs="宋体"/>
                <w:color w:val="auto"/>
                <w:szCs w:val="21"/>
              </w:rPr>
              <w:t>1.2.1</w:t>
            </w:r>
          </w:p>
        </w:tc>
        <w:tc>
          <w:tcPr>
            <w:tcW w:w="1990" w:type="dxa"/>
            <w:tcBorders>
              <w:top w:val="single" w:color="auto" w:sz="4" w:space="0"/>
              <w:left w:val="single" w:color="auto" w:sz="4" w:space="0"/>
              <w:bottom w:val="single" w:color="auto" w:sz="4" w:space="0"/>
              <w:right w:val="single" w:color="auto" w:sz="4" w:space="0"/>
            </w:tcBorders>
            <w:vAlign w:val="center"/>
          </w:tcPr>
          <w:p w14:paraId="55F650AF">
            <w:pPr>
              <w:spacing w:before="120" w:beforeLines="50" w:line="360" w:lineRule="auto"/>
              <w:jc w:val="center"/>
              <w:rPr>
                <w:rFonts w:hint="eastAsia" w:ascii="宋体" w:hAnsi="宋体" w:cs="宋体"/>
                <w:color w:val="auto"/>
                <w:szCs w:val="21"/>
              </w:rPr>
            </w:pPr>
            <w:r>
              <w:rPr>
                <w:rFonts w:hint="eastAsia" w:ascii="宋体" w:hAnsi="宋体" w:cs="宋体"/>
                <w:color w:val="auto"/>
                <w:szCs w:val="21"/>
              </w:rPr>
              <w:t>资金来源</w:t>
            </w:r>
          </w:p>
        </w:tc>
        <w:tc>
          <w:tcPr>
            <w:tcW w:w="6379" w:type="dxa"/>
            <w:tcBorders>
              <w:top w:val="single" w:color="auto" w:sz="4" w:space="0"/>
              <w:left w:val="single" w:color="auto" w:sz="4" w:space="0"/>
              <w:bottom w:val="single" w:color="auto" w:sz="4" w:space="0"/>
              <w:right w:val="single" w:color="auto" w:sz="4" w:space="0"/>
            </w:tcBorders>
            <w:vAlign w:val="center"/>
          </w:tcPr>
          <w:p w14:paraId="65821E9E">
            <w:pPr>
              <w:spacing w:before="120" w:beforeLines="50" w:line="360" w:lineRule="auto"/>
              <w:ind w:left="105" w:leftChars="50"/>
              <w:rPr>
                <w:rFonts w:hint="eastAsia" w:ascii="宋体" w:hAnsi="宋体" w:cs="宋体"/>
                <w:color w:val="auto"/>
                <w:szCs w:val="21"/>
              </w:rPr>
            </w:pPr>
            <w:r>
              <w:rPr>
                <w:rFonts w:hint="eastAsia" w:ascii="宋体" w:hAnsi="宋体" w:cs="宋体"/>
                <w:color w:val="auto"/>
                <w:szCs w:val="21"/>
              </w:rPr>
              <w:t>财政性资金。</w:t>
            </w:r>
          </w:p>
        </w:tc>
      </w:tr>
      <w:tr w14:paraId="4B53DC20">
        <w:tblPrEx>
          <w:tblCellMar>
            <w:top w:w="0" w:type="dxa"/>
            <w:left w:w="0" w:type="dxa"/>
            <w:bottom w:w="0" w:type="dxa"/>
            <w:right w:w="0" w:type="dxa"/>
          </w:tblCellMar>
        </w:tblPrEx>
        <w:trPr>
          <w:trHeight w:val="416"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14:paraId="09A3241A">
            <w:pPr>
              <w:spacing w:before="120" w:beforeLines="50" w:line="360" w:lineRule="auto"/>
              <w:jc w:val="center"/>
              <w:rPr>
                <w:rFonts w:hint="eastAsia" w:ascii="宋体" w:hAnsi="宋体" w:cs="宋体"/>
                <w:color w:val="auto"/>
                <w:szCs w:val="21"/>
              </w:rPr>
            </w:pPr>
            <w:r>
              <w:rPr>
                <w:rFonts w:hint="eastAsia" w:ascii="宋体" w:hAnsi="宋体" w:cs="宋体"/>
                <w:color w:val="auto"/>
                <w:szCs w:val="21"/>
              </w:rPr>
              <w:t>1.2.2</w:t>
            </w:r>
          </w:p>
        </w:tc>
        <w:tc>
          <w:tcPr>
            <w:tcW w:w="1990" w:type="dxa"/>
            <w:tcBorders>
              <w:top w:val="single" w:color="auto" w:sz="4" w:space="0"/>
              <w:left w:val="single" w:color="auto" w:sz="4" w:space="0"/>
              <w:bottom w:val="single" w:color="auto" w:sz="4" w:space="0"/>
              <w:right w:val="single" w:color="auto" w:sz="4" w:space="0"/>
            </w:tcBorders>
            <w:vAlign w:val="center"/>
          </w:tcPr>
          <w:p w14:paraId="52ACAFB1">
            <w:pPr>
              <w:spacing w:before="120" w:beforeLines="50" w:line="360" w:lineRule="auto"/>
              <w:jc w:val="center"/>
              <w:rPr>
                <w:rFonts w:hint="eastAsia" w:ascii="宋体" w:hAnsi="宋体" w:cs="宋体"/>
                <w:color w:val="auto"/>
                <w:szCs w:val="21"/>
              </w:rPr>
            </w:pPr>
            <w:r>
              <w:rPr>
                <w:rFonts w:hint="eastAsia" w:ascii="宋体" w:hAnsi="宋体" w:cs="宋体"/>
                <w:color w:val="auto"/>
                <w:szCs w:val="21"/>
              </w:rPr>
              <w:t>出资比例</w:t>
            </w:r>
          </w:p>
        </w:tc>
        <w:tc>
          <w:tcPr>
            <w:tcW w:w="6379" w:type="dxa"/>
            <w:tcBorders>
              <w:top w:val="single" w:color="auto" w:sz="4" w:space="0"/>
              <w:left w:val="single" w:color="auto" w:sz="4" w:space="0"/>
              <w:bottom w:val="single" w:color="auto" w:sz="4" w:space="0"/>
              <w:right w:val="single" w:color="auto" w:sz="4" w:space="0"/>
            </w:tcBorders>
            <w:vAlign w:val="center"/>
          </w:tcPr>
          <w:p w14:paraId="45DD069F">
            <w:pPr>
              <w:spacing w:before="120" w:beforeLines="50" w:line="360" w:lineRule="auto"/>
              <w:ind w:left="105" w:leftChars="50"/>
              <w:rPr>
                <w:rFonts w:hint="eastAsia" w:ascii="宋体" w:hAnsi="宋体" w:cs="宋体"/>
                <w:color w:val="auto"/>
                <w:szCs w:val="21"/>
              </w:rPr>
            </w:pPr>
            <w:r>
              <w:rPr>
                <w:rFonts w:hint="eastAsia" w:ascii="宋体" w:hAnsi="宋体" w:cs="宋体"/>
                <w:color w:val="auto"/>
                <w:szCs w:val="21"/>
              </w:rPr>
              <w:t>100%。</w:t>
            </w:r>
          </w:p>
        </w:tc>
      </w:tr>
      <w:tr w14:paraId="3BCB7102">
        <w:tblPrEx>
          <w:tblCellMar>
            <w:top w:w="0" w:type="dxa"/>
            <w:left w:w="0" w:type="dxa"/>
            <w:bottom w:w="0" w:type="dxa"/>
            <w:right w:w="0" w:type="dxa"/>
          </w:tblCellMar>
        </w:tblPrEx>
        <w:trPr>
          <w:trHeight w:val="422"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14:paraId="6B3093B6">
            <w:pPr>
              <w:spacing w:before="120" w:beforeLines="50" w:line="360" w:lineRule="auto"/>
              <w:jc w:val="center"/>
              <w:rPr>
                <w:rFonts w:hint="eastAsia" w:ascii="宋体" w:hAnsi="宋体" w:cs="宋体"/>
                <w:color w:val="auto"/>
                <w:szCs w:val="21"/>
              </w:rPr>
            </w:pPr>
            <w:r>
              <w:rPr>
                <w:rFonts w:hint="eastAsia" w:ascii="宋体" w:hAnsi="宋体" w:cs="宋体"/>
                <w:color w:val="auto"/>
                <w:szCs w:val="21"/>
              </w:rPr>
              <w:t>1.2.3</w:t>
            </w:r>
          </w:p>
        </w:tc>
        <w:tc>
          <w:tcPr>
            <w:tcW w:w="1990" w:type="dxa"/>
            <w:tcBorders>
              <w:top w:val="single" w:color="auto" w:sz="4" w:space="0"/>
              <w:left w:val="single" w:color="auto" w:sz="4" w:space="0"/>
              <w:bottom w:val="single" w:color="auto" w:sz="4" w:space="0"/>
              <w:right w:val="single" w:color="auto" w:sz="4" w:space="0"/>
            </w:tcBorders>
            <w:vAlign w:val="center"/>
          </w:tcPr>
          <w:p w14:paraId="419F9006">
            <w:pPr>
              <w:spacing w:before="120" w:beforeLines="50" w:line="360" w:lineRule="auto"/>
              <w:jc w:val="center"/>
              <w:rPr>
                <w:rFonts w:hint="eastAsia" w:ascii="宋体" w:hAnsi="宋体" w:cs="宋体"/>
                <w:color w:val="auto"/>
                <w:szCs w:val="21"/>
              </w:rPr>
            </w:pPr>
            <w:r>
              <w:rPr>
                <w:rFonts w:hint="eastAsia" w:ascii="宋体" w:hAnsi="宋体" w:cs="宋体"/>
                <w:color w:val="auto"/>
                <w:szCs w:val="21"/>
              </w:rPr>
              <w:t>资金落实情况</w:t>
            </w:r>
          </w:p>
        </w:tc>
        <w:tc>
          <w:tcPr>
            <w:tcW w:w="6379" w:type="dxa"/>
            <w:tcBorders>
              <w:top w:val="single" w:color="auto" w:sz="4" w:space="0"/>
              <w:left w:val="single" w:color="auto" w:sz="4" w:space="0"/>
              <w:bottom w:val="single" w:color="auto" w:sz="4" w:space="0"/>
              <w:right w:val="single" w:color="auto" w:sz="4" w:space="0"/>
            </w:tcBorders>
            <w:vAlign w:val="center"/>
          </w:tcPr>
          <w:p w14:paraId="21650708">
            <w:pPr>
              <w:spacing w:before="120" w:beforeLines="50" w:line="360" w:lineRule="auto"/>
              <w:ind w:left="105" w:leftChars="50"/>
              <w:rPr>
                <w:rFonts w:hint="eastAsia" w:ascii="宋体" w:hAnsi="宋体" w:cs="宋体"/>
                <w:color w:val="auto"/>
                <w:szCs w:val="21"/>
              </w:rPr>
            </w:pPr>
            <w:r>
              <w:rPr>
                <w:rFonts w:hint="eastAsia" w:ascii="宋体" w:hAnsi="宋体" w:cs="宋体"/>
                <w:color w:val="auto"/>
                <w:szCs w:val="21"/>
              </w:rPr>
              <w:t>已落实。</w:t>
            </w:r>
          </w:p>
        </w:tc>
      </w:tr>
      <w:tr w14:paraId="382618DD">
        <w:tblPrEx>
          <w:tblCellMar>
            <w:top w:w="0" w:type="dxa"/>
            <w:left w:w="0" w:type="dxa"/>
            <w:bottom w:w="0" w:type="dxa"/>
            <w:right w:w="0" w:type="dxa"/>
          </w:tblCellMar>
        </w:tblPrEx>
        <w:trPr>
          <w:trHeight w:val="58"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14:paraId="06BB2EED">
            <w:pPr>
              <w:spacing w:before="120" w:beforeLines="50" w:line="360" w:lineRule="auto"/>
              <w:jc w:val="center"/>
              <w:rPr>
                <w:rFonts w:hint="eastAsia" w:ascii="宋体" w:hAnsi="宋体" w:cs="宋体"/>
                <w:color w:val="auto"/>
                <w:szCs w:val="21"/>
              </w:rPr>
            </w:pPr>
            <w:r>
              <w:rPr>
                <w:rFonts w:hint="eastAsia" w:ascii="宋体" w:hAnsi="宋体" w:cs="宋体"/>
                <w:color w:val="auto"/>
                <w:szCs w:val="21"/>
              </w:rPr>
              <w:t>1.3.1</w:t>
            </w:r>
          </w:p>
        </w:tc>
        <w:tc>
          <w:tcPr>
            <w:tcW w:w="1990" w:type="dxa"/>
            <w:tcBorders>
              <w:top w:val="single" w:color="auto" w:sz="4" w:space="0"/>
              <w:left w:val="single" w:color="auto" w:sz="4" w:space="0"/>
              <w:bottom w:val="single" w:color="auto" w:sz="4" w:space="0"/>
              <w:right w:val="single" w:color="auto" w:sz="4" w:space="0"/>
            </w:tcBorders>
            <w:vAlign w:val="center"/>
          </w:tcPr>
          <w:p w14:paraId="5603DB5D">
            <w:pPr>
              <w:spacing w:before="120" w:beforeLines="50" w:line="360" w:lineRule="auto"/>
              <w:jc w:val="center"/>
              <w:rPr>
                <w:rFonts w:hint="eastAsia" w:ascii="宋体" w:hAnsi="宋体" w:cs="宋体"/>
                <w:color w:val="auto"/>
                <w:szCs w:val="21"/>
              </w:rPr>
            </w:pPr>
            <w:r>
              <w:rPr>
                <w:rFonts w:hint="eastAsia" w:ascii="宋体" w:hAnsi="宋体" w:cs="宋体"/>
                <w:color w:val="auto"/>
                <w:szCs w:val="21"/>
              </w:rPr>
              <w:t>采购内容</w:t>
            </w:r>
          </w:p>
        </w:tc>
        <w:tc>
          <w:tcPr>
            <w:tcW w:w="6379" w:type="dxa"/>
            <w:tcBorders>
              <w:top w:val="single" w:color="auto" w:sz="4" w:space="0"/>
              <w:left w:val="single" w:color="auto" w:sz="4" w:space="0"/>
              <w:bottom w:val="single" w:color="auto" w:sz="4" w:space="0"/>
              <w:right w:val="single" w:color="auto" w:sz="4" w:space="0"/>
            </w:tcBorders>
            <w:vAlign w:val="center"/>
          </w:tcPr>
          <w:p w14:paraId="6D03717F">
            <w:pPr>
              <w:spacing w:before="120" w:beforeLines="50" w:line="360" w:lineRule="auto"/>
              <w:ind w:left="105" w:leftChars="50" w:right="105" w:rightChars="50"/>
              <w:rPr>
                <w:rFonts w:hint="eastAsia" w:ascii="宋体" w:hAnsi="宋体" w:cs="宋体"/>
                <w:color w:val="auto"/>
              </w:rPr>
            </w:pPr>
            <w:r>
              <w:rPr>
                <w:rFonts w:hint="eastAsia" w:ascii="宋体" w:hAnsi="宋体" w:cs="宋体"/>
                <w:color w:val="auto"/>
              </w:rPr>
              <w:t>完成安宁市2026年流动人员人事档案管理服务工作，工作内容包括但不限于：档案管理（对安宁市行政区域内的非公有制企业和社会组织聘用人员的档案；辞职辞退、取消录（聘）用或被开除的机关事业单位工作人员档案；与企事业单位解除或终止劳动（聘用）关系人员的档案；未就业的高校毕业生及中专毕业生的档案；自费出国留学及其他因私出国（境）人员的档案；外国企业常驻代表机构的中方雇员的档案；自由职业或灵活就业人员的档案）、退休申报（其他实行社会管理人员的档案等进行专业化管理并提供优质的退休申报服务）等。</w:t>
            </w:r>
          </w:p>
        </w:tc>
      </w:tr>
      <w:tr w14:paraId="0681E67A">
        <w:tblPrEx>
          <w:tblCellMar>
            <w:top w:w="0" w:type="dxa"/>
            <w:left w:w="0" w:type="dxa"/>
            <w:bottom w:w="0" w:type="dxa"/>
            <w:right w:w="0" w:type="dxa"/>
          </w:tblCellMar>
        </w:tblPrEx>
        <w:trPr>
          <w:trHeight w:val="315"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14:paraId="2894965A">
            <w:pPr>
              <w:spacing w:before="120" w:beforeLines="50" w:line="360" w:lineRule="auto"/>
              <w:jc w:val="center"/>
              <w:rPr>
                <w:rFonts w:hint="eastAsia" w:ascii="宋体" w:hAnsi="宋体" w:cs="宋体"/>
                <w:color w:val="auto"/>
                <w:szCs w:val="21"/>
              </w:rPr>
            </w:pPr>
            <w:r>
              <w:rPr>
                <w:rFonts w:hint="eastAsia" w:ascii="宋体" w:hAnsi="宋体" w:cs="宋体"/>
                <w:color w:val="auto"/>
                <w:szCs w:val="21"/>
              </w:rPr>
              <w:t>1.3.2</w:t>
            </w:r>
          </w:p>
        </w:tc>
        <w:tc>
          <w:tcPr>
            <w:tcW w:w="1990" w:type="dxa"/>
            <w:tcBorders>
              <w:top w:val="single" w:color="auto" w:sz="4" w:space="0"/>
              <w:left w:val="single" w:color="auto" w:sz="4" w:space="0"/>
              <w:bottom w:val="single" w:color="auto" w:sz="4" w:space="0"/>
              <w:right w:val="single" w:color="auto" w:sz="4" w:space="0"/>
            </w:tcBorders>
            <w:vAlign w:val="center"/>
          </w:tcPr>
          <w:p w14:paraId="6758B9C8">
            <w:pPr>
              <w:pStyle w:val="149"/>
              <w:spacing w:before="120" w:beforeLines="50" w:line="360" w:lineRule="auto"/>
              <w:jc w:val="center"/>
              <w:rPr>
                <w:rFonts w:hint="eastAsia" w:ascii="宋体" w:hAnsi="宋体" w:cs="宋体"/>
                <w:color w:val="auto"/>
                <w:kern w:val="2"/>
                <w:sz w:val="21"/>
                <w:szCs w:val="21"/>
              </w:rPr>
            </w:pPr>
            <w:r>
              <w:rPr>
                <w:rFonts w:hint="eastAsia" w:ascii="宋体" w:hAnsi="宋体" w:cs="宋体"/>
                <w:color w:val="auto"/>
                <w:kern w:val="2"/>
                <w:sz w:val="21"/>
                <w:szCs w:val="21"/>
              </w:rPr>
              <w:t>服务期限</w:t>
            </w:r>
          </w:p>
        </w:tc>
        <w:tc>
          <w:tcPr>
            <w:tcW w:w="6379" w:type="dxa"/>
            <w:tcBorders>
              <w:top w:val="single" w:color="auto" w:sz="4" w:space="0"/>
              <w:left w:val="single" w:color="auto" w:sz="4" w:space="0"/>
              <w:bottom w:val="single" w:color="auto" w:sz="4" w:space="0"/>
              <w:right w:val="single" w:color="auto" w:sz="4" w:space="0"/>
            </w:tcBorders>
            <w:vAlign w:val="center"/>
          </w:tcPr>
          <w:p w14:paraId="51DC2B9C">
            <w:pPr>
              <w:spacing w:before="120" w:beforeLines="50" w:line="360" w:lineRule="auto"/>
              <w:ind w:left="105" w:leftChars="50" w:right="105" w:rightChars="50"/>
              <w:rPr>
                <w:rFonts w:hint="eastAsia" w:ascii="宋体" w:hAnsi="宋体" w:cs="宋体"/>
                <w:color w:val="auto"/>
                <w:szCs w:val="21"/>
              </w:rPr>
            </w:pPr>
            <w:r>
              <w:rPr>
                <w:rFonts w:hint="eastAsia" w:ascii="宋体" w:hAnsi="宋体" w:cs="宋体"/>
                <w:color w:val="auto"/>
                <w:szCs w:val="21"/>
              </w:rPr>
              <w:t>合同签订之日起一年。</w:t>
            </w:r>
          </w:p>
        </w:tc>
      </w:tr>
      <w:tr w14:paraId="636C227B">
        <w:tblPrEx>
          <w:tblCellMar>
            <w:top w:w="0" w:type="dxa"/>
            <w:left w:w="0" w:type="dxa"/>
            <w:bottom w:w="0" w:type="dxa"/>
            <w:right w:w="0" w:type="dxa"/>
          </w:tblCellMar>
        </w:tblPrEx>
        <w:trPr>
          <w:trHeight w:val="274"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14:paraId="407391E3">
            <w:pPr>
              <w:spacing w:before="120" w:beforeLines="50" w:line="360" w:lineRule="auto"/>
              <w:jc w:val="center"/>
              <w:rPr>
                <w:rFonts w:hint="eastAsia" w:ascii="宋体" w:hAnsi="宋体" w:cs="宋体"/>
                <w:color w:val="auto"/>
                <w:szCs w:val="21"/>
              </w:rPr>
            </w:pPr>
            <w:r>
              <w:rPr>
                <w:rFonts w:hint="eastAsia" w:ascii="宋体" w:hAnsi="宋体" w:cs="宋体"/>
                <w:color w:val="auto"/>
                <w:szCs w:val="21"/>
              </w:rPr>
              <w:t>1.3.3</w:t>
            </w:r>
          </w:p>
        </w:tc>
        <w:tc>
          <w:tcPr>
            <w:tcW w:w="1990" w:type="dxa"/>
            <w:tcBorders>
              <w:top w:val="single" w:color="auto" w:sz="4" w:space="0"/>
              <w:left w:val="single" w:color="auto" w:sz="4" w:space="0"/>
              <w:bottom w:val="single" w:color="auto" w:sz="4" w:space="0"/>
              <w:right w:val="single" w:color="auto" w:sz="4" w:space="0"/>
            </w:tcBorders>
            <w:vAlign w:val="center"/>
          </w:tcPr>
          <w:p w14:paraId="2CB09AD1">
            <w:pPr>
              <w:spacing w:before="120" w:beforeLines="50" w:line="360" w:lineRule="auto"/>
              <w:jc w:val="center"/>
              <w:rPr>
                <w:rFonts w:hint="eastAsia" w:ascii="宋体" w:hAnsi="宋体" w:cs="宋体"/>
                <w:color w:val="auto"/>
                <w:szCs w:val="21"/>
              </w:rPr>
            </w:pPr>
            <w:r>
              <w:rPr>
                <w:rFonts w:hint="eastAsia" w:ascii="宋体" w:hAnsi="宋体" w:cs="宋体"/>
                <w:color w:val="auto"/>
                <w:szCs w:val="21"/>
              </w:rPr>
              <w:t>质量要求</w:t>
            </w:r>
          </w:p>
        </w:tc>
        <w:tc>
          <w:tcPr>
            <w:tcW w:w="6379" w:type="dxa"/>
            <w:tcBorders>
              <w:top w:val="single" w:color="auto" w:sz="4" w:space="0"/>
              <w:left w:val="single" w:color="auto" w:sz="4" w:space="0"/>
              <w:bottom w:val="single" w:color="auto" w:sz="4" w:space="0"/>
              <w:right w:val="single" w:color="auto" w:sz="4" w:space="0"/>
            </w:tcBorders>
            <w:vAlign w:val="center"/>
          </w:tcPr>
          <w:p w14:paraId="0E30063E">
            <w:pPr>
              <w:pStyle w:val="5"/>
              <w:spacing w:before="120" w:beforeLines="50" w:line="360" w:lineRule="auto"/>
              <w:ind w:left="105" w:leftChars="50" w:right="105" w:rightChars="50" w:firstLine="0"/>
              <w:rPr>
                <w:rFonts w:hint="eastAsia" w:ascii="宋体" w:hAnsi="宋体" w:cs="宋体"/>
                <w:color w:val="auto"/>
                <w:szCs w:val="21"/>
              </w:rPr>
            </w:pPr>
            <w:r>
              <w:rPr>
                <w:rFonts w:hint="eastAsia" w:ascii="宋体" w:hAnsi="宋体" w:cs="宋体"/>
                <w:color w:val="auto"/>
                <w:szCs w:val="21"/>
              </w:rPr>
              <w:t>按照《流动人员人事档案管理服务规范》GB/T 32623-2016、《流动人员人事档案安全管理规范》LD/T 04-2020及国家现行相关法律法规开展工作。</w:t>
            </w:r>
          </w:p>
        </w:tc>
      </w:tr>
      <w:tr w14:paraId="078D62D7">
        <w:tblPrEx>
          <w:tblCellMar>
            <w:top w:w="0" w:type="dxa"/>
            <w:left w:w="0" w:type="dxa"/>
            <w:bottom w:w="0" w:type="dxa"/>
            <w:right w:w="0" w:type="dxa"/>
          </w:tblCellMar>
        </w:tblPrEx>
        <w:trPr>
          <w:trHeight w:val="469"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14:paraId="4673BE19">
            <w:pPr>
              <w:spacing w:before="120" w:beforeLines="50" w:line="360" w:lineRule="auto"/>
              <w:jc w:val="center"/>
              <w:rPr>
                <w:rFonts w:hint="eastAsia" w:ascii="宋体" w:hAnsi="宋体" w:cs="宋体"/>
                <w:color w:val="auto"/>
                <w:szCs w:val="21"/>
              </w:rPr>
            </w:pPr>
            <w:r>
              <w:rPr>
                <w:rFonts w:hint="eastAsia" w:ascii="宋体" w:hAnsi="宋体" w:cs="宋体"/>
                <w:color w:val="auto"/>
                <w:szCs w:val="21"/>
              </w:rPr>
              <w:t>1.3.4</w:t>
            </w:r>
          </w:p>
        </w:tc>
        <w:tc>
          <w:tcPr>
            <w:tcW w:w="1990" w:type="dxa"/>
            <w:tcBorders>
              <w:top w:val="single" w:color="auto" w:sz="4" w:space="0"/>
              <w:left w:val="single" w:color="auto" w:sz="4" w:space="0"/>
              <w:bottom w:val="single" w:color="auto" w:sz="4" w:space="0"/>
              <w:right w:val="single" w:color="auto" w:sz="4" w:space="0"/>
            </w:tcBorders>
            <w:vAlign w:val="center"/>
          </w:tcPr>
          <w:p w14:paraId="615090C2">
            <w:pPr>
              <w:spacing w:before="120" w:beforeLines="50" w:line="360" w:lineRule="auto"/>
              <w:jc w:val="center"/>
              <w:rPr>
                <w:rFonts w:hint="eastAsia" w:ascii="宋体" w:hAnsi="宋体" w:cs="宋体"/>
                <w:color w:val="auto"/>
                <w:szCs w:val="21"/>
              </w:rPr>
            </w:pPr>
            <w:r>
              <w:rPr>
                <w:rFonts w:hint="eastAsia" w:ascii="宋体" w:hAnsi="宋体" w:cs="宋体"/>
                <w:color w:val="auto"/>
                <w:szCs w:val="21"/>
              </w:rPr>
              <w:t>包件划分</w:t>
            </w:r>
          </w:p>
        </w:tc>
        <w:tc>
          <w:tcPr>
            <w:tcW w:w="6379" w:type="dxa"/>
            <w:tcBorders>
              <w:top w:val="single" w:color="auto" w:sz="4" w:space="0"/>
              <w:left w:val="single" w:color="auto" w:sz="4" w:space="0"/>
              <w:bottom w:val="single" w:color="auto" w:sz="4" w:space="0"/>
              <w:right w:val="single" w:color="auto" w:sz="4" w:space="0"/>
            </w:tcBorders>
            <w:vAlign w:val="center"/>
          </w:tcPr>
          <w:p w14:paraId="6ACE4DD9">
            <w:pPr>
              <w:spacing w:before="120" w:beforeLines="50" w:line="360" w:lineRule="auto"/>
              <w:ind w:left="105" w:leftChars="50"/>
              <w:rPr>
                <w:rFonts w:hint="eastAsia" w:ascii="宋体" w:hAnsi="宋体" w:cs="宋体"/>
                <w:color w:val="auto"/>
                <w:szCs w:val="21"/>
              </w:rPr>
            </w:pPr>
            <w:r>
              <w:rPr>
                <w:rFonts w:hint="eastAsia" w:ascii="宋体" w:hAnsi="宋体" w:cs="宋体"/>
                <w:color w:val="auto"/>
                <w:szCs w:val="21"/>
              </w:rPr>
              <w:t>本项目不划分包件。</w:t>
            </w:r>
          </w:p>
        </w:tc>
      </w:tr>
      <w:tr w14:paraId="67540B89">
        <w:tblPrEx>
          <w:tblCellMar>
            <w:top w:w="0" w:type="dxa"/>
            <w:left w:w="0" w:type="dxa"/>
            <w:bottom w:w="0" w:type="dxa"/>
            <w:right w:w="0" w:type="dxa"/>
          </w:tblCellMar>
        </w:tblPrEx>
        <w:trPr>
          <w:trHeight w:val="274"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14:paraId="56157FE3">
            <w:pPr>
              <w:wordWrap w:val="0"/>
              <w:autoSpaceDE w:val="0"/>
              <w:autoSpaceDN w:val="0"/>
              <w:spacing w:after="100" w:afterAutospacing="1" w:line="360" w:lineRule="auto"/>
              <w:contextualSpacing/>
              <w:jc w:val="center"/>
              <w:rPr>
                <w:rFonts w:hint="eastAsia" w:ascii="宋体" w:hAnsi="宋体" w:cs="宋体"/>
                <w:color w:val="auto"/>
                <w:szCs w:val="21"/>
              </w:rPr>
            </w:pPr>
            <w:r>
              <w:rPr>
                <w:rFonts w:hint="eastAsia" w:ascii="宋体" w:hAnsi="宋体" w:cs="宋体"/>
                <w:color w:val="auto"/>
                <w:szCs w:val="21"/>
              </w:rPr>
              <w:t>1.4.1</w:t>
            </w:r>
          </w:p>
        </w:tc>
        <w:tc>
          <w:tcPr>
            <w:tcW w:w="1990" w:type="dxa"/>
            <w:tcBorders>
              <w:top w:val="single" w:color="auto" w:sz="4" w:space="0"/>
              <w:left w:val="single" w:color="auto" w:sz="4" w:space="0"/>
              <w:bottom w:val="single" w:color="auto" w:sz="4" w:space="0"/>
              <w:right w:val="single" w:color="auto" w:sz="4" w:space="0"/>
            </w:tcBorders>
            <w:vAlign w:val="center"/>
          </w:tcPr>
          <w:p w14:paraId="11D800A2">
            <w:pPr>
              <w:autoSpaceDE w:val="0"/>
              <w:autoSpaceDN w:val="0"/>
              <w:spacing w:after="100" w:afterAutospacing="1" w:line="360" w:lineRule="auto"/>
              <w:ind w:left="105" w:leftChars="50" w:right="105" w:rightChars="50"/>
              <w:contextualSpacing/>
              <w:jc w:val="center"/>
              <w:rPr>
                <w:rFonts w:hint="eastAsia" w:ascii="宋体" w:hAnsi="宋体" w:cs="宋体"/>
                <w:color w:val="auto"/>
                <w:szCs w:val="21"/>
              </w:rPr>
            </w:pPr>
            <w:r>
              <w:rPr>
                <w:rFonts w:hint="eastAsia" w:ascii="宋体" w:hAnsi="宋体" w:cs="宋体"/>
                <w:color w:val="auto"/>
                <w:szCs w:val="21"/>
              </w:rPr>
              <w:t>供应商资格要求</w:t>
            </w:r>
          </w:p>
        </w:tc>
        <w:tc>
          <w:tcPr>
            <w:tcW w:w="6379" w:type="dxa"/>
            <w:tcBorders>
              <w:top w:val="single" w:color="auto" w:sz="4" w:space="0"/>
              <w:left w:val="single" w:color="auto" w:sz="4" w:space="0"/>
              <w:bottom w:val="single" w:color="auto" w:sz="4" w:space="0"/>
              <w:right w:val="single" w:color="auto" w:sz="4" w:space="0"/>
            </w:tcBorders>
            <w:vAlign w:val="center"/>
          </w:tcPr>
          <w:p w14:paraId="269D002C">
            <w:pPr>
              <w:spacing w:line="360" w:lineRule="auto"/>
              <w:ind w:left="105" w:leftChars="50" w:right="105" w:rightChars="50"/>
              <w:rPr>
                <w:rFonts w:hint="eastAsia" w:ascii="宋体" w:hAnsi="宋体" w:cs="宋体"/>
                <w:color w:val="auto"/>
                <w:szCs w:val="21"/>
              </w:rPr>
            </w:pPr>
            <w:r>
              <w:rPr>
                <w:rFonts w:hint="eastAsia" w:ascii="宋体" w:hAnsi="宋体" w:cs="宋体"/>
                <w:color w:val="auto"/>
                <w:szCs w:val="21"/>
              </w:rPr>
              <w:t>1.供应商须满足《中华人民共和国政府采购法》第二十二条规定，</w:t>
            </w:r>
          </w:p>
          <w:p w14:paraId="701C7019">
            <w:pPr>
              <w:spacing w:line="360" w:lineRule="auto"/>
              <w:ind w:left="105" w:leftChars="50" w:right="105" w:rightChars="50"/>
              <w:rPr>
                <w:rFonts w:hint="eastAsia" w:ascii="宋体" w:hAnsi="宋体" w:cs="宋体"/>
                <w:color w:val="auto"/>
                <w:szCs w:val="21"/>
              </w:rPr>
            </w:pPr>
            <w:r>
              <w:rPr>
                <w:rFonts w:hint="eastAsia" w:ascii="宋体" w:hAnsi="宋体" w:cs="宋体"/>
                <w:color w:val="auto"/>
                <w:szCs w:val="21"/>
              </w:rPr>
              <w:t>并按照《中华人民共和国政府采购法实施条例》第十七条的要求提供相关材料：</w:t>
            </w:r>
          </w:p>
          <w:p w14:paraId="0E05604D">
            <w:pPr>
              <w:spacing w:line="360" w:lineRule="auto"/>
              <w:ind w:left="105" w:leftChars="50" w:right="105" w:rightChars="50"/>
              <w:rPr>
                <w:rFonts w:hint="eastAsia" w:ascii="宋体" w:hAnsi="宋体" w:cs="宋体"/>
                <w:color w:val="auto"/>
              </w:rPr>
            </w:pPr>
            <w:r>
              <w:rPr>
                <w:rFonts w:hint="eastAsia" w:ascii="宋体" w:hAnsi="宋体" w:cs="宋体"/>
                <w:b/>
                <w:bCs/>
                <w:color w:val="auto"/>
                <w:szCs w:val="21"/>
              </w:rPr>
              <w:t>（1）具有独立承担民事责任的能力</w:t>
            </w:r>
            <w:r>
              <w:rPr>
                <w:rFonts w:hint="eastAsia" w:ascii="宋体" w:hAnsi="宋体" w:cs="宋体"/>
                <w:color w:val="auto"/>
                <w:szCs w:val="21"/>
              </w:rPr>
              <w:t>[提供有效的营业执照或事业单位法人证书或其他类似的法定证明文件]；</w:t>
            </w:r>
          </w:p>
          <w:p w14:paraId="7F4C2F21">
            <w:pPr>
              <w:spacing w:line="360" w:lineRule="auto"/>
              <w:ind w:left="105" w:leftChars="50" w:right="105" w:rightChars="50"/>
              <w:rPr>
                <w:rFonts w:hint="eastAsia" w:ascii="宋体" w:hAnsi="宋体" w:cs="宋体"/>
                <w:color w:val="auto"/>
                <w:szCs w:val="21"/>
              </w:rPr>
            </w:pPr>
            <w:r>
              <w:rPr>
                <w:rFonts w:hint="eastAsia" w:ascii="宋体" w:hAnsi="宋体" w:cs="宋体"/>
                <w:b/>
                <w:bCs/>
                <w:color w:val="auto"/>
                <w:szCs w:val="21"/>
              </w:rPr>
              <w:t>（2）具有良好的商业信誉和健全的财务会计制度</w:t>
            </w:r>
            <w:r>
              <w:rPr>
                <w:rFonts w:hint="eastAsia" w:ascii="宋体" w:hAnsi="宋体" w:cs="宋体"/>
                <w:color w:val="auto"/>
                <w:szCs w:val="21"/>
              </w:rPr>
              <w:t>[提供2025年度经审计的财务会计报表及审计报告，未经审计的，提供公司内部自行编制并加盖公章的财务会计报表，或提供自响应文件提交截止时间前三个月内基本开户银行出具的资信证明；若为新成立不满1年的公司，提供开户行资信证明或资金证明文件；事业单位提供财务报表；若为自然人参与磋商，则提供自本项目公告发布之日起开具的银行存款证明]；</w:t>
            </w:r>
          </w:p>
          <w:p w14:paraId="28B8F7EE">
            <w:pPr>
              <w:spacing w:line="360" w:lineRule="auto"/>
              <w:ind w:left="105" w:leftChars="50" w:right="105" w:rightChars="50"/>
              <w:rPr>
                <w:rFonts w:hint="eastAsia" w:ascii="宋体" w:hAnsi="宋体" w:cs="宋体"/>
                <w:color w:val="auto"/>
                <w:szCs w:val="21"/>
              </w:rPr>
            </w:pPr>
            <w:r>
              <w:rPr>
                <w:rFonts w:hint="eastAsia" w:ascii="宋体" w:hAnsi="宋体" w:cs="宋体"/>
                <w:b/>
                <w:bCs/>
                <w:color w:val="auto"/>
                <w:szCs w:val="21"/>
              </w:rPr>
              <w:t>（3）具有履行合同所必需的设备和专业技术能力</w:t>
            </w:r>
            <w:r>
              <w:rPr>
                <w:rFonts w:hint="eastAsia" w:ascii="宋体" w:hAnsi="宋体" w:cs="宋体"/>
                <w:color w:val="auto"/>
                <w:szCs w:val="21"/>
              </w:rPr>
              <w:t>[提供书面承诺]；</w:t>
            </w:r>
          </w:p>
          <w:p w14:paraId="5B0C3183">
            <w:pPr>
              <w:spacing w:line="360" w:lineRule="auto"/>
              <w:ind w:left="105" w:leftChars="50" w:right="105" w:rightChars="50"/>
              <w:rPr>
                <w:rFonts w:hint="eastAsia" w:ascii="宋体" w:hAnsi="宋体" w:cs="宋体"/>
                <w:color w:val="auto"/>
                <w:szCs w:val="21"/>
              </w:rPr>
            </w:pPr>
            <w:r>
              <w:rPr>
                <w:rFonts w:hint="eastAsia" w:ascii="宋体" w:hAnsi="宋体" w:cs="宋体"/>
                <w:b/>
                <w:bCs/>
                <w:color w:val="auto"/>
                <w:szCs w:val="21"/>
              </w:rPr>
              <w:t>（4）有依法缴纳税收和社会保障资金的良好记录</w:t>
            </w:r>
            <w:r>
              <w:rPr>
                <w:rFonts w:hint="eastAsia" w:ascii="宋体" w:hAnsi="宋体" w:cs="宋体"/>
                <w:color w:val="auto"/>
                <w:szCs w:val="21"/>
              </w:rPr>
              <w:t>[①提供2025年6月至提交响应文件截止之日任意3个月的税务局税收通用缴款书或银行电子缴税（费）凭证或税务局出具纳税情况的相关证明；依法免税的，提供依法免税的相关证明文件；</w:t>
            </w:r>
            <w:r>
              <w:rPr>
                <w:rFonts w:hint="eastAsia" w:ascii="宋体" w:hAnsi="宋体" w:cs="宋体"/>
                <w:color w:val="auto"/>
              </w:rPr>
              <w:t>若为新成立的公司，无法按上述要求提供依法缴纳税收证明材料的，按实际缴纳月份提供或出具书面说明。</w:t>
            </w:r>
            <w:r>
              <w:rPr>
                <w:rFonts w:hint="eastAsia" w:ascii="宋体" w:hAnsi="宋体" w:cs="宋体"/>
                <w:color w:val="auto"/>
                <w:szCs w:val="21"/>
              </w:rPr>
              <w:t>②提供2025年6月至提交响应文件截止之日任意3个月的社会保险费缴款书或银行电子缴费凭证或社保管理部门出具的有效的缴款证明；依法免缴的，提供依法免缴的相关证明文件；若为新成立的公司，提供成立至今的社会保险费缴款书或银行电子缴费凭证或社保管理部门出具的有效的缴款证明，成立时间不足3个月的，按实际缴纳月份提供或出具书面说明。③若为自然人参与磋商，则提供2025年6月至提交响应文件截止之日任意3个月的个人所得税完税证明和社会保险参保证明；未缴纳税收或社保的，附书面说明]；</w:t>
            </w:r>
          </w:p>
          <w:p w14:paraId="7DD45670">
            <w:pPr>
              <w:spacing w:line="360" w:lineRule="auto"/>
              <w:ind w:left="105" w:leftChars="50" w:right="105" w:rightChars="50"/>
              <w:rPr>
                <w:rFonts w:hint="eastAsia" w:ascii="宋体" w:hAnsi="宋体" w:cs="宋体"/>
                <w:color w:val="auto"/>
                <w:szCs w:val="21"/>
              </w:rPr>
            </w:pPr>
            <w:r>
              <w:rPr>
                <w:rFonts w:hint="eastAsia" w:ascii="宋体" w:hAnsi="宋体" w:cs="宋体"/>
                <w:b/>
                <w:bCs/>
                <w:color w:val="auto"/>
                <w:szCs w:val="21"/>
              </w:rPr>
              <w:t>（5）参加政府采购活动前三年内，在经营活动中没有重大违法记录</w:t>
            </w:r>
            <w:r>
              <w:rPr>
                <w:rFonts w:hint="eastAsia" w:ascii="宋体" w:hAnsi="宋体" w:cs="宋体"/>
                <w:color w:val="auto"/>
                <w:szCs w:val="21"/>
              </w:rPr>
              <w:t>[重大违法记录，指供应商因违法经营受到刑事处罚或者责令停产停业、吊销许可证或者执照、较大数额罚款等行政处罚，提供书面声明]</w:t>
            </w:r>
            <w:r>
              <w:rPr>
                <w:rFonts w:hint="eastAsia" w:ascii="宋体" w:hAnsi="宋体" w:cs="宋体"/>
                <w:b/>
                <w:bCs/>
                <w:color w:val="auto"/>
                <w:szCs w:val="21"/>
              </w:rPr>
              <w:t>。</w:t>
            </w:r>
          </w:p>
          <w:p w14:paraId="5604FD73">
            <w:pPr>
              <w:spacing w:line="360" w:lineRule="auto"/>
              <w:ind w:left="105" w:leftChars="50" w:right="105" w:rightChars="50"/>
              <w:rPr>
                <w:rFonts w:hint="eastAsia" w:ascii="宋体" w:hAnsi="宋体" w:cs="宋体"/>
                <w:color w:val="auto"/>
                <w:szCs w:val="21"/>
              </w:rPr>
            </w:pPr>
            <w:r>
              <w:rPr>
                <w:rFonts w:hint="eastAsia" w:ascii="宋体" w:hAnsi="宋体" w:cs="宋体"/>
                <w:b/>
                <w:bCs/>
                <w:color w:val="auto"/>
                <w:szCs w:val="21"/>
              </w:rPr>
              <w:t>2.落实政府采购政策需满足的资格要求：</w:t>
            </w:r>
            <w:r>
              <w:rPr>
                <w:rFonts w:hint="eastAsia" w:ascii="宋体" w:hAnsi="宋体" w:cs="宋体"/>
                <w:color w:val="auto"/>
                <w:szCs w:val="21"/>
              </w:rPr>
              <w:t>专门面向中小企业采购。</w:t>
            </w:r>
          </w:p>
          <w:p w14:paraId="187BFADF">
            <w:pPr>
              <w:spacing w:line="360" w:lineRule="auto"/>
              <w:ind w:left="105" w:leftChars="50" w:right="105" w:rightChars="50"/>
              <w:rPr>
                <w:rFonts w:hint="eastAsia" w:ascii="宋体" w:hAnsi="宋体" w:cs="宋体"/>
                <w:color w:val="auto"/>
                <w:szCs w:val="21"/>
              </w:rPr>
            </w:pPr>
            <w:r>
              <w:rPr>
                <w:rFonts w:hint="eastAsia" w:ascii="宋体" w:hAnsi="宋体" w:cs="宋体"/>
                <w:b/>
                <w:bCs/>
                <w:color w:val="auto"/>
                <w:szCs w:val="21"/>
              </w:rPr>
              <w:t>3.本项目的特定资格要求：</w:t>
            </w:r>
            <w:r>
              <w:rPr>
                <w:rFonts w:hint="eastAsia" w:ascii="宋体" w:hAnsi="宋体" w:cs="宋体"/>
                <w:color w:val="auto"/>
                <w:szCs w:val="21"/>
              </w:rPr>
              <w:t>无。</w:t>
            </w:r>
          </w:p>
        </w:tc>
      </w:tr>
      <w:tr w14:paraId="74D7BDF3">
        <w:tblPrEx>
          <w:tblCellMar>
            <w:top w:w="0" w:type="dxa"/>
            <w:left w:w="0" w:type="dxa"/>
            <w:bottom w:w="0" w:type="dxa"/>
            <w:right w:w="0" w:type="dxa"/>
          </w:tblCellMar>
        </w:tblPrEx>
        <w:trPr>
          <w:trHeight w:val="567"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14:paraId="1E4B6E66">
            <w:pPr>
              <w:wordWrap w:val="0"/>
              <w:autoSpaceDE w:val="0"/>
              <w:autoSpaceDN w:val="0"/>
              <w:spacing w:before="120" w:beforeLines="50"/>
              <w:contextualSpacing/>
              <w:jc w:val="center"/>
              <w:rPr>
                <w:rFonts w:hint="eastAsia" w:ascii="宋体" w:hAnsi="宋体" w:cs="宋体"/>
                <w:color w:val="auto"/>
                <w:szCs w:val="21"/>
              </w:rPr>
            </w:pPr>
            <w:r>
              <w:rPr>
                <w:rFonts w:hint="eastAsia" w:ascii="宋体" w:hAnsi="宋体" w:cs="宋体"/>
                <w:color w:val="auto"/>
                <w:szCs w:val="21"/>
              </w:rPr>
              <w:t>1.4.2</w:t>
            </w:r>
          </w:p>
        </w:tc>
        <w:tc>
          <w:tcPr>
            <w:tcW w:w="1990" w:type="dxa"/>
            <w:tcBorders>
              <w:top w:val="single" w:color="auto" w:sz="4" w:space="0"/>
              <w:left w:val="single" w:color="auto" w:sz="4" w:space="0"/>
              <w:bottom w:val="single" w:color="auto" w:sz="4" w:space="0"/>
              <w:right w:val="single" w:color="auto" w:sz="4" w:space="0"/>
            </w:tcBorders>
            <w:vAlign w:val="center"/>
          </w:tcPr>
          <w:p w14:paraId="4ED6FA8C">
            <w:pPr>
              <w:wordWrap w:val="0"/>
              <w:autoSpaceDE w:val="0"/>
              <w:autoSpaceDN w:val="0"/>
              <w:spacing w:before="120" w:beforeLines="50"/>
              <w:contextualSpacing/>
              <w:jc w:val="center"/>
              <w:rPr>
                <w:rFonts w:hint="eastAsia" w:ascii="宋体" w:hAnsi="宋体" w:cs="宋体"/>
                <w:color w:val="auto"/>
                <w:szCs w:val="21"/>
              </w:rPr>
            </w:pPr>
            <w:r>
              <w:rPr>
                <w:rFonts w:hint="eastAsia" w:ascii="宋体" w:hAnsi="宋体" w:cs="宋体"/>
                <w:color w:val="auto"/>
                <w:szCs w:val="21"/>
              </w:rPr>
              <w:t>其它内容</w:t>
            </w:r>
          </w:p>
        </w:tc>
        <w:tc>
          <w:tcPr>
            <w:tcW w:w="6379" w:type="dxa"/>
            <w:tcBorders>
              <w:top w:val="single" w:color="auto" w:sz="4" w:space="0"/>
              <w:left w:val="single" w:color="auto" w:sz="4" w:space="0"/>
              <w:bottom w:val="single" w:color="auto" w:sz="4" w:space="0"/>
              <w:right w:val="single" w:color="auto" w:sz="4" w:space="0"/>
            </w:tcBorders>
            <w:vAlign w:val="center"/>
          </w:tcPr>
          <w:p w14:paraId="2856AF3E">
            <w:pPr>
              <w:pStyle w:val="5"/>
              <w:wordWrap w:val="0"/>
              <w:topLinePunct/>
              <w:spacing w:before="120" w:beforeLines="50" w:line="360" w:lineRule="auto"/>
              <w:ind w:left="105" w:leftChars="50" w:right="105" w:rightChars="50" w:firstLine="0"/>
              <w:rPr>
                <w:rFonts w:hint="eastAsia" w:ascii="宋体" w:hAnsi="宋体" w:cs="宋体"/>
                <w:color w:val="auto"/>
                <w:szCs w:val="21"/>
              </w:rPr>
            </w:pPr>
            <w:r>
              <w:rPr>
                <w:rFonts w:hint="eastAsia" w:ascii="宋体" w:hAnsi="宋体" w:cs="宋体"/>
                <w:color w:val="auto"/>
                <w:szCs w:val="21"/>
              </w:rPr>
              <w:t>1.发布公告的媒介：云南省政府采购网（网址：</w:t>
            </w:r>
            <w:r>
              <w:rPr>
                <w:color w:val="auto"/>
              </w:rPr>
              <w:fldChar w:fldCharType="begin"/>
            </w:r>
            <w:r>
              <w:rPr>
                <w:color w:val="auto"/>
              </w:rPr>
              <w:instrText xml:space="preserve"> HYPERLINK "http://www.yngp.com/" </w:instrText>
            </w:r>
            <w:r>
              <w:rPr>
                <w:color w:val="auto"/>
              </w:rPr>
              <w:fldChar w:fldCharType="separate"/>
            </w:r>
            <w:r>
              <w:rPr>
                <w:rStyle w:val="62"/>
                <w:rFonts w:hint="eastAsia" w:ascii="宋体" w:hAnsi="宋体" w:cs="宋体"/>
                <w:color w:val="auto"/>
                <w:szCs w:val="21"/>
                <w:u w:val="none"/>
              </w:rPr>
              <w:t>http：//www.yngp.com/</w:t>
            </w:r>
            <w:r>
              <w:rPr>
                <w:rStyle w:val="62"/>
                <w:rFonts w:hint="eastAsia" w:ascii="宋体" w:hAnsi="宋体" w:cs="宋体"/>
                <w:color w:val="auto"/>
                <w:szCs w:val="21"/>
                <w:u w:val="none"/>
              </w:rPr>
              <w:fldChar w:fldCharType="end"/>
            </w:r>
            <w:r>
              <w:rPr>
                <w:rFonts w:hint="eastAsia" w:ascii="宋体" w:hAnsi="宋体" w:cs="宋体"/>
                <w:color w:val="auto"/>
                <w:szCs w:val="21"/>
              </w:rPr>
              <w:t>）。</w:t>
            </w:r>
          </w:p>
          <w:p w14:paraId="208DA3F5">
            <w:pPr>
              <w:wordWrap w:val="0"/>
              <w:topLinePunct/>
              <w:spacing w:line="360" w:lineRule="auto"/>
              <w:ind w:left="105" w:leftChars="50" w:right="105" w:rightChars="50"/>
              <w:rPr>
                <w:rFonts w:hint="eastAsia" w:ascii="宋体" w:hAnsi="宋体" w:cs="宋体"/>
                <w:color w:val="auto"/>
                <w:szCs w:val="21"/>
              </w:rPr>
            </w:pPr>
            <w:r>
              <w:rPr>
                <w:rFonts w:hint="eastAsia" w:ascii="宋体" w:hAnsi="宋体" w:cs="宋体"/>
                <w:color w:val="auto"/>
                <w:szCs w:val="21"/>
              </w:rPr>
              <w:t>2.信誉要求：供应商未被中国执行信息公开网（网址：http://zxgk.court.gov.cn/shixin/）列为“失信被执行人”；未被信用中国（网址：https：//www.creditchina.gov.cn/）列入“重大税收违法失信主体名单”或“严重失信主体名单”；未被中国政府采购网（网址：http://www.ccgp.gov.cn/）列为“政府采购严重违法失信行为信息记录”（评审前采购人或采购代理机构将通过相关网站查询，并留存网站查询结果截图或打印件，提供给磋商小组）。</w:t>
            </w:r>
          </w:p>
        </w:tc>
      </w:tr>
      <w:tr w14:paraId="5E90B8BA">
        <w:tblPrEx>
          <w:tblCellMar>
            <w:top w:w="0" w:type="dxa"/>
            <w:left w:w="0" w:type="dxa"/>
            <w:bottom w:w="0" w:type="dxa"/>
            <w:right w:w="0" w:type="dxa"/>
          </w:tblCellMar>
        </w:tblPrEx>
        <w:trPr>
          <w:trHeight w:val="416"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14:paraId="139F0C37">
            <w:pPr>
              <w:spacing w:line="360" w:lineRule="auto"/>
              <w:jc w:val="center"/>
              <w:rPr>
                <w:rFonts w:hint="eastAsia" w:ascii="宋体" w:hAnsi="宋体" w:cs="宋体"/>
                <w:color w:val="auto"/>
                <w:szCs w:val="21"/>
              </w:rPr>
            </w:pPr>
            <w:r>
              <w:rPr>
                <w:rFonts w:hint="eastAsia" w:ascii="宋体" w:hAnsi="宋体" w:cs="宋体"/>
                <w:color w:val="auto"/>
                <w:szCs w:val="21"/>
              </w:rPr>
              <w:t>1.4.3</w:t>
            </w:r>
          </w:p>
        </w:tc>
        <w:tc>
          <w:tcPr>
            <w:tcW w:w="1990" w:type="dxa"/>
            <w:tcBorders>
              <w:top w:val="single" w:color="auto" w:sz="4" w:space="0"/>
              <w:left w:val="single" w:color="auto" w:sz="4" w:space="0"/>
              <w:bottom w:val="single" w:color="auto" w:sz="4" w:space="0"/>
              <w:right w:val="single" w:color="auto" w:sz="4" w:space="0"/>
            </w:tcBorders>
            <w:vAlign w:val="center"/>
          </w:tcPr>
          <w:p w14:paraId="57A4540C">
            <w:pPr>
              <w:spacing w:before="120" w:beforeLines="50" w:line="360" w:lineRule="auto"/>
              <w:jc w:val="center"/>
              <w:rPr>
                <w:rFonts w:hint="eastAsia" w:ascii="宋体" w:hAnsi="宋体"/>
                <w:color w:val="auto"/>
                <w:szCs w:val="21"/>
              </w:rPr>
            </w:pPr>
            <w:r>
              <w:rPr>
                <w:rFonts w:hint="eastAsia" w:ascii="宋体" w:hAnsi="宋体"/>
                <w:color w:val="auto"/>
                <w:szCs w:val="21"/>
              </w:rPr>
              <w:t>是否接受联</w:t>
            </w:r>
          </w:p>
          <w:p w14:paraId="563947CB">
            <w:pPr>
              <w:spacing w:line="360" w:lineRule="auto"/>
              <w:jc w:val="center"/>
              <w:rPr>
                <w:rFonts w:hint="eastAsia" w:ascii="宋体" w:hAnsi="宋体" w:cs="宋体"/>
                <w:color w:val="auto"/>
                <w:szCs w:val="21"/>
              </w:rPr>
            </w:pPr>
            <w:r>
              <w:rPr>
                <w:rFonts w:hint="eastAsia" w:ascii="宋体" w:hAnsi="宋体"/>
                <w:color w:val="auto"/>
                <w:szCs w:val="21"/>
              </w:rPr>
              <w:t>合体磋商</w:t>
            </w:r>
          </w:p>
        </w:tc>
        <w:tc>
          <w:tcPr>
            <w:tcW w:w="6379" w:type="dxa"/>
            <w:tcBorders>
              <w:top w:val="single" w:color="auto" w:sz="4" w:space="0"/>
              <w:left w:val="single" w:color="auto" w:sz="4" w:space="0"/>
              <w:bottom w:val="single" w:color="auto" w:sz="4" w:space="0"/>
              <w:right w:val="single" w:color="auto" w:sz="4" w:space="0"/>
            </w:tcBorders>
            <w:vAlign w:val="center"/>
          </w:tcPr>
          <w:p w14:paraId="6E84251D">
            <w:pPr>
              <w:spacing w:line="360" w:lineRule="auto"/>
              <w:ind w:left="105" w:leftChars="50" w:right="105" w:rightChars="50"/>
              <w:rPr>
                <w:rFonts w:hint="eastAsia" w:ascii="宋体" w:hAnsi="宋体" w:cs="宋体"/>
                <w:color w:val="auto"/>
                <w:szCs w:val="21"/>
              </w:rPr>
            </w:pPr>
            <w:r>
              <w:rPr>
                <w:rFonts w:hint="eastAsia" w:ascii="宋体" w:hAnsi="宋体" w:cs="宋体"/>
                <w:color w:val="auto"/>
                <w:szCs w:val="21"/>
              </w:rPr>
              <w:t>本项目不接受联合体磋商。</w:t>
            </w:r>
          </w:p>
        </w:tc>
      </w:tr>
      <w:tr w14:paraId="1D01249C">
        <w:tblPrEx>
          <w:tblCellMar>
            <w:top w:w="0" w:type="dxa"/>
            <w:left w:w="0" w:type="dxa"/>
            <w:bottom w:w="0" w:type="dxa"/>
            <w:right w:w="0" w:type="dxa"/>
          </w:tblCellMar>
        </w:tblPrEx>
        <w:trPr>
          <w:trHeight w:val="567"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14:paraId="710BA6B0">
            <w:pPr>
              <w:wordWrap w:val="0"/>
              <w:autoSpaceDE w:val="0"/>
              <w:autoSpaceDN w:val="0"/>
              <w:spacing w:before="60" w:after="60" w:line="360" w:lineRule="auto"/>
              <w:contextualSpacing/>
              <w:jc w:val="center"/>
              <w:rPr>
                <w:rFonts w:hint="eastAsia" w:ascii="宋体" w:hAnsi="宋体" w:cs="宋体"/>
                <w:color w:val="auto"/>
                <w:szCs w:val="21"/>
              </w:rPr>
            </w:pPr>
            <w:r>
              <w:rPr>
                <w:rFonts w:hint="eastAsia" w:ascii="宋体" w:hAnsi="宋体" w:cs="宋体"/>
                <w:color w:val="auto"/>
                <w:szCs w:val="21"/>
              </w:rPr>
              <w:t>1.5</w:t>
            </w:r>
          </w:p>
        </w:tc>
        <w:tc>
          <w:tcPr>
            <w:tcW w:w="1990" w:type="dxa"/>
            <w:tcBorders>
              <w:top w:val="single" w:color="auto" w:sz="4" w:space="0"/>
              <w:left w:val="single" w:color="auto" w:sz="4" w:space="0"/>
              <w:bottom w:val="single" w:color="auto" w:sz="4" w:space="0"/>
              <w:right w:val="single" w:color="auto" w:sz="4" w:space="0"/>
            </w:tcBorders>
            <w:vAlign w:val="center"/>
          </w:tcPr>
          <w:p w14:paraId="67069616">
            <w:pPr>
              <w:wordWrap w:val="0"/>
              <w:autoSpaceDE w:val="0"/>
              <w:autoSpaceDN w:val="0"/>
              <w:spacing w:before="60" w:after="60" w:line="360" w:lineRule="auto"/>
              <w:contextualSpacing/>
              <w:jc w:val="center"/>
              <w:rPr>
                <w:rFonts w:hint="eastAsia" w:ascii="宋体" w:hAnsi="宋体" w:cs="宋体"/>
                <w:color w:val="auto"/>
                <w:szCs w:val="21"/>
              </w:rPr>
            </w:pPr>
            <w:r>
              <w:rPr>
                <w:rFonts w:hint="eastAsia" w:ascii="宋体" w:hAnsi="宋体" w:cs="宋体"/>
                <w:color w:val="auto"/>
                <w:szCs w:val="21"/>
              </w:rPr>
              <w:t>费用承担</w:t>
            </w:r>
          </w:p>
        </w:tc>
        <w:tc>
          <w:tcPr>
            <w:tcW w:w="6379" w:type="dxa"/>
            <w:tcBorders>
              <w:top w:val="single" w:color="auto" w:sz="4" w:space="0"/>
              <w:left w:val="single" w:color="auto" w:sz="4" w:space="0"/>
              <w:bottom w:val="single" w:color="auto" w:sz="4" w:space="0"/>
              <w:right w:val="single" w:color="auto" w:sz="4" w:space="0"/>
            </w:tcBorders>
            <w:vAlign w:val="center"/>
          </w:tcPr>
          <w:p w14:paraId="02B8B66B">
            <w:pPr>
              <w:spacing w:before="120" w:beforeLines="50" w:line="360" w:lineRule="auto"/>
              <w:ind w:left="105" w:leftChars="50" w:right="105" w:rightChars="50"/>
              <w:rPr>
                <w:rFonts w:hint="eastAsia" w:ascii="宋体" w:hAnsi="宋体" w:cs="宋体"/>
                <w:color w:val="auto"/>
                <w:szCs w:val="21"/>
              </w:rPr>
            </w:pPr>
            <w:r>
              <w:rPr>
                <w:rFonts w:hint="eastAsia" w:ascii="宋体" w:hAnsi="宋体" w:cs="宋体"/>
                <w:color w:val="auto"/>
                <w:szCs w:val="21"/>
              </w:rPr>
              <w:t>1.供应商准备和参加本项目竞争性磋商活动发生的费用自理。</w:t>
            </w:r>
          </w:p>
          <w:p w14:paraId="033AD3FB">
            <w:pPr>
              <w:spacing w:line="360" w:lineRule="auto"/>
              <w:ind w:left="105" w:leftChars="50" w:right="105" w:rightChars="50"/>
              <w:rPr>
                <w:rFonts w:hint="eastAsia" w:ascii="宋体" w:hAnsi="宋体" w:cs="宋体"/>
                <w:color w:val="auto"/>
                <w:szCs w:val="21"/>
              </w:rPr>
            </w:pPr>
            <w:r>
              <w:rPr>
                <w:rFonts w:hint="eastAsia" w:ascii="宋体" w:hAnsi="宋体" w:cs="宋体"/>
                <w:color w:val="auto"/>
                <w:szCs w:val="21"/>
              </w:rPr>
              <w:t>2.采购代理服务费：以本项目</w:t>
            </w:r>
            <w:r>
              <w:rPr>
                <w:rFonts w:hint="eastAsia" w:cs="宋体" w:asciiTheme="minorEastAsia" w:hAnsiTheme="minorEastAsia" w:eastAsiaTheme="minorEastAsia"/>
                <w:color w:val="auto"/>
                <w:szCs w:val="21"/>
              </w:rPr>
              <w:t>成交价</w:t>
            </w:r>
            <w:r>
              <w:rPr>
                <w:rFonts w:hint="eastAsia" w:ascii="宋体" w:hAnsi="宋体" w:cs="宋体"/>
                <w:color w:val="auto"/>
                <w:szCs w:val="21"/>
              </w:rPr>
              <w:t>下浮30%为计费基数，参照《云南省建设工程及政府采购代理服务收费参考意见》（云建招协〔2026〕11号）文中“服务类”的收费标准计算，由成交供应商向采购代理机构支付。</w:t>
            </w:r>
          </w:p>
          <w:p w14:paraId="02E30501">
            <w:pPr>
              <w:spacing w:line="360" w:lineRule="auto"/>
              <w:ind w:left="105" w:leftChars="50"/>
              <w:rPr>
                <w:rFonts w:hint="eastAsia" w:ascii="宋体" w:hAnsi="宋体" w:cs="宋体"/>
                <w:b/>
                <w:bCs/>
                <w:color w:val="auto"/>
                <w:szCs w:val="21"/>
              </w:rPr>
            </w:pPr>
            <w:r>
              <w:rPr>
                <w:rFonts w:hint="eastAsia" w:ascii="宋体" w:hAnsi="宋体" w:cs="宋体"/>
                <w:b/>
                <w:bCs/>
                <w:color w:val="auto"/>
                <w:szCs w:val="21"/>
              </w:rPr>
              <w:t>账户名称：云南铭漾工程技术咨询有限公司</w:t>
            </w:r>
          </w:p>
          <w:p w14:paraId="5A43A00B">
            <w:pPr>
              <w:spacing w:line="360" w:lineRule="auto"/>
              <w:ind w:left="105" w:leftChars="50"/>
              <w:rPr>
                <w:rFonts w:hint="eastAsia" w:ascii="宋体" w:hAnsi="宋体" w:cs="宋体"/>
                <w:b/>
                <w:bCs/>
                <w:color w:val="auto"/>
                <w:szCs w:val="21"/>
              </w:rPr>
            </w:pPr>
            <w:r>
              <w:rPr>
                <w:rFonts w:hint="eastAsia" w:ascii="宋体" w:hAnsi="宋体" w:cs="宋体"/>
                <w:b/>
                <w:bCs/>
                <w:color w:val="auto"/>
                <w:szCs w:val="21"/>
              </w:rPr>
              <w:t>开户银行：招商银行股份有限公司昆明高新支行</w:t>
            </w:r>
          </w:p>
          <w:p w14:paraId="6F5FB068">
            <w:pPr>
              <w:spacing w:line="360" w:lineRule="auto"/>
              <w:ind w:left="105" w:leftChars="50"/>
              <w:rPr>
                <w:rFonts w:hint="eastAsia" w:ascii="宋体" w:hAnsi="宋体" w:cs="宋体"/>
                <w:b/>
                <w:bCs/>
                <w:color w:val="auto"/>
                <w:szCs w:val="21"/>
              </w:rPr>
            </w:pPr>
            <w:r>
              <w:rPr>
                <w:rFonts w:hint="eastAsia" w:ascii="宋体" w:hAnsi="宋体" w:cs="宋体"/>
                <w:b/>
                <w:bCs/>
                <w:color w:val="auto"/>
                <w:szCs w:val="21"/>
              </w:rPr>
              <w:t>账    号：871907487710801</w:t>
            </w:r>
          </w:p>
          <w:p w14:paraId="44FF8AC7">
            <w:pPr>
              <w:spacing w:line="360" w:lineRule="auto"/>
              <w:ind w:left="105" w:leftChars="50"/>
              <w:rPr>
                <w:rFonts w:hint="eastAsia" w:ascii="宋体" w:hAnsi="宋体" w:cs="宋体"/>
                <w:b/>
                <w:bCs/>
                <w:color w:val="auto"/>
                <w:szCs w:val="21"/>
              </w:rPr>
            </w:pPr>
            <w:r>
              <w:rPr>
                <w:rFonts w:hint="eastAsia" w:ascii="宋体" w:hAnsi="宋体" w:cs="宋体"/>
                <w:b/>
                <w:bCs/>
                <w:color w:val="auto"/>
                <w:szCs w:val="21"/>
              </w:rPr>
              <w:t>联系电话：0871-65093696</w:t>
            </w:r>
          </w:p>
          <w:p w14:paraId="1A7BDE05">
            <w:pPr>
              <w:spacing w:line="360" w:lineRule="auto"/>
              <w:ind w:left="105" w:leftChars="50" w:right="105" w:rightChars="50"/>
              <w:rPr>
                <w:rFonts w:hint="eastAsia" w:ascii="宋体" w:hAnsi="宋体" w:cs="宋体"/>
                <w:color w:val="auto"/>
              </w:rPr>
            </w:pPr>
            <w:r>
              <w:rPr>
                <w:rFonts w:hint="eastAsia" w:ascii="宋体" w:hAnsi="宋体" w:cs="宋体"/>
                <w:color w:val="auto"/>
                <w:szCs w:val="21"/>
              </w:rPr>
              <w:t>注：付款时，在摘要栏中写明项目名称。</w:t>
            </w:r>
          </w:p>
        </w:tc>
      </w:tr>
      <w:tr w14:paraId="7F262AA5">
        <w:tblPrEx>
          <w:tblCellMar>
            <w:top w:w="0" w:type="dxa"/>
            <w:left w:w="0" w:type="dxa"/>
            <w:bottom w:w="0" w:type="dxa"/>
            <w:right w:w="0" w:type="dxa"/>
          </w:tblCellMar>
        </w:tblPrEx>
        <w:trPr>
          <w:trHeight w:val="416"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14:paraId="4FE63064">
            <w:pPr>
              <w:spacing w:before="120" w:beforeLines="50" w:line="360" w:lineRule="auto"/>
              <w:jc w:val="center"/>
              <w:rPr>
                <w:rFonts w:hint="eastAsia" w:ascii="宋体" w:hAnsi="宋体" w:cs="宋体"/>
                <w:color w:val="auto"/>
                <w:szCs w:val="21"/>
              </w:rPr>
            </w:pPr>
            <w:r>
              <w:rPr>
                <w:rFonts w:hint="eastAsia" w:ascii="宋体" w:hAnsi="宋体" w:cs="宋体"/>
                <w:color w:val="auto"/>
                <w:szCs w:val="21"/>
              </w:rPr>
              <w:t>1.9</w:t>
            </w:r>
          </w:p>
        </w:tc>
        <w:tc>
          <w:tcPr>
            <w:tcW w:w="1990" w:type="dxa"/>
            <w:tcBorders>
              <w:top w:val="single" w:color="auto" w:sz="4" w:space="0"/>
              <w:left w:val="single" w:color="auto" w:sz="4" w:space="0"/>
              <w:bottom w:val="single" w:color="auto" w:sz="4" w:space="0"/>
              <w:right w:val="single" w:color="auto" w:sz="4" w:space="0"/>
            </w:tcBorders>
            <w:vAlign w:val="center"/>
          </w:tcPr>
          <w:p w14:paraId="4CDB3D40">
            <w:pPr>
              <w:spacing w:before="120" w:beforeLines="50" w:line="360" w:lineRule="auto"/>
              <w:jc w:val="center"/>
              <w:rPr>
                <w:rFonts w:hint="eastAsia" w:ascii="宋体" w:hAnsi="宋体" w:cs="宋体"/>
                <w:color w:val="auto"/>
                <w:szCs w:val="21"/>
              </w:rPr>
            </w:pPr>
            <w:r>
              <w:rPr>
                <w:rFonts w:hint="eastAsia" w:ascii="宋体" w:hAnsi="宋体" w:cs="宋体"/>
                <w:color w:val="auto"/>
                <w:szCs w:val="21"/>
              </w:rPr>
              <w:t>踏勘现场</w:t>
            </w:r>
          </w:p>
        </w:tc>
        <w:tc>
          <w:tcPr>
            <w:tcW w:w="6379" w:type="dxa"/>
            <w:tcBorders>
              <w:top w:val="single" w:color="auto" w:sz="4" w:space="0"/>
              <w:left w:val="single" w:color="auto" w:sz="4" w:space="0"/>
              <w:bottom w:val="single" w:color="auto" w:sz="4" w:space="0"/>
              <w:right w:val="single" w:color="auto" w:sz="4" w:space="0"/>
            </w:tcBorders>
            <w:vAlign w:val="center"/>
          </w:tcPr>
          <w:p w14:paraId="11C9A0B0">
            <w:pPr>
              <w:spacing w:before="120" w:beforeLines="50" w:line="360" w:lineRule="auto"/>
              <w:ind w:left="105" w:leftChars="50"/>
              <w:rPr>
                <w:rFonts w:hint="eastAsia" w:ascii="宋体" w:hAnsi="宋体" w:cs="宋体"/>
                <w:color w:val="auto"/>
                <w:szCs w:val="21"/>
              </w:rPr>
            </w:pPr>
            <w:r>
              <w:rPr>
                <w:rFonts w:hint="eastAsia" w:ascii="宋体" w:hAnsi="宋体" w:cs="宋体"/>
                <w:color w:val="auto"/>
                <w:szCs w:val="21"/>
              </w:rPr>
              <w:t>不组织。</w:t>
            </w:r>
          </w:p>
        </w:tc>
      </w:tr>
      <w:tr w14:paraId="585D8C2D">
        <w:tblPrEx>
          <w:tblCellMar>
            <w:top w:w="0" w:type="dxa"/>
            <w:left w:w="0" w:type="dxa"/>
            <w:bottom w:w="0" w:type="dxa"/>
            <w:right w:w="0" w:type="dxa"/>
          </w:tblCellMar>
        </w:tblPrEx>
        <w:trPr>
          <w:trHeight w:val="132"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14:paraId="763EEA4F">
            <w:pPr>
              <w:wordWrap w:val="0"/>
              <w:autoSpaceDE w:val="0"/>
              <w:autoSpaceDN w:val="0"/>
              <w:spacing w:before="60" w:after="60" w:line="360" w:lineRule="auto"/>
              <w:contextualSpacing/>
              <w:jc w:val="center"/>
              <w:rPr>
                <w:rFonts w:hint="eastAsia" w:ascii="宋体" w:hAnsi="宋体" w:cs="宋体"/>
                <w:color w:val="auto"/>
                <w:szCs w:val="21"/>
              </w:rPr>
            </w:pPr>
            <w:r>
              <w:rPr>
                <w:rFonts w:hint="eastAsia" w:ascii="宋体" w:hAnsi="宋体" w:cs="宋体"/>
                <w:color w:val="auto"/>
                <w:szCs w:val="21"/>
              </w:rPr>
              <w:t>1.10.2</w:t>
            </w:r>
          </w:p>
        </w:tc>
        <w:tc>
          <w:tcPr>
            <w:tcW w:w="1990" w:type="dxa"/>
            <w:tcBorders>
              <w:top w:val="single" w:color="auto" w:sz="4" w:space="0"/>
              <w:left w:val="single" w:color="auto" w:sz="4" w:space="0"/>
              <w:bottom w:val="single" w:color="auto" w:sz="4" w:space="0"/>
              <w:right w:val="single" w:color="auto" w:sz="4" w:space="0"/>
            </w:tcBorders>
            <w:vAlign w:val="center"/>
          </w:tcPr>
          <w:p w14:paraId="66AFC7F7">
            <w:pPr>
              <w:spacing w:line="360" w:lineRule="auto"/>
              <w:jc w:val="center"/>
              <w:rPr>
                <w:rFonts w:hint="eastAsia" w:ascii="宋体" w:hAnsi="宋体" w:cs="宋体"/>
                <w:color w:val="auto"/>
                <w:szCs w:val="21"/>
              </w:rPr>
            </w:pPr>
            <w:r>
              <w:rPr>
                <w:rFonts w:hint="eastAsia" w:ascii="宋体" w:hAnsi="宋体" w:cs="宋体"/>
                <w:color w:val="auto"/>
                <w:szCs w:val="21"/>
              </w:rPr>
              <w:t>供应商的询问及</w:t>
            </w:r>
          </w:p>
          <w:p w14:paraId="009744E6">
            <w:pPr>
              <w:spacing w:line="360" w:lineRule="auto"/>
              <w:jc w:val="center"/>
              <w:rPr>
                <w:rFonts w:hint="eastAsia" w:ascii="宋体" w:hAnsi="宋体" w:cs="宋体"/>
                <w:color w:val="auto"/>
                <w:szCs w:val="21"/>
              </w:rPr>
            </w:pPr>
            <w:r>
              <w:rPr>
                <w:rFonts w:hint="eastAsia" w:ascii="宋体" w:hAnsi="宋体" w:cs="宋体"/>
                <w:color w:val="auto"/>
                <w:szCs w:val="21"/>
              </w:rPr>
              <w:t>答复的规定</w:t>
            </w:r>
          </w:p>
        </w:tc>
        <w:tc>
          <w:tcPr>
            <w:tcW w:w="6379" w:type="dxa"/>
            <w:tcBorders>
              <w:top w:val="single" w:color="auto" w:sz="4" w:space="0"/>
              <w:left w:val="single" w:color="auto" w:sz="4" w:space="0"/>
              <w:bottom w:val="single" w:color="auto" w:sz="4" w:space="0"/>
              <w:right w:val="single" w:color="auto" w:sz="4" w:space="0"/>
            </w:tcBorders>
            <w:vAlign w:val="center"/>
          </w:tcPr>
          <w:p w14:paraId="463AC9D3">
            <w:pPr>
              <w:pStyle w:val="140"/>
              <w:wordWrap w:val="0"/>
              <w:spacing w:before="120" w:beforeLines="50" w:line="360" w:lineRule="auto"/>
              <w:ind w:left="105" w:leftChars="50" w:right="105" w:rightChars="50"/>
              <w:rPr>
                <w:rFonts w:hint="eastAsia" w:ascii="宋体" w:hAnsi="宋体" w:cs="宋体"/>
                <w:color w:val="auto"/>
                <w:szCs w:val="21"/>
              </w:rPr>
            </w:pPr>
            <w:r>
              <w:rPr>
                <w:rFonts w:hint="eastAsia" w:ascii="宋体" w:hAnsi="宋体" w:cs="宋体"/>
                <w:color w:val="auto"/>
                <w:szCs w:val="21"/>
              </w:rPr>
              <w:t>供应商可以向采购人或采购代理机构提出询问或者凭企业数字证书（CA）登录政府采购云平台，通过在线方式提出询问，采购人或者采购代理机构在接到询问后的3个工作日内对供应商依法提出的询问作出答复，但答复的内容不涉及商业秘密。</w:t>
            </w:r>
          </w:p>
        </w:tc>
      </w:tr>
      <w:tr w14:paraId="02219BC7">
        <w:tblPrEx>
          <w:tblCellMar>
            <w:top w:w="0" w:type="dxa"/>
            <w:left w:w="0" w:type="dxa"/>
            <w:bottom w:w="0" w:type="dxa"/>
            <w:right w:w="0" w:type="dxa"/>
          </w:tblCellMar>
        </w:tblPrEx>
        <w:trPr>
          <w:trHeight w:val="274"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14:paraId="17D78E90">
            <w:pPr>
              <w:wordWrap w:val="0"/>
              <w:autoSpaceDE w:val="0"/>
              <w:autoSpaceDN w:val="0"/>
              <w:spacing w:line="360" w:lineRule="auto"/>
              <w:contextualSpacing/>
              <w:jc w:val="center"/>
              <w:rPr>
                <w:rFonts w:hint="eastAsia" w:ascii="宋体" w:hAnsi="宋体" w:cs="宋体"/>
                <w:color w:val="auto"/>
                <w:szCs w:val="21"/>
              </w:rPr>
            </w:pPr>
            <w:r>
              <w:rPr>
                <w:rFonts w:hint="eastAsia" w:ascii="宋体" w:hAnsi="宋体" w:cs="宋体"/>
                <w:color w:val="auto"/>
                <w:szCs w:val="21"/>
              </w:rPr>
              <w:t>1.10.3</w:t>
            </w:r>
          </w:p>
        </w:tc>
        <w:tc>
          <w:tcPr>
            <w:tcW w:w="1990" w:type="dxa"/>
            <w:tcBorders>
              <w:top w:val="single" w:color="auto" w:sz="4" w:space="0"/>
              <w:left w:val="single" w:color="auto" w:sz="4" w:space="0"/>
              <w:bottom w:val="single" w:color="auto" w:sz="4" w:space="0"/>
              <w:right w:val="single" w:color="auto" w:sz="4" w:space="0"/>
            </w:tcBorders>
            <w:vAlign w:val="center"/>
          </w:tcPr>
          <w:p w14:paraId="4384F996">
            <w:pPr>
              <w:spacing w:before="120" w:beforeLines="50" w:line="360" w:lineRule="auto"/>
              <w:jc w:val="center"/>
              <w:rPr>
                <w:rFonts w:hint="eastAsia" w:ascii="宋体" w:hAnsi="宋体" w:cs="宋体"/>
                <w:color w:val="auto"/>
                <w:szCs w:val="21"/>
              </w:rPr>
            </w:pPr>
            <w:r>
              <w:rPr>
                <w:rFonts w:hint="eastAsia" w:ascii="宋体" w:hAnsi="宋体" w:cs="宋体"/>
                <w:color w:val="auto"/>
                <w:szCs w:val="21"/>
              </w:rPr>
              <w:t>采购人澄清的</w:t>
            </w:r>
          </w:p>
          <w:p w14:paraId="5F67D013">
            <w:pPr>
              <w:spacing w:line="360" w:lineRule="auto"/>
              <w:jc w:val="center"/>
              <w:rPr>
                <w:rFonts w:hint="eastAsia" w:ascii="宋体" w:hAnsi="宋体" w:cs="宋体"/>
                <w:color w:val="auto"/>
                <w:szCs w:val="21"/>
              </w:rPr>
            </w:pPr>
            <w:r>
              <w:rPr>
                <w:rFonts w:hint="eastAsia" w:ascii="宋体" w:hAnsi="宋体" w:cs="宋体"/>
                <w:color w:val="auto"/>
                <w:szCs w:val="21"/>
              </w:rPr>
              <w:t>时间和方法</w:t>
            </w:r>
          </w:p>
        </w:tc>
        <w:tc>
          <w:tcPr>
            <w:tcW w:w="6379" w:type="dxa"/>
            <w:tcBorders>
              <w:top w:val="single" w:color="auto" w:sz="4" w:space="0"/>
              <w:left w:val="single" w:color="auto" w:sz="4" w:space="0"/>
              <w:bottom w:val="single" w:color="auto" w:sz="4" w:space="0"/>
              <w:right w:val="single" w:color="auto" w:sz="4" w:space="0"/>
            </w:tcBorders>
            <w:vAlign w:val="center"/>
          </w:tcPr>
          <w:p w14:paraId="2CA647EA">
            <w:pPr>
              <w:pStyle w:val="140"/>
              <w:spacing w:before="120" w:beforeLines="50" w:line="360" w:lineRule="auto"/>
              <w:ind w:left="105" w:leftChars="50" w:right="105" w:rightChars="50"/>
              <w:rPr>
                <w:rFonts w:hint="eastAsia" w:ascii="宋体" w:hAnsi="宋体" w:cs="宋体"/>
                <w:color w:val="auto"/>
                <w:szCs w:val="21"/>
              </w:rPr>
            </w:pPr>
            <w:r>
              <w:rPr>
                <w:rFonts w:hint="eastAsia" w:ascii="宋体" w:hAnsi="宋体" w:cs="宋体"/>
                <w:color w:val="auto"/>
                <w:szCs w:val="21"/>
              </w:rPr>
              <w:t>提交响应文件截止时间前，采购人、采购代理机构可以对已发出的采购文件进行必要的澄清，澄清的内容作为采购文件的组成部分，并具有约束力。澄清的内容可能影响采购文件编制的，采购人、采购代理机构应在提交响应文件截止时间5日前，在政府采购云平台通知所有获取采购文件的供应商，但不指明澄清问题的来源。不足5日的，应当顺延提交响应文件截止时间。</w:t>
            </w:r>
          </w:p>
        </w:tc>
      </w:tr>
      <w:tr w14:paraId="6E71C7BE">
        <w:tblPrEx>
          <w:tblCellMar>
            <w:top w:w="0" w:type="dxa"/>
            <w:left w:w="0" w:type="dxa"/>
            <w:bottom w:w="0" w:type="dxa"/>
            <w:right w:w="0" w:type="dxa"/>
          </w:tblCellMar>
        </w:tblPrEx>
        <w:trPr>
          <w:trHeight w:val="422"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14:paraId="5E61C482">
            <w:pPr>
              <w:spacing w:before="120" w:beforeLines="50" w:line="360" w:lineRule="auto"/>
              <w:jc w:val="center"/>
              <w:rPr>
                <w:rFonts w:hint="eastAsia" w:ascii="宋体" w:hAnsi="宋体" w:cs="宋体"/>
                <w:color w:val="auto"/>
                <w:szCs w:val="21"/>
              </w:rPr>
            </w:pPr>
            <w:r>
              <w:rPr>
                <w:rFonts w:hint="eastAsia" w:ascii="宋体" w:hAnsi="宋体" w:cs="宋体"/>
                <w:color w:val="auto"/>
                <w:szCs w:val="21"/>
              </w:rPr>
              <w:t>1.11</w:t>
            </w:r>
          </w:p>
        </w:tc>
        <w:tc>
          <w:tcPr>
            <w:tcW w:w="1990" w:type="dxa"/>
            <w:tcBorders>
              <w:top w:val="single" w:color="auto" w:sz="4" w:space="0"/>
              <w:left w:val="single" w:color="auto" w:sz="4" w:space="0"/>
              <w:bottom w:val="single" w:color="auto" w:sz="4" w:space="0"/>
              <w:right w:val="single" w:color="auto" w:sz="4" w:space="0"/>
            </w:tcBorders>
            <w:vAlign w:val="center"/>
          </w:tcPr>
          <w:p w14:paraId="67BC974D">
            <w:pPr>
              <w:spacing w:before="120" w:beforeLines="50" w:line="360" w:lineRule="auto"/>
              <w:jc w:val="center"/>
              <w:rPr>
                <w:rFonts w:hint="eastAsia" w:ascii="宋体" w:hAnsi="宋体" w:cs="宋体"/>
                <w:color w:val="auto"/>
                <w:szCs w:val="21"/>
              </w:rPr>
            </w:pPr>
            <w:r>
              <w:rPr>
                <w:rFonts w:hint="eastAsia" w:ascii="宋体" w:hAnsi="宋体" w:cs="宋体"/>
                <w:color w:val="auto"/>
                <w:szCs w:val="21"/>
              </w:rPr>
              <w:t>分包</w:t>
            </w:r>
          </w:p>
        </w:tc>
        <w:tc>
          <w:tcPr>
            <w:tcW w:w="6379" w:type="dxa"/>
            <w:tcBorders>
              <w:top w:val="single" w:color="auto" w:sz="4" w:space="0"/>
              <w:left w:val="single" w:color="auto" w:sz="4" w:space="0"/>
              <w:bottom w:val="single" w:color="auto" w:sz="4" w:space="0"/>
              <w:right w:val="single" w:color="auto" w:sz="4" w:space="0"/>
            </w:tcBorders>
            <w:vAlign w:val="center"/>
          </w:tcPr>
          <w:p w14:paraId="49056147">
            <w:pPr>
              <w:pStyle w:val="140"/>
              <w:spacing w:before="120" w:beforeLines="50" w:line="360" w:lineRule="auto"/>
              <w:ind w:left="105" w:leftChars="50"/>
              <w:rPr>
                <w:rFonts w:hint="eastAsia" w:ascii="宋体" w:hAnsi="宋体" w:cs="宋体"/>
                <w:color w:val="auto"/>
                <w:szCs w:val="21"/>
              </w:rPr>
            </w:pPr>
            <w:r>
              <w:rPr>
                <w:rFonts w:hint="eastAsia" w:ascii="宋体" w:hAnsi="宋体" w:cs="宋体"/>
                <w:color w:val="auto"/>
                <w:szCs w:val="21"/>
              </w:rPr>
              <w:t>不允许。</w:t>
            </w:r>
          </w:p>
        </w:tc>
      </w:tr>
      <w:tr w14:paraId="1F04C1D0">
        <w:tblPrEx>
          <w:tblCellMar>
            <w:top w:w="0" w:type="dxa"/>
            <w:left w:w="0" w:type="dxa"/>
            <w:bottom w:w="0" w:type="dxa"/>
            <w:right w:w="0" w:type="dxa"/>
          </w:tblCellMar>
        </w:tblPrEx>
        <w:trPr>
          <w:trHeight w:val="413"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14:paraId="1E08B3E5">
            <w:pPr>
              <w:spacing w:before="120" w:beforeLines="50" w:line="360" w:lineRule="auto"/>
              <w:jc w:val="center"/>
              <w:rPr>
                <w:rFonts w:hint="eastAsia" w:ascii="宋体" w:hAnsi="宋体" w:cs="宋体"/>
                <w:color w:val="auto"/>
                <w:szCs w:val="21"/>
              </w:rPr>
            </w:pPr>
            <w:r>
              <w:rPr>
                <w:rFonts w:hint="eastAsia" w:ascii="宋体" w:hAnsi="宋体" w:cs="宋体"/>
                <w:color w:val="auto"/>
                <w:szCs w:val="21"/>
              </w:rPr>
              <w:t>1.12</w:t>
            </w:r>
          </w:p>
        </w:tc>
        <w:tc>
          <w:tcPr>
            <w:tcW w:w="1990" w:type="dxa"/>
            <w:tcBorders>
              <w:top w:val="single" w:color="auto" w:sz="4" w:space="0"/>
              <w:left w:val="single" w:color="auto" w:sz="4" w:space="0"/>
              <w:bottom w:val="single" w:color="auto" w:sz="4" w:space="0"/>
              <w:right w:val="single" w:color="auto" w:sz="4" w:space="0"/>
            </w:tcBorders>
            <w:vAlign w:val="center"/>
          </w:tcPr>
          <w:p w14:paraId="4EEA1302">
            <w:pPr>
              <w:spacing w:before="120" w:beforeLines="50" w:line="360" w:lineRule="auto"/>
              <w:jc w:val="center"/>
              <w:rPr>
                <w:rFonts w:hint="eastAsia" w:ascii="宋体" w:hAnsi="宋体" w:cs="宋体"/>
                <w:color w:val="auto"/>
                <w:szCs w:val="21"/>
              </w:rPr>
            </w:pPr>
            <w:r>
              <w:rPr>
                <w:rFonts w:hint="eastAsia" w:ascii="宋体" w:hAnsi="宋体" w:cs="宋体"/>
                <w:color w:val="auto"/>
                <w:szCs w:val="21"/>
              </w:rPr>
              <w:t>偏离</w:t>
            </w:r>
          </w:p>
        </w:tc>
        <w:tc>
          <w:tcPr>
            <w:tcW w:w="6379" w:type="dxa"/>
            <w:tcBorders>
              <w:top w:val="single" w:color="auto" w:sz="4" w:space="0"/>
              <w:left w:val="single" w:color="auto" w:sz="4" w:space="0"/>
              <w:bottom w:val="single" w:color="auto" w:sz="4" w:space="0"/>
              <w:right w:val="single" w:color="auto" w:sz="4" w:space="0"/>
            </w:tcBorders>
            <w:vAlign w:val="center"/>
          </w:tcPr>
          <w:p w14:paraId="04E8241F">
            <w:pPr>
              <w:pStyle w:val="140"/>
              <w:spacing w:before="120" w:beforeLines="50" w:line="360" w:lineRule="auto"/>
              <w:ind w:left="105" w:leftChars="50" w:right="105" w:rightChars="50"/>
              <w:rPr>
                <w:rFonts w:hint="eastAsia" w:ascii="宋体" w:hAnsi="宋体" w:cs="宋体"/>
                <w:b/>
                <w:bCs/>
                <w:color w:val="auto"/>
                <w:szCs w:val="21"/>
              </w:rPr>
            </w:pPr>
            <w:r>
              <w:rPr>
                <w:rFonts w:hint="eastAsia" w:ascii="宋体" w:hAnsi="宋体" w:cs="宋体"/>
                <w:b/>
                <w:bCs/>
                <w:color w:val="auto"/>
                <w:szCs w:val="21"/>
              </w:rPr>
              <w:t>允许。</w:t>
            </w:r>
          </w:p>
          <w:p w14:paraId="58BE7E6B">
            <w:pPr>
              <w:pStyle w:val="140"/>
              <w:spacing w:line="360" w:lineRule="auto"/>
              <w:ind w:left="105" w:leftChars="50" w:right="105" w:rightChars="50"/>
              <w:rPr>
                <w:rFonts w:hint="eastAsia" w:ascii="宋体" w:hAnsi="宋体" w:cs="宋体"/>
                <w:b/>
                <w:bCs/>
                <w:color w:val="auto"/>
                <w:szCs w:val="21"/>
              </w:rPr>
            </w:pPr>
            <w:r>
              <w:rPr>
                <w:rFonts w:hint="eastAsia" w:ascii="宋体" w:hAnsi="宋体" w:cs="宋体"/>
                <w:b/>
                <w:bCs/>
                <w:color w:val="auto"/>
                <w:kern w:val="0"/>
                <w:szCs w:val="21"/>
              </w:rPr>
              <w:t>本项目允许偏离的内容：供应商可以在响应文件中提供优于采购文件要求的正偏离。不允许负偏离，否则响应文件按否决处理。</w:t>
            </w:r>
          </w:p>
        </w:tc>
      </w:tr>
      <w:tr w14:paraId="013D19E7">
        <w:tblPrEx>
          <w:tblCellMar>
            <w:top w:w="0" w:type="dxa"/>
            <w:left w:w="0" w:type="dxa"/>
            <w:bottom w:w="0" w:type="dxa"/>
            <w:right w:w="0" w:type="dxa"/>
          </w:tblCellMar>
        </w:tblPrEx>
        <w:trPr>
          <w:trHeight w:val="1275"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14:paraId="148C1478">
            <w:pPr>
              <w:spacing w:before="120" w:beforeLines="50" w:line="360" w:lineRule="auto"/>
              <w:jc w:val="center"/>
              <w:rPr>
                <w:rFonts w:hint="eastAsia" w:ascii="宋体" w:hAnsi="宋体" w:cs="宋体"/>
                <w:color w:val="auto"/>
                <w:szCs w:val="21"/>
              </w:rPr>
            </w:pPr>
            <w:r>
              <w:rPr>
                <w:rFonts w:hint="eastAsia" w:ascii="宋体" w:hAnsi="宋体" w:cs="宋体"/>
                <w:color w:val="auto"/>
                <w:szCs w:val="21"/>
              </w:rPr>
              <w:t>2.2.1</w:t>
            </w:r>
          </w:p>
        </w:tc>
        <w:tc>
          <w:tcPr>
            <w:tcW w:w="1990" w:type="dxa"/>
            <w:tcBorders>
              <w:top w:val="single" w:color="auto" w:sz="4" w:space="0"/>
              <w:left w:val="single" w:color="auto" w:sz="4" w:space="0"/>
              <w:bottom w:val="single" w:color="auto" w:sz="4" w:space="0"/>
              <w:right w:val="single" w:color="auto" w:sz="4" w:space="0"/>
            </w:tcBorders>
            <w:vAlign w:val="center"/>
          </w:tcPr>
          <w:p w14:paraId="5CF9F325">
            <w:pPr>
              <w:spacing w:before="120" w:beforeLines="50" w:line="360" w:lineRule="auto"/>
              <w:jc w:val="center"/>
              <w:rPr>
                <w:rFonts w:hint="eastAsia" w:ascii="宋体" w:hAnsi="宋体" w:cs="宋体"/>
                <w:color w:val="auto"/>
                <w:szCs w:val="21"/>
              </w:rPr>
            </w:pPr>
            <w:r>
              <w:rPr>
                <w:rFonts w:hint="eastAsia" w:ascii="宋体" w:hAnsi="宋体" w:cs="宋体"/>
                <w:color w:val="auto"/>
                <w:szCs w:val="21"/>
              </w:rPr>
              <w:t>供应商要求澄清采购文件的方法</w:t>
            </w:r>
          </w:p>
        </w:tc>
        <w:tc>
          <w:tcPr>
            <w:tcW w:w="6379" w:type="dxa"/>
            <w:tcBorders>
              <w:top w:val="single" w:color="auto" w:sz="4" w:space="0"/>
              <w:left w:val="single" w:color="auto" w:sz="4" w:space="0"/>
              <w:bottom w:val="single" w:color="auto" w:sz="4" w:space="0"/>
              <w:right w:val="single" w:color="auto" w:sz="4" w:space="0"/>
            </w:tcBorders>
            <w:vAlign w:val="center"/>
          </w:tcPr>
          <w:p w14:paraId="7BF1AB14">
            <w:pPr>
              <w:pStyle w:val="140"/>
              <w:spacing w:before="120" w:beforeLines="50" w:line="360" w:lineRule="auto"/>
              <w:ind w:left="105" w:leftChars="50" w:right="105" w:rightChars="50"/>
              <w:rPr>
                <w:rFonts w:hint="eastAsia" w:ascii="宋体" w:hAnsi="宋体" w:cs="宋体"/>
                <w:color w:val="auto"/>
                <w:szCs w:val="21"/>
              </w:rPr>
            </w:pPr>
            <w:r>
              <w:rPr>
                <w:rFonts w:hint="eastAsia" w:ascii="宋体" w:hAnsi="宋体" w:cs="宋体"/>
                <w:color w:val="auto"/>
                <w:szCs w:val="21"/>
              </w:rPr>
              <w:t>供应商应仔细阅读和检查采购文件的全部内容，如发现缺页或附件不全，应及时向采购人提出，以便补齐。如有疑问，可要求采购人或采购代理机构对采购文件予以澄清。</w:t>
            </w:r>
          </w:p>
        </w:tc>
      </w:tr>
      <w:tr w14:paraId="7EFEF5B1">
        <w:tblPrEx>
          <w:tblCellMar>
            <w:top w:w="0" w:type="dxa"/>
            <w:left w:w="0" w:type="dxa"/>
            <w:bottom w:w="0" w:type="dxa"/>
            <w:right w:w="0" w:type="dxa"/>
          </w:tblCellMar>
        </w:tblPrEx>
        <w:trPr>
          <w:trHeight w:val="498"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14:paraId="20175B4E">
            <w:pPr>
              <w:spacing w:before="120" w:beforeLines="50" w:line="360" w:lineRule="auto"/>
              <w:jc w:val="center"/>
              <w:rPr>
                <w:rFonts w:hint="eastAsia" w:ascii="宋体" w:hAnsi="宋体" w:cs="宋体"/>
                <w:color w:val="auto"/>
                <w:szCs w:val="21"/>
              </w:rPr>
            </w:pPr>
            <w:r>
              <w:rPr>
                <w:rFonts w:hint="eastAsia" w:ascii="宋体" w:hAnsi="宋体" w:cs="宋体"/>
                <w:color w:val="auto"/>
                <w:szCs w:val="21"/>
              </w:rPr>
              <w:t>2.2.2</w:t>
            </w:r>
          </w:p>
        </w:tc>
        <w:tc>
          <w:tcPr>
            <w:tcW w:w="1990" w:type="dxa"/>
            <w:tcBorders>
              <w:top w:val="single" w:color="auto" w:sz="4" w:space="0"/>
              <w:left w:val="single" w:color="auto" w:sz="4" w:space="0"/>
              <w:bottom w:val="single" w:color="auto" w:sz="4" w:space="0"/>
              <w:right w:val="single" w:color="auto" w:sz="4" w:space="0"/>
            </w:tcBorders>
            <w:vAlign w:val="center"/>
          </w:tcPr>
          <w:p w14:paraId="3B169581">
            <w:pPr>
              <w:spacing w:before="120" w:beforeLines="50" w:line="360" w:lineRule="auto"/>
              <w:jc w:val="center"/>
              <w:rPr>
                <w:rFonts w:hint="eastAsia" w:ascii="宋体" w:hAnsi="宋体" w:cs="宋体"/>
                <w:color w:val="auto"/>
                <w:szCs w:val="21"/>
              </w:rPr>
            </w:pPr>
            <w:r>
              <w:rPr>
                <w:rFonts w:hint="eastAsia" w:ascii="宋体" w:hAnsi="宋体" w:cs="宋体"/>
                <w:color w:val="auto"/>
                <w:szCs w:val="21"/>
              </w:rPr>
              <w:t>提交响应文件的</w:t>
            </w:r>
          </w:p>
          <w:p w14:paraId="6C7256DB">
            <w:pPr>
              <w:spacing w:line="360" w:lineRule="auto"/>
              <w:jc w:val="center"/>
              <w:rPr>
                <w:rFonts w:hint="eastAsia" w:ascii="宋体" w:hAnsi="宋体" w:cs="宋体"/>
                <w:color w:val="auto"/>
                <w:szCs w:val="21"/>
              </w:rPr>
            </w:pPr>
            <w:r>
              <w:rPr>
                <w:rFonts w:hint="eastAsia" w:ascii="宋体" w:hAnsi="宋体" w:cs="宋体"/>
                <w:color w:val="auto"/>
                <w:szCs w:val="21"/>
              </w:rPr>
              <w:t>截止时间</w:t>
            </w:r>
          </w:p>
        </w:tc>
        <w:tc>
          <w:tcPr>
            <w:tcW w:w="6379" w:type="dxa"/>
            <w:tcBorders>
              <w:top w:val="single" w:color="auto" w:sz="4" w:space="0"/>
              <w:left w:val="single" w:color="auto" w:sz="4" w:space="0"/>
              <w:bottom w:val="single" w:color="auto" w:sz="4" w:space="0"/>
              <w:right w:val="single" w:color="auto" w:sz="4" w:space="0"/>
            </w:tcBorders>
            <w:vAlign w:val="center"/>
          </w:tcPr>
          <w:p w14:paraId="797B01BF">
            <w:pPr>
              <w:pStyle w:val="140"/>
              <w:spacing w:before="120" w:beforeLines="50" w:line="360" w:lineRule="auto"/>
              <w:ind w:left="105" w:leftChars="50"/>
              <w:rPr>
                <w:rFonts w:hint="eastAsia" w:ascii="宋体" w:hAnsi="宋体" w:cs="宋体"/>
                <w:color w:val="auto"/>
                <w:szCs w:val="21"/>
              </w:rPr>
            </w:pPr>
            <w:r>
              <w:rPr>
                <w:rFonts w:hint="eastAsia" w:ascii="宋体" w:hAnsi="宋体" w:cs="宋体"/>
                <w:color w:val="auto"/>
                <w:szCs w:val="21"/>
              </w:rPr>
              <w:t>同竞争性磋商公告中的“响应文件提交截止时间”。</w:t>
            </w:r>
          </w:p>
        </w:tc>
      </w:tr>
      <w:tr w14:paraId="3BB9CCFA">
        <w:tblPrEx>
          <w:tblCellMar>
            <w:top w:w="0" w:type="dxa"/>
            <w:left w:w="0" w:type="dxa"/>
            <w:bottom w:w="0" w:type="dxa"/>
            <w:right w:w="0" w:type="dxa"/>
          </w:tblCellMar>
        </w:tblPrEx>
        <w:trPr>
          <w:trHeight w:val="567"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14:paraId="16248A81">
            <w:pPr>
              <w:spacing w:before="120" w:beforeLines="50" w:line="360" w:lineRule="auto"/>
              <w:jc w:val="center"/>
              <w:rPr>
                <w:rFonts w:hint="eastAsia" w:ascii="宋体" w:hAnsi="宋体" w:cs="宋体"/>
                <w:color w:val="auto"/>
                <w:szCs w:val="21"/>
              </w:rPr>
            </w:pPr>
            <w:r>
              <w:rPr>
                <w:rFonts w:hint="eastAsia" w:ascii="宋体" w:hAnsi="宋体" w:cs="宋体"/>
                <w:color w:val="auto"/>
                <w:szCs w:val="21"/>
              </w:rPr>
              <w:t>2.2.3</w:t>
            </w:r>
          </w:p>
        </w:tc>
        <w:tc>
          <w:tcPr>
            <w:tcW w:w="1990" w:type="dxa"/>
            <w:tcBorders>
              <w:top w:val="single" w:color="auto" w:sz="4" w:space="0"/>
              <w:left w:val="single" w:color="auto" w:sz="4" w:space="0"/>
              <w:bottom w:val="single" w:color="auto" w:sz="4" w:space="0"/>
              <w:right w:val="single" w:color="auto" w:sz="4" w:space="0"/>
            </w:tcBorders>
            <w:vAlign w:val="center"/>
          </w:tcPr>
          <w:p w14:paraId="12E22C71">
            <w:pPr>
              <w:spacing w:before="120" w:beforeLines="50" w:line="360" w:lineRule="auto"/>
              <w:jc w:val="center"/>
              <w:rPr>
                <w:rFonts w:hint="eastAsia" w:ascii="宋体" w:hAnsi="宋体" w:cs="宋体"/>
                <w:color w:val="auto"/>
                <w:szCs w:val="21"/>
              </w:rPr>
            </w:pPr>
            <w:r>
              <w:rPr>
                <w:rFonts w:hint="eastAsia" w:ascii="宋体" w:hAnsi="宋体" w:cs="宋体"/>
                <w:color w:val="auto"/>
                <w:szCs w:val="21"/>
              </w:rPr>
              <w:t>供应商确认收到采购</w:t>
            </w:r>
          </w:p>
          <w:p w14:paraId="09CF99A9">
            <w:pPr>
              <w:spacing w:line="360" w:lineRule="auto"/>
              <w:jc w:val="center"/>
              <w:rPr>
                <w:rFonts w:hint="eastAsia" w:ascii="宋体" w:hAnsi="宋体" w:cs="宋体"/>
                <w:color w:val="auto"/>
                <w:szCs w:val="21"/>
              </w:rPr>
            </w:pPr>
            <w:r>
              <w:rPr>
                <w:rFonts w:hint="eastAsia" w:ascii="宋体" w:hAnsi="宋体" w:cs="宋体"/>
                <w:color w:val="auto"/>
                <w:szCs w:val="21"/>
              </w:rPr>
              <w:t>文件澄清的时间</w:t>
            </w:r>
          </w:p>
        </w:tc>
        <w:tc>
          <w:tcPr>
            <w:tcW w:w="6379" w:type="dxa"/>
            <w:tcBorders>
              <w:top w:val="single" w:color="auto" w:sz="4" w:space="0"/>
              <w:left w:val="single" w:color="auto" w:sz="4" w:space="0"/>
              <w:bottom w:val="single" w:color="auto" w:sz="4" w:space="0"/>
              <w:right w:val="single" w:color="auto" w:sz="4" w:space="0"/>
            </w:tcBorders>
            <w:vAlign w:val="center"/>
          </w:tcPr>
          <w:p w14:paraId="7C469B1E">
            <w:pPr>
              <w:wordWrap w:val="0"/>
              <w:autoSpaceDE w:val="0"/>
              <w:autoSpaceDN w:val="0"/>
              <w:spacing w:before="120" w:beforeLines="50" w:line="360" w:lineRule="auto"/>
              <w:ind w:left="105" w:leftChars="50"/>
              <w:contextualSpacing/>
              <w:rPr>
                <w:rFonts w:hint="eastAsia" w:ascii="宋体" w:hAnsi="宋体" w:cs="宋体"/>
                <w:color w:val="auto"/>
                <w:szCs w:val="21"/>
              </w:rPr>
            </w:pPr>
            <w:r>
              <w:rPr>
                <w:rFonts w:hint="eastAsia" w:ascii="宋体" w:hAnsi="宋体" w:cs="宋体"/>
                <w:color w:val="auto"/>
                <w:szCs w:val="21"/>
              </w:rPr>
              <w:t>收到当天。</w:t>
            </w:r>
          </w:p>
        </w:tc>
      </w:tr>
      <w:tr w14:paraId="0DB80679">
        <w:tblPrEx>
          <w:tblCellMar>
            <w:top w:w="0" w:type="dxa"/>
            <w:left w:w="0" w:type="dxa"/>
            <w:bottom w:w="0" w:type="dxa"/>
            <w:right w:w="0" w:type="dxa"/>
          </w:tblCellMar>
        </w:tblPrEx>
        <w:trPr>
          <w:trHeight w:val="132"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14:paraId="61F96F0E">
            <w:pPr>
              <w:wordWrap w:val="0"/>
              <w:autoSpaceDE w:val="0"/>
              <w:autoSpaceDN w:val="0"/>
              <w:spacing w:before="60" w:after="60" w:line="360" w:lineRule="auto"/>
              <w:contextualSpacing/>
              <w:jc w:val="center"/>
              <w:rPr>
                <w:rFonts w:hint="eastAsia" w:ascii="宋体" w:hAnsi="宋体" w:cs="宋体"/>
                <w:color w:val="auto"/>
                <w:szCs w:val="21"/>
              </w:rPr>
            </w:pPr>
            <w:r>
              <w:rPr>
                <w:rFonts w:hint="eastAsia" w:ascii="宋体" w:hAnsi="宋体" w:cs="宋体"/>
                <w:color w:val="auto"/>
                <w:szCs w:val="21"/>
              </w:rPr>
              <w:t>3.2.1</w:t>
            </w:r>
          </w:p>
        </w:tc>
        <w:tc>
          <w:tcPr>
            <w:tcW w:w="1990" w:type="dxa"/>
            <w:tcBorders>
              <w:top w:val="single" w:color="auto" w:sz="4" w:space="0"/>
              <w:left w:val="single" w:color="auto" w:sz="4" w:space="0"/>
              <w:bottom w:val="single" w:color="auto" w:sz="4" w:space="0"/>
              <w:right w:val="single" w:color="auto" w:sz="4" w:space="0"/>
            </w:tcBorders>
            <w:vAlign w:val="center"/>
          </w:tcPr>
          <w:p w14:paraId="39265CEE">
            <w:pPr>
              <w:autoSpaceDE w:val="0"/>
              <w:autoSpaceDN w:val="0"/>
              <w:spacing w:after="60" w:line="360" w:lineRule="auto"/>
              <w:contextualSpacing/>
              <w:jc w:val="center"/>
              <w:rPr>
                <w:rFonts w:hint="eastAsia" w:ascii="宋体" w:hAnsi="宋体" w:cs="宋体"/>
                <w:color w:val="auto"/>
                <w:szCs w:val="21"/>
              </w:rPr>
            </w:pPr>
            <w:r>
              <w:rPr>
                <w:rFonts w:hint="eastAsia" w:ascii="宋体" w:hAnsi="宋体" w:cs="宋体"/>
                <w:color w:val="auto"/>
                <w:szCs w:val="21"/>
              </w:rPr>
              <w:t>最高限价</w:t>
            </w:r>
          </w:p>
        </w:tc>
        <w:tc>
          <w:tcPr>
            <w:tcW w:w="6379" w:type="dxa"/>
            <w:tcBorders>
              <w:top w:val="single" w:color="auto" w:sz="4" w:space="0"/>
              <w:left w:val="single" w:color="auto" w:sz="4" w:space="0"/>
              <w:bottom w:val="single" w:color="auto" w:sz="4" w:space="0"/>
              <w:right w:val="single" w:color="auto" w:sz="4" w:space="0"/>
            </w:tcBorders>
            <w:vAlign w:val="center"/>
          </w:tcPr>
          <w:p w14:paraId="0FC7DF12">
            <w:pPr>
              <w:spacing w:before="120" w:beforeLines="50" w:line="360" w:lineRule="auto"/>
              <w:ind w:left="105" w:leftChars="50"/>
              <w:jc w:val="left"/>
              <w:rPr>
                <w:rFonts w:hint="eastAsia" w:ascii="宋体" w:hAnsi="宋体" w:cs="宋体"/>
                <w:b/>
                <w:bCs/>
                <w:color w:val="auto"/>
              </w:rPr>
            </w:pPr>
            <w:r>
              <w:rPr>
                <w:rFonts w:hint="eastAsia" w:ascii="宋体" w:hAnsi="宋体" w:cs="宋体"/>
                <w:b/>
                <w:bCs/>
                <w:color w:val="auto"/>
              </w:rPr>
              <w:t>本项目最高限价：</w:t>
            </w:r>
            <w:r>
              <w:rPr>
                <w:rFonts w:hint="eastAsia" w:ascii="宋体" w:hAnsi="宋体" w:cs="宋体"/>
                <w:b/>
                <w:bCs/>
                <w:color w:val="auto"/>
                <w:u w:val="single"/>
              </w:rPr>
              <w:t>¥312000.00元（大写：叁拾壹万贰仟元整）</w:t>
            </w:r>
            <w:r>
              <w:rPr>
                <w:rFonts w:hint="eastAsia" w:ascii="宋体" w:hAnsi="宋体" w:cs="宋体"/>
                <w:b/>
                <w:bCs/>
                <w:color w:val="auto"/>
              </w:rPr>
              <w:t>。</w:t>
            </w:r>
          </w:p>
          <w:p w14:paraId="01C56965">
            <w:pPr>
              <w:wordWrap w:val="0"/>
              <w:autoSpaceDE w:val="0"/>
              <w:autoSpaceDN w:val="0"/>
              <w:spacing w:line="360" w:lineRule="auto"/>
              <w:ind w:left="105" w:leftChars="50" w:right="105" w:rightChars="50"/>
              <w:contextualSpacing/>
              <w:jc w:val="left"/>
              <w:rPr>
                <w:rFonts w:hint="eastAsia" w:ascii="宋体" w:hAnsi="宋体" w:cs="宋体"/>
                <w:color w:val="auto"/>
              </w:rPr>
            </w:pPr>
            <w:r>
              <w:rPr>
                <w:rFonts w:hint="eastAsia" w:ascii="宋体" w:hAnsi="宋体" w:cs="宋体"/>
                <w:color w:val="auto"/>
              </w:rPr>
              <w:t>注：（1）供应商的磋商报价不得高于以上规定的最高限价，否则按否决磋商处理；</w:t>
            </w:r>
            <w:r>
              <w:rPr>
                <w:rFonts w:hint="eastAsia" w:ascii="宋体" w:hAnsi="宋体"/>
                <w:color w:val="auto"/>
                <w:szCs w:val="21"/>
              </w:rPr>
              <w:t>报价保留至小数点后两位（</w:t>
            </w:r>
            <w:r>
              <w:rPr>
                <w:rFonts w:hint="eastAsia" w:ascii="宋体" w:hAnsi="宋体"/>
                <w:b/>
                <w:bCs/>
                <w:color w:val="auto"/>
                <w:szCs w:val="21"/>
              </w:rPr>
              <w:t>例如：X.XX</w:t>
            </w:r>
            <w:r>
              <w:rPr>
                <w:rFonts w:hint="eastAsia" w:ascii="宋体" w:hAnsi="宋体"/>
                <w:color w:val="auto"/>
                <w:szCs w:val="21"/>
              </w:rPr>
              <w:t>）；</w:t>
            </w:r>
          </w:p>
          <w:p w14:paraId="0D68EF7B">
            <w:pPr>
              <w:pStyle w:val="140"/>
              <w:adjustRightInd w:val="0"/>
              <w:spacing w:line="360" w:lineRule="auto"/>
              <w:ind w:left="108" w:right="105" w:rightChars="50" w:firstLine="375" w:firstLineChars="178"/>
              <w:textAlignment w:val="baseline"/>
              <w:rPr>
                <w:rFonts w:hint="eastAsia" w:ascii="宋体" w:hAnsi="宋体" w:cs="宋体"/>
                <w:color w:val="auto"/>
                <w:szCs w:val="21"/>
              </w:rPr>
            </w:pPr>
            <w:r>
              <w:rPr>
                <w:rFonts w:hint="eastAsia" w:ascii="宋体" w:hAnsi="宋体" w:cs="宋体"/>
                <w:b/>
                <w:bCs/>
                <w:color w:val="auto"/>
              </w:rPr>
              <w:t>（2）根据财政部《关于推动解决政府采购异常低价问题的通知》（财库〔2026〕2号）的规定，供应商的磋商报价低于采购项目最高限价45%的（即：磋商报价&lt;采购项目最高限价×45%），供应商应对其磋商报价作出解释，随同响应文件一并提交项目具体成本测算等与报价合理性相关的书面说明及必要的证明材料，包括但不限于原材料成本、人工成本、制造费用等。</w:t>
            </w:r>
          </w:p>
        </w:tc>
      </w:tr>
      <w:tr w14:paraId="66A3E934">
        <w:tblPrEx>
          <w:tblCellMar>
            <w:top w:w="0" w:type="dxa"/>
            <w:left w:w="0" w:type="dxa"/>
            <w:bottom w:w="0" w:type="dxa"/>
            <w:right w:w="0" w:type="dxa"/>
          </w:tblCellMar>
        </w:tblPrEx>
        <w:trPr>
          <w:trHeight w:val="132"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14:paraId="67DD10B1">
            <w:pPr>
              <w:wordWrap w:val="0"/>
              <w:autoSpaceDE w:val="0"/>
              <w:autoSpaceDN w:val="0"/>
              <w:spacing w:before="60" w:after="60" w:line="360" w:lineRule="auto"/>
              <w:contextualSpacing/>
              <w:jc w:val="center"/>
              <w:rPr>
                <w:rFonts w:hint="eastAsia" w:ascii="宋体" w:hAnsi="宋体" w:cs="宋体"/>
                <w:color w:val="auto"/>
                <w:szCs w:val="21"/>
              </w:rPr>
            </w:pPr>
            <w:r>
              <w:rPr>
                <w:rFonts w:hint="eastAsia" w:ascii="宋体" w:hAnsi="宋体" w:cs="宋体"/>
                <w:color w:val="auto"/>
                <w:szCs w:val="21"/>
              </w:rPr>
              <w:t>3.2.2</w:t>
            </w:r>
          </w:p>
        </w:tc>
        <w:tc>
          <w:tcPr>
            <w:tcW w:w="1990" w:type="dxa"/>
            <w:tcBorders>
              <w:top w:val="single" w:color="auto" w:sz="4" w:space="0"/>
              <w:left w:val="single" w:color="auto" w:sz="4" w:space="0"/>
              <w:bottom w:val="single" w:color="auto" w:sz="4" w:space="0"/>
              <w:right w:val="single" w:color="auto" w:sz="4" w:space="0"/>
            </w:tcBorders>
            <w:vAlign w:val="center"/>
          </w:tcPr>
          <w:p w14:paraId="26D6541B">
            <w:pPr>
              <w:autoSpaceDE w:val="0"/>
              <w:autoSpaceDN w:val="0"/>
              <w:spacing w:after="60" w:line="360" w:lineRule="auto"/>
              <w:contextualSpacing/>
              <w:jc w:val="center"/>
              <w:rPr>
                <w:rFonts w:hint="eastAsia" w:ascii="宋体" w:hAnsi="宋体" w:cs="宋体"/>
                <w:color w:val="auto"/>
                <w:szCs w:val="21"/>
              </w:rPr>
            </w:pPr>
            <w:r>
              <w:rPr>
                <w:rFonts w:hint="eastAsia" w:ascii="宋体" w:hAnsi="宋体" w:cs="宋体"/>
                <w:color w:val="auto"/>
                <w:szCs w:val="21"/>
              </w:rPr>
              <w:t>报价方式</w:t>
            </w:r>
          </w:p>
        </w:tc>
        <w:tc>
          <w:tcPr>
            <w:tcW w:w="6379" w:type="dxa"/>
            <w:tcBorders>
              <w:top w:val="single" w:color="auto" w:sz="4" w:space="0"/>
              <w:left w:val="single" w:color="auto" w:sz="4" w:space="0"/>
              <w:bottom w:val="single" w:color="auto" w:sz="4" w:space="0"/>
              <w:right w:val="single" w:color="auto" w:sz="4" w:space="0"/>
            </w:tcBorders>
            <w:vAlign w:val="center"/>
          </w:tcPr>
          <w:p w14:paraId="076568AD">
            <w:pPr>
              <w:spacing w:before="120" w:beforeLines="50" w:line="360" w:lineRule="auto"/>
              <w:ind w:left="105" w:leftChars="50" w:right="105" w:rightChars="50"/>
              <w:rPr>
                <w:rFonts w:hint="eastAsia" w:ascii="宋体" w:hAnsi="宋体" w:cs="宋体"/>
                <w:color w:val="auto"/>
                <w:szCs w:val="21"/>
              </w:rPr>
            </w:pPr>
            <w:r>
              <w:rPr>
                <w:rFonts w:hint="eastAsia" w:ascii="宋体" w:hAnsi="宋体" w:cs="宋体"/>
                <w:color w:val="auto"/>
                <w:szCs w:val="21"/>
              </w:rPr>
              <w:t>本项目采用</w:t>
            </w:r>
            <w:r>
              <w:rPr>
                <w:rFonts w:hint="eastAsia" w:cs="宋体"/>
                <w:b/>
                <w:bCs/>
                <w:color w:val="auto"/>
                <w:u w:val="single"/>
              </w:rPr>
              <w:t>总价包干</w:t>
            </w:r>
            <w:r>
              <w:rPr>
                <w:rFonts w:hint="eastAsia" w:ascii="宋体" w:hAnsi="宋体" w:cs="宋体"/>
                <w:color w:val="auto"/>
                <w:szCs w:val="21"/>
              </w:rPr>
              <w:t>的方式进行报价。</w:t>
            </w:r>
          </w:p>
          <w:p w14:paraId="586D78A8">
            <w:pPr>
              <w:adjustRightInd w:val="0"/>
              <w:spacing w:line="360" w:lineRule="auto"/>
              <w:ind w:left="105" w:leftChars="50" w:right="105" w:rightChars="50"/>
              <w:rPr>
                <w:rFonts w:hint="eastAsia" w:ascii="宋体" w:hAnsi="宋体" w:cs="宋体"/>
                <w:bCs/>
                <w:color w:val="auto"/>
                <w:szCs w:val="21"/>
              </w:rPr>
            </w:pPr>
            <w:r>
              <w:rPr>
                <w:rFonts w:hint="eastAsia" w:ascii="宋体" w:hAnsi="宋体" w:cs="宋体"/>
                <w:bCs/>
                <w:color w:val="auto"/>
                <w:szCs w:val="21"/>
              </w:rPr>
              <w:t>注：（1）供应商的磋商报价为完成本项目合同委托范围内所有服务工作内容所需的全部费用，包括但不限于</w:t>
            </w:r>
            <w:bookmarkStart w:id="176" w:name="_Hlk214470782"/>
            <w:r>
              <w:rPr>
                <w:rFonts w:hint="eastAsia" w:ascii="宋体" w:hAnsi="宋体" w:cs="宋体"/>
                <w:bCs/>
                <w:color w:val="auto"/>
                <w:szCs w:val="21"/>
              </w:rPr>
              <w:t>人工费、材料费、管理费、利润、税金等所有费用；</w:t>
            </w:r>
            <w:bookmarkEnd w:id="176"/>
            <w:r>
              <w:rPr>
                <w:rFonts w:hint="eastAsia" w:ascii="宋体" w:hAnsi="宋体" w:cs="宋体"/>
                <w:bCs/>
                <w:color w:val="auto"/>
                <w:szCs w:val="21"/>
              </w:rPr>
              <w:t>供应商应充分考虑</w:t>
            </w:r>
            <w:r>
              <w:rPr>
                <w:rFonts w:hint="eastAsia" w:ascii="宋体" w:hAnsi="宋体" w:cs="宋体"/>
                <w:color w:val="auto"/>
                <w:szCs w:val="21"/>
              </w:rPr>
              <w:t>服务期限</w:t>
            </w:r>
            <w:r>
              <w:rPr>
                <w:rFonts w:hint="eastAsia" w:ascii="宋体" w:hAnsi="宋体" w:cs="宋体"/>
                <w:bCs/>
                <w:color w:val="auto"/>
                <w:szCs w:val="21"/>
              </w:rPr>
              <w:t>内可能发生的各种风险因素，根据企业自身实际情况和市场行情进行报价；合同履行期间，采购人不再支付除合同价款以外的任何费用；</w:t>
            </w:r>
          </w:p>
          <w:p w14:paraId="7ABAADA1">
            <w:pPr>
              <w:adjustRightInd w:val="0"/>
              <w:spacing w:line="360" w:lineRule="auto"/>
              <w:ind w:left="105" w:leftChars="50" w:right="105" w:rightChars="50" w:firstLine="420" w:firstLineChars="200"/>
              <w:rPr>
                <w:rFonts w:hint="eastAsia" w:ascii="宋体" w:hAnsi="宋体" w:cs="宋体"/>
                <w:b/>
                <w:color w:val="auto"/>
                <w:szCs w:val="21"/>
              </w:rPr>
            </w:pPr>
            <w:r>
              <w:rPr>
                <w:rFonts w:hint="eastAsia" w:ascii="宋体" w:hAnsi="宋体" w:cs="宋体"/>
                <w:bCs/>
                <w:color w:val="auto"/>
                <w:szCs w:val="21"/>
              </w:rPr>
              <w:t>（2）本项目只允许供应商投报一个有效的磋商报价，响应文件中，供应商投报两个或两个以上磋商报价，又未书面声明其中哪一个有效的，其响应文件按否决磋商处理。</w:t>
            </w:r>
          </w:p>
        </w:tc>
      </w:tr>
      <w:tr w14:paraId="5D5C9A4D">
        <w:tblPrEx>
          <w:tblCellMar>
            <w:top w:w="0" w:type="dxa"/>
            <w:left w:w="0" w:type="dxa"/>
            <w:bottom w:w="0" w:type="dxa"/>
            <w:right w:w="0" w:type="dxa"/>
          </w:tblCellMar>
        </w:tblPrEx>
        <w:trPr>
          <w:trHeight w:val="416"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14:paraId="39366980">
            <w:pPr>
              <w:spacing w:before="120" w:beforeLines="50" w:line="360" w:lineRule="auto"/>
              <w:jc w:val="center"/>
              <w:rPr>
                <w:rFonts w:hint="eastAsia" w:ascii="宋体" w:hAnsi="宋体" w:cs="宋体"/>
                <w:color w:val="auto"/>
                <w:szCs w:val="21"/>
              </w:rPr>
            </w:pPr>
            <w:r>
              <w:rPr>
                <w:rFonts w:hint="eastAsia" w:ascii="宋体" w:hAnsi="宋体" w:cs="宋体"/>
                <w:color w:val="auto"/>
                <w:szCs w:val="21"/>
              </w:rPr>
              <w:t>3.2.3</w:t>
            </w:r>
          </w:p>
        </w:tc>
        <w:tc>
          <w:tcPr>
            <w:tcW w:w="1990" w:type="dxa"/>
            <w:tcBorders>
              <w:top w:val="single" w:color="auto" w:sz="4" w:space="0"/>
              <w:left w:val="single" w:color="auto" w:sz="4" w:space="0"/>
              <w:bottom w:val="single" w:color="auto" w:sz="4" w:space="0"/>
              <w:right w:val="single" w:color="auto" w:sz="4" w:space="0"/>
            </w:tcBorders>
            <w:vAlign w:val="center"/>
          </w:tcPr>
          <w:p w14:paraId="777A25C5">
            <w:pPr>
              <w:jc w:val="center"/>
              <w:rPr>
                <w:rFonts w:hint="eastAsia" w:ascii="宋体" w:hAnsi="宋体" w:cs="宋体"/>
                <w:color w:val="auto"/>
                <w:szCs w:val="21"/>
              </w:rPr>
            </w:pPr>
            <w:r>
              <w:rPr>
                <w:rFonts w:hint="eastAsia" w:ascii="宋体" w:hAnsi="宋体" w:cs="宋体"/>
                <w:color w:val="auto"/>
                <w:szCs w:val="21"/>
              </w:rPr>
              <w:t>结算方式</w:t>
            </w:r>
          </w:p>
        </w:tc>
        <w:tc>
          <w:tcPr>
            <w:tcW w:w="6379" w:type="dxa"/>
            <w:tcBorders>
              <w:top w:val="single" w:color="auto" w:sz="4" w:space="0"/>
              <w:left w:val="single" w:color="auto" w:sz="4" w:space="0"/>
              <w:bottom w:val="single" w:color="auto" w:sz="4" w:space="0"/>
              <w:right w:val="single" w:color="auto" w:sz="4" w:space="0"/>
            </w:tcBorders>
            <w:vAlign w:val="center"/>
          </w:tcPr>
          <w:p w14:paraId="2407E157">
            <w:pPr>
              <w:adjustRightInd w:val="0"/>
              <w:spacing w:before="120" w:beforeLines="50" w:line="360" w:lineRule="auto"/>
              <w:ind w:left="105" w:leftChars="50" w:right="105" w:rightChars="50"/>
              <w:rPr>
                <w:rFonts w:hint="eastAsia" w:ascii="宋体" w:hAnsi="宋体" w:cs="宋体"/>
                <w:bCs/>
                <w:color w:val="auto"/>
                <w:szCs w:val="21"/>
              </w:rPr>
            </w:pPr>
            <w:r>
              <w:rPr>
                <w:rFonts w:hint="eastAsia" w:ascii="宋体" w:hAnsi="宋体" w:cs="宋体"/>
                <w:bCs/>
                <w:color w:val="auto"/>
                <w:szCs w:val="21"/>
              </w:rPr>
              <w:t>结算时，按照成交供应商的成交价进行结算，合同履行期间，采购人不再支付其它任何费用。</w:t>
            </w:r>
          </w:p>
        </w:tc>
      </w:tr>
      <w:tr w14:paraId="52CFC6B6">
        <w:tblPrEx>
          <w:tblCellMar>
            <w:top w:w="0" w:type="dxa"/>
            <w:left w:w="0" w:type="dxa"/>
            <w:bottom w:w="0" w:type="dxa"/>
            <w:right w:w="0" w:type="dxa"/>
          </w:tblCellMar>
        </w:tblPrEx>
        <w:trPr>
          <w:trHeight w:val="416"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14:paraId="449851B1">
            <w:pPr>
              <w:jc w:val="center"/>
              <w:rPr>
                <w:rFonts w:hint="eastAsia" w:ascii="宋体" w:hAnsi="宋体" w:cs="宋体"/>
                <w:color w:val="auto"/>
                <w:szCs w:val="21"/>
              </w:rPr>
            </w:pPr>
            <w:r>
              <w:rPr>
                <w:rFonts w:hint="eastAsia" w:ascii="宋体" w:hAnsi="宋体"/>
                <w:color w:val="auto"/>
              </w:rPr>
              <w:t>3</w:t>
            </w:r>
            <w:r>
              <w:rPr>
                <w:rFonts w:ascii="宋体" w:hAnsi="宋体"/>
                <w:color w:val="auto"/>
              </w:rPr>
              <w:t>.2.4</w:t>
            </w:r>
          </w:p>
        </w:tc>
        <w:tc>
          <w:tcPr>
            <w:tcW w:w="1990" w:type="dxa"/>
            <w:tcBorders>
              <w:top w:val="single" w:color="auto" w:sz="4" w:space="0"/>
              <w:left w:val="single" w:color="auto" w:sz="4" w:space="0"/>
              <w:bottom w:val="single" w:color="auto" w:sz="4" w:space="0"/>
              <w:right w:val="single" w:color="auto" w:sz="4" w:space="0"/>
            </w:tcBorders>
            <w:vAlign w:val="center"/>
          </w:tcPr>
          <w:p w14:paraId="2282C559">
            <w:pPr>
              <w:jc w:val="center"/>
              <w:rPr>
                <w:rFonts w:hint="eastAsia" w:ascii="宋体" w:hAnsi="宋体" w:cs="宋体"/>
                <w:color w:val="auto"/>
                <w:szCs w:val="21"/>
              </w:rPr>
            </w:pPr>
            <w:r>
              <w:rPr>
                <w:rFonts w:hint="eastAsia" w:ascii="宋体" w:hAnsi="宋体"/>
                <w:color w:val="auto"/>
              </w:rPr>
              <w:t>二次报价</w:t>
            </w:r>
          </w:p>
        </w:tc>
        <w:tc>
          <w:tcPr>
            <w:tcW w:w="6379" w:type="dxa"/>
            <w:tcBorders>
              <w:top w:val="single" w:color="auto" w:sz="4" w:space="0"/>
              <w:left w:val="single" w:color="auto" w:sz="4" w:space="0"/>
              <w:bottom w:val="single" w:color="auto" w:sz="4" w:space="0"/>
              <w:right w:val="single" w:color="auto" w:sz="4" w:space="0"/>
            </w:tcBorders>
            <w:vAlign w:val="center"/>
          </w:tcPr>
          <w:p w14:paraId="0DD9BD34">
            <w:pPr>
              <w:spacing w:before="120" w:beforeLines="50" w:line="360" w:lineRule="auto"/>
              <w:ind w:left="105" w:leftChars="50" w:right="105" w:rightChars="50"/>
              <w:jc w:val="left"/>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1</w:t>
            </w:r>
            <w:r>
              <w:rPr>
                <w:rFonts w:asciiTheme="minorEastAsia" w:hAnsiTheme="minorEastAsia" w:eastAsiaTheme="minorEastAsia"/>
                <w:color w:val="auto"/>
                <w:szCs w:val="21"/>
              </w:rPr>
              <w:t>.</w:t>
            </w:r>
            <w:r>
              <w:rPr>
                <w:rFonts w:hint="eastAsia" w:asciiTheme="minorEastAsia" w:hAnsiTheme="minorEastAsia" w:eastAsiaTheme="minorEastAsia"/>
                <w:color w:val="auto"/>
                <w:szCs w:val="21"/>
              </w:rPr>
              <w:t>通过资格审查、符合性审查的供应商，获得二次报价（最终报价）的机会。</w:t>
            </w:r>
          </w:p>
          <w:p w14:paraId="753C2D82">
            <w:pPr>
              <w:spacing w:line="360" w:lineRule="auto"/>
              <w:ind w:left="105" w:leftChars="50" w:right="105" w:rightChars="50"/>
              <w:jc w:val="left"/>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2</w:t>
            </w:r>
            <w:r>
              <w:rPr>
                <w:rFonts w:asciiTheme="minorEastAsia" w:hAnsiTheme="minorEastAsia" w:eastAsiaTheme="minorEastAsia"/>
                <w:color w:val="auto"/>
                <w:szCs w:val="21"/>
              </w:rPr>
              <w:t>.</w:t>
            </w:r>
            <w:r>
              <w:rPr>
                <w:rFonts w:hint="eastAsia" w:asciiTheme="minorEastAsia" w:hAnsiTheme="minorEastAsia" w:eastAsiaTheme="minorEastAsia"/>
                <w:color w:val="auto"/>
                <w:szCs w:val="21"/>
              </w:rPr>
              <w:t>磋商小组在政府采购云平台上发起二次报价后，供应商从政府采购云平台上下载附件《二次报价表》，按照格式在规定的时间内进行填报并上传。</w:t>
            </w:r>
          </w:p>
          <w:p w14:paraId="20AAC838">
            <w:pPr>
              <w:spacing w:line="360" w:lineRule="auto"/>
              <w:ind w:left="105" w:leftChars="50" w:right="105" w:rightChars="50"/>
              <w:rPr>
                <w:rFonts w:hint="eastAsia" w:ascii="宋体" w:hAnsi="宋体" w:cs="宋体"/>
                <w:bCs/>
                <w:color w:val="auto"/>
                <w:szCs w:val="21"/>
              </w:rPr>
            </w:pPr>
            <w:r>
              <w:rPr>
                <w:b/>
                <w:bCs/>
                <w:color w:val="auto"/>
              </w:rPr>
              <w:t>注</w:t>
            </w:r>
            <w:r>
              <w:rPr>
                <w:rFonts w:hint="eastAsia"/>
                <w:b/>
                <w:bCs/>
                <w:color w:val="auto"/>
              </w:rPr>
              <w:t>：</w:t>
            </w:r>
            <w:r>
              <w:rPr>
                <w:rFonts w:asciiTheme="minorEastAsia" w:hAnsiTheme="minorEastAsia" w:eastAsiaTheme="minorEastAsia"/>
                <w:b/>
                <w:bCs/>
                <w:color w:val="auto"/>
              </w:rPr>
              <w:t>请供应商务必在规定的时间内进行二次报价</w:t>
            </w:r>
            <w:r>
              <w:rPr>
                <w:rFonts w:hint="eastAsia" w:asciiTheme="minorEastAsia" w:hAnsiTheme="minorEastAsia" w:eastAsiaTheme="minorEastAsia"/>
                <w:b/>
                <w:bCs/>
                <w:color w:val="auto"/>
              </w:rPr>
              <w:t>并</w:t>
            </w:r>
            <w:r>
              <w:rPr>
                <w:rFonts w:asciiTheme="minorEastAsia" w:hAnsiTheme="minorEastAsia" w:eastAsiaTheme="minorEastAsia"/>
                <w:b/>
                <w:bCs/>
                <w:color w:val="auto"/>
              </w:rPr>
              <w:t>上传经电子签章后的《二次报价表》，同时保持通讯工具畅通。若供应商未在规定的时间内进行二次报价或联系不上的，</w:t>
            </w:r>
            <w:r>
              <w:rPr>
                <w:rFonts w:hint="eastAsia" w:asciiTheme="minorEastAsia" w:hAnsiTheme="minorEastAsia" w:eastAsiaTheme="minorEastAsia"/>
                <w:b/>
                <w:bCs/>
                <w:color w:val="auto"/>
              </w:rPr>
              <w:t>磋商</w:t>
            </w:r>
            <w:r>
              <w:rPr>
                <w:rFonts w:asciiTheme="minorEastAsia" w:hAnsiTheme="minorEastAsia" w:eastAsiaTheme="minorEastAsia"/>
                <w:b/>
                <w:bCs/>
                <w:color w:val="auto"/>
              </w:rPr>
              <w:t>小组将视为其放弃二次报价，并将其响应文件中的</w:t>
            </w:r>
            <w:r>
              <w:rPr>
                <w:rFonts w:hint="eastAsia" w:asciiTheme="minorEastAsia" w:hAnsiTheme="minorEastAsia" w:eastAsiaTheme="minorEastAsia"/>
                <w:b/>
                <w:bCs/>
                <w:color w:val="auto"/>
              </w:rPr>
              <w:t>磋商报价</w:t>
            </w:r>
            <w:r>
              <w:rPr>
                <w:rFonts w:asciiTheme="minorEastAsia" w:hAnsiTheme="minorEastAsia" w:eastAsiaTheme="minorEastAsia"/>
                <w:b/>
                <w:bCs/>
                <w:color w:val="auto"/>
              </w:rPr>
              <w:t>作为其最后报价参与评审。</w:t>
            </w:r>
            <w:r>
              <w:rPr>
                <w:rFonts w:hint="eastAsia" w:asciiTheme="minorEastAsia" w:hAnsiTheme="minorEastAsia" w:eastAsiaTheme="minorEastAsia"/>
                <w:b/>
                <w:bCs/>
                <w:color w:val="auto"/>
              </w:rPr>
              <w:t>若因供应商自身原因导致出现以上情况的，供应商自行承担评审结果，与采购人、代理机构以及磋商小组无关。</w:t>
            </w:r>
          </w:p>
        </w:tc>
      </w:tr>
      <w:tr w14:paraId="472ACD17">
        <w:tblPrEx>
          <w:tblCellMar>
            <w:top w:w="0" w:type="dxa"/>
            <w:left w:w="0" w:type="dxa"/>
            <w:bottom w:w="0" w:type="dxa"/>
            <w:right w:w="0" w:type="dxa"/>
          </w:tblCellMar>
        </w:tblPrEx>
        <w:trPr>
          <w:trHeight w:val="462"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14:paraId="08072111">
            <w:pPr>
              <w:spacing w:before="120" w:beforeLines="50" w:line="360" w:lineRule="auto"/>
              <w:jc w:val="center"/>
              <w:rPr>
                <w:rFonts w:hint="eastAsia" w:ascii="宋体" w:hAnsi="宋体" w:cs="宋体"/>
                <w:color w:val="auto"/>
                <w:szCs w:val="21"/>
              </w:rPr>
            </w:pPr>
            <w:r>
              <w:rPr>
                <w:rFonts w:hint="eastAsia" w:ascii="宋体" w:hAnsi="宋体" w:cs="宋体"/>
                <w:color w:val="auto"/>
                <w:szCs w:val="21"/>
              </w:rPr>
              <w:t>3.3.1</w:t>
            </w:r>
          </w:p>
        </w:tc>
        <w:tc>
          <w:tcPr>
            <w:tcW w:w="1990" w:type="dxa"/>
            <w:tcBorders>
              <w:top w:val="single" w:color="auto" w:sz="4" w:space="0"/>
              <w:left w:val="single" w:color="auto" w:sz="4" w:space="0"/>
              <w:bottom w:val="single" w:color="auto" w:sz="4" w:space="0"/>
              <w:right w:val="single" w:color="auto" w:sz="4" w:space="0"/>
            </w:tcBorders>
            <w:vAlign w:val="center"/>
          </w:tcPr>
          <w:p w14:paraId="148C40B3">
            <w:pPr>
              <w:spacing w:before="120" w:beforeLines="50" w:line="360" w:lineRule="auto"/>
              <w:jc w:val="center"/>
              <w:rPr>
                <w:rFonts w:hint="eastAsia" w:ascii="宋体" w:hAnsi="宋体" w:cs="宋体"/>
                <w:color w:val="auto"/>
                <w:szCs w:val="21"/>
              </w:rPr>
            </w:pPr>
            <w:r>
              <w:rPr>
                <w:rFonts w:hint="eastAsia" w:ascii="宋体" w:hAnsi="宋体" w:cs="宋体"/>
                <w:color w:val="auto"/>
                <w:szCs w:val="21"/>
              </w:rPr>
              <w:t>磋商有效期</w:t>
            </w:r>
          </w:p>
        </w:tc>
        <w:tc>
          <w:tcPr>
            <w:tcW w:w="6379" w:type="dxa"/>
            <w:tcBorders>
              <w:top w:val="single" w:color="auto" w:sz="4" w:space="0"/>
              <w:left w:val="single" w:color="auto" w:sz="4" w:space="0"/>
              <w:bottom w:val="single" w:color="auto" w:sz="4" w:space="0"/>
              <w:right w:val="single" w:color="auto" w:sz="4" w:space="0"/>
            </w:tcBorders>
            <w:vAlign w:val="center"/>
          </w:tcPr>
          <w:p w14:paraId="639ADD5B">
            <w:pPr>
              <w:spacing w:before="120" w:beforeLines="50" w:line="360" w:lineRule="auto"/>
              <w:ind w:left="105" w:leftChars="50"/>
              <w:jc w:val="left"/>
              <w:rPr>
                <w:rFonts w:hint="eastAsia" w:ascii="宋体" w:hAnsi="宋体" w:cs="宋体"/>
                <w:color w:val="auto"/>
                <w:szCs w:val="21"/>
              </w:rPr>
            </w:pPr>
            <w:r>
              <w:rPr>
                <w:rFonts w:hint="eastAsia" w:ascii="宋体" w:hAnsi="宋体" w:cs="宋体"/>
                <w:color w:val="auto"/>
                <w:szCs w:val="21"/>
              </w:rPr>
              <w:t>60日历天（从提交响应文件截止之日算起）。</w:t>
            </w:r>
          </w:p>
        </w:tc>
      </w:tr>
      <w:tr w14:paraId="2BF02CE5">
        <w:tblPrEx>
          <w:tblCellMar>
            <w:top w:w="0" w:type="dxa"/>
            <w:left w:w="0" w:type="dxa"/>
            <w:bottom w:w="0" w:type="dxa"/>
            <w:right w:w="0" w:type="dxa"/>
          </w:tblCellMar>
        </w:tblPrEx>
        <w:trPr>
          <w:trHeight w:val="274"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14:paraId="500ACDD0">
            <w:pPr>
              <w:spacing w:before="120" w:beforeLines="50" w:line="360" w:lineRule="auto"/>
              <w:jc w:val="center"/>
              <w:rPr>
                <w:rFonts w:hint="eastAsia" w:ascii="宋体" w:hAnsi="宋体" w:cs="宋体"/>
                <w:color w:val="auto"/>
                <w:szCs w:val="21"/>
              </w:rPr>
            </w:pPr>
            <w:r>
              <w:rPr>
                <w:rFonts w:hint="eastAsia" w:ascii="宋体" w:hAnsi="宋体" w:cs="宋体"/>
                <w:color w:val="auto"/>
                <w:szCs w:val="21"/>
              </w:rPr>
              <w:t>3.4.1</w:t>
            </w:r>
          </w:p>
        </w:tc>
        <w:tc>
          <w:tcPr>
            <w:tcW w:w="1990" w:type="dxa"/>
            <w:tcBorders>
              <w:top w:val="single" w:color="auto" w:sz="4" w:space="0"/>
              <w:left w:val="single" w:color="auto" w:sz="4" w:space="0"/>
              <w:bottom w:val="single" w:color="auto" w:sz="4" w:space="0"/>
              <w:right w:val="single" w:color="auto" w:sz="4" w:space="0"/>
            </w:tcBorders>
            <w:vAlign w:val="center"/>
          </w:tcPr>
          <w:p w14:paraId="498671F7">
            <w:pPr>
              <w:pStyle w:val="29"/>
              <w:wordWrap w:val="0"/>
              <w:spacing w:before="120" w:beforeLines="50" w:line="360" w:lineRule="auto"/>
              <w:jc w:val="center"/>
              <w:rPr>
                <w:rFonts w:hint="eastAsia" w:hAnsi="宋体" w:cs="宋体"/>
                <w:color w:val="auto"/>
                <w:szCs w:val="21"/>
              </w:rPr>
            </w:pPr>
            <w:r>
              <w:rPr>
                <w:rFonts w:hint="eastAsia" w:hAnsi="宋体" w:cs="宋体"/>
                <w:color w:val="auto"/>
                <w:szCs w:val="21"/>
              </w:rPr>
              <w:t>磋商保证金</w:t>
            </w:r>
          </w:p>
        </w:tc>
        <w:tc>
          <w:tcPr>
            <w:tcW w:w="6379" w:type="dxa"/>
            <w:tcBorders>
              <w:top w:val="single" w:color="auto" w:sz="4" w:space="0"/>
              <w:left w:val="single" w:color="auto" w:sz="4" w:space="0"/>
              <w:bottom w:val="single" w:color="auto" w:sz="4" w:space="0"/>
              <w:right w:val="single" w:color="auto" w:sz="4" w:space="0"/>
            </w:tcBorders>
            <w:vAlign w:val="center"/>
          </w:tcPr>
          <w:p w14:paraId="45CEDC8F">
            <w:pPr>
              <w:spacing w:before="120" w:beforeLines="50" w:line="360" w:lineRule="auto"/>
              <w:ind w:left="105" w:leftChars="50" w:right="105" w:rightChars="50"/>
              <w:rPr>
                <w:rFonts w:hint="eastAsia" w:ascii="宋体" w:hAnsi="宋体" w:cs="宋体"/>
                <w:color w:val="auto"/>
                <w:szCs w:val="21"/>
              </w:rPr>
            </w:pPr>
            <w:r>
              <w:rPr>
                <w:rFonts w:hint="eastAsia" w:ascii="宋体" w:hAnsi="宋体" w:cs="宋体"/>
                <w:color w:val="auto"/>
                <w:szCs w:val="21"/>
              </w:rPr>
              <w:t>本项目不要求缴纳。</w:t>
            </w:r>
          </w:p>
        </w:tc>
      </w:tr>
      <w:tr w14:paraId="6950339E">
        <w:tblPrEx>
          <w:tblCellMar>
            <w:top w:w="0" w:type="dxa"/>
            <w:left w:w="0" w:type="dxa"/>
            <w:bottom w:w="0" w:type="dxa"/>
            <w:right w:w="0" w:type="dxa"/>
          </w:tblCellMar>
        </w:tblPrEx>
        <w:trPr>
          <w:trHeight w:val="567"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14:paraId="37F729F4">
            <w:pPr>
              <w:wordWrap w:val="0"/>
              <w:autoSpaceDE w:val="0"/>
              <w:autoSpaceDN w:val="0"/>
              <w:spacing w:before="60" w:after="60" w:line="360" w:lineRule="auto"/>
              <w:contextualSpacing/>
              <w:jc w:val="center"/>
              <w:rPr>
                <w:rFonts w:hint="eastAsia" w:ascii="宋体" w:hAnsi="宋体" w:cs="宋体"/>
                <w:color w:val="auto"/>
                <w:szCs w:val="21"/>
              </w:rPr>
            </w:pPr>
            <w:r>
              <w:rPr>
                <w:rFonts w:hint="eastAsia" w:ascii="宋体" w:hAnsi="宋体" w:cs="宋体"/>
                <w:color w:val="auto"/>
                <w:szCs w:val="21"/>
              </w:rPr>
              <w:t>3.5.1</w:t>
            </w:r>
          </w:p>
        </w:tc>
        <w:tc>
          <w:tcPr>
            <w:tcW w:w="1990" w:type="dxa"/>
            <w:tcBorders>
              <w:top w:val="single" w:color="auto" w:sz="4" w:space="0"/>
              <w:left w:val="single" w:color="auto" w:sz="4" w:space="0"/>
              <w:bottom w:val="single" w:color="auto" w:sz="4" w:space="0"/>
              <w:right w:val="single" w:color="auto" w:sz="4" w:space="0"/>
            </w:tcBorders>
            <w:vAlign w:val="center"/>
          </w:tcPr>
          <w:p w14:paraId="20114A89">
            <w:pPr>
              <w:spacing w:before="120" w:beforeLines="50" w:line="360" w:lineRule="auto"/>
              <w:jc w:val="center"/>
              <w:rPr>
                <w:rFonts w:hint="eastAsia" w:ascii="宋体" w:hAnsi="宋体" w:cs="宋体"/>
                <w:color w:val="auto"/>
                <w:szCs w:val="21"/>
              </w:rPr>
            </w:pPr>
            <w:r>
              <w:rPr>
                <w:rFonts w:hint="eastAsia" w:ascii="宋体" w:hAnsi="宋体" w:cs="宋体"/>
                <w:color w:val="auto"/>
                <w:szCs w:val="21"/>
              </w:rPr>
              <w:t>近年财务状况的</w:t>
            </w:r>
          </w:p>
          <w:p w14:paraId="52653BE4">
            <w:pPr>
              <w:spacing w:line="360" w:lineRule="auto"/>
              <w:jc w:val="center"/>
              <w:rPr>
                <w:rFonts w:hint="eastAsia" w:ascii="宋体" w:hAnsi="宋体" w:cs="宋体"/>
                <w:color w:val="auto"/>
                <w:szCs w:val="21"/>
              </w:rPr>
            </w:pPr>
            <w:r>
              <w:rPr>
                <w:rFonts w:hint="eastAsia" w:ascii="宋体" w:hAnsi="宋体" w:cs="宋体"/>
                <w:color w:val="auto"/>
                <w:szCs w:val="21"/>
              </w:rPr>
              <w:t>年份要求</w:t>
            </w:r>
          </w:p>
        </w:tc>
        <w:tc>
          <w:tcPr>
            <w:tcW w:w="6379" w:type="dxa"/>
            <w:tcBorders>
              <w:top w:val="single" w:color="auto" w:sz="4" w:space="0"/>
              <w:left w:val="single" w:color="auto" w:sz="4" w:space="0"/>
              <w:bottom w:val="single" w:color="auto" w:sz="4" w:space="0"/>
              <w:right w:val="single" w:color="auto" w:sz="4" w:space="0"/>
            </w:tcBorders>
            <w:vAlign w:val="center"/>
          </w:tcPr>
          <w:p w14:paraId="10B776AB">
            <w:pPr>
              <w:wordWrap w:val="0"/>
              <w:autoSpaceDE w:val="0"/>
              <w:autoSpaceDN w:val="0"/>
              <w:ind w:left="105" w:leftChars="50" w:firstLine="14" w:firstLineChars="7"/>
              <w:contextualSpacing/>
              <w:rPr>
                <w:rFonts w:hint="eastAsia" w:ascii="宋体" w:hAnsi="宋体" w:cs="宋体"/>
                <w:color w:val="auto"/>
                <w:szCs w:val="21"/>
              </w:rPr>
            </w:pPr>
            <w:r>
              <w:rPr>
                <w:rFonts w:hint="eastAsia" w:ascii="宋体" w:hAnsi="宋体" w:cs="宋体"/>
                <w:color w:val="auto"/>
                <w:szCs w:val="21"/>
              </w:rPr>
              <w:t>2025年度。</w:t>
            </w:r>
          </w:p>
        </w:tc>
      </w:tr>
      <w:tr w14:paraId="72CD4A45">
        <w:tblPrEx>
          <w:tblCellMar>
            <w:top w:w="0" w:type="dxa"/>
            <w:left w:w="0" w:type="dxa"/>
            <w:bottom w:w="0" w:type="dxa"/>
            <w:right w:w="0" w:type="dxa"/>
          </w:tblCellMar>
        </w:tblPrEx>
        <w:trPr>
          <w:trHeight w:val="274"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14:paraId="44D928C3">
            <w:pPr>
              <w:wordWrap w:val="0"/>
              <w:autoSpaceDE w:val="0"/>
              <w:autoSpaceDN w:val="0"/>
              <w:spacing w:before="60" w:after="60" w:line="360" w:lineRule="auto"/>
              <w:contextualSpacing/>
              <w:jc w:val="center"/>
              <w:rPr>
                <w:rFonts w:hint="eastAsia" w:ascii="宋体" w:hAnsi="宋体" w:cs="宋体"/>
                <w:color w:val="auto"/>
                <w:szCs w:val="21"/>
              </w:rPr>
            </w:pPr>
            <w:r>
              <w:rPr>
                <w:rFonts w:hint="eastAsia" w:ascii="宋体" w:hAnsi="宋体" w:cs="宋体"/>
                <w:color w:val="auto"/>
                <w:szCs w:val="21"/>
              </w:rPr>
              <w:t>3.5.2</w:t>
            </w:r>
          </w:p>
        </w:tc>
        <w:tc>
          <w:tcPr>
            <w:tcW w:w="1990" w:type="dxa"/>
            <w:tcBorders>
              <w:top w:val="single" w:color="auto" w:sz="4" w:space="0"/>
              <w:left w:val="single" w:color="auto" w:sz="4" w:space="0"/>
              <w:bottom w:val="single" w:color="auto" w:sz="4" w:space="0"/>
              <w:right w:val="single" w:color="auto" w:sz="4" w:space="0"/>
            </w:tcBorders>
            <w:vAlign w:val="center"/>
          </w:tcPr>
          <w:p w14:paraId="59FD9E0D">
            <w:pPr>
              <w:spacing w:before="120" w:beforeLines="50" w:line="360" w:lineRule="auto"/>
              <w:jc w:val="center"/>
              <w:rPr>
                <w:rFonts w:hint="eastAsia" w:ascii="宋体" w:hAnsi="宋体" w:cs="宋体"/>
                <w:color w:val="auto"/>
                <w:szCs w:val="21"/>
              </w:rPr>
            </w:pPr>
            <w:r>
              <w:rPr>
                <w:rFonts w:hint="eastAsia" w:ascii="宋体" w:hAnsi="宋体" w:cs="宋体"/>
                <w:color w:val="auto"/>
                <w:szCs w:val="21"/>
              </w:rPr>
              <w:t>没有重大违法记录的</w:t>
            </w:r>
          </w:p>
          <w:p w14:paraId="71A5310F">
            <w:pPr>
              <w:spacing w:line="360" w:lineRule="auto"/>
              <w:jc w:val="center"/>
              <w:rPr>
                <w:rFonts w:hint="eastAsia" w:ascii="宋体" w:hAnsi="宋体" w:cs="宋体"/>
                <w:color w:val="auto"/>
                <w:szCs w:val="21"/>
              </w:rPr>
            </w:pPr>
            <w:r>
              <w:rPr>
                <w:rFonts w:hint="eastAsia" w:ascii="宋体" w:hAnsi="宋体" w:cs="宋体"/>
                <w:color w:val="auto"/>
                <w:szCs w:val="21"/>
              </w:rPr>
              <w:t>年份要求</w:t>
            </w:r>
          </w:p>
        </w:tc>
        <w:tc>
          <w:tcPr>
            <w:tcW w:w="6379" w:type="dxa"/>
            <w:tcBorders>
              <w:top w:val="single" w:color="auto" w:sz="4" w:space="0"/>
              <w:left w:val="single" w:color="auto" w:sz="4" w:space="0"/>
              <w:bottom w:val="single" w:color="auto" w:sz="4" w:space="0"/>
              <w:right w:val="single" w:color="auto" w:sz="4" w:space="0"/>
            </w:tcBorders>
            <w:vAlign w:val="center"/>
          </w:tcPr>
          <w:p w14:paraId="69581292">
            <w:pPr>
              <w:pStyle w:val="20"/>
              <w:ind w:left="105" w:leftChars="50"/>
              <w:rPr>
                <w:rFonts w:hint="eastAsia" w:ascii="宋体" w:hAnsi="宋体" w:cs="宋体"/>
                <w:color w:val="auto"/>
                <w:szCs w:val="21"/>
              </w:rPr>
            </w:pPr>
            <w:r>
              <w:rPr>
                <w:rFonts w:hint="eastAsia" w:ascii="宋体" w:hAnsi="宋体" w:cs="宋体"/>
                <w:color w:val="auto"/>
              </w:rPr>
              <w:t>响应文件提交截止之日前三年内。</w:t>
            </w:r>
          </w:p>
        </w:tc>
      </w:tr>
      <w:tr w14:paraId="394366FA">
        <w:tblPrEx>
          <w:tblCellMar>
            <w:top w:w="0" w:type="dxa"/>
            <w:left w:w="0" w:type="dxa"/>
            <w:bottom w:w="0" w:type="dxa"/>
            <w:right w:w="0" w:type="dxa"/>
          </w:tblCellMar>
        </w:tblPrEx>
        <w:trPr>
          <w:trHeight w:val="567"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14:paraId="48A73419">
            <w:pPr>
              <w:spacing w:before="120" w:beforeLines="50" w:line="360" w:lineRule="auto"/>
              <w:jc w:val="center"/>
              <w:rPr>
                <w:rFonts w:hint="eastAsia" w:ascii="宋体" w:hAnsi="宋体" w:cs="宋体"/>
                <w:color w:val="auto"/>
                <w:szCs w:val="21"/>
              </w:rPr>
            </w:pPr>
            <w:r>
              <w:rPr>
                <w:rFonts w:hint="eastAsia" w:ascii="宋体" w:hAnsi="宋体" w:cs="宋体"/>
                <w:color w:val="auto"/>
                <w:szCs w:val="21"/>
              </w:rPr>
              <w:t>3.7.1</w:t>
            </w:r>
          </w:p>
        </w:tc>
        <w:tc>
          <w:tcPr>
            <w:tcW w:w="1990" w:type="dxa"/>
            <w:tcBorders>
              <w:top w:val="single" w:color="auto" w:sz="4" w:space="0"/>
              <w:left w:val="single" w:color="auto" w:sz="4" w:space="0"/>
              <w:bottom w:val="single" w:color="auto" w:sz="4" w:space="0"/>
              <w:right w:val="single" w:color="auto" w:sz="4" w:space="0"/>
            </w:tcBorders>
            <w:vAlign w:val="center"/>
          </w:tcPr>
          <w:p w14:paraId="518686D0">
            <w:pPr>
              <w:spacing w:before="120" w:beforeLines="50" w:line="360" w:lineRule="auto"/>
              <w:jc w:val="center"/>
              <w:rPr>
                <w:rFonts w:hint="eastAsia" w:ascii="宋体" w:hAnsi="宋体" w:cs="宋体"/>
                <w:color w:val="auto"/>
                <w:szCs w:val="21"/>
              </w:rPr>
            </w:pPr>
            <w:r>
              <w:rPr>
                <w:rFonts w:hint="eastAsia" w:ascii="宋体" w:hAnsi="宋体" w:cs="宋体"/>
                <w:color w:val="auto"/>
                <w:szCs w:val="21"/>
              </w:rPr>
              <w:t>响应文件的格式</w:t>
            </w:r>
          </w:p>
        </w:tc>
        <w:tc>
          <w:tcPr>
            <w:tcW w:w="6379" w:type="dxa"/>
            <w:tcBorders>
              <w:top w:val="single" w:color="auto" w:sz="4" w:space="0"/>
              <w:left w:val="single" w:color="auto" w:sz="4" w:space="0"/>
              <w:bottom w:val="single" w:color="auto" w:sz="4" w:space="0"/>
              <w:right w:val="single" w:color="auto" w:sz="4" w:space="0"/>
            </w:tcBorders>
            <w:vAlign w:val="center"/>
          </w:tcPr>
          <w:p w14:paraId="30EEAA56">
            <w:pPr>
              <w:spacing w:before="120" w:beforeLines="50" w:line="360" w:lineRule="auto"/>
              <w:ind w:left="105" w:leftChars="50" w:right="105" w:rightChars="50"/>
              <w:rPr>
                <w:rFonts w:hint="eastAsia" w:ascii="宋体" w:hAnsi="宋体" w:cs="宋体"/>
                <w:color w:val="auto"/>
                <w:szCs w:val="21"/>
              </w:rPr>
            </w:pPr>
            <w:r>
              <w:rPr>
                <w:rFonts w:hint="eastAsia" w:ascii="宋体" w:hAnsi="宋体" w:cs="宋体"/>
                <w:color w:val="auto"/>
                <w:szCs w:val="21"/>
              </w:rPr>
              <w:t>1.响应文件全部采用电子文档，必须使用政府采购云平台下载的政采云电子投标客户端制作，并进行电子签章及加密后上传至政府采购云平台。编制要求见《电子响应文件编制要求》。</w:t>
            </w:r>
          </w:p>
          <w:p w14:paraId="4F0977BD">
            <w:pPr>
              <w:spacing w:line="360" w:lineRule="auto"/>
              <w:ind w:left="105" w:leftChars="50" w:right="105" w:rightChars="50"/>
              <w:rPr>
                <w:rFonts w:hint="eastAsia" w:ascii="宋体" w:hAnsi="宋体" w:cs="宋体"/>
                <w:color w:val="auto"/>
                <w:szCs w:val="21"/>
              </w:rPr>
            </w:pPr>
            <w:r>
              <w:rPr>
                <w:rFonts w:hint="eastAsia" w:ascii="宋体" w:hAnsi="宋体" w:cs="宋体"/>
                <w:color w:val="auto"/>
                <w:szCs w:val="21"/>
              </w:rPr>
              <w:t>2.如供应商提交的响应文件不符合以上要求的或开标时无法读取导入或解密的，其响应文件将不予受理。</w:t>
            </w:r>
          </w:p>
        </w:tc>
      </w:tr>
      <w:tr w14:paraId="009A6A9E">
        <w:tblPrEx>
          <w:tblCellMar>
            <w:top w:w="0" w:type="dxa"/>
            <w:left w:w="0" w:type="dxa"/>
            <w:bottom w:w="0" w:type="dxa"/>
            <w:right w:w="0" w:type="dxa"/>
          </w:tblCellMar>
        </w:tblPrEx>
        <w:trPr>
          <w:trHeight w:val="132"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14:paraId="69D24C13">
            <w:pPr>
              <w:spacing w:before="120" w:beforeLines="50" w:line="360" w:lineRule="auto"/>
              <w:jc w:val="center"/>
              <w:rPr>
                <w:rFonts w:hint="eastAsia" w:ascii="宋体" w:hAnsi="宋体" w:cs="宋体"/>
                <w:color w:val="auto"/>
                <w:szCs w:val="21"/>
              </w:rPr>
            </w:pPr>
            <w:r>
              <w:rPr>
                <w:rFonts w:hint="eastAsia" w:ascii="宋体" w:hAnsi="宋体" w:cs="宋体"/>
                <w:color w:val="auto"/>
                <w:szCs w:val="21"/>
              </w:rPr>
              <w:t>3.7.3</w:t>
            </w:r>
          </w:p>
        </w:tc>
        <w:tc>
          <w:tcPr>
            <w:tcW w:w="1990" w:type="dxa"/>
            <w:tcBorders>
              <w:top w:val="single" w:color="auto" w:sz="4" w:space="0"/>
              <w:left w:val="single" w:color="auto" w:sz="4" w:space="0"/>
              <w:bottom w:val="single" w:color="auto" w:sz="4" w:space="0"/>
              <w:right w:val="single" w:color="auto" w:sz="4" w:space="0"/>
            </w:tcBorders>
            <w:vAlign w:val="center"/>
          </w:tcPr>
          <w:p w14:paraId="43BD6B24">
            <w:pPr>
              <w:spacing w:before="120" w:beforeLines="50" w:line="360" w:lineRule="auto"/>
              <w:jc w:val="center"/>
              <w:rPr>
                <w:rFonts w:hint="eastAsia" w:ascii="宋体" w:hAnsi="宋体" w:cs="宋体"/>
                <w:color w:val="auto"/>
                <w:szCs w:val="21"/>
              </w:rPr>
            </w:pPr>
            <w:r>
              <w:rPr>
                <w:rFonts w:hint="eastAsia" w:ascii="宋体" w:hAnsi="宋体" w:cs="宋体"/>
                <w:color w:val="auto"/>
                <w:szCs w:val="21"/>
              </w:rPr>
              <w:t>响应文件的签署</w:t>
            </w:r>
          </w:p>
        </w:tc>
        <w:tc>
          <w:tcPr>
            <w:tcW w:w="6379" w:type="dxa"/>
            <w:tcBorders>
              <w:top w:val="single" w:color="auto" w:sz="4" w:space="0"/>
              <w:left w:val="single" w:color="auto" w:sz="4" w:space="0"/>
              <w:bottom w:val="single" w:color="auto" w:sz="4" w:space="0"/>
              <w:right w:val="single" w:color="auto" w:sz="4" w:space="0"/>
            </w:tcBorders>
          </w:tcPr>
          <w:p w14:paraId="54C40FAE">
            <w:pPr>
              <w:spacing w:before="120" w:beforeLines="50" w:line="360" w:lineRule="auto"/>
              <w:ind w:left="105" w:leftChars="50" w:right="105" w:rightChars="50"/>
              <w:rPr>
                <w:rFonts w:hint="eastAsia" w:ascii="宋体" w:hAnsi="宋体" w:cs="宋体"/>
                <w:color w:val="auto"/>
                <w:szCs w:val="21"/>
              </w:rPr>
            </w:pPr>
            <w:r>
              <w:rPr>
                <w:rFonts w:hint="eastAsia" w:ascii="宋体" w:hAnsi="宋体" w:cs="宋体"/>
                <w:color w:val="auto"/>
                <w:kern w:val="0"/>
                <w:szCs w:val="21"/>
              </w:rPr>
              <w:t>按照第四章“响应文件格式”的要求，采用单位和个人数字证书电子签章，需要企业、法定代表人电子签章。在需要电子签章的地方进行电子签章，无需逐页电子签章。</w:t>
            </w:r>
          </w:p>
        </w:tc>
      </w:tr>
      <w:tr w14:paraId="23705FB4">
        <w:tblPrEx>
          <w:tblCellMar>
            <w:top w:w="0" w:type="dxa"/>
            <w:left w:w="0" w:type="dxa"/>
            <w:bottom w:w="0" w:type="dxa"/>
            <w:right w:w="0" w:type="dxa"/>
          </w:tblCellMar>
        </w:tblPrEx>
        <w:trPr>
          <w:trHeight w:val="411"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14:paraId="3EF8F229">
            <w:pPr>
              <w:jc w:val="center"/>
              <w:rPr>
                <w:rFonts w:hint="eastAsia" w:ascii="宋体" w:hAnsi="宋体" w:cs="宋体"/>
                <w:color w:val="auto"/>
              </w:rPr>
            </w:pPr>
            <w:r>
              <w:rPr>
                <w:rFonts w:hint="eastAsia" w:ascii="宋体" w:hAnsi="宋体" w:cs="宋体"/>
                <w:color w:val="auto"/>
              </w:rPr>
              <w:t>4.1.1</w:t>
            </w:r>
          </w:p>
        </w:tc>
        <w:tc>
          <w:tcPr>
            <w:tcW w:w="1990" w:type="dxa"/>
            <w:tcBorders>
              <w:top w:val="single" w:color="auto" w:sz="4" w:space="0"/>
              <w:left w:val="single" w:color="auto" w:sz="4" w:space="0"/>
              <w:bottom w:val="single" w:color="auto" w:sz="4" w:space="0"/>
              <w:right w:val="single" w:color="auto" w:sz="4" w:space="0"/>
            </w:tcBorders>
            <w:vAlign w:val="center"/>
          </w:tcPr>
          <w:p w14:paraId="6F6EE2AA">
            <w:pPr>
              <w:spacing w:before="120" w:beforeLines="50" w:line="360" w:lineRule="auto"/>
              <w:jc w:val="center"/>
              <w:rPr>
                <w:rFonts w:hint="eastAsia" w:ascii="宋体" w:hAnsi="宋体" w:cs="宋体"/>
                <w:color w:val="auto"/>
                <w:szCs w:val="21"/>
              </w:rPr>
            </w:pPr>
            <w:r>
              <w:rPr>
                <w:rFonts w:hint="eastAsia" w:ascii="宋体" w:hAnsi="宋体" w:cs="宋体"/>
                <w:color w:val="auto"/>
                <w:szCs w:val="21"/>
              </w:rPr>
              <w:t>响应文件的加密</w:t>
            </w:r>
          </w:p>
        </w:tc>
        <w:tc>
          <w:tcPr>
            <w:tcW w:w="6379" w:type="dxa"/>
            <w:tcBorders>
              <w:top w:val="single" w:color="auto" w:sz="4" w:space="0"/>
              <w:left w:val="single" w:color="auto" w:sz="4" w:space="0"/>
              <w:bottom w:val="single" w:color="auto" w:sz="4" w:space="0"/>
              <w:right w:val="single" w:color="auto" w:sz="4" w:space="0"/>
            </w:tcBorders>
          </w:tcPr>
          <w:p w14:paraId="0BFA7BE9">
            <w:pPr>
              <w:spacing w:before="120" w:beforeLines="50" w:line="360" w:lineRule="auto"/>
              <w:ind w:left="105" w:leftChars="50"/>
              <w:jc w:val="left"/>
              <w:rPr>
                <w:rFonts w:hint="eastAsia" w:ascii="宋体" w:hAnsi="宋体" w:cs="宋体"/>
                <w:color w:val="auto"/>
                <w:szCs w:val="21"/>
              </w:rPr>
            </w:pPr>
            <w:r>
              <w:rPr>
                <w:rFonts w:hint="eastAsia" w:ascii="宋体" w:hAnsi="宋体" w:cs="宋体"/>
                <w:color w:val="auto"/>
                <w:szCs w:val="21"/>
              </w:rPr>
              <w:t>网上提交的响应文件应使用数字证书（CA）进行加密。</w:t>
            </w:r>
          </w:p>
        </w:tc>
      </w:tr>
      <w:tr w14:paraId="1218EF94">
        <w:tblPrEx>
          <w:tblCellMar>
            <w:top w:w="0" w:type="dxa"/>
            <w:left w:w="0" w:type="dxa"/>
            <w:bottom w:w="0" w:type="dxa"/>
            <w:right w:w="0" w:type="dxa"/>
          </w:tblCellMar>
        </w:tblPrEx>
        <w:trPr>
          <w:trHeight w:val="132"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14:paraId="29144FDD">
            <w:pPr>
              <w:wordWrap w:val="0"/>
              <w:autoSpaceDE w:val="0"/>
              <w:autoSpaceDN w:val="0"/>
              <w:spacing w:before="60" w:after="60" w:line="360" w:lineRule="auto"/>
              <w:contextualSpacing/>
              <w:jc w:val="center"/>
              <w:rPr>
                <w:rFonts w:hint="eastAsia" w:ascii="宋体" w:hAnsi="宋体" w:cs="宋体"/>
                <w:color w:val="auto"/>
                <w:szCs w:val="21"/>
              </w:rPr>
            </w:pPr>
            <w:r>
              <w:rPr>
                <w:rFonts w:hint="eastAsia" w:ascii="宋体" w:hAnsi="宋体" w:cs="宋体"/>
                <w:color w:val="auto"/>
                <w:szCs w:val="21"/>
              </w:rPr>
              <w:t>4.2.1</w:t>
            </w:r>
          </w:p>
        </w:tc>
        <w:tc>
          <w:tcPr>
            <w:tcW w:w="1990" w:type="dxa"/>
            <w:tcBorders>
              <w:top w:val="single" w:color="auto" w:sz="4" w:space="0"/>
              <w:left w:val="single" w:color="auto" w:sz="4" w:space="0"/>
              <w:bottom w:val="single" w:color="auto" w:sz="4" w:space="0"/>
              <w:right w:val="single" w:color="auto" w:sz="4" w:space="0"/>
            </w:tcBorders>
            <w:vAlign w:val="center"/>
          </w:tcPr>
          <w:p w14:paraId="0B48921A">
            <w:pPr>
              <w:wordWrap w:val="0"/>
              <w:autoSpaceDE w:val="0"/>
              <w:autoSpaceDN w:val="0"/>
              <w:spacing w:before="120" w:after="60" w:line="360" w:lineRule="auto"/>
              <w:contextualSpacing/>
              <w:jc w:val="center"/>
              <w:rPr>
                <w:rFonts w:hint="eastAsia" w:ascii="宋体" w:hAnsi="宋体" w:cs="宋体"/>
                <w:color w:val="auto"/>
                <w:szCs w:val="21"/>
              </w:rPr>
            </w:pPr>
            <w:r>
              <w:rPr>
                <w:rFonts w:hint="eastAsia" w:ascii="宋体" w:hAnsi="宋体" w:cs="宋体"/>
                <w:color w:val="auto"/>
                <w:szCs w:val="21"/>
              </w:rPr>
              <w:t>响应文件的提交</w:t>
            </w:r>
          </w:p>
        </w:tc>
        <w:tc>
          <w:tcPr>
            <w:tcW w:w="6379" w:type="dxa"/>
            <w:tcBorders>
              <w:top w:val="single" w:color="auto" w:sz="4" w:space="0"/>
              <w:left w:val="single" w:color="auto" w:sz="4" w:space="0"/>
              <w:bottom w:val="single" w:color="auto" w:sz="4" w:space="0"/>
              <w:right w:val="single" w:color="auto" w:sz="4" w:space="0"/>
            </w:tcBorders>
          </w:tcPr>
          <w:p w14:paraId="7A19A77D">
            <w:pPr>
              <w:widowControl/>
              <w:wordWrap w:val="0"/>
              <w:spacing w:before="120" w:beforeLines="50" w:line="360" w:lineRule="auto"/>
              <w:ind w:left="105" w:leftChars="50" w:right="105" w:rightChars="50"/>
              <w:jc w:val="left"/>
              <w:rPr>
                <w:rFonts w:hint="eastAsia" w:ascii="宋体" w:hAnsi="宋体" w:cs="宋体"/>
                <w:color w:val="auto"/>
                <w:szCs w:val="21"/>
              </w:rPr>
            </w:pPr>
            <w:r>
              <w:rPr>
                <w:rFonts w:hint="eastAsia" w:ascii="宋体" w:hAnsi="宋体" w:cs="宋体"/>
                <w:color w:val="auto"/>
                <w:szCs w:val="21"/>
              </w:rPr>
              <w:t>本项目为全流程电子化项目。凡有意参与磋商者，请自行前往政府采购云平台“客户端&amp;驱动下载”网页（网址：https：//customer.zcygov.cn/CA-driver-download?utm=web-ca-front.3ddc8fbb.0.0.91c6cff0db1311ec8cfbc9f613d30204）下载并安装“政采云投标客户端”。供应商按照采购文件和政府采购云平台的要求编制、加密电子响应文件，响应文件在提交截止时间前未完成上传的，视为撤回响应文件。供应商在政府采购云平台提交电子版响应文件时，请填写参与远程开标活动经办人的联系方式。</w:t>
            </w:r>
          </w:p>
          <w:p w14:paraId="453B6184">
            <w:pPr>
              <w:widowControl/>
              <w:wordWrap w:val="0"/>
              <w:spacing w:line="360" w:lineRule="auto"/>
              <w:ind w:left="105" w:leftChars="50" w:right="105" w:rightChars="50"/>
              <w:jc w:val="left"/>
              <w:rPr>
                <w:rFonts w:hint="eastAsia" w:ascii="宋体" w:hAnsi="宋体" w:cs="宋体"/>
                <w:color w:val="auto"/>
                <w:szCs w:val="21"/>
              </w:rPr>
            </w:pPr>
            <w:r>
              <w:rPr>
                <w:rFonts w:hint="eastAsia" w:ascii="宋体" w:hAnsi="宋体" w:cs="宋体"/>
                <w:bCs/>
                <w:color w:val="auto"/>
                <w:szCs w:val="21"/>
              </w:rPr>
              <w:t>注：供应商应在响应文件提交截止时间前完成电子响应文件的上传、提交，响应文件提交截止时间前可以补充、修改或者撤回电子响应文件。补充或者修改响应文件的，应当先行撤回原文件，补充、修改后重新上传、递交。响应文件提交截止时间前未完成上传、递交的，视为撤回响应文件。响应文件提交截止时间以后上传提交的，视为无效。</w:t>
            </w:r>
          </w:p>
        </w:tc>
      </w:tr>
      <w:tr w14:paraId="7BE25214">
        <w:tblPrEx>
          <w:tblCellMar>
            <w:top w:w="0" w:type="dxa"/>
            <w:left w:w="0" w:type="dxa"/>
            <w:bottom w:w="0" w:type="dxa"/>
            <w:right w:w="0" w:type="dxa"/>
          </w:tblCellMar>
        </w:tblPrEx>
        <w:trPr>
          <w:trHeight w:val="567"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14:paraId="61ABC672">
            <w:pPr>
              <w:spacing w:before="120" w:beforeLines="50" w:line="360" w:lineRule="auto"/>
              <w:jc w:val="center"/>
              <w:rPr>
                <w:rFonts w:hint="eastAsia" w:ascii="宋体" w:hAnsi="宋体" w:cs="宋体"/>
                <w:color w:val="auto"/>
                <w:szCs w:val="21"/>
              </w:rPr>
            </w:pPr>
            <w:r>
              <w:rPr>
                <w:rFonts w:hint="eastAsia" w:ascii="宋体" w:hAnsi="宋体" w:cs="宋体"/>
                <w:color w:val="auto"/>
                <w:szCs w:val="21"/>
              </w:rPr>
              <w:t>4.2.2</w:t>
            </w:r>
          </w:p>
        </w:tc>
        <w:tc>
          <w:tcPr>
            <w:tcW w:w="1990" w:type="dxa"/>
            <w:tcBorders>
              <w:top w:val="single" w:color="auto" w:sz="4" w:space="0"/>
              <w:left w:val="single" w:color="auto" w:sz="4" w:space="0"/>
              <w:bottom w:val="single" w:color="auto" w:sz="4" w:space="0"/>
              <w:right w:val="single" w:color="auto" w:sz="4" w:space="0"/>
            </w:tcBorders>
            <w:vAlign w:val="center"/>
          </w:tcPr>
          <w:p w14:paraId="15E900C6">
            <w:pPr>
              <w:spacing w:before="120" w:beforeLines="50" w:line="360" w:lineRule="auto"/>
              <w:jc w:val="center"/>
              <w:rPr>
                <w:rFonts w:hint="eastAsia" w:ascii="宋体" w:hAnsi="宋体" w:cs="宋体"/>
                <w:color w:val="auto"/>
                <w:szCs w:val="21"/>
              </w:rPr>
            </w:pPr>
            <w:r>
              <w:rPr>
                <w:rFonts w:hint="eastAsia" w:ascii="宋体" w:hAnsi="宋体" w:cs="宋体"/>
                <w:color w:val="auto"/>
                <w:szCs w:val="21"/>
              </w:rPr>
              <w:t>是否退还响应文件</w:t>
            </w:r>
          </w:p>
        </w:tc>
        <w:tc>
          <w:tcPr>
            <w:tcW w:w="6379" w:type="dxa"/>
            <w:tcBorders>
              <w:top w:val="single" w:color="auto" w:sz="4" w:space="0"/>
              <w:left w:val="single" w:color="auto" w:sz="4" w:space="0"/>
              <w:bottom w:val="single" w:color="auto" w:sz="4" w:space="0"/>
              <w:right w:val="single" w:color="auto" w:sz="4" w:space="0"/>
            </w:tcBorders>
            <w:vAlign w:val="center"/>
          </w:tcPr>
          <w:p w14:paraId="26CF5AFD">
            <w:pPr>
              <w:spacing w:before="120" w:beforeLines="50" w:line="360" w:lineRule="auto"/>
              <w:ind w:firstLine="105" w:firstLineChars="50"/>
              <w:rPr>
                <w:rFonts w:hint="eastAsia" w:ascii="宋体" w:hAnsi="宋体" w:cs="宋体"/>
                <w:color w:val="auto"/>
                <w:szCs w:val="21"/>
              </w:rPr>
            </w:pPr>
            <w:r>
              <w:rPr>
                <w:rFonts w:hint="eastAsia" w:ascii="宋体" w:hAnsi="宋体" w:cs="宋体"/>
                <w:color w:val="auto"/>
                <w:szCs w:val="21"/>
              </w:rPr>
              <w:t>否。</w:t>
            </w:r>
          </w:p>
        </w:tc>
      </w:tr>
      <w:tr w14:paraId="0D7030B3">
        <w:tblPrEx>
          <w:tblCellMar>
            <w:top w:w="0" w:type="dxa"/>
            <w:left w:w="0" w:type="dxa"/>
            <w:bottom w:w="0" w:type="dxa"/>
            <w:right w:w="0" w:type="dxa"/>
          </w:tblCellMar>
        </w:tblPrEx>
        <w:trPr>
          <w:trHeight w:val="58"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14:paraId="3473D5FB">
            <w:pPr>
              <w:spacing w:before="120" w:beforeLines="50" w:line="360" w:lineRule="auto"/>
              <w:jc w:val="center"/>
              <w:rPr>
                <w:rFonts w:hint="eastAsia" w:ascii="宋体" w:hAnsi="宋体" w:cs="宋体"/>
                <w:color w:val="auto"/>
                <w:szCs w:val="21"/>
              </w:rPr>
            </w:pPr>
            <w:r>
              <w:rPr>
                <w:rFonts w:hint="eastAsia" w:ascii="宋体" w:hAnsi="宋体" w:cs="宋体"/>
                <w:color w:val="auto"/>
                <w:szCs w:val="21"/>
              </w:rPr>
              <w:t>5.1</w:t>
            </w:r>
          </w:p>
        </w:tc>
        <w:tc>
          <w:tcPr>
            <w:tcW w:w="1990" w:type="dxa"/>
            <w:tcBorders>
              <w:top w:val="single" w:color="auto" w:sz="4" w:space="0"/>
              <w:left w:val="single" w:color="auto" w:sz="4" w:space="0"/>
              <w:bottom w:val="single" w:color="auto" w:sz="4" w:space="0"/>
              <w:right w:val="single" w:color="auto" w:sz="4" w:space="0"/>
            </w:tcBorders>
            <w:vAlign w:val="center"/>
          </w:tcPr>
          <w:p w14:paraId="5AE4DCD1">
            <w:pPr>
              <w:spacing w:before="120" w:beforeLines="50" w:line="360" w:lineRule="auto"/>
              <w:jc w:val="center"/>
              <w:rPr>
                <w:rFonts w:hint="eastAsia" w:ascii="宋体" w:hAnsi="宋体" w:cs="宋体"/>
                <w:color w:val="auto"/>
                <w:szCs w:val="21"/>
              </w:rPr>
            </w:pPr>
            <w:r>
              <w:rPr>
                <w:rFonts w:hint="eastAsia" w:ascii="宋体" w:hAnsi="宋体" w:cs="宋体"/>
                <w:color w:val="auto"/>
                <w:szCs w:val="21"/>
              </w:rPr>
              <w:t>开标时间和地点</w:t>
            </w:r>
          </w:p>
        </w:tc>
        <w:tc>
          <w:tcPr>
            <w:tcW w:w="6379" w:type="dxa"/>
            <w:tcBorders>
              <w:top w:val="single" w:color="auto" w:sz="4" w:space="0"/>
              <w:left w:val="single" w:color="auto" w:sz="4" w:space="0"/>
              <w:bottom w:val="single" w:color="auto" w:sz="4" w:space="0"/>
              <w:right w:val="single" w:color="auto" w:sz="4" w:space="0"/>
            </w:tcBorders>
          </w:tcPr>
          <w:p w14:paraId="18F82794">
            <w:pPr>
              <w:spacing w:before="120" w:beforeLines="50" w:line="360" w:lineRule="auto"/>
              <w:ind w:left="105" w:leftChars="50" w:right="105" w:rightChars="50"/>
              <w:rPr>
                <w:rFonts w:hint="eastAsia" w:ascii="宋体" w:hAnsi="宋体" w:cs="宋体"/>
                <w:color w:val="auto"/>
                <w:szCs w:val="21"/>
              </w:rPr>
            </w:pPr>
            <w:r>
              <w:rPr>
                <w:rFonts w:hint="eastAsia" w:ascii="宋体" w:hAnsi="宋体" w:cs="宋体"/>
                <w:color w:val="auto"/>
                <w:szCs w:val="21"/>
              </w:rPr>
              <w:t>开标时间：同响应文件提交的截止时间；</w:t>
            </w:r>
          </w:p>
          <w:p w14:paraId="03131097">
            <w:pPr>
              <w:autoSpaceDE w:val="0"/>
              <w:autoSpaceDN w:val="0"/>
              <w:spacing w:before="60" w:after="60" w:line="360" w:lineRule="auto"/>
              <w:ind w:left="105" w:leftChars="50" w:right="105" w:rightChars="50" w:firstLine="14" w:firstLineChars="7"/>
              <w:contextualSpacing/>
              <w:rPr>
                <w:rFonts w:hint="eastAsia" w:ascii="宋体" w:hAnsi="宋体" w:cs="宋体"/>
                <w:color w:val="auto"/>
                <w:szCs w:val="21"/>
              </w:rPr>
            </w:pPr>
            <w:r>
              <w:rPr>
                <w:rFonts w:hint="eastAsia" w:ascii="宋体" w:hAnsi="宋体" w:cs="宋体"/>
                <w:color w:val="auto"/>
                <w:szCs w:val="21"/>
              </w:rPr>
              <w:t>开标地点：云南省昆明市五华区王筇路49号五华科创大厦14楼1407开评标室。</w:t>
            </w:r>
          </w:p>
        </w:tc>
      </w:tr>
      <w:tr w14:paraId="68BBF768">
        <w:tblPrEx>
          <w:tblCellMar>
            <w:top w:w="0" w:type="dxa"/>
            <w:left w:w="0" w:type="dxa"/>
            <w:bottom w:w="0" w:type="dxa"/>
            <w:right w:w="0" w:type="dxa"/>
          </w:tblCellMar>
        </w:tblPrEx>
        <w:trPr>
          <w:trHeight w:val="274"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14:paraId="2408ED37">
            <w:pPr>
              <w:spacing w:before="120" w:beforeLines="50" w:line="360" w:lineRule="auto"/>
              <w:jc w:val="center"/>
              <w:rPr>
                <w:rFonts w:hint="eastAsia" w:ascii="宋体" w:hAnsi="宋体" w:cs="宋体"/>
                <w:color w:val="auto"/>
                <w:szCs w:val="21"/>
              </w:rPr>
            </w:pPr>
            <w:r>
              <w:rPr>
                <w:rFonts w:hint="eastAsia" w:ascii="宋体" w:hAnsi="宋体" w:cs="宋体"/>
                <w:color w:val="auto"/>
                <w:szCs w:val="21"/>
              </w:rPr>
              <w:t>5.2</w:t>
            </w:r>
          </w:p>
        </w:tc>
        <w:tc>
          <w:tcPr>
            <w:tcW w:w="1990" w:type="dxa"/>
            <w:tcBorders>
              <w:top w:val="single" w:color="auto" w:sz="4" w:space="0"/>
              <w:left w:val="single" w:color="auto" w:sz="4" w:space="0"/>
              <w:bottom w:val="single" w:color="auto" w:sz="4" w:space="0"/>
              <w:right w:val="single" w:color="auto" w:sz="4" w:space="0"/>
            </w:tcBorders>
            <w:vAlign w:val="center"/>
          </w:tcPr>
          <w:p w14:paraId="05812B94">
            <w:pPr>
              <w:spacing w:before="120" w:beforeLines="50" w:line="360" w:lineRule="auto"/>
              <w:jc w:val="center"/>
              <w:rPr>
                <w:rFonts w:hint="eastAsia" w:ascii="宋体" w:hAnsi="宋体" w:cs="宋体"/>
                <w:color w:val="auto"/>
                <w:szCs w:val="21"/>
              </w:rPr>
            </w:pPr>
            <w:r>
              <w:rPr>
                <w:rFonts w:hint="eastAsia" w:ascii="宋体" w:hAnsi="宋体" w:cs="宋体"/>
                <w:color w:val="auto"/>
                <w:szCs w:val="21"/>
              </w:rPr>
              <w:t>开标程序</w:t>
            </w:r>
          </w:p>
        </w:tc>
        <w:tc>
          <w:tcPr>
            <w:tcW w:w="6379" w:type="dxa"/>
            <w:tcBorders>
              <w:top w:val="single" w:color="auto" w:sz="4" w:space="0"/>
              <w:left w:val="single" w:color="auto" w:sz="4" w:space="0"/>
              <w:bottom w:val="single" w:color="auto" w:sz="4" w:space="0"/>
              <w:right w:val="single" w:color="auto" w:sz="4" w:space="0"/>
            </w:tcBorders>
          </w:tcPr>
          <w:p w14:paraId="47718303">
            <w:pPr>
              <w:spacing w:before="120" w:beforeLines="50" w:line="360" w:lineRule="auto"/>
              <w:ind w:left="105" w:leftChars="50" w:right="105" w:rightChars="50"/>
              <w:jc w:val="left"/>
              <w:rPr>
                <w:rFonts w:hint="eastAsia" w:ascii="宋体" w:hAnsi="宋体" w:cs="宋体"/>
                <w:color w:val="auto"/>
                <w:szCs w:val="21"/>
              </w:rPr>
            </w:pPr>
            <w:r>
              <w:rPr>
                <w:rFonts w:hint="eastAsia" w:ascii="宋体" w:hAnsi="宋体" w:cs="宋体"/>
                <w:color w:val="auto"/>
                <w:szCs w:val="21"/>
              </w:rPr>
              <w:t>本项目的开标程序：至响应文件提交截止时间止，采购代理机构的工作人员登录进入政府采购云平台，按照政府采购云平台的操作流程完成开标程序。</w:t>
            </w:r>
          </w:p>
        </w:tc>
      </w:tr>
      <w:tr w14:paraId="3050B404">
        <w:tblPrEx>
          <w:tblCellMar>
            <w:top w:w="0" w:type="dxa"/>
            <w:left w:w="0" w:type="dxa"/>
            <w:bottom w:w="0" w:type="dxa"/>
            <w:right w:w="0" w:type="dxa"/>
          </w:tblCellMar>
        </w:tblPrEx>
        <w:trPr>
          <w:trHeight w:val="274"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14:paraId="0E0F5183">
            <w:pPr>
              <w:spacing w:before="120" w:beforeLines="50" w:line="360" w:lineRule="auto"/>
              <w:jc w:val="center"/>
              <w:rPr>
                <w:rFonts w:hint="eastAsia" w:ascii="宋体" w:hAnsi="宋体" w:cs="宋体"/>
                <w:color w:val="auto"/>
                <w:szCs w:val="21"/>
              </w:rPr>
            </w:pPr>
            <w:r>
              <w:rPr>
                <w:rFonts w:hint="eastAsia" w:ascii="宋体" w:hAnsi="宋体" w:cs="宋体"/>
                <w:color w:val="auto"/>
                <w:szCs w:val="21"/>
              </w:rPr>
              <w:t>5.3</w:t>
            </w:r>
          </w:p>
        </w:tc>
        <w:tc>
          <w:tcPr>
            <w:tcW w:w="1990" w:type="dxa"/>
            <w:tcBorders>
              <w:top w:val="single" w:color="auto" w:sz="4" w:space="0"/>
              <w:left w:val="single" w:color="auto" w:sz="4" w:space="0"/>
              <w:bottom w:val="single" w:color="auto" w:sz="4" w:space="0"/>
              <w:right w:val="single" w:color="auto" w:sz="4" w:space="0"/>
            </w:tcBorders>
            <w:vAlign w:val="center"/>
          </w:tcPr>
          <w:p w14:paraId="7CB6C44F">
            <w:pPr>
              <w:spacing w:before="120" w:beforeLines="50" w:line="360" w:lineRule="auto"/>
              <w:jc w:val="center"/>
              <w:rPr>
                <w:rFonts w:hint="eastAsia" w:ascii="宋体" w:hAnsi="宋体" w:cs="宋体"/>
                <w:color w:val="auto"/>
                <w:szCs w:val="21"/>
              </w:rPr>
            </w:pPr>
            <w:r>
              <w:rPr>
                <w:rFonts w:hint="eastAsia" w:ascii="宋体" w:hAnsi="宋体" w:cs="宋体"/>
                <w:color w:val="auto"/>
                <w:szCs w:val="21"/>
              </w:rPr>
              <w:t>响应文件的解密方式</w:t>
            </w:r>
          </w:p>
        </w:tc>
        <w:tc>
          <w:tcPr>
            <w:tcW w:w="6379" w:type="dxa"/>
            <w:tcBorders>
              <w:top w:val="single" w:color="auto" w:sz="4" w:space="0"/>
              <w:left w:val="single" w:color="auto" w:sz="4" w:space="0"/>
              <w:bottom w:val="single" w:color="auto" w:sz="4" w:space="0"/>
              <w:right w:val="single" w:color="auto" w:sz="4" w:space="0"/>
            </w:tcBorders>
          </w:tcPr>
          <w:p w14:paraId="0A9613F9">
            <w:pPr>
              <w:spacing w:before="120" w:beforeLines="50" w:line="360" w:lineRule="auto"/>
              <w:ind w:left="105" w:leftChars="50" w:right="105" w:rightChars="50"/>
              <w:jc w:val="left"/>
              <w:rPr>
                <w:rFonts w:hint="eastAsia" w:ascii="宋体" w:hAnsi="宋体" w:cs="宋体"/>
                <w:color w:val="auto"/>
                <w:szCs w:val="21"/>
              </w:rPr>
            </w:pPr>
            <w:r>
              <w:rPr>
                <w:rFonts w:hint="eastAsia" w:ascii="宋体" w:hAnsi="宋体" w:cs="宋体"/>
                <w:color w:val="auto"/>
                <w:szCs w:val="21"/>
              </w:rPr>
              <w:t>在线解密。供应商须提前在自有场地配置有音视频通话（带摄像头及话筒的电脑）功能的相应设备及稳定网络的环境下，按政府采购云平台开标大厅中的提示完成响应文件的解密。</w:t>
            </w:r>
          </w:p>
          <w:p w14:paraId="3A88E1F1">
            <w:pPr>
              <w:spacing w:line="360" w:lineRule="auto"/>
              <w:ind w:left="105" w:leftChars="50" w:right="105" w:rightChars="50"/>
              <w:jc w:val="left"/>
              <w:rPr>
                <w:rFonts w:hint="eastAsia" w:ascii="宋体" w:hAnsi="宋体" w:cs="宋体"/>
                <w:bCs/>
                <w:snapToGrid w:val="0"/>
                <w:color w:val="auto"/>
                <w:szCs w:val="21"/>
              </w:rPr>
            </w:pPr>
            <w:r>
              <w:rPr>
                <w:rFonts w:hint="eastAsia" w:ascii="宋体" w:hAnsi="宋体" w:cs="宋体"/>
                <w:color w:val="auto"/>
                <w:szCs w:val="21"/>
              </w:rPr>
              <w:t>注：因供应商原因造成响应文件未解密的，视为撤销其响应文件。</w:t>
            </w:r>
          </w:p>
        </w:tc>
      </w:tr>
      <w:tr w14:paraId="7285170C">
        <w:tblPrEx>
          <w:tblCellMar>
            <w:top w:w="0" w:type="dxa"/>
            <w:left w:w="0" w:type="dxa"/>
            <w:bottom w:w="0" w:type="dxa"/>
            <w:right w:w="0" w:type="dxa"/>
          </w:tblCellMar>
        </w:tblPrEx>
        <w:trPr>
          <w:trHeight w:val="274"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14:paraId="2316D2A6">
            <w:pPr>
              <w:spacing w:before="120" w:beforeLines="50" w:line="360" w:lineRule="auto"/>
              <w:jc w:val="center"/>
              <w:rPr>
                <w:rFonts w:hint="eastAsia" w:ascii="宋体" w:hAnsi="宋体" w:cs="宋体"/>
                <w:color w:val="auto"/>
                <w:szCs w:val="21"/>
              </w:rPr>
            </w:pPr>
            <w:r>
              <w:rPr>
                <w:rFonts w:hint="eastAsia" w:ascii="宋体" w:hAnsi="宋体" w:cs="宋体"/>
                <w:color w:val="auto"/>
                <w:szCs w:val="21"/>
              </w:rPr>
              <w:t>6.1.1</w:t>
            </w:r>
          </w:p>
        </w:tc>
        <w:tc>
          <w:tcPr>
            <w:tcW w:w="1990" w:type="dxa"/>
            <w:tcBorders>
              <w:top w:val="single" w:color="auto" w:sz="4" w:space="0"/>
              <w:left w:val="single" w:color="auto" w:sz="4" w:space="0"/>
              <w:bottom w:val="single" w:color="auto" w:sz="4" w:space="0"/>
              <w:right w:val="single" w:color="auto" w:sz="4" w:space="0"/>
            </w:tcBorders>
            <w:vAlign w:val="center"/>
          </w:tcPr>
          <w:p w14:paraId="3D9BF1F0">
            <w:pPr>
              <w:spacing w:before="120" w:beforeLines="50" w:line="360" w:lineRule="auto"/>
              <w:jc w:val="center"/>
              <w:rPr>
                <w:rFonts w:hint="eastAsia" w:ascii="宋体" w:hAnsi="宋体" w:cs="宋体"/>
                <w:color w:val="auto"/>
                <w:szCs w:val="21"/>
              </w:rPr>
            </w:pPr>
            <w:r>
              <w:rPr>
                <w:rFonts w:hint="eastAsia" w:ascii="宋体" w:hAnsi="宋体" w:cs="宋体"/>
                <w:color w:val="auto"/>
                <w:szCs w:val="21"/>
              </w:rPr>
              <w:t>磋商小组的组建</w:t>
            </w:r>
          </w:p>
        </w:tc>
        <w:tc>
          <w:tcPr>
            <w:tcW w:w="6379" w:type="dxa"/>
            <w:tcBorders>
              <w:top w:val="single" w:color="auto" w:sz="4" w:space="0"/>
              <w:left w:val="single" w:color="auto" w:sz="4" w:space="0"/>
              <w:bottom w:val="single" w:color="auto" w:sz="4" w:space="0"/>
              <w:right w:val="single" w:color="auto" w:sz="4" w:space="0"/>
            </w:tcBorders>
            <w:vAlign w:val="center"/>
          </w:tcPr>
          <w:p w14:paraId="229D508B">
            <w:pPr>
              <w:wordWrap w:val="0"/>
              <w:spacing w:before="120" w:beforeLines="50" w:line="360" w:lineRule="auto"/>
              <w:ind w:left="105" w:leftChars="50" w:right="105" w:rightChars="50"/>
              <w:rPr>
                <w:rFonts w:hint="eastAsia" w:ascii="宋体" w:hAnsi="宋体" w:cs="宋体"/>
                <w:color w:val="auto"/>
                <w:szCs w:val="21"/>
              </w:rPr>
            </w:pPr>
            <w:r>
              <w:rPr>
                <w:rFonts w:hint="eastAsia" w:ascii="宋体" w:hAnsi="宋体" w:cs="宋体"/>
                <w:color w:val="auto"/>
                <w:szCs w:val="21"/>
              </w:rPr>
              <w:t>磋商小组人数：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14:paraId="08279B7F">
            <w:pPr>
              <w:wordWrap w:val="0"/>
              <w:spacing w:line="360" w:lineRule="auto"/>
              <w:ind w:left="105" w:leftChars="50" w:right="105" w:rightChars="50"/>
              <w:rPr>
                <w:rFonts w:hint="eastAsia" w:ascii="宋体" w:hAnsi="宋体" w:cs="宋体"/>
                <w:color w:val="auto"/>
                <w:szCs w:val="21"/>
              </w:rPr>
            </w:pPr>
            <w:r>
              <w:rPr>
                <w:rFonts w:hint="eastAsia" w:ascii="宋体" w:hAnsi="宋体" w:cs="宋体"/>
                <w:color w:val="auto"/>
                <w:szCs w:val="21"/>
              </w:rPr>
              <w:t>评审成员确定方式：由采购人代表和从“政府采购云平台-专家抽取管理系统”中随机抽取的技术、经济方面的专家组成。</w:t>
            </w:r>
          </w:p>
        </w:tc>
      </w:tr>
      <w:tr w14:paraId="5408F54F">
        <w:tblPrEx>
          <w:tblCellMar>
            <w:top w:w="0" w:type="dxa"/>
            <w:left w:w="0" w:type="dxa"/>
            <w:bottom w:w="0" w:type="dxa"/>
            <w:right w:w="0" w:type="dxa"/>
          </w:tblCellMar>
        </w:tblPrEx>
        <w:trPr>
          <w:trHeight w:val="1272"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14:paraId="76D2253C">
            <w:pPr>
              <w:jc w:val="center"/>
              <w:rPr>
                <w:rFonts w:hint="eastAsia" w:ascii="宋体" w:hAnsi="宋体" w:cs="宋体"/>
                <w:color w:val="auto"/>
              </w:rPr>
            </w:pPr>
            <w:r>
              <w:rPr>
                <w:rFonts w:hint="eastAsia" w:ascii="宋体" w:hAnsi="宋体" w:cs="宋体"/>
                <w:color w:val="auto"/>
              </w:rPr>
              <w:t>7.1</w:t>
            </w:r>
          </w:p>
        </w:tc>
        <w:tc>
          <w:tcPr>
            <w:tcW w:w="1990" w:type="dxa"/>
            <w:tcBorders>
              <w:top w:val="single" w:color="auto" w:sz="4" w:space="0"/>
              <w:left w:val="single" w:color="auto" w:sz="4" w:space="0"/>
              <w:bottom w:val="single" w:color="auto" w:sz="4" w:space="0"/>
              <w:right w:val="single" w:color="auto" w:sz="4" w:space="0"/>
            </w:tcBorders>
            <w:vAlign w:val="center"/>
          </w:tcPr>
          <w:p w14:paraId="76EB74FE">
            <w:pPr>
              <w:spacing w:before="120" w:beforeLines="50" w:line="360" w:lineRule="auto"/>
              <w:jc w:val="center"/>
              <w:rPr>
                <w:rFonts w:hint="eastAsia" w:ascii="宋体" w:hAnsi="宋体" w:cs="宋体"/>
                <w:color w:val="auto"/>
                <w:szCs w:val="21"/>
              </w:rPr>
            </w:pPr>
            <w:r>
              <w:rPr>
                <w:rFonts w:hint="eastAsia" w:ascii="宋体" w:hAnsi="宋体" w:cs="宋体"/>
                <w:color w:val="auto"/>
                <w:szCs w:val="21"/>
              </w:rPr>
              <w:t>是否授权磋商小组</w:t>
            </w:r>
          </w:p>
          <w:p w14:paraId="41F41A67">
            <w:pPr>
              <w:spacing w:line="360" w:lineRule="auto"/>
              <w:jc w:val="center"/>
              <w:rPr>
                <w:rFonts w:hint="eastAsia" w:ascii="宋体" w:hAnsi="宋体" w:cs="宋体"/>
                <w:color w:val="auto"/>
                <w:szCs w:val="21"/>
              </w:rPr>
            </w:pPr>
            <w:r>
              <w:rPr>
                <w:rFonts w:hint="eastAsia" w:ascii="宋体" w:hAnsi="宋体" w:cs="宋体"/>
                <w:color w:val="auto"/>
                <w:szCs w:val="21"/>
              </w:rPr>
              <w:t>确定成交供应商</w:t>
            </w:r>
          </w:p>
        </w:tc>
        <w:tc>
          <w:tcPr>
            <w:tcW w:w="6379" w:type="dxa"/>
            <w:tcBorders>
              <w:top w:val="single" w:color="auto" w:sz="4" w:space="0"/>
              <w:left w:val="single" w:color="auto" w:sz="4" w:space="0"/>
              <w:bottom w:val="single" w:color="auto" w:sz="4" w:space="0"/>
              <w:right w:val="single" w:color="auto" w:sz="4" w:space="0"/>
            </w:tcBorders>
            <w:vAlign w:val="center"/>
          </w:tcPr>
          <w:p w14:paraId="4CA5AB12">
            <w:pPr>
              <w:spacing w:before="120" w:beforeLines="50" w:line="360" w:lineRule="auto"/>
              <w:ind w:left="105" w:leftChars="50" w:right="105" w:rightChars="50"/>
              <w:rPr>
                <w:rFonts w:hint="eastAsia" w:ascii="宋体" w:hAnsi="宋体" w:cs="宋体"/>
                <w:color w:val="auto"/>
                <w:szCs w:val="21"/>
              </w:rPr>
            </w:pPr>
            <w:r>
              <w:rPr>
                <w:rFonts w:hint="eastAsia" w:ascii="宋体" w:hAnsi="宋体" w:cs="宋体"/>
                <w:color w:val="auto"/>
                <w:szCs w:val="21"/>
              </w:rPr>
              <w:t>否。</w:t>
            </w:r>
          </w:p>
          <w:p w14:paraId="0AA0C096">
            <w:pPr>
              <w:spacing w:line="360" w:lineRule="auto"/>
              <w:ind w:left="105" w:leftChars="50" w:right="105" w:rightChars="50"/>
              <w:rPr>
                <w:rFonts w:hint="eastAsia" w:ascii="宋体" w:hAnsi="宋体" w:cs="宋体"/>
                <w:color w:val="auto"/>
                <w:szCs w:val="21"/>
              </w:rPr>
            </w:pPr>
            <w:r>
              <w:rPr>
                <w:rFonts w:hint="eastAsia" w:ascii="宋体" w:hAnsi="宋体" w:cs="宋体"/>
                <w:color w:val="auto"/>
                <w:szCs w:val="21"/>
              </w:rPr>
              <w:t>由磋商小组根据第六章“评审办法”的相关规定推荐1～3名成交候选人，采购人根据磋商小组的推荐顺序确定成交供应商。</w:t>
            </w:r>
          </w:p>
        </w:tc>
      </w:tr>
      <w:tr w14:paraId="57F2B033">
        <w:tblPrEx>
          <w:tblCellMar>
            <w:top w:w="0" w:type="dxa"/>
            <w:left w:w="0" w:type="dxa"/>
            <w:bottom w:w="0" w:type="dxa"/>
            <w:right w:w="0" w:type="dxa"/>
          </w:tblCellMar>
        </w:tblPrEx>
        <w:trPr>
          <w:trHeight w:val="422"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14:paraId="76B7C817">
            <w:pPr>
              <w:spacing w:before="120" w:beforeLines="50" w:line="360" w:lineRule="auto"/>
              <w:jc w:val="center"/>
              <w:rPr>
                <w:rFonts w:hint="eastAsia" w:ascii="宋体" w:hAnsi="宋体" w:cs="宋体"/>
                <w:color w:val="auto"/>
                <w:szCs w:val="21"/>
              </w:rPr>
            </w:pPr>
            <w:r>
              <w:rPr>
                <w:rFonts w:hint="eastAsia" w:ascii="宋体" w:hAnsi="宋体" w:cs="宋体"/>
                <w:color w:val="auto"/>
                <w:szCs w:val="21"/>
              </w:rPr>
              <w:t>7.3</w:t>
            </w:r>
          </w:p>
        </w:tc>
        <w:tc>
          <w:tcPr>
            <w:tcW w:w="1990" w:type="dxa"/>
            <w:tcBorders>
              <w:top w:val="single" w:color="auto" w:sz="4" w:space="0"/>
              <w:left w:val="single" w:color="auto" w:sz="4" w:space="0"/>
              <w:bottom w:val="single" w:color="auto" w:sz="4" w:space="0"/>
              <w:right w:val="single" w:color="auto" w:sz="4" w:space="0"/>
            </w:tcBorders>
            <w:vAlign w:val="center"/>
          </w:tcPr>
          <w:p w14:paraId="038405E2">
            <w:pPr>
              <w:spacing w:before="120" w:beforeLines="50" w:line="360" w:lineRule="auto"/>
              <w:jc w:val="center"/>
              <w:rPr>
                <w:rFonts w:hint="eastAsia" w:ascii="宋体" w:hAnsi="宋体" w:cs="宋体"/>
                <w:color w:val="auto"/>
                <w:szCs w:val="21"/>
              </w:rPr>
            </w:pPr>
            <w:r>
              <w:rPr>
                <w:rFonts w:hint="eastAsia" w:ascii="宋体" w:hAnsi="宋体" w:cs="宋体"/>
                <w:color w:val="auto"/>
                <w:szCs w:val="21"/>
              </w:rPr>
              <w:t>履约担保</w:t>
            </w:r>
          </w:p>
        </w:tc>
        <w:tc>
          <w:tcPr>
            <w:tcW w:w="6379" w:type="dxa"/>
            <w:tcBorders>
              <w:top w:val="single" w:color="auto" w:sz="4" w:space="0"/>
              <w:left w:val="single" w:color="auto" w:sz="4" w:space="0"/>
              <w:bottom w:val="single" w:color="auto" w:sz="4" w:space="0"/>
              <w:right w:val="single" w:color="auto" w:sz="4" w:space="0"/>
            </w:tcBorders>
            <w:vAlign w:val="center"/>
          </w:tcPr>
          <w:p w14:paraId="7AE25563">
            <w:pPr>
              <w:spacing w:before="120" w:beforeLines="50" w:line="360" w:lineRule="auto"/>
              <w:ind w:left="105" w:leftChars="50" w:right="105" w:rightChars="50"/>
              <w:rPr>
                <w:rFonts w:hint="eastAsia" w:ascii="宋体" w:hAnsi="宋体" w:cs="宋体"/>
                <w:color w:val="auto"/>
                <w:szCs w:val="21"/>
              </w:rPr>
            </w:pPr>
            <w:r>
              <w:rPr>
                <w:rFonts w:hint="eastAsia" w:ascii="宋体" w:hAnsi="宋体" w:cs="宋体"/>
                <w:color w:val="auto"/>
                <w:szCs w:val="21"/>
              </w:rPr>
              <w:t>本项目不要求提交履约保证金。</w:t>
            </w:r>
          </w:p>
        </w:tc>
      </w:tr>
      <w:tr w14:paraId="0527648D">
        <w:tblPrEx>
          <w:tblCellMar>
            <w:top w:w="0" w:type="dxa"/>
            <w:left w:w="0" w:type="dxa"/>
            <w:bottom w:w="0" w:type="dxa"/>
            <w:right w:w="0" w:type="dxa"/>
          </w:tblCellMar>
        </w:tblPrEx>
        <w:trPr>
          <w:trHeight w:val="448" w:hRule="atLeast"/>
          <w:jc w:val="center"/>
        </w:trPr>
        <w:tc>
          <w:tcPr>
            <w:tcW w:w="9209" w:type="dxa"/>
            <w:gridSpan w:val="3"/>
            <w:tcBorders>
              <w:top w:val="single" w:color="auto" w:sz="4" w:space="0"/>
              <w:left w:val="single" w:color="auto" w:sz="4" w:space="0"/>
              <w:bottom w:val="single" w:color="auto" w:sz="4" w:space="0"/>
              <w:right w:val="single" w:color="auto" w:sz="4" w:space="0"/>
            </w:tcBorders>
            <w:vAlign w:val="center"/>
          </w:tcPr>
          <w:p w14:paraId="145E6A79">
            <w:pPr>
              <w:spacing w:before="120" w:beforeLines="50" w:line="360" w:lineRule="auto"/>
              <w:rPr>
                <w:rFonts w:hint="eastAsia" w:ascii="宋体" w:hAnsi="宋体" w:cs="宋体"/>
                <w:b/>
                <w:bCs/>
                <w:color w:val="auto"/>
                <w:szCs w:val="21"/>
              </w:rPr>
            </w:pPr>
            <w:r>
              <w:rPr>
                <w:rFonts w:hint="eastAsia" w:ascii="宋体" w:hAnsi="宋体" w:cs="宋体"/>
                <w:b/>
                <w:bCs/>
                <w:color w:val="auto"/>
                <w:szCs w:val="21"/>
              </w:rPr>
              <w:t>10.需要补充的其他内容</w:t>
            </w:r>
          </w:p>
        </w:tc>
      </w:tr>
      <w:tr w14:paraId="385CD00E">
        <w:tblPrEx>
          <w:tblCellMar>
            <w:top w:w="0" w:type="dxa"/>
            <w:left w:w="0" w:type="dxa"/>
            <w:bottom w:w="0" w:type="dxa"/>
            <w:right w:w="0" w:type="dxa"/>
          </w:tblCellMar>
        </w:tblPrEx>
        <w:trPr>
          <w:trHeight w:val="274" w:hRule="atLeast"/>
          <w:jc w:val="center"/>
        </w:trPr>
        <w:tc>
          <w:tcPr>
            <w:tcW w:w="9209" w:type="dxa"/>
            <w:gridSpan w:val="3"/>
            <w:tcBorders>
              <w:top w:val="single" w:color="auto" w:sz="4" w:space="0"/>
              <w:left w:val="single" w:color="auto" w:sz="4" w:space="0"/>
              <w:bottom w:val="single" w:color="auto" w:sz="4" w:space="0"/>
              <w:right w:val="single" w:color="auto" w:sz="4" w:space="0"/>
            </w:tcBorders>
            <w:vAlign w:val="center"/>
          </w:tcPr>
          <w:p w14:paraId="5349185D">
            <w:pPr>
              <w:spacing w:before="120" w:beforeLines="50" w:line="360" w:lineRule="auto"/>
              <w:ind w:left="105" w:leftChars="50" w:right="105" w:rightChars="50"/>
              <w:rPr>
                <w:rFonts w:hint="eastAsia" w:ascii="宋体" w:hAnsi="宋体" w:cs="宋体"/>
                <w:color w:val="auto"/>
                <w:szCs w:val="21"/>
              </w:rPr>
            </w:pPr>
            <w:r>
              <w:rPr>
                <w:rFonts w:hint="eastAsia" w:ascii="宋体" w:hAnsi="宋体" w:cs="宋体"/>
                <w:color w:val="auto"/>
                <w:szCs w:val="21"/>
              </w:rPr>
              <w:t>1.供应商的响应文件必须是在接受采购人的</w:t>
            </w:r>
            <w:r>
              <w:rPr>
                <w:rFonts w:hint="eastAsia" w:ascii="宋体" w:hAnsi="宋体" w:cs="宋体"/>
                <w:snapToGrid w:val="0"/>
                <w:color w:val="auto"/>
                <w:kern w:val="0"/>
                <w:szCs w:val="21"/>
              </w:rPr>
              <w:t>采购文件（</w:t>
            </w:r>
            <w:r>
              <w:rPr>
                <w:rFonts w:hint="eastAsia" w:ascii="宋体" w:hAnsi="宋体" w:cs="宋体"/>
                <w:color w:val="auto"/>
                <w:szCs w:val="21"/>
              </w:rPr>
              <w:t>含合同条款等）的基础上作出的承诺，若成交供应商对</w:t>
            </w:r>
            <w:r>
              <w:rPr>
                <w:rFonts w:hint="eastAsia" w:ascii="宋体" w:hAnsi="宋体" w:cs="宋体"/>
                <w:snapToGrid w:val="0"/>
                <w:color w:val="auto"/>
                <w:kern w:val="0"/>
                <w:szCs w:val="21"/>
              </w:rPr>
              <w:t>采购文件</w:t>
            </w:r>
            <w:r>
              <w:rPr>
                <w:rFonts w:hint="eastAsia" w:ascii="宋体" w:hAnsi="宋体" w:cs="宋体"/>
                <w:color w:val="auto"/>
                <w:szCs w:val="21"/>
              </w:rPr>
              <w:t>（含合同条款等）提出修改要求，采购人可视为其不响应</w:t>
            </w:r>
            <w:r>
              <w:rPr>
                <w:rFonts w:hint="eastAsia" w:ascii="宋体" w:hAnsi="宋体" w:cs="宋体"/>
                <w:snapToGrid w:val="0"/>
                <w:color w:val="auto"/>
                <w:kern w:val="0"/>
                <w:szCs w:val="21"/>
              </w:rPr>
              <w:t>采购文件</w:t>
            </w:r>
            <w:r>
              <w:rPr>
                <w:rFonts w:hint="eastAsia" w:ascii="宋体" w:hAnsi="宋体" w:cs="宋体"/>
                <w:color w:val="auto"/>
                <w:szCs w:val="21"/>
              </w:rPr>
              <w:t>的实质性条款，取消其成交资格。</w:t>
            </w:r>
          </w:p>
          <w:p w14:paraId="363888E5">
            <w:pPr>
              <w:spacing w:line="360" w:lineRule="auto"/>
              <w:ind w:left="105" w:leftChars="50" w:right="105" w:rightChars="50"/>
              <w:rPr>
                <w:rFonts w:hint="eastAsia" w:ascii="宋体" w:hAnsi="宋体" w:cs="宋体"/>
                <w:color w:val="auto"/>
                <w:szCs w:val="21"/>
              </w:rPr>
            </w:pPr>
            <w:r>
              <w:rPr>
                <w:rFonts w:hint="eastAsia" w:ascii="宋体" w:hAnsi="宋体" w:cs="宋体"/>
                <w:color w:val="auto"/>
                <w:szCs w:val="21"/>
              </w:rPr>
              <w:t>2.成交供应商</w:t>
            </w:r>
            <w:r>
              <w:rPr>
                <w:rFonts w:hint="eastAsia" w:ascii="宋体" w:hAnsi="宋体" w:cs="宋体"/>
                <w:bCs/>
                <w:color w:val="auto"/>
                <w:szCs w:val="21"/>
              </w:rPr>
              <w:t>无故</w:t>
            </w:r>
            <w:r>
              <w:rPr>
                <w:rFonts w:hint="eastAsia" w:ascii="宋体" w:hAnsi="宋体" w:cs="宋体"/>
                <w:color w:val="auto"/>
                <w:szCs w:val="21"/>
              </w:rPr>
              <w:t>不与采购人签订合同的，或在合同签订中无故要求变更承诺或报价的，采购人将取消其成交资格，给采购人造成损失的，成交供应商应予以赔偿，并且采购监督管理部门给予其不良市场行为记录。</w:t>
            </w:r>
          </w:p>
          <w:p w14:paraId="31E87C41">
            <w:pPr>
              <w:spacing w:line="360" w:lineRule="auto"/>
              <w:ind w:left="105" w:leftChars="50" w:right="105" w:rightChars="50"/>
              <w:rPr>
                <w:rFonts w:hint="eastAsia" w:ascii="宋体" w:hAnsi="宋体" w:cs="宋体"/>
                <w:color w:val="auto"/>
                <w:szCs w:val="21"/>
              </w:rPr>
            </w:pPr>
            <w:r>
              <w:rPr>
                <w:rFonts w:hint="eastAsia" w:ascii="宋体" w:hAnsi="宋体" w:cs="宋体"/>
                <w:bCs/>
                <w:color w:val="auto"/>
                <w:szCs w:val="21"/>
              </w:rPr>
              <w:t>3.</w:t>
            </w:r>
            <w:r>
              <w:rPr>
                <w:rFonts w:hint="eastAsia" w:ascii="宋体" w:hAnsi="宋体" w:cs="宋体"/>
                <w:color w:val="auto"/>
                <w:szCs w:val="21"/>
              </w:rPr>
              <w:t>根据《政府采购促进中小企业发展管理办法》（财库〔2020〕46号）和《关于进一步加大政府采购支持中小企业力度的通知》（财库〔2022〕19号）第十二条规定：</w:t>
            </w:r>
          </w:p>
          <w:p w14:paraId="3EF392E5">
            <w:pPr>
              <w:spacing w:line="360" w:lineRule="auto"/>
              <w:ind w:left="105" w:leftChars="50" w:right="105" w:rightChars="50"/>
              <w:rPr>
                <w:rFonts w:hint="eastAsia" w:ascii="宋体" w:hAnsi="宋体" w:cs="宋体"/>
                <w:color w:val="auto"/>
                <w:szCs w:val="21"/>
              </w:rPr>
            </w:pPr>
            <w:r>
              <w:rPr>
                <w:rFonts w:hint="eastAsia" w:ascii="宋体" w:hAnsi="宋体" w:cs="宋体"/>
                <w:color w:val="auto"/>
                <w:szCs w:val="21"/>
              </w:rPr>
              <w:t>（1）依据《办法》规定享受扶持政策获得政府采购合同的，小微企业不得将合同分包给大中型企业，中型企业不得将合同分包给大型企业。若成交供应商违反以上规定，则依法承担相关责任；</w:t>
            </w:r>
          </w:p>
          <w:p w14:paraId="21572765">
            <w:pPr>
              <w:spacing w:line="360" w:lineRule="auto"/>
              <w:ind w:left="105" w:leftChars="50" w:right="105" w:rightChars="50"/>
              <w:rPr>
                <w:rFonts w:hint="eastAsia" w:ascii="宋体" w:hAnsi="宋体" w:cs="宋体"/>
                <w:color w:val="auto"/>
                <w:szCs w:val="21"/>
              </w:rPr>
            </w:pPr>
            <w:r>
              <w:rPr>
                <w:rFonts w:hint="eastAsia" w:ascii="宋体" w:hAnsi="宋体" w:cs="宋体"/>
                <w:color w:val="auto"/>
                <w:szCs w:val="21"/>
              </w:rPr>
              <w:t>（2）对具备享受扶持政策的中小企业，在资金支付期限上的优惠措施为：根据《保障中小企业款项支付条例》（中华人民共和国国务院令第802号）第九条规定，服务期结束之日起30日内支付款项；合同另有约定的，付款期限最长不超过60日；</w:t>
            </w:r>
          </w:p>
          <w:p w14:paraId="278F1D1E">
            <w:pPr>
              <w:spacing w:line="360" w:lineRule="auto"/>
              <w:ind w:left="105" w:leftChars="50" w:right="105" w:rightChars="50"/>
              <w:rPr>
                <w:rFonts w:hint="eastAsia" w:ascii="宋体" w:hAnsi="宋体" w:cs="宋体"/>
                <w:color w:val="auto"/>
                <w:szCs w:val="21"/>
              </w:rPr>
            </w:pPr>
            <w:r>
              <w:rPr>
                <w:rFonts w:hint="eastAsia" w:ascii="宋体" w:hAnsi="宋体" w:cs="宋体"/>
                <w:color w:val="auto"/>
                <w:szCs w:val="21"/>
              </w:rPr>
              <w:t>（3）根据《统计上大中小微型企业划分办法（2017）》规定，本项目所属行业为：“</w:t>
            </w:r>
            <w:r>
              <w:rPr>
                <w:rFonts w:hint="eastAsia" w:ascii="宋体" w:hAnsi="宋体" w:cs="宋体"/>
                <w:b/>
                <w:bCs/>
                <w:color w:val="auto"/>
                <w:szCs w:val="21"/>
                <w:u w:val="single"/>
              </w:rPr>
              <w:t>其他未列明行业</w:t>
            </w:r>
            <w:r>
              <w:rPr>
                <w:rFonts w:hint="eastAsia" w:ascii="宋体" w:hAnsi="宋体" w:cs="宋体"/>
                <w:color w:val="auto"/>
                <w:szCs w:val="21"/>
              </w:rPr>
              <w:t>”。</w:t>
            </w:r>
          </w:p>
        </w:tc>
      </w:tr>
    </w:tbl>
    <w:p w14:paraId="5BA67FDA">
      <w:pPr>
        <w:rPr>
          <w:rFonts w:hint="eastAsia" w:ascii="宋体" w:hAnsi="宋体" w:cs="宋体"/>
          <w:color w:val="auto"/>
          <w:szCs w:val="28"/>
        </w:rPr>
      </w:pPr>
      <w:bookmarkStart w:id="177" w:name="_Toc132362633"/>
      <w:r>
        <w:rPr>
          <w:rFonts w:hint="eastAsia" w:ascii="宋体" w:hAnsi="宋体" w:cs="宋体"/>
          <w:color w:val="auto"/>
          <w:szCs w:val="28"/>
        </w:rPr>
        <w:br w:type="page"/>
      </w:r>
    </w:p>
    <w:p w14:paraId="1D83B513">
      <w:pPr>
        <w:pStyle w:val="4"/>
        <w:spacing w:before="120" w:beforeLines="50" w:line="360" w:lineRule="auto"/>
        <w:rPr>
          <w:rFonts w:hint="eastAsia" w:ascii="宋体" w:hAnsi="宋体" w:cs="宋体"/>
          <w:color w:val="auto"/>
          <w:szCs w:val="28"/>
        </w:rPr>
      </w:pPr>
      <w:bookmarkStart w:id="178" w:name="_Toc1731932462"/>
      <w:r>
        <w:rPr>
          <w:rFonts w:hint="eastAsia" w:ascii="宋体" w:hAnsi="宋体" w:cs="宋体"/>
          <w:color w:val="auto"/>
          <w:szCs w:val="28"/>
        </w:rPr>
        <w:t>二、供应商须知正文部分</w:t>
      </w:r>
      <w:bookmarkEnd w:id="177"/>
      <w:bookmarkEnd w:id="178"/>
    </w:p>
    <w:p w14:paraId="60C65C70">
      <w:pPr>
        <w:spacing w:line="360" w:lineRule="auto"/>
        <w:jc w:val="center"/>
        <w:outlineLvl w:val="2"/>
        <w:rPr>
          <w:rFonts w:hint="eastAsia" w:ascii="宋体" w:hAnsi="宋体" w:cs="宋体"/>
          <w:b/>
          <w:bCs/>
          <w:color w:val="auto"/>
          <w:sz w:val="28"/>
          <w:szCs w:val="28"/>
        </w:rPr>
      </w:pPr>
      <w:bookmarkStart w:id="179" w:name="_Toc98033920"/>
      <w:bookmarkStart w:id="180" w:name="_Toc45791340"/>
      <w:bookmarkStart w:id="181" w:name="_Toc42204979"/>
      <w:bookmarkStart w:id="182" w:name="_Toc116583986"/>
      <w:bookmarkStart w:id="183" w:name="_Toc108"/>
      <w:bookmarkStart w:id="184" w:name="_Toc87543804"/>
      <w:bookmarkStart w:id="185" w:name="_Toc109809298"/>
      <w:bookmarkStart w:id="186" w:name="_Toc110405120"/>
      <w:bookmarkStart w:id="187" w:name="_Toc83753878"/>
      <w:bookmarkStart w:id="188" w:name="_Toc87538355"/>
      <w:bookmarkStart w:id="189" w:name="_Toc45976886"/>
      <w:bookmarkStart w:id="190" w:name="_Toc42267618"/>
      <w:bookmarkStart w:id="191" w:name="_Toc98864997"/>
      <w:bookmarkStart w:id="192" w:name="_Toc84356238"/>
      <w:r>
        <w:rPr>
          <w:rFonts w:hint="eastAsia" w:ascii="宋体" w:hAnsi="宋体" w:cs="宋体"/>
          <w:b/>
          <w:bCs/>
          <w:color w:val="auto"/>
          <w:sz w:val="28"/>
          <w:szCs w:val="28"/>
        </w:rPr>
        <w:t>1.总则</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34D519EB">
      <w:pPr>
        <w:spacing w:line="360" w:lineRule="auto"/>
        <w:outlineLvl w:val="3"/>
        <w:rPr>
          <w:rFonts w:hint="eastAsia" w:ascii="宋体" w:hAnsi="宋体" w:cs="宋体"/>
          <w:b/>
          <w:bCs/>
          <w:color w:val="auto"/>
          <w:sz w:val="24"/>
          <w:szCs w:val="24"/>
        </w:rPr>
      </w:pPr>
      <w:bookmarkStart w:id="193" w:name="_Toc87543805"/>
      <w:bookmarkStart w:id="194" w:name="_Toc84356239"/>
      <w:bookmarkStart w:id="195" w:name="_Toc42204980"/>
      <w:bookmarkStart w:id="196" w:name="_Toc45791341"/>
      <w:bookmarkStart w:id="197" w:name="_Toc98033921"/>
      <w:bookmarkStart w:id="198" w:name="_Toc42267619"/>
      <w:bookmarkStart w:id="199" w:name="_Toc110405121"/>
      <w:bookmarkStart w:id="200" w:name="_Toc83753879"/>
      <w:bookmarkStart w:id="201" w:name="_Toc13886"/>
      <w:bookmarkStart w:id="202" w:name="_Toc75783518"/>
      <w:bookmarkStart w:id="203" w:name="_Toc87538356"/>
      <w:bookmarkStart w:id="204" w:name="_Toc109809299"/>
      <w:bookmarkStart w:id="205" w:name="_Toc98864998"/>
      <w:bookmarkStart w:id="206" w:name="_Toc81330926"/>
      <w:bookmarkStart w:id="207" w:name="_Toc53412203"/>
      <w:bookmarkStart w:id="208" w:name="_Toc69678416"/>
      <w:bookmarkStart w:id="209" w:name="_Toc45976887"/>
      <w:bookmarkStart w:id="210" w:name="_Toc116583987"/>
      <w:r>
        <w:rPr>
          <w:rFonts w:hint="eastAsia" w:ascii="宋体" w:hAnsi="宋体" w:cs="宋体"/>
          <w:b/>
          <w:bCs/>
          <w:color w:val="auto"/>
          <w:sz w:val="24"/>
          <w:szCs w:val="24"/>
        </w:rPr>
        <w:t>1.1项目概况</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14:paraId="6E500F0E">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8"/>
        </w:rPr>
        <w:t>1.1.1</w:t>
      </w:r>
      <w:r>
        <w:rPr>
          <w:rFonts w:hint="eastAsia" w:ascii="宋体" w:hAnsi="宋体" w:cs="宋体"/>
          <w:color w:val="auto"/>
          <w:szCs w:val="21"/>
        </w:rPr>
        <w:t>根据《中华人民共和国政府采购法》、《中华人民共和国政府采购法实施条例》（国务院令第658号）、《关于印发&lt;政府采购竞争性磋商采购方式管理暂行办法&gt;的通知》（财库〔2014〕214号）等相关法律法规的规定，本项目已具备采购条件，现对本项目采用竞争性磋商的方式进行采购。</w:t>
      </w:r>
    </w:p>
    <w:p w14:paraId="105E7F41">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1.1.2采购人名称：详见供应商须知前附表。</w:t>
      </w:r>
    </w:p>
    <w:p w14:paraId="14449B23">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1.1.3采购代理机构名称：详见供应商须知前附表。</w:t>
      </w:r>
    </w:p>
    <w:p w14:paraId="27003BDF">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1.1.4项目名称：详见供应商须知前附表。</w:t>
      </w:r>
    </w:p>
    <w:p w14:paraId="4F05AFA7">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1.1.5服务地点：详见供应商须知前附表。</w:t>
      </w:r>
    </w:p>
    <w:p w14:paraId="28308B1C">
      <w:pPr>
        <w:spacing w:line="360" w:lineRule="auto"/>
        <w:outlineLvl w:val="3"/>
        <w:rPr>
          <w:rFonts w:hint="eastAsia" w:ascii="宋体" w:hAnsi="宋体" w:cs="宋体"/>
          <w:b/>
          <w:bCs/>
          <w:color w:val="auto"/>
          <w:sz w:val="24"/>
          <w:szCs w:val="24"/>
        </w:rPr>
      </w:pPr>
      <w:bookmarkStart w:id="211" w:name="_Toc116583988"/>
      <w:bookmarkStart w:id="212" w:name="_Toc69678417"/>
      <w:bookmarkStart w:id="213" w:name="_Toc110405122"/>
      <w:bookmarkStart w:id="214" w:name="_Toc87543806"/>
      <w:bookmarkStart w:id="215" w:name="_Toc98033922"/>
      <w:bookmarkStart w:id="216" w:name="_Toc87538357"/>
      <w:bookmarkStart w:id="217" w:name="_Toc53412204"/>
      <w:bookmarkStart w:id="218" w:name="_Toc81330927"/>
      <w:bookmarkStart w:id="219" w:name="_Toc98864999"/>
      <w:bookmarkStart w:id="220" w:name="_Toc75783519"/>
      <w:bookmarkStart w:id="221" w:name="_Toc42267620"/>
      <w:bookmarkStart w:id="222" w:name="_Toc45976888"/>
      <w:bookmarkStart w:id="223" w:name="_Toc45791342"/>
      <w:bookmarkStart w:id="224" w:name="_Toc84356240"/>
      <w:bookmarkStart w:id="225" w:name="_Toc109809300"/>
      <w:bookmarkStart w:id="226" w:name="_Toc42204981"/>
      <w:bookmarkStart w:id="227" w:name="_Toc25268"/>
      <w:bookmarkStart w:id="228" w:name="_Toc83753880"/>
      <w:r>
        <w:rPr>
          <w:rFonts w:hint="eastAsia" w:ascii="宋体" w:hAnsi="宋体" w:cs="宋体"/>
          <w:b/>
          <w:bCs/>
          <w:color w:val="auto"/>
          <w:sz w:val="24"/>
          <w:szCs w:val="24"/>
        </w:rPr>
        <w:t>1.2 资金来源、出资比例和资金落实情况</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14:paraId="69558B29">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1.2.1资金来源：详见供应商须知前附表。</w:t>
      </w:r>
    </w:p>
    <w:p w14:paraId="11C88382">
      <w:pPr>
        <w:adjustRightInd w:val="0"/>
        <w:snapToGrid w:val="0"/>
        <w:spacing w:line="360" w:lineRule="auto"/>
        <w:ind w:firstLine="420" w:firstLineChars="200"/>
        <w:rPr>
          <w:rFonts w:hint="eastAsia" w:ascii="宋体" w:hAnsi="宋体" w:cs="宋体"/>
          <w:bCs/>
          <w:color w:val="auto"/>
          <w:szCs w:val="21"/>
        </w:rPr>
      </w:pPr>
      <w:r>
        <w:rPr>
          <w:rFonts w:hint="eastAsia" w:ascii="宋体" w:hAnsi="宋体" w:cs="宋体"/>
          <w:color w:val="auto"/>
          <w:szCs w:val="21"/>
        </w:rPr>
        <w:t>1.2.2</w:t>
      </w:r>
      <w:r>
        <w:rPr>
          <w:rFonts w:hint="eastAsia" w:ascii="宋体" w:hAnsi="宋体" w:cs="宋体"/>
          <w:bCs/>
          <w:color w:val="auto"/>
          <w:szCs w:val="21"/>
        </w:rPr>
        <w:t>出资比例：</w:t>
      </w:r>
      <w:r>
        <w:rPr>
          <w:rFonts w:hint="eastAsia" w:ascii="宋体" w:hAnsi="宋体" w:cs="宋体"/>
          <w:color w:val="auto"/>
          <w:szCs w:val="21"/>
        </w:rPr>
        <w:t>详见供应商须知前附表。</w:t>
      </w:r>
    </w:p>
    <w:p w14:paraId="5469BD02">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bCs/>
          <w:color w:val="auto"/>
          <w:szCs w:val="21"/>
        </w:rPr>
        <w:t>1.2.3</w:t>
      </w:r>
      <w:r>
        <w:rPr>
          <w:rFonts w:hint="eastAsia" w:ascii="宋体" w:hAnsi="宋体" w:cs="宋体"/>
          <w:color w:val="auto"/>
          <w:szCs w:val="21"/>
        </w:rPr>
        <w:t>资金落实情况：详见供应商须知前附表。</w:t>
      </w:r>
    </w:p>
    <w:p w14:paraId="7784EB10">
      <w:pPr>
        <w:spacing w:line="360" w:lineRule="auto"/>
        <w:outlineLvl w:val="3"/>
        <w:rPr>
          <w:rFonts w:hint="eastAsia" w:ascii="宋体" w:hAnsi="宋体" w:cs="宋体"/>
          <w:b/>
          <w:bCs/>
          <w:color w:val="auto"/>
          <w:sz w:val="24"/>
          <w:szCs w:val="24"/>
        </w:rPr>
      </w:pPr>
      <w:bookmarkStart w:id="229" w:name="_Toc42204982"/>
      <w:bookmarkStart w:id="230" w:name="_Toc87543807"/>
      <w:bookmarkStart w:id="231" w:name="_Toc69678418"/>
      <w:bookmarkStart w:id="232" w:name="_Toc98865000"/>
      <w:bookmarkStart w:id="233" w:name="_Toc27136"/>
      <w:bookmarkStart w:id="234" w:name="_Toc84356241"/>
      <w:bookmarkStart w:id="235" w:name="_Toc98033923"/>
      <w:bookmarkStart w:id="236" w:name="_Toc110405123"/>
      <w:bookmarkStart w:id="237" w:name="_Toc45976889"/>
      <w:bookmarkStart w:id="238" w:name="_Toc53412205"/>
      <w:bookmarkStart w:id="239" w:name="_Toc42267621"/>
      <w:bookmarkStart w:id="240" w:name="_Toc81330928"/>
      <w:bookmarkStart w:id="241" w:name="_Toc83753881"/>
      <w:bookmarkStart w:id="242" w:name="_Toc75783520"/>
      <w:bookmarkStart w:id="243" w:name="_Toc109809301"/>
      <w:bookmarkStart w:id="244" w:name="_Toc45791343"/>
      <w:bookmarkStart w:id="245" w:name="_Toc87538358"/>
      <w:bookmarkStart w:id="246" w:name="_Toc116583989"/>
      <w:r>
        <w:rPr>
          <w:rFonts w:hint="eastAsia" w:ascii="宋体" w:hAnsi="宋体" w:cs="宋体"/>
          <w:b/>
          <w:bCs/>
          <w:color w:val="auto"/>
          <w:sz w:val="24"/>
          <w:szCs w:val="24"/>
        </w:rPr>
        <w:t>1.3 采购内容、服务期限、质量</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r>
        <w:rPr>
          <w:rFonts w:hint="eastAsia" w:ascii="宋体" w:hAnsi="宋体" w:cs="宋体"/>
          <w:b/>
          <w:bCs/>
          <w:color w:val="auto"/>
          <w:sz w:val="24"/>
          <w:szCs w:val="24"/>
        </w:rPr>
        <w:t>要求</w:t>
      </w:r>
      <w:bookmarkEnd w:id="246"/>
      <w:r>
        <w:rPr>
          <w:rFonts w:hint="eastAsia" w:ascii="宋体" w:hAnsi="宋体" w:cs="宋体"/>
          <w:b/>
          <w:bCs/>
          <w:color w:val="auto"/>
          <w:sz w:val="24"/>
          <w:szCs w:val="24"/>
        </w:rPr>
        <w:t>、包件划分</w:t>
      </w:r>
    </w:p>
    <w:p w14:paraId="413AAFE3">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1.3.1采购内容</w:t>
      </w:r>
      <w:r>
        <w:rPr>
          <w:rFonts w:hint="eastAsia" w:ascii="宋体" w:hAnsi="宋体" w:cs="宋体"/>
          <w:color w:val="auto"/>
          <w:kern w:val="0"/>
          <w:szCs w:val="21"/>
        </w:rPr>
        <w:t>：</w:t>
      </w:r>
      <w:r>
        <w:rPr>
          <w:rFonts w:hint="eastAsia" w:ascii="宋体" w:hAnsi="宋体" w:cs="宋体"/>
          <w:color w:val="auto"/>
          <w:szCs w:val="21"/>
        </w:rPr>
        <w:t>详见供应商须知前附表。</w:t>
      </w:r>
    </w:p>
    <w:p w14:paraId="037A60AC">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1.3.2服务期限：详见供应商须知前附表。</w:t>
      </w:r>
    </w:p>
    <w:p w14:paraId="08DB6BB9">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1.</w:t>
      </w:r>
      <w:bookmarkStart w:id="247" w:name="OLE_LINK2"/>
      <w:bookmarkStart w:id="248" w:name="OLE_LINK1"/>
      <w:r>
        <w:rPr>
          <w:rFonts w:hint="eastAsia" w:ascii="宋体" w:hAnsi="宋体" w:cs="宋体"/>
          <w:color w:val="auto"/>
          <w:szCs w:val="21"/>
        </w:rPr>
        <w:t>3.3质量要求</w:t>
      </w:r>
      <w:bookmarkEnd w:id="247"/>
      <w:bookmarkEnd w:id="248"/>
      <w:r>
        <w:rPr>
          <w:rFonts w:hint="eastAsia" w:ascii="宋体" w:hAnsi="宋体" w:cs="宋体"/>
          <w:color w:val="auto"/>
          <w:szCs w:val="21"/>
        </w:rPr>
        <w:t>：详见供应商须知前附表。</w:t>
      </w:r>
    </w:p>
    <w:p w14:paraId="64C04563">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1.3.4包件划分：详见供应商须知前附表。</w:t>
      </w:r>
      <w:bookmarkStart w:id="249" w:name="_Toc42204983"/>
      <w:bookmarkStart w:id="250" w:name="_Toc116583990"/>
      <w:bookmarkStart w:id="251" w:name="_Toc109809302"/>
      <w:bookmarkStart w:id="252" w:name="_Toc45976890"/>
      <w:bookmarkStart w:id="253" w:name="_Toc75783521"/>
      <w:bookmarkStart w:id="254" w:name="_Toc83753882"/>
      <w:bookmarkStart w:id="255" w:name="_Toc87538359"/>
      <w:bookmarkStart w:id="256" w:name="_Toc42267622"/>
      <w:bookmarkStart w:id="257" w:name="_Toc2751"/>
      <w:bookmarkStart w:id="258" w:name="_Toc53412206"/>
      <w:bookmarkStart w:id="259" w:name="_Toc69678419"/>
      <w:bookmarkStart w:id="260" w:name="_Toc110405124"/>
      <w:bookmarkStart w:id="261" w:name="_Toc81330929"/>
      <w:bookmarkStart w:id="262" w:name="_Toc98865001"/>
      <w:bookmarkStart w:id="263" w:name="_Toc84356242"/>
      <w:bookmarkStart w:id="264" w:name="_Toc87543808"/>
      <w:bookmarkStart w:id="265" w:name="_Toc45791344"/>
      <w:bookmarkStart w:id="266" w:name="_Toc98033924"/>
    </w:p>
    <w:p w14:paraId="3F32D51C">
      <w:pPr>
        <w:spacing w:line="360" w:lineRule="auto"/>
        <w:outlineLvl w:val="3"/>
        <w:rPr>
          <w:rFonts w:hint="eastAsia" w:ascii="宋体" w:hAnsi="宋体" w:cs="宋体"/>
          <w:b/>
          <w:bCs/>
          <w:color w:val="auto"/>
          <w:sz w:val="24"/>
          <w:szCs w:val="24"/>
        </w:rPr>
      </w:pPr>
      <w:r>
        <w:rPr>
          <w:rFonts w:hint="eastAsia" w:ascii="宋体" w:hAnsi="宋体" w:cs="宋体"/>
          <w:b/>
          <w:bCs/>
          <w:color w:val="auto"/>
          <w:sz w:val="24"/>
          <w:szCs w:val="24"/>
        </w:rPr>
        <w:t>1.4 供应商资格要求</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1C266D77">
      <w:pPr>
        <w:autoSpaceDE w:val="0"/>
        <w:autoSpaceDN w:val="0"/>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1.4.1 供应商资格要求：详见供应商须知前附表。</w:t>
      </w:r>
    </w:p>
    <w:p w14:paraId="09421CFD">
      <w:pPr>
        <w:autoSpaceDE w:val="0"/>
        <w:autoSpaceDN w:val="0"/>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1.4.2 其它内容：详见供应商须知前附表。</w:t>
      </w:r>
    </w:p>
    <w:p w14:paraId="485ED693">
      <w:pPr>
        <w:autoSpaceDE w:val="0"/>
        <w:autoSpaceDN w:val="0"/>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1.4.3 是否接受联合体投标：详见供应商须知前附表。</w:t>
      </w:r>
    </w:p>
    <w:p w14:paraId="795A95DF">
      <w:pPr>
        <w:tabs>
          <w:tab w:val="left" w:pos="900"/>
        </w:tabs>
        <w:autoSpaceDE w:val="0"/>
        <w:autoSpaceDN w:val="0"/>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1.4.4 供应商不得存在下列情形之一：</w:t>
      </w:r>
    </w:p>
    <w:p w14:paraId="23348F5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（1）被责令停业的；</w:t>
      </w:r>
    </w:p>
    <w:p w14:paraId="326CA64C">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（2）被暂停或取消磋商资格的；</w:t>
      </w:r>
    </w:p>
    <w:p w14:paraId="0D347E57">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（3）财产被接管或冻结的；</w:t>
      </w:r>
    </w:p>
    <w:p w14:paraId="31DF831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（4）在最近三年内有骗取成交或严重违约或重大质量问题的；</w:t>
      </w:r>
    </w:p>
    <w:p w14:paraId="66B48E4C">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（5）提供虚假材料谋取成交的；</w:t>
      </w:r>
    </w:p>
    <w:p w14:paraId="37C3F95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（6）采取不正当手段诋毁、排挤其他供应商的；</w:t>
      </w:r>
    </w:p>
    <w:p w14:paraId="7442330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（7）与采购人、其他供应商或者采购代理机构恶意串通的；</w:t>
      </w:r>
    </w:p>
    <w:p w14:paraId="2AABC5D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（8）向采购人、采购代理机构行贿或者提供其他不正当利益的；</w:t>
      </w:r>
    </w:p>
    <w:p w14:paraId="1AD1BB8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（9）在磋商过程中与采购人进行协商报价的；</w:t>
      </w:r>
    </w:p>
    <w:p w14:paraId="7B13C52A">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（10）拒绝有关部门监督检查或者提供虚假情况的。</w:t>
      </w:r>
    </w:p>
    <w:p w14:paraId="407FD305">
      <w:pPr>
        <w:tabs>
          <w:tab w:val="left" w:pos="900"/>
        </w:tabs>
        <w:autoSpaceDE w:val="0"/>
        <w:autoSpaceDN w:val="0"/>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供应商有第（5）至（9）项情形之一的，成交无效。</w:t>
      </w:r>
    </w:p>
    <w:p w14:paraId="02CF3CEA">
      <w:pPr>
        <w:spacing w:line="360" w:lineRule="auto"/>
        <w:outlineLvl w:val="3"/>
        <w:rPr>
          <w:rFonts w:hint="eastAsia" w:ascii="宋体" w:hAnsi="宋体" w:cs="宋体"/>
          <w:b/>
          <w:bCs/>
          <w:color w:val="auto"/>
          <w:sz w:val="24"/>
          <w:szCs w:val="24"/>
        </w:rPr>
      </w:pPr>
      <w:bookmarkStart w:id="267" w:name="_Toc42267623"/>
      <w:bookmarkStart w:id="268" w:name="_Toc98033925"/>
      <w:bookmarkStart w:id="269" w:name="_Toc69678420"/>
      <w:bookmarkStart w:id="270" w:name="_Toc98865002"/>
      <w:bookmarkStart w:id="271" w:name="_Toc45976891"/>
      <w:bookmarkStart w:id="272" w:name="_Toc42204984"/>
      <w:bookmarkStart w:id="273" w:name="_Toc87543809"/>
      <w:bookmarkStart w:id="274" w:name="_Toc116583991"/>
      <w:bookmarkStart w:id="275" w:name="_Toc45791345"/>
      <w:bookmarkStart w:id="276" w:name="_Toc109809303"/>
      <w:bookmarkStart w:id="277" w:name="_Toc75783522"/>
      <w:bookmarkStart w:id="278" w:name="_Toc53412207"/>
      <w:bookmarkStart w:id="279" w:name="_Toc110405125"/>
      <w:bookmarkStart w:id="280" w:name="_Toc81330930"/>
      <w:bookmarkStart w:id="281" w:name="_Toc83753883"/>
      <w:bookmarkStart w:id="282" w:name="_Toc87538360"/>
      <w:bookmarkStart w:id="283" w:name="_Toc11916"/>
      <w:bookmarkStart w:id="284" w:name="_Toc84356243"/>
      <w:r>
        <w:rPr>
          <w:rFonts w:hint="eastAsia" w:ascii="宋体" w:hAnsi="宋体" w:cs="宋体"/>
          <w:b/>
          <w:bCs/>
          <w:color w:val="auto"/>
          <w:sz w:val="24"/>
          <w:szCs w:val="24"/>
        </w:rPr>
        <w:t>1.5 费用承担</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14:paraId="6360852B">
      <w:pPr>
        <w:adjustRightInd w:val="0"/>
        <w:snapToGrid w:val="0"/>
        <w:spacing w:line="360" w:lineRule="auto"/>
        <w:ind w:firstLine="420" w:firstLineChars="200"/>
        <w:rPr>
          <w:rFonts w:hint="eastAsia" w:ascii="宋体" w:hAnsi="宋体" w:cs="宋体"/>
          <w:color w:val="auto"/>
          <w:szCs w:val="21"/>
        </w:rPr>
      </w:pPr>
      <w:bookmarkStart w:id="285" w:name="_Toc42204985"/>
      <w:bookmarkStart w:id="286" w:name="_Toc53412208"/>
      <w:bookmarkStart w:id="287" w:name="_Toc42267624"/>
      <w:bookmarkStart w:id="288" w:name="_Toc45976892"/>
      <w:bookmarkStart w:id="289" w:name="_Toc45791346"/>
      <w:r>
        <w:rPr>
          <w:rFonts w:hint="eastAsia" w:ascii="宋体" w:hAnsi="宋体" w:cs="宋体"/>
          <w:color w:val="auto"/>
          <w:szCs w:val="21"/>
        </w:rPr>
        <w:t>详见供应商须知前附表。</w:t>
      </w:r>
    </w:p>
    <w:p w14:paraId="08E1AA41">
      <w:pPr>
        <w:spacing w:line="360" w:lineRule="auto"/>
        <w:outlineLvl w:val="3"/>
        <w:rPr>
          <w:rFonts w:hint="eastAsia" w:ascii="宋体" w:hAnsi="宋体" w:cs="宋体"/>
          <w:b/>
          <w:bCs/>
          <w:color w:val="auto"/>
          <w:sz w:val="24"/>
          <w:szCs w:val="24"/>
        </w:rPr>
      </w:pPr>
      <w:bookmarkStart w:id="290" w:name="_Toc98865003"/>
      <w:bookmarkStart w:id="291" w:name="_Toc109809304"/>
      <w:bookmarkStart w:id="292" w:name="_Toc110405126"/>
      <w:bookmarkStart w:id="293" w:name="_Toc87543810"/>
      <w:bookmarkStart w:id="294" w:name="_Toc29495"/>
      <w:bookmarkStart w:id="295" w:name="_Toc87538361"/>
      <w:bookmarkStart w:id="296" w:name="_Toc69678421"/>
      <w:bookmarkStart w:id="297" w:name="_Toc84356244"/>
      <w:bookmarkStart w:id="298" w:name="_Toc81330931"/>
      <w:bookmarkStart w:id="299" w:name="_Toc98033926"/>
      <w:bookmarkStart w:id="300" w:name="_Toc116583992"/>
      <w:bookmarkStart w:id="301" w:name="_Toc83753884"/>
      <w:bookmarkStart w:id="302" w:name="_Toc75783523"/>
      <w:r>
        <w:rPr>
          <w:rFonts w:hint="eastAsia" w:ascii="宋体" w:hAnsi="宋体" w:cs="宋体"/>
          <w:b/>
          <w:bCs/>
          <w:color w:val="auto"/>
          <w:sz w:val="24"/>
          <w:szCs w:val="24"/>
        </w:rPr>
        <w:t>1.6 保密</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p w14:paraId="544D2BBF">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参与竞争性磋商的各方应对</w:t>
      </w:r>
      <w:r>
        <w:rPr>
          <w:rFonts w:hint="eastAsia" w:ascii="宋体" w:hAnsi="宋体" w:cs="宋体"/>
          <w:snapToGrid w:val="0"/>
          <w:color w:val="auto"/>
          <w:kern w:val="0"/>
          <w:szCs w:val="21"/>
        </w:rPr>
        <w:t>采购文件</w:t>
      </w:r>
      <w:r>
        <w:rPr>
          <w:rFonts w:hint="eastAsia" w:ascii="宋体" w:hAnsi="宋体" w:cs="宋体"/>
          <w:color w:val="auto"/>
          <w:szCs w:val="21"/>
        </w:rPr>
        <w:t>和响应文件中的商业、技术等秘密保密，违者应对由此造成的后果承担法律责任。</w:t>
      </w:r>
    </w:p>
    <w:p w14:paraId="2F9417B4">
      <w:pPr>
        <w:spacing w:line="360" w:lineRule="auto"/>
        <w:outlineLvl w:val="3"/>
        <w:rPr>
          <w:rFonts w:hint="eastAsia" w:ascii="宋体" w:hAnsi="宋体" w:cs="宋体"/>
          <w:b/>
          <w:bCs/>
          <w:color w:val="auto"/>
          <w:sz w:val="24"/>
          <w:szCs w:val="24"/>
        </w:rPr>
      </w:pPr>
      <w:bookmarkStart w:id="303" w:name="_Toc3702"/>
      <w:bookmarkStart w:id="304" w:name="_Toc45976893"/>
      <w:bookmarkStart w:id="305" w:name="_Toc116583993"/>
      <w:bookmarkStart w:id="306" w:name="_Toc87538362"/>
      <w:bookmarkStart w:id="307" w:name="_Toc83753885"/>
      <w:bookmarkStart w:id="308" w:name="_Toc42204986"/>
      <w:bookmarkStart w:id="309" w:name="_Toc69678422"/>
      <w:bookmarkStart w:id="310" w:name="_Toc98865004"/>
      <w:bookmarkStart w:id="311" w:name="_Toc53412209"/>
      <w:bookmarkStart w:id="312" w:name="_Toc45791347"/>
      <w:bookmarkStart w:id="313" w:name="_Toc110405127"/>
      <w:bookmarkStart w:id="314" w:name="_Toc87543811"/>
      <w:bookmarkStart w:id="315" w:name="_Toc75783524"/>
      <w:bookmarkStart w:id="316" w:name="_Toc98033927"/>
      <w:bookmarkStart w:id="317" w:name="_Toc81330932"/>
      <w:bookmarkStart w:id="318" w:name="_Toc42267625"/>
      <w:bookmarkStart w:id="319" w:name="_Toc109809305"/>
      <w:bookmarkStart w:id="320" w:name="_Toc84356245"/>
      <w:r>
        <w:rPr>
          <w:rFonts w:hint="eastAsia" w:ascii="宋体" w:hAnsi="宋体" w:cs="宋体"/>
          <w:b/>
          <w:bCs/>
          <w:color w:val="auto"/>
          <w:sz w:val="24"/>
          <w:szCs w:val="24"/>
        </w:rPr>
        <w:t>1.7 语言文字</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p w14:paraId="5F5E1BA5">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除专用术语外，与竞争性磋商有关的语言均使用中文。必要时专用术语应附有中文注释。</w:t>
      </w:r>
    </w:p>
    <w:p w14:paraId="38577F2E">
      <w:pPr>
        <w:spacing w:line="360" w:lineRule="auto"/>
        <w:outlineLvl w:val="3"/>
        <w:rPr>
          <w:rFonts w:hint="eastAsia" w:ascii="宋体" w:hAnsi="宋体" w:cs="宋体"/>
          <w:b/>
          <w:bCs/>
          <w:color w:val="auto"/>
          <w:sz w:val="24"/>
          <w:szCs w:val="24"/>
        </w:rPr>
      </w:pPr>
      <w:bookmarkStart w:id="321" w:name="_Toc45791348"/>
      <w:bookmarkStart w:id="322" w:name="_Toc45976894"/>
      <w:bookmarkStart w:id="323" w:name="_Toc87538363"/>
      <w:bookmarkStart w:id="324" w:name="_Toc110405128"/>
      <w:bookmarkStart w:id="325" w:name="_Toc21668"/>
      <w:bookmarkStart w:id="326" w:name="_Toc42204987"/>
      <w:bookmarkStart w:id="327" w:name="_Toc83753886"/>
      <w:bookmarkStart w:id="328" w:name="_Toc84356246"/>
      <w:bookmarkStart w:id="329" w:name="_Toc81330933"/>
      <w:bookmarkStart w:id="330" w:name="_Toc109809306"/>
      <w:bookmarkStart w:id="331" w:name="_Toc69678423"/>
      <w:bookmarkStart w:id="332" w:name="_Toc42267626"/>
      <w:bookmarkStart w:id="333" w:name="_Toc53412210"/>
      <w:bookmarkStart w:id="334" w:name="_Toc75783525"/>
      <w:bookmarkStart w:id="335" w:name="_Toc98033928"/>
      <w:bookmarkStart w:id="336" w:name="_Toc98865005"/>
      <w:bookmarkStart w:id="337" w:name="_Toc87543812"/>
      <w:bookmarkStart w:id="338" w:name="_Toc116583994"/>
      <w:r>
        <w:rPr>
          <w:rFonts w:hint="eastAsia" w:ascii="宋体" w:hAnsi="宋体" w:cs="宋体"/>
          <w:b/>
          <w:bCs/>
          <w:color w:val="auto"/>
          <w:sz w:val="24"/>
          <w:szCs w:val="24"/>
        </w:rPr>
        <w:t>1.8 计量单位</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14:paraId="0FB6D351">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所有计量均采用中华人民共和国法定计量单位。</w:t>
      </w:r>
    </w:p>
    <w:p w14:paraId="73D58877">
      <w:pPr>
        <w:spacing w:line="360" w:lineRule="auto"/>
        <w:outlineLvl w:val="3"/>
        <w:rPr>
          <w:rFonts w:hint="eastAsia" w:ascii="宋体" w:hAnsi="宋体" w:cs="宋体"/>
          <w:b/>
          <w:bCs/>
          <w:color w:val="auto"/>
          <w:sz w:val="24"/>
          <w:szCs w:val="24"/>
        </w:rPr>
      </w:pPr>
      <w:bookmarkStart w:id="339" w:name="_Toc116583995"/>
      <w:bookmarkStart w:id="340" w:name="_Toc42204988"/>
      <w:bookmarkStart w:id="341" w:name="_Toc84356247"/>
      <w:bookmarkStart w:id="342" w:name="_Toc87538364"/>
      <w:bookmarkStart w:id="343" w:name="_Toc53412211"/>
      <w:bookmarkStart w:id="344" w:name="_Toc87543813"/>
      <w:bookmarkStart w:id="345" w:name="_Toc75783526"/>
      <w:bookmarkStart w:id="346" w:name="_Toc109809307"/>
      <w:bookmarkStart w:id="347" w:name="_Toc98033929"/>
      <w:bookmarkStart w:id="348" w:name="_Toc45976895"/>
      <w:bookmarkStart w:id="349" w:name="_Toc81330934"/>
      <w:bookmarkStart w:id="350" w:name="_Toc69678424"/>
      <w:bookmarkStart w:id="351" w:name="_Toc83753887"/>
      <w:bookmarkStart w:id="352" w:name="_Toc45791349"/>
      <w:bookmarkStart w:id="353" w:name="_Toc42267627"/>
      <w:bookmarkStart w:id="354" w:name="_Toc98865006"/>
      <w:bookmarkStart w:id="355" w:name="_Toc32582"/>
      <w:bookmarkStart w:id="356" w:name="_Toc110405129"/>
      <w:r>
        <w:rPr>
          <w:rFonts w:hint="eastAsia" w:ascii="宋体" w:hAnsi="宋体" w:cs="宋体"/>
          <w:b/>
          <w:bCs/>
          <w:color w:val="auto"/>
          <w:sz w:val="24"/>
          <w:szCs w:val="24"/>
        </w:rPr>
        <w:t>1.9 踏勘现场</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61E1265A">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详见供应商须知前附表。</w:t>
      </w:r>
    </w:p>
    <w:p w14:paraId="158944E8">
      <w:pPr>
        <w:spacing w:line="360" w:lineRule="auto"/>
        <w:outlineLvl w:val="3"/>
        <w:rPr>
          <w:rFonts w:hint="eastAsia" w:ascii="宋体" w:hAnsi="宋体" w:cs="宋体"/>
          <w:b/>
          <w:bCs/>
          <w:color w:val="auto"/>
          <w:sz w:val="24"/>
          <w:szCs w:val="24"/>
        </w:rPr>
      </w:pPr>
      <w:bookmarkStart w:id="357" w:name="_Toc45976896"/>
      <w:bookmarkStart w:id="358" w:name="_Toc81330935"/>
      <w:bookmarkStart w:id="359" w:name="_Toc87538365"/>
      <w:bookmarkStart w:id="360" w:name="_Toc98033930"/>
      <w:bookmarkStart w:id="361" w:name="_Toc30991"/>
      <w:bookmarkStart w:id="362" w:name="_Toc69678425"/>
      <w:bookmarkStart w:id="363" w:name="_Toc42204989"/>
      <w:bookmarkStart w:id="364" w:name="_Toc53412212"/>
      <w:bookmarkStart w:id="365" w:name="_Toc45791350"/>
      <w:bookmarkStart w:id="366" w:name="_Toc83753888"/>
      <w:bookmarkStart w:id="367" w:name="_Toc109809308"/>
      <w:bookmarkStart w:id="368" w:name="_Toc98865007"/>
      <w:bookmarkStart w:id="369" w:name="_Toc84356248"/>
      <w:bookmarkStart w:id="370" w:name="_Toc75783527"/>
      <w:bookmarkStart w:id="371" w:name="_Toc110405130"/>
      <w:bookmarkStart w:id="372" w:name="_Toc42267628"/>
      <w:bookmarkStart w:id="373" w:name="_Toc87543814"/>
      <w:bookmarkStart w:id="374" w:name="_Toc116583996"/>
      <w:r>
        <w:rPr>
          <w:rFonts w:hint="eastAsia" w:ascii="宋体" w:hAnsi="宋体" w:cs="宋体"/>
          <w:b/>
          <w:bCs/>
          <w:color w:val="auto"/>
          <w:sz w:val="24"/>
          <w:szCs w:val="24"/>
        </w:rPr>
        <w:t>1.10 磋商预备会</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14:paraId="4E253592">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1.10.1本次磋商不组织磋商预备会。</w:t>
      </w:r>
    </w:p>
    <w:p w14:paraId="04851236">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1.10.2供应商的询问及答复的规定：详见供应商须知前附表。</w:t>
      </w:r>
    </w:p>
    <w:p w14:paraId="001851E0">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1.10.3采购人澄清的时间和方法：详见供应商须知前附表。</w:t>
      </w:r>
    </w:p>
    <w:p w14:paraId="4009B0F4">
      <w:pPr>
        <w:spacing w:line="360" w:lineRule="auto"/>
        <w:outlineLvl w:val="3"/>
        <w:rPr>
          <w:rFonts w:hint="eastAsia" w:ascii="宋体" w:hAnsi="宋体" w:cs="宋体"/>
          <w:b/>
          <w:bCs/>
          <w:color w:val="auto"/>
          <w:sz w:val="24"/>
          <w:szCs w:val="24"/>
        </w:rPr>
      </w:pPr>
      <w:bookmarkStart w:id="375" w:name="_Toc53412213"/>
      <w:bookmarkStart w:id="376" w:name="_Toc110405131"/>
      <w:bookmarkStart w:id="377" w:name="_Toc42204990"/>
      <w:bookmarkStart w:id="378" w:name="_Toc87543815"/>
      <w:bookmarkStart w:id="379" w:name="_Toc75783528"/>
      <w:bookmarkStart w:id="380" w:name="_Toc98033931"/>
      <w:bookmarkStart w:id="381" w:name="_Toc69678426"/>
      <w:bookmarkStart w:id="382" w:name="_Toc116583997"/>
      <w:bookmarkStart w:id="383" w:name="_Toc84356249"/>
      <w:bookmarkStart w:id="384" w:name="_Toc81330936"/>
      <w:bookmarkStart w:id="385" w:name="_Toc98865008"/>
      <w:bookmarkStart w:id="386" w:name="_Toc109809309"/>
      <w:bookmarkStart w:id="387" w:name="_Toc45976897"/>
      <w:bookmarkStart w:id="388" w:name="_Toc45791351"/>
      <w:bookmarkStart w:id="389" w:name="_Toc87538366"/>
      <w:bookmarkStart w:id="390" w:name="_Toc2836"/>
      <w:bookmarkStart w:id="391" w:name="_Toc42267629"/>
      <w:bookmarkStart w:id="392" w:name="_Toc83753889"/>
      <w:r>
        <w:rPr>
          <w:rFonts w:hint="eastAsia" w:ascii="宋体" w:hAnsi="宋体" w:cs="宋体"/>
          <w:b/>
          <w:bCs/>
          <w:color w:val="auto"/>
          <w:sz w:val="24"/>
          <w:szCs w:val="24"/>
        </w:rPr>
        <w:t>1.11 分包</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4ED64B6B">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详见供应商须知前附表。</w:t>
      </w:r>
    </w:p>
    <w:p w14:paraId="0E1839FE">
      <w:pPr>
        <w:spacing w:line="360" w:lineRule="auto"/>
        <w:outlineLvl w:val="3"/>
        <w:rPr>
          <w:rFonts w:hint="eastAsia" w:ascii="宋体" w:hAnsi="宋体" w:cs="宋体"/>
          <w:b/>
          <w:bCs/>
          <w:color w:val="auto"/>
          <w:sz w:val="24"/>
          <w:szCs w:val="24"/>
        </w:rPr>
      </w:pPr>
      <w:bookmarkStart w:id="393" w:name="_Toc98033932"/>
      <w:bookmarkStart w:id="394" w:name="_Toc110405132"/>
      <w:bookmarkStart w:id="395" w:name="_Toc87543816"/>
      <w:bookmarkStart w:id="396" w:name="_Toc83753890"/>
      <w:bookmarkStart w:id="397" w:name="_Toc42267630"/>
      <w:bookmarkStart w:id="398" w:name="_Toc109809310"/>
      <w:bookmarkStart w:id="399" w:name="_Toc42204991"/>
      <w:bookmarkStart w:id="400" w:name="_Toc45791352"/>
      <w:bookmarkStart w:id="401" w:name="_Toc84356250"/>
      <w:bookmarkStart w:id="402" w:name="_Toc53412214"/>
      <w:bookmarkStart w:id="403" w:name="_Toc87538367"/>
      <w:bookmarkStart w:id="404" w:name="_Toc98865009"/>
      <w:bookmarkStart w:id="405" w:name="_Toc116583998"/>
      <w:bookmarkStart w:id="406" w:name="_Toc81330937"/>
      <w:bookmarkStart w:id="407" w:name="_Toc20888"/>
      <w:bookmarkStart w:id="408" w:name="_Toc69678427"/>
      <w:bookmarkStart w:id="409" w:name="_Toc75783529"/>
      <w:bookmarkStart w:id="410" w:name="_Toc45976898"/>
      <w:r>
        <w:rPr>
          <w:rFonts w:hint="eastAsia" w:ascii="宋体" w:hAnsi="宋体" w:cs="宋体"/>
          <w:b/>
          <w:bCs/>
          <w:color w:val="auto"/>
          <w:sz w:val="24"/>
          <w:szCs w:val="24"/>
        </w:rPr>
        <w:t>1.12 偏离</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
    <w:p w14:paraId="52756AE3">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详见供应商须知前附表。</w:t>
      </w:r>
    </w:p>
    <w:p w14:paraId="7D926758">
      <w:pPr>
        <w:spacing w:line="360" w:lineRule="auto"/>
        <w:jc w:val="center"/>
        <w:outlineLvl w:val="2"/>
        <w:rPr>
          <w:rFonts w:hint="eastAsia" w:ascii="宋体" w:hAnsi="宋体" w:cs="宋体"/>
          <w:b/>
          <w:bCs/>
          <w:color w:val="auto"/>
          <w:sz w:val="28"/>
          <w:szCs w:val="28"/>
        </w:rPr>
      </w:pPr>
      <w:bookmarkStart w:id="411" w:name="_Toc87538368"/>
      <w:bookmarkStart w:id="412" w:name="_Toc45976899"/>
      <w:bookmarkStart w:id="413" w:name="_Toc84356251"/>
      <w:bookmarkStart w:id="414" w:name="_Toc87543817"/>
      <w:bookmarkStart w:id="415" w:name="_Toc45791353"/>
      <w:bookmarkStart w:id="416" w:name="_Toc98033933"/>
      <w:bookmarkStart w:id="417" w:name="_Toc83753891"/>
      <w:bookmarkStart w:id="418" w:name="_Toc42267631"/>
      <w:bookmarkStart w:id="419" w:name="_Toc42204992"/>
      <w:bookmarkStart w:id="420" w:name="_Toc110405133"/>
      <w:bookmarkStart w:id="421" w:name="_Toc109809311"/>
      <w:bookmarkStart w:id="422" w:name="_Toc98865010"/>
      <w:bookmarkStart w:id="423" w:name="_Toc116583999"/>
      <w:bookmarkStart w:id="424" w:name="_Toc22595"/>
      <w:r>
        <w:rPr>
          <w:rFonts w:hint="eastAsia" w:ascii="宋体" w:hAnsi="宋体" w:cs="宋体"/>
          <w:b/>
          <w:bCs/>
          <w:color w:val="auto"/>
          <w:sz w:val="28"/>
          <w:szCs w:val="28"/>
        </w:rPr>
        <w:t>2.</w:t>
      </w:r>
      <w:bookmarkEnd w:id="411"/>
      <w:bookmarkEnd w:id="412"/>
      <w:bookmarkEnd w:id="413"/>
      <w:bookmarkEnd w:id="414"/>
      <w:bookmarkEnd w:id="415"/>
      <w:bookmarkEnd w:id="416"/>
      <w:bookmarkEnd w:id="417"/>
      <w:bookmarkEnd w:id="418"/>
      <w:bookmarkEnd w:id="419"/>
      <w:r>
        <w:rPr>
          <w:rFonts w:hint="eastAsia" w:ascii="宋体" w:hAnsi="宋体" w:cs="宋体"/>
          <w:b/>
          <w:bCs/>
          <w:color w:val="auto"/>
          <w:sz w:val="28"/>
          <w:szCs w:val="28"/>
        </w:rPr>
        <w:t>采购文件</w:t>
      </w:r>
      <w:bookmarkEnd w:id="420"/>
      <w:bookmarkEnd w:id="421"/>
      <w:bookmarkEnd w:id="422"/>
      <w:bookmarkEnd w:id="423"/>
      <w:bookmarkEnd w:id="424"/>
    </w:p>
    <w:p w14:paraId="749395D9">
      <w:pPr>
        <w:spacing w:line="360" w:lineRule="auto"/>
        <w:outlineLvl w:val="3"/>
        <w:rPr>
          <w:rFonts w:hint="eastAsia" w:ascii="宋体" w:hAnsi="宋体" w:cs="宋体"/>
          <w:b/>
          <w:bCs/>
          <w:color w:val="auto"/>
          <w:sz w:val="24"/>
          <w:szCs w:val="24"/>
        </w:rPr>
      </w:pPr>
      <w:bookmarkStart w:id="425" w:name="_Toc116584000"/>
      <w:bookmarkStart w:id="426" w:name="_Toc75783531"/>
      <w:bookmarkStart w:id="427" w:name="_Toc109809312"/>
      <w:bookmarkStart w:id="428" w:name="_Toc81330939"/>
      <w:bookmarkStart w:id="429" w:name="_Toc84356252"/>
      <w:bookmarkStart w:id="430" w:name="_Toc110405134"/>
      <w:bookmarkStart w:id="431" w:name="_Toc42267632"/>
      <w:bookmarkStart w:id="432" w:name="_Toc42204993"/>
      <w:bookmarkStart w:id="433" w:name="_Toc45791354"/>
      <w:bookmarkStart w:id="434" w:name="_Toc98033934"/>
      <w:bookmarkStart w:id="435" w:name="_Toc98865011"/>
      <w:bookmarkStart w:id="436" w:name="_Toc45976900"/>
      <w:bookmarkStart w:id="437" w:name="_Toc87538369"/>
      <w:bookmarkStart w:id="438" w:name="_Toc83753892"/>
      <w:bookmarkStart w:id="439" w:name="_Toc1486"/>
      <w:bookmarkStart w:id="440" w:name="_Toc87543818"/>
      <w:bookmarkStart w:id="441" w:name="_Toc69678429"/>
      <w:bookmarkStart w:id="442" w:name="_Toc53412216"/>
      <w:r>
        <w:rPr>
          <w:rFonts w:hint="eastAsia" w:ascii="宋体" w:hAnsi="宋体" w:cs="宋体"/>
          <w:b/>
          <w:bCs/>
          <w:color w:val="auto"/>
          <w:sz w:val="24"/>
          <w:szCs w:val="24"/>
        </w:rPr>
        <w:t>2.1采购文件的构成</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p>
    <w:p w14:paraId="5CE8A1D6">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采购文件包括以下内容：</w:t>
      </w:r>
    </w:p>
    <w:p w14:paraId="63958042">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第一章 竞争性磋商公告</w:t>
      </w:r>
    </w:p>
    <w:p w14:paraId="796644EE">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第二章 供应商须知</w:t>
      </w:r>
    </w:p>
    <w:p w14:paraId="636F604F">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第三章 合同条款及格式</w:t>
      </w:r>
    </w:p>
    <w:p w14:paraId="42CEAEA9">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第四章 响应文件格式</w:t>
      </w:r>
    </w:p>
    <w:p w14:paraId="0E0F5BD2">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第五章 采购需求</w:t>
      </w:r>
    </w:p>
    <w:p w14:paraId="7E423345">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第六章 评审办法（综合评分法）</w:t>
      </w:r>
    </w:p>
    <w:p w14:paraId="4CB5CFCF">
      <w:pPr>
        <w:spacing w:line="360" w:lineRule="auto"/>
        <w:ind w:firstLine="420" w:firstLineChars="200"/>
        <w:jc w:val="left"/>
        <w:rPr>
          <w:rFonts w:hint="eastAsia" w:ascii="宋体" w:hAnsi="宋体" w:cs="宋体"/>
          <w:color w:val="auto"/>
          <w:szCs w:val="28"/>
        </w:rPr>
      </w:pPr>
      <w:r>
        <w:rPr>
          <w:rFonts w:hint="eastAsia" w:ascii="宋体" w:hAnsi="宋体" w:cs="宋体"/>
          <w:color w:val="auto"/>
          <w:szCs w:val="28"/>
        </w:rPr>
        <w:t>2.1.1构成采购文件的其他文件：根据本章第1.10款、第2.2 款和第2.3 款采购人对</w:t>
      </w:r>
      <w:r>
        <w:rPr>
          <w:rFonts w:hint="eastAsia" w:ascii="宋体" w:hAnsi="宋体" w:cs="宋体"/>
          <w:snapToGrid w:val="0"/>
          <w:color w:val="auto"/>
          <w:kern w:val="0"/>
          <w:szCs w:val="21"/>
        </w:rPr>
        <w:t>采购文件</w:t>
      </w:r>
      <w:r>
        <w:rPr>
          <w:rFonts w:hint="eastAsia" w:ascii="宋体" w:hAnsi="宋体" w:cs="宋体"/>
          <w:color w:val="auto"/>
          <w:szCs w:val="28"/>
        </w:rPr>
        <w:t>所作的澄清、修改，构成采购文件的组成部分。</w:t>
      </w:r>
    </w:p>
    <w:p w14:paraId="75F207D8">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2.1.2磋商过程中可能实质性变动的内容：在磋商过程中，磋商小组可以根据</w:t>
      </w:r>
      <w:r>
        <w:rPr>
          <w:rFonts w:hint="eastAsia" w:ascii="宋体" w:hAnsi="宋体" w:cs="宋体"/>
          <w:snapToGrid w:val="0"/>
          <w:color w:val="auto"/>
          <w:kern w:val="0"/>
          <w:szCs w:val="21"/>
        </w:rPr>
        <w:t>采购文件</w:t>
      </w:r>
      <w:r>
        <w:rPr>
          <w:rFonts w:hint="eastAsia" w:ascii="宋体" w:hAnsi="宋体" w:cs="宋体"/>
          <w:color w:val="auto"/>
          <w:szCs w:val="21"/>
        </w:rPr>
        <w:t>和磋商情况实质性变动采购需求中的技术要求、质量标准以及合同条款，但不得变动</w:t>
      </w:r>
      <w:r>
        <w:rPr>
          <w:rFonts w:hint="eastAsia" w:ascii="宋体" w:hAnsi="宋体" w:cs="宋体"/>
          <w:snapToGrid w:val="0"/>
          <w:color w:val="auto"/>
          <w:kern w:val="0"/>
          <w:szCs w:val="21"/>
        </w:rPr>
        <w:t>采购文件</w:t>
      </w:r>
      <w:r>
        <w:rPr>
          <w:rFonts w:hint="eastAsia" w:ascii="宋体" w:hAnsi="宋体" w:cs="宋体"/>
          <w:color w:val="auto"/>
          <w:szCs w:val="21"/>
        </w:rPr>
        <w:t>中的其他内容。实质性变动的内容，须经采购人代表确认。</w:t>
      </w:r>
    </w:p>
    <w:p w14:paraId="6123ECE4">
      <w:pPr>
        <w:spacing w:line="360" w:lineRule="auto"/>
        <w:outlineLvl w:val="3"/>
        <w:rPr>
          <w:rFonts w:hint="eastAsia" w:ascii="宋体" w:hAnsi="宋体" w:cs="宋体"/>
          <w:b/>
          <w:bCs/>
          <w:color w:val="auto"/>
          <w:sz w:val="24"/>
          <w:szCs w:val="24"/>
        </w:rPr>
      </w:pPr>
      <w:bookmarkStart w:id="443" w:name="_Toc45976901"/>
      <w:bookmarkStart w:id="444" w:name="_Toc75783532"/>
      <w:bookmarkStart w:id="445" w:name="_Toc42204994"/>
      <w:bookmarkStart w:id="446" w:name="_Toc116584001"/>
      <w:bookmarkStart w:id="447" w:name="_Toc110405135"/>
      <w:bookmarkStart w:id="448" w:name="_Toc84356253"/>
      <w:bookmarkStart w:id="449" w:name="_Toc2038"/>
      <w:bookmarkStart w:id="450" w:name="_Toc87543819"/>
      <w:bookmarkStart w:id="451" w:name="_Toc98033935"/>
      <w:bookmarkStart w:id="452" w:name="_Toc109809313"/>
      <w:bookmarkStart w:id="453" w:name="_Toc69678430"/>
      <w:bookmarkStart w:id="454" w:name="_Toc42267633"/>
      <w:bookmarkStart w:id="455" w:name="_Toc81330940"/>
      <w:bookmarkStart w:id="456" w:name="_Toc83753893"/>
      <w:bookmarkStart w:id="457" w:name="_Toc87538370"/>
      <w:bookmarkStart w:id="458" w:name="_Toc98865012"/>
      <w:bookmarkStart w:id="459" w:name="_Toc53412217"/>
      <w:bookmarkStart w:id="460" w:name="_Toc45791355"/>
      <w:r>
        <w:rPr>
          <w:rFonts w:hint="eastAsia" w:ascii="宋体" w:hAnsi="宋体" w:cs="宋体"/>
          <w:b/>
          <w:bCs/>
          <w:color w:val="auto"/>
          <w:sz w:val="24"/>
          <w:szCs w:val="24"/>
        </w:rPr>
        <w:t>2.2采购文件的澄清</w:t>
      </w:r>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p>
    <w:p w14:paraId="3A43D7BF">
      <w:pPr>
        <w:adjustRightInd w:val="0"/>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2.2.1供应商要求澄清采购文件的方法：供应商应仔细阅读和检查采购文件的全部内容，如发现缺页或附件不全，应及时向采购人提出，以便补齐。如有疑问，可要求采购人对采购文件予以澄清。</w:t>
      </w:r>
    </w:p>
    <w:p w14:paraId="57B889F6">
      <w:pPr>
        <w:adjustRightInd w:val="0"/>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2.2.2提交响应文件的截止时间：详见供应商须知前附表。</w:t>
      </w:r>
    </w:p>
    <w:p w14:paraId="5D917875">
      <w:pPr>
        <w:adjustRightInd w:val="0"/>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2.2.3供应商确认收到</w:t>
      </w:r>
      <w:r>
        <w:rPr>
          <w:rFonts w:hint="eastAsia" w:ascii="宋体" w:hAnsi="宋体" w:cs="宋体"/>
          <w:snapToGrid w:val="0"/>
          <w:color w:val="auto"/>
          <w:kern w:val="0"/>
          <w:szCs w:val="21"/>
        </w:rPr>
        <w:t>采购文件</w:t>
      </w:r>
      <w:r>
        <w:rPr>
          <w:rFonts w:hint="eastAsia" w:ascii="宋体" w:hAnsi="宋体" w:cs="宋体"/>
          <w:color w:val="auto"/>
          <w:szCs w:val="21"/>
        </w:rPr>
        <w:t>澄清的时间：详</w:t>
      </w:r>
      <w:r>
        <w:rPr>
          <w:rFonts w:hint="eastAsia" w:ascii="宋体" w:hAnsi="宋体" w:cs="宋体"/>
          <w:color w:val="auto"/>
          <w:szCs w:val="28"/>
        </w:rPr>
        <w:t>见供应商须知前附表。</w:t>
      </w:r>
    </w:p>
    <w:p w14:paraId="30C71565">
      <w:pPr>
        <w:spacing w:line="360" w:lineRule="auto"/>
        <w:outlineLvl w:val="3"/>
        <w:rPr>
          <w:rFonts w:hint="eastAsia" w:ascii="宋体" w:hAnsi="宋体" w:cs="宋体"/>
          <w:b/>
          <w:bCs/>
          <w:color w:val="auto"/>
          <w:sz w:val="24"/>
          <w:szCs w:val="24"/>
        </w:rPr>
      </w:pPr>
      <w:bookmarkStart w:id="461" w:name="_Toc75783533"/>
      <w:bookmarkStart w:id="462" w:name="_Toc109809314"/>
      <w:bookmarkStart w:id="463" w:name="_Toc13012"/>
      <w:bookmarkStart w:id="464" w:name="_Toc110405136"/>
      <w:bookmarkStart w:id="465" w:name="_Toc81330941"/>
      <w:bookmarkStart w:id="466" w:name="_Toc84356254"/>
      <w:bookmarkStart w:id="467" w:name="_Toc98033936"/>
      <w:bookmarkStart w:id="468" w:name="_Toc45976902"/>
      <w:bookmarkStart w:id="469" w:name="_Toc42267634"/>
      <w:bookmarkStart w:id="470" w:name="_Toc116584002"/>
      <w:bookmarkStart w:id="471" w:name="_Toc42204995"/>
      <w:bookmarkStart w:id="472" w:name="_Toc83753894"/>
      <w:bookmarkStart w:id="473" w:name="_Toc87543820"/>
      <w:bookmarkStart w:id="474" w:name="_Toc69678431"/>
      <w:bookmarkStart w:id="475" w:name="_Toc45791356"/>
      <w:bookmarkStart w:id="476" w:name="_Toc53412218"/>
      <w:bookmarkStart w:id="477" w:name="_Toc98865013"/>
      <w:bookmarkStart w:id="478" w:name="_Toc87538371"/>
      <w:r>
        <w:rPr>
          <w:rFonts w:hint="eastAsia" w:ascii="宋体" w:hAnsi="宋体" w:cs="宋体"/>
          <w:b/>
          <w:bCs/>
          <w:color w:val="auto"/>
          <w:sz w:val="24"/>
          <w:szCs w:val="24"/>
        </w:rPr>
        <w:t>2.3采购文件的修改</w:t>
      </w:r>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p w14:paraId="608C84F4">
      <w:pPr>
        <w:adjustRightInd w:val="0"/>
        <w:snapToGrid w:val="0"/>
        <w:spacing w:line="360" w:lineRule="auto"/>
        <w:ind w:firstLine="420" w:firstLineChars="200"/>
        <w:jc w:val="left"/>
        <w:rPr>
          <w:rFonts w:hint="eastAsia" w:ascii="宋体" w:hAnsi="宋体" w:cs="宋体"/>
          <w:color w:val="auto"/>
          <w:szCs w:val="21"/>
        </w:rPr>
      </w:pPr>
      <w:bookmarkStart w:id="479" w:name="_Toc292983019"/>
      <w:bookmarkStart w:id="480" w:name="_Toc381796409"/>
      <w:r>
        <w:rPr>
          <w:rFonts w:hint="eastAsia" w:ascii="宋体" w:hAnsi="宋体" w:cs="宋体"/>
          <w:color w:val="auto"/>
          <w:szCs w:val="21"/>
        </w:rPr>
        <w:t>2.3.1</w:t>
      </w:r>
      <w:r>
        <w:rPr>
          <w:rFonts w:hint="eastAsia" w:ascii="宋体" w:hAnsi="宋体" w:cs="宋体"/>
          <w:color w:val="auto"/>
        </w:rPr>
        <w:t>提交响应文件截止时间前，采购人、采购代理机构可以对已发出的采购文件进行必要的澄清，澄清的内容作为采购文件的组成部分</w:t>
      </w:r>
      <w:r>
        <w:rPr>
          <w:rFonts w:hint="eastAsia" w:ascii="宋体" w:hAnsi="宋体" w:cs="宋体"/>
          <w:color w:val="auto"/>
          <w:szCs w:val="21"/>
        </w:rPr>
        <w:t>并具有约束力。</w:t>
      </w:r>
      <w:r>
        <w:rPr>
          <w:rFonts w:hint="eastAsia" w:ascii="宋体" w:hAnsi="宋体" w:cs="宋体"/>
          <w:color w:val="auto"/>
        </w:rPr>
        <w:t>澄清的内容可能影响采购文件编制的，采购人、采购代理机构应在提交响应文件截止时间5日前，在政府采购云平台通知所有获取采购文件的供应商，但不指明澄清问题的来源。不足5日的，应当顺延提交响应文件截止时间。</w:t>
      </w:r>
    </w:p>
    <w:p w14:paraId="09D56680">
      <w:pPr>
        <w:adjustRightInd w:val="0"/>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2.3.2供应商应在响应文件提交截止时间前随时查看有关该项目采购文件的答疑、补遗内容。否则，由此引起的损失由供应商自负。</w:t>
      </w:r>
    </w:p>
    <w:p w14:paraId="5AC9F884">
      <w:pPr>
        <w:adjustRightInd w:val="0"/>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2.3.3采购文件、采购文件澄清、采购文件修改文件内容均以网上发布的为准，当采购文件、采购文件澄清、采购文件修改文件内容相互矛盾时，以最后发出的为准。</w:t>
      </w:r>
    </w:p>
    <w:p w14:paraId="114FCCC1">
      <w:pPr>
        <w:spacing w:line="360" w:lineRule="auto"/>
        <w:jc w:val="center"/>
        <w:outlineLvl w:val="2"/>
        <w:rPr>
          <w:rFonts w:hint="eastAsia" w:ascii="宋体" w:hAnsi="宋体" w:cs="宋体"/>
          <w:b/>
          <w:bCs/>
          <w:color w:val="auto"/>
          <w:sz w:val="28"/>
          <w:szCs w:val="28"/>
        </w:rPr>
      </w:pPr>
      <w:bookmarkStart w:id="481" w:name="_Toc83753895"/>
      <w:bookmarkStart w:id="482" w:name="_Toc87543821"/>
      <w:bookmarkStart w:id="483" w:name="_Toc84356255"/>
      <w:bookmarkStart w:id="484" w:name="_Toc45976903"/>
      <w:bookmarkStart w:id="485" w:name="_Toc98033937"/>
      <w:bookmarkStart w:id="486" w:name="_Toc110405137"/>
      <w:bookmarkStart w:id="487" w:name="_Toc42204996"/>
      <w:bookmarkStart w:id="488" w:name="_Toc109809315"/>
      <w:bookmarkStart w:id="489" w:name="_Toc37603104"/>
      <w:bookmarkStart w:id="490" w:name="_Toc98865014"/>
      <w:bookmarkStart w:id="491" w:name="_Toc42267635"/>
      <w:bookmarkStart w:id="492" w:name="_Toc26920"/>
      <w:bookmarkStart w:id="493" w:name="_Toc87538372"/>
      <w:bookmarkStart w:id="494" w:name="_Toc116584003"/>
      <w:bookmarkStart w:id="495" w:name="_Toc45791357"/>
      <w:r>
        <w:rPr>
          <w:rFonts w:hint="eastAsia" w:ascii="宋体" w:hAnsi="宋体" w:cs="宋体"/>
          <w:b/>
          <w:bCs/>
          <w:color w:val="auto"/>
          <w:sz w:val="28"/>
          <w:szCs w:val="28"/>
        </w:rPr>
        <w:t>3.响应文件</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p>
    <w:p w14:paraId="3D6EB1B3">
      <w:pPr>
        <w:spacing w:line="360" w:lineRule="auto"/>
        <w:outlineLvl w:val="3"/>
        <w:rPr>
          <w:rFonts w:hint="eastAsia" w:ascii="宋体" w:hAnsi="宋体" w:cs="宋体"/>
          <w:b/>
          <w:bCs/>
          <w:color w:val="auto"/>
          <w:sz w:val="24"/>
          <w:szCs w:val="24"/>
        </w:rPr>
      </w:pPr>
      <w:bookmarkStart w:id="496" w:name="_Toc75783535"/>
      <w:bookmarkStart w:id="497" w:name="_Toc81330943"/>
      <w:bookmarkStart w:id="498" w:name="_Toc145"/>
      <w:bookmarkStart w:id="499" w:name="_Toc42267636"/>
      <w:bookmarkStart w:id="500" w:name="_Toc98033938"/>
      <w:bookmarkStart w:id="501" w:name="_Toc109809316"/>
      <w:bookmarkStart w:id="502" w:name="_Toc53412220"/>
      <w:bookmarkStart w:id="503" w:name="_Toc98865015"/>
      <w:bookmarkStart w:id="504" w:name="_Toc45976904"/>
      <w:bookmarkStart w:id="505" w:name="_Toc45791358"/>
      <w:bookmarkStart w:id="506" w:name="_Toc116584004"/>
      <w:bookmarkStart w:id="507" w:name="_Toc83753896"/>
      <w:bookmarkStart w:id="508" w:name="_Toc110405138"/>
      <w:bookmarkStart w:id="509" w:name="_Toc87543822"/>
      <w:bookmarkStart w:id="510" w:name="_Toc87538373"/>
      <w:bookmarkStart w:id="511" w:name="_Toc42204997"/>
      <w:bookmarkStart w:id="512" w:name="_Toc84356256"/>
      <w:bookmarkStart w:id="513" w:name="_Toc69678433"/>
      <w:r>
        <w:rPr>
          <w:rFonts w:hint="eastAsia" w:ascii="宋体" w:hAnsi="宋体" w:cs="宋体"/>
          <w:b/>
          <w:bCs/>
          <w:color w:val="auto"/>
          <w:sz w:val="24"/>
          <w:szCs w:val="24"/>
        </w:rPr>
        <w:t>3.1 响应文件的组成</w:t>
      </w:r>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 w14:paraId="5AA3F299">
      <w:pPr>
        <w:pStyle w:val="5"/>
        <w:spacing w:line="360" w:lineRule="auto"/>
        <w:rPr>
          <w:rFonts w:hint="eastAsia" w:ascii="宋体" w:hAnsi="宋体" w:cs="宋体"/>
          <w:color w:val="auto"/>
          <w:szCs w:val="21"/>
        </w:rPr>
      </w:pPr>
      <w:r>
        <w:rPr>
          <w:rFonts w:hint="eastAsia" w:ascii="宋体" w:hAnsi="宋体" w:cs="宋体"/>
          <w:color w:val="auto"/>
          <w:szCs w:val="21"/>
        </w:rPr>
        <w:t>详见第四章“响应文件格式”部分。</w:t>
      </w:r>
    </w:p>
    <w:p w14:paraId="5E9EB7DD">
      <w:pPr>
        <w:spacing w:line="360" w:lineRule="auto"/>
        <w:outlineLvl w:val="3"/>
        <w:rPr>
          <w:rFonts w:hint="eastAsia" w:ascii="宋体" w:hAnsi="宋体" w:cs="宋体"/>
          <w:b/>
          <w:bCs/>
          <w:color w:val="auto"/>
          <w:sz w:val="24"/>
          <w:szCs w:val="24"/>
        </w:rPr>
      </w:pPr>
      <w:bookmarkStart w:id="514" w:name="_Toc45791359"/>
      <w:bookmarkStart w:id="515" w:name="_Toc42267637"/>
      <w:bookmarkStart w:id="516" w:name="_Toc81330944"/>
      <w:bookmarkStart w:id="517" w:name="_Toc84356257"/>
      <w:bookmarkStart w:id="518" w:name="_Toc69678434"/>
      <w:bookmarkStart w:id="519" w:name="_Toc110405139"/>
      <w:bookmarkStart w:id="520" w:name="_Toc116584005"/>
      <w:bookmarkStart w:id="521" w:name="_Toc75783536"/>
      <w:bookmarkStart w:id="522" w:name="_Toc42204998"/>
      <w:bookmarkStart w:id="523" w:name="_Toc98865016"/>
      <w:bookmarkStart w:id="524" w:name="_Toc45976905"/>
      <w:bookmarkStart w:id="525" w:name="_Toc98033939"/>
      <w:bookmarkStart w:id="526" w:name="_Toc87538374"/>
      <w:bookmarkStart w:id="527" w:name="_Toc53412221"/>
      <w:bookmarkStart w:id="528" w:name="_Toc109809317"/>
      <w:bookmarkStart w:id="529" w:name="_Toc11669"/>
      <w:bookmarkStart w:id="530" w:name="_Toc87543823"/>
      <w:bookmarkStart w:id="531" w:name="_Toc83753897"/>
      <w:r>
        <w:rPr>
          <w:rFonts w:hint="eastAsia" w:ascii="宋体" w:hAnsi="宋体" w:cs="宋体"/>
          <w:b/>
          <w:bCs/>
          <w:color w:val="auto"/>
          <w:sz w:val="24"/>
          <w:szCs w:val="24"/>
        </w:rPr>
        <w:t>3.2 磋商报价</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p>
    <w:p w14:paraId="0A0082CA">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3.2.1最高限价：详见供应商须知前附表。</w:t>
      </w:r>
    </w:p>
    <w:p w14:paraId="50A62944">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3.2.2报价方式：详见供应商须知前附表。</w:t>
      </w:r>
    </w:p>
    <w:p w14:paraId="118A0427">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3.2.3结算方式：详见供应商须知前附表。</w:t>
      </w:r>
    </w:p>
    <w:p w14:paraId="76CDF59A">
      <w:pPr>
        <w:adjustRightInd w:val="0"/>
        <w:snapToGrid w:val="0"/>
        <w:spacing w:line="360" w:lineRule="auto"/>
        <w:ind w:firstLine="420" w:firstLineChars="200"/>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3</w:t>
      </w:r>
      <w:r>
        <w:rPr>
          <w:rFonts w:asciiTheme="minorEastAsia" w:hAnsiTheme="minorEastAsia" w:eastAsiaTheme="minorEastAsia"/>
          <w:color w:val="auto"/>
          <w:szCs w:val="21"/>
        </w:rPr>
        <w:t>.2.4</w:t>
      </w:r>
      <w:r>
        <w:rPr>
          <w:rFonts w:hint="eastAsia" w:asciiTheme="minorEastAsia" w:hAnsiTheme="minorEastAsia" w:eastAsiaTheme="minorEastAsia"/>
          <w:color w:val="auto"/>
          <w:szCs w:val="21"/>
        </w:rPr>
        <w:t>二次报价：详见供应商须知前附表。</w:t>
      </w:r>
    </w:p>
    <w:p w14:paraId="5653FFF1">
      <w:pPr>
        <w:adjustRightInd w:val="0"/>
        <w:snapToGrid w:val="0"/>
        <w:spacing w:line="360" w:lineRule="auto"/>
        <w:ind w:firstLine="420" w:firstLineChars="200"/>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3.2.5通过资格审查、符合性审查的供应商将进行二次报价，供应商的二次报价是响应文件的有效组成部分。</w:t>
      </w:r>
    </w:p>
    <w:p w14:paraId="6F8EA913">
      <w:pPr>
        <w:spacing w:line="360" w:lineRule="auto"/>
        <w:outlineLvl w:val="3"/>
        <w:rPr>
          <w:rFonts w:hint="eastAsia" w:ascii="宋体" w:hAnsi="宋体" w:cs="宋体"/>
          <w:b/>
          <w:bCs/>
          <w:color w:val="auto"/>
          <w:sz w:val="24"/>
          <w:szCs w:val="24"/>
        </w:rPr>
      </w:pPr>
      <w:bookmarkStart w:id="532" w:name="_Toc42267638"/>
      <w:bookmarkStart w:id="533" w:name="_Toc53412222"/>
      <w:bookmarkStart w:id="534" w:name="_Toc9599"/>
      <w:bookmarkStart w:id="535" w:name="_Toc87538375"/>
      <w:bookmarkStart w:id="536" w:name="_Toc98865017"/>
      <w:bookmarkStart w:id="537" w:name="_Toc81330945"/>
      <w:bookmarkStart w:id="538" w:name="_Toc45791360"/>
      <w:bookmarkStart w:id="539" w:name="_Toc116584006"/>
      <w:bookmarkStart w:id="540" w:name="_Toc98033940"/>
      <w:bookmarkStart w:id="541" w:name="_Toc75783537"/>
      <w:bookmarkStart w:id="542" w:name="_Toc84356258"/>
      <w:bookmarkStart w:id="543" w:name="_Toc45976906"/>
      <w:bookmarkStart w:id="544" w:name="_Toc83753898"/>
      <w:bookmarkStart w:id="545" w:name="_Toc110405140"/>
      <w:bookmarkStart w:id="546" w:name="_Toc109809318"/>
      <w:bookmarkStart w:id="547" w:name="_Toc69678435"/>
      <w:bookmarkStart w:id="548" w:name="_Toc87543824"/>
      <w:bookmarkStart w:id="549" w:name="_Toc42204999"/>
      <w:r>
        <w:rPr>
          <w:rFonts w:hint="eastAsia" w:ascii="宋体" w:hAnsi="宋体" w:cs="宋体"/>
          <w:b/>
          <w:bCs/>
          <w:color w:val="auto"/>
          <w:sz w:val="24"/>
          <w:szCs w:val="24"/>
        </w:rPr>
        <w:t>3.3 磋商有效期</w:t>
      </w:r>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p>
    <w:p w14:paraId="4EF926A7">
      <w:pPr>
        <w:spacing w:line="360" w:lineRule="auto"/>
        <w:ind w:firstLine="420" w:firstLineChars="200"/>
        <w:jc w:val="left"/>
        <w:rPr>
          <w:rFonts w:hint="eastAsia" w:ascii="宋体" w:hAnsi="宋体" w:cs="宋体"/>
          <w:color w:val="auto"/>
          <w:szCs w:val="28"/>
        </w:rPr>
      </w:pPr>
      <w:r>
        <w:rPr>
          <w:rFonts w:hint="eastAsia" w:ascii="宋体" w:hAnsi="宋体" w:cs="宋体"/>
          <w:color w:val="auto"/>
          <w:szCs w:val="28"/>
        </w:rPr>
        <w:t>3.3.1在供应商须知前附表规定的</w:t>
      </w:r>
      <w:r>
        <w:rPr>
          <w:rFonts w:hint="eastAsia" w:ascii="宋体" w:hAnsi="宋体" w:cs="宋体"/>
          <w:color w:val="auto"/>
          <w:szCs w:val="24"/>
        </w:rPr>
        <w:t>磋商</w:t>
      </w:r>
      <w:r>
        <w:rPr>
          <w:rFonts w:hint="eastAsia" w:ascii="宋体" w:hAnsi="宋体" w:cs="宋体"/>
          <w:color w:val="auto"/>
          <w:szCs w:val="28"/>
        </w:rPr>
        <w:t>有效期内，供应商不得要求撤销或修改其响应文件。</w:t>
      </w:r>
    </w:p>
    <w:p w14:paraId="474CAC1C">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8"/>
        </w:rPr>
        <w:t>3.3.2出现特殊情况需要延长</w:t>
      </w:r>
      <w:r>
        <w:rPr>
          <w:rFonts w:hint="eastAsia" w:ascii="宋体" w:hAnsi="宋体" w:cs="宋体"/>
          <w:color w:val="auto"/>
          <w:szCs w:val="24"/>
        </w:rPr>
        <w:t>磋商</w:t>
      </w:r>
      <w:r>
        <w:rPr>
          <w:rFonts w:hint="eastAsia" w:ascii="宋体" w:hAnsi="宋体" w:cs="宋体"/>
          <w:color w:val="auto"/>
          <w:szCs w:val="28"/>
        </w:rPr>
        <w:t>有效期的，采购人将通知所有供应商延长</w:t>
      </w:r>
      <w:r>
        <w:rPr>
          <w:rFonts w:hint="eastAsia" w:ascii="宋体" w:hAnsi="宋体" w:cs="宋体"/>
          <w:color w:val="auto"/>
          <w:szCs w:val="24"/>
        </w:rPr>
        <w:t>磋商</w:t>
      </w:r>
      <w:r>
        <w:rPr>
          <w:rFonts w:hint="eastAsia" w:ascii="宋体" w:hAnsi="宋体" w:cs="宋体"/>
          <w:color w:val="auto"/>
          <w:szCs w:val="28"/>
        </w:rPr>
        <w:t>有效期。供应商同意延长，不得要求或被允许修改或撤销其响应文件；供应商拒绝延长的，其</w:t>
      </w:r>
      <w:r>
        <w:rPr>
          <w:rFonts w:hint="eastAsia" w:ascii="宋体" w:hAnsi="宋体" w:cs="宋体"/>
          <w:color w:val="auto"/>
          <w:szCs w:val="24"/>
        </w:rPr>
        <w:t>磋商</w:t>
      </w:r>
      <w:r>
        <w:rPr>
          <w:rFonts w:hint="eastAsia" w:ascii="宋体" w:hAnsi="宋体" w:cs="宋体"/>
          <w:color w:val="auto"/>
          <w:szCs w:val="28"/>
        </w:rPr>
        <w:t>失效。</w:t>
      </w:r>
    </w:p>
    <w:p w14:paraId="63738709">
      <w:pPr>
        <w:spacing w:line="360" w:lineRule="auto"/>
        <w:outlineLvl w:val="3"/>
        <w:rPr>
          <w:rFonts w:hint="eastAsia" w:ascii="宋体" w:hAnsi="宋体" w:cs="宋体"/>
          <w:b/>
          <w:bCs/>
          <w:color w:val="auto"/>
          <w:sz w:val="24"/>
          <w:szCs w:val="24"/>
        </w:rPr>
      </w:pPr>
      <w:bookmarkStart w:id="550" w:name="_Toc81330946"/>
      <w:bookmarkStart w:id="551" w:name="_Toc30417"/>
      <w:bookmarkStart w:id="552" w:name="_Toc45976907"/>
      <w:bookmarkStart w:id="553" w:name="_Toc87543825"/>
      <w:bookmarkStart w:id="554" w:name="_Toc42205000"/>
      <w:bookmarkStart w:id="555" w:name="_Toc109809319"/>
      <w:bookmarkStart w:id="556" w:name="_Toc116584007"/>
      <w:bookmarkStart w:id="557" w:name="_Toc83753899"/>
      <w:bookmarkStart w:id="558" w:name="_Toc45791361"/>
      <w:bookmarkStart w:id="559" w:name="_Toc69678436"/>
      <w:bookmarkStart w:id="560" w:name="_Toc98865018"/>
      <w:bookmarkStart w:id="561" w:name="_Toc84356259"/>
      <w:bookmarkStart w:id="562" w:name="_Toc98033941"/>
      <w:bookmarkStart w:id="563" w:name="_Toc87538376"/>
      <w:bookmarkStart w:id="564" w:name="_Toc75783538"/>
      <w:bookmarkStart w:id="565" w:name="_Toc110405141"/>
      <w:bookmarkStart w:id="566" w:name="_Toc42267639"/>
      <w:bookmarkStart w:id="567" w:name="_Toc53412223"/>
      <w:r>
        <w:rPr>
          <w:rFonts w:hint="eastAsia" w:ascii="宋体" w:hAnsi="宋体" w:cs="宋体"/>
          <w:b/>
          <w:bCs/>
          <w:color w:val="auto"/>
          <w:sz w:val="24"/>
          <w:szCs w:val="24"/>
        </w:rPr>
        <w:t>3.4 磋商保证金</w:t>
      </w:r>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p>
    <w:p w14:paraId="62104E71">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3.4.1磋商保证金：详见供应商须知前附表。</w:t>
      </w:r>
    </w:p>
    <w:p w14:paraId="269E2DA7">
      <w:pPr>
        <w:spacing w:line="360" w:lineRule="auto"/>
        <w:outlineLvl w:val="3"/>
        <w:rPr>
          <w:rFonts w:hint="eastAsia" w:ascii="宋体" w:hAnsi="宋体" w:cs="宋体"/>
          <w:b/>
          <w:bCs/>
          <w:color w:val="auto"/>
          <w:sz w:val="24"/>
          <w:szCs w:val="24"/>
        </w:rPr>
      </w:pPr>
      <w:bookmarkStart w:id="568" w:name="_Toc110405142"/>
      <w:bookmarkStart w:id="569" w:name="_Toc109809320"/>
      <w:bookmarkStart w:id="570" w:name="_Toc45791362"/>
      <w:bookmarkStart w:id="571" w:name="_Toc87543826"/>
      <w:bookmarkStart w:id="572" w:name="_Toc116584008"/>
      <w:bookmarkStart w:id="573" w:name="_Toc45976908"/>
      <w:bookmarkStart w:id="574" w:name="_Toc87538377"/>
      <w:bookmarkStart w:id="575" w:name="_Toc98033942"/>
      <w:bookmarkStart w:id="576" w:name="_Toc84356260"/>
      <w:bookmarkStart w:id="577" w:name="_Toc69678437"/>
      <w:bookmarkStart w:id="578" w:name="_Toc81330947"/>
      <w:bookmarkStart w:id="579" w:name="_Toc53412224"/>
      <w:bookmarkStart w:id="580" w:name="_Toc75783539"/>
      <w:bookmarkStart w:id="581" w:name="_Toc42205001"/>
      <w:bookmarkStart w:id="582" w:name="_Toc83753900"/>
      <w:bookmarkStart w:id="583" w:name="_Toc98865019"/>
      <w:bookmarkStart w:id="584" w:name="_Toc30166"/>
      <w:bookmarkStart w:id="585" w:name="_Toc42267640"/>
      <w:r>
        <w:rPr>
          <w:rFonts w:hint="eastAsia" w:ascii="宋体" w:hAnsi="宋体" w:cs="宋体"/>
          <w:b/>
          <w:bCs/>
          <w:color w:val="auto"/>
          <w:sz w:val="24"/>
          <w:szCs w:val="24"/>
        </w:rPr>
        <w:t>3.5 资格审查资料</w:t>
      </w:r>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p>
    <w:p w14:paraId="1D4A2906">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3.5.1近年财务状况的年份要求：详见供应商须知前附表。</w:t>
      </w:r>
    </w:p>
    <w:p w14:paraId="41149E5A">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3.5.2没有重大违法记录的年份要求：详见供应商须知前附表。</w:t>
      </w:r>
    </w:p>
    <w:p w14:paraId="4F0BADF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3.5.3其他资格审查资料：详见第四章“响应文件格式”资格审查部分中的内容。</w:t>
      </w:r>
    </w:p>
    <w:p w14:paraId="0E1EFE89">
      <w:pPr>
        <w:spacing w:line="360" w:lineRule="auto"/>
        <w:outlineLvl w:val="3"/>
        <w:rPr>
          <w:rFonts w:hint="eastAsia" w:ascii="宋体" w:hAnsi="宋体" w:cs="宋体"/>
          <w:b/>
          <w:bCs/>
          <w:color w:val="auto"/>
          <w:sz w:val="24"/>
          <w:szCs w:val="24"/>
        </w:rPr>
      </w:pPr>
      <w:bookmarkStart w:id="586" w:name="_Toc69678438"/>
      <w:bookmarkStart w:id="587" w:name="_Toc109809321"/>
      <w:bookmarkStart w:id="588" w:name="_Toc81330948"/>
      <w:bookmarkStart w:id="589" w:name="_Toc116584009"/>
      <w:bookmarkStart w:id="590" w:name="_Toc42205002"/>
      <w:bookmarkStart w:id="591" w:name="_Toc53412225"/>
      <w:bookmarkStart w:id="592" w:name="_Toc75783540"/>
      <w:bookmarkStart w:id="593" w:name="_Toc83753901"/>
      <w:bookmarkStart w:id="594" w:name="_Toc45791363"/>
      <w:bookmarkStart w:id="595" w:name="_Toc45976909"/>
      <w:bookmarkStart w:id="596" w:name="_Toc87543827"/>
      <w:bookmarkStart w:id="597" w:name="_Toc98033943"/>
      <w:bookmarkStart w:id="598" w:name="_Toc110405143"/>
      <w:bookmarkStart w:id="599" w:name="_Toc42267641"/>
      <w:bookmarkStart w:id="600" w:name="_Toc87538378"/>
      <w:bookmarkStart w:id="601" w:name="_Toc1352"/>
      <w:bookmarkStart w:id="602" w:name="_Toc84356261"/>
      <w:bookmarkStart w:id="603" w:name="_Toc98865020"/>
      <w:r>
        <w:rPr>
          <w:rFonts w:hint="eastAsia" w:ascii="宋体" w:hAnsi="宋体" w:cs="宋体"/>
          <w:b/>
          <w:bCs/>
          <w:color w:val="auto"/>
          <w:sz w:val="24"/>
          <w:szCs w:val="24"/>
        </w:rPr>
        <w:t>3.6 备选磋商方案</w:t>
      </w:r>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p>
    <w:p w14:paraId="56177AA7">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除供应商须知前附表另有规定外，供应商不得</w:t>
      </w:r>
      <w:r>
        <w:rPr>
          <w:rFonts w:hint="eastAsia" w:ascii="宋体" w:hAnsi="宋体" w:cs="宋体"/>
          <w:color w:val="auto"/>
          <w:szCs w:val="28"/>
        </w:rPr>
        <w:t>提交</w:t>
      </w:r>
      <w:r>
        <w:rPr>
          <w:rFonts w:hint="eastAsia" w:ascii="宋体" w:hAnsi="宋体" w:cs="宋体"/>
          <w:color w:val="auto"/>
          <w:szCs w:val="21"/>
        </w:rPr>
        <w:t>备选磋商方案。允许供应商</w:t>
      </w:r>
      <w:r>
        <w:rPr>
          <w:rFonts w:hint="eastAsia" w:ascii="宋体" w:hAnsi="宋体" w:cs="宋体"/>
          <w:color w:val="auto"/>
          <w:szCs w:val="28"/>
        </w:rPr>
        <w:t>提交</w:t>
      </w:r>
      <w:r>
        <w:rPr>
          <w:rFonts w:hint="eastAsia" w:ascii="宋体" w:hAnsi="宋体" w:cs="宋体"/>
          <w:color w:val="auto"/>
          <w:szCs w:val="21"/>
        </w:rPr>
        <w:t>备选磋商方案的，只有成交供应商所</w:t>
      </w:r>
      <w:r>
        <w:rPr>
          <w:rFonts w:hint="eastAsia" w:ascii="宋体" w:hAnsi="宋体" w:cs="宋体"/>
          <w:color w:val="auto"/>
          <w:szCs w:val="28"/>
        </w:rPr>
        <w:t>提交</w:t>
      </w:r>
      <w:r>
        <w:rPr>
          <w:rFonts w:hint="eastAsia" w:ascii="宋体" w:hAnsi="宋体" w:cs="宋体"/>
          <w:color w:val="auto"/>
          <w:szCs w:val="21"/>
        </w:rPr>
        <w:t>的备选磋商方案方可予以考虑。磋商小组认为成交供应商的备选磋商方案优于其按照采购文件要求编制的磋商方案的，采购人可以接受该备选磋商方案。</w:t>
      </w:r>
    </w:p>
    <w:p w14:paraId="5DC92AF0">
      <w:pPr>
        <w:spacing w:line="360" w:lineRule="auto"/>
        <w:outlineLvl w:val="3"/>
        <w:rPr>
          <w:rFonts w:hint="eastAsia" w:ascii="宋体" w:hAnsi="宋体" w:cs="宋体"/>
          <w:b/>
          <w:bCs/>
          <w:color w:val="auto"/>
          <w:sz w:val="24"/>
          <w:szCs w:val="24"/>
        </w:rPr>
      </w:pPr>
      <w:bookmarkStart w:id="604" w:name="_Toc81330949"/>
      <w:bookmarkStart w:id="605" w:name="_Toc87538379"/>
      <w:bookmarkStart w:id="606" w:name="_Toc98033944"/>
      <w:bookmarkStart w:id="607" w:name="_Toc42267642"/>
      <w:bookmarkStart w:id="608" w:name="_Toc110405144"/>
      <w:bookmarkStart w:id="609" w:name="_Toc75783541"/>
      <w:bookmarkStart w:id="610" w:name="_Toc109809322"/>
      <w:bookmarkStart w:id="611" w:name="_Toc45976910"/>
      <w:bookmarkStart w:id="612" w:name="_Toc42205003"/>
      <w:bookmarkStart w:id="613" w:name="_Toc116584010"/>
      <w:bookmarkStart w:id="614" w:name="_Toc53412226"/>
      <w:bookmarkStart w:id="615" w:name="_Toc69678439"/>
      <w:bookmarkStart w:id="616" w:name="_Toc98865021"/>
      <w:bookmarkStart w:id="617" w:name="_Toc16675"/>
      <w:bookmarkStart w:id="618" w:name="_Toc87543828"/>
      <w:bookmarkStart w:id="619" w:name="_Toc84356262"/>
      <w:bookmarkStart w:id="620" w:name="_Toc83753902"/>
      <w:bookmarkStart w:id="621" w:name="_Toc45791364"/>
      <w:r>
        <w:rPr>
          <w:rFonts w:hint="eastAsia" w:ascii="宋体" w:hAnsi="宋体" w:cs="宋体"/>
          <w:b/>
          <w:bCs/>
          <w:color w:val="auto"/>
          <w:sz w:val="24"/>
          <w:szCs w:val="24"/>
        </w:rPr>
        <w:t>3.7 响应文件的编制</w:t>
      </w:r>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p>
    <w:p w14:paraId="098123F7">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3.7.1响应文件的格式：详见供应商须知前附表。</w:t>
      </w:r>
    </w:p>
    <w:p w14:paraId="3A4D67FD">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3.7.2响应文件应当对采购文件中有关采购内容、服务期限、磋商有效期、质量要求等实质性内容作出响应。</w:t>
      </w:r>
    </w:p>
    <w:p w14:paraId="469B23A9">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3.7.3响应文件的签署：</w:t>
      </w:r>
      <w:r>
        <w:rPr>
          <w:rFonts w:hint="eastAsia" w:ascii="宋体" w:hAnsi="宋体" w:cs="宋体"/>
          <w:color w:val="auto"/>
        </w:rPr>
        <w:t>见供应商须知前附表。</w:t>
      </w:r>
    </w:p>
    <w:p w14:paraId="48B3E090">
      <w:pPr>
        <w:spacing w:line="360" w:lineRule="auto"/>
        <w:jc w:val="center"/>
        <w:outlineLvl w:val="2"/>
        <w:rPr>
          <w:rFonts w:hint="eastAsia" w:ascii="宋体" w:hAnsi="宋体" w:cs="宋体"/>
          <w:b/>
          <w:bCs/>
          <w:color w:val="auto"/>
          <w:sz w:val="28"/>
          <w:szCs w:val="28"/>
        </w:rPr>
      </w:pPr>
      <w:bookmarkStart w:id="622" w:name="_Toc98033945"/>
      <w:bookmarkStart w:id="623" w:name="_Toc98865022"/>
      <w:bookmarkStart w:id="624" w:name="_Toc87538380"/>
      <w:bookmarkStart w:id="625" w:name="_Toc45976911"/>
      <w:bookmarkStart w:id="626" w:name="_Toc24563"/>
      <w:bookmarkStart w:id="627" w:name="_Toc45791365"/>
      <w:bookmarkStart w:id="628" w:name="_Toc37603105"/>
      <w:bookmarkStart w:id="629" w:name="_Toc110405145"/>
      <w:bookmarkStart w:id="630" w:name="_Toc381796410"/>
      <w:bookmarkStart w:id="631" w:name="_Toc109809323"/>
      <w:bookmarkStart w:id="632" w:name="_Toc42205004"/>
      <w:bookmarkStart w:id="633" w:name="_Toc292983020"/>
      <w:bookmarkStart w:id="634" w:name="_Toc84356263"/>
      <w:bookmarkStart w:id="635" w:name="_Toc87543829"/>
      <w:bookmarkStart w:id="636" w:name="_Toc42267643"/>
      <w:bookmarkStart w:id="637" w:name="_Toc83753903"/>
      <w:bookmarkStart w:id="638" w:name="_Toc116584011"/>
      <w:r>
        <w:rPr>
          <w:rFonts w:hint="eastAsia" w:ascii="宋体" w:hAnsi="宋体" w:cs="宋体"/>
          <w:b/>
          <w:bCs/>
          <w:color w:val="auto"/>
          <w:sz w:val="28"/>
          <w:szCs w:val="28"/>
        </w:rPr>
        <w:t>4.响应文件的</w:t>
      </w:r>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r>
        <w:rPr>
          <w:rFonts w:hint="eastAsia" w:ascii="宋体" w:hAnsi="宋体" w:cs="宋体"/>
          <w:b/>
          <w:bCs/>
          <w:color w:val="auto"/>
          <w:sz w:val="28"/>
          <w:szCs w:val="28"/>
        </w:rPr>
        <w:t>提交</w:t>
      </w:r>
      <w:bookmarkEnd w:id="638"/>
    </w:p>
    <w:p w14:paraId="37BAC9CE">
      <w:pPr>
        <w:spacing w:line="360" w:lineRule="auto"/>
        <w:outlineLvl w:val="3"/>
        <w:rPr>
          <w:rFonts w:hint="eastAsia" w:ascii="宋体" w:hAnsi="宋体" w:cs="宋体"/>
          <w:b/>
          <w:bCs/>
          <w:color w:val="auto"/>
          <w:sz w:val="24"/>
          <w:szCs w:val="24"/>
        </w:rPr>
      </w:pPr>
      <w:bookmarkStart w:id="639" w:name="_Toc87538381"/>
      <w:bookmarkStart w:id="640" w:name="_Toc98033946"/>
      <w:bookmarkStart w:id="641" w:name="_Toc83753904"/>
      <w:bookmarkStart w:id="642" w:name="_Toc45976912"/>
      <w:bookmarkStart w:id="643" w:name="_Toc42267644"/>
      <w:bookmarkStart w:id="644" w:name="_Toc98865023"/>
      <w:bookmarkStart w:id="645" w:name="_Toc6542"/>
      <w:bookmarkStart w:id="646" w:name="_Toc75783543"/>
      <w:bookmarkStart w:id="647" w:name="_Toc84356264"/>
      <w:bookmarkStart w:id="648" w:name="_Toc69678441"/>
      <w:bookmarkStart w:id="649" w:name="_Toc116584012"/>
      <w:bookmarkStart w:id="650" w:name="_Toc53412228"/>
      <w:bookmarkStart w:id="651" w:name="_Toc87543830"/>
      <w:bookmarkStart w:id="652" w:name="_Toc81330951"/>
      <w:bookmarkStart w:id="653" w:name="_Toc109809324"/>
      <w:bookmarkStart w:id="654" w:name="_Toc42205005"/>
      <w:bookmarkStart w:id="655" w:name="_Toc110405146"/>
      <w:bookmarkStart w:id="656" w:name="_Toc45791366"/>
      <w:r>
        <w:rPr>
          <w:rFonts w:hint="eastAsia" w:ascii="宋体" w:hAnsi="宋体" w:cs="宋体"/>
          <w:b/>
          <w:bCs/>
          <w:color w:val="auto"/>
          <w:sz w:val="24"/>
          <w:szCs w:val="24"/>
        </w:rPr>
        <w:t>4.1响应文件的</w:t>
      </w:r>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r>
        <w:rPr>
          <w:rFonts w:hint="eastAsia" w:ascii="宋体" w:hAnsi="宋体" w:cs="宋体"/>
          <w:b/>
          <w:bCs/>
          <w:color w:val="auto"/>
          <w:sz w:val="24"/>
          <w:szCs w:val="24"/>
        </w:rPr>
        <w:t>加密</w:t>
      </w:r>
    </w:p>
    <w:p w14:paraId="13DCC758">
      <w:pPr>
        <w:spacing w:line="360" w:lineRule="auto"/>
        <w:ind w:firstLine="420" w:firstLineChars="200"/>
        <w:jc w:val="left"/>
        <w:rPr>
          <w:rFonts w:hint="eastAsia" w:ascii="宋体" w:hAnsi="宋体" w:cs="宋体"/>
          <w:color w:val="auto"/>
          <w:szCs w:val="28"/>
        </w:rPr>
      </w:pPr>
      <w:bookmarkStart w:id="657" w:name="_Toc75783544"/>
      <w:bookmarkStart w:id="658" w:name="_Toc53412229"/>
      <w:bookmarkStart w:id="659" w:name="_Toc110405147"/>
      <w:bookmarkStart w:id="660" w:name="_Toc83753905"/>
      <w:bookmarkStart w:id="661" w:name="_Toc17162"/>
      <w:bookmarkStart w:id="662" w:name="_Toc45976913"/>
      <w:bookmarkStart w:id="663" w:name="_Toc98865024"/>
      <w:bookmarkStart w:id="664" w:name="_Toc87538382"/>
      <w:bookmarkStart w:id="665" w:name="_Toc42267645"/>
      <w:bookmarkStart w:id="666" w:name="_Toc81330952"/>
      <w:bookmarkStart w:id="667" w:name="_Toc45791367"/>
      <w:bookmarkStart w:id="668" w:name="_Toc42205006"/>
      <w:bookmarkStart w:id="669" w:name="_Toc109809325"/>
      <w:bookmarkStart w:id="670" w:name="_Toc84356265"/>
      <w:bookmarkStart w:id="671" w:name="_Toc98033947"/>
      <w:bookmarkStart w:id="672" w:name="_Toc69678442"/>
      <w:bookmarkStart w:id="673" w:name="_Toc87543831"/>
      <w:r>
        <w:rPr>
          <w:rFonts w:hint="eastAsia" w:ascii="宋体" w:hAnsi="宋体" w:cs="宋体"/>
          <w:color w:val="auto"/>
          <w:szCs w:val="28"/>
        </w:rPr>
        <w:t>4.1.1响应文件的加密：见供应商须知前附表。</w:t>
      </w:r>
    </w:p>
    <w:p w14:paraId="17D836D7">
      <w:pPr>
        <w:spacing w:line="360" w:lineRule="auto"/>
        <w:ind w:firstLine="420" w:firstLineChars="200"/>
        <w:jc w:val="left"/>
        <w:rPr>
          <w:rFonts w:hint="eastAsia" w:ascii="宋体" w:hAnsi="宋体" w:cs="宋体"/>
          <w:color w:val="auto"/>
          <w:szCs w:val="28"/>
        </w:rPr>
      </w:pPr>
      <w:r>
        <w:rPr>
          <w:rFonts w:hint="eastAsia" w:ascii="宋体" w:hAnsi="宋体" w:cs="宋体"/>
          <w:color w:val="auto"/>
          <w:szCs w:val="28"/>
        </w:rPr>
        <w:t>4.1.2未按本章第4.1.1项要求加密的响应文件，采购人不予受理。</w:t>
      </w:r>
    </w:p>
    <w:p w14:paraId="5CBC8E9A">
      <w:pPr>
        <w:spacing w:line="360" w:lineRule="auto"/>
        <w:outlineLvl w:val="3"/>
        <w:rPr>
          <w:rFonts w:hint="eastAsia" w:ascii="宋体" w:hAnsi="宋体" w:cs="宋体"/>
          <w:b/>
          <w:bCs/>
          <w:color w:val="auto"/>
          <w:sz w:val="24"/>
          <w:szCs w:val="24"/>
        </w:rPr>
      </w:pPr>
      <w:bookmarkStart w:id="674" w:name="_Toc116584013"/>
      <w:r>
        <w:rPr>
          <w:rFonts w:hint="eastAsia" w:ascii="宋体" w:hAnsi="宋体" w:cs="宋体"/>
          <w:b/>
          <w:bCs/>
          <w:color w:val="auto"/>
          <w:sz w:val="24"/>
          <w:szCs w:val="24"/>
        </w:rPr>
        <w:t>4.2 响应文件的</w:t>
      </w:r>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r>
        <w:rPr>
          <w:rFonts w:hint="eastAsia" w:ascii="宋体" w:hAnsi="宋体" w:cs="宋体"/>
          <w:b/>
          <w:bCs/>
          <w:color w:val="auto"/>
          <w:sz w:val="24"/>
          <w:szCs w:val="24"/>
        </w:rPr>
        <w:t>提交</w:t>
      </w:r>
      <w:bookmarkEnd w:id="674"/>
    </w:p>
    <w:p w14:paraId="48B78223">
      <w:pPr>
        <w:spacing w:line="360" w:lineRule="auto"/>
        <w:ind w:firstLine="420" w:firstLineChars="200"/>
        <w:jc w:val="left"/>
        <w:rPr>
          <w:rFonts w:hint="eastAsia" w:ascii="宋体" w:hAnsi="宋体" w:cs="宋体"/>
          <w:color w:val="auto"/>
          <w:szCs w:val="28"/>
        </w:rPr>
      </w:pPr>
      <w:bookmarkStart w:id="675" w:name="_Toc42267646"/>
      <w:bookmarkStart w:id="676" w:name="_Toc14942"/>
      <w:bookmarkStart w:id="677" w:name="_Toc98033948"/>
      <w:bookmarkStart w:id="678" w:name="_Toc75783545"/>
      <w:bookmarkStart w:id="679" w:name="_Toc87543832"/>
      <w:bookmarkStart w:id="680" w:name="_Toc109809326"/>
      <w:bookmarkStart w:id="681" w:name="_Toc83753906"/>
      <w:bookmarkStart w:id="682" w:name="_Toc69678443"/>
      <w:bookmarkStart w:id="683" w:name="_Toc110405148"/>
      <w:bookmarkStart w:id="684" w:name="_Toc53412230"/>
      <w:bookmarkStart w:id="685" w:name="_Toc45791368"/>
      <w:bookmarkStart w:id="686" w:name="_Toc81330953"/>
      <w:bookmarkStart w:id="687" w:name="_Toc98865025"/>
      <w:bookmarkStart w:id="688" w:name="_Toc87538383"/>
      <w:bookmarkStart w:id="689" w:name="_Toc42205007"/>
      <w:bookmarkStart w:id="690" w:name="_Toc84356266"/>
      <w:bookmarkStart w:id="691" w:name="_Toc45976914"/>
      <w:r>
        <w:rPr>
          <w:rFonts w:hint="eastAsia" w:ascii="宋体" w:hAnsi="宋体" w:cs="宋体"/>
          <w:color w:val="auto"/>
          <w:szCs w:val="28"/>
        </w:rPr>
        <w:t>4.2.1响应文件的提交：见供应商须知前附表。</w:t>
      </w:r>
    </w:p>
    <w:p w14:paraId="43084A89">
      <w:pPr>
        <w:spacing w:line="360" w:lineRule="auto"/>
        <w:ind w:firstLine="420" w:firstLineChars="200"/>
        <w:jc w:val="left"/>
        <w:rPr>
          <w:rFonts w:hint="eastAsia" w:ascii="宋体" w:hAnsi="宋体" w:cs="宋体"/>
          <w:color w:val="auto"/>
          <w:szCs w:val="28"/>
        </w:rPr>
      </w:pPr>
      <w:r>
        <w:rPr>
          <w:rFonts w:hint="eastAsia" w:ascii="宋体" w:hAnsi="宋体" w:cs="宋体"/>
          <w:color w:val="auto"/>
          <w:szCs w:val="28"/>
        </w:rPr>
        <w:t>4.2.2除供应商须知前附表另有规定外，供应商所提交的响应文件不予退还。</w:t>
      </w:r>
    </w:p>
    <w:p w14:paraId="30205119">
      <w:pPr>
        <w:spacing w:line="360" w:lineRule="auto"/>
        <w:outlineLvl w:val="3"/>
        <w:rPr>
          <w:rFonts w:hint="eastAsia" w:ascii="宋体" w:hAnsi="宋体" w:cs="宋体"/>
          <w:b/>
          <w:bCs/>
          <w:color w:val="auto"/>
          <w:sz w:val="24"/>
          <w:szCs w:val="24"/>
        </w:rPr>
      </w:pPr>
      <w:bookmarkStart w:id="692" w:name="_Toc116584014"/>
      <w:r>
        <w:rPr>
          <w:rFonts w:hint="eastAsia" w:ascii="宋体" w:hAnsi="宋体" w:cs="宋体"/>
          <w:b/>
          <w:bCs/>
          <w:color w:val="auto"/>
          <w:sz w:val="24"/>
          <w:szCs w:val="24"/>
        </w:rPr>
        <w:t>4.3响应文件修改和撤回</w:t>
      </w:r>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p>
    <w:p w14:paraId="62D3F210">
      <w:pPr>
        <w:spacing w:line="360" w:lineRule="auto"/>
        <w:ind w:firstLine="420" w:firstLineChars="200"/>
        <w:jc w:val="left"/>
        <w:rPr>
          <w:rFonts w:hint="eastAsia" w:ascii="宋体" w:hAnsi="宋体" w:cs="宋体"/>
          <w:color w:val="auto"/>
          <w:szCs w:val="28"/>
        </w:rPr>
      </w:pPr>
      <w:r>
        <w:rPr>
          <w:rFonts w:hint="eastAsia" w:ascii="宋体" w:hAnsi="宋体" w:cs="宋体"/>
          <w:color w:val="auto"/>
          <w:szCs w:val="28"/>
        </w:rPr>
        <w:t>4.3.1在本章第2.2.2项规定的</w:t>
      </w:r>
      <w:r>
        <w:rPr>
          <w:rFonts w:hint="eastAsia" w:ascii="宋体" w:hAnsi="宋体" w:cs="宋体"/>
          <w:color w:val="auto"/>
          <w:szCs w:val="21"/>
        </w:rPr>
        <w:t>响应文件提交截止时间</w:t>
      </w:r>
      <w:r>
        <w:rPr>
          <w:rFonts w:hint="eastAsia" w:ascii="宋体" w:hAnsi="宋体" w:cs="宋体"/>
          <w:color w:val="auto"/>
          <w:szCs w:val="28"/>
        </w:rPr>
        <w:t>前，供应商可以修改或撤回已在网上提交的响应文件，无需通知采购人和采购代理机构。</w:t>
      </w:r>
    </w:p>
    <w:p w14:paraId="77FA42AD">
      <w:pPr>
        <w:spacing w:line="360" w:lineRule="auto"/>
        <w:ind w:firstLine="420" w:firstLineChars="200"/>
        <w:jc w:val="left"/>
        <w:rPr>
          <w:rFonts w:hint="eastAsia" w:ascii="宋体" w:hAnsi="宋体" w:cs="宋体"/>
          <w:color w:val="auto"/>
          <w:szCs w:val="28"/>
        </w:rPr>
      </w:pPr>
      <w:r>
        <w:rPr>
          <w:rFonts w:hint="eastAsia" w:ascii="宋体" w:hAnsi="宋体" w:cs="宋体"/>
          <w:color w:val="auto"/>
          <w:szCs w:val="28"/>
        </w:rPr>
        <w:t>4.3.2</w:t>
      </w:r>
      <w:r>
        <w:rPr>
          <w:rFonts w:hint="eastAsia" w:ascii="宋体" w:hAnsi="宋体" w:cs="宋体"/>
          <w:color w:val="auto"/>
        </w:rPr>
        <w:t>修改的响应文件应按照规定进行编制、加密和递交。</w:t>
      </w:r>
    </w:p>
    <w:p w14:paraId="56DCD225">
      <w:pPr>
        <w:spacing w:line="360" w:lineRule="auto"/>
        <w:jc w:val="center"/>
        <w:outlineLvl w:val="2"/>
        <w:rPr>
          <w:rFonts w:hint="eastAsia" w:ascii="宋体" w:hAnsi="宋体" w:cs="宋体"/>
          <w:b/>
          <w:bCs/>
          <w:color w:val="auto"/>
          <w:sz w:val="28"/>
          <w:szCs w:val="28"/>
        </w:rPr>
      </w:pPr>
      <w:bookmarkStart w:id="693" w:name="_Toc110405149"/>
      <w:bookmarkStart w:id="694" w:name="_Toc21759"/>
      <w:bookmarkStart w:id="695" w:name="_Toc87543833"/>
      <w:bookmarkStart w:id="696" w:name="_Toc116584015"/>
      <w:bookmarkStart w:id="697" w:name="_Toc87538384"/>
      <w:bookmarkStart w:id="698" w:name="_Toc37603106"/>
      <w:bookmarkStart w:id="699" w:name="_Toc42267647"/>
      <w:bookmarkStart w:id="700" w:name="_Toc98865026"/>
      <w:bookmarkStart w:id="701" w:name="_Toc292983021"/>
      <w:bookmarkStart w:id="702" w:name="_Toc109809327"/>
      <w:bookmarkStart w:id="703" w:name="_Toc42205008"/>
      <w:bookmarkStart w:id="704" w:name="_Toc45791369"/>
      <w:bookmarkStart w:id="705" w:name="_Toc45976915"/>
      <w:bookmarkStart w:id="706" w:name="_Toc98033949"/>
      <w:bookmarkStart w:id="707" w:name="_Toc381796411"/>
      <w:bookmarkStart w:id="708" w:name="_Toc83753907"/>
      <w:bookmarkStart w:id="709" w:name="_Toc84356267"/>
      <w:r>
        <w:rPr>
          <w:rFonts w:hint="eastAsia" w:ascii="宋体" w:hAnsi="宋体" w:cs="宋体"/>
          <w:b/>
          <w:bCs/>
          <w:color w:val="auto"/>
          <w:sz w:val="28"/>
          <w:szCs w:val="28"/>
        </w:rPr>
        <w:t>5.开标</w:t>
      </w:r>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14:paraId="7076B379">
      <w:pPr>
        <w:spacing w:line="360" w:lineRule="auto"/>
        <w:outlineLvl w:val="3"/>
        <w:rPr>
          <w:rFonts w:hint="eastAsia" w:ascii="宋体" w:hAnsi="宋体" w:cs="宋体"/>
          <w:b/>
          <w:bCs/>
          <w:color w:val="auto"/>
          <w:sz w:val="24"/>
          <w:szCs w:val="24"/>
        </w:rPr>
      </w:pPr>
      <w:bookmarkStart w:id="710" w:name="_Toc98033950"/>
      <w:bookmarkStart w:id="711" w:name="_Toc98865027"/>
      <w:bookmarkStart w:id="712" w:name="_Toc42267648"/>
      <w:bookmarkStart w:id="713" w:name="_Toc83753908"/>
      <w:bookmarkStart w:id="714" w:name="_Toc109809328"/>
      <w:bookmarkStart w:id="715" w:name="_Toc87543834"/>
      <w:bookmarkStart w:id="716" w:name="_Toc87538385"/>
      <w:bookmarkStart w:id="717" w:name="_Toc75783547"/>
      <w:bookmarkStart w:id="718" w:name="_Toc42205009"/>
      <w:bookmarkStart w:id="719" w:name="_Toc45791370"/>
      <w:bookmarkStart w:id="720" w:name="_Toc45976916"/>
      <w:bookmarkStart w:id="721" w:name="_Toc81330955"/>
      <w:bookmarkStart w:id="722" w:name="_Toc53412232"/>
      <w:bookmarkStart w:id="723" w:name="_Toc110405150"/>
      <w:bookmarkStart w:id="724" w:name="_Toc69678445"/>
      <w:bookmarkStart w:id="725" w:name="_Toc84356268"/>
      <w:bookmarkStart w:id="726" w:name="_Toc12148"/>
      <w:bookmarkStart w:id="727" w:name="_Toc116584016"/>
      <w:r>
        <w:rPr>
          <w:rFonts w:hint="eastAsia" w:ascii="宋体" w:hAnsi="宋体" w:cs="宋体"/>
          <w:b/>
          <w:bCs/>
          <w:color w:val="auto"/>
          <w:sz w:val="24"/>
          <w:szCs w:val="24"/>
        </w:rPr>
        <w:t>5.1</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r>
        <w:rPr>
          <w:rFonts w:hint="eastAsia" w:ascii="宋体" w:hAnsi="宋体" w:cs="宋体"/>
          <w:b/>
          <w:bCs/>
          <w:color w:val="auto"/>
          <w:sz w:val="24"/>
          <w:szCs w:val="24"/>
        </w:rPr>
        <w:t>开标时间和地点</w:t>
      </w:r>
      <w:bookmarkEnd w:id="727"/>
    </w:p>
    <w:p w14:paraId="14D02797">
      <w:pPr>
        <w:spacing w:line="360" w:lineRule="auto"/>
        <w:ind w:firstLine="420" w:firstLineChars="200"/>
        <w:jc w:val="left"/>
        <w:rPr>
          <w:rFonts w:hint="eastAsia" w:ascii="宋体" w:hAnsi="宋体" w:cs="宋体"/>
          <w:color w:val="auto"/>
          <w:szCs w:val="28"/>
        </w:rPr>
      </w:pPr>
      <w:bookmarkStart w:id="728" w:name="_Toc110405151"/>
      <w:bookmarkStart w:id="729" w:name="_Toc81330956"/>
      <w:bookmarkStart w:id="730" w:name="_Toc83753909"/>
      <w:bookmarkStart w:id="731" w:name="_Toc87538386"/>
      <w:bookmarkStart w:id="732" w:name="_Toc45791371"/>
      <w:bookmarkStart w:id="733" w:name="_Toc69678446"/>
      <w:bookmarkStart w:id="734" w:name="_Toc45976917"/>
      <w:bookmarkStart w:id="735" w:name="_Toc53412233"/>
      <w:bookmarkStart w:id="736" w:name="_Toc87543835"/>
      <w:bookmarkStart w:id="737" w:name="_Toc23677"/>
      <w:bookmarkStart w:id="738" w:name="_Toc75783548"/>
      <w:bookmarkStart w:id="739" w:name="_Toc84356269"/>
      <w:bookmarkStart w:id="740" w:name="_Toc98033951"/>
      <w:bookmarkStart w:id="741" w:name="_Toc109809329"/>
      <w:bookmarkStart w:id="742" w:name="_Toc42205010"/>
      <w:bookmarkStart w:id="743" w:name="_Toc98865028"/>
      <w:bookmarkStart w:id="744" w:name="_Toc42267649"/>
      <w:r>
        <w:rPr>
          <w:rFonts w:hint="eastAsia" w:ascii="宋体" w:hAnsi="宋体" w:cs="宋体"/>
          <w:color w:val="auto"/>
          <w:szCs w:val="28"/>
        </w:rPr>
        <w:t>详见供应商须知前附表。</w:t>
      </w:r>
    </w:p>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p w14:paraId="108B7E6F">
      <w:pPr>
        <w:spacing w:line="360" w:lineRule="auto"/>
        <w:outlineLvl w:val="3"/>
        <w:rPr>
          <w:rFonts w:hint="eastAsia" w:ascii="宋体" w:hAnsi="宋体" w:cs="宋体"/>
          <w:b/>
          <w:bCs/>
          <w:color w:val="auto"/>
          <w:sz w:val="24"/>
          <w:szCs w:val="24"/>
        </w:rPr>
      </w:pPr>
      <w:bookmarkStart w:id="745" w:name="_Toc83753910"/>
      <w:bookmarkStart w:id="746" w:name="_Toc53412234"/>
      <w:bookmarkStart w:id="747" w:name="_Toc109809330"/>
      <w:bookmarkStart w:id="748" w:name="_Toc98033952"/>
      <w:bookmarkStart w:id="749" w:name="_Toc45976918"/>
      <w:bookmarkStart w:id="750" w:name="_Toc42267650"/>
      <w:bookmarkStart w:id="751" w:name="_Toc87538387"/>
      <w:bookmarkStart w:id="752" w:name="_Toc69678447"/>
      <w:bookmarkStart w:id="753" w:name="_Toc75783549"/>
      <w:bookmarkStart w:id="754" w:name="_Toc98865029"/>
      <w:bookmarkStart w:id="755" w:name="_Toc42205011"/>
      <w:bookmarkStart w:id="756" w:name="_Toc84356270"/>
      <w:bookmarkStart w:id="757" w:name="_Toc81330957"/>
      <w:bookmarkStart w:id="758" w:name="_Toc116584017"/>
      <w:bookmarkStart w:id="759" w:name="_Toc11738"/>
      <w:bookmarkStart w:id="760" w:name="_Toc110405152"/>
      <w:bookmarkStart w:id="761" w:name="_Toc45791372"/>
      <w:bookmarkStart w:id="762" w:name="_Toc87543836"/>
      <w:r>
        <w:rPr>
          <w:rFonts w:hint="eastAsia" w:ascii="宋体" w:hAnsi="宋体" w:cs="宋体"/>
          <w:b/>
          <w:bCs/>
          <w:color w:val="auto"/>
          <w:sz w:val="24"/>
          <w:szCs w:val="24"/>
        </w:rPr>
        <w:t>5.2</w:t>
      </w:r>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Start w:id="763" w:name="_Toc116584018"/>
      <w:bookmarkStart w:id="764" w:name="_Toc98033953"/>
      <w:bookmarkStart w:id="765" w:name="_Toc83753911"/>
      <w:bookmarkStart w:id="766" w:name="_Toc45791373"/>
      <w:bookmarkStart w:id="767" w:name="_Toc53412235"/>
      <w:bookmarkStart w:id="768" w:name="_Toc75783550"/>
      <w:bookmarkStart w:id="769" w:name="_Toc45976919"/>
      <w:bookmarkStart w:id="770" w:name="_Toc18249"/>
      <w:bookmarkStart w:id="771" w:name="_Toc69678448"/>
      <w:bookmarkStart w:id="772" w:name="_Toc84356271"/>
      <w:bookmarkStart w:id="773" w:name="_Toc42205012"/>
      <w:bookmarkStart w:id="774" w:name="_Toc81330958"/>
      <w:bookmarkStart w:id="775" w:name="_Toc98865030"/>
      <w:bookmarkStart w:id="776" w:name="_Toc42267651"/>
      <w:bookmarkStart w:id="777" w:name="_Toc109809331"/>
      <w:bookmarkStart w:id="778" w:name="_Toc87543837"/>
      <w:bookmarkStart w:id="779" w:name="_Toc110405153"/>
      <w:bookmarkStart w:id="780" w:name="_Toc87538388"/>
      <w:r>
        <w:rPr>
          <w:rFonts w:hint="eastAsia" w:ascii="宋体" w:hAnsi="宋体" w:cs="宋体"/>
          <w:b/>
          <w:bCs/>
          <w:color w:val="auto"/>
          <w:sz w:val="24"/>
          <w:szCs w:val="24"/>
        </w:rPr>
        <w:t xml:space="preserve"> 开标程序</w:t>
      </w:r>
    </w:p>
    <w:p w14:paraId="527E331A">
      <w:pPr>
        <w:spacing w:line="360" w:lineRule="auto"/>
        <w:ind w:firstLine="420" w:firstLineChars="200"/>
        <w:jc w:val="left"/>
        <w:rPr>
          <w:rFonts w:hint="eastAsia" w:ascii="宋体" w:hAnsi="宋体" w:cs="宋体"/>
          <w:color w:val="auto"/>
          <w:szCs w:val="28"/>
        </w:rPr>
      </w:pPr>
      <w:r>
        <w:rPr>
          <w:rFonts w:hint="eastAsia" w:ascii="宋体" w:hAnsi="宋体" w:cs="宋体"/>
          <w:color w:val="auto"/>
          <w:szCs w:val="28"/>
        </w:rPr>
        <w:t>详见供应商须知前附表。</w:t>
      </w:r>
    </w:p>
    <w:p w14:paraId="4E7B50EC">
      <w:pPr>
        <w:spacing w:line="360" w:lineRule="auto"/>
        <w:outlineLvl w:val="3"/>
        <w:rPr>
          <w:rFonts w:hint="eastAsia" w:ascii="宋体" w:hAnsi="宋体" w:cs="宋体"/>
          <w:b/>
          <w:bCs/>
          <w:color w:val="auto"/>
          <w:sz w:val="24"/>
          <w:szCs w:val="24"/>
        </w:rPr>
      </w:pPr>
      <w:r>
        <w:rPr>
          <w:rFonts w:hint="eastAsia" w:ascii="宋体" w:hAnsi="宋体" w:cs="宋体"/>
          <w:b/>
          <w:bCs/>
          <w:color w:val="auto"/>
          <w:sz w:val="24"/>
          <w:szCs w:val="24"/>
        </w:rPr>
        <w:t>5.3响应文件的解密方式</w:t>
      </w:r>
      <w:bookmarkEnd w:id="763"/>
    </w:p>
    <w:p w14:paraId="6BDC5DD3">
      <w:pPr>
        <w:spacing w:line="360" w:lineRule="auto"/>
        <w:ind w:firstLine="420" w:firstLineChars="200"/>
        <w:jc w:val="left"/>
        <w:rPr>
          <w:rFonts w:hint="eastAsia" w:ascii="宋体" w:hAnsi="宋体" w:cs="宋体"/>
          <w:color w:val="auto"/>
          <w:szCs w:val="28"/>
        </w:rPr>
      </w:pPr>
      <w:r>
        <w:rPr>
          <w:rFonts w:hint="eastAsia" w:ascii="宋体" w:hAnsi="宋体" w:cs="宋体"/>
          <w:color w:val="auto"/>
          <w:szCs w:val="28"/>
        </w:rPr>
        <w:t>详见供应商须知前附表。</w:t>
      </w:r>
    </w:p>
    <w:p w14:paraId="00085DAB">
      <w:pPr>
        <w:spacing w:line="360" w:lineRule="auto"/>
        <w:outlineLvl w:val="3"/>
        <w:rPr>
          <w:rFonts w:hint="eastAsia" w:ascii="宋体" w:hAnsi="宋体" w:cs="宋体"/>
          <w:b/>
          <w:bCs/>
          <w:color w:val="auto"/>
          <w:sz w:val="24"/>
          <w:szCs w:val="24"/>
        </w:rPr>
      </w:pPr>
      <w:bookmarkStart w:id="781" w:name="_Toc116584019"/>
      <w:r>
        <w:rPr>
          <w:rFonts w:hint="eastAsia" w:ascii="宋体" w:hAnsi="宋体" w:cs="宋体"/>
          <w:b/>
          <w:bCs/>
          <w:color w:val="auto"/>
          <w:sz w:val="24"/>
          <w:szCs w:val="24"/>
        </w:rPr>
        <w:t>5.4响应文件有下列情形之一的，采购人不予受理</w:t>
      </w:r>
      <w:bookmarkEnd w:id="781"/>
    </w:p>
    <w:p w14:paraId="5BFE1FE4">
      <w:pPr>
        <w:spacing w:line="360" w:lineRule="auto"/>
        <w:ind w:firstLine="420" w:firstLineChars="200"/>
        <w:jc w:val="left"/>
        <w:rPr>
          <w:rFonts w:hint="eastAsia" w:ascii="宋体" w:hAnsi="宋体" w:cs="宋体"/>
          <w:color w:val="auto"/>
          <w:szCs w:val="28"/>
        </w:rPr>
      </w:pPr>
      <w:r>
        <w:rPr>
          <w:rFonts w:hint="eastAsia" w:ascii="宋体" w:hAnsi="宋体" w:cs="宋体"/>
          <w:color w:val="auto"/>
          <w:szCs w:val="28"/>
        </w:rPr>
        <w:t>5.4.1在2.2.2项规定的</w:t>
      </w:r>
      <w:r>
        <w:rPr>
          <w:rFonts w:hint="eastAsia" w:ascii="宋体" w:hAnsi="宋体" w:cs="宋体"/>
          <w:color w:val="auto"/>
          <w:szCs w:val="21"/>
        </w:rPr>
        <w:t>响应文件提交截止时间</w:t>
      </w:r>
      <w:r>
        <w:rPr>
          <w:rFonts w:hint="eastAsia" w:ascii="宋体" w:hAnsi="宋体" w:cs="宋体"/>
          <w:color w:val="auto"/>
          <w:szCs w:val="28"/>
        </w:rPr>
        <w:t>以后上传或未成功上传响应文件的。</w:t>
      </w:r>
    </w:p>
    <w:p w14:paraId="3F1A6591">
      <w:pPr>
        <w:spacing w:line="360" w:lineRule="auto"/>
        <w:ind w:firstLine="420" w:firstLineChars="200"/>
        <w:jc w:val="left"/>
        <w:rPr>
          <w:rFonts w:hint="eastAsia" w:ascii="宋体" w:hAnsi="宋体" w:cs="宋体"/>
          <w:color w:val="auto"/>
          <w:szCs w:val="28"/>
        </w:rPr>
      </w:pPr>
      <w:r>
        <w:rPr>
          <w:rFonts w:hint="eastAsia" w:ascii="宋体" w:hAnsi="宋体" w:cs="宋体"/>
          <w:color w:val="auto"/>
          <w:szCs w:val="28"/>
        </w:rPr>
        <w:t>5.4.2供应商提交的电子响应文件格式不符合3.7.1项要求或无法读取导入的。</w:t>
      </w:r>
    </w:p>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p w14:paraId="72B736D3">
      <w:pPr>
        <w:spacing w:line="360" w:lineRule="auto"/>
        <w:jc w:val="center"/>
        <w:outlineLvl w:val="2"/>
        <w:rPr>
          <w:rFonts w:hint="eastAsia" w:ascii="宋体" w:hAnsi="宋体" w:cs="宋体"/>
          <w:b/>
          <w:bCs/>
          <w:color w:val="auto"/>
          <w:sz w:val="28"/>
          <w:szCs w:val="28"/>
        </w:rPr>
      </w:pPr>
      <w:bookmarkStart w:id="782" w:name="_Toc109809332"/>
      <w:bookmarkStart w:id="783" w:name="_Toc45791374"/>
      <w:bookmarkStart w:id="784" w:name="_Toc83753912"/>
      <w:bookmarkStart w:id="785" w:name="_Toc87543838"/>
      <w:bookmarkStart w:id="786" w:name="_Toc19868"/>
      <w:bookmarkStart w:id="787" w:name="_Toc116584021"/>
      <w:bookmarkStart w:id="788" w:name="_Toc45976920"/>
      <w:bookmarkStart w:id="789" w:name="_Toc98033954"/>
      <w:bookmarkStart w:id="790" w:name="_Toc98865031"/>
      <w:bookmarkStart w:id="791" w:name="_Toc42205013"/>
      <w:bookmarkStart w:id="792" w:name="_Toc42267652"/>
      <w:bookmarkStart w:id="793" w:name="_Toc87538389"/>
      <w:bookmarkStart w:id="794" w:name="_Toc110405154"/>
      <w:bookmarkStart w:id="795" w:name="_Toc84356272"/>
      <w:r>
        <w:rPr>
          <w:rFonts w:hint="eastAsia" w:ascii="宋体" w:hAnsi="宋体" w:cs="宋体"/>
          <w:b/>
          <w:bCs/>
          <w:color w:val="auto"/>
          <w:sz w:val="28"/>
          <w:szCs w:val="28"/>
        </w:rPr>
        <w:t>6.评审</w:t>
      </w:r>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p>
    <w:p w14:paraId="79BF43F8">
      <w:pPr>
        <w:spacing w:line="360" w:lineRule="auto"/>
        <w:outlineLvl w:val="3"/>
        <w:rPr>
          <w:rFonts w:hint="eastAsia" w:ascii="宋体" w:hAnsi="宋体" w:cs="宋体"/>
          <w:b/>
          <w:bCs/>
          <w:color w:val="auto"/>
          <w:sz w:val="24"/>
          <w:szCs w:val="24"/>
        </w:rPr>
      </w:pPr>
      <w:bookmarkStart w:id="796" w:name="_Toc75783552"/>
      <w:bookmarkStart w:id="797" w:name="_Toc69678450"/>
      <w:bookmarkStart w:id="798" w:name="_Toc45976921"/>
      <w:bookmarkStart w:id="799" w:name="_Toc87543839"/>
      <w:bookmarkStart w:id="800" w:name="_Toc42267653"/>
      <w:bookmarkStart w:id="801" w:name="_Toc81330960"/>
      <w:bookmarkStart w:id="802" w:name="_Toc110405155"/>
      <w:bookmarkStart w:id="803" w:name="_Toc83753913"/>
      <w:bookmarkStart w:id="804" w:name="_Toc45791375"/>
      <w:bookmarkStart w:id="805" w:name="_Toc98865032"/>
      <w:bookmarkStart w:id="806" w:name="_Toc98033955"/>
      <w:bookmarkStart w:id="807" w:name="_Toc116584022"/>
      <w:bookmarkStart w:id="808" w:name="_Toc42205014"/>
      <w:bookmarkStart w:id="809" w:name="_Toc87538390"/>
      <w:bookmarkStart w:id="810" w:name="_Toc4399"/>
      <w:bookmarkStart w:id="811" w:name="_Toc53412237"/>
      <w:bookmarkStart w:id="812" w:name="_Toc84356273"/>
      <w:bookmarkStart w:id="813" w:name="_Toc109809333"/>
      <w:r>
        <w:rPr>
          <w:rFonts w:hint="eastAsia" w:ascii="宋体" w:hAnsi="宋体" w:cs="宋体"/>
          <w:b/>
          <w:bCs/>
          <w:color w:val="auto"/>
          <w:sz w:val="24"/>
          <w:szCs w:val="24"/>
        </w:rPr>
        <w:t>6.1 磋商小组</w:t>
      </w:r>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p>
    <w:p w14:paraId="399F8318">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8"/>
        </w:rPr>
        <w:t>6.1.1 本项目的评审工作由采购人依法组建的磋商小组负责。磋商小组</w:t>
      </w:r>
      <w:r>
        <w:rPr>
          <w:rFonts w:hint="eastAsia" w:ascii="宋体" w:hAnsi="宋体" w:cs="宋体"/>
          <w:color w:val="auto"/>
          <w:szCs w:val="21"/>
        </w:rPr>
        <w:t>由</w:t>
      </w:r>
      <w:r>
        <w:rPr>
          <w:rFonts w:hint="eastAsia" w:ascii="宋体" w:hAnsi="宋体" w:cs="宋体"/>
          <w:color w:val="auto"/>
          <w:szCs w:val="28"/>
        </w:rPr>
        <w:t>采购人代表及</w:t>
      </w:r>
      <w:r>
        <w:rPr>
          <w:rFonts w:hint="eastAsia" w:ascii="宋体" w:hAnsi="宋体" w:cs="宋体"/>
          <w:color w:val="auto"/>
          <w:szCs w:val="21"/>
        </w:rPr>
        <w:t>有关技术、经济等方面的人员组成。</w:t>
      </w:r>
      <w:r>
        <w:rPr>
          <w:rFonts w:hint="eastAsia" w:ascii="宋体" w:hAnsi="宋体" w:cs="宋体"/>
          <w:color w:val="auto"/>
          <w:szCs w:val="28"/>
        </w:rPr>
        <w:t>磋商小组</w:t>
      </w:r>
      <w:r>
        <w:rPr>
          <w:rFonts w:hint="eastAsia" w:ascii="宋体" w:hAnsi="宋体" w:cs="宋体"/>
          <w:color w:val="auto"/>
          <w:szCs w:val="21"/>
        </w:rPr>
        <w:t>成员人数以及技术、经济等方面人员的确定方式详见供应商须知前附表。</w:t>
      </w:r>
    </w:p>
    <w:p w14:paraId="37750F41">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6.1.2</w:t>
      </w:r>
      <w:r>
        <w:rPr>
          <w:rFonts w:hint="eastAsia" w:ascii="宋体" w:hAnsi="宋体" w:cs="宋体"/>
          <w:color w:val="auto"/>
          <w:szCs w:val="28"/>
        </w:rPr>
        <w:t>磋商小组</w:t>
      </w:r>
      <w:r>
        <w:rPr>
          <w:rFonts w:hint="eastAsia" w:ascii="宋体" w:hAnsi="宋体" w:cs="宋体"/>
          <w:color w:val="auto"/>
          <w:szCs w:val="21"/>
        </w:rPr>
        <w:t>成员有下列情形之一的，应当回避：</w:t>
      </w:r>
    </w:p>
    <w:p w14:paraId="20D6FACB">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（1）采购人或供应商的主要负责人的近亲属；</w:t>
      </w:r>
    </w:p>
    <w:p w14:paraId="726010D7">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（2）项目主管部门或者行政监督部门的人员；</w:t>
      </w:r>
    </w:p>
    <w:p w14:paraId="6A72F2CD">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（3）与供应商有经济利益关系，可能影响对磋商公正评审的；</w:t>
      </w:r>
    </w:p>
    <w:p w14:paraId="56D9957D">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（4）曾因在招标、评标以及其他与招标投标有关活动中从事违法行为而受过行政处罚或刑事处罚的。</w:t>
      </w:r>
    </w:p>
    <w:p w14:paraId="7448AF47">
      <w:pPr>
        <w:spacing w:line="360" w:lineRule="auto"/>
        <w:outlineLvl w:val="3"/>
        <w:rPr>
          <w:rFonts w:hint="eastAsia" w:ascii="宋体" w:hAnsi="宋体" w:cs="宋体"/>
          <w:b/>
          <w:bCs/>
          <w:color w:val="auto"/>
          <w:sz w:val="24"/>
          <w:szCs w:val="24"/>
        </w:rPr>
      </w:pPr>
      <w:bookmarkStart w:id="814" w:name="_Toc69678451"/>
      <w:bookmarkStart w:id="815" w:name="_Toc109809334"/>
      <w:bookmarkStart w:id="816" w:name="_Toc98033956"/>
      <w:bookmarkStart w:id="817" w:name="_Toc6014"/>
      <w:bookmarkStart w:id="818" w:name="_Toc116584023"/>
      <w:bookmarkStart w:id="819" w:name="_Toc84356274"/>
      <w:bookmarkStart w:id="820" w:name="_Toc87538391"/>
      <w:bookmarkStart w:id="821" w:name="_Toc110405156"/>
      <w:bookmarkStart w:id="822" w:name="_Toc45976922"/>
      <w:bookmarkStart w:id="823" w:name="_Toc98865033"/>
      <w:bookmarkStart w:id="824" w:name="_Toc87543840"/>
      <w:bookmarkStart w:id="825" w:name="_Toc53412238"/>
      <w:bookmarkStart w:id="826" w:name="_Toc75783553"/>
      <w:bookmarkStart w:id="827" w:name="_Toc83753914"/>
      <w:bookmarkStart w:id="828" w:name="_Toc42205015"/>
      <w:bookmarkStart w:id="829" w:name="_Toc45791376"/>
      <w:bookmarkStart w:id="830" w:name="_Toc42267654"/>
      <w:bookmarkStart w:id="831" w:name="_Toc81330961"/>
      <w:r>
        <w:rPr>
          <w:rFonts w:hint="eastAsia" w:ascii="宋体" w:hAnsi="宋体" w:cs="宋体"/>
          <w:b/>
          <w:bCs/>
          <w:color w:val="auto"/>
          <w:sz w:val="24"/>
          <w:szCs w:val="24"/>
        </w:rPr>
        <w:t>6.2 评审原则</w:t>
      </w:r>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p>
    <w:p w14:paraId="237932F4">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评审活动应遵循公平、公正、科学和择优的原则。</w:t>
      </w:r>
    </w:p>
    <w:p w14:paraId="7BA46D5D">
      <w:pPr>
        <w:spacing w:line="360" w:lineRule="auto"/>
        <w:outlineLvl w:val="3"/>
        <w:rPr>
          <w:rFonts w:hint="eastAsia" w:ascii="宋体" w:hAnsi="宋体" w:cs="宋体"/>
          <w:b/>
          <w:bCs/>
          <w:color w:val="auto"/>
          <w:sz w:val="24"/>
          <w:szCs w:val="24"/>
        </w:rPr>
      </w:pPr>
      <w:bookmarkStart w:id="832" w:name="_Toc21353"/>
      <w:bookmarkStart w:id="833" w:name="_Toc110405157"/>
      <w:bookmarkStart w:id="834" w:name="_Toc69678452"/>
      <w:bookmarkStart w:id="835" w:name="_Toc42205016"/>
      <w:bookmarkStart w:id="836" w:name="_Toc109809335"/>
      <w:bookmarkStart w:id="837" w:name="_Toc87543841"/>
      <w:bookmarkStart w:id="838" w:name="_Toc98865034"/>
      <w:bookmarkStart w:id="839" w:name="_Toc83753915"/>
      <w:bookmarkStart w:id="840" w:name="_Toc53412239"/>
      <w:bookmarkStart w:id="841" w:name="_Toc45791377"/>
      <w:bookmarkStart w:id="842" w:name="_Toc75783554"/>
      <w:bookmarkStart w:id="843" w:name="_Toc87538392"/>
      <w:bookmarkStart w:id="844" w:name="_Toc84356275"/>
      <w:bookmarkStart w:id="845" w:name="_Toc116584024"/>
      <w:bookmarkStart w:id="846" w:name="_Toc98033957"/>
      <w:bookmarkStart w:id="847" w:name="_Toc81330962"/>
      <w:bookmarkStart w:id="848" w:name="_Toc45976923"/>
      <w:bookmarkStart w:id="849" w:name="_Toc42267655"/>
      <w:r>
        <w:rPr>
          <w:rFonts w:hint="eastAsia" w:ascii="宋体" w:hAnsi="宋体" w:cs="宋体"/>
          <w:b/>
          <w:bCs/>
          <w:color w:val="auto"/>
          <w:sz w:val="24"/>
          <w:szCs w:val="24"/>
        </w:rPr>
        <w:t>6.3 评审</w:t>
      </w:r>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p>
    <w:p w14:paraId="6E0487DC">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磋商小组按照第六章“评审办法”规定的方法、评审因素、标准和程序对响应文件进行评审，第六章“评审办法”没有规定的方法、评审因素和标准，不得作为评审依据。</w:t>
      </w:r>
    </w:p>
    <w:p w14:paraId="3EDD0586">
      <w:pPr>
        <w:spacing w:line="360" w:lineRule="auto"/>
        <w:jc w:val="center"/>
        <w:outlineLvl w:val="2"/>
        <w:rPr>
          <w:rFonts w:hint="eastAsia" w:ascii="宋体" w:hAnsi="宋体" w:cs="宋体"/>
          <w:b/>
          <w:bCs/>
          <w:color w:val="auto"/>
          <w:sz w:val="28"/>
          <w:szCs w:val="28"/>
        </w:rPr>
      </w:pPr>
      <w:bookmarkStart w:id="850" w:name="_Toc45976924"/>
      <w:bookmarkStart w:id="851" w:name="_Toc116584025"/>
      <w:bookmarkStart w:id="852" w:name="_Toc11599"/>
      <w:bookmarkStart w:id="853" w:name="_Toc83753916"/>
      <w:bookmarkStart w:id="854" w:name="_Toc98033958"/>
      <w:bookmarkStart w:id="855" w:name="_Toc109809336"/>
      <w:bookmarkStart w:id="856" w:name="_Toc98865035"/>
      <w:bookmarkStart w:id="857" w:name="_Toc42267656"/>
      <w:bookmarkStart w:id="858" w:name="_Toc87538393"/>
      <w:bookmarkStart w:id="859" w:name="_Toc381796412"/>
      <w:bookmarkStart w:id="860" w:name="_Toc45791378"/>
      <w:bookmarkStart w:id="861" w:name="_Toc110405158"/>
      <w:bookmarkStart w:id="862" w:name="_Toc292983022"/>
      <w:bookmarkStart w:id="863" w:name="_Toc37603107"/>
      <w:bookmarkStart w:id="864" w:name="_Toc42205017"/>
      <w:bookmarkStart w:id="865" w:name="_Toc87543842"/>
      <w:bookmarkStart w:id="866" w:name="_Toc84356276"/>
      <w:r>
        <w:rPr>
          <w:rFonts w:hint="eastAsia" w:ascii="宋体" w:hAnsi="宋体" w:cs="宋体"/>
          <w:b/>
          <w:bCs/>
          <w:color w:val="auto"/>
          <w:sz w:val="28"/>
          <w:szCs w:val="28"/>
        </w:rPr>
        <w:t>7.合同授予</w:t>
      </w:r>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p>
    <w:p w14:paraId="4029B03C">
      <w:pPr>
        <w:spacing w:line="360" w:lineRule="auto"/>
        <w:outlineLvl w:val="3"/>
        <w:rPr>
          <w:rFonts w:hint="eastAsia" w:ascii="宋体" w:hAnsi="宋体" w:cs="宋体"/>
          <w:b/>
          <w:bCs/>
          <w:color w:val="auto"/>
          <w:sz w:val="24"/>
          <w:szCs w:val="24"/>
        </w:rPr>
      </w:pPr>
      <w:bookmarkStart w:id="867" w:name="_Toc109809337"/>
      <w:bookmarkStart w:id="868" w:name="_Toc50559278"/>
      <w:bookmarkStart w:id="869" w:name="_Toc45452769"/>
      <w:bookmarkStart w:id="870" w:name="_Toc42205018"/>
      <w:bookmarkStart w:id="871" w:name="_Toc110405159"/>
      <w:bookmarkStart w:id="872" w:name="_Toc42267657"/>
      <w:bookmarkStart w:id="873" w:name="_Toc79968010"/>
      <w:bookmarkStart w:id="874" w:name="_Toc48639300"/>
      <w:bookmarkStart w:id="875" w:name="_Toc87543843"/>
      <w:bookmarkStart w:id="876" w:name="_Toc98865036"/>
      <w:bookmarkStart w:id="877" w:name="_Toc45900551"/>
      <w:bookmarkStart w:id="878" w:name="_Toc98033959"/>
      <w:bookmarkStart w:id="879" w:name="_Toc116584026"/>
      <w:bookmarkStart w:id="880" w:name="_Toc52091975"/>
      <w:bookmarkStart w:id="881" w:name="_Toc18460"/>
      <w:bookmarkStart w:id="882" w:name="_Toc70503243"/>
      <w:bookmarkStart w:id="883" w:name="_Toc79967649"/>
      <w:bookmarkStart w:id="884" w:name="_Toc124133181"/>
      <w:bookmarkStart w:id="885" w:name="_Toc81660933"/>
      <w:bookmarkStart w:id="886" w:name="_Toc81661145"/>
      <w:bookmarkStart w:id="887" w:name="_Toc45900555"/>
      <w:bookmarkStart w:id="888" w:name="_Toc45452773"/>
      <w:bookmarkStart w:id="889" w:name="_Toc81660839"/>
      <w:bookmarkStart w:id="890" w:name="_Toc50559282"/>
      <w:bookmarkStart w:id="891" w:name="_Toc45976929"/>
      <w:bookmarkStart w:id="892" w:name="_Toc42205022"/>
      <w:bookmarkStart w:id="893" w:name="_Toc42267661"/>
      <w:bookmarkStart w:id="894" w:name="_Toc45791383"/>
      <w:bookmarkStart w:id="895" w:name="_Toc87538397"/>
      <w:bookmarkStart w:id="896" w:name="_Toc84356280"/>
      <w:bookmarkStart w:id="897" w:name="_Toc83753920"/>
      <w:r>
        <w:rPr>
          <w:rFonts w:hint="eastAsia" w:ascii="宋体" w:hAnsi="宋体" w:cs="宋体"/>
          <w:b/>
          <w:bCs/>
          <w:color w:val="auto"/>
          <w:sz w:val="24"/>
          <w:szCs w:val="24"/>
        </w:rPr>
        <w:t>7.1定标方式</w:t>
      </w:r>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p>
    <w:p w14:paraId="1A5ABD60">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除供应商须知前附表规定磋商小组直接确定成交供应商外，采购人依据磋商小组推荐的成交候选人顺序确定成交供应商，磋商小组推荐的成交候选人的人数见供应商须知前附表。</w:t>
      </w:r>
    </w:p>
    <w:bookmarkEnd w:id="884"/>
    <w:p w14:paraId="261FBB9B">
      <w:pPr>
        <w:spacing w:line="360" w:lineRule="auto"/>
        <w:outlineLvl w:val="3"/>
        <w:rPr>
          <w:rFonts w:hint="eastAsia" w:ascii="宋体" w:hAnsi="宋体" w:cs="宋体"/>
          <w:b/>
          <w:bCs/>
          <w:color w:val="auto"/>
          <w:sz w:val="24"/>
          <w:szCs w:val="24"/>
        </w:rPr>
      </w:pPr>
      <w:bookmarkStart w:id="898" w:name="_Toc50559279"/>
      <w:bookmarkStart w:id="899" w:name="_Toc70503244"/>
      <w:bookmarkStart w:id="900" w:name="_Toc42267658"/>
      <w:bookmarkStart w:id="901" w:name="_Toc45452770"/>
      <w:bookmarkStart w:id="902" w:name="_Toc52091976"/>
      <w:bookmarkStart w:id="903" w:name="_Toc42205019"/>
      <w:bookmarkStart w:id="904" w:name="_Toc48639301"/>
      <w:bookmarkStart w:id="905" w:name="_Toc45900552"/>
      <w:bookmarkStart w:id="906" w:name="_Toc110405160"/>
      <w:bookmarkStart w:id="907" w:name="_Toc79968011"/>
      <w:bookmarkStart w:id="908" w:name="_Toc116584027"/>
      <w:bookmarkStart w:id="909" w:name="_Toc79967650"/>
      <w:bookmarkStart w:id="910" w:name="_Toc98033960"/>
      <w:bookmarkStart w:id="911" w:name="_Toc18918"/>
      <w:bookmarkStart w:id="912" w:name="_Toc98865037"/>
      <w:bookmarkStart w:id="913" w:name="_Toc87543844"/>
      <w:bookmarkStart w:id="914" w:name="_Toc109809338"/>
      <w:r>
        <w:rPr>
          <w:rFonts w:hint="eastAsia" w:ascii="宋体" w:hAnsi="宋体" w:cs="宋体"/>
          <w:b/>
          <w:bCs/>
          <w:color w:val="auto"/>
          <w:sz w:val="24"/>
          <w:szCs w:val="24"/>
        </w:rPr>
        <w:t>7.2成交</w:t>
      </w:r>
      <w:bookmarkEnd w:id="898"/>
      <w:bookmarkEnd w:id="899"/>
      <w:bookmarkEnd w:id="900"/>
      <w:bookmarkEnd w:id="901"/>
      <w:bookmarkEnd w:id="902"/>
      <w:bookmarkEnd w:id="903"/>
      <w:bookmarkEnd w:id="904"/>
      <w:bookmarkEnd w:id="905"/>
      <w:r>
        <w:rPr>
          <w:rFonts w:hint="eastAsia" w:ascii="宋体" w:hAnsi="宋体" w:cs="宋体"/>
          <w:b/>
          <w:bCs/>
          <w:color w:val="auto"/>
          <w:sz w:val="24"/>
          <w:szCs w:val="24"/>
        </w:rPr>
        <w:t>结果</w:t>
      </w:r>
      <w:bookmarkEnd w:id="906"/>
      <w:bookmarkEnd w:id="907"/>
      <w:bookmarkEnd w:id="908"/>
      <w:bookmarkEnd w:id="909"/>
      <w:bookmarkEnd w:id="910"/>
      <w:bookmarkEnd w:id="911"/>
      <w:bookmarkEnd w:id="912"/>
      <w:bookmarkEnd w:id="913"/>
      <w:bookmarkEnd w:id="914"/>
    </w:p>
    <w:p w14:paraId="2A6CF7D6">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7.2.1采购代理机构应当在评审结束后2个工作日内将评审报告送采购人确认。</w:t>
      </w:r>
    </w:p>
    <w:p w14:paraId="316C8E02">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7.2.2采购人应当在收到评审报告后5个工作日内，按照评审报告中推荐的成交候选人顺序确定成交供应商。</w:t>
      </w:r>
    </w:p>
    <w:p w14:paraId="2C909E39">
      <w:pPr>
        <w:adjustRightInd w:val="0"/>
        <w:snapToGrid w:val="0"/>
        <w:spacing w:line="360" w:lineRule="auto"/>
        <w:ind w:firstLine="420" w:firstLineChars="200"/>
        <w:rPr>
          <w:rFonts w:hint="eastAsia" w:ascii="宋体" w:hAnsi="宋体" w:cs="宋体"/>
          <w:color w:val="auto"/>
          <w:szCs w:val="28"/>
        </w:rPr>
      </w:pPr>
      <w:r>
        <w:rPr>
          <w:rFonts w:hint="eastAsia" w:ascii="宋体" w:hAnsi="宋体" w:cs="宋体"/>
          <w:color w:val="auto"/>
          <w:szCs w:val="21"/>
        </w:rPr>
        <w:t>7.2.3采购代理机构应当自成交供应商确定之日起2个工作日内，</w:t>
      </w:r>
      <w:r>
        <w:rPr>
          <w:rFonts w:hint="eastAsia" w:ascii="宋体" w:hAnsi="宋体" w:cs="宋体"/>
          <w:snapToGrid w:val="0"/>
          <w:color w:val="auto"/>
          <w:kern w:val="0"/>
          <w:szCs w:val="21"/>
        </w:rPr>
        <w:t>在省级以上财政部门指定的政府采购信息发布媒体上公告成交结果，同时向成交供应商发出成交通知书</w:t>
      </w:r>
      <w:r>
        <w:rPr>
          <w:rFonts w:hint="eastAsia" w:ascii="宋体" w:hAnsi="宋体" w:cs="宋体"/>
          <w:color w:val="auto"/>
          <w:szCs w:val="21"/>
        </w:rPr>
        <w:t>。</w:t>
      </w:r>
    </w:p>
    <w:p w14:paraId="4312ACBA">
      <w:pPr>
        <w:spacing w:line="360" w:lineRule="auto"/>
        <w:outlineLvl w:val="3"/>
        <w:rPr>
          <w:rFonts w:hint="eastAsia" w:ascii="宋体" w:hAnsi="宋体" w:cs="宋体"/>
          <w:b/>
          <w:bCs/>
          <w:color w:val="auto"/>
          <w:sz w:val="24"/>
          <w:szCs w:val="24"/>
        </w:rPr>
      </w:pPr>
      <w:bookmarkStart w:id="915" w:name="_Toc42267659"/>
      <w:bookmarkStart w:id="916" w:name="_Toc50559280"/>
      <w:bookmarkStart w:id="917" w:name="_Toc70503245"/>
      <w:bookmarkStart w:id="918" w:name="_Toc10977"/>
      <w:bookmarkStart w:id="919" w:name="_Toc52091977"/>
      <w:bookmarkStart w:id="920" w:name="_Toc110405161"/>
      <w:bookmarkStart w:id="921" w:name="_Toc48639302"/>
      <w:bookmarkStart w:id="922" w:name="_Toc116584028"/>
      <w:bookmarkStart w:id="923" w:name="_Toc109809339"/>
      <w:bookmarkStart w:id="924" w:name="_Toc98033961"/>
      <w:bookmarkStart w:id="925" w:name="_Toc79967651"/>
      <w:bookmarkStart w:id="926" w:name="_Toc45900553"/>
      <w:bookmarkStart w:id="927" w:name="_Toc98865038"/>
      <w:bookmarkStart w:id="928" w:name="_Toc87543845"/>
      <w:bookmarkStart w:id="929" w:name="_Toc45452771"/>
      <w:bookmarkStart w:id="930" w:name="_Toc79968012"/>
      <w:bookmarkStart w:id="931" w:name="_Toc42205020"/>
      <w:r>
        <w:rPr>
          <w:rFonts w:hint="eastAsia" w:ascii="宋体" w:hAnsi="宋体" w:cs="宋体"/>
          <w:b/>
          <w:bCs/>
          <w:color w:val="auto"/>
          <w:sz w:val="24"/>
          <w:szCs w:val="24"/>
        </w:rPr>
        <w:t>7.3履约担保</w:t>
      </w:r>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p>
    <w:p w14:paraId="3E79220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7.3.1成交供应商与采购人签订合同前应当按照供应商须知前附表规定的金额、担保形式向采购人提交履约担保。</w:t>
      </w:r>
    </w:p>
    <w:p w14:paraId="481A5050">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7.3.2成交供应商不能按照供应商须知前附表要求提交履约担保的，视为放弃成交资格，并且采购人上报政府采购监督管理部门。</w:t>
      </w:r>
    </w:p>
    <w:p w14:paraId="3487DFA2">
      <w:pPr>
        <w:spacing w:line="360" w:lineRule="auto"/>
        <w:outlineLvl w:val="3"/>
        <w:rPr>
          <w:rFonts w:hint="eastAsia" w:ascii="宋体" w:hAnsi="宋体" w:cs="宋体"/>
          <w:b/>
          <w:bCs/>
          <w:color w:val="auto"/>
          <w:sz w:val="24"/>
          <w:szCs w:val="24"/>
        </w:rPr>
      </w:pPr>
      <w:bookmarkStart w:id="932" w:name="_Toc50559281"/>
      <w:bookmarkStart w:id="933" w:name="_Toc98033962"/>
      <w:bookmarkStart w:id="934" w:name="_Toc79967652"/>
      <w:bookmarkStart w:id="935" w:name="_Toc32278"/>
      <w:bookmarkStart w:id="936" w:name="_Toc79968013"/>
      <w:bookmarkStart w:id="937" w:name="_Toc45452772"/>
      <w:bookmarkStart w:id="938" w:name="_Toc52091978"/>
      <w:bookmarkStart w:id="939" w:name="_Toc42205021"/>
      <w:bookmarkStart w:id="940" w:name="_Toc48639303"/>
      <w:bookmarkStart w:id="941" w:name="_Toc98865039"/>
      <w:bookmarkStart w:id="942" w:name="_Toc109809340"/>
      <w:bookmarkStart w:id="943" w:name="_Toc116584029"/>
      <w:bookmarkStart w:id="944" w:name="_Toc42267660"/>
      <w:bookmarkStart w:id="945" w:name="_Toc124133182"/>
      <w:bookmarkStart w:id="946" w:name="_Toc87543846"/>
      <w:bookmarkStart w:id="947" w:name="_Toc45900554"/>
      <w:bookmarkStart w:id="948" w:name="_Toc110405162"/>
      <w:bookmarkStart w:id="949" w:name="_Toc70503246"/>
      <w:r>
        <w:rPr>
          <w:rFonts w:hint="eastAsia" w:ascii="宋体" w:hAnsi="宋体" w:cs="宋体"/>
          <w:b/>
          <w:bCs/>
          <w:color w:val="auto"/>
          <w:sz w:val="24"/>
          <w:szCs w:val="24"/>
        </w:rPr>
        <w:t>7.4签订合同</w:t>
      </w:r>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p>
    <w:p w14:paraId="5B9B2A22">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7.4.1采购人和成交供应商应当自成交通知书发出之日起30天内，根据采购文件和成交供应商的响应文件订立书面合同。成交供应商无正当理由拒签合同的，采购人取消其成交资格，给采购人造成损失的，成交供应商还应当予以赔偿。</w:t>
      </w:r>
    </w:p>
    <w:p w14:paraId="6AAC43D9">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7.4.2发出成交通知书后，采购人无正当理由拒签合同，给成交供应商造成损失的，还应当赔偿损失。</w:t>
      </w:r>
    </w:p>
    <w:bookmarkEnd w:id="885"/>
    <w:bookmarkEnd w:id="886"/>
    <w:bookmarkEnd w:id="887"/>
    <w:bookmarkEnd w:id="888"/>
    <w:bookmarkEnd w:id="889"/>
    <w:bookmarkEnd w:id="890"/>
    <w:p w14:paraId="6DB3D271">
      <w:pPr>
        <w:spacing w:line="360" w:lineRule="auto"/>
        <w:jc w:val="center"/>
        <w:outlineLvl w:val="2"/>
        <w:rPr>
          <w:rFonts w:hint="eastAsia" w:ascii="宋体" w:hAnsi="宋体" w:cs="宋体"/>
          <w:b/>
          <w:bCs/>
          <w:color w:val="auto"/>
          <w:sz w:val="28"/>
          <w:szCs w:val="28"/>
        </w:rPr>
      </w:pPr>
      <w:bookmarkStart w:id="950" w:name="_Toc116584030"/>
      <w:bookmarkStart w:id="951" w:name="_Toc98033963"/>
      <w:bookmarkStart w:id="952" w:name="_Toc98865040"/>
      <w:bookmarkStart w:id="953" w:name="_Toc87543847"/>
      <w:bookmarkStart w:id="954" w:name="_Toc109809341"/>
      <w:bookmarkStart w:id="955" w:name="_Toc26229"/>
      <w:bookmarkStart w:id="956" w:name="_Toc110405163"/>
      <w:r>
        <w:rPr>
          <w:rFonts w:hint="eastAsia" w:ascii="宋体" w:hAnsi="宋体" w:cs="宋体"/>
          <w:b/>
          <w:bCs/>
          <w:color w:val="auto"/>
          <w:sz w:val="28"/>
          <w:szCs w:val="28"/>
        </w:rPr>
        <w:t>8.重新</w:t>
      </w:r>
      <w:bookmarkEnd w:id="891"/>
      <w:bookmarkEnd w:id="892"/>
      <w:bookmarkEnd w:id="893"/>
      <w:bookmarkEnd w:id="894"/>
      <w:r>
        <w:rPr>
          <w:rFonts w:hint="eastAsia" w:ascii="宋体" w:hAnsi="宋体" w:cs="宋体"/>
          <w:b/>
          <w:bCs/>
          <w:color w:val="auto"/>
          <w:sz w:val="28"/>
          <w:szCs w:val="28"/>
        </w:rPr>
        <w:t>采购</w:t>
      </w:r>
      <w:bookmarkEnd w:id="895"/>
      <w:bookmarkEnd w:id="896"/>
      <w:bookmarkEnd w:id="897"/>
      <w:bookmarkEnd w:id="950"/>
      <w:bookmarkEnd w:id="951"/>
      <w:bookmarkEnd w:id="952"/>
      <w:bookmarkEnd w:id="953"/>
      <w:bookmarkEnd w:id="954"/>
      <w:bookmarkEnd w:id="955"/>
      <w:bookmarkEnd w:id="956"/>
    </w:p>
    <w:p w14:paraId="269D277F">
      <w:pPr>
        <w:spacing w:line="360" w:lineRule="auto"/>
        <w:outlineLvl w:val="3"/>
        <w:rPr>
          <w:rFonts w:hint="eastAsia" w:ascii="宋体" w:hAnsi="宋体" w:cs="宋体"/>
          <w:b/>
          <w:bCs/>
          <w:color w:val="auto"/>
          <w:sz w:val="24"/>
          <w:szCs w:val="24"/>
        </w:rPr>
      </w:pPr>
      <w:bookmarkStart w:id="957" w:name="_Toc98033964"/>
      <w:bookmarkStart w:id="958" w:name="_Toc116584031"/>
      <w:bookmarkStart w:id="959" w:name="_Toc110405164"/>
      <w:bookmarkStart w:id="960" w:name="_Toc31249"/>
      <w:bookmarkStart w:id="961" w:name="_Toc87543848"/>
      <w:bookmarkStart w:id="962" w:name="_Toc98865041"/>
      <w:bookmarkStart w:id="963" w:name="_Toc109809342"/>
      <w:r>
        <w:rPr>
          <w:rFonts w:hint="eastAsia" w:ascii="宋体" w:hAnsi="宋体" w:cs="宋体"/>
          <w:b/>
          <w:bCs/>
          <w:color w:val="auto"/>
          <w:sz w:val="24"/>
          <w:szCs w:val="24"/>
        </w:rPr>
        <w:t>8.1有下列情形之一的，采购人将重新采购</w:t>
      </w:r>
      <w:bookmarkEnd w:id="957"/>
      <w:bookmarkEnd w:id="958"/>
      <w:bookmarkEnd w:id="959"/>
      <w:bookmarkEnd w:id="960"/>
      <w:bookmarkEnd w:id="961"/>
      <w:bookmarkEnd w:id="962"/>
      <w:bookmarkEnd w:id="963"/>
    </w:p>
    <w:p w14:paraId="76010315">
      <w:pPr>
        <w:adjustRightInd w:val="0"/>
        <w:snapToGrid w:val="0"/>
        <w:spacing w:line="360" w:lineRule="auto"/>
        <w:ind w:firstLine="420" w:firstLineChars="200"/>
        <w:rPr>
          <w:rFonts w:hint="eastAsia" w:ascii="宋体" w:hAnsi="宋体" w:cs="宋体"/>
          <w:color w:val="auto"/>
        </w:rPr>
      </w:pPr>
      <w:r>
        <w:rPr>
          <w:rFonts w:hint="eastAsia" w:ascii="宋体" w:hAnsi="宋体" w:cs="宋体"/>
          <w:color w:val="auto"/>
        </w:rPr>
        <w:t>8.1.1响应文件提交截止时间止，提交响应文件的供应商少于3个的，采购人将依法重新采购。</w:t>
      </w:r>
    </w:p>
    <w:p w14:paraId="1FE03591">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8.1.2经磋商小组评审后，有效供应商数量少于3个的。</w:t>
      </w:r>
    </w:p>
    <w:p w14:paraId="7773B5BE">
      <w:pPr>
        <w:spacing w:line="360" w:lineRule="auto"/>
        <w:jc w:val="center"/>
        <w:outlineLvl w:val="2"/>
        <w:rPr>
          <w:rFonts w:hint="eastAsia" w:ascii="宋体" w:hAnsi="宋体" w:cs="宋体"/>
          <w:b/>
          <w:bCs/>
          <w:color w:val="auto"/>
          <w:sz w:val="28"/>
          <w:szCs w:val="28"/>
        </w:rPr>
      </w:pPr>
      <w:bookmarkStart w:id="964" w:name="_Toc83753921"/>
      <w:bookmarkStart w:id="965" w:name="_Toc45791384"/>
      <w:bookmarkStart w:id="966" w:name="_Toc45976930"/>
      <w:bookmarkStart w:id="967" w:name="_Toc84356281"/>
      <w:bookmarkStart w:id="968" w:name="_Toc98865042"/>
      <w:bookmarkStart w:id="969" w:name="_Toc109809343"/>
      <w:bookmarkStart w:id="970" w:name="_Toc116584032"/>
      <w:bookmarkStart w:id="971" w:name="_Toc87538398"/>
      <w:bookmarkStart w:id="972" w:name="_Toc42205023"/>
      <w:bookmarkStart w:id="973" w:name="_Toc98033965"/>
      <w:bookmarkStart w:id="974" w:name="_Toc110405165"/>
      <w:bookmarkStart w:id="975" w:name="_Toc42267662"/>
      <w:bookmarkStart w:id="976" w:name="_Toc87543849"/>
      <w:bookmarkStart w:id="977" w:name="_Toc16641"/>
      <w:r>
        <w:rPr>
          <w:rFonts w:hint="eastAsia" w:ascii="宋体" w:hAnsi="宋体" w:cs="宋体"/>
          <w:b/>
          <w:bCs/>
          <w:color w:val="auto"/>
          <w:sz w:val="28"/>
          <w:szCs w:val="28"/>
        </w:rPr>
        <w:t>9.纪律和监督</w:t>
      </w:r>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p>
    <w:p w14:paraId="2D103176">
      <w:pPr>
        <w:spacing w:line="360" w:lineRule="auto"/>
        <w:outlineLvl w:val="3"/>
        <w:rPr>
          <w:rFonts w:hint="eastAsia" w:ascii="宋体" w:hAnsi="宋体" w:cs="宋体"/>
          <w:b/>
          <w:bCs/>
          <w:color w:val="auto"/>
          <w:sz w:val="24"/>
          <w:szCs w:val="24"/>
        </w:rPr>
      </w:pPr>
      <w:bookmarkStart w:id="978" w:name="_Toc45791385"/>
      <w:bookmarkStart w:id="979" w:name="_Toc84356282"/>
      <w:bookmarkStart w:id="980" w:name="_Toc87543850"/>
      <w:bookmarkStart w:id="981" w:name="_Toc42205024"/>
      <w:bookmarkStart w:id="982" w:name="_Toc81330970"/>
      <w:bookmarkStart w:id="983" w:name="_Toc75783562"/>
      <w:bookmarkStart w:id="984" w:name="_Toc98033966"/>
      <w:bookmarkStart w:id="985" w:name="_Toc87538399"/>
      <w:bookmarkStart w:id="986" w:name="_Toc109809344"/>
      <w:bookmarkStart w:id="987" w:name="_Toc69678460"/>
      <w:bookmarkStart w:id="988" w:name="_Toc98865043"/>
      <w:bookmarkStart w:id="989" w:name="_Toc42267663"/>
      <w:bookmarkStart w:id="990" w:name="_Toc116584033"/>
      <w:bookmarkStart w:id="991" w:name="_Toc110405166"/>
      <w:bookmarkStart w:id="992" w:name="_Toc28437"/>
      <w:bookmarkStart w:id="993" w:name="_Toc83753922"/>
      <w:bookmarkStart w:id="994" w:name="_Toc45976931"/>
      <w:bookmarkStart w:id="995" w:name="_Toc53412247"/>
      <w:r>
        <w:rPr>
          <w:rFonts w:hint="eastAsia" w:ascii="宋体" w:hAnsi="宋体" w:cs="宋体"/>
          <w:b/>
          <w:bCs/>
          <w:color w:val="auto"/>
          <w:sz w:val="24"/>
          <w:szCs w:val="24"/>
        </w:rPr>
        <w:t>9.1 对采购人的纪律要求</w:t>
      </w:r>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p>
    <w:p w14:paraId="61464405">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采购人不得泄露采购活动中应当保密的情况和资料，不得与供应商串通损害国家利益、社会公共利益或者他人合法权益。</w:t>
      </w:r>
    </w:p>
    <w:p w14:paraId="5FAC70F2">
      <w:pPr>
        <w:spacing w:line="360" w:lineRule="auto"/>
        <w:outlineLvl w:val="3"/>
        <w:rPr>
          <w:rFonts w:hint="eastAsia" w:ascii="宋体" w:hAnsi="宋体" w:cs="宋体"/>
          <w:b/>
          <w:bCs/>
          <w:color w:val="auto"/>
          <w:sz w:val="24"/>
          <w:szCs w:val="24"/>
        </w:rPr>
      </w:pPr>
      <w:bookmarkStart w:id="996" w:name="_Toc98865044"/>
      <w:bookmarkStart w:id="997" w:name="_Toc928"/>
      <w:bookmarkStart w:id="998" w:name="_Toc84356283"/>
      <w:bookmarkStart w:id="999" w:name="_Toc87538400"/>
      <w:bookmarkStart w:id="1000" w:name="_Toc42267664"/>
      <w:bookmarkStart w:id="1001" w:name="_Toc98033967"/>
      <w:bookmarkStart w:id="1002" w:name="_Toc42205025"/>
      <w:bookmarkStart w:id="1003" w:name="_Toc83753923"/>
      <w:bookmarkStart w:id="1004" w:name="_Toc53412248"/>
      <w:bookmarkStart w:id="1005" w:name="_Toc45791386"/>
      <w:bookmarkStart w:id="1006" w:name="_Toc45976932"/>
      <w:bookmarkStart w:id="1007" w:name="_Toc109809345"/>
      <w:bookmarkStart w:id="1008" w:name="_Toc87543851"/>
      <w:bookmarkStart w:id="1009" w:name="_Toc116584034"/>
      <w:bookmarkStart w:id="1010" w:name="_Toc110405167"/>
      <w:bookmarkStart w:id="1011" w:name="_Toc81330971"/>
      <w:bookmarkStart w:id="1012" w:name="_Toc75783563"/>
      <w:bookmarkStart w:id="1013" w:name="_Toc69678461"/>
      <w:r>
        <w:rPr>
          <w:rFonts w:hint="eastAsia" w:ascii="宋体" w:hAnsi="宋体" w:cs="宋体"/>
          <w:b/>
          <w:bCs/>
          <w:color w:val="auto"/>
          <w:sz w:val="24"/>
          <w:szCs w:val="24"/>
        </w:rPr>
        <w:t>9.2 对供应商的纪律要求</w:t>
      </w:r>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p>
    <w:p w14:paraId="7575DACA">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供应商不得相互串通磋商或者与采购人串通磋商，不得向采购人或者磋商小组成员行贿谋取成交，不得以他人名义磋商或者以其他方式弄虚作假骗取成交；供应商不得以任何方式干扰、影响评审工作。</w:t>
      </w:r>
    </w:p>
    <w:p w14:paraId="45576048">
      <w:pPr>
        <w:spacing w:line="360" w:lineRule="auto"/>
        <w:outlineLvl w:val="3"/>
        <w:rPr>
          <w:rFonts w:hint="eastAsia" w:ascii="宋体" w:hAnsi="宋体" w:cs="宋体"/>
          <w:b/>
          <w:bCs/>
          <w:color w:val="auto"/>
          <w:sz w:val="24"/>
          <w:szCs w:val="24"/>
        </w:rPr>
      </w:pPr>
      <w:bookmarkStart w:id="1014" w:name="_Toc87538401"/>
      <w:bookmarkStart w:id="1015" w:name="_Toc42267665"/>
      <w:bookmarkStart w:id="1016" w:name="_Toc42205026"/>
      <w:bookmarkStart w:id="1017" w:name="_Toc13146"/>
      <w:bookmarkStart w:id="1018" w:name="_Toc110405168"/>
      <w:bookmarkStart w:id="1019" w:name="_Toc69678462"/>
      <w:bookmarkStart w:id="1020" w:name="_Toc75783564"/>
      <w:bookmarkStart w:id="1021" w:name="_Toc45791387"/>
      <w:bookmarkStart w:id="1022" w:name="_Toc83753924"/>
      <w:bookmarkStart w:id="1023" w:name="_Toc53412249"/>
      <w:bookmarkStart w:id="1024" w:name="_Toc109809346"/>
      <w:bookmarkStart w:id="1025" w:name="_Toc116584035"/>
      <w:bookmarkStart w:id="1026" w:name="_Toc98865045"/>
      <w:bookmarkStart w:id="1027" w:name="_Toc84356284"/>
      <w:bookmarkStart w:id="1028" w:name="_Toc87543852"/>
      <w:bookmarkStart w:id="1029" w:name="_Toc45976933"/>
      <w:bookmarkStart w:id="1030" w:name="_Toc98033968"/>
      <w:bookmarkStart w:id="1031" w:name="_Toc81330972"/>
      <w:r>
        <w:rPr>
          <w:rFonts w:hint="eastAsia" w:ascii="宋体" w:hAnsi="宋体" w:cs="宋体"/>
          <w:b/>
          <w:bCs/>
          <w:color w:val="auto"/>
          <w:sz w:val="24"/>
          <w:szCs w:val="24"/>
        </w:rPr>
        <w:t>9.3 对磋商小组成员的纪律要求</w:t>
      </w:r>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p>
    <w:p w14:paraId="44158F62">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磋商小组成员不得收受他人的财物或者其他好处，不得向他人透露对响应文件的评审和比较、成交候选人的推荐情况以及评审有关的其他情况。在评审活动中，磋商小组成员不得擅离职守，影响评审程序正常进行，不得使用第六章“评审办法”没有规定的评审因素和标准进行评审。</w:t>
      </w:r>
    </w:p>
    <w:p w14:paraId="0A2A8BA8">
      <w:pPr>
        <w:spacing w:line="360" w:lineRule="auto"/>
        <w:outlineLvl w:val="3"/>
        <w:rPr>
          <w:rFonts w:hint="eastAsia" w:ascii="宋体" w:hAnsi="宋体" w:cs="宋体"/>
          <w:b/>
          <w:bCs/>
          <w:color w:val="auto"/>
          <w:sz w:val="24"/>
          <w:szCs w:val="24"/>
        </w:rPr>
      </w:pPr>
      <w:bookmarkStart w:id="1032" w:name="_Toc116584036"/>
      <w:bookmarkStart w:id="1033" w:name="_Toc75783565"/>
      <w:bookmarkStart w:id="1034" w:name="_Toc42205027"/>
      <w:bookmarkStart w:id="1035" w:name="_Toc45791388"/>
      <w:bookmarkStart w:id="1036" w:name="_Toc42267666"/>
      <w:bookmarkStart w:id="1037" w:name="_Toc53412250"/>
      <w:bookmarkStart w:id="1038" w:name="_Toc87543853"/>
      <w:bookmarkStart w:id="1039" w:name="_Toc84356285"/>
      <w:bookmarkStart w:id="1040" w:name="_Toc69678463"/>
      <w:bookmarkStart w:id="1041" w:name="_Toc16136"/>
      <w:bookmarkStart w:id="1042" w:name="_Toc45976934"/>
      <w:bookmarkStart w:id="1043" w:name="_Toc81330973"/>
      <w:bookmarkStart w:id="1044" w:name="_Toc87538402"/>
      <w:bookmarkStart w:id="1045" w:name="_Toc109809347"/>
      <w:bookmarkStart w:id="1046" w:name="_Toc83753925"/>
      <w:bookmarkStart w:id="1047" w:name="_Toc98865046"/>
      <w:bookmarkStart w:id="1048" w:name="_Toc98033969"/>
      <w:bookmarkStart w:id="1049" w:name="_Toc110405169"/>
      <w:r>
        <w:rPr>
          <w:rFonts w:hint="eastAsia" w:ascii="宋体" w:hAnsi="宋体" w:cs="宋体"/>
          <w:b/>
          <w:bCs/>
          <w:color w:val="auto"/>
          <w:sz w:val="24"/>
          <w:szCs w:val="24"/>
        </w:rPr>
        <w:t>9.4 对与评审活动有关的工作人员的纪律要求</w:t>
      </w:r>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p>
    <w:p w14:paraId="1D3C5279">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与评审活动有关的工作人员不得收受他人的财物或者其他好处，不得向他人透露对响应文件的评审和比较、成交候选人的推荐情况以及评审有关的其他情况。在评审活动中，与评审活动有关的工作人员不得擅离职守，影响评审程序正常进行。</w:t>
      </w:r>
    </w:p>
    <w:p w14:paraId="2E34A667">
      <w:pPr>
        <w:spacing w:line="360" w:lineRule="auto"/>
        <w:outlineLvl w:val="3"/>
        <w:rPr>
          <w:rFonts w:hint="eastAsia" w:ascii="宋体" w:hAnsi="宋体" w:cs="宋体"/>
          <w:b/>
          <w:bCs/>
          <w:color w:val="auto"/>
          <w:sz w:val="24"/>
          <w:szCs w:val="24"/>
        </w:rPr>
      </w:pPr>
      <w:bookmarkStart w:id="1050" w:name="_Toc116584037"/>
      <w:r>
        <w:rPr>
          <w:rFonts w:hint="eastAsia" w:ascii="宋体" w:hAnsi="宋体" w:cs="宋体"/>
          <w:b/>
          <w:bCs/>
          <w:color w:val="auto"/>
          <w:sz w:val="24"/>
          <w:szCs w:val="24"/>
        </w:rPr>
        <w:t>9.5质疑</w:t>
      </w:r>
      <w:bookmarkEnd w:id="1050"/>
    </w:p>
    <w:p w14:paraId="34E08AF8">
      <w:pPr>
        <w:spacing w:line="360" w:lineRule="auto"/>
        <w:ind w:firstLine="420" w:firstLineChars="200"/>
        <w:rPr>
          <w:rFonts w:hint="eastAsia" w:ascii="宋体" w:hAnsi="宋体"/>
          <w:color w:val="auto"/>
          <w:szCs w:val="21"/>
        </w:rPr>
      </w:pPr>
      <w:r>
        <w:rPr>
          <w:rFonts w:asciiTheme="minorEastAsia" w:hAnsiTheme="minorEastAsia" w:eastAsiaTheme="minorEastAsia"/>
          <w:color w:val="auto"/>
          <w:szCs w:val="21"/>
        </w:rPr>
        <w:t>9.5.1</w:t>
      </w:r>
      <w:r>
        <w:rPr>
          <w:rFonts w:hint="eastAsia" w:ascii="宋体" w:hAnsi="宋体"/>
          <w:color w:val="auto"/>
          <w:szCs w:val="21"/>
        </w:rPr>
        <w:t>供应商认为竞争性磋商文件、采购过程和成交结果使自己的权益受到损害的，应当在知道或者应知其权益受到损害之日起7个工作日内，以书面形式向采购人或采购代理机构提出质疑，质疑内容不得含有虚假、恶意成分。当事人对自己提出的主张，有责任提供证据，提出质疑时应同时提交相关证据材料和注明事实的确切来源且证据合法、真实、有效。采购人或采购代理机构应当在7个工作日内对供应商依法提出的质疑作出书面答复，但答复的内容不得涉及商业秘密。</w:t>
      </w:r>
    </w:p>
    <w:p w14:paraId="254025DC">
      <w:pPr>
        <w:spacing w:line="360" w:lineRule="auto"/>
        <w:ind w:firstLine="420" w:firstLineChars="200"/>
        <w:rPr>
          <w:rFonts w:hint="eastAsia" w:ascii="宋体" w:hAnsi="宋体"/>
          <w:color w:val="auto"/>
          <w:szCs w:val="21"/>
        </w:rPr>
      </w:pPr>
      <w:r>
        <w:rPr>
          <w:rFonts w:hint="eastAsia" w:ascii="宋体" w:hAnsi="宋体"/>
          <w:color w:val="auto"/>
          <w:szCs w:val="21"/>
        </w:rPr>
        <w:t>受理质疑单位：云南铭漾工程技术咨询有限公司</w:t>
      </w:r>
    </w:p>
    <w:p w14:paraId="28F933A1">
      <w:pPr>
        <w:spacing w:line="360" w:lineRule="auto"/>
        <w:ind w:firstLine="420" w:firstLineChars="200"/>
        <w:rPr>
          <w:rFonts w:hint="eastAsia" w:ascii="宋体" w:hAnsi="宋体"/>
          <w:color w:val="auto"/>
          <w:szCs w:val="21"/>
        </w:rPr>
      </w:pPr>
      <w:r>
        <w:rPr>
          <w:rFonts w:hint="eastAsia" w:ascii="宋体" w:hAnsi="宋体"/>
          <w:color w:val="auto"/>
          <w:szCs w:val="21"/>
        </w:rPr>
        <w:t>传真：0871-65093696</w:t>
      </w:r>
    </w:p>
    <w:p w14:paraId="7B3E5EA2">
      <w:pPr>
        <w:spacing w:line="360" w:lineRule="auto"/>
        <w:ind w:firstLine="420" w:firstLineChars="200"/>
        <w:rPr>
          <w:rFonts w:hint="eastAsia" w:ascii="宋体" w:hAnsi="宋体"/>
          <w:color w:val="auto"/>
          <w:szCs w:val="21"/>
        </w:rPr>
      </w:pPr>
      <w:r>
        <w:rPr>
          <w:rFonts w:hint="eastAsia" w:ascii="宋体" w:hAnsi="宋体"/>
          <w:color w:val="auto"/>
          <w:szCs w:val="21"/>
        </w:rPr>
        <w:t>通讯地址：昆明市五华区王筇路49号五华科创大厦14楼07室</w:t>
      </w:r>
    </w:p>
    <w:p w14:paraId="22C16111">
      <w:pPr>
        <w:spacing w:line="360" w:lineRule="auto"/>
        <w:ind w:firstLine="420" w:firstLineChars="200"/>
        <w:rPr>
          <w:rFonts w:hint="eastAsia" w:ascii="宋体" w:hAnsi="宋体"/>
          <w:color w:val="auto"/>
          <w:szCs w:val="21"/>
        </w:rPr>
      </w:pPr>
      <w:r>
        <w:rPr>
          <w:rFonts w:hint="eastAsia" w:ascii="宋体" w:hAnsi="宋体"/>
          <w:color w:val="auto"/>
          <w:szCs w:val="21"/>
        </w:rPr>
        <w:t>邮编：650000</w:t>
      </w:r>
    </w:p>
    <w:p w14:paraId="6FB59886">
      <w:pPr>
        <w:spacing w:line="360" w:lineRule="auto"/>
        <w:ind w:firstLine="420" w:firstLineChars="200"/>
        <w:rPr>
          <w:rFonts w:hint="eastAsia" w:ascii="宋体" w:hAnsi="宋体"/>
          <w:color w:val="auto"/>
          <w:szCs w:val="21"/>
        </w:rPr>
      </w:pPr>
      <w:r>
        <w:rPr>
          <w:rFonts w:hint="eastAsia" w:ascii="宋体" w:hAnsi="宋体"/>
          <w:color w:val="auto"/>
          <w:szCs w:val="21"/>
        </w:rPr>
        <w:t>供应商必须在法定质疑期内一次性提出针对同一采购程序环节的质疑，否则不予受理。</w:t>
      </w:r>
    </w:p>
    <w:p w14:paraId="24A9343C">
      <w:pPr>
        <w:spacing w:line="360" w:lineRule="auto"/>
        <w:ind w:firstLine="420" w:firstLineChars="200"/>
        <w:rPr>
          <w:rFonts w:hint="eastAsia" w:ascii="宋体" w:hAnsi="宋体"/>
          <w:color w:val="auto"/>
          <w:szCs w:val="21"/>
        </w:rPr>
      </w:pPr>
      <w:r>
        <w:rPr>
          <w:rFonts w:hint="eastAsia" w:ascii="宋体" w:hAnsi="宋体"/>
          <w:color w:val="auto"/>
          <w:szCs w:val="21"/>
        </w:rPr>
        <w:t>提出质疑的供应商应当是参与所质疑项目采购活动的供应商。</w:t>
      </w:r>
    </w:p>
    <w:p w14:paraId="0A45967A">
      <w:pPr>
        <w:spacing w:line="360" w:lineRule="auto"/>
        <w:ind w:firstLine="420" w:firstLineChars="200"/>
        <w:rPr>
          <w:rFonts w:hint="eastAsia" w:ascii="宋体" w:hAnsi="宋体"/>
          <w:color w:val="auto"/>
          <w:szCs w:val="21"/>
        </w:rPr>
      </w:pPr>
      <w:r>
        <w:rPr>
          <w:rFonts w:hint="eastAsia" w:ascii="宋体" w:hAnsi="宋体"/>
          <w:color w:val="auto"/>
          <w:szCs w:val="21"/>
        </w:rPr>
        <w:t>供应商提供的质疑书（如材料中有外文资料应同时附上中文译本）应当包括以下主要内容：</w:t>
      </w:r>
    </w:p>
    <w:p w14:paraId="2AAA6E09">
      <w:pPr>
        <w:spacing w:line="360" w:lineRule="auto"/>
        <w:ind w:firstLine="420" w:firstLineChars="200"/>
        <w:rPr>
          <w:rFonts w:hint="eastAsia" w:ascii="宋体" w:hAnsi="宋体"/>
          <w:color w:val="auto"/>
          <w:szCs w:val="21"/>
        </w:rPr>
      </w:pPr>
      <w:r>
        <w:rPr>
          <w:rFonts w:hint="eastAsia" w:ascii="宋体" w:hAnsi="宋体"/>
          <w:color w:val="auto"/>
          <w:szCs w:val="21"/>
        </w:rPr>
        <w:t>（一）供应商的姓名或者名称、地址、邮编、联系人及联系电话；</w:t>
      </w:r>
    </w:p>
    <w:p w14:paraId="674C0D15">
      <w:pPr>
        <w:spacing w:line="360" w:lineRule="auto"/>
        <w:ind w:firstLine="420" w:firstLineChars="200"/>
        <w:rPr>
          <w:rFonts w:hint="eastAsia" w:ascii="宋体" w:hAnsi="宋体"/>
          <w:color w:val="auto"/>
          <w:szCs w:val="21"/>
        </w:rPr>
      </w:pPr>
      <w:r>
        <w:rPr>
          <w:rFonts w:hint="eastAsia" w:ascii="宋体" w:hAnsi="宋体"/>
          <w:color w:val="auto"/>
          <w:szCs w:val="21"/>
        </w:rPr>
        <w:t>（二）质疑项目的名称、编号；</w:t>
      </w:r>
    </w:p>
    <w:p w14:paraId="6B9ED936">
      <w:pPr>
        <w:spacing w:line="360" w:lineRule="auto"/>
        <w:ind w:firstLine="420" w:firstLineChars="200"/>
        <w:rPr>
          <w:rFonts w:hint="eastAsia" w:ascii="宋体" w:hAnsi="宋体"/>
          <w:color w:val="auto"/>
          <w:szCs w:val="21"/>
        </w:rPr>
      </w:pPr>
      <w:r>
        <w:rPr>
          <w:rFonts w:hint="eastAsia" w:ascii="宋体" w:hAnsi="宋体"/>
          <w:color w:val="auto"/>
          <w:szCs w:val="21"/>
        </w:rPr>
        <w:t>（三）具体、明确的质疑事项和与质疑事项相关的请求；</w:t>
      </w:r>
    </w:p>
    <w:p w14:paraId="47FFCCC0">
      <w:pPr>
        <w:spacing w:line="360" w:lineRule="auto"/>
        <w:ind w:firstLine="420" w:firstLineChars="200"/>
        <w:rPr>
          <w:rFonts w:hint="eastAsia" w:ascii="宋体" w:hAnsi="宋体"/>
          <w:color w:val="auto"/>
          <w:szCs w:val="21"/>
        </w:rPr>
      </w:pPr>
      <w:r>
        <w:rPr>
          <w:rFonts w:hint="eastAsia" w:ascii="宋体" w:hAnsi="宋体"/>
          <w:color w:val="auto"/>
          <w:szCs w:val="21"/>
        </w:rPr>
        <w:t>（四）事实依据；</w:t>
      </w:r>
    </w:p>
    <w:p w14:paraId="3B5EBD63">
      <w:pPr>
        <w:spacing w:line="360" w:lineRule="auto"/>
        <w:ind w:firstLine="420" w:firstLineChars="200"/>
        <w:rPr>
          <w:rFonts w:hint="eastAsia" w:ascii="宋体" w:hAnsi="宋体"/>
          <w:color w:val="auto"/>
          <w:szCs w:val="21"/>
        </w:rPr>
      </w:pPr>
      <w:r>
        <w:rPr>
          <w:rFonts w:hint="eastAsia" w:ascii="宋体" w:hAnsi="宋体"/>
          <w:color w:val="auto"/>
          <w:szCs w:val="21"/>
        </w:rPr>
        <w:t>（五）必要的法律依据；</w:t>
      </w:r>
    </w:p>
    <w:p w14:paraId="3C945E6D">
      <w:pPr>
        <w:adjustRightInd w:val="0"/>
        <w:snapToGrid w:val="0"/>
        <w:spacing w:line="360" w:lineRule="auto"/>
        <w:ind w:firstLine="420" w:firstLineChars="200"/>
        <w:rPr>
          <w:rFonts w:hint="eastAsia" w:asciiTheme="minorEastAsia" w:hAnsiTheme="minorEastAsia" w:eastAsiaTheme="minorEastAsia"/>
          <w:color w:val="auto"/>
          <w:szCs w:val="21"/>
        </w:rPr>
      </w:pPr>
      <w:r>
        <w:rPr>
          <w:rFonts w:hint="eastAsia" w:ascii="宋体" w:hAnsi="宋体"/>
          <w:color w:val="auto"/>
          <w:szCs w:val="21"/>
        </w:rPr>
        <w:t>（六）提出质疑的日期。</w:t>
      </w:r>
    </w:p>
    <w:p w14:paraId="22F73ECF">
      <w:pPr>
        <w:adjustRightInd w:val="0"/>
        <w:snapToGrid w:val="0"/>
        <w:spacing w:line="360" w:lineRule="auto"/>
        <w:ind w:firstLine="420" w:firstLineChars="200"/>
        <w:rPr>
          <w:rFonts w:hint="eastAsia" w:asciiTheme="minorEastAsia" w:hAnsiTheme="minorEastAsia" w:eastAsiaTheme="minorEastAsia"/>
          <w:color w:val="auto"/>
          <w:szCs w:val="21"/>
        </w:rPr>
      </w:pPr>
      <w:r>
        <w:rPr>
          <w:rFonts w:asciiTheme="minorEastAsia" w:hAnsiTheme="minorEastAsia" w:eastAsiaTheme="minorEastAsia"/>
          <w:color w:val="auto"/>
          <w:szCs w:val="21"/>
        </w:rPr>
        <w:t>9.5.2</w:t>
      </w:r>
      <w:r>
        <w:rPr>
          <w:rFonts w:hint="eastAsia" w:asciiTheme="minorEastAsia" w:hAnsiTheme="minorEastAsia" w:eastAsiaTheme="minorEastAsia"/>
          <w:color w:val="auto"/>
          <w:szCs w:val="21"/>
        </w:rPr>
        <w:t>供应商应知其权益受到损害之日，是指：</w:t>
      </w:r>
    </w:p>
    <w:p w14:paraId="0231626B">
      <w:pPr>
        <w:adjustRightInd w:val="0"/>
        <w:snapToGrid w:val="0"/>
        <w:spacing w:line="360" w:lineRule="auto"/>
        <w:ind w:firstLine="420" w:firstLineChars="200"/>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（1）对可以质疑的竞争性磋商提出质疑的，为供应商获取采购文件之日；</w:t>
      </w:r>
    </w:p>
    <w:p w14:paraId="3B9966D5">
      <w:pPr>
        <w:adjustRightInd w:val="0"/>
        <w:snapToGrid w:val="0"/>
        <w:spacing w:line="360" w:lineRule="auto"/>
        <w:ind w:firstLine="420" w:firstLineChars="200"/>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（2）对采购过程提出质疑的，为各采购程序环节结束之日；</w:t>
      </w:r>
    </w:p>
    <w:p w14:paraId="070AC98F">
      <w:pPr>
        <w:adjustRightInd w:val="0"/>
        <w:snapToGrid w:val="0"/>
        <w:spacing w:line="360" w:lineRule="auto"/>
        <w:ind w:firstLine="420" w:firstLineChars="200"/>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（3）对成交结果提出质疑的，为成交结果公告期限届满之日。</w:t>
      </w:r>
    </w:p>
    <w:p w14:paraId="43E324B4">
      <w:pPr>
        <w:adjustRightInd w:val="0"/>
        <w:snapToGrid w:val="0"/>
        <w:spacing w:line="360" w:lineRule="auto"/>
        <w:ind w:firstLine="420" w:firstLineChars="200"/>
        <w:rPr>
          <w:rFonts w:hint="eastAsia" w:asciiTheme="minorEastAsia" w:hAnsiTheme="minorEastAsia" w:eastAsiaTheme="minorEastAsia"/>
          <w:color w:val="auto"/>
          <w:szCs w:val="21"/>
        </w:rPr>
      </w:pPr>
      <w:r>
        <w:rPr>
          <w:rFonts w:asciiTheme="minorEastAsia" w:hAnsiTheme="minorEastAsia" w:eastAsiaTheme="minorEastAsia"/>
          <w:color w:val="auto"/>
          <w:szCs w:val="21"/>
        </w:rPr>
        <w:t>9.5.</w:t>
      </w:r>
      <w:r>
        <w:rPr>
          <w:rFonts w:hint="eastAsia" w:asciiTheme="minorEastAsia" w:hAnsiTheme="minorEastAsia" w:eastAsiaTheme="minorEastAsia"/>
          <w:color w:val="auto"/>
          <w:szCs w:val="21"/>
        </w:rPr>
        <w:t>3采购人、采购代理机构应在收到供应商的质疑后7个工作日内作出答复，但答复的内容不涉及商业秘密。</w:t>
      </w:r>
    </w:p>
    <w:p w14:paraId="7C03D83E">
      <w:pPr>
        <w:adjustRightInd w:val="0"/>
        <w:snapToGrid w:val="0"/>
        <w:spacing w:line="360" w:lineRule="auto"/>
        <w:ind w:firstLine="420" w:firstLineChars="200"/>
        <w:rPr>
          <w:rFonts w:hint="eastAsia" w:ascii="宋体" w:hAnsi="宋体" w:cs="宋体"/>
          <w:color w:val="auto"/>
          <w:szCs w:val="21"/>
        </w:rPr>
      </w:pPr>
      <w:r>
        <w:rPr>
          <w:rFonts w:asciiTheme="minorEastAsia" w:hAnsiTheme="minorEastAsia" w:eastAsiaTheme="minorEastAsia"/>
          <w:color w:val="auto"/>
          <w:szCs w:val="21"/>
        </w:rPr>
        <w:t>9.5.</w:t>
      </w:r>
      <w:r>
        <w:rPr>
          <w:rFonts w:hint="eastAsia" w:asciiTheme="minorEastAsia" w:hAnsiTheme="minorEastAsia" w:eastAsiaTheme="minorEastAsia"/>
          <w:color w:val="auto"/>
          <w:szCs w:val="21"/>
        </w:rPr>
        <w:t>4参与政府采购活动的供应商对评审过程或者结果提出质疑的，采购人或采购代理机构可以组织原磋商小组协助处理质疑事项，并依据磋商小组出具的意见进行答复。质疑答复导致成交结果改变的，采购人或采购代理机构应当将相关情况报告财政部门。</w:t>
      </w:r>
    </w:p>
    <w:p w14:paraId="3A8BADF9">
      <w:pPr>
        <w:spacing w:line="360" w:lineRule="auto"/>
        <w:outlineLvl w:val="3"/>
        <w:rPr>
          <w:rFonts w:hint="eastAsia" w:ascii="宋体" w:hAnsi="宋体" w:cs="宋体"/>
          <w:b/>
          <w:bCs/>
          <w:color w:val="auto"/>
          <w:sz w:val="24"/>
          <w:szCs w:val="24"/>
        </w:rPr>
      </w:pPr>
      <w:bookmarkStart w:id="1051" w:name="_Toc116584038"/>
      <w:r>
        <w:rPr>
          <w:rFonts w:hint="eastAsia" w:ascii="宋体" w:hAnsi="宋体" w:cs="宋体"/>
          <w:b/>
          <w:bCs/>
          <w:color w:val="auto"/>
          <w:sz w:val="24"/>
          <w:szCs w:val="24"/>
        </w:rPr>
        <w:t>9.6投诉</w:t>
      </w:r>
      <w:bookmarkEnd w:id="1051"/>
    </w:p>
    <w:p w14:paraId="1B9DEF38">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投诉必须首先经过质疑程序。质疑人对采购人、采购代理机构的答复不满意或采购人、采购代理机构未在规定的时间内作出答复的，可以在答复期满后15个工作日内书面向财政部门提起投诉。</w:t>
      </w:r>
    </w:p>
    <w:p w14:paraId="14EEEEF2">
      <w:pPr>
        <w:spacing w:line="360" w:lineRule="auto"/>
        <w:jc w:val="center"/>
        <w:outlineLvl w:val="2"/>
        <w:rPr>
          <w:rFonts w:hint="eastAsia" w:ascii="宋体" w:hAnsi="宋体" w:cs="宋体"/>
          <w:b/>
          <w:bCs/>
          <w:color w:val="auto"/>
          <w:sz w:val="28"/>
          <w:szCs w:val="28"/>
        </w:rPr>
      </w:pPr>
      <w:bookmarkStart w:id="1052" w:name="_Toc42267668"/>
      <w:bookmarkStart w:id="1053" w:name="_Toc45976936"/>
      <w:bookmarkStart w:id="1054" w:name="_Toc98865048"/>
      <w:bookmarkStart w:id="1055" w:name="_Toc18346"/>
      <w:bookmarkStart w:id="1056" w:name="_Toc42205029"/>
      <w:bookmarkStart w:id="1057" w:name="_Toc84356287"/>
      <w:bookmarkStart w:id="1058" w:name="_Toc87543855"/>
      <w:bookmarkStart w:id="1059" w:name="_Toc98033971"/>
      <w:bookmarkStart w:id="1060" w:name="_Toc87538404"/>
      <w:bookmarkStart w:id="1061" w:name="_Toc109809349"/>
      <w:bookmarkStart w:id="1062" w:name="_Toc116584039"/>
      <w:bookmarkStart w:id="1063" w:name="_Toc83753927"/>
      <w:bookmarkStart w:id="1064" w:name="_Toc110405172"/>
      <w:bookmarkStart w:id="1065" w:name="_Toc45791390"/>
      <w:r>
        <w:rPr>
          <w:rFonts w:hint="eastAsia" w:ascii="宋体" w:hAnsi="宋体" w:cs="宋体"/>
          <w:b/>
          <w:bCs/>
          <w:color w:val="auto"/>
          <w:sz w:val="28"/>
          <w:szCs w:val="28"/>
        </w:rPr>
        <w:t>10.需要补充的其他内容</w:t>
      </w:r>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p>
    <w:p w14:paraId="2D5164D9">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需要补充的其他内容：详见供应商须知前附表。</w:t>
      </w:r>
      <w:bookmarkStart w:id="1066" w:name="_Toc29357076"/>
      <w:bookmarkStart w:id="1067" w:name="_Toc292983024"/>
      <w:bookmarkStart w:id="1068" w:name="_Toc37603108"/>
      <w:bookmarkStart w:id="1069" w:name="_Toc42205030"/>
    </w:p>
    <w:p w14:paraId="2696B5BF">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br w:type="page"/>
      </w:r>
    </w:p>
    <w:p w14:paraId="7EC71CDA">
      <w:pPr>
        <w:autoSpaceDE w:val="0"/>
        <w:autoSpaceDN w:val="0"/>
        <w:adjustRightInd w:val="0"/>
        <w:spacing w:line="360" w:lineRule="auto"/>
        <w:jc w:val="left"/>
        <w:rPr>
          <w:rFonts w:hint="eastAsia" w:ascii="宋体" w:hAnsi="宋体" w:cs="宋体"/>
          <w:color w:val="auto"/>
          <w:kern w:val="0"/>
          <w:szCs w:val="21"/>
        </w:rPr>
      </w:pPr>
      <w:r>
        <w:rPr>
          <w:rFonts w:hint="eastAsia" w:ascii="宋体" w:hAnsi="宋体" w:cs="宋体"/>
          <w:color w:val="auto"/>
          <w:kern w:val="0"/>
          <w:szCs w:val="21"/>
        </w:rPr>
        <w:t>附件：电子响应文件编制要求</w:t>
      </w:r>
    </w:p>
    <w:p w14:paraId="37AAC770">
      <w:pPr>
        <w:autoSpaceDE w:val="0"/>
        <w:autoSpaceDN w:val="0"/>
        <w:adjustRightInd w:val="0"/>
        <w:spacing w:line="360" w:lineRule="auto"/>
        <w:jc w:val="center"/>
        <w:rPr>
          <w:rFonts w:hint="eastAsia" w:ascii="宋体" w:hAnsi="宋体" w:cs="宋体"/>
          <w:color w:val="auto"/>
          <w:kern w:val="0"/>
          <w:sz w:val="32"/>
          <w:szCs w:val="32"/>
        </w:rPr>
      </w:pPr>
      <w:r>
        <w:rPr>
          <w:rFonts w:hint="eastAsia" w:ascii="宋体" w:hAnsi="宋体" w:cs="宋体"/>
          <w:color w:val="auto"/>
          <w:kern w:val="0"/>
          <w:sz w:val="32"/>
          <w:szCs w:val="32"/>
        </w:rPr>
        <w:t>电子响应文件编制要求</w:t>
      </w:r>
    </w:p>
    <w:p w14:paraId="2DB1F16D">
      <w:pPr>
        <w:autoSpaceDE w:val="0"/>
        <w:autoSpaceDN w:val="0"/>
        <w:adjustRightInd w:val="0"/>
        <w:spacing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1.电子响应文件的制作应使用“政采云投标客户端”，供应商下载“政采云投标客户端”，通过“政采云投标客户端”编制并生成加密的响应文件。</w:t>
      </w:r>
    </w:p>
    <w:p w14:paraId="1E879EFE">
      <w:pPr>
        <w:autoSpaceDE w:val="0"/>
        <w:autoSpaceDN w:val="0"/>
        <w:adjustRightInd w:val="0"/>
        <w:spacing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2.“政采云投标客户端”提供数字证书（CA）对响应文件进行加密功能。投标人对网上递交的响应文件应加密。如果供应商使用某个数字证书（CA）对响应文件进行了数字证书（CA）加密，需要在开标时使用该数字证书（CA）进行解密，才能读取或导入响应文件，因供应商原因造成响应文件未解密的，视为撤回其响应文件。</w:t>
      </w:r>
    </w:p>
    <w:p w14:paraId="53EB392F">
      <w:pPr>
        <w:autoSpaceDE w:val="0"/>
        <w:autoSpaceDN w:val="0"/>
        <w:adjustRightInd w:val="0"/>
        <w:spacing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3.网上递交响应文件应根据采购文件要求，在投标截止时间前将电子响应文件通过政府采购云平台（网址：https：//www.zcygov.cn/）上传至对应的项目，系统自动生成投标回执，以表明上传成功。</w:t>
      </w:r>
    </w:p>
    <w:p w14:paraId="01FDA1C9">
      <w:pPr>
        <w:wordWrap w:val="0"/>
        <w:autoSpaceDE w:val="0"/>
        <w:autoSpaceDN w:val="0"/>
        <w:adjustRightInd w:val="0"/>
        <w:spacing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4.该响应文件制作要求如果与采购文件规定不一致，以此响应文件制作要求为准。“政采云投标客户端”及CA 驱动下载网址：</w:t>
      </w:r>
      <w:r>
        <w:rPr>
          <w:color w:val="auto"/>
        </w:rPr>
        <w:fldChar w:fldCharType="begin"/>
      </w:r>
      <w:r>
        <w:rPr>
          <w:color w:val="auto"/>
        </w:rPr>
        <w:instrText xml:space="preserve"> HYPERLINK "https://customer.zcygov.cn/CA-driver-download?utm=web-ca-front.3ddc8fbb.0.0.91c6cff0db1311ec8cfbc9f613d30204" </w:instrText>
      </w:r>
      <w:r>
        <w:rPr>
          <w:color w:val="auto"/>
        </w:rPr>
        <w:fldChar w:fldCharType="separate"/>
      </w:r>
      <w:r>
        <w:rPr>
          <w:rStyle w:val="62"/>
          <w:rFonts w:hint="eastAsia" w:ascii="宋体" w:hAnsi="宋体" w:cs="宋体"/>
          <w:color w:val="auto"/>
          <w:kern w:val="0"/>
          <w:szCs w:val="21"/>
          <w:u w:val="none"/>
        </w:rPr>
        <w:t>https：//customer.zcygov.cn/CA-driver-download?utm=web-ca-front.3ddc8fbb.0.0.91c6cff0db1311ec8cfbc9f613d30204</w:t>
      </w:r>
      <w:r>
        <w:rPr>
          <w:rStyle w:val="62"/>
          <w:rFonts w:hint="eastAsia" w:ascii="宋体" w:hAnsi="宋体" w:cs="宋体"/>
          <w:color w:val="auto"/>
          <w:kern w:val="0"/>
          <w:szCs w:val="21"/>
          <w:u w:val="none"/>
        </w:rPr>
        <w:fldChar w:fldCharType="end"/>
      </w:r>
      <w:r>
        <w:rPr>
          <w:rFonts w:hint="eastAsia" w:ascii="宋体" w:hAnsi="宋体" w:cs="宋体"/>
          <w:color w:val="auto"/>
          <w:kern w:val="0"/>
          <w:szCs w:val="21"/>
        </w:rPr>
        <w:t>。</w:t>
      </w:r>
    </w:p>
    <w:p w14:paraId="7A344A19">
      <w:pPr>
        <w:widowControl/>
        <w:wordWrap w:val="0"/>
        <w:jc w:val="left"/>
        <w:rPr>
          <w:rFonts w:hint="eastAsia" w:ascii="宋体" w:hAnsi="宋体" w:cs="宋体"/>
          <w:b/>
          <w:bCs/>
          <w:color w:val="auto"/>
          <w:sz w:val="32"/>
          <w:szCs w:val="32"/>
        </w:rPr>
      </w:pPr>
      <w:r>
        <w:rPr>
          <w:rFonts w:hint="eastAsia" w:ascii="宋体" w:hAnsi="宋体" w:cs="宋体"/>
          <w:b/>
          <w:bCs/>
          <w:color w:val="auto"/>
          <w:sz w:val="32"/>
          <w:szCs w:val="32"/>
        </w:rPr>
        <w:br w:type="page"/>
      </w:r>
    </w:p>
    <w:p w14:paraId="430B961F">
      <w:pPr>
        <w:spacing w:line="360" w:lineRule="auto"/>
        <w:jc w:val="center"/>
        <w:outlineLvl w:val="0"/>
        <w:rPr>
          <w:rFonts w:hint="eastAsia" w:ascii="宋体" w:hAnsi="宋体" w:cs="宋体"/>
          <w:b/>
          <w:bCs/>
          <w:color w:val="auto"/>
          <w:sz w:val="32"/>
          <w:szCs w:val="32"/>
        </w:rPr>
      </w:pPr>
      <w:bookmarkStart w:id="1070" w:name="_Toc1219997772"/>
      <w:bookmarkStart w:id="1071" w:name="_Toc92312802"/>
      <w:bookmarkStart w:id="1072" w:name="_Toc45642883"/>
      <w:bookmarkStart w:id="1073" w:name="_Toc132362638"/>
      <w:r>
        <w:rPr>
          <w:rFonts w:hint="eastAsia" w:ascii="宋体" w:hAnsi="宋体" w:cs="宋体"/>
          <w:b/>
          <w:bCs/>
          <w:color w:val="auto"/>
          <w:sz w:val="32"/>
          <w:szCs w:val="32"/>
        </w:rPr>
        <w:t>第三章 合同条款及格式</w:t>
      </w:r>
      <w:bookmarkEnd w:id="1070"/>
      <w:bookmarkEnd w:id="1071"/>
      <w:bookmarkEnd w:id="1072"/>
    </w:p>
    <w:p w14:paraId="2E8B098A">
      <w:pPr>
        <w:widowControl/>
        <w:ind w:right="1470"/>
        <w:rPr>
          <w:rFonts w:hint="eastAsia" w:ascii="宋体" w:hAnsi="宋体" w:cs="宋体"/>
          <w:color w:val="auto"/>
        </w:rPr>
      </w:pPr>
    </w:p>
    <w:p w14:paraId="26F9CAA7">
      <w:pPr>
        <w:widowControl/>
        <w:ind w:right="1470"/>
        <w:jc w:val="center"/>
        <w:rPr>
          <w:rFonts w:hint="eastAsia" w:ascii="宋体" w:hAnsi="宋体" w:cs="宋体"/>
          <w:b/>
          <w:bCs/>
          <w:color w:val="auto"/>
          <w:sz w:val="48"/>
          <w:szCs w:val="56"/>
        </w:rPr>
      </w:pPr>
    </w:p>
    <w:p w14:paraId="57E02223">
      <w:pPr>
        <w:widowControl/>
        <w:ind w:right="1470"/>
        <w:jc w:val="center"/>
        <w:rPr>
          <w:rFonts w:hint="eastAsia" w:ascii="宋体" w:hAnsi="宋体" w:cs="宋体"/>
          <w:b/>
          <w:bCs/>
          <w:color w:val="auto"/>
          <w:sz w:val="48"/>
          <w:szCs w:val="56"/>
        </w:rPr>
      </w:pPr>
    </w:p>
    <w:p w14:paraId="4C8A7EC4">
      <w:pPr>
        <w:widowControl/>
        <w:ind w:right="1470"/>
        <w:jc w:val="center"/>
        <w:rPr>
          <w:rFonts w:hint="eastAsia" w:ascii="宋体" w:hAnsi="宋体" w:cs="宋体"/>
          <w:b/>
          <w:bCs/>
          <w:color w:val="auto"/>
          <w:sz w:val="48"/>
          <w:szCs w:val="56"/>
        </w:rPr>
      </w:pPr>
    </w:p>
    <w:p w14:paraId="782E0E2D">
      <w:pPr>
        <w:widowControl/>
        <w:ind w:right="1470"/>
        <w:jc w:val="center"/>
        <w:rPr>
          <w:rFonts w:hint="eastAsia" w:ascii="宋体" w:hAnsi="宋体" w:cs="宋体"/>
          <w:b/>
          <w:bCs/>
          <w:color w:val="auto"/>
          <w:sz w:val="48"/>
          <w:szCs w:val="56"/>
        </w:rPr>
      </w:pPr>
    </w:p>
    <w:p w14:paraId="19E2C08C">
      <w:pPr>
        <w:widowControl/>
        <w:ind w:right="1470"/>
        <w:jc w:val="center"/>
        <w:rPr>
          <w:rFonts w:hint="eastAsia" w:ascii="宋体" w:hAnsi="宋体" w:cs="宋体"/>
          <w:b/>
          <w:bCs/>
          <w:color w:val="auto"/>
          <w:sz w:val="48"/>
          <w:szCs w:val="56"/>
        </w:rPr>
      </w:pPr>
    </w:p>
    <w:p w14:paraId="2B01796D">
      <w:pPr>
        <w:widowControl/>
        <w:jc w:val="center"/>
        <w:rPr>
          <w:rFonts w:hint="eastAsia" w:ascii="宋体" w:hAnsi="宋体" w:cs="宋体"/>
          <w:b/>
          <w:bCs/>
          <w:color w:val="auto"/>
          <w:sz w:val="48"/>
          <w:szCs w:val="56"/>
        </w:rPr>
      </w:pPr>
      <w:r>
        <w:rPr>
          <w:rFonts w:hint="eastAsia" w:ascii="宋体" w:hAnsi="宋体" w:cs="宋体"/>
          <w:b/>
          <w:bCs/>
          <w:color w:val="auto"/>
          <w:sz w:val="48"/>
          <w:szCs w:val="56"/>
        </w:rPr>
        <w:t>政府采购合同</w:t>
      </w:r>
    </w:p>
    <w:p w14:paraId="729C17C5">
      <w:pPr>
        <w:pStyle w:val="22"/>
        <w:rPr>
          <w:rFonts w:hint="eastAsia" w:cs="宋体"/>
          <w:color w:val="auto"/>
        </w:rPr>
      </w:pPr>
    </w:p>
    <w:p w14:paraId="6948E437">
      <w:pPr>
        <w:widowControl/>
        <w:spacing w:line="600" w:lineRule="auto"/>
        <w:ind w:right="1470" w:firstLine="1273" w:firstLineChars="398"/>
        <w:rPr>
          <w:rFonts w:hint="eastAsia" w:ascii="宋体" w:hAnsi="宋体" w:cs="宋体"/>
          <w:color w:val="auto"/>
          <w:sz w:val="32"/>
          <w:szCs w:val="40"/>
        </w:rPr>
      </w:pPr>
    </w:p>
    <w:p w14:paraId="2C67F15E">
      <w:pPr>
        <w:widowControl/>
        <w:spacing w:line="600" w:lineRule="auto"/>
        <w:ind w:right="1470" w:firstLine="1273" w:firstLineChars="398"/>
        <w:rPr>
          <w:rFonts w:hint="eastAsia" w:ascii="宋体" w:hAnsi="宋体" w:cs="宋体"/>
          <w:color w:val="auto"/>
          <w:sz w:val="32"/>
          <w:szCs w:val="40"/>
        </w:rPr>
      </w:pPr>
    </w:p>
    <w:p w14:paraId="2AA35F64">
      <w:pPr>
        <w:widowControl/>
        <w:spacing w:line="600" w:lineRule="auto"/>
        <w:ind w:right="1470" w:firstLine="1273" w:firstLineChars="398"/>
        <w:rPr>
          <w:rFonts w:hint="eastAsia" w:ascii="宋体" w:hAnsi="宋体" w:cs="宋体"/>
          <w:color w:val="auto"/>
          <w:sz w:val="32"/>
          <w:szCs w:val="40"/>
        </w:rPr>
      </w:pPr>
    </w:p>
    <w:p w14:paraId="588F5AAA">
      <w:pPr>
        <w:widowControl/>
        <w:spacing w:line="600" w:lineRule="auto"/>
        <w:ind w:right="1470" w:firstLine="1273" w:firstLineChars="398"/>
        <w:rPr>
          <w:rFonts w:hint="eastAsia" w:ascii="宋体" w:hAnsi="宋体" w:cs="宋体"/>
          <w:color w:val="auto"/>
          <w:sz w:val="32"/>
          <w:szCs w:val="40"/>
        </w:rPr>
      </w:pPr>
    </w:p>
    <w:p w14:paraId="0E9615B6">
      <w:pPr>
        <w:widowControl/>
        <w:spacing w:line="600" w:lineRule="auto"/>
        <w:ind w:right="1470"/>
        <w:rPr>
          <w:rFonts w:hint="eastAsia" w:ascii="宋体" w:hAnsi="宋体" w:cs="宋体"/>
          <w:color w:val="auto"/>
          <w:sz w:val="32"/>
          <w:szCs w:val="40"/>
        </w:rPr>
      </w:pPr>
    </w:p>
    <w:p w14:paraId="2ECB9473">
      <w:pPr>
        <w:widowControl/>
        <w:spacing w:line="360" w:lineRule="auto"/>
        <w:ind w:right="1469" w:firstLine="1593" w:firstLineChars="498"/>
        <w:rPr>
          <w:rFonts w:hint="eastAsia" w:ascii="宋体" w:hAnsi="宋体" w:cs="宋体"/>
          <w:color w:val="auto"/>
          <w:sz w:val="32"/>
          <w:szCs w:val="40"/>
          <w:u w:val="single"/>
        </w:rPr>
      </w:pPr>
      <w:r>
        <w:rPr>
          <w:rFonts w:hint="eastAsia" w:ascii="宋体" w:hAnsi="宋体" w:cs="宋体"/>
          <w:color w:val="auto"/>
          <w:sz w:val="32"/>
          <w:szCs w:val="40"/>
        </w:rPr>
        <w:t>项目名称：</w:t>
      </w:r>
      <w:r>
        <w:rPr>
          <w:rFonts w:hint="eastAsia" w:ascii="宋体" w:hAnsi="宋体" w:cs="宋体"/>
          <w:color w:val="auto"/>
          <w:sz w:val="32"/>
          <w:szCs w:val="40"/>
          <w:u w:val="single"/>
        </w:rPr>
        <w:t xml:space="preserve">                           </w:t>
      </w:r>
    </w:p>
    <w:p w14:paraId="530AD57F">
      <w:pPr>
        <w:widowControl/>
        <w:spacing w:line="360" w:lineRule="auto"/>
        <w:ind w:right="1469" w:firstLine="1593" w:firstLineChars="498"/>
        <w:rPr>
          <w:rFonts w:hint="eastAsia" w:ascii="宋体" w:hAnsi="宋体" w:cs="宋体"/>
          <w:b/>
          <w:bCs/>
          <w:color w:val="auto"/>
          <w:sz w:val="32"/>
          <w:szCs w:val="40"/>
        </w:rPr>
      </w:pPr>
      <w:r>
        <w:rPr>
          <w:rFonts w:hint="eastAsia" w:ascii="宋体" w:hAnsi="宋体" w:cs="宋体"/>
          <w:color w:val="auto"/>
          <w:sz w:val="32"/>
          <w:szCs w:val="40"/>
        </w:rPr>
        <w:t>合同编号（系统编号）：</w:t>
      </w:r>
      <w:r>
        <w:rPr>
          <w:rFonts w:hint="eastAsia" w:ascii="宋体" w:hAnsi="宋体" w:cs="宋体"/>
          <w:color w:val="auto"/>
          <w:sz w:val="32"/>
          <w:szCs w:val="40"/>
          <w:u w:val="single"/>
        </w:rPr>
        <w:t xml:space="preserve">               </w:t>
      </w:r>
    </w:p>
    <w:p w14:paraId="61AD3B2E">
      <w:pPr>
        <w:widowControl/>
        <w:spacing w:line="360" w:lineRule="auto"/>
        <w:ind w:right="1469" w:firstLine="1593" w:firstLineChars="498"/>
        <w:rPr>
          <w:rFonts w:hint="eastAsia" w:ascii="宋体" w:hAnsi="宋体" w:cs="宋体"/>
          <w:color w:val="auto"/>
          <w:sz w:val="32"/>
          <w:szCs w:val="40"/>
        </w:rPr>
      </w:pPr>
      <w:r>
        <w:rPr>
          <w:rFonts w:hint="eastAsia" w:ascii="宋体" w:hAnsi="宋体" w:cs="宋体"/>
          <w:color w:val="auto"/>
          <w:sz w:val="32"/>
          <w:szCs w:val="40"/>
        </w:rPr>
        <w:t>（自编号：如有）</w:t>
      </w:r>
      <w:r>
        <w:rPr>
          <w:rFonts w:hint="eastAsia" w:ascii="宋体" w:hAnsi="宋体" w:cs="宋体"/>
          <w:color w:val="auto"/>
          <w:sz w:val="32"/>
          <w:szCs w:val="40"/>
          <w:u w:val="single"/>
        </w:rPr>
        <w:t xml:space="preserve">                     </w:t>
      </w:r>
    </w:p>
    <w:p w14:paraId="4DC44FF1">
      <w:pPr>
        <w:widowControl/>
        <w:spacing w:line="360" w:lineRule="auto"/>
        <w:ind w:right="1469" w:firstLine="1593" w:firstLineChars="498"/>
        <w:rPr>
          <w:rFonts w:hint="eastAsia" w:ascii="宋体" w:hAnsi="宋体" w:cs="宋体"/>
          <w:color w:val="auto"/>
          <w:sz w:val="32"/>
          <w:szCs w:val="40"/>
        </w:rPr>
      </w:pPr>
      <w:r>
        <w:rPr>
          <w:rFonts w:hint="eastAsia" w:ascii="宋体" w:hAnsi="宋体" w:cs="宋体"/>
          <w:color w:val="auto"/>
          <w:sz w:val="32"/>
          <w:szCs w:val="40"/>
        </w:rPr>
        <w:t>甲方：</w:t>
      </w:r>
      <w:r>
        <w:rPr>
          <w:rFonts w:hint="eastAsia" w:ascii="宋体" w:hAnsi="宋体" w:cs="宋体"/>
          <w:color w:val="auto"/>
          <w:sz w:val="32"/>
          <w:szCs w:val="40"/>
          <w:u w:val="single"/>
        </w:rPr>
        <w:t xml:space="preserve">                               </w:t>
      </w:r>
    </w:p>
    <w:p w14:paraId="7F3BB088">
      <w:pPr>
        <w:widowControl/>
        <w:spacing w:line="360" w:lineRule="auto"/>
        <w:ind w:right="1469" w:firstLine="1593" w:firstLineChars="498"/>
        <w:rPr>
          <w:rFonts w:hint="eastAsia" w:ascii="宋体" w:hAnsi="宋体" w:cs="宋体"/>
          <w:color w:val="auto"/>
          <w:sz w:val="32"/>
          <w:szCs w:val="40"/>
          <w:u w:val="single"/>
        </w:rPr>
      </w:pPr>
      <w:r>
        <w:rPr>
          <w:rFonts w:hint="eastAsia" w:ascii="宋体" w:hAnsi="宋体" w:cs="宋体"/>
          <w:color w:val="auto"/>
          <w:sz w:val="32"/>
          <w:szCs w:val="40"/>
        </w:rPr>
        <w:t>乙方：</w:t>
      </w:r>
      <w:r>
        <w:rPr>
          <w:rFonts w:hint="eastAsia" w:ascii="宋体" w:hAnsi="宋体" w:cs="宋体"/>
          <w:color w:val="auto"/>
          <w:sz w:val="32"/>
          <w:szCs w:val="40"/>
          <w:u w:val="single"/>
        </w:rPr>
        <w:t xml:space="preserve">                               </w:t>
      </w:r>
    </w:p>
    <w:p w14:paraId="2FF04566">
      <w:pPr>
        <w:widowControl/>
        <w:spacing w:line="360" w:lineRule="auto"/>
        <w:ind w:right="1469" w:firstLine="1432" w:firstLineChars="398"/>
        <w:rPr>
          <w:rFonts w:hint="eastAsia" w:ascii="宋体" w:hAnsi="宋体" w:cs="宋体"/>
          <w:color w:val="auto"/>
          <w:sz w:val="32"/>
          <w:szCs w:val="40"/>
          <w:u w:val="single"/>
        </w:rPr>
      </w:pPr>
      <w:r>
        <w:rPr>
          <w:rFonts w:hint="eastAsia" w:ascii="宋体" w:hAnsi="宋体" w:cs="宋体"/>
          <w:color w:val="auto"/>
          <w:kern w:val="0"/>
          <w:sz w:val="36"/>
        </w:rPr>
        <w:br w:type="page"/>
      </w:r>
    </w:p>
    <w:p w14:paraId="2FA3146D">
      <w:pPr>
        <w:tabs>
          <w:tab w:val="left" w:pos="735"/>
        </w:tabs>
        <w:spacing w:line="360" w:lineRule="auto"/>
        <w:jc w:val="left"/>
        <w:rPr>
          <w:rFonts w:hint="eastAsia" w:ascii="宋体" w:hAnsi="宋体"/>
          <w:b/>
          <w:bCs/>
          <w:color w:val="auto"/>
          <w:szCs w:val="21"/>
        </w:rPr>
      </w:pPr>
      <w:r>
        <w:rPr>
          <w:rFonts w:hint="eastAsia" w:ascii="宋体" w:hAnsi="宋体"/>
          <w:b/>
          <w:bCs/>
          <w:color w:val="auto"/>
          <w:szCs w:val="21"/>
        </w:rPr>
        <w:t>甲方：</w:t>
      </w:r>
      <w:r>
        <w:rPr>
          <w:rFonts w:hint="eastAsia" w:ascii="宋体" w:hAnsi="宋体"/>
          <w:b/>
          <w:bCs/>
          <w:color w:val="auto"/>
          <w:szCs w:val="21"/>
          <w:u w:val="single"/>
        </w:rPr>
        <w:t>安宁市公共就业和人才服务中心</w:t>
      </w:r>
    </w:p>
    <w:p w14:paraId="1E53602F">
      <w:pPr>
        <w:tabs>
          <w:tab w:val="left" w:pos="735"/>
        </w:tabs>
        <w:spacing w:line="360" w:lineRule="auto"/>
        <w:jc w:val="left"/>
        <w:rPr>
          <w:rFonts w:hint="eastAsia" w:ascii="宋体" w:hAnsi="宋体"/>
          <w:b/>
          <w:bCs/>
          <w:color w:val="auto"/>
          <w:szCs w:val="21"/>
        </w:rPr>
      </w:pPr>
      <w:r>
        <w:rPr>
          <w:rFonts w:hint="eastAsia" w:ascii="宋体" w:hAnsi="宋体"/>
          <w:b/>
          <w:bCs/>
          <w:color w:val="auto"/>
          <w:szCs w:val="21"/>
        </w:rPr>
        <w:t>乙方：</w:t>
      </w:r>
      <w:r>
        <w:rPr>
          <w:rFonts w:hint="eastAsia" w:ascii="宋体" w:hAnsi="宋体"/>
          <w:b/>
          <w:bCs/>
          <w:color w:val="auto"/>
          <w:szCs w:val="21"/>
          <w:u w:val="single"/>
        </w:rPr>
        <w:t xml:space="preserve"> </w:t>
      </w:r>
      <w:r>
        <w:rPr>
          <w:rFonts w:ascii="宋体" w:hAnsi="宋体"/>
          <w:b/>
          <w:bCs/>
          <w:color w:val="auto"/>
          <w:szCs w:val="21"/>
          <w:u w:val="single"/>
        </w:rPr>
        <w:t xml:space="preserve">              </w:t>
      </w:r>
      <w:r>
        <w:rPr>
          <w:rFonts w:hint="eastAsia" w:ascii="宋体" w:hAnsi="宋体"/>
          <w:b/>
          <w:bCs/>
          <w:color w:val="auto"/>
          <w:szCs w:val="21"/>
          <w:u w:val="single"/>
        </w:rPr>
        <w:t xml:space="preserve">          </w:t>
      </w:r>
      <w:r>
        <w:rPr>
          <w:rFonts w:ascii="宋体" w:hAnsi="宋体"/>
          <w:b/>
          <w:bCs/>
          <w:color w:val="auto"/>
          <w:szCs w:val="21"/>
          <w:u w:val="single"/>
        </w:rPr>
        <w:t xml:space="preserve">   </w:t>
      </w:r>
    </w:p>
    <w:p w14:paraId="7F9DA298">
      <w:pPr>
        <w:widowControl/>
        <w:kinsoku w:val="0"/>
        <w:autoSpaceDE w:val="0"/>
        <w:autoSpaceDN w:val="0"/>
        <w:adjustRightInd w:val="0"/>
        <w:snapToGrid w:val="0"/>
        <w:spacing w:line="360" w:lineRule="auto"/>
        <w:ind w:firstLine="420" w:firstLineChars="200"/>
        <w:textAlignment w:val="baseline"/>
        <w:rPr>
          <w:rFonts w:hint="eastAsia" w:ascii="宋体" w:hAnsi="宋体" w:cs="宋体"/>
          <w:color w:val="auto"/>
          <w:szCs w:val="21"/>
        </w:rPr>
      </w:pPr>
      <w:r>
        <w:rPr>
          <w:rFonts w:hint="eastAsia" w:ascii="宋体" w:hAnsi="宋体" w:cs="宋体"/>
          <w:color w:val="auto"/>
          <w:szCs w:val="21"/>
        </w:rPr>
        <w:t>甲乙双方根据项目编号为</w:t>
      </w:r>
      <w:r>
        <w:rPr>
          <w:rFonts w:hint="eastAsia" w:ascii="宋体" w:hAnsi="宋体" w:cs="宋体"/>
          <w:color w:val="auto"/>
          <w:szCs w:val="21"/>
          <w:u w:val="single"/>
        </w:rPr>
        <w:t xml:space="preserve">         </w:t>
      </w:r>
      <w:r>
        <w:rPr>
          <w:rFonts w:hint="eastAsia" w:ascii="宋体" w:hAnsi="宋体" w:cs="宋体"/>
          <w:color w:val="auto"/>
          <w:szCs w:val="21"/>
        </w:rPr>
        <w:t>的</w:t>
      </w:r>
      <w:r>
        <w:rPr>
          <w:rFonts w:hint="eastAsia" w:ascii="宋体" w:hAnsi="宋体" w:cs="宋体"/>
          <w:color w:val="auto"/>
          <w:szCs w:val="21"/>
          <w:u w:val="single"/>
        </w:rPr>
        <w:t>安宁市2026年流动人员人事档案管理服务项目</w:t>
      </w:r>
      <w:r>
        <w:rPr>
          <w:rFonts w:hint="eastAsia" w:ascii="宋体" w:hAnsi="宋体" w:cs="宋体"/>
          <w:color w:val="auto"/>
          <w:szCs w:val="21"/>
        </w:rPr>
        <w:t>竞争性磋商采购结果，经双方协定达成一致，签订以下内容：</w:t>
      </w:r>
    </w:p>
    <w:p w14:paraId="5D7391E9">
      <w:pPr>
        <w:widowControl/>
        <w:kinsoku w:val="0"/>
        <w:autoSpaceDE w:val="0"/>
        <w:autoSpaceDN w:val="0"/>
        <w:adjustRightInd w:val="0"/>
        <w:snapToGrid w:val="0"/>
        <w:spacing w:line="360" w:lineRule="auto"/>
        <w:ind w:firstLine="422" w:firstLineChars="200"/>
        <w:textAlignment w:val="baseline"/>
        <w:rPr>
          <w:rFonts w:hint="eastAsia" w:ascii="宋体" w:hAnsi="宋体" w:cs="宋体"/>
          <w:color w:val="auto"/>
          <w:szCs w:val="21"/>
        </w:rPr>
      </w:pPr>
      <w:r>
        <w:rPr>
          <w:rFonts w:hint="eastAsia" w:ascii="宋体" w:hAnsi="宋体" w:cs="宋体"/>
          <w:b/>
          <w:bCs/>
          <w:color w:val="auto"/>
          <w:szCs w:val="21"/>
        </w:rPr>
        <w:t>一、合同金额</w:t>
      </w:r>
    </w:p>
    <w:p w14:paraId="35B178AD">
      <w:pPr>
        <w:widowControl/>
        <w:kinsoku w:val="0"/>
        <w:autoSpaceDE w:val="0"/>
        <w:autoSpaceDN w:val="0"/>
        <w:adjustRightInd w:val="0"/>
        <w:snapToGrid w:val="0"/>
        <w:spacing w:line="360" w:lineRule="auto"/>
        <w:ind w:firstLine="420" w:firstLineChars="200"/>
        <w:textAlignment w:val="baseline"/>
        <w:rPr>
          <w:rFonts w:hint="eastAsia" w:ascii="宋体" w:hAnsi="宋体" w:cs="宋体"/>
          <w:color w:val="auto"/>
          <w:szCs w:val="21"/>
        </w:rPr>
      </w:pPr>
      <w:r>
        <w:rPr>
          <w:rFonts w:hint="eastAsia" w:ascii="宋体" w:hAnsi="宋体" w:cs="宋体"/>
          <w:color w:val="auto"/>
          <w:szCs w:val="21"/>
        </w:rPr>
        <w:t>合同金额为（大写）：</w:t>
      </w:r>
      <w:r>
        <w:rPr>
          <w:rFonts w:hint="eastAsia" w:ascii="宋体" w:hAnsi="宋体" w:cs="宋体"/>
          <w:color w:val="auto"/>
          <w:szCs w:val="21"/>
          <w:u w:val="single"/>
        </w:rPr>
        <w:t xml:space="preserve">              </w:t>
      </w:r>
      <w:r>
        <w:rPr>
          <w:rFonts w:hint="eastAsia" w:ascii="宋体" w:hAnsi="宋体" w:cs="宋体"/>
          <w:color w:val="auto"/>
          <w:szCs w:val="21"/>
        </w:rPr>
        <w:t xml:space="preserve"> （¥</w:t>
      </w:r>
      <w:r>
        <w:rPr>
          <w:rFonts w:hint="eastAsia" w:ascii="宋体" w:hAnsi="宋体" w:cs="宋体"/>
          <w:color w:val="auto"/>
          <w:szCs w:val="21"/>
          <w:u w:val="single"/>
        </w:rPr>
        <w:t xml:space="preserve">            </w:t>
      </w:r>
      <w:r>
        <w:rPr>
          <w:rFonts w:hint="eastAsia" w:ascii="宋体" w:hAnsi="宋体" w:cs="宋体"/>
          <w:color w:val="auto"/>
          <w:szCs w:val="21"/>
        </w:rPr>
        <w:t>元）人民币。</w:t>
      </w:r>
    </w:p>
    <w:p w14:paraId="746F674D">
      <w:pPr>
        <w:widowControl/>
        <w:kinsoku w:val="0"/>
        <w:autoSpaceDE w:val="0"/>
        <w:autoSpaceDN w:val="0"/>
        <w:adjustRightInd w:val="0"/>
        <w:snapToGrid w:val="0"/>
        <w:spacing w:line="360" w:lineRule="auto"/>
        <w:ind w:firstLine="422" w:firstLineChars="200"/>
        <w:textAlignment w:val="baseline"/>
        <w:rPr>
          <w:rFonts w:hint="eastAsia" w:ascii="宋体" w:hAnsi="宋体" w:cs="宋体"/>
          <w:color w:val="auto"/>
          <w:szCs w:val="21"/>
        </w:rPr>
      </w:pPr>
      <w:r>
        <w:rPr>
          <w:rFonts w:hint="eastAsia" w:ascii="宋体" w:hAnsi="宋体" w:cs="宋体"/>
          <w:b/>
          <w:bCs/>
          <w:color w:val="auto"/>
          <w:szCs w:val="21"/>
        </w:rPr>
        <w:t>二、服务范围</w:t>
      </w:r>
    </w:p>
    <w:p w14:paraId="70DAE8BC">
      <w:pPr>
        <w:widowControl/>
        <w:tabs>
          <w:tab w:val="left" w:pos="188"/>
        </w:tabs>
        <w:kinsoku w:val="0"/>
        <w:autoSpaceDE w:val="0"/>
        <w:autoSpaceDN w:val="0"/>
        <w:adjustRightInd w:val="0"/>
        <w:snapToGrid w:val="0"/>
        <w:spacing w:line="360" w:lineRule="auto"/>
        <w:ind w:firstLine="420" w:firstLineChars="200"/>
        <w:textAlignment w:val="baseline"/>
        <w:rPr>
          <w:rFonts w:hint="eastAsia" w:ascii="宋体" w:hAnsi="宋体" w:cs="宋体"/>
          <w:color w:val="auto"/>
          <w:szCs w:val="21"/>
        </w:rPr>
      </w:pPr>
      <w:r>
        <w:rPr>
          <w:rFonts w:hint="eastAsia" w:ascii="宋体" w:hAnsi="宋体" w:cs="宋体"/>
          <w:color w:val="auto"/>
          <w:szCs w:val="21"/>
        </w:rPr>
        <w:t>甲方聘请乙方提供以下服务：</w:t>
      </w:r>
    </w:p>
    <w:p w14:paraId="191F6691">
      <w:pPr>
        <w:numPr>
          <w:ilvl w:val="0"/>
          <w:numId w:val="2"/>
        </w:numPr>
        <w:tabs>
          <w:tab w:val="left" w:pos="188"/>
        </w:tabs>
        <w:overflowPunct w:val="0"/>
        <w:autoSpaceDE w:val="0"/>
        <w:autoSpaceDN w:val="0"/>
        <w:adjustRightInd w:val="0"/>
        <w:snapToGrid w:val="0"/>
        <w:spacing w:line="360" w:lineRule="auto"/>
        <w:ind w:firstLine="420" w:firstLineChars="200"/>
        <w:textAlignment w:val="baseline"/>
        <w:rPr>
          <w:rFonts w:hint="eastAsia" w:ascii="宋体" w:hAnsi="宋体" w:cs="宋体"/>
          <w:color w:val="auto"/>
          <w:szCs w:val="21"/>
        </w:rPr>
      </w:pPr>
      <w:r>
        <w:rPr>
          <w:rFonts w:hint="eastAsia" w:ascii="宋体" w:hAnsi="宋体" w:cs="宋体"/>
          <w:color w:val="auto"/>
          <w:szCs w:val="21"/>
        </w:rPr>
        <w:t>档案管理（对安宁市行政区域内的非公有制企业和社会组织聘用人员的档案；辞职辞退、取消录（聘）用或被开除的机关事业单位工作人员档案；与企事业单位解除或终止劳动（聘用）关系人员的档案；未就业的高校毕业生及中专毕业生的档案；自费出国留学及其他因私出国（境）人员的档案；外国企业常驻代表机构的中方雇员的档案；自由职业或灵活就业人员的档案）；</w:t>
      </w:r>
    </w:p>
    <w:p w14:paraId="64AE7C4D">
      <w:pPr>
        <w:numPr>
          <w:ilvl w:val="0"/>
          <w:numId w:val="2"/>
        </w:numPr>
        <w:tabs>
          <w:tab w:val="left" w:pos="188"/>
        </w:tabs>
        <w:overflowPunct w:val="0"/>
        <w:autoSpaceDE w:val="0"/>
        <w:autoSpaceDN w:val="0"/>
        <w:adjustRightInd w:val="0"/>
        <w:snapToGrid w:val="0"/>
        <w:spacing w:line="360" w:lineRule="auto"/>
        <w:ind w:firstLine="420" w:firstLineChars="200"/>
        <w:textAlignment w:val="baseline"/>
        <w:rPr>
          <w:rFonts w:hint="eastAsia" w:ascii="宋体" w:hAnsi="宋体" w:cs="宋体"/>
          <w:color w:val="auto"/>
          <w:szCs w:val="21"/>
        </w:rPr>
      </w:pPr>
      <w:r>
        <w:rPr>
          <w:rFonts w:hint="eastAsia" w:ascii="宋体" w:hAnsi="宋体" w:cs="宋体"/>
          <w:color w:val="auto"/>
          <w:szCs w:val="21"/>
        </w:rPr>
        <w:t>退休申报（其他实行社会管理人员的档案等进行专业化管理并提供优质的退休申报服务）等。</w:t>
      </w:r>
    </w:p>
    <w:p w14:paraId="14E37596">
      <w:pPr>
        <w:widowControl/>
        <w:kinsoku w:val="0"/>
        <w:autoSpaceDE w:val="0"/>
        <w:autoSpaceDN w:val="0"/>
        <w:adjustRightInd w:val="0"/>
        <w:snapToGrid w:val="0"/>
        <w:spacing w:line="360" w:lineRule="auto"/>
        <w:ind w:firstLine="422" w:firstLineChars="200"/>
        <w:textAlignment w:val="baseline"/>
        <w:rPr>
          <w:rFonts w:hint="eastAsia" w:ascii="宋体" w:hAnsi="宋体" w:cs="宋体"/>
          <w:color w:val="auto"/>
          <w:szCs w:val="21"/>
        </w:rPr>
      </w:pPr>
      <w:r>
        <w:rPr>
          <w:rFonts w:hint="eastAsia" w:ascii="宋体" w:hAnsi="宋体" w:cs="宋体"/>
          <w:b/>
          <w:bCs/>
          <w:color w:val="auto"/>
          <w:szCs w:val="21"/>
        </w:rPr>
        <w:t>三、甲方乙方的权利和义务</w:t>
      </w:r>
    </w:p>
    <w:p w14:paraId="7522A646">
      <w:pPr>
        <w:widowControl/>
        <w:overflowPunct w:val="0"/>
        <w:autoSpaceDE w:val="0"/>
        <w:autoSpaceDN w:val="0"/>
        <w:adjustRightInd w:val="0"/>
        <w:snapToGrid w:val="0"/>
        <w:spacing w:line="360" w:lineRule="auto"/>
        <w:ind w:firstLine="420" w:firstLineChars="200"/>
        <w:textAlignment w:val="baseline"/>
        <w:rPr>
          <w:rFonts w:hint="eastAsia" w:ascii="宋体" w:hAnsi="宋体" w:cs="宋体"/>
          <w:color w:val="auto"/>
          <w:szCs w:val="21"/>
        </w:rPr>
      </w:pPr>
      <w:r>
        <w:rPr>
          <w:rFonts w:hint="eastAsia" w:ascii="宋体" w:hAnsi="宋体" w:cs="宋体"/>
          <w:color w:val="auto"/>
          <w:szCs w:val="21"/>
        </w:rPr>
        <w:t>1、甲方权利义务</w:t>
      </w:r>
    </w:p>
    <w:p w14:paraId="4D51C0C4">
      <w:pPr>
        <w:widowControl/>
        <w:overflowPunct w:val="0"/>
        <w:autoSpaceDE w:val="0"/>
        <w:autoSpaceDN w:val="0"/>
        <w:adjustRightInd w:val="0"/>
        <w:snapToGrid w:val="0"/>
        <w:spacing w:line="360" w:lineRule="auto"/>
        <w:ind w:firstLine="420" w:firstLineChars="200"/>
        <w:textAlignment w:val="baseline"/>
        <w:rPr>
          <w:rFonts w:hint="eastAsia" w:ascii="宋体" w:hAnsi="宋体" w:cs="宋体"/>
          <w:color w:val="auto"/>
          <w:szCs w:val="21"/>
        </w:rPr>
      </w:pPr>
      <w:r>
        <w:rPr>
          <w:rFonts w:hint="eastAsia" w:ascii="宋体" w:hAnsi="宋体" w:cs="宋体"/>
          <w:color w:val="auto"/>
          <w:szCs w:val="21"/>
        </w:rPr>
        <w:t>（1）指派专人与乙方就本项目及时保持沟通，并配合乙方实施本项目；</w:t>
      </w:r>
    </w:p>
    <w:p w14:paraId="545D0A6D">
      <w:pPr>
        <w:widowControl/>
        <w:overflowPunct w:val="0"/>
        <w:autoSpaceDE w:val="0"/>
        <w:autoSpaceDN w:val="0"/>
        <w:adjustRightInd w:val="0"/>
        <w:snapToGrid w:val="0"/>
        <w:spacing w:line="360" w:lineRule="auto"/>
        <w:ind w:firstLine="420" w:firstLineChars="200"/>
        <w:textAlignment w:val="baseline"/>
        <w:rPr>
          <w:rFonts w:hint="eastAsia" w:ascii="宋体" w:hAnsi="宋体" w:cs="宋体"/>
          <w:color w:val="auto"/>
          <w:szCs w:val="21"/>
        </w:rPr>
      </w:pPr>
      <w:r>
        <w:rPr>
          <w:rFonts w:hint="eastAsia" w:ascii="宋体" w:hAnsi="宋体" w:cs="宋体"/>
          <w:color w:val="auto"/>
          <w:szCs w:val="21"/>
        </w:rPr>
        <w:t>（2）按合同提供项目所需经费，保障乙方项目实施经费到位；</w:t>
      </w:r>
    </w:p>
    <w:p w14:paraId="1065CEAB">
      <w:pPr>
        <w:widowControl/>
        <w:overflowPunct w:val="0"/>
        <w:autoSpaceDE w:val="0"/>
        <w:autoSpaceDN w:val="0"/>
        <w:adjustRightInd w:val="0"/>
        <w:snapToGrid w:val="0"/>
        <w:spacing w:line="360" w:lineRule="auto"/>
        <w:ind w:firstLine="420" w:firstLineChars="200"/>
        <w:textAlignment w:val="baseline"/>
        <w:rPr>
          <w:rFonts w:hint="eastAsia" w:ascii="宋体" w:hAnsi="宋体" w:cs="宋体"/>
          <w:color w:val="auto"/>
          <w:szCs w:val="21"/>
        </w:rPr>
      </w:pPr>
      <w:r>
        <w:rPr>
          <w:rFonts w:hint="eastAsia" w:ascii="宋体" w:hAnsi="宋体" w:cs="宋体"/>
          <w:color w:val="auto"/>
          <w:szCs w:val="21"/>
        </w:rPr>
        <w:t>（3）为乙方提供相关政策、文件、资料及其他必要的支持；</w:t>
      </w:r>
    </w:p>
    <w:p w14:paraId="2CB62C25">
      <w:pPr>
        <w:widowControl/>
        <w:overflowPunct w:val="0"/>
        <w:autoSpaceDE w:val="0"/>
        <w:autoSpaceDN w:val="0"/>
        <w:adjustRightInd w:val="0"/>
        <w:snapToGrid w:val="0"/>
        <w:spacing w:line="360" w:lineRule="auto"/>
        <w:ind w:firstLine="420" w:firstLineChars="200"/>
        <w:textAlignment w:val="baseline"/>
        <w:rPr>
          <w:rFonts w:hint="eastAsia" w:ascii="宋体" w:hAnsi="宋体" w:cs="宋体"/>
          <w:color w:val="auto"/>
          <w:szCs w:val="21"/>
        </w:rPr>
      </w:pPr>
      <w:r>
        <w:rPr>
          <w:rFonts w:hint="eastAsia" w:ascii="宋体" w:hAnsi="宋体" w:cs="宋体"/>
          <w:color w:val="auto"/>
          <w:szCs w:val="21"/>
        </w:rPr>
        <w:t>（4）甲方需要增减人员或服务内容的，经双方协商一致后，应提前30个工作日以书面形式通知乙方，并与乙方明确所需人员岗位种类和用工数量、素质、要求、各种待遇、用工期限及起止日期；</w:t>
      </w:r>
    </w:p>
    <w:p w14:paraId="63C85FDB">
      <w:pPr>
        <w:widowControl/>
        <w:overflowPunct w:val="0"/>
        <w:autoSpaceDE w:val="0"/>
        <w:autoSpaceDN w:val="0"/>
        <w:adjustRightInd w:val="0"/>
        <w:snapToGrid w:val="0"/>
        <w:spacing w:line="360" w:lineRule="auto"/>
        <w:ind w:firstLine="420" w:firstLineChars="200"/>
        <w:textAlignment w:val="baseline"/>
        <w:rPr>
          <w:rFonts w:hint="eastAsia" w:ascii="宋体" w:hAnsi="宋体" w:cs="宋体"/>
          <w:color w:val="auto"/>
          <w:szCs w:val="21"/>
        </w:rPr>
      </w:pPr>
      <w:r>
        <w:rPr>
          <w:rFonts w:hint="eastAsia" w:ascii="宋体" w:hAnsi="宋体" w:cs="宋体"/>
          <w:color w:val="auto"/>
          <w:szCs w:val="21"/>
        </w:rPr>
        <w:t>（5）甲方在不影响保密的前提下，应向乙方提供甲方的管理规定，与乙方共同确认人员管理规范及相关规章制度；</w:t>
      </w:r>
    </w:p>
    <w:p w14:paraId="19123B4A">
      <w:pPr>
        <w:widowControl/>
        <w:overflowPunct w:val="0"/>
        <w:autoSpaceDE w:val="0"/>
        <w:autoSpaceDN w:val="0"/>
        <w:adjustRightInd w:val="0"/>
        <w:snapToGrid w:val="0"/>
        <w:spacing w:line="360" w:lineRule="auto"/>
        <w:ind w:firstLine="420" w:firstLineChars="200"/>
        <w:textAlignment w:val="baseline"/>
        <w:rPr>
          <w:rFonts w:hint="eastAsia" w:ascii="宋体" w:hAnsi="宋体" w:cs="宋体"/>
          <w:color w:val="auto"/>
          <w:szCs w:val="21"/>
        </w:rPr>
      </w:pPr>
      <w:r>
        <w:rPr>
          <w:rFonts w:hint="eastAsia" w:ascii="宋体" w:hAnsi="宋体" w:cs="宋体"/>
          <w:color w:val="auto"/>
          <w:szCs w:val="21"/>
        </w:rPr>
        <w:t>（6）甲方有权督促乙方按照国家规定与服务人员岗位人员订立劳动合同，并办理劳动合同的订立、续签、解除（或终止）等劳动合同手续。</w:t>
      </w:r>
    </w:p>
    <w:p w14:paraId="6B793A7B">
      <w:pPr>
        <w:widowControl/>
        <w:overflowPunct w:val="0"/>
        <w:autoSpaceDE w:val="0"/>
        <w:autoSpaceDN w:val="0"/>
        <w:adjustRightInd w:val="0"/>
        <w:snapToGrid w:val="0"/>
        <w:spacing w:line="360" w:lineRule="auto"/>
        <w:ind w:firstLine="420" w:firstLineChars="200"/>
        <w:textAlignment w:val="baseline"/>
        <w:rPr>
          <w:rFonts w:hint="eastAsia" w:ascii="宋体" w:hAnsi="宋体" w:cs="宋体"/>
          <w:color w:val="auto"/>
          <w:szCs w:val="21"/>
        </w:rPr>
      </w:pPr>
      <w:r>
        <w:rPr>
          <w:rFonts w:hint="eastAsia" w:ascii="宋体" w:hAnsi="宋体" w:cs="宋体"/>
          <w:color w:val="auto"/>
          <w:szCs w:val="21"/>
        </w:rPr>
        <w:t>（7）服务人员因不能保障服务质量和满足工作需求的，甲方有权向乙方提出更换服务人员。</w:t>
      </w:r>
    </w:p>
    <w:p w14:paraId="24C56E28">
      <w:pPr>
        <w:widowControl/>
        <w:overflowPunct w:val="0"/>
        <w:autoSpaceDE w:val="0"/>
        <w:autoSpaceDN w:val="0"/>
        <w:adjustRightInd w:val="0"/>
        <w:snapToGrid w:val="0"/>
        <w:spacing w:line="360" w:lineRule="auto"/>
        <w:ind w:firstLine="420" w:firstLineChars="200"/>
        <w:textAlignment w:val="baseline"/>
        <w:rPr>
          <w:rFonts w:hint="eastAsia" w:ascii="宋体" w:hAnsi="宋体" w:cs="宋体"/>
          <w:color w:val="auto"/>
          <w:szCs w:val="21"/>
        </w:rPr>
      </w:pPr>
      <w:r>
        <w:rPr>
          <w:rFonts w:hint="eastAsia" w:ascii="宋体" w:hAnsi="宋体" w:cs="宋体"/>
          <w:color w:val="auto"/>
          <w:szCs w:val="21"/>
        </w:rPr>
        <w:t>2、乙方权利义务</w:t>
      </w:r>
    </w:p>
    <w:p w14:paraId="451FB68B">
      <w:pPr>
        <w:widowControl/>
        <w:overflowPunct w:val="0"/>
        <w:autoSpaceDE w:val="0"/>
        <w:autoSpaceDN w:val="0"/>
        <w:adjustRightInd w:val="0"/>
        <w:snapToGrid w:val="0"/>
        <w:spacing w:line="360" w:lineRule="auto"/>
        <w:ind w:firstLine="420" w:firstLineChars="200"/>
        <w:textAlignment w:val="baseline"/>
        <w:rPr>
          <w:rFonts w:hint="eastAsia" w:ascii="宋体" w:hAnsi="宋体" w:cs="宋体"/>
          <w:color w:val="auto"/>
          <w:szCs w:val="21"/>
        </w:rPr>
      </w:pPr>
      <w:r>
        <w:rPr>
          <w:rFonts w:hint="eastAsia" w:ascii="宋体" w:hAnsi="宋体" w:cs="宋体"/>
          <w:color w:val="auto"/>
          <w:szCs w:val="21"/>
        </w:rPr>
        <w:t>（1）严格按照相关保密法律、法规和合同规定之条款执行项目，遵守保密规定，对数据资料进行有效管理，做好安全保密工作；</w:t>
      </w:r>
    </w:p>
    <w:p w14:paraId="6CAACD4F">
      <w:pPr>
        <w:widowControl/>
        <w:overflowPunct w:val="0"/>
        <w:autoSpaceDE w:val="0"/>
        <w:autoSpaceDN w:val="0"/>
        <w:adjustRightInd w:val="0"/>
        <w:snapToGrid w:val="0"/>
        <w:spacing w:line="360" w:lineRule="auto"/>
        <w:ind w:firstLine="420" w:firstLineChars="200"/>
        <w:textAlignment w:val="baseline"/>
        <w:rPr>
          <w:rFonts w:hint="eastAsia" w:ascii="宋体" w:hAnsi="宋体" w:cs="宋体"/>
          <w:color w:val="auto"/>
          <w:szCs w:val="21"/>
        </w:rPr>
      </w:pPr>
      <w:r>
        <w:rPr>
          <w:rFonts w:hint="eastAsia" w:ascii="宋体" w:hAnsi="宋体" w:cs="宋体"/>
          <w:color w:val="auto"/>
          <w:szCs w:val="21"/>
        </w:rPr>
        <w:t>（2）档案整理工作区域内禁止吸烟及饮食,工作区域不可以放液体物品（胶水除外）,确保流动人员人事档案安全；</w:t>
      </w:r>
    </w:p>
    <w:p w14:paraId="6F932F3B">
      <w:pPr>
        <w:overflowPunct w:val="0"/>
        <w:autoSpaceDE w:val="0"/>
        <w:autoSpaceDN w:val="0"/>
        <w:adjustRightInd w:val="0"/>
        <w:snapToGrid w:val="0"/>
        <w:spacing w:line="360" w:lineRule="auto"/>
        <w:ind w:firstLine="420" w:firstLineChars="200"/>
        <w:textAlignment w:val="baseline"/>
        <w:rPr>
          <w:rFonts w:hint="eastAsia" w:ascii="宋体" w:hAnsi="宋体" w:cs="宋体"/>
          <w:color w:val="auto"/>
          <w:szCs w:val="21"/>
        </w:rPr>
      </w:pPr>
      <w:r>
        <w:rPr>
          <w:rFonts w:hint="eastAsia" w:ascii="宋体" w:hAnsi="宋体" w:cs="宋体"/>
          <w:color w:val="auto"/>
          <w:szCs w:val="21"/>
        </w:rPr>
        <w:t>（3）按照项目需求配备相应的人员，并做到分工明确、优势互补、团队协作，团队人员知悉与其工作有关的保密范围和各项保密制度。乙方需对服务人员开展必要的政治审查，能够承担相应的服务工作内容。</w:t>
      </w:r>
    </w:p>
    <w:p w14:paraId="7C87DB0C">
      <w:pPr>
        <w:kinsoku w:val="0"/>
        <w:autoSpaceDE w:val="0"/>
        <w:autoSpaceDN w:val="0"/>
        <w:adjustRightInd w:val="0"/>
        <w:snapToGrid w:val="0"/>
        <w:spacing w:line="360" w:lineRule="auto"/>
        <w:ind w:firstLine="420" w:firstLineChars="200"/>
        <w:textAlignment w:val="baseline"/>
        <w:rPr>
          <w:rFonts w:hint="eastAsia" w:ascii="宋体" w:hAnsi="宋体" w:cs="宋体"/>
          <w:color w:val="auto"/>
          <w:szCs w:val="21"/>
        </w:rPr>
      </w:pPr>
      <w:r>
        <w:rPr>
          <w:rFonts w:hint="eastAsia" w:ascii="宋体" w:hAnsi="宋体" w:cs="宋体"/>
          <w:color w:val="auto"/>
          <w:szCs w:val="21"/>
        </w:rPr>
        <w:t>（4）按时按质向甲方提供项目实施成果及其相关资料，不得向甲方以外的单位擅自转让、转借、提供本项目相关数据资料；</w:t>
      </w:r>
    </w:p>
    <w:p w14:paraId="02EB5BDE">
      <w:pPr>
        <w:kinsoku w:val="0"/>
        <w:autoSpaceDE w:val="0"/>
        <w:autoSpaceDN w:val="0"/>
        <w:adjustRightInd w:val="0"/>
        <w:snapToGrid w:val="0"/>
        <w:spacing w:line="360" w:lineRule="auto"/>
        <w:ind w:firstLine="420" w:firstLineChars="200"/>
        <w:textAlignment w:val="baseline"/>
        <w:rPr>
          <w:rFonts w:hint="eastAsia" w:ascii="宋体" w:hAnsi="宋体" w:cs="宋体"/>
          <w:color w:val="auto"/>
          <w:szCs w:val="21"/>
        </w:rPr>
      </w:pPr>
      <w:r>
        <w:rPr>
          <w:rFonts w:hint="eastAsia" w:ascii="宋体" w:hAnsi="宋体" w:cs="宋体"/>
          <w:color w:val="auto"/>
          <w:szCs w:val="21"/>
        </w:rPr>
        <w:t>（5）若发生劳动争议，乙方应与服务人员交涉解决，乙方应采取必要且合法的措施减少因争议给甲方造成的影响；</w:t>
      </w:r>
    </w:p>
    <w:p w14:paraId="1A2FF48B">
      <w:pPr>
        <w:widowControl/>
        <w:kinsoku w:val="0"/>
        <w:autoSpaceDE w:val="0"/>
        <w:autoSpaceDN w:val="0"/>
        <w:adjustRightInd w:val="0"/>
        <w:snapToGrid w:val="0"/>
        <w:spacing w:line="360" w:lineRule="auto"/>
        <w:ind w:firstLine="420" w:firstLineChars="200"/>
        <w:textAlignment w:val="baseline"/>
        <w:rPr>
          <w:rFonts w:hint="eastAsia" w:ascii="宋体" w:hAnsi="宋体" w:cs="宋体"/>
          <w:color w:val="auto"/>
          <w:szCs w:val="21"/>
        </w:rPr>
      </w:pPr>
      <w:r>
        <w:rPr>
          <w:rFonts w:hint="eastAsia" w:ascii="宋体" w:hAnsi="宋体" w:cs="宋体"/>
          <w:color w:val="auto"/>
          <w:szCs w:val="21"/>
        </w:rPr>
        <w:t>（6）如遇政策重大变化导致项目服务人员无法开展相应服务，乙方应配合甲方对服务人员进行安置、遣散工作，由甲方提前30日书面通知乙方，同时双方结清全部已产生的费用后另行协商本协议后续履行方式及后续合作事宜；</w:t>
      </w:r>
    </w:p>
    <w:p w14:paraId="3CC5485F">
      <w:pPr>
        <w:widowControl/>
        <w:kinsoku w:val="0"/>
        <w:autoSpaceDE w:val="0"/>
        <w:autoSpaceDN w:val="0"/>
        <w:adjustRightInd w:val="0"/>
        <w:snapToGrid w:val="0"/>
        <w:spacing w:line="360" w:lineRule="auto"/>
        <w:ind w:firstLine="420" w:firstLineChars="200"/>
        <w:textAlignment w:val="baseline"/>
        <w:rPr>
          <w:rFonts w:hint="eastAsia" w:ascii="宋体" w:hAnsi="宋体" w:cs="宋体"/>
          <w:color w:val="auto"/>
          <w:szCs w:val="21"/>
        </w:rPr>
      </w:pPr>
      <w:r>
        <w:rPr>
          <w:rFonts w:hint="eastAsia" w:ascii="宋体" w:hAnsi="宋体" w:cs="宋体"/>
          <w:color w:val="auto"/>
          <w:szCs w:val="21"/>
        </w:rPr>
        <w:t>（7）在本服务期限内，若甲方仅因服务人员的日常工作或服务项目的变化而单方直接要求更换服务人员，而造成服务人员发生劳动用工补偿、赔偿等，均由乙方配合甲方向产生争议的服务人员了解情况并化解争议，由此产生的经济成本按照实际情况由双方协商并及时向市委、市政府申报相关经费。</w:t>
      </w:r>
    </w:p>
    <w:p w14:paraId="7776471D">
      <w:pPr>
        <w:widowControl/>
        <w:kinsoku w:val="0"/>
        <w:autoSpaceDE w:val="0"/>
        <w:autoSpaceDN w:val="0"/>
        <w:adjustRightInd w:val="0"/>
        <w:snapToGrid w:val="0"/>
        <w:spacing w:line="360" w:lineRule="auto"/>
        <w:ind w:firstLine="422" w:firstLineChars="200"/>
        <w:textAlignment w:val="baseline"/>
        <w:rPr>
          <w:rFonts w:hint="eastAsia" w:ascii="宋体" w:hAnsi="宋体" w:cs="宋体"/>
          <w:color w:val="auto"/>
          <w:szCs w:val="21"/>
        </w:rPr>
      </w:pPr>
      <w:r>
        <w:rPr>
          <w:rFonts w:hint="eastAsia" w:ascii="宋体" w:hAnsi="宋体" w:cs="宋体"/>
          <w:b/>
          <w:bCs/>
          <w:color w:val="auto"/>
          <w:szCs w:val="21"/>
        </w:rPr>
        <w:t>四、服务期限（项目完成期限）</w:t>
      </w:r>
    </w:p>
    <w:p w14:paraId="0F93253D">
      <w:pPr>
        <w:widowControl/>
        <w:kinsoku w:val="0"/>
        <w:autoSpaceDE w:val="0"/>
        <w:autoSpaceDN w:val="0"/>
        <w:adjustRightInd w:val="0"/>
        <w:snapToGrid w:val="0"/>
        <w:spacing w:line="360" w:lineRule="auto"/>
        <w:ind w:firstLine="420" w:firstLineChars="200"/>
        <w:textAlignment w:val="baseline"/>
        <w:rPr>
          <w:rFonts w:hint="eastAsia" w:ascii="宋体" w:hAnsi="宋体" w:cs="宋体"/>
          <w:color w:val="auto"/>
          <w:szCs w:val="21"/>
        </w:rPr>
      </w:pPr>
      <w:r>
        <w:rPr>
          <w:rFonts w:hint="eastAsia" w:ascii="宋体" w:hAnsi="宋体" w:cs="宋体"/>
          <w:color w:val="auto"/>
          <w:szCs w:val="21"/>
        </w:rPr>
        <w:t>委托服务期限自</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 至</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日止。</w:t>
      </w:r>
    </w:p>
    <w:p w14:paraId="1B0858D3">
      <w:pPr>
        <w:widowControl/>
        <w:kinsoku w:val="0"/>
        <w:autoSpaceDE w:val="0"/>
        <w:autoSpaceDN w:val="0"/>
        <w:adjustRightInd w:val="0"/>
        <w:snapToGrid w:val="0"/>
        <w:spacing w:line="360" w:lineRule="auto"/>
        <w:ind w:firstLine="422" w:firstLineChars="200"/>
        <w:textAlignment w:val="baseline"/>
        <w:rPr>
          <w:rFonts w:hint="eastAsia" w:ascii="宋体" w:hAnsi="宋体" w:cs="宋体"/>
          <w:color w:val="auto"/>
          <w:szCs w:val="21"/>
        </w:rPr>
      </w:pPr>
      <w:r>
        <w:rPr>
          <w:rFonts w:hint="eastAsia" w:ascii="宋体" w:hAnsi="宋体" w:cs="宋体"/>
          <w:b/>
          <w:bCs/>
          <w:color w:val="auto"/>
          <w:szCs w:val="21"/>
        </w:rPr>
        <w:t>五、付款方式</w:t>
      </w:r>
    </w:p>
    <w:p w14:paraId="2A444AF4">
      <w:pPr>
        <w:spacing w:line="360" w:lineRule="auto"/>
        <w:ind w:firstLine="482"/>
        <w:rPr>
          <w:rFonts w:hint="eastAsia" w:ascii="宋体" w:hAnsi="宋体" w:cs="宋体"/>
          <w:color w:val="auto"/>
          <w:szCs w:val="21"/>
        </w:rPr>
      </w:pPr>
      <w:r>
        <w:rPr>
          <w:rFonts w:hint="eastAsia" w:ascii="宋体" w:hAnsi="宋体" w:cs="宋体"/>
          <w:color w:val="auto"/>
          <w:szCs w:val="21"/>
        </w:rPr>
        <w:t xml:space="preserve">（一）费用支付： </w:t>
      </w:r>
    </w:p>
    <w:p w14:paraId="18FC443E">
      <w:pPr>
        <w:spacing w:line="360" w:lineRule="auto"/>
        <w:ind w:firstLine="482"/>
        <w:rPr>
          <w:rFonts w:hint="eastAsia" w:ascii="宋体" w:hAnsi="宋体" w:cs="宋体"/>
          <w:color w:val="auto"/>
          <w:szCs w:val="21"/>
        </w:rPr>
      </w:pPr>
      <w:r>
        <w:rPr>
          <w:rFonts w:hint="eastAsia" w:ascii="宋体" w:hAnsi="宋体" w:cs="宋体"/>
          <w:color w:val="auto"/>
          <w:szCs w:val="21"/>
        </w:rPr>
        <w:t>1.费用分两次付清，合同签订之日起30个工作日内支付80%，待合同到期验收完成后一次性付清剩余的20%尾款。</w:t>
      </w:r>
    </w:p>
    <w:p w14:paraId="20D2AA95">
      <w:pPr>
        <w:spacing w:line="360" w:lineRule="auto"/>
        <w:ind w:firstLine="482"/>
        <w:rPr>
          <w:rFonts w:hint="eastAsia" w:ascii="宋体" w:hAnsi="宋体" w:cs="宋体"/>
          <w:color w:val="auto"/>
          <w:szCs w:val="21"/>
          <w:highlight w:val="yellow"/>
        </w:rPr>
      </w:pPr>
      <w:r>
        <w:rPr>
          <w:rFonts w:hint="eastAsia" w:ascii="宋体" w:hAnsi="宋体" w:cs="宋体"/>
          <w:color w:val="auto"/>
          <w:szCs w:val="21"/>
        </w:rPr>
        <w:t>2.甲方付款前，乙方需先行提交等额增值税发票至甲方验收。</w:t>
      </w:r>
    </w:p>
    <w:p w14:paraId="4CE6E87A">
      <w:pPr>
        <w:spacing w:line="360" w:lineRule="auto"/>
        <w:ind w:firstLine="482"/>
        <w:rPr>
          <w:rFonts w:hint="eastAsia" w:ascii="宋体" w:hAnsi="宋体" w:cs="宋体"/>
          <w:color w:val="auto"/>
          <w:szCs w:val="21"/>
        </w:rPr>
      </w:pPr>
      <w:r>
        <w:rPr>
          <w:rFonts w:hint="eastAsia" w:ascii="宋体" w:hAnsi="宋体" w:cs="宋体"/>
          <w:color w:val="auto"/>
          <w:szCs w:val="21"/>
        </w:rPr>
        <w:t xml:space="preserve">（二）开票信息： </w:t>
      </w:r>
    </w:p>
    <w:p w14:paraId="51715BB3">
      <w:pPr>
        <w:spacing w:line="360" w:lineRule="auto"/>
        <w:ind w:firstLine="482"/>
        <w:rPr>
          <w:rFonts w:hint="eastAsia" w:ascii="宋体" w:hAnsi="宋体" w:cs="宋体"/>
          <w:color w:val="auto"/>
          <w:szCs w:val="21"/>
        </w:rPr>
      </w:pPr>
      <w:r>
        <w:rPr>
          <w:rFonts w:hint="eastAsia" w:ascii="宋体" w:hAnsi="宋体" w:cs="宋体"/>
          <w:color w:val="auto"/>
          <w:szCs w:val="21"/>
        </w:rPr>
        <w:t xml:space="preserve">1.甲方开票资料信息如下： </w:t>
      </w:r>
    </w:p>
    <w:p w14:paraId="04D7B188">
      <w:pPr>
        <w:spacing w:line="360" w:lineRule="auto"/>
        <w:ind w:firstLine="482"/>
        <w:rPr>
          <w:rFonts w:hint="eastAsia" w:ascii="宋体" w:hAnsi="宋体" w:cs="宋体"/>
          <w:color w:val="auto"/>
          <w:szCs w:val="21"/>
        </w:rPr>
      </w:pPr>
      <w:r>
        <w:rPr>
          <w:rFonts w:hint="eastAsia" w:ascii="宋体" w:hAnsi="宋体" w:cs="宋体"/>
          <w:color w:val="auto"/>
          <w:szCs w:val="21"/>
        </w:rPr>
        <w:t>单位名称：</w:t>
      </w:r>
      <w:r>
        <w:rPr>
          <w:rFonts w:hint="eastAsia" w:ascii="宋体" w:hAnsi="宋体" w:cs="宋体"/>
          <w:color w:val="auto"/>
          <w:szCs w:val="21"/>
          <w:u w:val="single"/>
        </w:rPr>
        <w:t xml:space="preserve">                     </w:t>
      </w:r>
    </w:p>
    <w:p w14:paraId="61C2572A">
      <w:pPr>
        <w:spacing w:line="360" w:lineRule="auto"/>
        <w:ind w:firstLine="482"/>
        <w:rPr>
          <w:rFonts w:hint="eastAsia" w:ascii="宋体" w:hAnsi="宋体" w:cs="宋体"/>
          <w:color w:val="auto"/>
          <w:szCs w:val="21"/>
        </w:rPr>
      </w:pPr>
      <w:r>
        <w:rPr>
          <w:rFonts w:hint="eastAsia" w:ascii="宋体" w:hAnsi="宋体" w:cs="宋体"/>
          <w:color w:val="auto"/>
          <w:szCs w:val="21"/>
        </w:rPr>
        <w:t>纳税人识别号：</w:t>
      </w:r>
      <w:r>
        <w:rPr>
          <w:rFonts w:hint="eastAsia" w:ascii="宋体" w:hAnsi="宋体" w:cs="宋体"/>
          <w:color w:val="auto"/>
          <w:szCs w:val="21"/>
          <w:u w:val="single"/>
        </w:rPr>
        <w:t xml:space="preserve">                 </w:t>
      </w:r>
    </w:p>
    <w:p w14:paraId="7796DF44">
      <w:pPr>
        <w:spacing w:line="360" w:lineRule="auto"/>
        <w:ind w:firstLine="482"/>
        <w:rPr>
          <w:rFonts w:hint="eastAsia" w:ascii="宋体" w:hAnsi="宋体" w:cs="宋体"/>
          <w:color w:val="auto"/>
          <w:szCs w:val="21"/>
        </w:rPr>
      </w:pPr>
      <w:r>
        <w:rPr>
          <w:rFonts w:hint="eastAsia" w:ascii="宋体" w:hAnsi="宋体" w:cs="宋体"/>
          <w:color w:val="auto"/>
          <w:szCs w:val="21"/>
        </w:rPr>
        <w:t>地址：</w:t>
      </w:r>
      <w:r>
        <w:rPr>
          <w:rFonts w:hint="eastAsia" w:ascii="宋体" w:hAnsi="宋体" w:cs="宋体"/>
          <w:color w:val="auto"/>
          <w:szCs w:val="21"/>
          <w:u w:val="single"/>
        </w:rPr>
        <w:t xml:space="preserve">                         </w:t>
      </w:r>
    </w:p>
    <w:p w14:paraId="72001AF4">
      <w:pPr>
        <w:spacing w:line="360" w:lineRule="auto"/>
        <w:ind w:firstLine="482"/>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zCs w:val="21"/>
          <w:u w:val="single"/>
        </w:rPr>
        <w:t xml:space="preserve">                         </w:t>
      </w:r>
    </w:p>
    <w:p w14:paraId="0916E82C">
      <w:pPr>
        <w:spacing w:line="360" w:lineRule="auto"/>
        <w:ind w:firstLine="482"/>
        <w:rPr>
          <w:rFonts w:hint="eastAsia" w:ascii="宋体" w:hAnsi="宋体" w:cs="宋体"/>
          <w:color w:val="auto"/>
          <w:szCs w:val="21"/>
        </w:rPr>
      </w:pPr>
      <w:r>
        <w:rPr>
          <w:rFonts w:hint="eastAsia" w:ascii="宋体" w:hAnsi="宋体" w:cs="宋体"/>
          <w:color w:val="auto"/>
          <w:szCs w:val="21"/>
        </w:rPr>
        <w:t>开户银行：</w:t>
      </w:r>
      <w:r>
        <w:rPr>
          <w:rFonts w:hint="eastAsia" w:ascii="宋体" w:hAnsi="宋体" w:cs="宋体"/>
          <w:color w:val="auto"/>
          <w:szCs w:val="21"/>
          <w:u w:val="single"/>
        </w:rPr>
        <w:t xml:space="preserve">                     </w:t>
      </w:r>
    </w:p>
    <w:p w14:paraId="4ED59841">
      <w:pPr>
        <w:spacing w:line="360" w:lineRule="auto"/>
        <w:ind w:firstLine="482"/>
        <w:rPr>
          <w:rFonts w:hint="eastAsia" w:ascii="宋体" w:hAnsi="宋体" w:cs="宋体"/>
          <w:color w:val="auto"/>
          <w:szCs w:val="21"/>
        </w:rPr>
      </w:pPr>
      <w:r>
        <w:rPr>
          <w:rFonts w:hint="eastAsia" w:ascii="宋体" w:hAnsi="宋体" w:cs="宋体"/>
          <w:color w:val="auto"/>
          <w:szCs w:val="21"/>
        </w:rPr>
        <w:t>账号：</w:t>
      </w:r>
      <w:r>
        <w:rPr>
          <w:rFonts w:hint="eastAsia" w:ascii="宋体" w:hAnsi="宋体" w:cs="宋体"/>
          <w:color w:val="auto"/>
          <w:szCs w:val="21"/>
          <w:u w:val="single"/>
        </w:rPr>
        <w:t xml:space="preserve">                         </w:t>
      </w:r>
    </w:p>
    <w:p w14:paraId="733EDF42">
      <w:pPr>
        <w:spacing w:line="360" w:lineRule="auto"/>
        <w:ind w:firstLine="482"/>
        <w:rPr>
          <w:rFonts w:hint="eastAsia" w:ascii="宋体" w:hAnsi="宋体" w:cs="宋体"/>
          <w:color w:val="auto"/>
          <w:szCs w:val="21"/>
        </w:rPr>
      </w:pPr>
      <w:r>
        <w:rPr>
          <w:rFonts w:hint="eastAsia" w:ascii="宋体" w:hAnsi="宋体" w:cs="宋体"/>
          <w:color w:val="auto"/>
          <w:szCs w:val="21"/>
        </w:rPr>
        <w:t xml:space="preserve">2.乙方的银行账户信息如下： </w:t>
      </w:r>
    </w:p>
    <w:p w14:paraId="4E07EB86">
      <w:pPr>
        <w:spacing w:line="360" w:lineRule="auto"/>
        <w:ind w:firstLine="482"/>
        <w:rPr>
          <w:rFonts w:hint="eastAsia" w:ascii="宋体" w:hAnsi="宋体" w:cs="宋体"/>
          <w:color w:val="auto"/>
          <w:szCs w:val="21"/>
        </w:rPr>
      </w:pPr>
      <w:r>
        <w:rPr>
          <w:rFonts w:hint="eastAsia" w:ascii="宋体" w:hAnsi="宋体" w:cs="宋体"/>
          <w:color w:val="auto"/>
          <w:szCs w:val="21"/>
        </w:rPr>
        <w:t>开户名称：</w:t>
      </w:r>
      <w:r>
        <w:rPr>
          <w:rFonts w:hint="eastAsia" w:ascii="宋体" w:hAnsi="宋体" w:cs="宋体"/>
          <w:color w:val="auto"/>
          <w:szCs w:val="21"/>
          <w:u w:val="single"/>
        </w:rPr>
        <w:t xml:space="preserve">                     </w:t>
      </w:r>
    </w:p>
    <w:p w14:paraId="20E359F6">
      <w:pPr>
        <w:spacing w:line="360" w:lineRule="auto"/>
        <w:ind w:firstLine="482"/>
        <w:rPr>
          <w:rFonts w:hint="eastAsia" w:ascii="宋体" w:hAnsi="宋体" w:cs="宋体"/>
          <w:color w:val="auto"/>
          <w:szCs w:val="21"/>
        </w:rPr>
      </w:pPr>
      <w:r>
        <w:rPr>
          <w:rFonts w:hint="eastAsia" w:ascii="宋体" w:hAnsi="宋体" w:cs="宋体"/>
          <w:color w:val="auto"/>
          <w:szCs w:val="21"/>
        </w:rPr>
        <w:t>开户银行:</w:t>
      </w:r>
      <w:r>
        <w:rPr>
          <w:rFonts w:hint="eastAsia" w:ascii="宋体" w:hAnsi="宋体" w:cs="宋体"/>
          <w:color w:val="auto"/>
          <w:szCs w:val="21"/>
          <w:u w:val="single"/>
        </w:rPr>
        <w:t xml:space="preserve">                      </w:t>
      </w:r>
    </w:p>
    <w:p w14:paraId="4CFEE385">
      <w:pPr>
        <w:spacing w:line="360" w:lineRule="auto"/>
        <w:ind w:firstLine="482"/>
        <w:rPr>
          <w:rFonts w:hint="eastAsia" w:ascii="宋体" w:hAnsi="宋体" w:cs="宋体"/>
          <w:color w:val="auto"/>
          <w:szCs w:val="21"/>
        </w:rPr>
      </w:pPr>
      <w:r>
        <w:rPr>
          <w:rFonts w:hint="eastAsia" w:ascii="宋体" w:hAnsi="宋体" w:cs="宋体"/>
          <w:color w:val="auto"/>
          <w:szCs w:val="21"/>
        </w:rPr>
        <w:t>账 号：</w:t>
      </w:r>
      <w:r>
        <w:rPr>
          <w:rFonts w:hint="eastAsia" w:ascii="宋体" w:hAnsi="宋体" w:cs="宋体"/>
          <w:color w:val="auto"/>
          <w:szCs w:val="21"/>
          <w:u w:val="single"/>
        </w:rPr>
        <w:t xml:space="preserve">                        </w:t>
      </w:r>
    </w:p>
    <w:p w14:paraId="696B4526">
      <w:pPr>
        <w:spacing w:line="360" w:lineRule="auto"/>
        <w:ind w:firstLine="482"/>
        <w:rPr>
          <w:rFonts w:hint="eastAsia" w:ascii="宋体" w:hAnsi="宋体" w:cs="宋体"/>
          <w:color w:val="auto"/>
          <w:szCs w:val="21"/>
        </w:rPr>
      </w:pPr>
      <w:r>
        <w:rPr>
          <w:rFonts w:hint="eastAsia" w:ascii="宋体" w:hAnsi="宋体" w:cs="宋体"/>
          <w:color w:val="auto"/>
          <w:szCs w:val="21"/>
        </w:rPr>
        <w:t>发票类型:</w:t>
      </w:r>
      <w:r>
        <w:rPr>
          <w:rFonts w:hint="eastAsia" w:ascii="宋体" w:hAnsi="宋体" w:cs="宋体"/>
          <w:color w:val="auto"/>
          <w:szCs w:val="21"/>
          <w:u w:val="single"/>
        </w:rPr>
        <w:t xml:space="preserve">                      </w:t>
      </w:r>
    </w:p>
    <w:p w14:paraId="5348A8DB">
      <w:pPr>
        <w:spacing w:line="360" w:lineRule="auto"/>
        <w:ind w:firstLine="482"/>
        <w:rPr>
          <w:rFonts w:hint="eastAsia" w:ascii="宋体" w:hAnsi="宋体" w:cs="宋体"/>
          <w:color w:val="auto"/>
          <w:sz w:val="24"/>
        </w:rPr>
      </w:pPr>
      <w:r>
        <w:rPr>
          <w:rFonts w:hint="eastAsia" w:ascii="宋体" w:hAnsi="宋体" w:cs="宋体"/>
          <w:color w:val="auto"/>
          <w:szCs w:val="21"/>
        </w:rPr>
        <w:t>开票内容：</w:t>
      </w:r>
      <w:r>
        <w:rPr>
          <w:rFonts w:hint="eastAsia" w:ascii="宋体" w:hAnsi="宋体" w:cs="宋体"/>
          <w:color w:val="auto"/>
          <w:szCs w:val="21"/>
          <w:u w:val="single"/>
        </w:rPr>
        <w:t xml:space="preserve">                     </w:t>
      </w:r>
    </w:p>
    <w:p w14:paraId="2582C289">
      <w:pPr>
        <w:widowControl/>
        <w:kinsoku w:val="0"/>
        <w:autoSpaceDE w:val="0"/>
        <w:autoSpaceDN w:val="0"/>
        <w:adjustRightInd w:val="0"/>
        <w:snapToGrid w:val="0"/>
        <w:spacing w:line="360" w:lineRule="auto"/>
        <w:ind w:firstLine="422" w:firstLineChars="200"/>
        <w:textAlignment w:val="baseline"/>
        <w:rPr>
          <w:rFonts w:hint="eastAsia" w:ascii="宋体" w:hAnsi="宋体" w:cs="宋体"/>
          <w:color w:val="auto"/>
          <w:szCs w:val="21"/>
        </w:rPr>
      </w:pPr>
      <w:r>
        <w:rPr>
          <w:rFonts w:hint="eastAsia" w:ascii="宋体" w:hAnsi="宋体" w:cs="宋体"/>
          <w:b/>
          <w:bCs/>
          <w:color w:val="auto"/>
          <w:szCs w:val="21"/>
        </w:rPr>
        <w:t>六、违约责任</w:t>
      </w:r>
    </w:p>
    <w:p w14:paraId="246DC79B">
      <w:pPr>
        <w:widowControl/>
        <w:kinsoku w:val="0"/>
        <w:autoSpaceDE w:val="0"/>
        <w:autoSpaceDN w:val="0"/>
        <w:adjustRightInd w:val="0"/>
        <w:snapToGrid w:val="0"/>
        <w:spacing w:line="360" w:lineRule="auto"/>
        <w:ind w:firstLine="420" w:firstLineChars="200"/>
        <w:textAlignment w:val="baseline"/>
        <w:rPr>
          <w:rFonts w:hint="eastAsia" w:ascii="宋体" w:hAnsi="宋体" w:cs="宋体"/>
          <w:color w:val="auto"/>
          <w:szCs w:val="21"/>
        </w:rPr>
      </w:pPr>
      <w:r>
        <w:rPr>
          <w:rFonts w:hint="eastAsia" w:ascii="宋体" w:hAnsi="宋体" w:cs="宋体"/>
          <w:color w:val="auto"/>
          <w:szCs w:val="21"/>
        </w:rPr>
        <w:t>由于乙方原因造成的项目交付成果质量低劣，不能满足采购需求及服务要求，或无法通过最终项目验收时，乙方需按交付成果的未完成工作量占总工作量的百分比，向甲方缴纳合同金额等比例的违约金，甲方有权请第三方继续完善采购需求相关工作内容，所产生的额外费用由乙方承担。</w:t>
      </w:r>
    </w:p>
    <w:p w14:paraId="228F43E0">
      <w:pPr>
        <w:widowControl/>
        <w:kinsoku w:val="0"/>
        <w:autoSpaceDE w:val="0"/>
        <w:autoSpaceDN w:val="0"/>
        <w:adjustRightInd w:val="0"/>
        <w:snapToGrid w:val="0"/>
        <w:spacing w:line="360" w:lineRule="auto"/>
        <w:ind w:firstLine="422" w:firstLineChars="200"/>
        <w:textAlignment w:val="baseline"/>
        <w:rPr>
          <w:rFonts w:hint="eastAsia" w:ascii="宋体" w:hAnsi="宋体" w:cs="宋体"/>
          <w:color w:val="auto"/>
          <w:szCs w:val="21"/>
        </w:rPr>
      </w:pPr>
      <w:r>
        <w:rPr>
          <w:rFonts w:hint="eastAsia" w:ascii="宋体" w:hAnsi="宋体" w:cs="宋体"/>
          <w:b/>
          <w:bCs/>
          <w:color w:val="auto"/>
          <w:szCs w:val="21"/>
        </w:rPr>
        <w:t>七、验收及验收标准</w:t>
      </w:r>
    </w:p>
    <w:p w14:paraId="6D2BB58C">
      <w:pPr>
        <w:widowControl/>
        <w:kinsoku w:val="0"/>
        <w:autoSpaceDE w:val="0"/>
        <w:autoSpaceDN w:val="0"/>
        <w:adjustRightInd w:val="0"/>
        <w:snapToGrid w:val="0"/>
        <w:spacing w:line="360" w:lineRule="auto"/>
        <w:ind w:firstLine="420" w:firstLineChars="200"/>
        <w:textAlignment w:val="baseline"/>
        <w:rPr>
          <w:rFonts w:hint="eastAsia" w:ascii="宋体" w:hAnsi="宋体" w:cs="宋体"/>
          <w:color w:val="auto"/>
          <w:szCs w:val="21"/>
        </w:rPr>
      </w:pPr>
      <w:r>
        <w:rPr>
          <w:rFonts w:hint="eastAsia" w:ascii="宋体" w:hAnsi="宋体" w:cs="宋体"/>
          <w:color w:val="auto"/>
          <w:szCs w:val="21"/>
        </w:rPr>
        <w:t>双方约定的验收日期为</w:t>
      </w:r>
      <w:r>
        <w:rPr>
          <w:rFonts w:hint="eastAsia" w:ascii="宋体" w:hAnsi="宋体" w:cs="宋体"/>
          <w:color w:val="auto"/>
          <w:szCs w:val="21"/>
          <w:u w:val="single"/>
        </w:rPr>
        <w:t xml:space="preserve">         </w:t>
      </w:r>
      <w:r>
        <w:rPr>
          <w:rFonts w:hint="eastAsia" w:ascii="宋体" w:hAnsi="宋体" w:cs="宋体"/>
          <w:color w:val="auto"/>
          <w:szCs w:val="21"/>
        </w:rPr>
        <w:t>。项目验收执行《流动人员人事档案管理服务规范》GB/T 32623-2016、《流动人员人事档案安全管理规范》LD/T 04-2020及国家、行业相关标准规范、合同、采购文件及乙方响应文件条款。</w:t>
      </w:r>
    </w:p>
    <w:p w14:paraId="40E0BF82">
      <w:pPr>
        <w:widowControl/>
        <w:kinsoku w:val="0"/>
        <w:autoSpaceDE w:val="0"/>
        <w:autoSpaceDN w:val="0"/>
        <w:adjustRightInd w:val="0"/>
        <w:snapToGrid w:val="0"/>
        <w:spacing w:line="360" w:lineRule="auto"/>
        <w:ind w:firstLine="422" w:firstLineChars="200"/>
        <w:textAlignment w:val="baseline"/>
        <w:rPr>
          <w:rFonts w:hint="eastAsia" w:ascii="宋体" w:hAnsi="宋体" w:cs="宋体"/>
          <w:color w:val="auto"/>
          <w:szCs w:val="21"/>
        </w:rPr>
      </w:pPr>
      <w:r>
        <w:rPr>
          <w:rFonts w:hint="eastAsia" w:ascii="宋体" w:hAnsi="宋体" w:cs="宋体"/>
          <w:b/>
          <w:bCs/>
          <w:color w:val="auto"/>
          <w:szCs w:val="21"/>
        </w:rPr>
        <w:t>八、保密</w:t>
      </w:r>
    </w:p>
    <w:p w14:paraId="091FBD9D">
      <w:pPr>
        <w:widowControl/>
        <w:kinsoku w:val="0"/>
        <w:autoSpaceDE w:val="0"/>
        <w:autoSpaceDN w:val="0"/>
        <w:adjustRightInd w:val="0"/>
        <w:snapToGrid w:val="0"/>
        <w:spacing w:line="360" w:lineRule="auto"/>
        <w:ind w:firstLine="420" w:firstLineChars="200"/>
        <w:textAlignment w:val="baseline"/>
        <w:rPr>
          <w:rFonts w:hint="eastAsia" w:ascii="宋体" w:hAnsi="宋体" w:cs="宋体"/>
          <w:color w:val="auto"/>
          <w:szCs w:val="21"/>
        </w:rPr>
      </w:pPr>
      <w:r>
        <w:rPr>
          <w:rFonts w:hint="eastAsia" w:ascii="宋体" w:hAnsi="宋体" w:cs="宋体"/>
          <w:color w:val="auto"/>
          <w:szCs w:val="21"/>
        </w:rPr>
        <w:t>双方保证对在讨论、签订、执行本协议过程中所获悉的属于对方的且无法自公开渠道获得的文件资料予以保密。未经该资料和文件的原提供方同意，另一方不得向第三方泄露该秘密的全部或部分内容。但法律、法规另有规定或双方另有约定的除外。</w:t>
      </w:r>
    </w:p>
    <w:p w14:paraId="21B9EC48">
      <w:pPr>
        <w:widowControl/>
        <w:kinsoku w:val="0"/>
        <w:autoSpaceDE w:val="0"/>
        <w:autoSpaceDN w:val="0"/>
        <w:adjustRightInd w:val="0"/>
        <w:snapToGrid w:val="0"/>
        <w:spacing w:line="360" w:lineRule="auto"/>
        <w:ind w:firstLine="422" w:firstLineChars="200"/>
        <w:textAlignment w:val="baseline"/>
        <w:rPr>
          <w:rFonts w:hint="eastAsia" w:ascii="宋体" w:hAnsi="宋体" w:cs="宋体"/>
          <w:color w:val="auto"/>
          <w:szCs w:val="21"/>
        </w:rPr>
      </w:pPr>
      <w:r>
        <w:rPr>
          <w:rFonts w:hint="eastAsia" w:ascii="宋体" w:hAnsi="宋体" w:cs="宋体"/>
          <w:b/>
          <w:bCs/>
          <w:color w:val="auto"/>
          <w:szCs w:val="21"/>
        </w:rPr>
        <w:t>九、争端的解决</w:t>
      </w:r>
    </w:p>
    <w:p w14:paraId="74AA3B21">
      <w:pPr>
        <w:widowControl/>
        <w:kinsoku w:val="0"/>
        <w:autoSpaceDE w:val="0"/>
        <w:autoSpaceDN w:val="0"/>
        <w:adjustRightInd w:val="0"/>
        <w:snapToGrid w:val="0"/>
        <w:spacing w:line="360" w:lineRule="auto"/>
        <w:ind w:firstLine="420" w:firstLineChars="200"/>
        <w:textAlignment w:val="baseline"/>
        <w:rPr>
          <w:rFonts w:hint="eastAsia" w:ascii="宋体" w:hAnsi="宋体" w:cs="宋体"/>
          <w:color w:val="auto"/>
          <w:szCs w:val="21"/>
        </w:rPr>
      </w:pPr>
      <w:r>
        <w:rPr>
          <w:rFonts w:hint="eastAsia" w:ascii="宋体" w:hAnsi="宋体" w:cs="宋体"/>
          <w:color w:val="auto"/>
          <w:szCs w:val="21"/>
        </w:rPr>
        <w:t>合同执行过程中发生的任何争议，如双方不能通过友好协商解决，按相关法律法规处理。</w:t>
      </w:r>
    </w:p>
    <w:p w14:paraId="41AB4AF0">
      <w:pPr>
        <w:widowControl/>
        <w:kinsoku w:val="0"/>
        <w:autoSpaceDE w:val="0"/>
        <w:autoSpaceDN w:val="0"/>
        <w:adjustRightInd w:val="0"/>
        <w:snapToGrid w:val="0"/>
        <w:spacing w:line="360" w:lineRule="auto"/>
        <w:ind w:firstLine="420" w:firstLineChars="200"/>
        <w:textAlignment w:val="baseline"/>
        <w:rPr>
          <w:rFonts w:hint="eastAsia" w:ascii="宋体" w:hAnsi="宋体" w:cs="宋体"/>
          <w:color w:val="auto"/>
          <w:szCs w:val="21"/>
        </w:rPr>
      </w:pPr>
      <w:r>
        <w:rPr>
          <w:rFonts w:hint="eastAsia" w:ascii="宋体" w:hAnsi="宋体" w:cs="宋体"/>
          <w:color w:val="auto"/>
          <w:szCs w:val="21"/>
        </w:rPr>
        <w:t>（1）向（甲方所在地）仲裁委员会申请仲裁；</w:t>
      </w:r>
    </w:p>
    <w:p w14:paraId="6366AD08">
      <w:pPr>
        <w:widowControl/>
        <w:kinsoku w:val="0"/>
        <w:autoSpaceDE w:val="0"/>
        <w:autoSpaceDN w:val="0"/>
        <w:adjustRightInd w:val="0"/>
        <w:snapToGrid w:val="0"/>
        <w:spacing w:line="360" w:lineRule="auto"/>
        <w:ind w:firstLine="420" w:firstLineChars="200"/>
        <w:textAlignment w:val="baseline"/>
        <w:rPr>
          <w:rFonts w:hint="eastAsia" w:ascii="宋体" w:hAnsi="宋体" w:cs="宋体"/>
          <w:color w:val="auto"/>
          <w:szCs w:val="21"/>
        </w:rPr>
      </w:pPr>
      <w:r>
        <w:rPr>
          <w:rFonts w:hint="eastAsia" w:ascii="宋体" w:hAnsi="宋体" w:cs="宋体"/>
          <w:color w:val="auto"/>
          <w:szCs w:val="21"/>
        </w:rPr>
        <w:t>（2）向有管辖权的人民法院提起诉讼。</w:t>
      </w:r>
    </w:p>
    <w:p w14:paraId="7508EF8F">
      <w:pPr>
        <w:widowControl/>
        <w:kinsoku w:val="0"/>
        <w:autoSpaceDE w:val="0"/>
        <w:autoSpaceDN w:val="0"/>
        <w:adjustRightInd w:val="0"/>
        <w:snapToGrid w:val="0"/>
        <w:spacing w:line="360" w:lineRule="auto"/>
        <w:ind w:firstLine="422" w:firstLineChars="200"/>
        <w:textAlignment w:val="baseline"/>
        <w:rPr>
          <w:rFonts w:hint="eastAsia" w:ascii="宋体" w:hAnsi="宋体" w:cs="宋体"/>
          <w:color w:val="auto"/>
          <w:szCs w:val="21"/>
        </w:rPr>
      </w:pPr>
      <w:r>
        <w:rPr>
          <w:rFonts w:hint="eastAsia" w:ascii="宋体" w:hAnsi="宋体" w:cs="宋体"/>
          <w:b/>
          <w:bCs/>
          <w:color w:val="auto"/>
          <w:szCs w:val="21"/>
        </w:rPr>
        <w:t>十、不可抗力</w:t>
      </w:r>
    </w:p>
    <w:p w14:paraId="72DB311D">
      <w:pPr>
        <w:widowControl/>
        <w:kinsoku w:val="0"/>
        <w:autoSpaceDE w:val="0"/>
        <w:autoSpaceDN w:val="0"/>
        <w:adjustRightInd w:val="0"/>
        <w:snapToGrid w:val="0"/>
        <w:spacing w:line="360" w:lineRule="auto"/>
        <w:ind w:firstLine="420" w:firstLineChars="200"/>
        <w:textAlignment w:val="baseline"/>
        <w:rPr>
          <w:rFonts w:hint="eastAsia" w:ascii="宋体" w:hAnsi="宋体" w:cs="宋体"/>
          <w:color w:val="auto"/>
          <w:szCs w:val="21"/>
        </w:rPr>
      </w:pPr>
      <w:r>
        <w:rPr>
          <w:rFonts w:hint="eastAsia" w:ascii="宋体" w:hAnsi="宋体" w:cs="宋体"/>
          <w:color w:val="auto"/>
          <w:szCs w:val="21"/>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5DF82297">
      <w:pPr>
        <w:widowControl/>
        <w:kinsoku w:val="0"/>
        <w:autoSpaceDE w:val="0"/>
        <w:autoSpaceDN w:val="0"/>
        <w:adjustRightInd w:val="0"/>
        <w:snapToGrid w:val="0"/>
        <w:spacing w:line="360" w:lineRule="auto"/>
        <w:ind w:firstLine="422" w:firstLineChars="200"/>
        <w:textAlignment w:val="baseline"/>
        <w:rPr>
          <w:rFonts w:hint="eastAsia" w:ascii="宋体" w:hAnsi="宋体" w:cs="宋体"/>
          <w:color w:val="auto"/>
          <w:szCs w:val="21"/>
        </w:rPr>
      </w:pPr>
      <w:r>
        <w:rPr>
          <w:rFonts w:hint="eastAsia" w:ascii="宋体" w:hAnsi="宋体" w:cs="宋体"/>
          <w:b/>
          <w:bCs/>
          <w:color w:val="auto"/>
          <w:szCs w:val="21"/>
        </w:rPr>
        <w:t>十一、税费</w:t>
      </w:r>
    </w:p>
    <w:p w14:paraId="1353DAD7">
      <w:pPr>
        <w:widowControl/>
        <w:kinsoku w:val="0"/>
        <w:autoSpaceDE w:val="0"/>
        <w:autoSpaceDN w:val="0"/>
        <w:adjustRightInd w:val="0"/>
        <w:snapToGrid w:val="0"/>
        <w:spacing w:line="360" w:lineRule="auto"/>
        <w:ind w:firstLine="420" w:firstLineChars="200"/>
        <w:textAlignment w:val="baseline"/>
        <w:rPr>
          <w:rFonts w:hint="eastAsia" w:ascii="宋体" w:hAnsi="宋体" w:cs="宋体"/>
          <w:color w:val="auto"/>
          <w:szCs w:val="21"/>
        </w:rPr>
      </w:pPr>
      <w:r>
        <w:rPr>
          <w:rFonts w:hint="eastAsia" w:ascii="宋体" w:hAnsi="宋体" w:cs="宋体"/>
          <w:color w:val="auto"/>
          <w:szCs w:val="21"/>
        </w:rPr>
        <w:t>在中国境内、外发生的与本合同执行有关的一切税费均由乙方负担。</w:t>
      </w:r>
    </w:p>
    <w:p w14:paraId="12FF37BC">
      <w:pPr>
        <w:widowControl/>
        <w:kinsoku w:val="0"/>
        <w:autoSpaceDE w:val="0"/>
        <w:autoSpaceDN w:val="0"/>
        <w:adjustRightInd w:val="0"/>
        <w:snapToGrid w:val="0"/>
        <w:spacing w:line="360" w:lineRule="auto"/>
        <w:ind w:firstLine="422" w:firstLineChars="200"/>
        <w:textAlignment w:val="baseline"/>
        <w:rPr>
          <w:rFonts w:hint="eastAsia" w:ascii="宋体" w:hAnsi="宋体" w:cs="宋体"/>
          <w:b/>
          <w:bCs/>
          <w:color w:val="auto"/>
          <w:szCs w:val="21"/>
        </w:rPr>
      </w:pPr>
      <w:r>
        <w:rPr>
          <w:rFonts w:hint="eastAsia" w:ascii="宋体" w:hAnsi="宋体" w:cs="宋体"/>
          <w:b/>
          <w:bCs/>
          <w:color w:val="auto"/>
          <w:szCs w:val="21"/>
        </w:rPr>
        <w:t>十二、其它</w:t>
      </w:r>
    </w:p>
    <w:p w14:paraId="6409E1AA">
      <w:pPr>
        <w:overflowPunct w:val="0"/>
        <w:autoSpaceDE w:val="0"/>
        <w:autoSpaceDN w:val="0"/>
        <w:adjustRightInd w:val="0"/>
        <w:snapToGrid w:val="0"/>
        <w:spacing w:line="360" w:lineRule="auto"/>
        <w:ind w:firstLine="420" w:firstLineChars="200"/>
        <w:textAlignment w:val="baseline"/>
        <w:rPr>
          <w:rFonts w:hint="eastAsia" w:ascii="宋体" w:hAnsi="宋体" w:cs="宋体"/>
          <w:color w:val="auto"/>
          <w:szCs w:val="21"/>
        </w:rPr>
      </w:pPr>
      <w:r>
        <w:rPr>
          <w:rFonts w:hint="eastAsia" w:ascii="宋体" w:hAnsi="宋体" w:cs="宋体"/>
          <w:color w:val="auto"/>
          <w:szCs w:val="21"/>
        </w:rPr>
        <w:t>（1）本合同所有附件及中标通知书均为合同的有效组成部分，与本合同具有同等法律效力；</w:t>
      </w:r>
    </w:p>
    <w:p w14:paraId="6A2323B4">
      <w:pPr>
        <w:overflowPunct w:val="0"/>
        <w:autoSpaceDE w:val="0"/>
        <w:autoSpaceDN w:val="0"/>
        <w:adjustRightInd w:val="0"/>
        <w:snapToGrid w:val="0"/>
        <w:spacing w:line="360" w:lineRule="auto"/>
        <w:ind w:firstLine="420" w:firstLineChars="200"/>
        <w:textAlignment w:val="baseline"/>
        <w:rPr>
          <w:rFonts w:hint="eastAsia" w:ascii="宋体" w:hAnsi="宋体" w:cs="宋体"/>
          <w:color w:val="auto"/>
          <w:szCs w:val="21"/>
        </w:rPr>
      </w:pPr>
      <w:r>
        <w:rPr>
          <w:rFonts w:hint="eastAsia" w:ascii="宋体" w:hAnsi="宋体" w:cs="宋体"/>
          <w:color w:val="auto"/>
          <w:szCs w:val="21"/>
        </w:rPr>
        <w:t>（2）在执行本合同的过程中，所有经双方签署确认的文件（包括会议纪要、补充协议、往来信函）即成为本合同的有效组成部分；</w:t>
      </w:r>
    </w:p>
    <w:p w14:paraId="611D8E46">
      <w:pPr>
        <w:overflowPunct w:val="0"/>
        <w:autoSpaceDE w:val="0"/>
        <w:autoSpaceDN w:val="0"/>
        <w:adjustRightInd w:val="0"/>
        <w:snapToGrid w:val="0"/>
        <w:spacing w:line="360" w:lineRule="auto"/>
        <w:ind w:firstLine="420" w:firstLineChars="200"/>
        <w:textAlignment w:val="baseline"/>
        <w:rPr>
          <w:rFonts w:hint="eastAsia" w:ascii="宋体" w:hAnsi="宋体" w:cs="宋体"/>
          <w:color w:val="auto"/>
          <w:szCs w:val="21"/>
        </w:rPr>
      </w:pPr>
      <w:r>
        <w:rPr>
          <w:rFonts w:hint="eastAsia" w:ascii="宋体" w:hAnsi="宋体" w:cs="宋体"/>
          <w:color w:val="auto"/>
          <w:szCs w:val="21"/>
        </w:rPr>
        <w:t>（3）如一方地址、电话、传真号码有变更，应在变更当日内书面通知对方，否则，应承担相应责任；</w:t>
      </w:r>
    </w:p>
    <w:p w14:paraId="45E8041F">
      <w:pPr>
        <w:widowControl/>
        <w:kinsoku w:val="0"/>
        <w:autoSpaceDE w:val="0"/>
        <w:autoSpaceDN w:val="0"/>
        <w:adjustRightInd w:val="0"/>
        <w:snapToGrid w:val="0"/>
        <w:spacing w:line="360" w:lineRule="auto"/>
        <w:ind w:firstLine="420" w:firstLineChars="200"/>
        <w:textAlignment w:val="baseline"/>
        <w:rPr>
          <w:rFonts w:hint="eastAsia" w:ascii="宋体" w:hAnsi="宋体" w:cs="宋体"/>
          <w:color w:val="auto"/>
          <w:szCs w:val="21"/>
        </w:rPr>
      </w:pPr>
      <w:r>
        <w:rPr>
          <w:rFonts w:hint="eastAsia" w:ascii="宋体" w:hAnsi="宋体" w:cs="宋体"/>
          <w:color w:val="auto"/>
          <w:szCs w:val="21"/>
        </w:rPr>
        <w:t>（4）乙方不得部分或全部转让其应履行的合同项下的义务。</w:t>
      </w:r>
    </w:p>
    <w:p w14:paraId="70F2FA4B">
      <w:pPr>
        <w:widowControl/>
        <w:kinsoku w:val="0"/>
        <w:autoSpaceDE w:val="0"/>
        <w:autoSpaceDN w:val="0"/>
        <w:adjustRightInd w:val="0"/>
        <w:snapToGrid w:val="0"/>
        <w:spacing w:line="360" w:lineRule="auto"/>
        <w:ind w:firstLine="422" w:firstLineChars="200"/>
        <w:textAlignment w:val="baseline"/>
        <w:rPr>
          <w:rFonts w:hint="eastAsia" w:ascii="宋体" w:hAnsi="宋体" w:cs="宋体"/>
          <w:b/>
          <w:bCs/>
          <w:color w:val="auto"/>
          <w:szCs w:val="21"/>
        </w:rPr>
      </w:pPr>
      <w:r>
        <w:rPr>
          <w:rFonts w:hint="eastAsia" w:ascii="宋体" w:hAnsi="宋体" w:cs="宋体"/>
          <w:b/>
          <w:bCs/>
          <w:color w:val="auto"/>
          <w:szCs w:val="21"/>
        </w:rPr>
        <w:t>十三、合同生效</w:t>
      </w:r>
    </w:p>
    <w:p w14:paraId="3478F1B4">
      <w:pPr>
        <w:widowControl/>
        <w:kinsoku w:val="0"/>
        <w:autoSpaceDE w:val="0"/>
        <w:autoSpaceDN w:val="0"/>
        <w:adjustRightInd w:val="0"/>
        <w:snapToGrid w:val="0"/>
        <w:spacing w:line="360" w:lineRule="auto"/>
        <w:ind w:firstLine="420" w:firstLineChars="200"/>
        <w:textAlignment w:val="baseline"/>
        <w:rPr>
          <w:rFonts w:hint="eastAsia" w:ascii="宋体" w:hAnsi="宋体" w:cs="宋体"/>
          <w:color w:val="auto"/>
          <w:szCs w:val="21"/>
        </w:rPr>
      </w:pPr>
      <w:r>
        <w:rPr>
          <w:rFonts w:hint="eastAsia" w:ascii="宋体" w:hAnsi="宋体" w:cs="宋体"/>
          <w:color w:val="auto"/>
          <w:szCs w:val="21"/>
        </w:rPr>
        <w:t>（1）乙方应取得甲方的签字盖章后，合同才正式生效；</w:t>
      </w:r>
    </w:p>
    <w:p w14:paraId="1EDD53F2">
      <w:pPr>
        <w:widowControl/>
        <w:spacing w:line="360" w:lineRule="auto"/>
        <w:ind w:firstLine="420" w:firstLineChars="200"/>
        <w:jc w:val="left"/>
        <w:rPr>
          <w:rFonts w:hint="eastAsia" w:ascii="宋体" w:hAnsi="宋体"/>
          <w:bCs/>
          <w:color w:val="auto"/>
          <w:szCs w:val="21"/>
        </w:rPr>
      </w:pPr>
      <w:r>
        <w:rPr>
          <w:rFonts w:hint="eastAsia" w:ascii="宋体" w:hAnsi="宋体" w:cs="宋体"/>
          <w:color w:val="auto"/>
          <w:szCs w:val="21"/>
        </w:rPr>
        <w:t>（2）本合同一式五份，</w:t>
      </w:r>
      <w:r>
        <w:rPr>
          <w:rFonts w:hint="eastAsia" w:ascii="宋体" w:hAnsi="宋体" w:cs="宋体"/>
          <w:bCs/>
          <w:color w:val="auto"/>
          <w:szCs w:val="24"/>
        </w:rPr>
        <w:t>甲执三份，乙执二份。经甲乙双方签字盖章后生效。</w:t>
      </w:r>
    </w:p>
    <w:p w14:paraId="2BEA1E51">
      <w:pPr>
        <w:rPr>
          <w:rFonts w:hint="eastAsia" w:ascii="宋体" w:hAnsi="宋体"/>
          <w:color w:val="auto"/>
          <w:szCs w:val="21"/>
        </w:rPr>
      </w:pPr>
      <w:r>
        <w:rPr>
          <w:rFonts w:hint="eastAsia" w:ascii="宋体" w:hAnsi="宋体"/>
          <w:color w:val="auto"/>
          <w:szCs w:val="21"/>
        </w:rPr>
        <w:br w:type="page"/>
      </w:r>
    </w:p>
    <w:bookmarkEnd w:id="1066"/>
    <w:bookmarkEnd w:id="1067"/>
    <w:bookmarkEnd w:id="1068"/>
    <w:bookmarkEnd w:id="1069"/>
    <w:bookmarkEnd w:id="1073"/>
    <w:p w14:paraId="4F99D421">
      <w:pPr>
        <w:spacing w:line="360" w:lineRule="auto"/>
        <w:jc w:val="center"/>
        <w:outlineLvl w:val="0"/>
        <w:rPr>
          <w:rFonts w:hint="eastAsia" w:ascii="宋体" w:hAnsi="宋体" w:cs="宋体"/>
          <w:b/>
          <w:bCs/>
          <w:color w:val="auto"/>
          <w:sz w:val="32"/>
          <w:szCs w:val="32"/>
        </w:rPr>
      </w:pPr>
      <w:bookmarkStart w:id="1074" w:name="_Toc957756138"/>
      <w:bookmarkStart w:id="1075" w:name="_Toc92312811"/>
      <w:bookmarkStart w:id="1076" w:name="_Toc42205043"/>
      <w:bookmarkStart w:id="1077" w:name="_Toc24540"/>
      <w:bookmarkStart w:id="1078" w:name="_Toc37603115"/>
      <w:bookmarkStart w:id="1079" w:name="_Toc29357077"/>
      <w:bookmarkStart w:id="1080" w:name="_Toc140508239"/>
      <w:r>
        <w:rPr>
          <w:rFonts w:hint="eastAsia" w:ascii="宋体" w:hAnsi="宋体" w:cs="宋体"/>
          <w:b/>
          <w:bCs/>
          <w:color w:val="auto"/>
          <w:sz w:val="32"/>
          <w:szCs w:val="32"/>
        </w:rPr>
        <w:t>第四章 响应文件格式</w:t>
      </w:r>
      <w:bookmarkEnd w:id="1074"/>
    </w:p>
    <w:p w14:paraId="5B6BD37F">
      <w:pPr>
        <w:spacing w:line="360" w:lineRule="auto"/>
        <w:jc w:val="center"/>
        <w:rPr>
          <w:rFonts w:hint="eastAsia" w:ascii="宋体" w:hAnsi="宋体" w:cs="宋体"/>
          <w:color w:val="auto"/>
          <w:sz w:val="44"/>
          <w:szCs w:val="44"/>
        </w:rPr>
      </w:pPr>
      <w:bookmarkStart w:id="1081" w:name="_Hlk521082080"/>
      <w:bookmarkStart w:id="1082" w:name="_Toc292983027"/>
      <w:bookmarkStart w:id="1083" w:name="_Toc381796416"/>
      <w:bookmarkStart w:id="1084" w:name="_Toc37603116"/>
      <w:bookmarkStart w:id="1085" w:name="_Toc292983029"/>
      <w:bookmarkStart w:id="1086" w:name="_Toc265766858"/>
      <w:bookmarkStart w:id="1087" w:name="_Toc14337"/>
      <w:bookmarkStart w:id="1088" w:name="_Toc186354393"/>
      <w:bookmarkStart w:id="1089" w:name="_Toc84356306"/>
      <w:bookmarkStart w:id="1090" w:name="_Toc381796417"/>
      <w:bookmarkStart w:id="1091" w:name="_Toc42205044"/>
      <w:r>
        <w:rPr>
          <w:rFonts w:hint="eastAsia" w:ascii="宋体" w:hAnsi="宋体" w:cs="宋体"/>
          <w:b/>
          <w:bCs/>
          <w:color w:val="auto"/>
          <w:sz w:val="44"/>
          <w:szCs w:val="44"/>
        </w:rPr>
        <w:t>安宁市2026年流动人员人事档案管理服务项目</w:t>
      </w:r>
    </w:p>
    <w:p w14:paraId="529DA35A">
      <w:pPr>
        <w:spacing w:line="360" w:lineRule="auto"/>
        <w:jc w:val="center"/>
        <w:rPr>
          <w:rFonts w:hint="eastAsia" w:ascii="宋体" w:hAnsi="宋体" w:cs="宋体"/>
          <w:color w:val="auto"/>
          <w:sz w:val="24"/>
          <w:szCs w:val="24"/>
        </w:rPr>
      </w:pPr>
    </w:p>
    <w:p w14:paraId="049082F9">
      <w:pPr>
        <w:spacing w:line="360" w:lineRule="auto"/>
        <w:jc w:val="center"/>
        <w:rPr>
          <w:rFonts w:hint="eastAsia" w:ascii="宋体" w:hAnsi="宋体" w:cs="宋体"/>
          <w:color w:val="auto"/>
          <w:sz w:val="24"/>
          <w:szCs w:val="24"/>
        </w:rPr>
      </w:pPr>
    </w:p>
    <w:p w14:paraId="36FD44AD">
      <w:pPr>
        <w:spacing w:line="360" w:lineRule="auto"/>
        <w:jc w:val="center"/>
        <w:rPr>
          <w:rFonts w:hint="eastAsia" w:ascii="宋体" w:hAnsi="宋体" w:cs="宋体"/>
          <w:color w:val="auto"/>
          <w:sz w:val="24"/>
          <w:szCs w:val="24"/>
        </w:rPr>
      </w:pPr>
    </w:p>
    <w:p w14:paraId="2D407FDC">
      <w:pPr>
        <w:spacing w:line="360" w:lineRule="auto"/>
        <w:jc w:val="center"/>
        <w:rPr>
          <w:rFonts w:hint="eastAsia" w:ascii="宋体" w:hAnsi="宋体" w:cs="宋体"/>
          <w:color w:val="auto"/>
          <w:sz w:val="24"/>
          <w:szCs w:val="24"/>
        </w:rPr>
      </w:pPr>
    </w:p>
    <w:p w14:paraId="1E75DAB0">
      <w:pPr>
        <w:spacing w:line="360" w:lineRule="auto"/>
        <w:jc w:val="center"/>
        <w:rPr>
          <w:rFonts w:hint="eastAsia" w:ascii="宋体" w:hAnsi="宋体" w:cs="宋体"/>
          <w:color w:val="auto"/>
          <w:sz w:val="24"/>
          <w:szCs w:val="24"/>
        </w:rPr>
      </w:pPr>
    </w:p>
    <w:p w14:paraId="2A535B85">
      <w:pPr>
        <w:spacing w:line="360" w:lineRule="auto"/>
        <w:jc w:val="center"/>
        <w:rPr>
          <w:rFonts w:hint="eastAsia" w:ascii="宋体" w:hAnsi="宋体" w:cs="宋体"/>
          <w:color w:val="auto"/>
          <w:sz w:val="24"/>
          <w:szCs w:val="24"/>
        </w:rPr>
      </w:pPr>
    </w:p>
    <w:p w14:paraId="5AEABF07">
      <w:pPr>
        <w:spacing w:line="360" w:lineRule="auto"/>
        <w:jc w:val="center"/>
        <w:rPr>
          <w:rFonts w:hint="eastAsia" w:ascii="宋体" w:hAnsi="宋体" w:cs="宋体"/>
          <w:color w:val="auto"/>
          <w:sz w:val="24"/>
          <w:szCs w:val="24"/>
        </w:rPr>
      </w:pPr>
    </w:p>
    <w:p w14:paraId="7AAF54D8">
      <w:pPr>
        <w:pStyle w:val="66"/>
        <w:rPr>
          <w:rFonts w:hint="eastAsia" w:ascii="宋体" w:hAnsi="宋体" w:eastAsia="宋体" w:cs="宋体"/>
          <w:color w:val="auto"/>
        </w:rPr>
      </w:pPr>
    </w:p>
    <w:p w14:paraId="3356D27D">
      <w:pPr>
        <w:pStyle w:val="66"/>
        <w:rPr>
          <w:rFonts w:hint="eastAsia" w:ascii="宋体" w:hAnsi="宋体" w:eastAsia="宋体" w:cs="宋体"/>
          <w:color w:val="auto"/>
        </w:rPr>
      </w:pPr>
    </w:p>
    <w:p w14:paraId="24D5CE2B">
      <w:pPr>
        <w:pStyle w:val="29"/>
        <w:jc w:val="center"/>
        <w:rPr>
          <w:rFonts w:hint="eastAsia" w:hAnsi="宋体" w:cs="宋体"/>
          <w:b/>
          <w:bCs/>
          <w:color w:val="auto"/>
          <w:sz w:val="72"/>
          <w:szCs w:val="72"/>
        </w:rPr>
      </w:pPr>
      <w:r>
        <w:rPr>
          <w:rFonts w:hint="eastAsia" w:hAnsi="宋体" w:cs="宋体"/>
          <w:b/>
          <w:bCs/>
          <w:color w:val="auto"/>
          <w:sz w:val="72"/>
          <w:szCs w:val="72"/>
        </w:rPr>
        <w:t>响 应 文 件</w:t>
      </w:r>
    </w:p>
    <w:p w14:paraId="39530969">
      <w:pPr>
        <w:spacing w:before="120" w:beforeLines="50" w:line="360" w:lineRule="auto"/>
        <w:jc w:val="center"/>
        <w:rPr>
          <w:rFonts w:hint="eastAsia" w:ascii="宋体" w:hAnsi="宋体" w:cs="宋体"/>
          <w:b/>
          <w:color w:val="auto"/>
          <w:sz w:val="32"/>
          <w:szCs w:val="32"/>
        </w:rPr>
      </w:pPr>
      <w:r>
        <w:rPr>
          <w:rFonts w:hint="eastAsia" w:ascii="宋体" w:hAnsi="宋体" w:cs="宋体"/>
          <w:b/>
          <w:color w:val="auto"/>
          <w:sz w:val="32"/>
          <w:szCs w:val="32"/>
        </w:rPr>
        <w:t>项目编号：YNMY-2026-0133</w:t>
      </w:r>
    </w:p>
    <w:p w14:paraId="419CC70E">
      <w:pPr>
        <w:spacing w:line="360" w:lineRule="auto"/>
        <w:jc w:val="center"/>
        <w:rPr>
          <w:rFonts w:hint="eastAsia" w:ascii="宋体" w:hAnsi="宋体" w:cs="宋体"/>
          <w:color w:val="auto"/>
          <w:sz w:val="24"/>
        </w:rPr>
      </w:pPr>
    </w:p>
    <w:p w14:paraId="368D299F">
      <w:pPr>
        <w:spacing w:line="360" w:lineRule="auto"/>
        <w:jc w:val="center"/>
        <w:rPr>
          <w:rFonts w:hint="eastAsia" w:ascii="宋体" w:hAnsi="宋体" w:cs="宋体"/>
          <w:color w:val="auto"/>
          <w:sz w:val="24"/>
        </w:rPr>
      </w:pPr>
    </w:p>
    <w:p w14:paraId="608281D1">
      <w:pPr>
        <w:spacing w:line="360" w:lineRule="auto"/>
        <w:jc w:val="center"/>
        <w:rPr>
          <w:rFonts w:hint="eastAsia" w:ascii="宋体" w:hAnsi="宋体" w:cs="宋体"/>
          <w:color w:val="auto"/>
          <w:sz w:val="24"/>
        </w:rPr>
      </w:pPr>
    </w:p>
    <w:p w14:paraId="09BB0C97">
      <w:pPr>
        <w:spacing w:line="360" w:lineRule="auto"/>
        <w:jc w:val="center"/>
        <w:rPr>
          <w:rFonts w:hint="eastAsia" w:ascii="宋体" w:hAnsi="宋体" w:cs="宋体"/>
          <w:color w:val="auto"/>
          <w:sz w:val="24"/>
        </w:rPr>
      </w:pPr>
    </w:p>
    <w:p w14:paraId="67DEB247">
      <w:pPr>
        <w:spacing w:line="360" w:lineRule="auto"/>
        <w:jc w:val="center"/>
        <w:rPr>
          <w:rFonts w:hint="eastAsia" w:ascii="宋体" w:hAnsi="宋体" w:cs="宋体"/>
          <w:color w:val="auto"/>
          <w:sz w:val="24"/>
        </w:rPr>
      </w:pPr>
    </w:p>
    <w:p w14:paraId="656A3B30">
      <w:pPr>
        <w:spacing w:line="360" w:lineRule="auto"/>
        <w:rPr>
          <w:rFonts w:hint="eastAsia" w:ascii="宋体" w:hAnsi="宋体" w:cs="宋体"/>
          <w:color w:val="auto"/>
          <w:sz w:val="24"/>
        </w:rPr>
      </w:pPr>
    </w:p>
    <w:p w14:paraId="376D81C5">
      <w:pPr>
        <w:pStyle w:val="66"/>
        <w:rPr>
          <w:rFonts w:hint="eastAsia" w:ascii="宋体" w:hAnsi="宋体" w:eastAsia="宋体" w:cs="宋体"/>
          <w:color w:val="auto"/>
        </w:rPr>
      </w:pPr>
    </w:p>
    <w:p w14:paraId="7F183A87">
      <w:pPr>
        <w:pStyle w:val="66"/>
        <w:rPr>
          <w:rFonts w:hint="eastAsia" w:ascii="宋体" w:hAnsi="宋体" w:eastAsia="宋体" w:cs="宋体"/>
          <w:color w:val="auto"/>
        </w:rPr>
      </w:pPr>
    </w:p>
    <w:p w14:paraId="5F8A56AF">
      <w:pPr>
        <w:spacing w:line="360" w:lineRule="auto"/>
        <w:rPr>
          <w:rFonts w:hint="eastAsia" w:ascii="宋体" w:hAnsi="宋体" w:cs="宋体"/>
          <w:color w:val="auto"/>
          <w:sz w:val="24"/>
        </w:rPr>
      </w:pPr>
    </w:p>
    <w:p w14:paraId="592C6B56">
      <w:pPr>
        <w:spacing w:line="360" w:lineRule="auto"/>
        <w:rPr>
          <w:rFonts w:hint="eastAsia" w:ascii="宋体" w:hAnsi="宋体" w:cs="宋体"/>
          <w:color w:val="auto"/>
          <w:sz w:val="24"/>
        </w:rPr>
      </w:pPr>
    </w:p>
    <w:p w14:paraId="181EB470">
      <w:pPr>
        <w:spacing w:line="360" w:lineRule="auto"/>
        <w:ind w:firstLine="1314" w:firstLineChars="409"/>
        <w:jc w:val="left"/>
        <w:rPr>
          <w:rFonts w:hint="eastAsia" w:ascii="宋体" w:hAnsi="宋体" w:cs="宋体"/>
          <w:b/>
          <w:bCs/>
          <w:color w:val="auto"/>
          <w:sz w:val="32"/>
          <w:szCs w:val="32"/>
        </w:rPr>
      </w:pPr>
      <w:r>
        <w:rPr>
          <w:rFonts w:hint="eastAsia" w:ascii="宋体" w:hAnsi="宋体" w:cs="宋体"/>
          <w:b/>
          <w:bCs/>
          <w:color w:val="auto"/>
          <w:sz w:val="32"/>
          <w:szCs w:val="32"/>
        </w:rPr>
        <w:t>供应商（电子签章）：</w:t>
      </w:r>
      <w:r>
        <w:rPr>
          <w:rFonts w:hint="eastAsia" w:ascii="宋体" w:hAnsi="宋体" w:cs="宋体"/>
          <w:b/>
          <w:bCs/>
          <w:color w:val="auto"/>
          <w:sz w:val="32"/>
          <w:szCs w:val="32"/>
          <w:u w:val="single"/>
        </w:rPr>
        <w:t xml:space="preserve">                    </w:t>
      </w:r>
    </w:p>
    <w:p w14:paraId="6CFCD944">
      <w:pPr>
        <w:spacing w:line="360" w:lineRule="auto"/>
        <w:ind w:firstLine="1279" w:firstLineChars="398"/>
        <w:jc w:val="left"/>
        <w:rPr>
          <w:rFonts w:hint="eastAsia" w:ascii="宋体" w:hAnsi="宋体" w:cs="宋体"/>
          <w:b/>
          <w:bCs/>
          <w:color w:val="auto"/>
          <w:sz w:val="32"/>
          <w:szCs w:val="32"/>
        </w:rPr>
      </w:pPr>
      <w:r>
        <w:rPr>
          <w:rFonts w:hint="eastAsia" w:ascii="宋体" w:hAnsi="宋体" w:cs="宋体"/>
          <w:b/>
          <w:bCs/>
          <w:color w:val="auto"/>
          <w:sz w:val="32"/>
          <w:szCs w:val="32"/>
        </w:rPr>
        <w:t>法定代表人（电子签章）：</w:t>
      </w:r>
      <w:r>
        <w:rPr>
          <w:rFonts w:hint="eastAsia" w:ascii="宋体" w:hAnsi="宋体" w:cs="宋体"/>
          <w:b/>
          <w:bCs/>
          <w:color w:val="auto"/>
          <w:sz w:val="32"/>
          <w:szCs w:val="32"/>
          <w:u w:val="single"/>
        </w:rPr>
        <w:t xml:space="preserve">                </w:t>
      </w:r>
    </w:p>
    <w:p w14:paraId="3B2808D4">
      <w:pPr>
        <w:spacing w:line="360" w:lineRule="auto"/>
        <w:ind w:firstLine="2731" w:firstLineChars="850"/>
        <w:jc w:val="left"/>
        <w:rPr>
          <w:rFonts w:hint="eastAsia" w:ascii="宋体" w:hAnsi="宋体" w:cs="宋体"/>
          <w:b/>
          <w:bCs/>
          <w:color w:val="auto"/>
          <w:sz w:val="32"/>
          <w:szCs w:val="32"/>
        </w:rPr>
      </w:pPr>
      <w:r>
        <w:rPr>
          <w:rFonts w:hint="eastAsia" w:ascii="宋体" w:hAnsi="宋体" w:cs="宋体"/>
          <w:b/>
          <w:bCs/>
          <w:color w:val="auto"/>
          <w:sz w:val="32"/>
          <w:szCs w:val="32"/>
          <w:u w:val="single"/>
        </w:rPr>
        <w:t xml:space="preserve">      </w:t>
      </w:r>
      <w:r>
        <w:rPr>
          <w:rFonts w:hint="eastAsia" w:ascii="宋体" w:hAnsi="宋体" w:cs="宋体"/>
          <w:b/>
          <w:bCs/>
          <w:color w:val="auto"/>
          <w:sz w:val="32"/>
          <w:szCs w:val="32"/>
        </w:rPr>
        <w:t>年</w:t>
      </w:r>
      <w:r>
        <w:rPr>
          <w:rFonts w:hint="eastAsia" w:ascii="宋体" w:hAnsi="宋体" w:cs="宋体"/>
          <w:b/>
          <w:bCs/>
          <w:color w:val="auto"/>
          <w:sz w:val="32"/>
          <w:szCs w:val="32"/>
          <w:u w:val="single"/>
        </w:rPr>
        <w:t xml:space="preserve">     </w:t>
      </w:r>
      <w:r>
        <w:rPr>
          <w:rFonts w:hint="eastAsia" w:ascii="宋体" w:hAnsi="宋体" w:cs="宋体"/>
          <w:b/>
          <w:bCs/>
          <w:color w:val="auto"/>
          <w:sz w:val="32"/>
          <w:szCs w:val="32"/>
        </w:rPr>
        <w:t>月</w:t>
      </w:r>
      <w:r>
        <w:rPr>
          <w:rFonts w:hint="eastAsia" w:ascii="宋体" w:hAnsi="宋体" w:cs="宋体"/>
          <w:b/>
          <w:bCs/>
          <w:color w:val="auto"/>
          <w:sz w:val="32"/>
          <w:szCs w:val="32"/>
          <w:u w:val="single"/>
        </w:rPr>
        <w:t xml:space="preserve">     </w:t>
      </w:r>
      <w:r>
        <w:rPr>
          <w:rFonts w:hint="eastAsia" w:ascii="宋体" w:hAnsi="宋体" w:cs="宋体"/>
          <w:b/>
          <w:bCs/>
          <w:color w:val="auto"/>
          <w:sz w:val="32"/>
          <w:szCs w:val="32"/>
        </w:rPr>
        <w:t>日</w:t>
      </w:r>
      <w:bookmarkEnd w:id="1081"/>
      <w:bookmarkEnd w:id="1082"/>
      <w:bookmarkEnd w:id="1083"/>
      <w:r>
        <w:rPr>
          <w:rFonts w:hint="eastAsia" w:ascii="宋体" w:hAnsi="宋体" w:cs="宋体"/>
          <w:b/>
          <w:color w:val="auto"/>
          <w:kern w:val="0"/>
          <w:sz w:val="32"/>
          <w:szCs w:val="32"/>
        </w:rPr>
        <w:br w:type="page"/>
      </w:r>
    </w:p>
    <w:p w14:paraId="09E78210">
      <w:pPr>
        <w:spacing w:line="360" w:lineRule="auto"/>
        <w:jc w:val="center"/>
        <w:outlineLvl w:val="1"/>
        <w:rPr>
          <w:rFonts w:hint="eastAsia" w:ascii="宋体" w:hAnsi="宋体" w:cs="宋体"/>
          <w:b/>
          <w:color w:val="auto"/>
          <w:sz w:val="30"/>
          <w:szCs w:val="30"/>
        </w:rPr>
      </w:pPr>
      <w:bookmarkStart w:id="1092" w:name="_Toc783898445"/>
      <w:bookmarkStart w:id="1093" w:name="_Toc128658855"/>
      <w:r>
        <w:rPr>
          <w:rFonts w:hint="eastAsia" w:ascii="宋体" w:hAnsi="宋体" w:cs="宋体"/>
          <w:b/>
          <w:color w:val="auto"/>
          <w:sz w:val="30"/>
          <w:szCs w:val="30"/>
        </w:rPr>
        <w:t>开标一览表</w:t>
      </w:r>
      <w:bookmarkEnd w:id="1092"/>
    </w:p>
    <w:tbl>
      <w:tblPr>
        <w:tblStyle w:val="55"/>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7229"/>
      </w:tblGrid>
      <w:tr w14:paraId="007AE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7" w:hRule="atLeast"/>
          <w:jc w:val="center"/>
        </w:trPr>
        <w:tc>
          <w:tcPr>
            <w:tcW w:w="1980" w:type="dxa"/>
            <w:vAlign w:val="center"/>
          </w:tcPr>
          <w:p w14:paraId="11755983">
            <w:pPr>
              <w:spacing w:before="120" w:after="120"/>
              <w:jc w:val="center"/>
              <w:rPr>
                <w:rFonts w:hint="eastAsia" w:ascii="宋体" w:hAnsi="宋体" w:cs="宋体"/>
                <w:color w:val="auto"/>
                <w:szCs w:val="21"/>
              </w:rPr>
            </w:pPr>
            <w:r>
              <w:rPr>
                <w:rFonts w:hint="eastAsia" w:ascii="宋体" w:hAnsi="宋体" w:cs="宋体"/>
                <w:color w:val="auto"/>
                <w:szCs w:val="21"/>
              </w:rPr>
              <w:t>项目名称</w:t>
            </w:r>
          </w:p>
        </w:tc>
        <w:tc>
          <w:tcPr>
            <w:tcW w:w="7229" w:type="dxa"/>
            <w:vAlign w:val="center"/>
          </w:tcPr>
          <w:p w14:paraId="5DF7A4D2">
            <w:pPr>
              <w:wordWrap w:val="0"/>
              <w:rPr>
                <w:rFonts w:hint="eastAsia" w:ascii="宋体" w:hAnsi="宋体" w:cs="宋体"/>
                <w:color w:val="auto"/>
                <w:szCs w:val="21"/>
              </w:rPr>
            </w:pPr>
          </w:p>
        </w:tc>
      </w:tr>
      <w:tr w14:paraId="0F982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980" w:type="dxa"/>
            <w:vAlign w:val="center"/>
          </w:tcPr>
          <w:p w14:paraId="0645ACE1">
            <w:pPr>
              <w:spacing w:before="120" w:after="120"/>
              <w:jc w:val="center"/>
              <w:rPr>
                <w:rFonts w:hint="eastAsia" w:ascii="宋体" w:hAnsi="宋体" w:cs="宋体"/>
                <w:color w:val="auto"/>
                <w:szCs w:val="21"/>
              </w:rPr>
            </w:pPr>
            <w:r>
              <w:rPr>
                <w:rFonts w:hint="eastAsia" w:ascii="宋体" w:hAnsi="宋体" w:cs="宋体"/>
                <w:color w:val="auto"/>
                <w:szCs w:val="21"/>
              </w:rPr>
              <w:t>磋商报价</w:t>
            </w:r>
          </w:p>
        </w:tc>
        <w:tc>
          <w:tcPr>
            <w:tcW w:w="7229" w:type="dxa"/>
            <w:vAlign w:val="center"/>
          </w:tcPr>
          <w:p w14:paraId="3A05E7BE">
            <w:pPr>
              <w:spacing w:before="120" w:beforeLines="50" w:line="360" w:lineRule="auto"/>
              <w:jc w:val="center"/>
              <w:rPr>
                <w:rFonts w:hint="eastAsia" w:ascii="宋体" w:hAnsi="宋体" w:cs="宋体"/>
                <w:color w:val="auto"/>
                <w:szCs w:val="21"/>
              </w:rPr>
            </w:pPr>
            <w:r>
              <w:rPr>
                <w:rFonts w:hint="eastAsia" w:ascii="宋体" w:hAnsi="宋体" w:cs="宋体"/>
                <w:color w:val="auto"/>
                <w:szCs w:val="21"/>
              </w:rPr>
              <w:t>小写：¥</w:t>
            </w:r>
            <w:r>
              <w:rPr>
                <w:rFonts w:hint="eastAsia" w:ascii="宋体" w:hAnsi="宋体" w:cs="宋体"/>
                <w:color w:val="auto"/>
                <w:szCs w:val="21"/>
                <w:u w:val="single"/>
              </w:rPr>
              <w:t xml:space="preserve">             </w:t>
            </w:r>
            <w:r>
              <w:rPr>
                <w:rFonts w:hint="eastAsia" w:ascii="宋体" w:hAnsi="宋体" w:cs="宋体"/>
                <w:color w:val="auto"/>
                <w:szCs w:val="21"/>
              </w:rPr>
              <w:t>元；大写：</w:t>
            </w:r>
            <w:r>
              <w:rPr>
                <w:rFonts w:hint="eastAsia" w:ascii="宋体" w:hAnsi="宋体" w:cs="宋体"/>
                <w:color w:val="auto"/>
                <w:szCs w:val="21"/>
                <w:u w:val="single"/>
              </w:rPr>
              <w:t xml:space="preserve">            </w:t>
            </w:r>
            <w:r>
              <w:rPr>
                <w:rFonts w:hint="eastAsia" w:ascii="宋体" w:hAnsi="宋体" w:cs="宋体"/>
                <w:color w:val="auto"/>
                <w:szCs w:val="21"/>
              </w:rPr>
              <w:t>。</w:t>
            </w:r>
          </w:p>
        </w:tc>
      </w:tr>
      <w:tr w14:paraId="2C766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1980" w:type="dxa"/>
            <w:vAlign w:val="center"/>
          </w:tcPr>
          <w:p w14:paraId="5AD9A579">
            <w:pPr>
              <w:spacing w:before="120" w:after="120"/>
              <w:jc w:val="center"/>
              <w:rPr>
                <w:rFonts w:hint="eastAsia" w:ascii="宋体" w:hAnsi="宋体" w:cs="宋体"/>
                <w:color w:val="auto"/>
                <w:szCs w:val="21"/>
              </w:rPr>
            </w:pPr>
            <w:r>
              <w:rPr>
                <w:rFonts w:hint="eastAsia" w:ascii="宋体" w:hAnsi="宋体" w:cs="宋体"/>
                <w:color w:val="auto"/>
                <w:szCs w:val="21"/>
              </w:rPr>
              <w:t>质量标准</w:t>
            </w:r>
          </w:p>
        </w:tc>
        <w:tc>
          <w:tcPr>
            <w:tcW w:w="7229" w:type="dxa"/>
            <w:vAlign w:val="center"/>
          </w:tcPr>
          <w:p w14:paraId="6AADE6A6">
            <w:pPr>
              <w:spacing w:before="120" w:beforeLines="50" w:line="360" w:lineRule="auto"/>
              <w:jc w:val="left"/>
              <w:rPr>
                <w:rFonts w:hint="eastAsia" w:ascii="宋体" w:hAnsi="宋体" w:cs="宋体"/>
                <w:color w:val="auto"/>
                <w:szCs w:val="21"/>
              </w:rPr>
            </w:pPr>
          </w:p>
        </w:tc>
      </w:tr>
      <w:tr w14:paraId="3293B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980" w:type="dxa"/>
            <w:vAlign w:val="center"/>
          </w:tcPr>
          <w:p w14:paraId="55DC2A03">
            <w:pPr>
              <w:spacing w:before="120" w:after="120"/>
              <w:jc w:val="center"/>
              <w:rPr>
                <w:rFonts w:hint="eastAsia" w:ascii="宋体" w:hAnsi="宋体" w:cs="宋体"/>
                <w:color w:val="auto"/>
                <w:szCs w:val="21"/>
              </w:rPr>
            </w:pPr>
            <w:r>
              <w:rPr>
                <w:rFonts w:hint="eastAsia" w:ascii="宋体" w:hAnsi="宋体" w:cs="宋体"/>
                <w:color w:val="auto"/>
                <w:szCs w:val="21"/>
              </w:rPr>
              <w:t>服务期限</w:t>
            </w:r>
          </w:p>
        </w:tc>
        <w:tc>
          <w:tcPr>
            <w:tcW w:w="7229" w:type="dxa"/>
            <w:vAlign w:val="center"/>
          </w:tcPr>
          <w:p w14:paraId="7A448AF4">
            <w:pPr>
              <w:spacing w:before="120" w:beforeLines="50" w:line="360" w:lineRule="auto"/>
              <w:jc w:val="left"/>
              <w:rPr>
                <w:rFonts w:hint="eastAsia" w:ascii="宋体" w:hAnsi="宋体" w:cs="宋体"/>
                <w:color w:val="auto"/>
                <w:szCs w:val="21"/>
              </w:rPr>
            </w:pPr>
          </w:p>
        </w:tc>
      </w:tr>
      <w:tr w14:paraId="3B889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980" w:type="dxa"/>
            <w:vAlign w:val="center"/>
          </w:tcPr>
          <w:p w14:paraId="682C8F9C">
            <w:pPr>
              <w:spacing w:before="120" w:beforeLines="50" w:line="360" w:lineRule="auto"/>
              <w:jc w:val="center"/>
              <w:rPr>
                <w:rFonts w:hint="eastAsia" w:ascii="宋体" w:hAnsi="宋体" w:cs="宋体"/>
                <w:color w:val="auto"/>
                <w:szCs w:val="21"/>
              </w:rPr>
            </w:pPr>
            <w:r>
              <w:rPr>
                <w:rFonts w:hint="eastAsia" w:ascii="宋体" w:hAnsi="宋体" w:cs="宋体"/>
                <w:color w:val="auto"/>
                <w:szCs w:val="21"/>
              </w:rPr>
              <w:t>说明</w:t>
            </w:r>
          </w:p>
        </w:tc>
        <w:tc>
          <w:tcPr>
            <w:tcW w:w="7229" w:type="dxa"/>
            <w:vAlign w:val="center"/>
          </w:tcPr>
          <w:p w14:paraId="108E3B60">
            <w:pPr>
              <w:spacing w:before="120" w:beforeLines="50" w:line="360" w:lineRule="auto"/>
              <w:jc w:val="left"/>
              <w:rPr>
                <w:rFonts w:hint="eastAsia" w:ascii="宋体" w:hAnsi="宋体" w:cs="宋体"/>
                <w:color w:val="auto"/>
                <w:szCs w:val="21"/>
              </w:rPr>
            </w:pPr>
          </w:p>
        </w:tc>
      </w:tr>
      <w:tr w14:paraId="45A16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7" w:hRule="atLeast"/>
          <w:jc w:val="center"/>
        </w:trPr>
        <w:tc>
          <w:tcPr>
            <w:tcW w:w="9209" w:type="dxa"/>
            <w:gridSpan w:val="2"/>
            <w:vAlign w:val="center"/>
          </w:tcPr>
          <w:p w14:paraId="01AF8582">
            <w:pPr>
              <w:spacing w:before="120" w:after="120"/>
              <w:rPr>
                <w:rFonts w:hint="eastAsia" w:ascii="宋体" w:hAnsi="宋体" w:cs="宋体"/>
                <w:color w:val="auto"/>
                <w:szCs w:val="21"/>
              </w:rPr>
            </w:pPr>
            <w:r>
              <w:rPr>
                <w:rFonts w:hint="eastAsia" w:ascii="宋体" w:hAnsi="宋体" w:cs="宋体"/>
                <w:color w:val="auto"/>
                <w:szCs w:val="21"/>
              </w:rPr>
              <w:t>供应商（电子签章）：</w:t>
            </w:r>
          </w:p>
        </w:tc>
      </w:tr>
      <w:tr w14:paraId="4EEA4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jc w:val="center"/>
        </w:trPr>
        <w:tc>
          <w:tcPr>
            <w:tcW w:w="9209" w:type="dxa"/>
            <w:gridSpan w:val="2"/>
            <w:vAlign w:val="bottom"/>
          </w:tcPr>
          <w:p w14:paraId="5CD2CEEA">
            <w:pPr>
              <w:spacing w:before="120" w:after="120"/>
              <w:ind w:right="480"/>
              <w:rPr>
                <w:rFonts w:hint="eastAsia" w:ascii="宋体" w:hAnsi="宋体" w:cs="宋体"/>
                <w:color w:val="auto"/>
                <w:szCs w:val="21"/>
              </w:rPr>
            </w:pPr>
            <w:r>
              <w:rPr>
                <w:rFonts w:hint="eastAsia" w:ascii="宋体" w:hAnsi="宋体" w:cs="宋体"/>
                <w:color w:val="auto"/>
                <w:szCs w:val="21"/>
              </w:rPr>
              <w:t>法定代表人（电子签章）：</w:t>
            </w:r>
          </w:p>
          <w:p w14:paraId="1E58BBFB">
            <w:pPr>
              <w:spacing w:before="120" w:after="120"/>
              <w:jc w:val="right"/>
              <w:rPr>
                <w:rFonts w:hint="eastAsia" w:ascii="宋体" w:hAnsi="宋体" w:cs="宋体"/>
                <w:color w:val="auto"/>
                <w:szCs w:val="21"/>
              </w:rPr>
            </w:pPr>
          </w:p>
          <w:p w14:paraId="4D303EE9">
            <w:pPr>
              <w:spacing w:before="120" w:after="120"/>
              <w:jc w:val="right"/>
              <w:rPr>
                <w:rFonts w:hint="eastAsia" w:ascii="宋体" w:hAnsi="宋体" w:cs="宋体"/>
                <w:color w:val="auto"/>
                <w:szCs w:val="21"/>
              </w:rPr>
            </w:pPr>
            <w:r>
              <w:rPr>
                <w:rFonts w:hint="eastAsia" w:ascii="宋体" w:hAnsi="宋体" w:cs="宋体"/>
                <w:color w:val="auto"/>
                <w:szCs w:val="21"/>
              </w:rPr>
              <w:t>日 期：    年    月    日</w:t>
            </w:r>
          </w:p>
        </w:tc>
      </w:tr>
    </w:tbl>
    <w:p w14:paraId="0D0D2AA9">
      <w:pPr>
        <w:rPr>
          <w:rFonts w:hint="eastAsia" w:ascii="宋体" w:hAnsi="宋体" w:cs="宋体"/>
          <w:b/>
          <w:color w:val="auto"/>
          <w:sz w:val="30"/>
          <w:szCs w:val="30"/>
        </w:rPr>
      </w:pPr>
    </w:p>
    <w:p w14:paraId="4D2A5FDF">
      <w:pPr>
        <w:rPr>
          <w:rFonts w:hint="eastAsia" w:ascii="宋体" w:hAnsi="宋体" w:cs="宋体"/>
          <w:b/>
          <w:color w:val="auto"/>
          <w:sz w:val="30"/>
          <w:szCs w:val="30"/>
        </w:rPr>
      </w:pPr>
      <w:r>
        <w:rPr>
          <w:rFonts w:hint="eastAsia" w:ascii="宋体" w:hAnsi="宋体" w:cs="宋体"/>
          <w:b/>
          <w:color w:val="auto"/>
          <w:sz w:val="30"/>
          <w:szCs w:val="30"/>
        </w:rPr>
        <w:br w:type="page"/>
      </w:r>
    </w:p>
    <w:p w14:paraId="6DACDCFA">
      <w:pPr>
        <w:spacing w:line="360" w:lineRule="auto"/>
        <w:jc w:val="center"/>
        <w:outlineLvl w:val="1"/>
        <w:rPr>
          <w:rFonts w:hint="eastAsia" w:ascii="宋体" w:hAnsi="宋体" w:cs="宋体"/>
          <w:b/>
          <w:color w:val="auto"/>
          <w:sz w:val="30"/>
          <w:szCs w:val="30"/>
        </w:rPr>
      </w:pPr>
      <w:bookmarkStart w:id="1094" w:name="_Toc1839744807"/>
      <w:r>
        <w:rPr>
          <w:rFonts w:hint="eastAsia" w:ascii="宋体" w:hAnsi="宋体" w:cs="宋体"/>
          <w:b/>
          <w:color w:val="auto"/>
          <w:sz w:val="30"/>
          <w:szCs w:val="30"/>
        </w:rPr>
        <w:t>一、资格文件</w:t>
      </w:r>
      <w:bookmarkEnd w:id="1093"/>
      <w:bookmarkEnd w:id="1094"/>
    </w:p>
    <w:p w14:paraId="1BA66366">
      <w:pPr>
        <w:spacing w:line="360" w:lineRule="auto"/>
        <w:jc w:val="center"/>
        <w:outlineLvl w:val="2"/>
        <w:rPr>
          <w:rFonts w:hint="eastAsia" w:ascii="宋体" w:hAnsi="宋体" w:cs="宋体"/>
          <w:bCs/>
          <w:color w:val="auto"/>
          <w:sz w:val="28"/>
          <w:szCs w:val="28"/>
        </w:rPr>
      </w:pPr>
      <w:bookmarkStart w:id="1095" w:name="_Toc45976960"/>
      <w:bookmarkStart w:id="1096" w:name="_Toc109809379"/>
      <w:bookmarkStart w:id="1097" w:name="_Toc81331001"/>
      <w:bookmarkStart w:id="1098" w:name="_Toc98865068"/>
      <w:bookmarkStart w:id="1099" w:name="_Toc116584064"/>
      <w:bookmarkStart w:id="1100" w:name="_Toc75783586"/>
      <w:bookmarkStart w:id="1101" w:name="_Toc42205046"/>
      <w:bookmarkStart w:id="1102" w:name="_Toc110405198"/>
      <w:bookmarkStart w:id="1103" w:name="_Toc69678483"/>
      <w:bookmarkStart w:id="1104" w:name="_Toc3350"/>
      <w:bookmarkStart w:id="1105" w:name="_Toc53412271"/>
      <w:bookmarkStart w:id="1106" w:name="_Toc265766862"/>
      <w:bookmarkStart w:id="1107" w:name="_Toc292983033"/>
      <w:r>
        <w:rPr>
          <w:rFonts w:hint="eastAsia" w:ascii="宋体" w:hAnsi="宋体" w:cs="宋体"/>
          <w:bCs/>
          <w:color w:val="auto"/>
          <w:sz w:val="28"/>
          <w:szCs w:val="28"/>
        </w:rPr>
        <w:t>（一）</w:t>
      </w:r>
      <w:bookmarkEnd w:id="1095"/>
      <w:bookmarkEnd w:id="1096"/>
      <w:bookmarkEnd w:id="1097"/>
      <w:bookmarkEnd w:id="1098"/>
      <w:bookmarkEnd w:id="1099"/>
      <w:bookmarkEnd w:id="1100"/>
      <w:bookmarkEnd w:id="1101"/>
      <w:bookmarkEnd w:id="1102"/>
      <w:bookmarkEnd w:id="1103"/>
      <w:bookmarkEnd w:id="1104"/>
      <w:bookmarkEnd w:id="1105"/>
      <w:r>
        <w:rPr>
          <w:rFonts w:hint="eastAsia" w:ascii="宋体" w:hAnsi="宋体" w:cs="宋体"/>
          <w:bCs/>
          <w:color w:val="auto"/>
          <w:sz w:val="28"/>
          <w:szCs w:val="28"/>
        </w:rPr>
        <w:t>具有独立承担民事责任的能力</w:t>
      </w:r>
    </w:p>
    <w:p w14:paraId="59400E34">
      <w:pPr>
        <w:topLinePunct/>
        <w:spacing w:line="360" w:lineRule="auto"/>
        <w:ind w:firstLine="420"/>
        <w:jc w:val="center"/>
        <w:rPr>
          <w:rFonts w:hint="eastAsia" w:ascii="宋体" w:hAnsi="宋体" w:cs="宋体"/>
          <w:color w:val="auto"/>
        </w:rPr>
        <w:sectPr>
          <w:headerReference r:id="rId7" w:type="first"/>
          <w:footerReference r:id="rId9" w:type="first"/>
          <w:footerReference r:id="rId8" w:type="default"/>
          <w:pgSz w:w="11906" w:h="16838"/>
          <w:pgMar w:top="1440" w:right="1304" w:bottom="1440" w:left="1304" w:header="851" w:footer="1247" w:gutter="0"/>
          <w:pgNumType w:start="1"/>
          <w:cols w:space="720" w:num="1"/>
          <w:docGrid w:linePitch="312" w:charSpace="0"/>
        </w:sectPr>
      </w:pPr>
      <w:r>
        <w:rPr>
          <w:rFonts w:hint="eastAsia" w:ascii="宋体" w:hAnsi="宋体" w:cs="宋体"/>
          <w:color w:val="auto"/>
        </w:rPr>
        <w:t>注：</w:t>
      </w:r>
      <w:r>
        <w:rPr>
          <w:rFonts w:hint="eastAsia" w:ascii="宋体" w:hAnsi="宋体" w:cs="宋体"/>
          <w:color w:val="auto"/>
          <w:szCs w:val="21"/>
        </w:rPr>
        <w:t>提供有效的营业执照或事业单位法人证书或其他类似的法定证明文件的</w:t>
      </w:r>
      <w:r>
        <w:rPr>
          <w:rFonts w:hint="eastAsia" w:ascii="宋体" w:hAnsi="宋体" w:cs="宋体"/>
          <w:color w:val="auto"/>
        </w:rPr>
        <w:t>原件扫描件。</w:t>
      </w:r>
    </w:p>
    <w:bookmarkEnd w:id="1106"/>
    <w:bookmarkEnd w:id="1107"/>
    <w:p w14:paraId="096DCC0B">
      <w:pPr>
        <w:spacing w:line="360" w:lineRule="auto"/>
        <w:jc w:val="center"/>
        <w:outlineLvl w:val="2"/>
        <w:rPr>
          <w:rFonts w:hint="eastAsia" w:ascii="宋体" w:hAnsi="宋体" w:cs="宋体"/>
          <w:bCs/>
          <w:color w:val="auto"/>
          <w:sz w:val="28"/>
          <w:szCs w:val="28"/>
        </w:rPr>
      </w:pPr>
      <w:bookmarkStart w:id="1108" w:name="_Toc81331002"/>
      <w:bookmarkStart w:id="1109" w:name="_Toc42205047"/>
      <w:bookmarkStart w:id="1110" w:name="_Toc110405199"/>
      <w:bookmarkStart w:id="1111" w:name="_Toc98865069"/>
      <w:bookmarkStart w:id="1112" w:name="_Toc69678484"/>
      <w:bookmarkStart w:id="1113" w:name="_Toc11887"/>
      <w:bookmarkStart w:id="1114" w:name="_Toc116584065"/>
      <w:bookmarkStart w:id="1115" w:name="_Toc75783587"/>
      <w:bookmarkStart w:id="1116" w:name="_Toc53412272"/>
      <w:bookmarkStart w:id="1117" w:name="_Toc45976961"/>
      <w:bookmarkStart w:id="1118" w:name="_Toc109809380"/>
      <w:r>
        <w:rPr>
          <w:rFonts w:hint="eastAsia" w:ascii="宋体" w:hAnsi="宋体" w:cs="宋体"/>
          <w:bCs/>
          <w:color w:val="auto"/>
          <w:sz w:val="28"/>
          <w:szCs w:val="28"/>
        </w:rPr>
        <w:t>（二）</w:t>
      </w:r>
      <w:bookmarkEnd w:id="1108"/>
      <w:bookmarkEnd w:id="1109"/>
      <w:bookmarkEnd w:id="1110"/>
      <w:bookmarkEnd w:id="1111"/>
      <w:bookmarkEnd w:id="1112"/>
      <w:bookmarkEnd w:id="1113"/>
      <w:bookmarkEnd w:id="1114"/>
      <w:bookmarkEnd w:id="1115"/>
      <w:bookmarkEnd w:id="1116"/>
      <w:bookmarkEnd w:id="1117"/>
      <w:bookmarkEnd w:id="1118"/>
      <w:r>
        <w:rPr>
          <w:rFonts w:hint="eastAsia" w:ascii="宋体" w:hAnsi="宋体" w:cs="宋体"/>
          <w:bCs/>
          <w:color w:val="auto"/>
          <w:sz w:val="28"/>
          <w:szCs w:val="28"/>
        </w:rPr>
        <w:t>具有良好的商业信誉和健全的财务会计制度</w:t>
      </w:r>
    </w:p>
    <w:p w14:paraId="54396BBB">
      <w:pPr>
        <w:spacing w:line="360" w:lineRule="auto"/>
        <w:ind w:firstLine="420" w:firstLineChars="200"/>
        <w:jc w:val="left"/>
        <w:rPr>
          <w:rFonts w:hint="eastAsia" w:ascii="宋体" w:hAnsi="宋体" w:cs="宋体"/>
          <w:color w:val="auto"/>
        </w:rPr>
      </w:pPr>
      <w:r>
        <w:rPr>
          <w:rFonts w:hint="eastAsia" w:ascii="宋体" w:hAnsi="宋体" w:cs="宋体"/>
          <w:color w:val="auto"/>
        </w:rPr>
        <w:t>注：提供2025年度经审计的财务会计报表及审计报告的原件扫描件；未经审计的，提供公司内部自行编制并加盖公章的财务会计报表的扫描件，或提供自响应文件递交截止时间前三个月内基本开户银行出具的资信证明的原件扫描件；若为新成立不满1年的公司，提供开户行资信证明或资金证明文件的原件扫描件；事业单位提供财务报表的原件扫描件；若为自然人参与磋商，则提供自本项目公告发布之日起开具的银行存款证明的原件扫描件</w:t>
      </w:r>
      <w:r>
        <w:rPr>
          <w:rFonts w:hint="eastAsia" w:ascii="宋体" w:hAnsi="宋体" w:cs="宋体"/>
          <w:color w:val="auto"/>
          <w:szCs w:val="21"/>
        </w:rPr>
        <w:t>。</w:t>
      </w:r>
    </w:p>
    <w:p w14:paraId="39E6C571">
      <w:pPr>
        <w:widowControl/>
        <w:jc w:val="left"/>
        <w:rPr>
          <w:rFonts w:hint="eastAsia" w:ascii="宋体" w:hAnsi="宋体" w:cs="宋体"/>
          <w:b/>
          <w:color w:val="auto"/>
          <w:sz w:val="28"/>
          <w:szCs w:val="28"/>
        </w:rPr>
      </w:pPr>
      <w:bookmarkStart w:id="1119" w:name="_Toc42205048"/>
      <w:bookmarkStart w:id="1120" w:name="_Toc116584066"/>
      <w:bookmarkStart w:id="1121" w:name="_Toc21738"/>
      <w:bookmarkStart w:id="1122" w:name="_Toc75783588"/>
      <w:bookmarkStart w:id="1123" w:name="_Toc45976962"/>
      <w:bookmarkStart w:id="1124" w:name="_Toc81331003"/>
      <w:bookmarkStart w:id="1125" w:name="_Toc109809381"/>
      <w:bookmarkStart w:id="1126" w:name="_Toc522397136"/>
      <w:bookmarkStart w:id="1127" w:name="_Toc98865070"/>
      <w:bookmarkStart w:id="1128" w:name="_Toc69678485"/>
      <w:bookmarkStart w:id="1129" w:name="_Toc110405200"/>
      <w:bookmarkStart w:id="1130" w:name="_Toc53412273"/>
      <w:bookmarkStart w:id="1131" w:name="_Toc494495988"/>
      <w:bookmarkStart w:id="1132" w:name="_Toc517710844"/>
      <w:bookmarkStart w:id="1133" w:name="_Toc518141928"/>
      <w:r>
        <w:rPr>
          <w:rFonts w:hint="eastAsia" w:ascii="宋体" w:hAnsi="宋体" w:cs="宋体"/>
          <w:b/>
          <w:color w:val="auto"/>
          <w:sz w:val="28"/>
          <w:szCs w:val="28"/>
        </w:rPr>
        <w:br w:type="page"/>
      </w:r>
    </w:p>
    <w:p w14:paraId="65315817">
      <w:pPr>
        <w:spacing w:line="360" w:lineRule="auto"/>
        <w:jc w:val="center"/>
        <w:outlineLvl w:val="2"/>
        <w:rPr>
          <w:rFonts w:hint="eastAsia" w:ascii="宋体" w:hAnsi="宋体" w:cs="宋体"/>
          <w:bCs/>
          <w:color w:val="auto"/>
          <w:sz w:val="28"/>
          <w:szCs w:val="28"/>
        </w:rPr>
      </w:pPr>
      <w:r>
        <w:rPr>
          <w:rFonts w:hint="eastAsia" w:ascii="宋体" w:hAnsi="宋体" w:cs="宋体"/>
          <w:bCs/>
          <w:color w:val="auto"/>
          <w:sz w:val="28"/>
          <w:szCs w:val="28"/>
        </w:rPr>
        <w:t>（三）具有履行合同所必需的设备和专业技术能力</w:t>
      </w:r>
      <w:bookmarkEnd w:id="1119"/>
      <w:bookmarkEnd w:id="1120"/>
      <w:bookmarkEnd w:id="1121"/>
      <w:bookmarkEnd w:id="1122"/>
      <w:bookmarkEnd w:id="1123"/>
      <w:bookmarkEnd w:id="1124"/>
      <w:bookmarkEnd w:id="1125"/>
      <w:bookmarkEnd w:id="1126"/>
      <w:bookmarkEnd w:id="1127"/>
      <w:bookmarkEnd w:id="1128"/>
      <w:bookmarkEnd w:id="1129"/>
      <w:bookmarkEnd w:id="1130"/>
    </w:p>
    <w:p w14:paraId="310D549B">
      <w:pPr>
        <w:spacing w:line="360" w:lineRule="auto"/>
        <w:jc w:val="center"/>
        <w:rPr>
          <w:rFonts w:hint="eastAsia" w:ascii="宋体" w:hAnsi="宋体" w:cs="宋体"/>
          <w:color w:val="auto"/>
        </w:rPr>
      </w:pPr>
      <w:bookmarkStart w:id="1134" w:name="_Hlk6220935"/>
      <w:r>
        <w:rPr>
          <w:rFonts w:hint="eastAsia" w:ascii="宋体" w:hAnsi="宋体" w:cs="宋体"/>
          <w:color w:val="auto"/>
        </w:rPr>
        <w:t>注：提供书面承诺，内容自拟。</w:t>
      </w:r>
      <w:bookmarkEnd w:id="1134"/>
      <w:bookmarkStart w:id="1135" w:name="_Toc69678486"/>
      <w:bookmarkStart w:id="1136" w:name="_Toc98865071"/>
      <w:bookmarkStart w:id="1137" w:name="_Toc75783589"/>
      <w:bookmarkStart w:id="1138" w:name="_Toc522397137"/>
      <w:bookmarkStart w:id="1139" w:name="_Toc45976963"/>
      <w:bookmarkStart w:id="1140" w:name="_Toc110405201"/>
      <w:bookmarkStart w:id="1141" w:name="_Toc8980"/>
      <w:bookmarkStart w:id="1142" w:name="_Toc109809382"/>
      <w:bookmarkStart w:id="1143" w:name="_Toc53412274"/>
      <w:bookmarkStart w:id="1144" w:name="_Toc42205049"/>
      <w:bookmarkStart w:id="1145" w:name="_Toc116584067"/>
      <w:bookmarkStart w:id="1146" w:name="_Toc81331004"/>
    </w:p>
    <w:p w14:paraId="67738783">
      <w:pPr>
        <w:spacing w:line="360" w:lineRule="auto"/>
        <w:rPr>
          <w:rFonts w:hint="eastAsia" w:ascii="宋体" w:hAnsi="宋体" w:cs="宋体"/>
          <w:color w:val="auto"/>
        </w:rPr>
      </w:pPr>
    </w:p>
    <w:p w14:paraId="56229830">
      <w:pPr>
        <w:pStyle w:val="66"/>
        <w:ind w:left="0"/>
        <w:jc w:val="left"/>
        <w:rPr>
          <w:rFonts w:hint="eastAsia" w:ascii="宋体" w:hAnsi="宋体" w:eastAsia="宋体" w:cs="宋体"/>
          <w:color w:val="auto"/>
        </w:rPr>
      </w:pPr>
    </w:p>
    <w:p w14:paraId="08353CFC">
      <w:pPr>
        <w:pStyle w:val="66"/>
        <w:ind w:left="0"/>
        <w:jc w:val="left"/>
        <w:rPr>
          <w:rFonts w:hint="eastAsia" w:ascii="宋体" w:hAnsi="宋体" w:eastAsia="宋体" w:cs="宋体"/>
          <w:color w:val="auto"/>
        </w:rPr>
      </w:pPr>
    </w:p>
    <w:p w14:paraId="7D715753">
      <w:pPr>
        <w:pStyle w:val="66"/>
        <w:ind w:left="0"/>
        <w:jc w:val="left"/>
        <w:rPr>
          <w:rFonts w:hint="eastAsia" w:ascii="宋体" w:hAnsi="宋体" w:eastAsia="宋体" w:cs="宋体"/>
          <w:color w:val="auto"/>
        </w:rPr>
      </w:pPr>
    </w:p>
    <w:p w14:paraId="00300BCF">
      <w:pPr>
        <w:pStyle w:val="66"/>
        <w:ind w:left="0"/>
        <w:jc w:val="left"/>
        <w:rPr>
          <w:rFonts w:hint="eastAsia" w:ascii="宋体" w:hAnsi="宋体" w:eastAsia="宋体" w:cs="宋体"/>
          <w:color w:val="auto"/>
        </w:rPr>
      </w:pPr>
    </w:p>
    <w:p w14:paraId="4E41B307">
      <w:pPr>
        <w:pStyle w:val="66"/>
        <w:ind w:left="0"/>
        <w:jc w:val="left"/>
        <w:rPr>
          <w:rFonts w:hint="eastAsia" w:ascii="宋体" w:hAnsi="宋体" w:eastAsia="宋体" w:cs="宋体"/>
          <w:color w:val="auto"/>
        </w:rPr>
      </w:pPr>
    </w:p>
    <w:p w14:paraId="497E018A">
      <w:pPr>
        <w:pStyle w:val="66"/>
        <w:ind w:left="0"/>
        <w:jc w:val="left"/>
        <w:rPr>
          <w:rFonts w:hint="eastAsia" w:ascii="宋体" w:hAnsi="宋体" w:eastAsia="宋体" w:cs="宋体"/>
          <w:color w:val="auto"/>
        </w:rPr>
      </w:pPr>
    </w:p>
    <w:p w14:paraId="020DE5E0">
      <w:pPr>
        <w:pStyle w:val="66"/>
        <w:ind w:left="0"/>
        <w:jc w:val="left"/>
        <w:rPr>
          <w:rFonts w:hint="eastAsia" w:ascii="宋体" w:hAnsi="宋体" w:eastAsia="宋体" w:cs="宋体"/>
          <w:color w:val="auto"/>
        </w:rPr>
      </w:pPr>
    </w:p>
    <w:p w14:paraId="6A387493">
      <w:pPr>
        <w:pStyle w:val="66"/>
        <w:ind w:left="0"/>
        <w:jc w:val="left"/>
        <w:rPr>
          <w:rFonts w:hint="eastAsia" w:ascii="宋体" w:hAnsi="宋体" w:eastAsia="宋体" w:cs="宋体"/>
          <w:color w:val="auto"/>
        </w:rPr>
      </w:pPr>
    </w:p>
    <w:p w14:paraId="12DD2012">
      <w:pPr>
        <w:pStyle w:val="66"/>
        <w:ind w:left="0"/>
        <w:jc w:val="left"/>
        <w:rPr>
          <w:rFonts w:hint="eastAsia" w:ascii="宋体" w:hAnsi="宋体" w:eastAsia="宋体" w:cs="宋体"/>
          <w:color w:val="auto"/>
        </w:rPr>
      </w:pPr>
    </w:p>
    <w:p w14:paraId="482415E6">
      <w:pPr>
        <w:pStyle w:val="66"/>
        <w:ind w:left="0"/>
        <w:jc w:val="left"/>
        <w:rPr>
          <w:rFonts w:hint="eastAsia" w:ascii="宋体" w:hAnsi="宋体" w:eastAsia="宋体" w:cs="宋体"/>
          <w:color w:val="auto"/>
        </w:rPr>
      </w:pPr>
    </w:p>
    <w:p w14:paraId="2B68FDB6">
      <w:pPr>
        <w:pStyle w:val="66"/>
        <w:ind w:left="0"/>
        <w:jc w:val="left"/>
        <w:rPr>
          <w:rFonts w:hint="eastAsia" w:ascii="宋体" w:hAnsi="宋体" w:eastAsia="宋体" w:cs="宋体"/>
          <w:color w:val="auto"/>
        </w:rPr>
      </w:pPr>
    </w:p>
    <w:p w14:paraId="75D9EAD5">
      <w:pPr>
        <w:pStyle w:val="66"/>
        <w:ind w:left="0"/>
        <w:jc w:val="left"/>
        <w:rPr>
          <w:rFonts w:hint="eastAsia" w:ascii="宋体" w:hAnsi="宋体" w:eastAsia="宋体" w:cs="宋体"/>
          <w:color w:val="auto"/>
        </w:rPr>
      </w:pPr>
    </w:p>
    <w:p w14:paraId="4412E4AA">
      <w:pPr>
        <w:pStyle w:val="66"/>
        <w:ind w:left="0"/>
        <w:jc w:val="left"/>
        <w:rPr>
          <w:rFonts w:hint="eastAsia" w:ascii="宋体" w:hAnsi="宋体" w:eastAsia="宋体" w:cs="宋体"/>
          <w:color w:val="auto"/>
        </w:rPr>
      </w:pPr>
    </w:p>
    <w:p w14:paraId="23DB2E31">
      <w:pPr>
        <w:pStyle w:val="66"/>
        <w:ind w:left="0"/>
        <w:jc w:val="left"/>
        <w:rPr>
          <w:rFonts w:hint="eastAsia" w:ascii="宋体" w:hAnsi="宋体" w:eastAsia="宋体" w:cs="宋体"/>
          <w:color w:val="auto"/>
        </w:rPr>
      </w:pPr>
    </w:p>
    <w:p w14:paraId="2A87DEE0">
      <w:pPr>
        <w:pStyle w:val="66"/>
        <w:ind w:left="0"/>
        <w:jc w:val="left"/>
        <w:rPr>
          <w:rFonts w:hint="eastAsia" w:ascii="宋体" w:hAnsi="宋体" w:eastAsia="宋体" w:cs="宋体"/>
          <w:color w:val="auto"/>
        </w:rPr>
      </w:pPr>
    </w:p>
    <w:p w14:paraId="397DFF62">
      <w:pPr>
        <w:pStyle w:val="66"/>
        <w:ind w:left="0"/>
        <w:jc w:val="left"/>
        <w:rPr>
          <w:rFonts w:hint="eastAsia" w:ascii="宋体" w:hAnsi="宋体" w:eastAsia="宋体" w:cs="宋体"/>
          <w:color w:val="auto"/>
        </w:rPr>
      </w:pPr>
    </w:p>
    <w:p w14:paraId="31BB1B6F">
      <w:pPr>
        <w:widowControl/>
        <w:jc w:val="left"/>
        <w:rPr>
          <w:rFonts w:hint="eastAsia" w:ascii="宋体" w:hAnsi="宋体" w:cs="宋体"/>
          <w:b/>
          <w:color w:val="auto"/>
          <w:sz w:val="28"/>
          <w:szCs w:val="28"/>
        </w:rPr>
      </w:pPr>
    </w:p>
    <w:p w14:paraId="72183A14">
      <w:pPr>
        <w:spacing w:line="360" w:lineRule="auto"/>
        <w:jc w:val="center"/>
        <w:outlineLvl w:val="2"/>
        <w:rPr>
          <w:rFonts w:hint="eastAsia" w:ascii="宋体" w:hAnsi="宋体" w:cs="宋体"/>
          <w:b/>
          <w:color w:val="auto"/>
          <w:sz w:val="28"/>
          <w:szCs w:val="28"/>
        </w:rPr>
        <w:sectPr>
          <w:headerReference r:id="rId10" w:type="first"/>
          <w:footerReference r:id="rId11" w:type="first"/>
          <w:pgSz w:w="11906" w:h="16838"/>
          <w:pgMar w:top="1440" w:right="1304" w:bottom="1440" w:left="1304" w:header="851" w:footer="851" w:gutter="0"/>
          <w:cols w:space="720" w:num="1"/>
          <w:docGrid w:linePitch="312" w:charSpace="0"/>
        </w:sectPr>
      </w:pPr>
    </w:p>
    <w:p w14:paraId="2678F96B">
      <w:pPr>
        <w:spacing w:line="360" w:lineRule="auto"/>
        <w:jc w:val="center"/>
        <w:outlineLvl w:val="2"/>
        <w:rPr>
          <w:rFonts w:hint="eastAsia" w:ascii="宋体" w:hAnsi="宋体" w:cs="宋体"/>
          <w:bCs/>
          <w:color w:val="auto"/>
          <w:sz w:val="28"/>
          <w:szCs w:val="28"/>
        </w:rPr>
      </w:pPr>
      <w:r>
        <w:rPr>
          <w:rFonts w:hint="eastAsia" w:ascii="宋体" w:hAnsi="宋体" w:cs="宋体"/>
          <w:bCs/>
          <w:color w:val="auto"/>
          <w:sz w:val="28"/>
          <w:szCs w:val="28"/>
        </w:rPr>
        <w:t>（四）有依法缴纳税收和社会保障资金的良好记录</w:t>
      </w:r>
      <w:bookmarkEnd w:id="1135"/>
      <w:bookmarkEnd w:id="1136"/>
      <w:bookmarkEnd w:id="1137"/>
      <w:bookmarkEnd w:id="1138"/>
      <w:bookmarkEnd w:id="1139"/>
      <w:bookmarkEnd w:id="1140"/>
      <w:bookmarkEnd w:id="1141"/>
      <w:bookmarkEnd w:id="1142"/>
      <w:bookmarkEnd w:id="1143"/>
      <w:bookmarkEnd w:id="1144"/>
      <w:bookmarkEnd w:id="1145"/>
      <w:bookmarkEnd w:id="1146"/>
    </w:p>
    <w:p w14:paraId="0A0543EF">
      <w:pPr>
        <w:tabs>
          <w:tab w:val="left" w:pos="851"/>
        </w:tabs>
        <w:spacing w:line="360" w:lineRule="auto"/>
        <w:ind w:firstLine="420" w:firstLineChars="200"/>
        <w:jc w:val="left"/>
        <w:rPr>
          <w:rFonts w:hint="eastAsia" w:ascii="宋体" w:hAnsi="宋体" w:cs="宋体"/>
          <w:color w:val="auto"/>
          <w:szCs w:val="21"/>
        </w:rPr>
      </w:pPr>
      <w:bookmarkStart w:id="1147" w:name="_Toc53412275"/>
      <w:bookmarkStart w:id="1148" w:name="_Toc69678487"/>
      <w:bookmarkStart w:id="1149" w:name="_Toc45976964"/>
      <w:bookmarkStart w:id="1150" w:name="_Toc75783590"/>
      <w:bookmarkStart w:id="1151" w:name="_Toc81331005"/>
      <w:bookmarkStart w:id="1152" w:name="_Toc522397138"/>
      <w:bookmarkStart w:id="1153" w:name="_Toc42205050"/>
      <w:r>
        <w:rPr>
          <w:rFonts w:hint="eastAsia" w:ascii="宋体" w:hAnsi="宋体" w:cs="宋体"/>
          <w:color w:val="auto"/>
        </w:rPr>
        <w:t>注：</w:t>
      </w:r>
      <w:r>
        <w:rPr>
          <w:rFonts w:hint="eastAsia" w:ascii="宋体" w:hAnsi="宋体" w:cs="宋体"/>
          <w:color w:val="auto"/>
          <w:szCs w:val="21"/>
        </w:rPr>
        <w:t>（1）提供2025年6月至提交响应文件截止之日任意3个月的税务局税收通用缴款书或银行电子缴税（费）凭证或税务局出具纳税情况的相关证明</w:t>
      </w:r>
      <w:r>
        <w:rPr>
          <w:rFonts w:hint="eastAsia" w:ascii="宋体" w:hAnsi="宋体" w:cs="宋体"/>
          <w:color w:val="auto"/>
        </w:rPr>
        <w:t>的原件扫描件</w:t>
      </w:r>
      <w:r>
        <w:rPr>
          <w:rFonts w:hint="eastAsia" w:ascii="宋体" w:hAnsi="宋体" w:cs="宋体"/>
          <w:color w:val="auto"/>
          <w:szCs w:val="21"/>
        </w:rPr>
        <w:t>；依法免税的，提供依法免税的相关证明文件</w:t>
      </w:r>
      <w:r>
        <w:rPr>
          <w:rFonts w:hint="eastAsia" w:ascii="宋体" w:hAnsi="宋体" w:cs="宋体"/>
          <w:color w:val="auto"/>
        </w:rPr>
        <w:t>的原件扫描件</w:t>
      </w:r>
      <w:r>
        <w:rPr>
          <w:rFonts w:hint="eastAsia" w:ascii="宋体" w:hAnsi="宋体" w:cs="宋体"/>
          <w:color w:val="auto"/>
          <w:szCs w:val="21"/>
        </w:rPr>
        <w:t>；</w:t>
      </w:r>
      <w:r>
        <w:rPr>
          <w:rFonts w:hint="eastAsia" w:ascii="宋体" w:hAnsi="宋体" w:cs="宋体"/>
          <w:color w:val="auto"/>
        </w:rPr>
        <w:t>若为新成立的公司，无法按上述要求提供依法缴纳税收证明材料的，按实际缴纳月份提供或出具书面说明</w:t>
      </w:r>
      <w:r>
        <w:rPr>
          <w:rFonts w:hint="eastAsia" w:ascii="宋体" w:hAnsi="宋体" w:cs="宋体"/>
          <w:color w:val="auto"/>
          <w:szCs w:val="21"/>
        </w:rPr>
        <w:t>。</w:t>
      </w:r>
    </w:p>
    <w:p w14:paraId="070BD4EF">
      <w:pPr>
        <w:tabs>
          <w:tab w:val="left" w:pos="851"/>
        </w:tabs>
        <w:spacing w:line="360" w:lineRule="auto"/>
        <w:ind w:firstLine="840" w:firstLineChars="400"/>
        <w:jc w:val="left"/>
        <w:rPr>
          <w:rFonts w:hint="eastAsia" w:ascii="宋体" w:hAnsi="宋体" w:cs="宋体"/>
          <w:color w:val="auto"/>
          <w:szCs w:val="21"/>
        </w:rPr>
      </w:pPr>
      <w:r>
        <w:rPr>
          <w:rFonts w:hint="eastAsia" w:ascii="宋体" w:hAnsi="宋体" w:cs="宋体"/>
          <w:color w:val="auto"/>
          <w:szCs w:val="21"/>
        </w:rPr>
        <w:t>（2）提供2025年6月至提交响应文件截止之日任意3个月的社会保险费缴款书或银行电子缴费凭证或社保管理部门出具的有效的缴款证明</w:t>
      </w:r>
      <w:r>
        <w:rPr>
          <w:rFonts w:hint="eastAsia" w:ascii="宋体" w:hAnsi="宋体" w:cs="宋体"/>
          <w:color w:val="auto"/>
        </w:rPr>
        <w:t>的原件扫描件</w:t>
      </w:r>
      <w:r>
        <w:rPr>
          <w:rFonts w:hint="eastAsia" w:ascii="宋体" w:hAnsi="宋体" w:cs="宋体"/>
          <w:color w:val="auto"/>
          <w:szCs w:val="21"/>
        </w:rPr>
        <w:t>；依法免缴的，提供依法免缴的相关证明文件</w:t>
      </w:r>
      <w:r>
        <w:rPr>
          <w:rFonts w:hint="eastAsia" w:ascii="宋体" w:hAnsi="宋体" w:cs="宋体"/>
          <w:color w:val="auto"/>
        </w:rPr>
        <w:t>的原件扫描件</w:t>
      </w:r>
      <w:r>
        <w:rPr>
          <w:rFonts w:hint="eastAsia" w:ascii="宋体" w:hAnsi="宋体" w:cs="宋体"/>
          <w:color w:val="auto"/>
          <w:szCs w:val="21"/>
        </w:rPr>
        <w:t>；</w:t>
      </w:r>
      <w:r>
        <w:rPr>
          <w:rFonts w:hint="eastAsia" w:ascii="宋体" w:hAnsi="宋体" w:cs="宋体"/>
          <w:color w:val="auto"/>
        </w:rPr>
        <w:t>若为新成立的公司，提供成立至今的社会保险费缴款书或银行电子缴费凭证或社保管理部门出具的有效的缴款证明的原件扫描件，成立时间不足3个月的，按实际缴纳月份提供或出具书面说明。</w:t>
      </w:r>
    </w:p>
    <w:p w14:paraId="6BF495A3">
      <w:pPr>
        <w:tabs>
          <w:tab w:val="left" w:pos="709"/>
        </w:tabs>
        <w:spacing w:line="360" w:lineRule="auto"/>
        <w:ind w:firstLine="840" w:firstLineChars="400"/>
        <w:jc w:val="left"/>
        <w:rPr>
          <w:rFonts w:hint="eastAsia" w:ascii="宋体" w:hAnsi="宋体" w:cs="宋体"/>
          <w:color w:val="auto"/>
          <w:szCs w:val="21"/>
        </w:rPr>
      </w:pPr>
      <w:r>
        <w:rPr>
          <w:rFonts w:hint="eastAsia" w:ascii="宋体" w:hAnsi="宋体" w:cs="宋体"/>
          <w:color w:val="auto"/>
          <w:szCs w:val="21"/>
        </w:rPr>
        <w:t>（3）若为自然人参与磋商，则提供2025年6月至提交响应文件截止之日任意3个月的个人所得税完税证明和社会保险参保证明</w:t>
      </w:r>
      <w:r>
        <w:rPr>
          <w:rFonts w:hint="eastAsia" w:ascii="宋体" w:hAnsi="宋体" w:cs="宋体"/>
          <w:color w:val="auto"/>
        </w:rPr>
        <w:t>的原件扫描件</w:t>
      </w:r>
      <w:r>
        <w:rPr>
          <w:rFonts w:hint="eastAsia" w:ascii="宋体" w:hAnsi="宋体" w:cs="宋体"/>
          <w:color w:val="auto"/>
          <w:szCs w:val="21"/>
        </w:rPr>
        <w:t>；未缴纳税收或社保的，附书面说明。</w:t>
      </w:r>
    </w:p>
    <w:p w14:paraId="211D6CA0">
      <w:pPr>
        <w:tabs>
          <w:tab w:val="left" w:pos="709"/>
        </w:tabs>
        <w:spacing w:line="360" w:lineRule="auto"/>
        <w:ind w:firstLine="1124" w:firstLineChars="400"/>
        <w:jc w:val="left"/>
        <w:rPr>
          <w:rFonts w:hint="eastAsia" w:ascii="宋体" w:hAnsi="宋体" w:cs="宋体"/>
          <w:b/>
          <w:color w:val="auto"/>
          <w:sz w:val="28"/>
          <w:szCs w:val="28"/>
        </w:rPr>
      </w:pPr>
      <w:r>
        <w:rPr>
          <w:rFonts w:hint="eastAsia" w:ascii="宋体" w:hAnsi="宋体" w:cs="宋体"/>
          <w:b/>
          <w:color w:val="auto"/>
          <w:sz w:val="28"/>
          <w:szCs w:val="28"/>
        </w:rPr>
        <w:br w:type="page"/>
      </w:r>
    </w:p>
    <w:p w14:paraId="00DD0AE0">
      <w:pPr>
        <w:spacing w:line="360" w:lineRule="auto"/>
        <w:jc w:val="center"/>
        <w:outlineLvl w:val="2"/>
        <w:rPr>
          <w:rFonts w:hint="eastAsia" w:ascii="宋体" w:hAnsi="宋体" w:cs="宋体"/>
          <w:bCs/>
          <w:color w:val="auto"/>
          <w:sz w:val="28"/>
          <w:szCs w:val="28"/>
        </w:rPr>
      </w:pPr>
      <w:bookmarkStart w:id="1154" w:name="_Toc4146"/>
      <w:bookmarkStart w:id="1155" w:name="_Toc98865072"/>
      <w:bookmarkStart w:id="1156" w:name="_Toc110405202"/>
      <w:bookmarkStart w:id="1157" w:name="_Toc116584068"/>
      <w:bookmarkStart w:id="1158" w:name="_Toc109809383"/>
      <w:r>
        <w:rPr>
          <w:rFonts w:hint="eastAsia" w:ascii="宋体" w:hAnsi="宋体" w:cs="宋体"/>
          <w:bCs/>
          <w:color w:val="auto"/>
          <w:sz w:val="28"/>
          <w:szCs w:val="28"/>
        </w:rPr>
        <w:t>（五）参加政府采购活动前三年内，在经营活动中没有重大违法记录</w:t>
      </w:r>
    </w:p>
    <w:p w14:paraId="3AF6D132">
      <w:pPr>
        <w:spacing w:line="360" w:lineRule="auto"/>
        <w:jc w:val="center"/>
        <w:rPr>
          <w:rFonts w:hint="eastAsia" w:ascii="宋体" w:hAnsi="宋体" w:cs="宋体"/>
          <w:color w:val="auto"/>
        </w:rPr>
      </w:pPr>
      <w:r>
        <w:rPr>
          <w:rFonts w:hint="eastAsia" w:ascii="宋体" w:hAnsi="宋体" w:cs="宋体"/>
          <w:color w:val="auto"/>
        </w:rPr>
        <w:t>注：提供书面声明，内容自拟。</w:t>
      </w:r>
    </w:p>
    <w:p w14:paraId="29C4503F">
      <w:pPr>
        <w:pStyle w:val="66"/>
        <w:rPr>
          <w:rFonts w:hint="eastAsia" w:ascii="宋体" w:hAnsi="宋体" w:eastAsia="宋体" w:cs="宋体"/>
          <w:color w:val="auto"/>
        </w:rPr>
      </w:pPr>
    </w:p>
    <w:p w14:paraId="6B474119">
      <w:pPr>
        <w:pStyle w:val="66"/>
        <w:rPr>
          <w:rFonts w:hint="eastAsia" w:ascii="宋体" w:hAnsi="宋体" w:eastAsia="宋体" w:cs="宋体"/>
          <w:color w:val="auto"/>
        </w:rPr>
      </w:pPr>
    </w:p>
    <w:p w14:paraId="27994F79">
      <w:pPr>
        <w:pStyle w:val="66"/>
        <w:rPr>
          <w:rFonts w:hint="eastAsia" w:ascii="宋体" w:hAnsi="宋体" w:eastAsia="宋体" w:cs="宋体"/>
          <w:color w:val="auto"/>
        </w:rPr>
      </w:pPr>
    </w:p>
    <w:p w14:paraId="3F8AA44E">
      <w:pPr>
        <w:pStyle w:val="66"/>
        <w:rPr>
          <w:rFonts w:hint="eastAsia" w:ascii="宋体" w:hAnsi="宋体" w:eastAsia="宋体" w:cs="宋体"/>
          <w:color w:val="auto"/>
        </w:rPr>
      </w:pPr>
    </w:p>
    <w:p w14:paraId="44CE2BE3">
      <w:pPr>
        <w:pStyle w:val="66"/>
        <w:rPr>
          <w:rFonts w:hint="eastAsia" w:ascii="宋体" w:hAnsi="宋体" w:eastAsia="宋体" w:cs="宋体"/>
          <w:color w:val="auto"/>
        </w:rPr>
      </w:pPr>
    </w:p>
    <w:p w14:paraId="34767E5B">
      <w:pPr>
        <w:pStyle w:val="66"/>
        <w:rPr>
          <w:rFonts w:hint="eastAsia" w:ascii="宋体" w:hAnsi="宋体" w:eastAsia="宋体" w:cs="宋体"/>
          <w:color w:val="auto"/>
        </w:rPr>
      </w:pPr>
    </w:p>
    <w:p w14:paraId="40DA2933">
      <w:pPr>
        <w:pStyle w:val="66"/>
        <w:rPr>
          <w:rFonts w:hint="eastAsia" w:ascii="宋体" w:hAnsi="宋体" w:eastAsia="宋体" w:cs="宋体"/>
          <w:color w:val="auto"/>
        </w:rPr>
      </w:pPr>
    </w:p>
    <w:p w14:paraId="0C6B4F97">
      <w:pPr>
        <w:pStyle w:val="66"/>
        <w:rPr>
          <w:rFonts w:hint="eastAsia" w:ascii="宋体" w:hAnsi="宋体" w:eastAsia="宋体" w:cs="宋体"/>
          <w:color w:val="auto"/>
        </w:rPr>
      </w:pPr>
    </w:p>
    <w:p w14:paraId="0BD900F7">
      <w:pPr>
        <w:pStyle w:val="66"/>
        <w:rPr>
          <w:rFonts w:hint="eastAsia" w:ascii="宋体" w:hAnsi="宋体" w:eastAsia="宋体" w:cs="宋体"/>
          <w:color w:val="auto"/>
        </w:rPr>
      </w:pPr>
    </w:p>
    <w:p w14:paraId="1F06C48C">
      <w:pPr>
        <w:pStyle w:val="66"/>
        <w:rPr>
          <w:rFonts w:hint="eastAsia" w:ascii="宋体" w:hAnsi="宋体" w:eastAsia="宋体" w:cs="宋体"/>
          <w:color w:val="auto"/>
        </w:rPr>
      </w:pPr>
    </w:p>
    <w:p w14:paraId="61AEE6E7">
      <w:pPr>
        <w:pStyle w:val="66"/>
        <w:rPr>
          <w:rFonts w:hint="eastAsia" w:ascii="宋体" w:hAnsi="宋体" w:eastAsia="宋体" w:cs="宋体"/>
          <w:color w:val="auto"/>
        </w:rPr>
      </w:pPr>
    </w:p>
    <w:p w14:paraId="0DDD2707">
      <w:pPr>
        <w:pStyle w:val="66"/>
        <w:rPr>
          <w:rFonts w:hint="eastAsia" w:ascii="宋体" w:hAnsi="宋体" w:eastAsia="宋体" w:cs="宋体"/>
          <w:color w:val="auto"/>
        </w:rPr>
      </w:pPr>
    </w:p>
    <w:p w14:paraId="782EFBBA">
      <w:pPr>
        <w:pStyle w:val="66"/>
        <w:rPr>
          <w:rFonts w:hint="eastAsia" w:ascii="宋体" w:hAnsi="宋体" w:eastAsia="宋体" w:cs="宋体"/>
          <w:color w:val="auto"/>
        </w:rPr>
      </w:pPr>
    </w:p>
    <w:p w14:paraId="3D7BF3A6">
      <w:pPr>
        <w:pStyle w:val="66"/>
        <w:rPr>
          <w:rFonts w:hint="eastAsia" w:ascii="宋体" w:hAnsi="宋体" w:eastAsia="宋体" w:cs="宋体"/>
          <w:color w:val="auto"/>
        </w:rPr>
      </w:pPr>
    </w:p>
    <w:p w14:paraId="573F027E">
      <w:pPr>
        <w:pStyle w:val="66"/>
        <w:rPr>
          <w:rFonts w:hint="eastAsia" w:ascii="宋体" w:hAnsi="宋体" w:eastAsia="宋体" w:cs="宋体"/>
          <w:color w:val="auto"/>
        </w:rPr>
      </w:pPr>
    </w:p>
    <w:p w14:paraId="274F77CA">
      <w:pPr>
        <w:pStyle w:val="66"/>
        <w:rPr>
          <w:rFonts w:hint="eastAsia" w:ascii="宋体" w:hAnsi="宋体" w:eastAsia="宋体" w:cs="宋体"/>
          <w:color w:val="auto"/>
        </w:rPr>
      </w:pPr>
    </w:p>
    <w:p w14:paraId="2EB335F5">
      <w:pPr>
        <w:pStyle w:val="66"/>
        <w:rPr>
          <w:rFonts w:hint="eastAsia" w:ascii="宋体" w:hAnsi="宋体" w:eastAsia="宋体" w:cs="宋体"/>
          <w:color w:val="auto"/>
        </w:rPr>
      </w:pPr>
    </w:p>
    <w:p w14:paraId="2C29CCF9">
      <w:pPr>
        <w:pStyle w:val="66"/>
        <w:rPr>
          <w:rFonts w:hint="eastAsia" w:ascii="宋体" w:hAnsi="宋体" w:eastAsia="宋体" w:cs="宋体"/>
          <w:color w:val="auto"/>
        </w:rPr>
      </w:pPr>
    </w:p>
    <w:p w14:paraId="5AA9458C">
      <w:pPr>
        <w:pStyle w:val="66"/>
        <w:rPr>
          <w:rFonts w:hint="eastAsia" w:ascii="宋体" w:hAnsi="宋体" w:eastAsia="宋体" w:cs="宋体"/>
          <w:color w:val="auto"/>
        </w:rPr>
      </w:pPr>
    </w:p>
    <w:p w14:paraId="2ADDE493">
      <w:pPr>
        <w:autoSpaceDE w:val="0"/>
        <w:autoSpaceDN w:val="0"/>
        <w:adjustRightInd w:val="0"/>
        <w:spacing w:line="480" w:lineRule="auto"/>
        <w:ind w:firstLine="5040" w:firstLineChars="2400"/>
        <w:jc w:val="left"/>
        <w:rPr>
          <w:rFonts w:hint="eastAsia" w:ascii="宋体" w:hAnsi="宋体" w:cs="宋体"/>
          <w:bCs/>
          <w:color w:val="auto"/>
          <w:szCs w:val="21"/>
        </w:rPr>
      </w:pPr>
      <w:r>
        <w:rPr>
          <w:rFonts w:hint="eastAsia" w:ascii="宋体" w:hAnsi="宋体" w:cs="宋体"/>
          <w:bCs/>
          <w:color w:val="auto"/>
          <w:szCs w:val="21"/>
        </w:rPr>
        <w:t>供应商：</w:t>
      </w:r>
      <w:r>
        <w:rPr>
          <w:rFonts w:hint="eastAsia" w:ascii="宋体" w:hAnsi="宋体" w:cs="宋体"/>
          <w:bCs/>
          <w:color w:val="auto"/>
          <w:szCs w:val="21"/>
          <w:u w:val="single"/>
        </w:rPr>
        <w:t xml:space="preserve">                （</w:t>
      </w:r>
      <w:r>
        <w:rPr>
          <w:rFonts w:hint="eastAsia" w:ascii="宋体" w:hAnsi="宋体" w:cs="宋体"/>
          <w:color w:val="auto"/>
          <w:szCs w:val="21"/>
          <w:u w:val="single"/>
        </w:rPr>
        <w:t>电子签章</w:t>
      </w:r>
      <w:r>
        <w:rPr>
          <w:rFonts w:hint="eastAsia" w:ascii="宋体" w:hAnsi="宋体" w:cs="宋体"/>
          <w:bCs/>
          <w:color w:val="auto"/>
          <w:szCs w:val="21"/>
          <w:u w:val="single"/>
        </w:rPr>
        <w:t>）</w:t>
      </w:r>
    </w:p>
    <w:p w14:paraId="1D96B7A4">
      <w:pPr>
        <w:autoSpaceDE w:val="0"/>
        <w:autoSpaceDN w:val="0"/>
        <w:adjustRightInd w:val="0"/>
        <w:spacing w:line="480" w:lineRule="auto"/>
        <w:ind w:firstLine="5040" w:firstLineChars="2400"/>
        <w:jc w:val="left"/>
        <w:rPr>
          <w:rFonts w:hint="eastAsia" w:ascii="宋体" w:hAnsi="宋体" w:cs="宋体"/>
          <w:bCs/>
          <w:color w:val="auto"/>
          <w:szCs w:val="21"/>
        </w:rPr>
      </w:pPr>
      <w:r>
        <w:rPr>
          <w:rFonts w:hint="eastAsia" w:ascii="宋体" w:hAnsi="宋体" w:cs="宋体"/>
          <w:bCs/>
          <w:color w:val="auto"/>
          <w:szCs w:val="21"/>
        </w:rPr>
        <w:t>法定代表人：</w:t>
      </w:r>
      <w:r>
        <w:rPr>
          <w:rFonts w:hint="eastAsia" w:ascii="宋体" w:hAnsi="宋体" w:cs="宋体"/>
          <w:bCs/>
          <w:color w:val="auto"/>
          <w:szCs w:val="21"/>
          <w:u w:val="single"/>
        </w:rPr>
        <w:t xml:space="preserve">            （电子签章）</w:t>
      </w:r>
    </w:p>
    <w:p w14:paraId="3A0FD90F">
      <w:pPr>
        <w:autoSpaceDE w:val="0"/>
        <w:autoSpaceDN w:val="0"/>
        <w:adjustRightInd w:val="0"/>
        <w:spacing w:line="480" w:lineRule="auto"/>
        <w:ind w:firstLine="5040" w:firstLineChars="2400"/>
        <w:jc w:val="left"/>
        <w:rPr>
          <w:rFonts w:hint="eastAsia" w:ascii="宋体" w:hAnsi="宋体" w:cs="宋体"/>
          <w:bCs/>
          <w:color w:val="auto"/>
          <w:szCs w:val="21"/>
        </w:rPr>
      </w:pPr>
      <w:r>
        <w:rPr>
          <w:rFonts w:hint="eastAsia" w:ascii="宋体" w:hAnsi="宋体" w:cs="宋体"/>
          <w:bCs/>
          <w:color w:val="auto"/>
          <w:szCs w:val="21"/>
        </w:rPr>
        <w:t>日期：</w:t>
      </w:r>
      <w:r>
        <w:rPr>
          <w:rFonts w:hint="eastAsia" w:ascii="宋体" w:hAnsi="宋体" w:cs="宋体"/>
          <w:bCs/>
          <w:color w:val="auto"/>
          <w:szCs w:val="21"/>
          <w:u w:val="single"/>
        </w:rPr>
        <w:t xml:space="preserve">      </w:t>
      </w:r>
      <w:r>
        <w:rPr>
          <w:rFonts w:hint="eastAsia" w:ascii="宋体" w:hAnsi="宋体" w:cs="宋体"/>
          <w:bCs/>
          <w:color w:val="auto"/>
          <w:szCs w:val="21"/>
        </w:rPr>
        <w:t>年</w:t>
      </w:r>
      <w:r>
        <w:rPr>
          <w:rFonts w:hint="eastAsia" w:ascii="宋体" w:hAnsi="宋体" w:cs="宋体"/>
          <w:bCs/>
          <w:color w:val="auto"/>
          <w:szCs w:val="21"/>
          <w:u w:val="single"/>
        </w:rPr>
        <w:t xml:space="preserve">     </w:t>
      </w:r>
      <w:r>
        <w:rPr>
          <w:rFonts w:hint="eastAsia" w:ascii="宋体" w:hAnsi="宋体" w:cs="宋体"/>
          <w:bCs/>
          <w:color w:val="auto"/>
          <w:szCs w:val="21"/>
        </w:rPr>
        <w:t>月</w:t>
      </w:r>
      <w:r>
        <w:rPr>
          <w:rFonts w:hint="eastAsia" w:ascii="宋体" w:hAnsi="宋体" w:cs="宋体"/>
          <w:bCs/>
          <w:color w:val="auto"/>
          <w:szCs w:val="21"/>
          <w:u w:val="single"/>
        </w:rPr>
        <w:t xml:space="preserve">      </w:t>
      </w:r>
      <w:r>
        <w:rPr>
          <w:rFonts w:hint="eastAsia" w:ascii="宋体" w:hAnsi="宋体" w:cs="宋体"/>
          <w:bCs/>
          <w:color w:val="auto"/>
          <w:szCs w:val="21"/>
        </w:rPr>
        <w:t>日</w:t>
      </w:r>
    </w:p>
    <w:bookmarkEnd w:id="1131"/>
    <w:bookmarkEnd w:id="1132"/>
    <w:bookmarkEnd w:id="1133"/>
    <w:bookmarkEnd w:id="1147"/>
    <w:bookmarkEnd w:id="1148"/>
    <w:bookmarkEnd w:id="1149"/>
    <w:bookmarkEnd w:id="1150"/>
    <w:bookmarkEnd w:id="1151"/>
    <w:bookmarkEnd w:id="1152"/>
    <w:bookmarkEnd w:id="1153"/>
    <w:bookmarkEnd w:id="1154"/>
    <w:bookmarkEnd w:id="1155"/>
    <w:bookmarkEnd w:id="1156"/>
    <w:bookmarkEnd w:id="1157"/>
    <w:bookmarkEnd w:id="1158"/>
    <w:p w14:paraId="0D06DD0F">
      <w:pPr>
        <w:rPr>
          <w:rFonts w:hint="eastAsia" w:ascii="宋体" w:hAnsi="宋体" w:cs="宋体"/>
          <w:b/>
          <w:color w:val="auto"/>
          <w:sz w:val="30"/>
          <w:szCs w:val="30"/>
        </w:rPr>
      </w:pPr>
      <w:bookmarkStart w:id="1159" w:name="_Toc128658856"/>
      <w:bookmarkStart w:id="1160" w:name="_Toc103586124"/>
      <w:bookmarkStart w:id="1161" w:name="_Toc21376"/>
      <w:bookmarkStart w:id="1162" w:name="_Toc37603119"/>
      <w:bookmarkStart w:id="1163" w:name="_Toc42205066"/>
      <w:r>
        <w:rPr>
          <w:rFonts w:hint="eastAsia" w:ascii="宋体" w:hAnsi="宋体" w:cs="宋体"/>
          <w:b/>
          <w:color w:val="auto"/>
          <w:sz w:val="30"/>
          <w:szCs w:val="30"/>
        </w:rPr>
        <w:br w:type="page"/>
      </w:r>
    </w:p>
    <w:p w14:paraId="5B5B3C4C">
      <w:pPr>
        <w:spacing w:line="360" w:lineRule="auto"/>
        <w:jc w:val="center"/>
        <w:outlineLvl w:val="1"/>
        <w:rPr>
          <w:rFonts w:hint="eastAsia" w:ascii="宋体" w:hAnsi="宋体" w:cs="宋体"/>
          <w:b/>
          <w:color w:val="auto"/>
          <w:sz w:val="30"/>
          <w:szCs w:val="30"/>
        </w:rPr>
      </w:pPr>
      <w:bookmarkStart w:id="1164" w:name="_Toc1103342116"/>
      <w:r>
        <w:rPr>
          <w:rFonts w:hint="eastAsia" w:ascii="宋体" w:hAnsi="宋体" w:cs="宋体"/>
          <w:b/>
          <w:color w:val="auto"/>
          <w:sz w:val="30"/>
          <w:szCs w:val="30"/>
        </w:rPr>
        <w:t>二、商务报价文件</w:t>
      </w:r>
      <w:bookmarkEnd w:id="1159"/>
      <w:bookmarkEnd w:id="1164"/>
    </w:p>
    <w:p w14:paraId="5625241F">
      <w:pPr>
        <w:spacing w:line="360" w:lineRule="auto"/>
        <w:jc w:val="center"/>
        <w:outlineLvl w:val="2"/>
        <w:rPr>
          <w:rFonts w:hint="eastAsia" w:ascii="宋体" w:hAnsi="宋体" w:cs="宋体"/>
          <w:bCs/>
          <w:color w:val="auto"/>
          <w:sz w:val="28"/>
          <w:szCs w:val="28"/>
        </w:rPr>
      </w:pPr>
      <w:bookmarkStart w:id="1165" w:name="_Toc116584073"/>
      <w:r>
        <w:rPr>
          <w:rFonts w:hint="eastAsia" w:ascii="宋体" w:hAnsi="宋体" w:cs="宋体"/>
          <w:bCs/>
          <w:color w:val="auto"/>
          <w:sz w:val="28"/>
          <w:szCs w:val="28"/>
        </w:rPr>
        <w:t>（一）磋商函</w:t>
      </w:r>
      <w:bookmarkEnd w:id="1165"/>
    </w:p>
    <w:p w14:paraId="69E7A468">
      <w:pPr>
        <w:spacing w:line="360" w:lineRule="auto"/>
        <w:rPr>
          <w:rFonts w:hint="eastAsia" w:ascii="宋体" w:hAnsi="宋体" w:cs="宋体"/>
          <w:color w:val="auto"/>
          <w:szCs w:val="21"/>
        </w:rPr>
      </w:pPr>
      <w:r>
        <w:rPr>
          <w:rFonts w:hint="eastAsia" w:ascii="宋体" w:hAnsi="宋体" w:cs="宋体"/>
          <w:color w:val="auto"/>
          <w:szCs w:val="21"/>
        </w:rPr>
        <w:t>致：</w:t>
      </w:r>
      <w:r>
        <w:rPr>
          <w:rFonts w:hint="eastAsia" w:ascii="宋体" w:hAnsi="宋体" w:cs="宋体"/>
          <w:color w:val="auto"/>
          <w:szCs w:val="21"/>
          <w:u w:val="single"/>
        </w:rPr>
        <w:t xml:space="preserve">       （采购人名称）</w:t>
      </w:r>
    </w:p>
    <w:p w14:paraId="769B203D">
      <w:pPr>
        <w:wordWrap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1.根据你方采购项目编号为</w:t>
      </w:r>
      <w:r>
        <w:rPr>
          <w:rFonts w:hint="eastAsia" w:ascii="宋体" w:hAnsi="宋体" w:cs="宋体"/>
          <w:color w:val="auto"/>
          <w:szCs w:val="21"/>
          <w:u w:val="single"/>
        </w:rPr>
        <w:t xml:space="preserve">  （项目编号）  </w:t>
      </w:r>
      <w:r>
        <w:rPr>
          <w:rFonts w:hint="eastAsia" w:ascii="宋体" w:hAnsi="宋体" w:cs="宋体"/>
          <w:color w:val="auto"/>
          <w:szCs w:val="21"/>
        </w:rPr>
        <w:t>的</w:t>
      </w:r>
      <w:r>
        <w:rPr>
          <w:rFonts w:hint="eastAsia" w:ascii="宋体" w:hAnsi="宋体" w:cs="宋体"/>
          <w:color w:val="auto"/>
          <w:szCs w:val="21"/>
          <w:u w:val="single"/>
        </w:rPr>
        <w:t xml:space="preserve">       （项目名称）       </w:t>
      </w:r>
      <w:r>
        <w:rPr>
          <w:rFonts w:hint="eastAsia" w:ascii="宋体" w:hAnsi="宋体" w:cs="宋体"/>
          <w:color w:val="auto"/>
          <w:szCs w:val="21"/>
        </w:rPr>
        <w:t>采购文件，遵照《中华人民共和国政府采购法》、《中华人民共和国政府采购法实施条例》等相关法律法规的规定，经研究上述采购文件的供应商须知及采购需求后，</w:t>
      </w:r>
      <w:r>
        <w:rPr>
          <w:rFonts w:hint="eastAsia" w:ascii="宋体" w:hAnsi="宋体" w:cs="宋体"/>
          <w:snapToGrid w:val="0"/>
          <w:color w:val="auto"/>
          <w:kern w:val="0"/>
          <w:szCs w:val="21"/>
        </w:rPr>
        <w:t>我方愿意</w:t>
      </w:r>
      <w:r>
        <w:rPr>
          <w:rFonts w:hint="eastAsia" w:ascii="宋体" w:hAnsi="宋体" w:cs="宋体"/>
          <w:color w:val="auto"/>
        </w:rPr>
        <w:t>参与本项目的竞争性磋商活动。</w:t>
      </w:r>
    </w:p>
    <w:p w14:paraId="3830CB08">
      <w:pPr>
        <w:wordWrap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2.磋商有效期：</w:t>
      </w:r>
      <w:r>
        <w:rPr>
          <w:rFonts w:hint="eastAsia" w:ascii="宋体" w:hAnsi="宋体" w:cs="宋体"/>
          <w:color w:val="auto"/>
          <w:szCs w:val="21"/>
          <w:u w:val="single"/>
        </w:rPr>
        <w:t xml:space="preserve">         </w:t>
      </w:r>
      <w:r>
        <w:rPr>
          <w:rFonts w:hint="eastAsia" w:ascii="宋体" w:hAnsi="宋体" w:cs="宋体"/>
          <w:color w:val="auto"/>
          <w:szCs w:val="21"/>
        </w:rPr>
        <w:t>，我方承诺我方所提交的响应文件在此期间内有效。</w:t>
      </w:r>
    </w:p>
    <w:p w14:paraId="42E9C9F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3.如我方成交：</w:t>
      </w:r>
    </w:p>
    <w:p w14:paraId="1DF5332A">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（1）我方承诺在收到成交通知书后，在成交通知书规定的期限内与你方签订合同；</w:t>
      </w:r>
    </w:p>
    <w:p w14:paraId="62B89B7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（2）我方承诺在合同约定的服务期限内完成所有工作内容。</w:t>
      </w:r>
    </w:p>
    <w:p w14:paraId="5F30E97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4.我方在此声明，所提交的响应文件及有关资料内容完整、真实和准确。</w:t>
      </w:r>
    </w:p>
    <w:p w14:paraId="72794DC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5.在合同协议书正式签署生效之前，本磋商函连同你方的成交通知书将构成我们双方之间共同遵守的文件，对双方具有约束力。</w:t>
      </w:r>
    </w:p>
    <w:p w14:paraId="32A99313">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6.</w:t>
      </w:r>
      <w:r>
        <w:rPr>
          <w:rFonts w:hint="eastAsia" w:ascii="宋体" w:hAnsi="宋体" w:cs="宋体"/>
          <w:color w:val="auto"/>
          <w:szCs w:val="21"/>
          <w:u w:val="single"/>
        </w:rPr>
        <w:t xml:space="preserve">                     </w:t>
      </w:r>
      <w:r>
        <w:rPr>
          <w:rFonts w:hint="eastAsia" w:ascii="宋体" w:hAnsi="宋体" w:cs="宋体"/>
          <w:color w:val="auto"/>
          <w:szCs w:val="21"/>
        </w:rPr>
        <w:t>（其他补充说明）。</w:t>
      </w:r>
    </w:p>
    <w:p w14:paraId="2E7C1A58">
      <w:pPr>
        <w:autoSpaceDE w:val="0"/>
        <w:autoSpaceDN w:val="0"/>
        <w:adjustRightInd w:val="0"/>
        <w:spacing w:line="360" w:lineRule="auto"/>
        <w:rPr>
          <w:rFonts w:hint="eastAsia" w:ascii="宋体" w:hAnsi="宋体" w:cs="宋体"/>
          <w:color w:val="auto"/>
          <w:szCs w:val="21"/>
        </w:rPr>
      </w:pPr>
      <w:r>
        <w:rPr>
          <w:rFonts w:hint="eastAsia" w:ascii="宋体" w:hAnsi="宋体" w:cs="宋体"/>
          <w:color w:val="auto"/>
          <w:szCs w:val="21"/>
        </w:rPr>
        <w:t xml:space="preserve"> </w:t>
      </w:r>
    </w:p>
    <w:p w14:paraId="6A0B5EA9">
      <w:pPr>
        <w:autoSpaceDE w:val="0"/>
        <w:autoSpaceDN w:val="0"/>
        <w:adjustRightInd w:val="0"/>
        <w:spacing w:line="360" w:lineRule="auto"/>
        <w:rPr>
          <w:rFonts w:hint="eastAsia" w:ascii="宋体" w:hAnsi="宋体" w:cs="宋体"/>
          <w:color w:val="auto"/>
          <w:szCs w:val="21"/>
        </w:rPr>
      </w:pPr>
    </w:p>
    <w:p w14:paraId="513B582E">
      <w:pPr>
        <w:autoSpaceDE w:val="0"/>
        <w:autoSpaceDN w:val="0"/>
        <w:adjustRightInd w:val="0"/>
        <w:spacing w:line="480" w:lineRule="auto"/>
        <w:rPr>
          <w:rFonts w:hint="eastAsia" w:ascii="宋体" w:hAnsi="宋体" w:cs="宋体"/>
          <w:color w:val="auto"/>
          <w:szCs w:val="21"/>
        </w:rPr>
      </w:pPr>
    </w:p>
    <w:p w14:paraId="6CB2ADEE">
      <w:pPr>
        <w:autoSpaceDE w:val="0"/>
        <w:autoSpaceDN w:val="0"/>
        <w:adjustRightInd w:val="0"/>
        <w:spacing w:line="360" w:lineRule="auto"/>
        <w:ind w:firstLine="5040" w:firstLineChars="2400"/>
        <w:jc w:val="left"/>
        <w:rPr>
          <w:rFonts w:hint="eastAsia" w:ascii="宋体" w:hAnsi="宋体" w:cs="宋体"/>
          <w:bCs/>
          <w:color w:val="auto"/>
          <w:szCs w:val="21"/>
        </w:rPr>
      </w:pPr>
      <w:r>
        <w:rPr>
          <w:rFonts w:hint="eastAsia" w:ascii="宋体" w:hAnsi="宋体" w:cs="宋体"/>
          <w:bCs/>
          <w:color w:val="auto"/>
          <w:szCs w:val="21"/>
        </w:rPr>
        <w:t>供应商：</w:t>
      </w:r>
      <w:r>
        <w:rPr>
          <w:rFonts w:hint="eastAsia" w:ascii="宋体" w:hAnsi="宋体" w:cs="宋体"/>
          <w:bCs/>
          <w:color w:val="auto"/>
          <w:szCs w:val="21"/>
          <w:u w:val="single"/>
        </w:rPr>
        <w:t xml:space="preserve">            （</w:t>
      </w:r>
      <w:r>
        <w:rPr>
          <w:rFonts w:hint="eastAsia" w:ascii="宋体" w:hAnsi="宋体" w:cs="宋体"/>
          <w:color w:val="auto"/>
          <w:szCs w:val="21"/>
          <w:u w:val="single"/>
        </w:rPr>
        <w:t>电子签章</w:t>
      </w:r>
      <w:r>
        <w:rPr>
          <w:rFonts w:hint="eastAsia" w:ascii="宋体" w:hAnsi="宋体" w:cs="宋体"/>
          <w:bCs/>
          <w:color w:val="auto"/>
          <w:szCs w:val="21"/>
          <w:u w:val="single"/>
        </w:rPr>
        <w:t>）</w:t>
      </w:r>
    </w:p>
    <w:p w14:paraId="1DC77FC5">
      <w:pPr>
        <w:autoSpaceDE w:val="0"/>
        <w:autoSpaceDN w:val="0"/>
        <w:adjustRightInd w:val="0"/>
        <w:spacing w:line="360" w:lineRule="auto"/>
        <w:ind w:firstLine="5040" w:firstLineChars="2400"/>
        <w:jc w:val="left"/>
        <w:rPr>
          <w:rFonts w:hint="eastAsia" w:ascii="宋体" w:hAnsi="宋体" w:cs="宋体"/>
          <w:bCs/>
          <w:color w:val="auto"/>
          <w:szCs w:val="21"/>
        </w:rPr>
      </w:pPr>
      <w:r>
        <w:rPr>
          <w:rFonts w:hint="eastAsia" w:ascii="宋体" w:hAnsi="宋体" w:cs="宋体"/>
          <w:bCs/>
          <w:color w:val="auto"/>
          <w:szCs w:val="21"/>
        </w:rPr>
        <w:t>法定代表人：</w:t>
      </w:r>
      <w:r>
        <w:rPr>
          <w:rFonts w:hint="eastAsia" w:ascii="宋体" w:hAnsi="宋体" w:cs="宋体"/>
          <w:bCs/>
          <w:color w:val="auto"/>
          <w:szCs w:val="21"/>
          <w:u w:val="single"/>
        </w:rPr>
        <w:t xml:space="preserve">        （电子签章）</w:t>
      </w:r>
    </w:p>
    <w:p w14:paraId="097D693C">
      <w:pPr>
        <w:autoSpaceDE w:val="0"/>
        <w:autoSpaceDN w:val="0"/>
        <w:adjustRightInd w:val="0"/>
        <w:spacing w:line="360" w:lineRule="auto"/>
        <w:ind w:firstLine="5040" w:firstLineChars="2400"/>
        <w:jc w:val="left"/>
        <w:rPr>
          <w:rFonts w:hint="eastAsia" w:ascii="宋体" w:hAnsi="宋体" w:cs="宋体"/>
          <w:bCs/>
          <w:color w:val="auto"/>
          <w:szCs w:val="21"/>
          <w:u w:val="single"/>
        </w:rPr>
      </w:pPr>
      <w:r>
        <w:rPr>
          <w:rFonts w:hint="eastAsia" w:ascii="宋体" w:hAnsi="宋体" w:cs="宋体"/>
          <w:bCs/>
          <w:color w:val="auto"/>
          <w:szCs w:val="21"/>
        </w:rPr>
        <w:t>地址：</w:t>
      </w:r>
      <w:r>
        <w:rPr>
          <w:rFonts w:hint="eastAsia" w:ascii="宋体" w:hAnsi="宋体" w:cs="宋体"/>
          <w:bCs/>
          <w:color w:val="auto"/>
          <w:szCs w:val="21"/>
          <w:u w:val="single"/>
        </w:rPr>
        <w:t xml:space="preserve">                          </w:t>
      </w:r>
    </w:p>
    <w:p w14:paraId="2B3ACCE8">
      <w:pPr>
        <w:autoSpaceDE w:val="0"/>
        <w:autoSpaceDN w:val="0"/>
        <w:adjustRightInd w:val="0"/>
        <w:spacing w:line="360" w:lineRule="auto"/>
        <w:ind w:firstLine="5040" w:firstLineChars="2400"/>
        <w:jc w:val="left"/>
        <w:rPr>
          <w:rFonts w:hint="eastAsia" w:ascii="宋体" w:hAnsi="宋体" w:cs="宋体"/>
          <w:bCs/>
          <w:color w:val="auto"/>
          <w:szCs w:val="21"/>
          <w:u w:val="single"/>
        </w:rPr>
      </w:pPr>
      <w:r>
        <w:rPr>
          <w:rFonts w:hint="eastAsia" w:ascii="宋体" w:hAnsi="宋体" w:cs="宋体"/>
          <w:bCs/>
          <w:color w:val="auto"/>
          <w:szCs w:val="21"/>
        </w:rPr>
        <w:t>电话：</w:t>
      </w:r>
      <w:r>
        <w:rPr>
          <w:rFonts w:hint="eastAsia" w:ascii="宋体" w:hAnsi="宋体" w:cs="宋体"/>
          <w:bCs/>
          <w:color w:val="auto"/>
          <w:szCs w:val="21"/>
          <w:u w:val="single"/>
        </w:rPr>
        <w:t xml:space="preserve">                          </w:t>
      </w:r>
    </w:p>
    <w:p w14:paraId="09D3BD45">
      <w:pPr>
        <w:autoSpaceDE w:val="0"/>
        <w:autoSpaceDN w:val="0"/>
        <w:adjustRightInd w:val="0"/>
        <w:spacing w:line="360" w:lineRule="auto"/>
        <w:ind w:firstLine="5040" w:firstLineChars="2400"/>
        <w:jc w:val="left"/>
        <w:rPr>
          <w:rFonts w:hint="eastAsia" w:ascii="宋体" w:hAnsi="宋体" w:cs="宋体"/>
          <w:bCs/>
          <w:color w:val="auto"/>
          <w:szCs w:val="21"/>
        </w:rPr>
      </w:pPr>
      <w:r>
        <w:rPr>
          <w:rFonts w:hint="eastAsia" w:ascii="宋体" w:hAnsi="宋体" w:cs="宋体"/>
          <w:bCs/>
          <w:color w:val="auto"/>
          <w:szCs w:val="21"/>
        </w:rPr>
        <w:t>日期：</w:t>
      </w:r>
      <w:r>
        <w:rPr>
          <w:rFonts w:hint="eastAsia" w:ascii="宋体" w:hAnsi="宋体" w:cs="宋体"/>
          <w:bCs/>
          <w:color w:val="auto"/>
          <w:szCs w:val="21"/>
          <w:u w:val="single"/>
        </w:rPr>
        <w:t xml:space="preserve">      </w:t>
      </w:r>
      <w:r>
        <w:rPr>
          <w:rFonts w:hint="eastAsia" w:ascii="宋体" w:hAnsi="宋体" w:cs="宋体"/>
          <w:bCs/>
          <w:color w:val="auto"/>
          <w:szCs w:val="21"/>
        </w:rPr>
        <w:t>年</w:t>
      </w:r>
      <w:r>
        <w:rPr>
          <w:rFonts w:hint="eastAsia" w:ascii="宋体" w:hAnsi="宋体" w:cs="宋体"/>
          <w:bCs/>
          <w:color w:val="auto"/>
          <w:szCs w:val="21"/>
          <w:u w:val="single"/>
        </w:rPr>
        <w:t xml:space="preserve">     </w:t>
      </w:r>
      <w:r>
        <w:rPr>
          <w:rFonts w:hint="eastAsia" w:ascii="宋体" w:hAnsi="宋体" w:cs="宋体"/>
          <w:bCs/>
          <w:color w:val="auto"/>
          <w:szCs w:val="21"/>
        </w:rPr>
        <w:t>月</w:t>
      </w:r>
      <w:r>
        <w:rPr>
          <w:rFonts w:hint="eastAsia" w:ascii="宋体" w:hAnsi="宋体" w:cs="宋体"/>
          <w:bCs/>
          <w:color w:val="auto"/>
          <w:szCs w:val="21"/>
          <w:u w:val="single"/>
        </w:rPr>
        <w:t xml:space="preserve">      </w:t>
      </w:r>
      <w:r>
        <w:rPr>
          <w:rFonts w:hint="eastAsia" w:ascii="宋体" w:hAnsi="宋体" w:cs="宋体"/>
          <w:bCs/>
          <w:color w:val="auto"/>
          <w:szCs w:val="21"/>
        </w:rPr>
        <w:t>日</w:t>
      </w:r>
    </w:p>
    <w:p w14:paraId="1B10C381">
      <w:pPr>
        <w:widowControl/>
        <w:jc w:val="left"/>
        <w:rPr>
          <w:rFonts w:hint="eastAsia" w:ascii="宋体" w:hAnsi="宋体" w:cs="宋体"/>
          <w:b/>
          <w:color w:val="auto"/>
          <w:sz w:val="28"/>
          <w:szCs w:val="28"/>
        </w:rPr>
      </w:pPr>
      <w:bookmarkStart w:id="1166" w:name="_Toc116584074"/>
      <w:r>
        <w:rPr>
          <w:rFonts w:hint="eastAsia" w:ascii="宋体" w:hAnsi="宋体" w:cs="宋体"/>
          <w:b/>
          <w:color w:val="auto"/>
          <w:sz w:val="28"/>
          <w:szCs w:val="28"/>
        </w:rPr>
        <w:br w:type="page"/>
      </w:r>
    </w:p>
    <w:p w14:paraId="6D28F19E">
      <w:pPr>
        <w:spacing w:line="360" w:lineRule="auto"/>
        <w:jc w:val="center"/>
        <w:outlineLvl w:val="2"/>
        <w:rPr>
          <w:rFonts w:hint="eastAsia" w:ascii="宋体" w:hAnsi="宋体" w:cs="宋体"/>
          <w:bCs/>
          <w:color w:val="auto"/>
          <w:sz w:val="28"/>
          <w:szCs w:val="28"/>
        </w:rPr>
      </w:pPr>
      <w:r>
        <w:rPr>
          <w:rFonts w:hint="eastAsia" w:ascii="宋体" w:hAnsi="宋体" w:cs="宋体"/>
          <w:bCs/>
          <w:color w:val="auto"/>
          <w:sz w:val="28"/>
          <w:szCs w:val="28"/>
        </w:rPr>
        <w:t>（二）法定代表人身份证明</w:t>
      </w:r>
      <w:bookmarkEnd w:id="1166"/>
      <w:r>
        <w:rPr>
          <w:rFonts w:hint="eastAsia" w:ascii="宋体" w:hAnsi="宋体" w:cs="宋体"/>
          <w:bCs/>
          <w:color w:val="auto"/>
          <w:sz w:val="28"/>
          <w:szCs w:val="28"/>
        </w:rPr>
        <w:t>及授权委托书</w:t>
      </w:r>
    </w:p>
    <w:p w14:paraId="56CA3EB9">
      <w:pPr>
        <w:spacing w:line="360" w:lineRule="auto"/>
        <w:jc w:val="center"/>
        <w:outlineLvl w:val="3"/>
        <w:rPr>
          <w:rFonts w:hint="eastAsia" w:ascii="宋体" w:hAnsi="宋体" w:cs="宋体"/>
          <w:b/>
          <w:color w:val="auto"/>
          <w:sz w:val="28"/>
          <w:szCs w:val="28"/>
        </w:rPr>
      </w:pPr>
      <w:r>
        <w:rPr>
          <w:rFonts w:hint="eastAsia" w:ascii="宋体" w:hAnsi="宋体" w:cs="宋体"/>
          <w:b/>
          <w:color w:val="auto"/>
          <w:sz w:val="28"/>
          <w:szCs w:val="28"/>
        </w:rPr>
        <w:t>1.法定代表人身份证明</w:t>
      </w:r>
    </w:p>
    <w:p w14:paraId="27D510A8">
      <w:pPr>
        <w:spacing w:line="360" w:lineRule="auto"/>
        <w:rPr>
          <w:rFonts w:hint="eastAsia" w:ascii="宋体" w:hAnsi="宋体" w:cs="宋体"/>
          <w:color w:val="auto"/>
        </w:rPr>
      </w:pPr>
    </w:p>
    <w:p w14:paraId="33ECC184">
      <w:pPr>
        <w:spacing w:line="360" w:lineRule="auto"/>
        <w:ind w:firstLine="539" w:firstLineChars="257"/>
        <w:rPr>
          <w:rFonts w:hint="eastAsia" w:ascii="宋体" w:hAnsi="宋体" w:cs="宋体"/>
          <w:color w:val="auto"/>
          <w:szCs w:val="21"/>
        </w:rPr>
      </w:pPr>
      <w:r>
        <w:rPr>
          <w:rFonts w:hint="eastAsia" w:ascii="宋体" w:hAnsi="宋体" w:cs="宋体"/>
          <w:color w:val="auto"/>
          <w:szCs w:val="21"/>
        </w:rPr>
        <w:t>供应商：</w:t>
      </w:r>
      <w:r>
        <w:rPr>
          <w:rFonts w:hint="eastAsia" w:ascii="宋体" w:hAnsi="宋体" w:cs="宋体"/>
          <w:color w:val="auto"/>
          <w:szCs w:val="21"/>
          <w:u w:val="single"/>
        </w:rPr>
        <w:t xml:space="preserve">                                           </w:t>
      </w:r>
    </w:p>
    <w:p w14:paraId="1CC8BF8B">
      <w:pPr>
        <w:spacing w:line="360" w:lineRule="auto"/>
        <w:ind w:firstLine="539" w:firstLineChars="257"/>
        <w:rPr>
          <w:rFonts w:hint="eastAsia" w:ascii="宋体" w:hAnsi="宋体" w:cs="宋体"/>
          <w:color w:val="auto"/>
          <w:szCs w:val="21"/>
          <w:u w:val="single"/>
        </w:rPr>
      </w:pPr>
      <w:r>
        <w:rPr>
          <w:rFonts w:hint="eastAsia" w:ascii="宋体" w:hAnsi="宋体" w:cs="宋体"/>
          <w:color w:val="auto"/>
          <w:szCs w:val="21"/>
        </w:rPr>
        <w:t>单位性质：</w:t>
      </w:r>
      <w:r>
        <w:rPr>
          <w:rFonts w:hint="eastAsia" w:ascii="宋体" w:hAnsi="宋体" w:cs="宋体"/>
          <w:color w:val="auto"/>
          <w:szCs w:val="21"/>
          <w:u w:val="single"/>
        </w:rPr>
        <w:t xml:space="preserve">                                         </w:t>
      </w:r>
    </w:p>
    <w:p w14:paraId="5C690220">
      <w:pPr>
        <w:spacing w:line="360" w:lineRule="auto"/>
        <w:ind w:firstLine="539" w:firstLineChars="257"/>
        <w:rPr>
          <w:rFonts w:hint="eastAsia" w:ascii="宋体" w:hAnsi="宋体" w:cs="宋体"/>
          <w:color w:val="auto"/>
          <w:szCs w:val="21"/>
        </w:rPr>
      </w:pPr>
      <w:r>
        <w:rPr>
          <w:rFonts w:hint="eastAsia" w:ascii="宋体" w:hAnsi="宋体" w:cs="宋体"/>
          <w:color w:val="auto"/>
          <w:szCs w:val="21"/>
        </w:rPr>
        <w:t>地    址：</w:t>
      </w:r>
      <w:r>
        <w:rPr>
          <w:rFonts w:hint="eastAsia" w:ascii="宋体" w:hAnsi="宋体" w:cs="宋体"/>
          <w:color w:val="auto"/>
          <w:szCs w:val="21"/>
          <w:u w:val="single"/>
        </w:rPr>
        <w:t xml:space="preserve">                                         </w:t>
      </w:r>
    </w:p>
    <w:p w14:paraId="43835C2B">
      <w:pPr>
        <w:spacing w:line="360" w:lineRule="auto"/>
        <w:ind w:firstLine="539" w:firstLineChars="257"/>
        <w:rPr>
          <w:rFonts w:hint="eastAsia" w:ascii="宋体" w:hAnsi="宋体" w:cs="宋体"/>
          <w:color w:val="auto"/>
          <w:szCs w:val="21"/>
        </w:rPr>
      </w:pPr>
      <w:r>
        <w:rPr>
          <w:rFonts w:hint="eastAsia" w:ascii="宋体" w:hAnsi="宋体" w:cs="宋体"/>
          <w:color w:val="auto"/>
          <w:szCs w:val="21"/>
        </w:rPr>
        <w:t>成立时间：</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14:paraId="2173AF98">
      <w:pPr>
        <w:spacing w:line="360" w:lineRule="auto"/>
        <w:ind w:firstLine="539" w:firstLineChars="257"/>
        <w:rPr>
          <w:rFonts w:hint="eastAsia" w:ascii="宋体" w:hAnsi="宋体" w:cs="宋体"/>
          <w:color w:val="auto"/>
          <w:szCs w:val="21"/>
        </w:rPr>
      </w:pPr>
      <w:r>
        <w:rPr>
          <w:rFonts w:hint="eastAsia" w:ascii="宋体" w:hAnsi="宋体" w:cs="宋体"/>
          <w:color w:val="auto"/>
          <w:szCs w:val="21"/>
        </w:rPr>
        <w:t>经营期限：</w:t>
      </w:r>
      <w:r>
        <w:rPr>
          <w:rFonts w:hint="eastAsia" w:ascii="宋体" w:hAnsi="宋体" w:cs="宋体"/>
          <w:color w:val="auto"/>
          <w:szCs w:val="21"/>
          <w:u w:val="single"/>
        </w:rPr>
        <w:t xml:space="preserve">                                         </w:t>
      </w:r>
    </w:p>
    <w:p w14:paraId="6E24291E">
      <w:pPr>
        <w:spacing w:line="360" w:lineRule="auto"/>
        <w:ind w:firstLine="539" w:firstLineChars="257"/>
        <w:rPr>
          <w:rFonts w:hint="eastAsia" w:ascii="宋体" w:hAnsi="宋体" w:cs="宋体"/>
          <w:color w:val="auto"/>
          <w:szCs w:val="21"/>
        </w:rPr>
      </w:pPr>
      <w:r>
        <w:rPr>
          <w:rFonts w:hint="eastAsia" w:ascii="宋体" w:hAnsi="宋体" w:cs="宋体"/>
          <w:color w:val="auto"/>
          <w:szCs w:val="21"/>
        </w:rPr>
        <w:t>姓    名：</w:t>
      </w:r>
      <w:r>
        <w:rPr>
          <w:rFonts w:hint="eastAsia" w:ascii="宋体" w:hAnsi="宋体" w:cs="宋体"/>
          <w:color w:val="auto"/>
          <w:szCs w:val="21"/>
          <w:u w:val="single"/>
        </w:rPr>
        <w:t xml:space="preserve">                </w:t>
      </w:r>
      <w:r>
        <w:rPr>
          <w:rFonts w:hint="eastAsia" w:ascii="宋体" w:hAnsi="宋体" w:cs="宋体"/>
          <w:color w:val="auto"/>
          <w:szCs w:val="21"/>
        </w:rPr>
        <w:t xml:space="preserve">    性    别：</w:t>
      </w:r>
      <w:r>
        <w:rPr>
          <w:rFonts w:hint="eastAsia" w:ascii="宋体" w:hAnsi="宋体" w:cs="宋体"/>
          <w:color w:val="auto"/>
          <w:szCs w:val="21"/>
          <w:u w:val="single"/>
        </w:rPr>
        <w:t xml:space="preserve">           </w:t>
      </w:r>
    </w:p>
    <w:p w14:paraId="7C4A4800">
      <w:pPr>
        <w:spacing w:line="360" w:lineRule="auto"/>
        <w:ind w:firstLine="539" w:firstLineChars="257"/>
        <w:rPr>
          <w:rFonts w:hint="eastAsia" w:ascii="宋体" w:hAnsi="宋体" w:cs="宋体"/>
          <w:color w:val="auto"/>
          <w:szCs w:val="21"/>
        </w:rPr>
      </w:pPr>
      <w:r>
        <w:rPr>
          <w:rFonts w:hint="eastAsia" w:ascii="宋体" w:hAnsi="宋体" w:cs="宋体"/>
          <w:color w:val="auto"/>
          <w:szCs w:val="21"/>
        </w:rPr>
        <w:t>年    龄：</w:t>
      </w:r>
      <w:r>
        <w:rPr>
          <w:rFonts w:hint="eastAsia" w:ascii="宋体" w:hAnsi="宋体" w:cs="宋体"/>
          <w:color w:val="auto"/>
          <w:szCs w:val="21"/>
          <w:u w:val="single"/>
        </w:rPr>
        <w:t xml:space="preserve">                </w:t>
      </w:r>
      <w:r>
        <w:rPr>
          <w:rFonts w:hint="eastAsia" w:ascii="宋体" w:hAnsi="宋体" w:cs="宋体"/>
          <w:color w:val="auto"/>
          <w:szCs w:val="21"/>
        </w:rPr>
        <w:t xml:space="preserve">    职    务：</w:t>
      </w:r>
      <w:r>
        <w:rPr>
          <w:rFonts w:hint="eastAsia" w:ascii="宋体" w:hAnsi="宋体" w:cs="宋体"/>
          <w:color w:val="auto"/>
          <w:szCs w:val="21"/>
          <w:u w:val="single"/>
        </w:rPr>
        <w:t xml:space="preserve">           </w:t>
      </w:r>
    </w:p>
    <w:p w14:paraId="48B91B9D">
      <w:pPr>
        <w:spacing w:line="360" w:lineRule="auto"/>
        <w:ind w:firstLine="539" w:firstLineChars="257"/>
        <w:rPr>
          <w:rFonts w:hint="eastAsia" w:ascii="宋体" w:hAnsi="宋体" w:cs="宋体"/>
          <w:color w:val="auto"/>
          <w:szCs w:val="21"/>
        </w:rPr>
      </w:pPr>
      <w:r>
        <w:rPr>
          <w:rFonts w:hint="eastAsia" w:ascii="宋体" w:hAnsi="宋体" w:cs="宋体"/>
          <w:color w:val="auto"/>
          <w:szCs w:val="21"/>
        </w:rPr>
        <w:t>系</w:t>
      </w:r>
      <w:r>
        <w:rPr>
          <w:rFonts w:hint="eastAsia" w:ascii="宋体" w:hAnsi="宋体" w:cs="宋体"/>
          <w:color w:val="auto"/>
          <w:szCs w:val="21"/>
          <w:u w:val="single"/>
        </w:rPr>
        <w:t xml:space="preserve">                           </w:t>
      </w:r>
      <w:r>
        <w:rPr>
          <w:rFonts w:hint="eastAsia" w:ascii="宋体" w:hAnsi="宋体" w:cs="宋体"/>
          <w:color w:val="auto"/>
          <w:szCs w:val="21"/>
        </w:rPr>
        <w:t>（供应商）的法定代表人。</w:t>
      </w:r>
    </w:p>
    <w:p w14:paraId="00653A5E">
      <w:pPr>
        <w:autoSpaceDE w:val="0"/>
        <w:autoSpaceDN w:val="0"/>
        <w:adjustRightInd w:val="0"/>
        <w:spacing w:line="360" w:lineRule="auto"/>
        <w:ind w:firstLine="420"/>
        <w:jc w:val="center"/>
        <w:rPr>
          <w:rFonts w:hint="eastAsia" w:ascii="宋体" w:hAnsi="宋体" w:cs="宋体"/>
          <w:color w:val="auto"/>
          <w:szCs w:val="21"/>
        </w:rPr>
      </w:pPr>
    </w:p>
    <w:p w14:paraId="467CE3F1">
      <w:pPr>
        <w:spacing w:line="360" w:lineRule="auto"/>
        <w:ind w:firstLine="539" w:firstLineChars="257"/>
        <w:rPr>
          <w:rFonts w:hint="eastAsia" w:ascii="宋体" w:hAnsi="宋体" w:cs="宋体"/>
          <w:color w:val="auto"/>
          <w:szCs w:val="21"/>
        </w:rPr>
      </w:pPr>
      <w:r>
        <w:rPr>
          <w:rFonts w:hint="eastAsia" w:ascii="宋体" w:hAnsi="宋体" w:cs="宋体"/>
          <w:color w:val="auto"/>
          <w:szCs w:val="21"/>
        </w:rPr>
        <w:t>特此证明。</w:t>
      </w:r>
    </w:p>
    <w:p w14:paraId="40416C72">
      <w:pPr>
        <w:autoSpaceDE w:val="0"/>
        <w:autoSpaceDN w:val="0"/>
        <w:adjustRightInd w:val="0"/>
        <w:spacing w:line="360" w:lineRule="auto"/>
        <w:jc w:val="center"/>
        <w:rPr>
          <w:rFonts w:hint="eastAsia" w:ascii="宋体" w:hAnsi="宋体" w:cs="宋体"/>
          <w:b/>
          <w:bCs/>
          <w:color w:val="auto"/>
          <w:szCs w:val="21"/>
        </w:rPr>
      </w:pPr>
      <w:r>
        <w:rPr>
          <w:rFonts w:hint="eastAsia" w:ascii="宋体" w:hAnsi="宋体" w:cs="宋体"/>
          <w:b/>
          <w:bCs/>
          <w:color w:val="auto"/>
          <w:szCs w:val="21"/>
        </w:rPr>
        <w:t>附：法定代表人身份证的原件扫描件。</w:t>
      </w:r>
    </w:p>
    <w:p w14:paraId="28EA15C0">
      <w:pPr>
        <w:spacing w:line="360" w:lineRule="auto"/>
        <w:rPr>
          <w:rFonts w:hint="eastAsia" w:ascii="宋体" w:hAnsi="宋体" w:cs="宋体"/>
          <w:color w:val="auto"/>
          <w:szCs w:val="21"/>
        </w:rPr>
      </w:pPr>
    </w:p>
    <w:p w14:paraId="37513367">
      <w:pPr>
        <w:spacing w:line="360" w:lineRule="auto"/>
        <w:rPr>
          <w:rFonts w:hint="eastAsia" w:ascii="宋体" w:hAnsi="宋体" w:cs="宋体"/>
          <w:color w:val="auto"/>
          <w:szCs w:val="21"/>
        </w:rPr>
      </w:pPr>
    </w:p>
    <w:p w14:paraId="412DC94A">
      <w:pPr>
        <w:spacing w:line="360" w:lineRule="auto"/>
        <w:rPr>
          <w:rFonts w:hint="eastAsia" w:ascii="宋体" w:hAnsi="宋体" w:cs="宋体"/>
          <w:color w:val="auto"/>
          <w:szCs w:val="21"/>
        </w:rPr>
      </w:pPr>
    </w:p>
    <w:p w14:paraId="148FF1AE">
      <w:pPr>
        <w:spacing w:line="360" w:lineRule="auto"/>
        <w:rPr>
          <w:rFonts w:hint="eastAsia" w:ascii="宋体" w:hAnsi="宋体" w:cs="宋体"/>
          <w:color w:val="auto"/>
          <w:szCs w:val="21"/>
        </w:rPr>
      </w:pPr>
    </w:p>
    <w:p w14:paraId="713752DC">
      <w:pPr>
        <w:spacing w:line="360" w:lineRule="auto"/>
        <w:rPr>
          <w:rFonts w:hint="eastAsia" w:ascii="宋体" w:hAnsi="宋体" w:cs="宋体"/>
          <w:color w:val="auto"/>
          <w:szCs w:val="21"/>
        </w:rPr>
      </w:pPr>
    </w:p>
    <w:p w14:paraId="7272BA07">
      <w:pPr>
        <w:spacing w:line="360" w:lineRule="auto"/>
        <w:rPr>
          <w:rFonts w:hint="eastAsia" w:ascii="宋体" w:hAnsi="宋体" w:cs="宋体"/>
          <w:color w:val="auto"/>
          <w:szCs w:val="21"/>
        </w:rPr>
      </w:pPr>
    </w:p>
    <w:p w14:paraId="3657A557">
      <w:pPr>
        <w:spacing w:line="360" w:lineRule="auto"/>
        <w:rPr>
          <w:rFonts w:hint="eastAsia" w:ascii="宋体" w:hAnsi="宋体" w:cs="宋体"/>
          <w:color w:val="auto"/>
          <w:szCs w:val="21"/>
        </w:rPr>
      </w:pPr>
    </w:p>
    <w:p w14:paraId="5B6ECBC0">
      <w:pPr>
        <w:spacing w:line="360" w:lineRule="auto"/>
        <w:rPr>
          <w:rFonts w:hint="eastAsia" w:ascii="宋体" w:hAnsi="宋体" w:cs="宋体"/>
          <w:color w:val="auto"/>
          <w:szCs w:val="21"/>
        </w:rPr>
      </w:pPr>
    </w:p>
    <w:p w14:paraId="448B7A16">
      <w:pPr>
        <w:spacing w:line="360" w:lineRule="auto"/>
        <w:rPr>
          <w:rFonts w:hint="eastAsia" w:ascii="宋体" w:hAnsi="宋体" w:cs="宋体"/>
          <w:color w:val="auto"/>
          <w:szCs w:val="21"/>
        </w:rPr>
      </w:pPr>
    </w:p>
    <w:p w14:paraId="35D78911">
      <w:pPr>
        <w:wordWrap w:val="0"/>
        <w:spacing w:line="360" w:lineRule="auto"/>
        <w:ind w:right="105"/>
        <w:jc w:val="right"/>
        <w:rPr>
          <w:rFonts w:hint="eastAsia" w:ascii="宋体" w:hAnsi="宋体" w:cs="宋体"/>
          <w:color w:val="auto"/>
          <w:szCs w:val="21"/>
        </w:rPr>
      </w:pPr>
    </w:p>
    <w:p w14:paraId="28B21A4F">
      <w:pPr>
        <w:spacing w:line="360" w:lineRule="auto"/>
        <w:ind w:right="169"/>
        <w:jc w:val="left"/>
        <w:rPr>
          <w:rFonts w:hint="eastAsia" w:ascii="宋体" w:hAnsi="宋体" w:cs="宋体"/>
          <w:color w:val="auto"/>
          <w:szCs w:val="21"/>
          <w:u w:val="single"/>
        </w:rPr>
      </w:pPr>
      <w:r>
        <w:rPr>
          <w:rFonts w:hint="eastAsia" w:ascii="宋体" w:hAnsi="宋体" w:cs="宋体"/>
          <w:color w:val="auto"/>
          <w:szCs w:val="21"/>
        </w:rPr>
        <w:t xml:space="preserve">                                                  供应商：</w:t>
      </w:r>
      <w:r>
        <w:rPr>
          <w:rFonts w:hint="eastAsia" w:ascii="宋体" w:hAnsi="宋体" w:cs="宋体"/>
          <w:color w:val="auto"/>
          <w:szCs w:val="21"/>
          <w:u w:val="single"/>
        </w:rPr>
        <w:t xml:space="preserve">           （电子签章）</w:t>
      </w:r>
    </w:p>
    <w:p w14:paraId="53A806F7">
      <w:pPr>
        <w:spacing w:before="60" w:after="60" w:line="360" w:lineRule="auto"/>
        <w:ind w:right="420" w:firstLine="5250" w:firstLineChars="2500"/>
        <w:rPr>
          <w:rFonts w:hint="eastAsia" w:ascii="宋体" w:hAnsi="宋体" w:cs="宋体"/>
          <w:color w:val="auto"/>
          <w:szCs w:val="21"/>
        </w:rPr>
      </w:pPr>
      <w:r>
        <w:rPr>
          <w:rFonts w:hint="eastAsia" w:ascii="宋体" w:hAnsi="宋体" w:cs="宋体"/>
          <w:color w:val="auto"/>
          <w:szCs w:val="21"/>
        </w:rPr>
        <w:t>日 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14:paraId="70200965">
      <w:pPr>
        <w:spacing w:line="360" w:lineRule="auto"/>
        <w:ind w:firstLine="358" w:firstLineChars="170"/>
        <w:rPr>
          <w:rFonts w:hint="eastAsia" w:ascii="宋体" w:hAnsi="宋体" w:cs="宋体"/>
          <w:b/>
          <w:color w:val="auto"/>
          <w:szCs w:val="21"/>
        </w:rPr>
      </w:pPr>
    </w:p>
    <w:p w14:paraId="18155577">
      <w:pPr>
        <w:widowControl/>
        <w:spacing w:line="360" w:lineRule="auto"/>
        <w:jc w:val="left"/>
        <w:rPr>
          <w:rFonts w:hint="eastAsia" w:ascii="宋体" w:hAnsi="宋体" w:cs="宋体"/>
          <w:color w:val="auto"/>
          <w:szCs w:val="21"/>
        </w:rPr>
      </w:pPr>
    </w:p>
    <w:p w14:paraId="057C6DC2">
      <w:pPr>
        <w:spacing w:line="360" w:lineRule="auto"/>
        <w:jc w:val="center"/>
        <w:outlineLvl w:val="2"/>
        <w:rPr>
          <w:rFonts w:hint="eastAsia" w:ascii="宋体" w:hAnsi="宋体" w:cs="宋体"/>
          <w:b/>
          <w:color w:val="auto"/>
          <w:sz w:val="28"/>
          <w:szCs w:val="28"/>
        </w:rPr>
        <w:sectPr>
          <w:pgSz w:w="11906" w:h="16838"/>
          <w:pgMar w:top="1440" w:right="1304" w:bottom="1440" w:left="1304" w:header="851" w:footer="851" w:gutter="0"/>
          <w:cols w:space="720" w:num="1"/>
          <w:docGrid w:linePitch="312" w:charSpace="0"/>
        </w:sectPr>
      </w:pPr>
    </w:p>
    <w:p w14:paraId="118B4F72">
      <w:pPr>
        <w:spacing w:line="360" w:lineRule="auto"/>
        <w:jc w:val="center"/>
        <w:outlineLvl w:val="3"/>
        <w:rPr>
          <w:rFonts w:hint="eastAsia" w:ascii="宋体" w:hAnsi="宋体" w:cs="宋体"/>
          <w:b/>
          <w:color w:val="auto"/>
          <w:sz w:val="28"/>
          <w:szCs w:val="28"/>
        </w:rPr>
      </w:pPr>
      <w:bookmarkStart w:id="1167" w:name="_Toc116584075"/>
      <w:r>
        <w:rPr>
          <w:rFonts w:hint="eastAsia" w:ascii="宋体" w:hAnsi="宋体" w:cs="宋体"/>
          <w:b/>
          <w:color w:val="auto"/>
          <w:sz w:val="28"/>
          <w:szCs w:val="28"/>
        </w:rPr>
        <w:t>2.授权委托书</w:t>
      </w:r>
      <w:bookmarkEnd w:id="1167"/>
    </w:p>
    <w:p w14:paraId="28738316">
      <w:pPr>
        <w:spacing w:line="360" w:lineRule="auto"/>
        <w:rPr>
          <w:rFonts w:hint="eastAsia" w:ascii="宋体" w:hAnsi="宋体" w:cs="宋体"/>
          <w:color w:val="auto"/>
        </w:rPr>
      </w:pPr>
    </w:p>
    <w:p w14:paraId="72789F1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本人</w:t>
      </w:r>
      <w:r>
        <w:rPr>
          <w:rFonts w:hint="eastAsia" w:ascii="宋体" w:hAnsi="宋体" w:cs="宋体"/>
          <w:color w:val="auto"/>
          <w:szCs w:val="21"/>
          <w:u w:val="single"/>
        </w:rPr>
        <w:t xml:space="preserve">     </w:t>
      </w:r>
      <w:r>
        <w:rPr>
          <w:rFonts w:hint="eastAsia" w:ascii="宋体" w:hAnsi="宋体" w:cs="宋体"/>
          <w:color w:val="auto"/>
          <w:szCs w:val="21"/>
        </w:rPr>
        <w:t>（姓名）系</w:t>
      </w:r>
      <w:r>
        <w:rPr>
          <w:rFonts w:hint="eastAsia" w:ascii="宋体" w:hAnsi="宋体" w:cs="宋体"/>
          <w:color w:val="auto"/>
          <w:szCs w:val="21"/>
          <w:u w:val="single"/>
        </w:rPr>
        <w:t xml:space="preserve">             </w:t>
      </w:r>
      <w:r>
        <w:rPr>
          <w:rFonts w:hint="eastAsia" w:ascii="宋体" w:hAnsi="宋体" w:cs="宋体"/>
          <w:color w:val="auto"/>
          <w:szCs w:val="21"/>
        </w:rPr>
        <w:t>（供应商名称）的法定代表人，现委托</w:t>
      </w:r>
      <w:r>
        <w:rPr>
          <w:rFonts w:hint="eastAsia" w:ascii="宋体" w:hAnsi="宋体" w:cs="宋体"/>
          <w:color w:val="auto"/>
          <w:szCs w:val="21"/>
          <w:u w:val="single"/>
        </w:rPr>
        <w:t xml:space="preserve">       </w:t>
      </w:r>
      <w:r>
        <w:rPr>
          <w:rFonts w:hint="eastAsia" w:ascii="宋体" w:hAnsi="宋体" w:cs="宋体"/>
          <w:color w:val="auto"/>
          <w:szCs w:val="21"/>
        </w:rPr>
        <w:t>（姓名）为我方代理人。代理人根据授权，以我方名义签署、澄清、说明、补正、</w:t>
      </w:r>
      <w:r>
        <w:rPr>
          <w:rFonts w:hint="eastAsia" w:ascii="宋体" w:hAnsi="宋体" w:cs="宋体"/>
          <w:color w:val="auto"/>
          <w:szCs w:val="28"/>
        </w:rPr>
        <w:t>提交</w:t>
      </w:r>
      <w:r>
        <w:rPr>
          <w:rFonts w:hint="eastAsia" w:ascii="宋体" w:hAnsi="宋体" w:cs="宋体"/>
          <w:color w:val="auto"/>
          <w:szCs w:val="21"/>
        </w:rPr>
        <w:t>、撤回、修改</w:t>
      </w:r>
      <w:r>
        <w:rPr>
          <w:rFonts w:hint="eastAsia" w:ascii="宋体" w:hAnsi="宋体" w:cs="宋体"/>
          <w:color w:val="auto"/>
          <w:szCs w:val="21"/>
          <w:u w:val="single"/>
        </w:rPr>
        <w:t>（项目名称）</w:t>
      </w:r>
      <w:r>
        <w:rPr>
          <w:rFonts w:hint="eastAsia" w:ascii="宋体" w:hAnsi="宋体" w:cs="宋体"/>
          <w:color w:val="auto"/>
          <w:szCs w:val="21"/>
        </w:rPr>
        <w:t>的响应文件，其法律后果由我方承担。</w:t>
      </w:r>
    </w:p>
    <w:p w14:paraId="187BDC6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委托期限：</w:t>
      </w:r>
      <w:r>
        <w:rPr>
          <w:rFonts w:hint="eastAsia" w:ascii="宋体" w:hAnsi="宋体" w:cs="宋体"/>
          <w:color w:val="auto"/>
          <w:szCs w:val="21"/>
          <w:u w:val="single"/>
        </w:rPr>
        <w:t xml:space="preserve">                         </w:t>
      </w:r>
      <w:r>
        <w:rPr>
          <w:rFonts w:hint="eastAsia" w:ascii="宋体" w:hAnsi="宋体" w:cs="宋体"/>
          <w:color w:val="auto"/>
          <w:szCs w:val="21"/>
        </w:rPr>
        <w:t>。</w:t>
      </w:r>
    </w:p>
    <w:p w14:paraId="62C2DA9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代理人无转委托权。</w:t>
      </w:r>
    </w:p>
    <w:p w14:paraId="6848D321">
      <w:pPr>
        <w:autoSpaceDE w:val="0"/>
        <w:autoSpaceDN w:val="0"/>
        <w:adjustRightInd w:val="0"/>
        <w:spacing w:line="360" w:lineRule="auto"/>
        <w:rPr>
          <w:rFonts w:hint="eastAsia" w:ascii="宋体" w:hAnsi="宋体" w:cs="宋体"/>
          <w:color w:val="auto"/>
          <w:szCs w:val="21"/>
        </w:rPr>
      </w:pPr>
      <w:r>
        <w:rPr>
          <w:rFonts w:hint="eastAsia" w:ascii="宋体" w:hAnsi="宋体" w:cs="宋体"/>
          <w:color w:val="auto"/>
          <w:szCs w:val="21"/>
        </w:rPr>
        <w:t xml:space="preserve">        </w:t>
      </w:r>
    </w:p>
    <w:p w14:paraId="4CD897FE">
      <w:pPr>
        <w:autoSpaceDE w:val="0"/>
        <w:autoSpaceDN w:val="0"/>
        <w:adjustRightInd w:val="0"/>
        <w:spacing w:line="360" w:lineRule="auto"/>
        <w:jc w:val="center"/>
        <w:rPr>
          <w:rFonts w:hint="eastAsia" w:ascii="宋体" w:hAnsi="宋体" w:cs="宋体"/>
          <w:b/>
          <w:bCs/>
          <w:color w:val="auto"/>
          <w:szCs w:val="21"/>
        </w:rPr>
      </w:pPr>
      <w:r>
        <w:rPr>
          <w:rFonts w:hint="eastAsia" w:ascii="宋体" w:hAnsi="宋体" w:cs="宋体"/>
          <w:b/>
          <w:bCs/>
          <w:color w:val="auto"/>
          <w:szCs w:val="21"/>
        </w:rPr>
        <w:t>附：委托代理人身份证的原件扫描件。</w:t>
      </w:r>
    </w:p>
    <w:p w14:paraId="2C4BC08B">
      <w:pPr>
        <w:spacing w:line="360" w:lineRule="auto"/>
        <w:ind w:firstLine="420" w:firstLineChars="200"/>
        <w:rPr>
          <w:rFonts w:hint="eastAsia" w:ascii="宋体" w:hAnsi="宋体" w:cs="宋体"/>
          <w:color w:val="auto"/>
          <w:szCs w:val="21"/>
        </w:rPr>
      </w:pPr>
    </w:p>
    <w:p w14:paraId="71266318">
      <w:pPr>
        <w:spacing w:line="360" w:lineRule="auto"/>
        <w:ind w:firstLine="420" w:firstLineChars="200"/>
        <w:rPr>
          <w:rFonts w:hint="eastAsia" w:ascii="宋体" w:hAnsi="宋体" w:cs="宋体"/>
          <w:color w:val="auto"/>
          <w:szCs w:val="21"/>
        </w:rPr>
      </w:pPr>
    </w:p>
    <w:p w14:paraId="68B47E50">
      <w:pPr>
        <w:spacing w:line="360" w:lineRule="auto"/>
        <w:ind w:firstLine="420" w:firstLineChars="200"/>
        <w:rPr>
          <w:rFonts w:hint="eastAsia" w:ascii="宋体" w:hAnsi="宋体" w:cs="宋体"/>
          <w:color w:val="auto"/>
          <w:szCs w:val="21"/>
        </w:rPr>
      </w:pPr>
    </w:p>
    <w:p w14:paraId="6F5EA0CC">
      <w:pPr>
        <w:spacing w:line="360" w:lineRule="auto"/>
        <w:rPr>
          <w:rFonts w:hint="eastAsia" w:ascii="宋体" w:hAnsi="宋体" w:cs="宋体"/>
          <w:color w:val="auto"/>
          <w:szCs w:val="21"/>
        </w:rPr>
      </w:pPr>
    </w:p>
    <w:p w14:paraId="1C4B94DE">
      <w:pPr>
        <w:spacing w:line="360" w:lineRule="auto"/>
        <w:ind w:firstLine="420" w:firstLineChars="200"/>
        <w:rPr>
          <w:rFonts w:hint="eastAsia" w:ascii="宋体" w:hAnsi="宋体" w:cs="宋体"/>
          <w:color w:val="auto"/>
          <w:szCs w:val="21"/>
        </w:rPr>
      </w:pPr>
    </w:p>
    <w:p w14:paraId="1A9ACBB6">
      <w:pPr>
        <w:spacing w:line="360" w:lineRule="auto"/>
        <w:ind w:firstLine="539" w:firstLineChars="257"/>
        <w:rPr>
          <w:rFonts w:hint="eastAsia" w:ascii="宋体" w:hAnsi="宋体" w:cs="宋体"/>
          <w:color w:val="auto"/>
          <w:szCs w:val="21"/>
        </w:rPr>
      </w:pPr>
    </w:p>
    <w:p w14:paraId="3F85CE66">
      <w:pPr>
        <w:spacing w:line="360" w:lineRule="auto"/>
        <w:ind w:firstLine="539" w:firstLineChars="257"/>
        <w:rPr>
          <w:rFonts w:hint="eastAsia" w:ascii="宋体" w:hAnsi="宋体" w:cs="宋体"/>
          <w:color w:val="auto"/>
          <w:szCs w:val="21"/>
        </w:rPr>
      </w:pPr>
    </w:p>
    <w:p w14:paraId="0B4BEB43">
      <w:pPr>
        <w:spacing w:line="360" w:lineRule="auto"/>
        <w:ind w:firstLine="539" w:firstLineChars="257"/>
        <w:rPr>
          <w:rFonts w:hint="eastAsia" w:ascii="宋体" w:hAnsi="宋体" w:cs="宋体"/>
          <w:color w:val="auto"/>
          <w:szCs w:val="21"/>
        </w:rPr>
      </w:pPr>
    </w:p>
    <w:p w14:paraId="7A8D1266">
      <w:pPr>
        <w:spacing w:line="360" w:lineRule="auto"/>
        <w:ind w:firstLine="539" w:firstLineChars="257"/>
        <w:rPr>
          <w:rFonts w:hint="eastAsia" w:ascii="宋体" w:hAnsi="宋体" w:cs="宋体"/>
          <w:color w:val="auto"/>
          <w:szCs w:val="21"/>
        </w:rPr>
      </w:pPr>
    </w:p>
    <w:p w14:paraId="1107C194">
      <w:pPr>
        <w:spacing w:line="360" w:lineRule="auto"/>
        <w:ind w:right="420" w:firstLine="4515" w:firstLineChars="2150"/>
        <w:jc w:val="left"/>
        <w:rPr>
          <w:rFonts w:hint="eastAsia" w:ascii="宋体" w:hAnsi="宋体" w:cs="宋体"/>
          <w:color w:val="auto"/>
          <w:szCs w:val="21"/>
        </w:rPr>
      </w:pPr>
      <w:r>
        <w:rPr>
          <w:rFonts w:hint="eastAsia" w:ascii="宋体" w:hAnsi="宋体" w:cs="宋体"/>
          <w:color w:val="auto"/>
          <w:szCs w:val="21"/>
        </w:rPr>
        <w:t>供应商：</w:t>
      </w:r>
      <w:r>
        <w:rPr>
          <w:rFonts w:hint="eastAsia" w:ascii="宋体" w:hAnsi="宋体" w:cs="宋体"/>
          <w:color w:val="auto"/>
          <w:szCs w:val="21"/>
          <w:u w:val="single"/>
        </w:rPr>
        <w:t xml:space="preserve">                 （电子签章）</w:t>
      </w:r>
    </w:p>
    <w:p w14:paraId="7199FB3E">
      <w:pPr>
        <w:wordWrap w:val="0"/>
        <w:spacing w:line="360" w:lineRule="auto"/>
        <w:ind w:right="420" w:firstLine="4515" w:firstLineChars="2150"/>
        <w:jc w:val="left"/>
        <w:rPr>
          <w:rFonts w:hint="eastAsia" w:ascii="宋体" w:hAnsi="宋体" w:cs="宋体"/>
          <w:color w:val="auto"/>
          <w:szCs w:val="21"/>
          <w:u w:val="single"/>
        </w:rPr>
      </w:pPr>
      <w:r>
        <w:rPr>
          <w:rFonts w:hint="eastAsia" w:ascii="宋体" w:hAnsi="宋体" w:cs="宋体"/>
          <w:color w:val="auto"/>
          <w:szCs w:val="21"/>
        </w:rPr>
        <w:t>法定代表人：</w:t>
      </w:r>
      <w:r>
        <w:rPr>
          <w:rFonts w:hint="eastAsia" w:ascii="宋体" w:hAnsi="宋体" w:cs="宋体"/>
          <w:color w:val="auto"/>
          <w:szCs w:val="21"/>
          <w:u w:val="single"/>
        </w:rPr>
        <w:t xml:space="preserve">             （电子签章）</w:t>
      </w:r>
    </w:p>
    <w:p w14:paraId="3B48675E">
      <w:pPr>
        <w:wordWrap w:val="0"/>
        <w:spacing w:line="360" w:lineRule="auto"/>
        <w:ind w:right="464" w:firstLine="4515" w:firstLineChars="2150"/>
        <w:jc w:val="left"/>
        <w:rPr>
          <w:rFonts w:hint="eastAsia" w:ascii="宋体" w:hAnsi="宋体" w:cs="宋体"/>
          <w:color w:val="auto"/>
          <w:szCs w:val="21"/>
        </w:rPr>
      </w:pPr>
      <w:r>
        <w:rPr>
          <w:rFonts w:hint="eastAsia" w:ascii="宋体" w:hAnsi="宋体" w:cs="宋体"/>
          <w:color w:val="auto"/>
          <w:szCs w:val="21"/>
        </w:rPr>
        <w:t>身份证号码：</w:t>
      </w:r>
      <w:r>
        <w:rPr>
          <w:rFonts w:hint="eastAsia" w:ascii="宋体" w:hAnsi="宋体" w:cs="宋体"/>
          <w:color w:val="auto"/>
          <w:szCs w:val="21"/>
          <w:u w:val="single"/>
        </w:rPr>
        <w:t xml:space="preserve">                         </w:t>
      </w:r>
    </w:p>
    <w:p w14:paraId="63B26613">
      <w:pPr>
        <w:wordWrap w:val="0"/>
        <w:spacing w:line="360" w:lineRule="auto"/>
        <w:ind w:right="420" w:firstLine="4515" w:firstLineChars="2150"/>
        <w:jc w:val="left"/>
        <w:rPr>
          <w:rFonts w:hint="eastAsia" w:ascii="宋体" w:hAnsi="宋体" w:cs="宋体"/>
          <w:color w:val="auto"/>
          <w:szCs w:val="21"/>
        </w:rPr>
      </w:pPr>
      <w:r>
        <w:rPr>
          <w:rFonts w:hint="eastAsia" w:ascii="宋体" w:hAnsi="宋体" w:cs="宋体"/>
          <w:color w:val="auto"/>
          <w:szCs w:val="21"/>
        </w:rPr>
        <w:t>授权委托人：</w:t>
      </w:r>
      <w:r>
        <w:rPr>
          <w:rFonts w:hint="eastAsia" w:ascii="宋体" w:hAnsi="宋体" w:cs="宋体"/>
          <w:color w:val="auto"/>
          <w:szCs w:val="21"/>
          <w:u w:val="single"/>
        </w:rPr>
        <w:t xml:space="preserve">                         </w:t>
      </w:r>
    </w:p>
    <w:p w14:paraId="4E02DA71">
      <w:pPr>
        <w:wordWrap w:val="0"/>
        <w:spacing w:line="360" w:lineRule="auto"/>
        <w:ind w:right="464" w:firstLine="4515" w:firstLineChars="2150"/>
        <w:jc w:val="left"/>
        <w:rPr>
          <w:rFonts w:hint="eastAsia" w:ascii="宋体" w:hAnsi="宋体" w:cs="宋体"/>
          <w:color w:val="auto"/>
          <w:szCs w:val="21"/>
          <w:u w:val="single"/>
        </w:rPr>
      </w:pPr>
      <w:r>
        <w:rPr>
          <w:rFonts w:hint="eastAsia" w:ascii="宋体" w:hAnsi="宋体" w:cs="宋体"/>
          <w:color w:val="auto"/>
          <w:szCs w:val="21"/>
        </w:rPr>
        <w:t>身份证号码：</w:t>
      </w:r>
      <w:r>
        <w:rPr>
          <w:rFonts w:hint="eastAsia" w:ascii="宋体" w:hAnsi="宋体" w:cs="宋体"/>
          <w:color w:val="auto"/>
          <w:szCs w:val="21"/>
          <w:u w:val="single"/>
        </w:rPr>
        <w:t xml:space="preserve">                         </w:t>
      </w:r>
    </w:p>
    <w:p w14:paraId="5E82FE56">
      <w:pPr>
        <w:wordWrap w:val="0"/>
        <w:spacing w:line="360" w:lineRule="auto"/>
        <w:ind w:right="464" w:firstLine="4515" w:firstLineChars="2150"/>
        <w:jc w:val="left"/>
        <w:rPr>
          <w:rFonts w:hint="eastAsia" w:ascii="宋体" w:hAnsi="宋体" w:cs="宋体"/>
          <w:color w:val="auto"/>
          <w:szCs w:val="21"/>
        </w:rPr>
      </w:pPr>
      <w:r>
        <w:rPr>
          <w:rFonts w:hint="eastAsia" w:ascii="宋体" w:hAnsi="宋体" w:cs="宋体"/>
          <w:color w:val="auto"/>
          <w:szCs w:val="21"/>
        </w:rPr>
        <w:t>日 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14:paraId="6264088D">
      <w:pPr>
        <w:spacing w:before="60" w:after="60" w:line="360" w:lineRule="auto"/>
        <w:ind w:right="840"/>
        <w:jc w:val="center"/>
        <w:rPr>
          <w:rFonts w:hint="eastAsia" w:ascii="宋体" w:hAnsi="宋体" w:cs="宋体"/>
          <w:color w:val="auto"/>
          <w:szCs w:val="21"/>
        </w:rPr>
      </w:pPr>
    </w:p>
    <w:p w14:paraId="32A8E4DC">
      <w:pPr>
        <w:spacing w:line="360" w:lineRule="auto"/>
        <w:ind w:right="420"/>
        <w:rPr>
          <w:rFonts w:hint="eastAsia" w:ascii="宋体" w:hAnsi="宋体" w:cs="宋体"/>
          <w:b/>
          <w:color w:val="auto"/>
          <w:szCs w:val="21"/>
        </w:rPr>
      </w:pPr>
    </w:p>
    <w:p w14:paraId="1460AB62">
      <w:pPr>
        <w:spacing w:line="360" w:lineRule="auto"/>
        <w:ind w:right="420" w:firstLine="422" w:firstLineChars="200"/>
        <w:rPr>
          <w:rFonts w:hint="eastAsia" w:ascii="宋体" w:hAnsi="宋体" w:cs="宋体"/>
          <w:b/>
          <w:bCs/>
          <w:color w:val="auto"/>
          <w:szCs w:val="21"/>
        </w:rPr>
      </w:pPr>
      <w:r>
        <w:rPr>
          <w:rFonts w:hint="eastAsia" w:ascii="宋体" w:hAnsi="宋体" w:cs="宋体"/>
          <w:b/>
          <w:bCs/>
          <w:color w:val="auto"/>
          <w:szCs w:val="21"/>
        </w:rPr>
        <w:t>注：1.如供应商由法定代表人亲自签署响应文件并参与相关活动，则不需要办理授权；如有被授权的代理人签署上述文件，则必须按本格式规定填报并提交授权书，否则被授权的代理人将不被认可。</w:t>
      </w:r>
    </w:p>
    <w:p w14:paraId="5B9B91D0">
      <w:pPr>
        <w:spacing w:line="360" w:lineRule="auto"/>
        <w:ind w:right="420" w:firstLine="843" w:firstLineChars="400"/>
        <w:rPr>
          <w:rFonts w:hint="eastAsia" w:ascii="宋体" w:hAnsi="宋体" w:cs="宋体"/>
          <w:b/>
          <w:bCs/>
          <w:color w:val="auto"/>
          <w:szCs w:val="21"/>
        </w:rPr>
      </w:pPr>
      <w:r>
        <w:rPr>
          <w:rFonts w:hint="eastAsia" w:ascii="宋体" w:hAnsi="宋体" w:cs="宋体"/>
          <w:b/>
          <w:bCs/>
          <w:color w:val="auto"/>
          <w:szCs w:val="21"/>
        </w:rPr>
        <w:t>2.本授权委托书配合法定代表人身份证明使用方可生效。</w:t>
      </w:r>
    </w:p>
    <w:p w14:paraId="7A35AFC7">
      <w:pPr>
        <w:pStyle w:val="5"/>
        <w:spacing w:line="360" w:lineRule="auto"/>
        <w:rPr>
          <w:rFonts w:hint="eastAsia" w:ascii="宋体" w:hAnsi="宋体" w:cs="宋体"/>
          <w:color w:val="auto"/>
        </w:rPr>
        <w:sectPr>
          <w:pgSz w:w="11906" w:h="16838"/>
          <w:pgMar w:top="1440" w:right="1304" w:bottom="1440" w:left="1304" w:header="851" w:footer="851" w:gutter="0"/>
          <w:cols w:space="720" w:num="1"/>
          <w:docGrid w:linePitch="312" w:charSpace="0"/>
        </w:sectPr>
      </w:pPr>
    </w:p>
    <w:p w14:paraId="78A54F9D">
      <w:pPr>
        <w:spacing w:line="360" w:lineRule="auto"/>
        <w:jc w:val="center"/>
        <w:outlineLvl w:val="2"/>
        <w:rPr>
          <w:rFonts w:hint="eastAsia" w:ascii="宋体" w:hAnsi="宋体" w:cs="宋体"/>
          <w:bCs/>
          <w:color w:val="auto"/>
          <w:sz w:val="28"/>
          <w:szCs w:val="28"/>
        </w:rPr>
      </w:pPr>
      <w:bookmarkStart w:id="1168" w:name="_Toc116584076"/>
      <w:r>
        <w:rPr>
          <w:rFonts w:hint="eastAsia" w:ascii="宋体" w:hAnsi="宋体" w:cs="宋体"/>
          <w:bCs/>
          <w:color w:val="auto"/>
          <w:sz w:val="28"/>
          <w:szCs w:val="28"/>
        </w:rPr>
        <w:t>（三）拟派服务人员承诺书</w:t>
      </w:r>
    </w:p>
    <w:p w14:paraId="78EC30A5">
      <w:pPr>
        <w:spacing w:line="360" w:lineRule="auto"/>
        <w:ind w:firstLine="420" w:firstLineChars="200"/>
        <w:jc w:val="left"/>
        <w:rPr>
          <w:rFonts w:hint="eastAsia" w:ascii="宋体" w:hAnsi="宋体" w:cs="宋体"/>
          <w:color w:val="auto"/>
          <w:szCs w:val="22"/>
          <w:lang w:val="zh-CN"/>
        </w:rPr>
      </w:pPr>
      <w:r>
        <w:rPr>
          <w:rFonts w:hint="eastAsia" w:ascii="宋体" w:hAnsi="宋体" w:cs="宋体"/>
          <w:color w:val="auto"/>
          <w:szCs w:val="22"/>
          <w:lang w:val="zh-CN"/>
        </w:rPr>
        <w:t>供应商自行承诺，并对承诺内容的真实性负责。供应商的承诺内容应对采购文件第五章“采购需求”中有关服务人员的要求作出响应。</w:t>
      </w:r>
    </w:p>
    <w:p w14:paraId="18131877">
      <w:pPr>
        <w:spacing w:line="360" w:lineRule="auto"/>
        <w:ind w:firstLine="420" w:firstLineChars="200"/>
        <w:rPr>
          <w:rFonts w:hint="eastAsia" w:ascii="宋体" w:hAnsi="宋体" w:cs="宋体"/>
          <w:color w:val="auto"/>
        </w:rPr>
      </w:pPr>
    </w:p>
    <w:p w14:paraId="2F9E3DB6">
      <w:pPr>
        <w:spacing w:line="360" w:lineRule="auto"/>
        <w:ind w:firstLine="420" w:firstLineChars="200"/>
        <w:rPr>
          <w:rFonts w:hint="eastAsia" w:ascii="宋体" w:hAnsi="宋体" w:cs="宋体"/>
          <w:color w:val="auto"/>
        </w:rPr>
      </w:pPr>
    </w:p>
    <w:p w14:paraId="64B23699">
      <w:pPr>
        <w:spacing w:line="360" w:lineRule="auto"/>
        <w:ind w:firstLine="420" w:firstLineChars="200"/>
        <w:rPr>
          <w:rFonts w:hint="eastAsia" w:ascii="宋体" w:hAnsi="宋体" w:cs="宋体"/>
          <w:color w:val="auto"/>
        </w:rPr>
      </w:pPr>
    </w:p>
    <w:p w14:paraId="23E5705D">
      <w:pPr>
        <w:spacing w:line="360" w:lineRule="auto"/>
        <w:ind w:firstLine="420" w:firstLineChars="200"/>
        <w:rPr>
          <w:rFonts w:hint="eastAsia" w:ascii="宋体" w:hAnsi="宋体" w:cs="宋体"/>
          <w:color w:val="auto"/>
        </w:rPr>
      </w:pPr>
    </w:p>
    <w:p w14:paraId="34145F07">
      <w:pPr>
        <w:spacing w:line="360" w:lineRule="auto"/>
        <w:ind w:firstLine="420" w:firstLineChars="200"/>
        <w:rPr>
          <w:rFonts w:hint="eastAsia" w:ascii="宋体" w:hAnsi="宋体" w:cs="宋体"/>
          <w:color w:val="auto"/>
        </w:rPr>
      </w:pPr>
    </w:p>
    <w:p w14:paraId="0C8E4EB6">
      <w:pPr>
        <w:autoSpaceDE w:val="0"/>
        <w:autoSpaceDN w:val="0"/>
        <w:adjustRightInd w:val="0"/>
        <w:spacing w:line="480" w:lineRule="auto"/>
        <w:ind w:firstLine="5040" w:firstLineChars="2400"/>
        <w:jc w:val="left"/>
        <w:rPr>
          <w:rFonts w:hint="eastAsia" w:ascii="宋体" w:hAnsi="宋体" w:cs="宋体"/>
          <w:bCs/>
          <w:color w:val="auto"/>
          <w:szCs w:val="21"/>
        </w:rPr>
      </w:pPr>
      <w:r>
        <w:rPr>
          <w:rFonts w:hint="eastAsia" w:ascii="宋体" w:hAnsi="宋体" w:cs="宋体"/>
          <w:bCs/>
          <w:color w:val="auto"/>
          <w:szCs w:val="21"/>
        </w:rPr>
        <w:t>供应商：</w:t>
      </w:r>
      <w:r>
        <w:rPr>
          <w:rFonts w:hint="eastAsia" w:ascii="宋体" w:hAnsi="宋体" w:cs="宋体"/>
          <w:bCs/>
          <w:color w:val="auto"/>
          <w:szCs w:val="21"/>
          <w:u w:val="single"/>
        </w:rPr>
        <w:t xml:space="preserve">               （</w:t>
      </w:r>
      <w:r>
        <w:rPr>
          <w:rFonts w:hint="eastAsia" w:ascii="宋体" w:hAnsi="宋体" w:cs="宋体"/>
          <w:color w:val="auto"/>
          <w:szCs w:val="21"/>
          <w:u w:val="single"/>
        </w:rPr>
        <w:t>电子签章</w:t>
      </w:r>
      <w:r>
        <w:rPr>
          <w:rFonts w:hint="eastAsia" w:ascii="宋体" w:hAnsi="宋体" w:cs="宋体"/>
          <w:bCs/>
          <w:color w:val="auto"/>
          <w:szCs w:val="21"/>
          <w:u w:val="single"/>
        </w:rPr>
        <w:t>）</w:t>
      </w:r>
    </w:p>
    <w:p w14:paraId="4A6E5450">
      <w:pPr>
        <w:autoSpaceDE w:val="0"/>
        <w:autoSpaceDN w:val="0"/>
        <w:adjustRightInd w:val="0"/>
        <w:spacing w:line="480" w:lineRule="auto"/>
        <w:ind w:firstLine="5040" w:firstLineChars="2400"/>
        <w:jc w:val="left"/>
        <w:rPr>
          <w:rFonts w:hint="eastAsia" w:ascii="宋体" w:hAnsi="宋体" w:cs="宋体"/>
          <w:bCs/>
          <w:color w:val="auto"/>
          <w:szCs w:val="21"/>
        </w:rPr>
      </w:pPr>
      <w:r>
        <w:rPr>
          <w:rFonts w:hint="eastAsia" w:ascii="宋体" w:hAnsi="宋体" w:cs="宋体"/>
          <w:bCs/>
          <w:color w:val="auto"/>
          <w:szCs w:val="21"/>
        </w:rPr>
        <w:t>法定代表人：</w:t>
      </w:r>
      <w:r>
        <w:rPr>
          <w:rFonts w:hint="eastAsia" w:ascii="宋体" w:hAnsi="宋体" w:cs="宋体"/>
          <w:bCs/>
          <w:color w:val="auto"/>
          <w:szCs w:val="21"/>
          <w:u w:val="single"/>
        </w:rPr>
        <w:t xml:space="preserve">           （电子签章）</w:t>
      </w:r>
    </w:p>
    <w:p w14:paraId="05A563BF">
      <w:pPr>
        <w:autoSpaceDE w:val="0"/>
        <w:autoSpaceDN w:val="0"/>
        <w:adjustRightInd w:val="0"/>
        <w:spacing w:line="480" w:lineRule="auto"/>
        <w:ind w:firstLine="5040" w:firstLineChars="2400"/>
        <w:jc w:val="left"/>
        <w:rPr>
          <w:rFonts w:hint="eastAsia" w:ascii="宋体" w:hAnsi="宋体" w:cs="宋体"/>
          <w:bCs/>
          <w:color w:val="auto"/>
          <w:szCs w:val="21"/>
        </w:rPr>
      </w:pPr>
      <w:r>
        <w:rPr>
          <w:rFonts w:hint="eastAsia" w:ascii="宋体" w:hAnsi="宋体" w:cs="宋体"/>
          <w:bCs/>
          <w:color w:val="auto"/>
          <w:szCs w:val="21"/>
        </w:rPr>
        <w:t>日期：</w:t>
      </w:r>
      <w:r>
        <w:rPr>
          <w:rFonts w:hint="eastAsia" w:ascii="宋体" w:hAnsi="宋体" w:cs="宋体"/>
          <w:bCs/>
          <w:color w:val="auto"/>
          <w:szCs w:val="21"/>
          <w:u w:val="single"/>
        </w:rPr>
        <w:t xml:space="preserve">      </w:t>
      </w:r>
      <w:r>
        <w:rPr>
          <w:rFonts w:hint="eastAsia" w:ascii="宋体" w:hAnsi="宋体" w:cs="宋体"/>
          <w:bCs/>
          <w:color w:val="auto"/>
          <w:szCs w:val="21"/>
        </w:rPr>
        <w:t>年</w:t>
      </w:r>
      <w:r>
        <w:rPr>
          <w:rFonts w:hint="eastAsia" w:ascii="宋体" w:hAnsi="宋体" w:cs="宋体"/>
          <w:bCs/>
          <w:color w:val="auto"/>
          <w:szCs w:val="21"/>
          <w:u w:val="single"/>
        </w:rPr>
        <w:t xml:space="preserve">     </w:t>
      </w:r>
      <w:r>
        <w:rPr>
          <w:rFonts w:hint="eastAsia" w:ascii="宋体" w:hAnsi="宋体" w:cs="宋体"/>
          <w:bCs/>
          <w:color w:val="auto"/>
          <w:szCs w:val="21"/>
        </w:rPr>
        <w:t>月</w:t>
      </w:r>
      <w:r>
        <w:rPr>
          <w:rFonts w:hint="eastAsia" w:ascii="宋体" w:hAnsi="宋体" w:cs="宋体"/>
          <w:bCs/>
          <w:color w:val="auto"/>
          <w:szCs w:val="21"/>
          <w:u w:val="single"/>
        </w:rPr>
        <w:t xml:space="preserve">      </w:t>
      </w:r>
      <w:r>
        <w:rPr>
          <w:rFonts w:hint="eastAsia" w:ascii="宋体" w:hAnsi="宋体" w:cs="宋体"/>
          <w:bCs/>
          <w:color w:val="auto"/>
          <w:szCs w:val="21"/>
        </w:rPr>
        <w:t>日</w:t>
      </w:r>
    </w:p>
    <w:p w14:paraId="34F05255">
      <w:pPr>
        <w:rPr>
          <w:rFonts w:hint="eastAsia" w:ascii="宋体" w:hAnsi="宋体" w:cs="宋体"/>
          <w:bCs/>
          <w:color w:val="auto"/>
          <w:sz w:val="28"/>
          <w:szCs w:val="28"/>
        </w:rPr>
      </w:pPr>
      <w:r>
        <w:rPr>
          <w:rFonts w:hint="eastAsia" w:ascii="宋体" w:hAnsi="宋体" w:cs="宋体"/>
          <w:bCs/>
          <w:color w:val="auto"/>
          <w:sz w:val="28"/>
          <w:szCs w:val="28"/>
        </w:rPr>
        <w:br w:type="page"/>
      </w:r>
    </w:p>
    <w:p w14:paraId="02934659">
      <w:pPr>
        <w:spacing w:line="360" w:lineRule="auto"/>
        <w:jc w:val="center"/>
        <w:outlineLvl w:val="2"/>
        <w:rPr>
          <w:rFonts w:hint="eastAsia" w:ascii="宋体" w:hAnsi="宋体" w:cs="宋体"/>
          <w:bCs/>
          <w:color w:val="auto"/>
          <w:sz w:val="28"/>
          <w:szCs w:val="28"/>
        </w:rPr>
      </w:pPr>
      <w:r>
        <w:rPr>
          <w:rFonts w:hint="eastAsia" w:ascii="宋体" w:hAnsi="宋体" w:cs="宋体"/>
          <w:bCs/>
          <w:color w:val="auto"/>
          <w:sz w:val="28"/>
          <w:szCs w:val="28"/>
        </w:rPr>
        <w:t>（四）</w:t>
      </w:r>
      <w:bookmarkEnd w:id="1168"/>
      <w:bookmarkStart w:id="1169" w:name="_Toc116584077"/>
      <w:r>
        <w:rPr>
          <w:rFonts w:hint="eastAsia" w:ascii="宋体" w:hAnsi="宋体" w:cs="宋体"/>
          <w:bCs/>
          <w:color w:val="auto"/>
          <w:sz w:val="28"/>
          <w:szCs w:val="28"/>
        </w:rPr>
        <w:t>供应商承诺书</w:t>
      </w:r>
      <w:bookmarkEnd w:id="1169"/>
    </w:p>
    <w:p w14:paraId="66FE7209">
      <w:pPr>
        <w:pStyle w:val="138"/>
        <w:spacing w:line="360" w:lineRule="auto"/>
        <w:rPr>
          <w:rFonts w:hint="eastAsia" w:ascii="宋体" w:hAnsi="宋体" w:cs="宋体"/>
          <w:color w:val="auto"/>
          <w:lang w:val="zh-CN"/>
        </w:rPr>
      </w:pPr>
    </w:p>
    <w:p w14:paraId="4A69BBD5">
      <w:pPr>
        <w:pStyle w:val="138"/>
        <w:spacing w:line="360" w:lineRule="auto"/>
        <w:ind w:firstLine="420" w:firstLineChars="200"/>
        <w:rPr>
          <w:rFonts w:hint="eastAsia" w:ascii="宋体" w:hAnsi="宋体" w:cs="宋体"/>
          <w:color w:val="auto"/>
          <w:lang w:val="zh-CN"/>
        </w:rPr>
      </w:pPr>
      <w:r>
        <w:rPr>
          <w:rFonts w:hint="eastAsia" w:ascii="宋体" w:hAnsi="宋体" w:cs="宋体"/>
          <w:color w:val="auto"/>
          <w:lang w:val="zh-CN"/>
        </w:rPr>
        <w:t>我方</w:t>
      </w:r>
      <w:r>
        <w:rPr>
          <w:rFonts w:hint="eastAsia" w:ascii="宋体" w:hAnsi="宋体" w:cs="宋体"/>
          <w:color w:val="auto"/>
          <w:szCs w:val="21"/>
          <w:u w:val="single"/>
        </w:rPr>
        <w:t xml:space="preserve">   （供应商名称）   </w:t>
      </w:r>
      <w:r>
        <w:rPr>
          <w:rFonts w:hint="eastAsia" w:ascii="宋体" w:hAnsi="宋体" w:cs="宋体"/>
          <w:color w:val="auto"/>
          <w:lang w:val="zh-CN"/>
        </w:rPr>
        <w:t>参与</w:t>
      </w:r>
      <w:r>
        <w:rPr>
          <w:rFonts w:hint="eastAsia" w:ascii="宋体" w:hAnsi="宋体" w:cs="宋体"/>
          <w:color w:val="auto"/>
          <w:szCs w:val="21"/>
          <w:u w:val="single"/>
        </w:rPr>
        <w:t xml:space="preserve">     （</w:t>
      </w:r>
      <w:r>
        <w:rPr>
          <w:rFonts w:hint="eastAsia" w:ascii="宋体" w:hAnsi="宋体" w:cs="宋体"/>
          <w:color w:val="auto"/>
          <w:u w:val="single"/>
          <w:lang w:val="zh-CN"/>
        </w:rPr>
        <w:t xml:space="preserve">项目名称）   </w:t>
      </w:r>
      <w:r>
        <w:rPr>
          <w:rFonts w:hint="eastAsia" w:ascii="宋体" w:hAnsi="宋体" w:cs="宋体"/>
          <w:color w:val="auto"/>
          <w:lang w:val="zh-CN"/>
        </w:rPr>
        <w:t>的竞争性磋商，现作如下承诺：</w:t>
      </w:r>
    </w:p>
    <w:p w14:paraId="5557AED2">
      <w:pPr>
        <w:pStyle w:val="138"/>
        <w:spacing w:line="360" w:lineRule="auto"/>
        <w:ind w:firstLine="420" w:firstLineChars="200"/>
        <w:rPr>
          <w:rFonts w:hint="eastAsia" w:ascii="宋体" w:hAnsi="宋体" w:cs="宋体"/>
          <w:color w:val="auto"/>
          <w:lang w:val="zh-CN"/>
        </w:rPr>
      </w:pPr>
      <w:r>
        <w:rPr>
          <w:rFonts w:hint="eastAsia" w:ascii="宋体" w:hAnsi="宋体" w:cs="宋体"/>
          <w:color w:val="auto"/>
          <w:lang w:val="zh-CN"/>
        </w:rPr>
        <w:t>1.我方参与此次磋商活动所提交的所有资料都是合法、真实、有效的。</w:t>
      </w:r>
    </w:p>
    <w:p w14:paraId="1FDAA354">
      <w:pPr>
        <w:pStyle w:val="138"/>
        <w:spacing w:line="360" w:lineRule="auto"/>
        <w:ind w:firstLine="420" w:firstLineChars="200"/>
        <w:rPr>
          <w:rFonts w:hint="eastAsia" w:ascii="宋体" w:hAnsi="宋体" w:cs="宋体"/>
          <w:color w:val="auto"/>
          <w:lang w:val="zh-CN"/>
        </w:rPr>
      </w:pPr>
      <w:r>
        <w:rPr>
          <w:rFonts w:hint="eastAsia" w:ascii="宋体" w:hAnsi="宋体" w:cs="宋体"/>
          <w:color w:val="auto"/>
          <w:lang w:val="zh-CN"/>
        </w:rPr>
        <w:t>2.不与其他</w:t>
      </w:r>
      <w:r>
        <w:rPr>
          <w:rFonts w:hint="eastAsia" w:ascii="宋体" w:hAnsi="宋体" w:cs="宋体"/>
          <w:bCs/>
          <w:color w:val="auto"/>
          <w:szCs w:val="21"/>
        </w:rPr>
        <w:t>供应商</w:t>
      </w:r>
      <w:r>
        <w:rPr>
          <w:rFonts w:hint="eastAsia" w:ascii="宋体" w:hAnsi="宋体" w:cs="宋体"/>
          <w:color w:val="auto"/>
          <w:lang w:val="zh-CN"/>
        </w:rPr>
        <w:t>串通磋商、围标，依法、依规公平竞争，不损害采购人或其他供应商的合法权益。</w:t>
      </w:r>
    </w:p>
    <w:p w14:paraId="21B89CB8">
      <w:pPr>
        <w:pStyle w:val="138"/>
        <w:spacing w:line="360" w:lineRule="auto"/>
        <w:ind w:firstLine="420" w:firstLineChars="200"/>
        <w:rPr>
          <w:rFonts w:hint="eastAsia" w:ascii="宋体" w:hAnsi="宋体" w:cs="宋体"/>
          <w:color w:val="auto"/>
          <w:lang w:val="zh-CN"/>
        </w:rPr>
      </w:pPr>
      <w:r>
        <w:rPr>
          <w:rFonts w:hint="eastAsia" w:ascii="宋体" w:hAnsi="宋体" w:cs="宋体"/>
          <w:color w:val="auto"/>
          <w:lang w:val="zh-CN"/>
        </w:rPr>
        <w:t>3.不转让、出租、出借资质证书、人员岗位证书，不以法律、法规禁止的方式磋商。</w:t>
      </w:r>
    </w:p>
    <w:p w14:paraId="4260F218">
      <w:pPr>
        <w:pStyle w:val="138"/>
        <w:spacing w:line="360" w:lineRule="auto"/>
        <w:ind w:firstLine="420" w:firstLineChars="200"/>
        <w:rPr>
          <w:rFonts w:hint="eastAsia" w:ascii="宋体" w:hAnsi="宋体" w:cs="宋体"/>
          <w:color w:val="auto"/>
          <w:lang w:val="zh-CN"/>
        </w:rPr>
      </w:pPr>
      <w:r>
        <w:rPr>
          <w:rFonts w:hint="eastAsia" w:ascii="宋体" w:hAnsi="宋体" w:cs="宋体"/>
          <w:color w:val="auto"/>
          <w:lang w:val="zh-CN"/>
        </w:rPr>
        <w:t>4.不与采购人或采购代理机构串通磋商，不损害国家利益、社会公共利益或其他当事人的合法权益。</w:t>
      </w:r>
    </w:p>
    <w:p w14:paraId="1C3465DA">
      <w:pPr>
        <w:pStyle w:val="138"/>
        <w:spacing w:line="360" w:lineRule="auto"/>
        <w:ind w:firstLine="420" w:firstLineChars="200"/>
        <w:rPr>
          <w:rFonts w:hint="eastAsia" w:ascii="宋体" w:hAnsi="宋体" w:cs="宋体"/>
          <w:color w:val="auto"/>
          <w:lang w:val="zh-CN"/>
        </w:rPr>
      </w:pPr>
      <w:r>
        <w:rPr>
          <w:rFonts w:hint="eastAsia" w:ascii="宋体" w:hAnsi="宋体" w:cs="宋体"/>
          <w:color w:val="auto"/>
          <w:lang w:val="zh-CN"/>
        </w:rPr>
        <w:t>5.不向采购人、磋商小组成员、监督人员行贿。</w:t>
      </w:r>
    </w:p>
    <w:p w14:paraId="21341B96">
      <w:pPr>
        <w:pStyle w:val="138"/>
        <w:spacing w:line="360" w:lineRule="auto"/>
        <w:ind w:firstLine="420" w:firstLineChars="200"/>
        <w:rPr>
          <w:rFonts w:hint="eastAsia" w:ascii="宋体" w:hAnsi="宋体" w:cs="宋体"/>
          <w:color w:val="auto"/>
          <w:lang w:val="zh-CN"/>
        </w:rPr>
      </w:pPr>
      <w:r>
        <w:rPr>
          <w:rFonts w:hint="eastAsia" w:ascii="宋体" w:hAnsi="宋体" w:cs="宋体"/>
          <w:color w:val="auto"/>
          <w:lang w:val="zh-CN"/>
        </w:rPr>
        <w:t>6.不扰乱交易活动正常秩序。</w:t>
      </w:r>
    </w:p>
    <w:p w14:paraId="67131697">
      <w:pPr>
        <w:pStyle w:val="138"/>
        <w:spacing w:line="360" w:lineRule="auto"/>
        <w:ind w:firstLine="420" w:firstLineChars="200"/>
        <w:rPr>
          <w:rFonts w:hint="eastAsia" w:ascii="宋体" w:hAnsi="宋体" w:cs="宋体"/>
          <w:color w:val="auto"/>
          <w:lang w:val="zh-CN"/>
        </w:rPr>
      </w:pPr>
      <w:r>
        <w:rPr>
          <w:rFonts w:hint="eastAsia" w:ascii="宋体" w:hAnsi="宋体" w:cs="宋体"/>
          <w:color w:val="auto"/>
          <w:lang w:val="zh-CN"/>
        </w:rPr>
        <w:t>7.不进行虚假恶意投诉。</w:t>
      </w:r>
    </w:p>
    <w:p w14:paraId="62569B89">
      <w:pPr>
        <w:pStyle w:val="138"/>
        <w:spacing w:line="360" w:lineRule="auto"/>
        <w:ind w:firstLine="420" w:firstLineChars="200"/>
        <w:rPr>
          <w:rFonts w:hint="eastAsia" w:ascii="宋体" w:hAnsi="宋体" w:cs="宋体"/>
          <w:color w:val="auto"/>
          <w:lang w:val="zh-CN"/>
        </w:rPr>
      </w:pPr>
      <w:r>
        <w:rPr>
          <w:rFonts w:hint="eastAsia" w:ascii="宋体" w:hAnsi="宋体" w:cs="宋体"/>
          <w:color w:val="auto"/>
          <w:lang w:val="zh-CN"/>
        </w:rPr>
        <w:t>8.因违反法律、法规或相关规定被查处的，不干预案件查处。</w:t>
      </w:r>
    </w:p>
    <w:p w14:paraId="2F99BA33">
      <w:pPr>
        <w:pStyle w:val="138"/>
        <w:spacing w:line="360" w:lineRule="auto"/>
        <w:ind w:firstLine="420" w:firstLineChars="200"/>
        <w:rPr>
          <w:rFonts w:hint="eastAsia" w:ascii="宋体" w:hAnsi="宋体" w:cs="宋体"/>
          <w:color w:val="auto"/>
          <w:lang w:val="zh-CN"/>
        </w:rPr>
      </w:pPr>
      <w:r>
        <w:rPr>
          <w:rFonts w:hint="eastAsia" w:ascii="宋体" w:hAnsi="宋体" w:cs="宋体"/>
          <w:color w:val="auto"/>
          <w:lang w:val="zh-CN"/>
        </w:rPr>
        <w:t>如出现违法、违规或不良行为，自愿接受监督管理部门、纪检监察机关或司法机关调查处理。违法、违规或不良行为事实成立的，我方</w:t>
      </w:r>
      <w:r>
        <w:rPr>
          <w:rFonts w:hint="eastAsia" w:ascii="宋体" w:hAnsi="宋体" w:cs="宋体"/>
          <w:color w:val="auto"/>
        </w:rPr>
        <w:t>愿意</w:t>
      </w:r>
      <w:r>
        <w:rPr>
          <w:rFonts w:hint="eastAsia" w:ascii="宋体" w:hAnsi="宋体" w:cs="宋体"/>
          <w:color w:val="auto"/>
          <w:lang w:val="zh-CN"/>
        </w:rPr>
        <w:t>承担相关责任。给采购人造成损失的，依法承担赔偿责任。</w:t>
      </w:r>
    </w:p>
    <w:p w14:paraId="378911CA">
      <w:pPr>
        <w:pStyle w:val="138"/>
        <w:spacing w:line="360" w:lineRule="auto"/>
        <w:ind w:firstLine="420" w:firstLineChars="200"/>
        <w:rPr>
          <w:rFonts w:hint="eastAsia" w:ascii="宋体" w:hAnsi="宋体" w:cs="宋体"/>
          <w:color w:val="auto"/>
          <w:lang w:val="zh-CN"/>
        </w:rPr>
      </w:pPr>
    </w:p>
    <w:p w14:paraId="207C555E">
      <w:pPr>
        <w:pStyle w:val="138"/>
        <w:spacing w:line="360" w:lineRule="auto"/>
        <w:ind w:firstLine="420" w:firstLineChars="200"/>
        <w:rPr>
          <w:rFonts w:hint="eastAsia" w:ascii="宋体" w:hAnsi="宋体" w:cs="宋体"/>
          <w:color w:val="auto"/>
          <w:lang w:val="zh-CN"/>
        </w:rPr>
      </w:pPr>
    </w:p>
    <w:p w14:paraId="5CE3A89A">
      <w:pPr>
        <w:pStyle w:val="138"/>
        <w:spacing w:line="360" w:lineRule="auto"/>
        <w:rPr>
          <w:rFonts w:hint="eastAsia" w:ascii="宋体" w:hAnsi="宋体" w:cs="宋体"/>
          <w:color w:val="auto"/>
          <w:lang w:val="zh-CN"/>
        </w:rPr>
      </w:pPr>
    </w:p>
    <w:p w14:paraId="24C7F14A">
      <w:pPr>
        <w:autoSpaceDE w:val="0"/>
        <w:autoSpaceDN w:val="0"/>
        <w:adjustRightInd w:val="0"/>
        <w:spacing w:line="480" w:lineRule="auto"/>
        <w:ind w:firstLine="5040" w:firstLineChars="2400"/>
        <w:jc w:val="left"/>
        <w:rPr>
          <w:rFonts w:hint="eastAsia" w:ascii="宋体" w:hAnsi="宋体" w:cs="宋体"/>
          <w:bCs/>
          <w:color w:val="auto"/>
          <w:szCs w:val="21"/>
        </w:rPr>
      </w:pPr>
      <w:r>
        <w:rPr>
          <w:rFonts w:hint="eastAsia" w:ascii="宋体" w:hAnsi="宋体" w:cs="宋体"/>
          <w:bCs/>
          <w:color w:val="auto"/>
          <w:szCs w:val="21"/>
        </w:rPr>
        <w:t>供应商：</w:t>
      </w:r>
      <w:r>
        <w:rPr>
          <w:rFonts w:hint="eastAsia" w:ascii="宋体" w:hAnsi="宋体" w:cs="宋体"/>
          <w:bCs/>
          <w:color w:val="auto"/>
          <w:szCs w:val="21"/>
          <w:u w:val="single"/>
        </w:rPr>
        <w:t xml:space="preserve">                （</w:t>
      </w:r>
      <w:r>
        <w:rPr>
          <w:rFonts w:hint="eastAsia" w:ascii="宋体" w:hAnsi="宋体" w:cs="宋体"/>
          <w:color w:val="auto"/>
          <w:szCs w:val="21"/>
          <w:u w:val="single"/>
        </w:rPr>
        <w:t>电子签章</w:t>
      </w:r>
      <w:r>
        <w:rPr>
          <w:rFonts w:hint="eastAsia" w:ascii="宋体" w:hAnsi="宋体" w:cs="宋体"/>
          <w:bCs/>
          <w:color w:val="auto"/>
          <w:szCs w:val="21"/>
          <w:u w:val="single"/>
        </w:rPr>
        <w:t>）</w:t>
      </w:r>
    </w:p>
    <w:p w14:paraId="25807974">
      <w:pPr>
        <w:autoSpaceDE w:val="0"/>
        <w:autoSpaceDN w:val="0"/>
        <w:adjustRightInd w:val="0"/>
        <w:spacing w:line="480" w:lineRule="auto"/>
        <w:ind w:firstLine="5040" w:firstLineChars="2400"/>
        <w:jc w:val="left"/>
        <w:rPr>
          <w:rFonts w:hint="eastAsia" w:ascii="宋体" w:hAnsi="宋体" w:cs="宋体"/>
          <w:bCs/>
          <w:color w:val="auto"/>
          <w:szCs w:val="21"/>
        </w:rPr>
      </w:pPr>
      <w:r>
        <w:rPr>
          <w:rFonts w:hint="eastAsia" w:ascii="宋体" w:hAnsi="宋体" w:cs="宋体"/>
          <w:bCs/>
          <w:color w:val="auto"/>
          <w:szCs w:val="21"/>
        </w:rPr>
        <w:t>法定代表人：</w:t>
      </w:r>
      <w:r>
        <w:rPr>
          <w:rFonts w:hint="eastAsia" w:ascii="宋体" w:hAnsi="宋体" w:cs="宋体"/>
          <w:bCs/>
          <w:color w:val="auto"/>
          <w:szCs w:val="21"/>
          <w:u w:val="single"/>
        </w:rPr>
        <w:t xml:space="preserve">            （电子签章）</w:t>
      </w:r>
    </w:p>
    <w:p w14:paraId="4CC01B40">
      <w:pPr>
        <w:autoSpaceDE w:val="0"/>
        <w:autoSpaceDN w:val="0"/>
        <w:adjustRightInd w:val="0"/>
        <w:spacing w:line="480" w:lineRule="auto"/>
        <w:ind w:firstLine="5040" w:firstLineChars="2400"/>
        <w:jc w:val="left"/>
        <w:rPr>
          <w:rFonts w:hint="eastAsia" w:ascii="宋体" w:hAnsi="宋体" w:cs="宋体"/>
          <w:bCs/>
          <w:color w:val="auto"/>
          <w:szCs w:val="21"/>
        </w:rPr>
      </w:pPr>
      <w:r>
        <w:rPr>
          <w:rFonts w:hint="eastAsia" w:ascii="宋体" w:hAnsi="宋体" w:cs="宋体"/>
          <w:bCs/>
          <w:color w:val="auto"/>
          <w:szCs w:val="21"/>
        </w:rPr>
        <w:t>日期：</w:t>
      </w:r>
      <w:r>
        <w:rPr>
          <w:rFonts w:hint="eastAsia" w:ascii="宋体" w:hAnsi="宋体" w:cs="宋体"/>
          <w:bCs/>
          <w:color w:val="auto"/>
          <w:szCs w:val="21"/>
          <w:u w:val="single"/>
        </w:rPr>
        <w:t xml:space="preserve">      </w:t>
      </w:r>
      <w:r>
        <w:rPr>
          <w:rFonts w:hint="eastAsia" w:ascii="宋体" w:hAnsi="宋体" w:cs="宋体"/>
          <w:bCs/>
          <w:color w:val="auto"/>
          <w:szCs w:val="21"/>
        </w:rPr>
        <w:t>年</w:t>
      </w:r>
      <w:r>
        <w:rPr>
          <w:rFonts w:hint="eastAsia" w:ascii="宋体" w:hAnsi="宋体" w:cs="宋体"/>
          <w:bCs/>
          <w:color w:val="auto"/>
          <w:szCs w:val="21"/>
          <w:u w:val="single"/>
        </w:rPr>
        <w:t xml:space="preserve">     </w:t>
      </w:r>
      <w:r>
        <w:rPr>
          <w:rFonts w:hint="eastAsia" w:ascii="宋体" w:hAnsi="宋体" w:cs="宋体"/>
          <w:bCs/>
          <w:color w:val="auto"/>
          <w:szCs w:val="21"/>
        </w:rPr>
        <w:t>月</w:t>
      </w:r>
      <w:r>
        <w:rPr>
          <w:rFonts w:hint="eastAsia" w:ascii="宋体" w:hAnsi="宋体" w:cs="宋体"/>
          <w:bCs/>
          <w:color w:val="auto"/>
          <w:szCs w:val="21"/>
          <w:u w:val="single"/>
        </w:rPr>
        <w:t xml:space="preserve">      </w:t>
      </w:r>
      <w:r>
        <w:rPr>
          <w:rFonts w:hint="eastAsia" w:ascii="宋体" w:hAnsi="宋体" w:cs="宋体"/>
          <w:bCs/>
          <w:color w:val="auto"/>
          <w:szCs w:val="21"/>
        </w:rPr>
        <w:t>日</w:t>
      </w:r>
    </w:p>
    <w:p w14:paraId="00E2445D">
      <w:pPr>
        <w:rPr>
          <w:rFonts w:hint="eastAsia" w:ascii="宋体" w:hAnsi="宋体" w:cs="宋体"/>
          <w:bCs/>
          <w:color w:val="auto"/>
          <w:szCs w:val="21"/>
        </w:rPr>
      </w:pPr>
      <w:r>
        <w:rPr>
          <w:rFonts w:hint="eastAsia" w:ascii="宋体" w:hAnsi="宋体" w:cs="宋体"/>
          <w:bCs/>
          <w:color w:val="auto"/>
          <w:szCs w:val="21"/>
        </w:rPr>
        <w:br w:type="page"/>
      </w:r>
    </w:p>
    <w:p w14:paraId="03655CA9">
      <w:pPr>
        <w:spacing w:line="360" w:lineRule="auto"/>
        <w:jc w:val="center"/>
        <w:outlineLvl w:val="2"/>
        <w:rPr>
          <w:rFonts w:hint="eastAsia" w:asciiTheme="minorEastAsia" w:hAnsiTheme="minorEastAsia" w:eastAsiaTheme="minorEastAsia"/>
          <w:b/>
          <w:color w:val="auto"/>
          <w:sz w:val="28"/>
          <w:szCs w:val="28"/>
        </w:rPr>
      </w:pPr>
      <w:r>
        <w:rPr>
          <w:rFonts w:hint="eastAsia" w:asciiTheme="minorEastAsia" w:hAnsiTheme="minorEastAsia" w:eastAsiaTheme="minorEastAsia"/>
          <w:b/>
          <w:color w:val="auto"/>
          <w:sz w:val="28"/>
          <w:szCs w:val="28"/>
        </w:rPr>
        <w:t>（五）承担过的类似项目业绩情况表</w:t>
      </w:r>
    </w:p>
    <w:tbl>
      <w:tblPr>
        <w:tblStyle w:val="55"/>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1866"/>
        <w:gridCol w:w="1418"/>
        <w:gridCol w:w="1842"/>
        <w:gridCol w:w="1741"/>
        <w:gridCol w:w="1209"/>
      </w:tblGrid>
      <w:tr w14:paraId="2BB2A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821" w:type="dxa"/>
            <w:vAlign w:val="center"/>
          </w:tcPr>
          <w:p w14:paraId="62A06DB3">
            <w:pPr>
              <w:jc w:val="center"/>
              <w:rPr>
                <w:rFonts w:hint="eastAsia" w:ascii="宋体" w:hAnsi="宋体"/>
                <w:color w:val="auto"/>
                <w:szCs w:val="21"/>
              </w:rPr>
            </w:pPr>
            <w:r>
              <w:rPr>
                <w:rFonts w:hint="eastAsia" w:ascii="宋体" w:hAnsi="宋体"/>
                <w:color w:val="auto"/>
                <w:szCs w:val="21"/>
              </w:rPr>
              <w:t>序 号</w:t>
            </w:r>
          </w:p>
        </w:tc>
        <w:tc>
          <w:tcPr>
            <w:tcW w:w="1866" w:type="dxa"/>
            <w:vAlign w:val="center"/>
          </w:tcPr>
          <w:p w14:paraId="3F9D5B1B">
            <w:pPr>
              <w:jc w:val="center"/>
              <w:rPr>
                <w:rFonts w:hint="eastAsia" w:ascii="宋体" w:hAnsi="宋体"/>
                <w:color w:val="auto"/>
                <w:szCs w:val="21"/>
              </w:rPr>
            </w:pPr>
            <w:r>
              <w:rPr>
                <w:rFonts w:hint="eastAsia" w:ascii="宋体" w:hAnsi="宋体"/>
                <w:color w:val="auto"/>
                <w:szCs w:val="21"/>
              </w:rPr>
              <w:t>委托单位</w:t>
            </w:r>
          </w:p>
        </w:tc>
        <w:tc>
          <w:tcPr>
            <w:tcW w:w="1418" w:type="dxa"/>
            <w:vAlign w:val="center"/>
          </w:tcPr>
          <w:p w14:paraId="12BCE4B1">
            <w:pPr>
              <w:jc w:val="center"/>
              <w:rPr>
                <w:rFonts w:hint="eastAsia" w:ascii="宋体" w:hAnsi="宋体"/>
                <w:color w:val="auto"/>
                <w:szCs w:val="21"/>
              </w:rPr>
            </w:pPr>
            <w:r>
              <w:rPr>
                <w:rFonts w:hint="eastAsia" w:ascii="宋体" w:hAnsi="宋体"/>
                <w:color w:val="auto"/>
                <w:szCs w:val="21"/>
              </w:rPr>
              <w:t>项目名称</w:t>
            </w:r>
          </w:p>
        </w:tc>
        <w:tc>
          <w:tcPr>
            <w:tcW w:w="1842" w:type="dxa"/>
            <w:vAlign w:val="center"/>
          </w:tcPr>
          <w:p w14:paraId="739E1185">
            <w:pPr>
              <w:jc w:val="center"/>
              <w:rPr>
                <w:rFonts w:hint="eastAsia" w:ascii="宋体" w:hAnsi="宋体"/>
                <w:color w:val="auto"/>
                <w:szCs w:val="21"/>
              </w:rPr>
            </w:pPr>
            <w:r>
              <w:rPr>
                <w:rFonts w:hint="eastAsia" w:ascii="宋体" w:hAnsi="宋体"/>
                <w:color w:val="auto"/>
                <w:szCs w:val="21"/>
              </w:rPr>
              <w:t>采购内容</w:t>
            </w:r>
          </w:p>
        </w:tc>
        <w:tc>
          <w:tcPr>
            <w:tcW w:w="1741" w:type="dxa"/>
            <w:vAlign w:val="center"/>
          </w:tcPr>
          <w:p w14:paraId="12131680">
            <w:pPr>
              <w:jc w:val="center"/>
              <w:rPr>
                <w:rFonts w:hint="eastAsia" w:ascii="宋体" w:hAnsi="宋体"/>
                <w:color w:val="auto"/>
                <w:szCs w:val="21"/>
              </w:rPr>
            </w:pPr>
            <w:r>
              <w:rPr>
                <w:rFonts w:hint="eastAsia" w:ascii="宋体" w:hAnsi="宋体"/>
                <w:color w:val="auto"/>
                <w:szCs w:val="21"/>
              </w:rPr>
              <w:t>项目起、止时间</w:t>
            </w:r>
          </w:p>
          <w:p w14:paraId="0152F7A8">
            <w:pPr>
              <w:jc w:val="center"/>
              <w:rPr>
                <w:rFonts w:hint="eastAsia" w:ascii="宋体" w:hAnsi="宋体"/>
                <w:color w:val="auto"/>
                <w:szCs w:val="21"/>
              </w:rPr>
            </w:pPr>
            <w:r>
              <w:rPr>
                <w:rFonts w:hint="eastAsia" w:ascii="宋体" w:hAnsi="宋体"/>
                <w:color w:val="auto"/>
                <w:szCs w:val="21"/>
              </w:rPr>
              <w:t>（年/月/日）</w:t>
            </w:r>
          </w:p>
        </w:tc>
        <w:tc>
          <w:tcPr>
            <w:tcW w:w="1209" w:type="dxa"/>
            <w:vAlign w:val="center"/>
          </w:tcPr>
          <w:p w14:paraId="66F3A2A0">
            <w:pPr>
              <w:jc w:val="center"/>
              <w:rPr>
                <w:rFonts w:hint="eastAsia" w:ascii="宋体" w:hAnsi="宋体"/>
                <w:color w:val="auto"/>
                <w:szCs w:val="21"/>
              </w:rPr>
            </w:pPr>
            <w:r>
              <w:rPr>
                <w:rFonts w:hint="eastAsia" w:ascii="宋体" w:hAnsi="宋体"/>
                <w:color w:val="auto"/>
                <w:szCs w:val="21"/>
              </w:rPr>
              <w:t xml:space="preserve">备 注 </w:t>
            </w:r>
          </w:p>
        </w:tc>
      </w:tr>
      <w:tr w14:paraId="11ECA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821" w:type="dxa"/>
            <w:vAlign w:val="center"/>
          </w:tcPr>
          <w:p w14:paraId="0107F706">
            <w:pPr>
              <w:jc w:val="center"/>
              <w:rPr>
                <w:rFonts w:hint="eastAsia" w:ascii="宋体" w:hAnsi="宋体"/>
                <w:color w:val="auto"/>
                <w:szCs w:val="21"/>
              </w:rPr>
            </w:pPr>
          </w:p>
        </w:tc>
        <w:tc>
          <w:tcPr>
            <w:tcW w:w="1866" w:type="dxa"/>
            <w:vAlign w:val="center"/>
          </w:tcPr>
          <w:p w14:paraId="299C649E">
            <w:pPr>
              <w:jc w:val="center"/>
              <w:rPr>
                <w:rFonts w:hint="eastAsia" w:ascii="宋体" w:hAnsi="宋体"/>
                <w:color w:val="auto"/>
                <w:szCs w:val="21"/>
              </w:rPr>
            </w:pPr>
          </w:p>
        </w:tc>
        <w:tc>
          <w:tcPr>
            <w:tcW w:w="1418" w:type="dxa"/>
            <w:vAlign w:val="center"/>
          </w:tcPr>
          <w:p w14:paraId="6FCCC728">
            <w:pPr>
              <w:jc w:val="center"/>
              <w:rPr>
                <w:rFonts w:hint="eastAsia" w:ascii="宋体" w:hAnsi="宋体"/>
                <w:color w:val="auto"/>
                <w:szCs w:val="21"/>
              </w:rPr>
            </w:pPr>
          </w:p>
        </w:tc>
        <w:tc>
          <w:tcPr>
            <w:tcW w:w="1842" w:type="dxa"/>
            <w:vAlign w:val="center"/>
          </w:tcPr>
          <w:p w14:paraId="1E0132FF">
            <w:pPr>
              <w:jc w:val="center"/>
              <w:rPr>
                <w:rFonts w:hint="eastAsia" w:ascii="宋体" w:hAnsi="宋体"/>
                <w:color w:val="auto"/>
                <w:szCs w:val="21"/>
              </w:rPr>
            </w:pPr>
          </w:p>
        </w:tc>
        <w:tc>
          <w:tcPr>
            <w:tcW w:w="1741" w:type="dxa"/>
            <w:vAlign w:val="center"/>
          </w:tcPr>
          <w:p w14:paraId="2F0E1A42">
            <w:pPr>
              <w:jc w:val="center"/>
              <w:rPr>
                <w:rFonts w:hint="eastAsia" w:ascii="宋体" w:hAnsi="宋体"/>
                <w:color w:val="auto"/>
                <w:szCs w:val="21"/>
              </w:rPr>
            </w:pPr>
          </w:p>
        </w:tc>
        <w:tc>
          <w:tcPr>
            <w:tcW w:w="1209" w:type="dxa"/>
            <w:vAlign w:val="center"/>
          </w:tcPr>
          <w:p w14:paraId="4B12239A">
            <w:pPr>
              <w:jc w:val="center"/>
              <w:rPr>
                <w:rFonts w:hint="eastAsia" w:ascii="宋体" w:hAnsi="宋体"/>
                <w:color w:val="auto"/>
                <w:szCs w:val="21"/>
              </w:rPr>
            </w:pPr>
          </w:p>
        </w:tc>
      </w:tr>
      <w:tr w14:paraId="569C4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821" w:type="dxa"/>
            <w:vAlign w:val="center"/>
          </w:tcPr>
          <w:p w14:paraId="3F82F8CB">
            <w:pPr>
              <w:jc w:val="center"/>
              <w:rPr>
                <w:rFonts w:hint="eastAsia" w:ascii="宋体" w:hAnsi="宋体"/>
                <w:color w:val="auto"/>
                <w:szCs w:val="21"/>
              </w:rPr>
            </w:pPr>
          </w:p>
        </w:tc>
        <w:tc>
          <w:tcPr>
            <w:tcW w:w="1866" w:type="dxa"/>
            <w:vAlign w:val="center"/>
          </w:tcPr>
          <w:p w14:paraId="1E8F61A2">
            <w:pPr>
              <w:jc w:val="center"/>
              <w:rPr>
                <w:rFonts w:hint="eastAsia" w:ascii="宋体" w:hAnsi="宋体"/>
                <w:color w:val="auto"/>
                <w:szCs w:val="21"/>
              </w:rPr>
            </w:pPr>
          </w:p>
        </w:tc>
        <w:tc>
          <w:tcPr>
            <w:tcW w:w="1418" w:type="dxa"/>
            <w:vAlign w:val="center"/>
          </w:tcPr>
          <w:p w14:paraId="7DA14E2D">
            <w:pPr>
              <w:jc w:val="center"/>
              <w:rPr>
                <w:rFonts w:hint="eastAsia" w:ascii="宋体" w:hAnsi="宋体"/>
                <w:color w:val="auto"/>
                <w:szCs w:val="21"/>
              </w:rPr>
            </w:pPr>
          </w:p>
        </w:tc>
        <w:tc>
          <w:tcPr>
            <w:tcW w:w="1842" w:type="dxa"/>
            <w:vAlign w:val="center"/>
          </w:tcPr>
          <w:p w14:paraId="30411BBF">
            <w:pPr>
              <w:jc w:val="center"/>
              <w:rPr>
                <w:rFonts w:hint="eastAsia" w:ascii="宋体" w:hAnsi="宋体"/>
                <w:color w:val="auto"/>
                <w:szCs w:val="21"/>
              </w:rPr>
            </w:pPr>
          </w:p>
        </w:tc>
        <w:tc>
          <w:tcPr>
            <w:tcW w:w="1741" w:type="dxa"/>
            <w:vAlign w:val="center"/>
          </w:tcPr>
          <w:p w14:paraId="4CD22A8E">
            <w:pPr>
              <w:jc w:val="center"/>
              <w:rPr>
                <w:rFonts w:hint="eastAsia" w:ascii="宋体" w:hAnsi="宋体"/>
                <w:color w:val="auto"/>
                <w:szCs w:val="21"/>
              </w:rPr>
            </w:pPr>
          </w:p>
        </w:tc>
        <w:tc>
          <w:tcPr>
            <w:tcW w:w="1209" w:type="dxa"/>
            <w:vAlign w:val="center"/>
          </w:tcPr>
          <w:p w14:paraId="35B75DF5">
            <w:pPr>
              <w:jc w:val="center"/>
              <w:rPr>
                <w:rFonts w:hint="eastAsia" w:ascii="宋体" w:hAnsi="宋体"/>
                <w:color w:val="auto"/>
                <w:szCs w:val="21"/>
              </w:rPr>
            </w:pPr>
          </w:p>
        </w:tc>
      </w:tr>
      <w:tr w14:paraId="43ABB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821" w:type="dxa"/>
            <w:vAlign w:val="center"/>
          </w:tcPr>
          <w:p w14:paraId="4477E470">
            <w:pPr>
              <w:jc w:val="center"/>
              <w:rPr>
                <w:rFonts w:hint="eastAsia" w:ascii="宋体" w:hAnsi="宋体"/>
                <w:color w:val="auto"/>
                <w:szCs w:val="21"/>
              </w:rPr>
            </w:pPr>
          </w:p>
        </w:tc>
        <w:tc>
          <w:tcPr>
            <w:tcW w:w="1866" w:type="dxa"/>
            <w:vAlign w:val="center"/>
          </w:tcPr>
          <w:p w14:paraId="468375ED">
            <w:pPr>
              <w:jc w:val="center"/>
              <w:rPr>
                <w:rFonts w:hint="eastAsia" w:ascii="宋体" w:hAnsi="宋体"/>
                <w:color w:val="auto"/>
                <w:szCs w:val="21"/>
              </w:rPr>
            </w:pPr>
          </w:p>
        </w:tc>
        <w:tc>
          <w:tcPr>
            <w:tcW w:w="1418" w:type="dxa"/>
            <w:vAlign w:val="center"/>
          </w:tcPr>
          <w:p w14:paraId="3C4FEBC0">
            <w:pPr>
              <w:jc w:val="center"/>
              <w:rPr>
                <w:rFonts w:hint="eastAsia" w:ascii="宋体" w:hAnsi="宋体"/>
                <w:color w:val="auto"/>
                <w:szCs w:val="21"/>
              </w:rPr>
            </w:pPr>
          </w:p>
        </w:tc>
        <w:tc>
          <w:tcPr>
            <w:tcW w:w="1842" w:type="dxa"/>
            <w:vAlign w:val="center"/>
          </w:tcPr>
          <w:p w14:paraId="6113F8BE">
            <w:pPr>
              <w:jc w:val="center"/>
              <w:rPr>
                <w:rFonts w:hint="eastAsia" w:ascii="宋体" w:hAnsi="宋体"/>
                <w:color w:val="auto"/>
                <w:szCs w:val="21"/>
              </w:rPr>
            </w:pPr>
          </w:p>
        </w:tc>
        <w:tc>
          <w:tcPr>
            <w:tcW w:w="1741" w:type="dxa"/>
            <w:vAlign w:val="center"/>
          </w:tcPr>
          <w:p w14:paraId="563A829D">
            <w:pPr>
              <w:jc w:val="center"/>
              <w:rPr>
                <w:rFonts w:hint="eastAsia" w:ascii="宋体" w:hAnsi="宋体"/>
                <w:color w:val="auto"/>
                <w:szCs w:val="21"/>
              </w:rPr>
            </w:pPr>
          </w:p>
        </w:tc>
        <w:tc>
          <w:tcPr>
            <w:tcW w:w="1209" w:type="dxa"/>
            <w:vAlign w:val="center"/>
          </w:tcPr>
          <w:p w14:paraId="1DB1A8F7">
            <w:pPr>
              <w:jc w:val="center"/>
              <w:rPr>
                <w:rFonts w:hint="eastAsia" w:ascii="宋体" w:hAnsi="宋体"/>
                <w:color w:val="auto"/>
                <w:szCs w:val="21"/>
              </w:rPr>
            </w:pPr>
          </w:p>
        </w:tc>
      </w:tr>
      <w:tr w14:paraId="2E0FC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821" w:type="dxa"/>
            <w:vAlign w:val="center"/>
          </w:tcPr>
          <w:p w14:paraId="2E744A32">
            <w:pPr>
              <w:jc w:val="center"/>
              <w:rPr>
                <w:rFonts w:hint="eastAsia" w:ascii="宋体" w:hAnsi="宋体"/>
                <w:color w:val="auto"/>
                <w:szCs w:val="21"/>
              </w:rPr>
            </w:pPr>
          </w:p>
        </w:tc>
        <w:tc>
          <w:tcPr>
            <w:tcW w:w="1866" w:type="dxa"/>
            <w:vAlign w:val="center"/>
          </w:tcPr>
          <w:p w14:paraId="3E4F2818">
            <w:pPr>
              <w:jc w:val="center"/>
              <w:rPr>
                <w:rFonts w:hint="eastAsia" w:ascii="宋体" w:hAnsi="宋体"/>
                <w:color w:val="auto"/>
                <w:szCs w:val="21"/>
              </w:rPr>
            </w:pPr>
          </w:p>
        </w:tc>
        <w:tc>
          <w:tcPr>
            <w:tcW w:w="1418" w:type="dxa"/>
            <w:vAlign w:val="center"/>
          </w:tcPr>
          <w:p w14:paraId="7DC208F1">
            <w:pPr>
              <w:jc w:val="center"/>
              <w:rPr>
                <w:rFonts w:hint="eastAsia" w:ascii="宋体" w:hAnsi="宋体"/>
                <w:color w:val="auto"/>
                <w:szCs w:val="21"/>
              </w:rPr>
            </w:pPr>
          </w:p>
        </w:tc>
        <w:tc>
          <w:tcPr>
            <w:tcW w:w="1842" w:type="dxa"/>
            <w:vAlign w:val="center"/>
          </w:tcPr>
          <w:p w14:paraId="17DDF8CB">
            <w:pPr>
              <w:jc w:val="center"/>
              <w:rPr>
                <w:rFonts w:hint="eastAsia" w:ascii="宋体" w:hAnsi="宋体"/>
                <w:color w:val="auto"/>
                <w:szCs w:val="21"/>
              </w:rPr>
            </w:pPr>
          </w:p>
        </w:tc>
        <w:tc>
          <w:tcPr>
            <w:tcW w:w="1741" w:type="dxa"/>
            <w:vAlign w:val="center"/>
          </w:tcPr>
          <w:p w14:paraId="399E454F">
            <w:pPr>
              <w:jc w:val="center"/>
              <w:rPr>
                <w:rFonts w:hint="eastAsia" w:ascii="宋体" w:hAnsi="宋体"/>
                <w:color w:val="auto"/>
                <w:szCs w:val="21"/>
              </w:rPr>
            </w:pPr>
          </w:p>
        </w:tc>
        <w:tc>
          <w:tcPr>
            <w:tcW w:w="1209" w:type="dxa"/>
            <w:vAlign w:val="center"/>
          </w:tcPr>
          <w:p w14:paraId="07D5BF12">
            <w:pPr>
              <w:jc w:val="center"/>
              <w:rPr>
                <w:rFonts w:hint="eastAsia" w:ascii="宋体" w:hAnsi="宋体"/>
                <w:color w:val="auto"/>
                <w:szCs w:val="21"/>
              </w:rPr>
            </w:pPr>
          </w:p>
        </w:tc>
      </w:tr>
    </w:tbl>
    <w:p w14:paraId="2D6EBDD6">
      <w:pPr>
        <w:spacing w:before="120" w:beforeLines="50" w:line="360" w:lineRule="auto"/>
        <w:ind w:firstLine="210" w:firstLineChars="100"/>
        <w:rPr>
          <w:rFonts w:hint="eastAsia" w:ascii="宋体" w:hAnsi="宋体" w:cs="宋体"/>
          <w:color w:val="auto"/>
          <w:szCs w:val="21"/>
        </w:rPr>
      </w:pPr>
      <w:r>
        <w:rPr>
          <w:rFonts w:hint="eastAsia" w:ascii="宋体" w:hAnsi="宋体" w:cs="宋体"/>
          <w:color w:val="auto"/>
          <w:szCs w:val="21"/>
        </w:rPr>
        <w:t>注：此表后应附</w:t>
      </w:r>
      <w:r>
        <w:rPr>
          <w:rFonts w:hint="eastAsia" w:ascii="宋体" w:hAnsi="宋体"/>
          <w:color w:val="auto"/>
          <w:szCs w:val="21"/>
        </w:rPr>
        <w:t>中标（成交）通知书或合同（协议书）或业主证明材料的</w:t>
      </w:r>
      <w:r>
        <w:rPr>
          <w:rFonts w:hint="eastAsia" w:ascii="宋体" w:hAnsi="宋体" w:cs="宋体"/>
          <w:color w:val="auto"/>
          <w:szCs w:val="21"/>
        </w:rPr>
        <w:t>原件</w:t>
      </w:r>
      <w:r>
        <w:rPr>
          <w:rFonts w:hint="eastAsia" w:ascii="宋体" w:hAnsi="宋体"/>
          <w:color w:val="auto"/>
          <w:szCs w:val="21"/>
        </w:rPr>
        <w:t>扫描件</w:t>
      </w:r>
      <w:r>
        <w:rPr>
          <w:rFonts w:hint="eastAsia" w:ascii="宋体" w:hAnsi="宋体" w:cs="宋体"/>
          <w:color w:val="auto"/>
          <w:szCs w:val="21"/>
        </w:rPr>
        <w:t>。</w:t>
      </w:r>
    </w:p>
    <w:p w14:paraId="0C757C9C">
      <w:pPr>
        <w:pStyle w:val="22"/>
        <w:rPr>
          <w:rFonts w:hint="eastAsia"/>
          <w:color w:val="auto"/>
        </w:rPr>
      </w:pPr>
    </w:p>
    <w:p w14:paraId="123A1330">
      <w:pPr>
        <w:pStyle w:val="22"/>
        <w:rPr>
          <w:rFonts w:hint="eastAsia"/>
          <w:color w:val="auto"/>
        </w:rPr>
      </w:pPr>
    </w:p>
    <w:p w14:paraId="58FED9D9">
      <w:pPr>
        <w:spacing w:line="360" w:lineRule="auto"/>
        <w:jc w:val="center"/>
        <w:rPr>
          <w:rFonts w:hint="eastAsia" w:asciiTheme="minorEastAsia" w:hAnsiTheme="minorEastAsia" w:eastAsiaTheme="minorEastAsia"/>
          <w:color w:val="auto"/>
        </w:rPr>
      </w:pPr>
    </w:p>
    <w:p w14:paraId="43F849A0">
      <w:pPr>
        <w:autoSpaceDE w:val="0"/>
        <w:autoSpaceDN w:val="0"/>
        <w:adjustRightInd w:val="0"/>
        <w:spacing w:line="480" w:lineRule="auto"/>
        <w:ind w:firstLine="5040" w:firstLineChars="2400"/>
        <w:jc w:val="left"/>
        <w:rPr>
          <w:rFonts w:hint="eastAsia" w:asciiTheme="minorEastAsia" w:hAnsiTheme="minorEastAsia" w:eastAsiaTheme="minorEastAsia"/>
          <w:bCs/>
          <w:color w:val="auto"/>
          <w:szCs w:val="21"/>
        </w:rPr>
      </w:pPr>
      <w:r>
        <w:rPr>
          <w:rFonts w:hint="eastAsia" w:asciiTheme="minorEastAsia" w:hAnsiTheme="minorEastAsia" w:eastAsiaTheme="minorEastAsia"/>
          <w:bCs/>
          <w:color w:val="auto"/>
          <w:szCs w:val="21"/>
        </w:rPr>
        <w:t>供应商：</w:t>
      </w:r>
      <w:r>
        <w:rPr>
          <w:rFonts w:hint="eastAsia" w:asciiTheme="minorEastAsia" w:hAnsiTheme="minorEastAsia" w:eastAsiaTheme="minorEastAsia"/>
          <w:bCs/>
          <w:color w:val="auto"/>
          <w:szCs w:val="21"/>
          <w:u w:val="single"/>
        </w:rPr>
        <w:t xml:space="preserve">          （</w:t>
      </w:r>
      <w:r>
        <w:rPr>
          <w:rFonts w:hint="eastAsia" w:asciiTheme="minorEastAsia" w:hAnsiTheme="minorEastAsia" w:eastAsiaTheme="minorEastAsia"/>
          <w:color w:val="auto"/>
          <w:szCs w:val="21"/>
          <w:u w:val="single"/>
        </w:rPr>
        <w:t>电子签章</w:t>
      </w:r>
      <w:r>
        <w:rPr>
          <w:rFonts w:hint="eastAsia" w:asciiTheme="minorEastAsia" w:hAnsiTheme="minorEastAsia" w:eastAsiaTheme="minorEastAsia"/>
          <w:bCs/>
          <w:color w:val="auto"/>
          <w:szCs w:val="21"/>
          <w:u w:val="single"/>
        </w:rPr>
        <w:t>）</w:t>
      </w:r>
    </w:p>
    <w:p w14:paraId="272D5944">
      <w:pPr>
        <w:autoSpaceDE w:val="0"/>
        <w:autoSpaceDN w:val="0"/>
        <w:adjustRightInd w:val="0"/>
        <w:spacing w:line="480" w:lineRule="auto"/>
        <w:ind w:firstLine="5040" w:firstLineChars="2400"/>
        <w:jc w:val="left"/>
        <w:rPr>
          <w:rFonts w:hint="eastAsia" w:asciiTheme="minorEastAsia" w:hAnsiTheme="minorEastAsia" w:eastAsiaTheme="minorEastAsia"/>
          <w:bCs/>
          <w:color w:val="auto"/>
          <w:szCs w:val="21"/>
        </w:rPr>
      </w:pPr>
      <w:r>
        <w:rPr>
          <w:rFonts w:hint="eastAsia" w:asciiTheme="minorEastAsia" w:hAnsiTheme="minorEastAsia" w:eastAsiaTheme="minorEastAsia"/>
          <w:bCs/>
          <w:color w:val="auto"/>
          <w:szCs w:val="21"/>
        </w:rPr>
        <w:t>法定代表人：</w:t>
      </w:r>
      <w:r>
        <w:rPr>
          <w:rFonts w:hint="eastAsia" w:asciiTheme="minorEastAsia" w:hAnsiTheme="minorEastAsia" w:eastAsiaTheme="minorEastAsia"/>
          <w:bCs/>
          <w:color w:val="auto"/>
          <w:szCs w:val="21"/>
          <w:u w:val="single"/>
        </w:rPr>
        <w:t xml:space="preserve">      （电子签章）</w:t>
      </w:r>
    </w:p>
    <w:p w14:paraId="11C64CE3">
      <w:pPr>
        <w:autoSpaceDE w:val="0"/>
        <w:autoSpaceDN w:val="0"/>
        <w:adjustRightInd w:val="0"/>
        <w:spacing w:line="480" w:lineRule="auto"/>
        <w:ind w:firstLine="5040" w:firstLineChars="2400"/>
        <w:jc w:val="left"/>
        <w:rPr>
          <w:color w:val="auto"/>
        </w:rPr>
      </w:pPr>
      <w:r>
        <w:rPr>
          <w:rFonts w:hint="eastAsia" w:asciiTheme="minorEastAsia" w:hAnsiTheme="minorEastAsia" w:eastAsiaTheme="minorEastAsia"/>
          <w:bCs/>
          <w:color w:val="auto"/>
          <w:szCs w:val="21"/>
        </w:rPr>
        <w:t>日期：</w:t>
      </w:r>
      <w:r>
        <w:rPr>
          <w:rFonts w:hint="eastAsia" w:asciiTheme="minorEastAsia" w:hAnsiTheme="minorEastAsia" w:eastAsiaTheme="minorEastAsia"/>
          <w:bCs/>
          <w:color w:val="auto"/>
          <w:szCs w:val="21"/>
          <w:u w:val="single"/>
        </w:rPr>
        <w:t xml:space="preserve">      </w:t>
      </w:r>
      <w:r>
        <w:rPr>
          <w:rFonts w:hint="eastAsia" w:asciiTheme="minorEastAsia" w:hAnsiTheme="minorEastAsia" w:eastAsiaTheme="minorEastAsia"/>
          <w:bCs/>
          <w:color w:val="auto"/>
          <w:szCs w:val="21"/>
        </w:rPr>
        <w:t>年</w:t>
      </w:r>
      <w:r>
        <w:rPr>
          <w:rFonts w:hint="eastAsia" w:asciiTheme="minorEastAsia" w:hAnsiTheme="minorEastAsia" w:eastAsiaTheme="minorEastAsia"/>
          <w:bCs/>
          <w:color w:val="auto"/>
          <w:szCs w:val="21"/>
          <w:u w:val="single"/>
        </w:rPr>
        <w:t xml:space="preserve">     </w:t>
      </w:r>
      <w:r>
        <w:rPr>
          <w:rFonts w:hint="eastAsia" w:asciiTheme="minorEastAsia" w:hAnsiTheme="minorEastAsia" w:eastAsiaTheme="minorEastAsia"/>
          <w:bCs/>
          <w:color w:val="auto"/>
          <w:szCs w:val="21"/>
        </w:rPr>
        <w:t>月</w:t>
      </w:r>
      <w:r>
        <w:rPr>
          <w:rFonts w:hint="eastAsia" w:asciiTheme="minorEastAsia" w:hAnsiTheme="minorEastAsia" w:eastAsiaTheme="minorEastAsia"/>
          <w:bCs/>
          <w:color w:val="auto"/>
          <w:szCs w:val="21"/>
          <w:u w:val="single"/>
        </w:rPr>
        <w:t xml:space="preserve">      </w:t>
      </w:r>
      <w:r>
        <w:rPr>
          <w:rFonts w:hint="eastAsia" w:asciiTheme="minorEastAsia" w:hAnsiTheme="minorEastAsia" w:eastAsiaTheme="minorEastAsia"/>
          <w:bCs/>
          <w:color w:val="auto"/>
          <w:szCs w:val="21"/>
        </w:rPr>
        <w:t>日</w:t>
      </w:r>
    </w:p>
    <w:p w14:paraId="7F80695E">
      <w:pPr>
        <w:rPr>
          <w:color w:val="auto"/>
        </w:rPr>
      </w:pPr>
    </w:p>
    <w:p w14:paraId="7C57313B">
      <w:pPr>
        <w:pStyle w:val="5"/>
        <w:spacing w:line="360" w:lineRule="auto"/>
        <w:ind w:firstLine="0"/>
        <w:rPr>
          <w:rFonts w:hint="eastAsia" w:ascii="宋体" w:hAnsi="宋体" w:cs="宋体"/>
          <w:color w:val="auto"/>
        </w:rPr>
        <w:sectPr>
          <w:pgSz w:w="11906" w:h="16838"/>
          <w:pgMar w:top="1440" w:right="1304" w:bottom="1440" w:left="1304" w:header="851" w:footer="851" w:gutter="0"/>
          <w:cols w:space="720" w:num="1"/>
          <w:docGrid w:linePitch="312" w:charSpace="0"/>
        </w:sectPr>
      </w:pPr>
    </w:p>
    <w:bookmarkEnd w:id="1160"/>
    <w:bookmarkEnd w:id="1161"/>
    <w:p w14:paraId="3808AED4">
      <w:pPr>
        <w:spacing w:line="360" w:lineRule="auto"/>
        <w:jc w:val="center"/>
        <w:outlineLvl w:val="2"/>
        <w:rPr>
          <w:rFonts w:hint="eastAsia" w:ascii="宋体" w:hAnsi="宋体" w:cs="宋体"/>
          <w:bCs/>
          <w:color w:val="auto"/>
          <w:sz w:val="28"/>
          <w:szCs w:val="28"/>
        </w:rPr>
      </w:pPr>
      <w:bookmarkStart w:id="1170" w:name="_Toc56502683"/>
      <w:bookmarkStart w:id="1171" w:name="_Toc77683060"/>
      <w:bookmarkStart w:id="1172" w:name="_Toc103586010"/>
      <w:bookmarkStart w:id="1173" w:name="_Toc91516421"/>
      <w:bookmarkStart w:id="1174" w:name="_Toc103586119"/>
      <w:bookmarkStart w:id="1175" w:name="_Toc103579236"/>
      <w:bookmarkStart w:id="1176" w:name="_Toc89820110"/>
      <w:bookmarkStart w:id="1177" w:name="_Toc110405209"/>
      <w:bookmarkStart w:id="1178" w:name="_Toc45976970"/>
      <w:bookmarkStart w:id="1179" w:name="_Toc65244969"/>
      <w:bookmarkStart w:id="1180" w:name="_Toc116584080"/>
      <w:bookmarkStart w:id="1181" w:name="_Toc20609"/>
      <w:bookmarkStart w:id="1182" w:name="_Toc109809397"/>
      <w:r>
        <w:rPr>
          <w:rFonts w:hint="eastAsia" w:ascii="宋体" w:hAnsi="宋体" w:cs="宋体"/>
          <w:bCs/>
          <w:color w:val="auto"/>
          <w:sz w:val="28"/>
          <w:szCs w:val="28"/>
        </w:rPr>
        <w:t>（六）</w:t>
      </w:r>
      <w:bookmarkEnd w:id="1170"/>
      <w:bookmarkEnd w:id="1171"/>
      <w:bookmarkEnd w:id="1172"/>
      <w:bookmarkEnd w:id="1173"/>
      <w:bookmarkEnd w:id="1174"/>
      <w:bookmarkEnd w:id="1175"/>
      <w:bookmarkEnd w:id="1176"/>
      <w:bookmarkEnd w:id="1177"/>
      <w:bookmarkEnd w:id="1178"/>
      <w:bookmarkEnd w:id="1179"/>
      <w:bookmarkStart w:id="1183" w:name="_Toc516246160"/>
      <w:bookmarkStart w:id="1184" w:name="_Toc513923170"/>
      <w:bookmarkStart w:id="1185" w:name="_Toc364244845"/>
      <w:bookmarkStart w:id="1186" w:name="_Toc419473139"/>
      <w:bookmarkStart w:id="1187" w:name="_Toc330828144"/>
      <w:r>
        <w:rPr>
          <w:rFonts w:hint="eastAsia" w:ascii="宋体" w:hAnsi="宋体" w:cs="宋体"/>
          <w:bCs/>
          <w:color w:val="auto"/>
          <w:sz w:val="28"/>
          <w:szCs w:val="28"/>
        </w:rPr>
        <w:t>磋商报价</w:t>
      </w:r>
      <w:bookmarkEnd w:id="1180"/>
      <w:bookmarkEnd w:id="1181"/>
      <w:bookmarkEnd w:id="1183"/>
      <w:bookmarkEnd w:id="1184"/>
    </w:p>
    <w:p w14:paraId="4027C160">
      <w:pPr>
        <w:spacing w:line="360" w:lineRule="auto"/>
        <w:jc w:val="center"/>
        <w:outlineLvl w:val="3"/>
        <w:rPr>
          <w:rFonts w:hint="eastAsia" w:ascii="宋体" w:hAnsi="宋体" w:cs="宋体"/>
          <w:b/>
          <w:color w:val="auto"/>
          <w:sz w:val="28"/>
          <w:szCs w:val="28"/>
        </w:rPr>
      </w:pPr>
      <w:r>
        <w:rPr>
          <w:rFonts w:hint="eastAsia" w:ascii="宋体" w:hAnsi="宋体" w:cs="宋体"/>
          <w:b/>
          <w:color w:val="auto"/>
          <w:sz w:val="28"/>
          <w:szCs w:val="28"/>
        </w:rPr>
        <w:t>1.报价一览表</w:t>
      </w:r>
    </w:p>
    <w:bookmarkEnd w:id="1185"/>
    <w:bookmarkEnd w:id="1186"/>
    <w:bookmarkEnd w:id="1187"/>
    <w:tbl>
      <w:tblPr>
        <w:tblStyle w:val="55"/>
        <w:tblW w:w="90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7037"/>
      </w:tblGrid>
      <w:tr w14:paraId="103F0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980" w:type="dxa"/>
            <w:vAlign w:val="center"/>
          </w:tcPr>
          <w:p w14:paraId="503248DB">
            <w:pPr>
              <w:spacing w:before="120" w:after="120"/>
              <w:jc w:val="center"/>
              <w:rPr>
                <w:rFonts w:hint="eastAsia" w:ascii="宋体" w:hAnsi="宋体" w:cs="宋体"/>
                <w:color w:val="auto"/>
                <w:szCs w:val="21"/>
              </w:rPr>
            </w:pPr>
            <w:r>
              <w:rPr>
                <w:rFonts w:hint="eastAsia" w:ascii="宋体" w:hAnsi="宋体" w:cs="宋体"/>
                <w:color w:val="auto"/>
                <w:szCs w:val="21"/>
              </w:rPr>
              <w:t>项目名称</w:t>
            </w:r>
          </w:p>
        </w:tc>
        <w:tc>
          <w:tcPr>
            <w:tcW w:w="7037" w:type="dxa"/>
            <w:vAlign w:val="center"/>
          </w:tcPr>
          <w:p w14:paraId="3421D040">
            <w:pPr>
              <w:wordWrap w:val="0"/>
              <w:rPr>
                <w:rFonts w:hint="eastAsia" w:ascii="宋体" w:hAnsi="宋体" w:cs="宋体"/>
                <w:color w:val="auto"/>
                <w:szCs w:val="21"/>
              </w:rPr>
            </w:pPr>
          </w:p>
        </w:tc>
      </w:tr>
      <w:tr w14:paraId="655C9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980" w:type="dxa"/>
            <w:vAlign w:val="center"/>
          </w:tcPr>
          <w:p w14:paraId="5D02768D">
            <w:pPr>
              <w:spacing w:before="120" w:after="120"/>
              <w:jc w:val="center"/>
              <w:rPr>
                <w:rFonts w:hint="eastAsia" w:ascii="宋体" w:hAnsi="宋体" w:cs="宋体"/>
                <w:color w:val="auto"/>
                <w:szCs w:val="21"/>
              </w:rPr>
            </w:pPr>
            <w:r>
              <w:rPr>
                <w:rFonts w:hint="eastAsia" w:ascii="宋体" w:hAnsi="宋体" w:cs="宋体"/>
                <w:color w:val="auto"/>
                <w:szCs w:val="21"/>
              </w:rPr>
              <w:t>磋商报价</w:t>
            </w:r>
          </w:p>
        </w:tc>
        <w:tc>
          <w:tcPr>
            <w:tcW w:w="7037" w:type="dxa"/>
            <w:vAlign w:val="center"/>
          </w:tcPr>
          <w:p w14:paraId="428AE414">
            <w:pPr>
              <w:spacing w:before="120" w:beforeLines="50" w:line="360" w:lineRule="auto"/>
              <w:jc w:val="center"/>
              <w:rPr>
                <w:rFonts w:hint="eastAsia" w:ascii="宋体" w:hAnsi="宋体" w:cs="宋体"/>
                <w:color w:val="auto"/>
                <w:szCs w:val="21"/>
              </w:rPr>
            </w:pPr>
            <w:r>
              <w:rPr>
                <w:rFonts w:hint="eastAsia" w:ascii="宋体" w:hAnsi="宋体" w:cs="宋体"/>
                <w:color w:val="auto"/>
                <w:szCs w:val="21"/>
              </w:rPr>
              <w:t>小写：¥</w:t>
            </w:r>
            <w:r>
              <w:rPr>
                <w:rFonts w:hint="eastAsia" w:ascii="宋体" w:hAnsi="宋体" w:cs="宋体"/>
                <w:color w:val="auto"/>
                <w:szCs w:val="21"/>
                <w:u w:val="single"/>
              </w:rPr>
              <w:t xml:space="preserve">             </w:t>
            </w:r>
            <w:r>
              <w:rPr>
                <w:rFonts w:hint="eastAsia" w:ascii="宋体" w:hAnsi="宋体" w:cs="宋体"/>
                <w:color w:val="auto"/>
                <w:szCs w:val="21"/>
              </w:rPr>
              <w:t>元；大写：</w:t>
            </w:r>
            <w:r>
              <w:rPr>
                <w:rFonts w:hint="eastAsia" w:ascii="宋体" w:hAnsi="宋体" w:cs="宋体"/>
                <w:color w:val="auto"/>
                <w:szCs w:val="21"/>
                <w:u w:val="single"/>
              </w:rPr>
              <w:t xml:space="preserve">            </w:t>
            </w:r>
            <w:r>
              <w:rPr>
                <w:rFonts w:hint="eastAsia" w:ascii="宋体" w:hAnsi="宋体" w:cs="宋体"/>
                <w:color w:val="auto"/>
                <w:szCs w:val="21"/>
              </w:rPr>
              <w:t>。</w:t>
            </w:r>
          </w:p>
        </w:tc>
      </w:tr>
      <w:tr w14:paraId="4960A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980" w:type="dxa"/>
            <w:vAlign w:val="center"/>
          </w:tcPr>
          <w:p w14:paraId="2C78985E">
            <w:pPr>
              <w:spacing w:before="120" w:beforeLines="50" w:line="360" w:lineRule="auto"/>
              <w:jc w:val="center"/>
              <w:rPr>
                <w:rFonts w:hint="eastAsia" w:ascii="宋体" w:hAnsi="宋体" w:cs="宋体"/>
                <w:color w:val="auto"/>
                <w:szCs w:val="21"/>
              </w:rPr>
            </w:pPr>
            <w:r>
              <w:rPr>
                <w:rFonts w:hint="eastAsia" w:ascii="宋体" w:hAnsi="宋体" w:cs="宋体"/>
                <w:color w:val="auto"/>
                <w:szCs w:val="21"/>
              </w:rPr>
              <w:t>说明</w:t>
            </w:r>
          </w:p>
        </w:tc>
        <w:tc>
          <w:tcPr>
            <w:tcW w:w="7037" w:type="dxa"/>
            <w:vAlign w:val="center"/>
          </w:tcPr>
          <w:p w14:paraId="297A06B9">
            <w:pPr>
              <w:spacing w:before="120" w:beforeLines="50" w:line="360" w:lineRule="auto"/>
              <w:jc w:val="left"/>
              <w:rPr>
                <w:rFonts w:hint="eastAsia" w:ascii="宋体" w:hAnsi="宋体" w:cs="宋体"/>
                <w:color w:val="auto"/>
                <w:szCs w:val="21"/>
              </w:rPr>
            </w:pPr>
          </w:p>
        </w:tc>
      </w:tr>
      <w:tr w14:paraId="2DF99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7" w:hRule="atLeast"/>
          <w:jc w:val="center"/>
        </w:trPr>
        <w:tc>
          <w:tcPr>
            <w:tcW w:w="9017" w:type="dxa"/>
            <w:gridSpan w:val="2"/>
            <w:vAlign w:val="center"/>
          </w:tcPr>
          <w:p w14:paraId="1AE71411">
            <w:pPr>
              <w:spacing w:before="120" w:after="120"/>
              <w:rPr>
                <w:rFonts w:hint="eastAsia" w:ascii="宋体" w:hAnsi="宋体" w:cs="宋体"/>
                <w:color w:val="auto"/>
                <w:szCs w:val="21"/>
              </w:rPr>
            </w:pPr>
            <w:r>
              <w:rPr>
                <w:rFonts w:hint="eastAsia" w:ascii="宋体" w:hAnsi="宋体" w:cs="宋体"/>
                <w:color w:val="auto"/>
                <w:szCs w:val="21"/>
              </w:rPr>
              <w:t>供应商（电子签章）：</w:t>
            </w:r>
          </w:p>
        </w:tc>
      </w:tr>
      <w:tr w14:paraId="479C9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jc w:val="center"/>
        </w:trPr>
        <w:tc>
          <w:tcPr>
            <w:tcW w:w="9017" w:type="dxa"/>
            <w:gridSpan w:val="2"/>
            <w:vAlign w:val="bottom"/>
          </w:tcPr>
          <w:p w14:paraId="5A50376A">
            <w:pPr>
              <w:spacing w:before="120" w:after="120"/>
              <w:ind w:right="480"/>
              <w:rPr>
                <w:rFonts w:hint="eastAsia" w:ascii="宋体" w:hAnsi="宋体" w:cs="宋体"/>
                <w:color w:val="auto"/>
                <w:szCs w:val="21"/>
              </w:rPr>
            </w:pPr>
            <w:r>
              <w:rPr>
                <w:rFonts w:hint="eastAsia" w:ascii="宋体" w:hAnsi="宋体" w:cs="宋体"/>
                <w:color w:val="auto"/>
                <w:szCs w:val="21"/>
              </w:rPr>
              <w:t>法定代表人（电子签章）：</w:t>
            </w:r>
          </w:p>
          <w:p w14:paraId="526ABBC4">
            <w:pPr>
              <w:spacing w:before="120" w:after="120"/>
              <w:jc w:val="right"/>
              <w:rPr>
                <w:rFonts w:hint="eastAsia" w:ascii="宋体" w:hAnsi="宋体" w:cs="宋体"/>
                <w:color w:val="auto"/>
                <w:szCs w:val="21"/>
              </w:rPr>
            </w:pPr>
          </w:p>
          <w:p w14:paraId="63B23B5F">
            <w:pPr>
              <w:spacing w:before="120" w:after="120"/>
              <w:jc w:val="right"/>
              <w:rPr>
                <w:rFonts w:hint="eastAsia" w:ascii="宋体" w:hAnsi="宋体" w:cs="宋体"/>
                <w:color w:val="auto"/>
                <w:szCs w:val="21"/>
              </w:rPr>
            </w:pPr>
            <w:r>
              <w:rPr>
                <w:rFonts w:hint="eastAsia" w:ascii="宋体" w:hAnsi="宋体" w:cs="宋体"/>
                <w:color w:val="auto"/>
                <w:szCs w:val="21"/>
              </w:rPr>
              <w:t>日 期：    年    月    日</w:t>
            </w:r>
          </w:p>
        </w:tc>
      </w:tr>
    </w:tbl>
    <w:p w14:paraId="5E71D44D">
      <w:pPr>
        <w:widowControl/>
        <w:spacing w:line="360" w:lineRule="auto"/>
        <w:jc w:val="left"/>
        <w:rPr>
          <w:rFonts w:hint="eastAsia" w:ascii="宋体" w:hAnsi="宋体" w:cs="宋体"/>
          <w:b/>
          <w:color w:val="auto"/>
          <w:sz w:val="28"/>
          <w:szCs w:val="28"/>
        </w:rPr>
      </w:pPr>
      <w:r>
        <w:rPr>
          <w:rFonts w:hint="eastAsia" w:ascii="宋体" w:hAnsi="宋体" w:cs="宋体"/>
          <w:b/>
          <w:color w:val="auto"/>
          <w:sz w:val="28"/>
          <w:szCs w:val="28"/>
        </w:rPr>
        <w:br w:type="page"/>
      </w:r>
    </w:p>
    <w:bookmarkEnd w:id="1182"/>
    <w:p w14:paraId="4FEA7021">
      <w:pPr>
        <w:spacing w:line="360" w:lineRule="auto"/>
        <w:jc w:val="center"/>
        <w:outlineLvl w:val="3"/>
        <w:rPr>
          <w:rFonts w:hint="eastAsia" w:ascii="宋体" w:hAnsi="宋体" w:cs="宋体"/>
          <w:b/>
          <w:color w:val="auto"/>
          <w:sz w:val="28"/>
          <w:szCs w:val="28"/>
        </w:rPr>
      </w:pPr>
      <w:bookmarkStart w:id="1188" w:name="_Toc81331010"/>
      <w:bookmarkStart w:id="1189" w:name="_Toc45976971"/>
      <w:bookmarkStart w:id="1190" w:name="_Toc53412279"/>
      <w:bookmarkStart w:id="1191" w:name="_Toc110405210"/>
      <w:bookmarkStart w:id="1192" w:name="_Toc109809390"/>
      <w:bookmarkStart w:id="1193" w:name="_Toc8736138"/>
      <w:bookmarkStart w:id="1194" w:name="_Toc116584081"/>
      <w:bookmarkStart w:id="1195" w:name="_Toc69678492"/>
      <w:bookmarkStart w:id="1196" w:name="_Toc75783595"/>
      <w:bookmarkStart w:id="1197" w:name="_Toc42205063"/>
      <w:bookmarkStart w:id="1198" w:name="_Toc29512"/>
      <w:bookmarkStart w:id="1199" w:name="_Toc98865076"/>
      <w:bookmarkStart w:id="1200" w:name="_Toc31603098"/>
      <w:bookmarkStart w:id="1201" w:name="_Toc38173197"/>
      <w:r>
        <w:rPr>
          <w:rFonts w:hint="eastAsia" w:ascii="宋体" w:hAnsi="宋体" w:cs="宋体"/>
          <w:b/>
          <w:color w:val="auto"/>
          <w:sz w:val="28"/>
          <w:szCs w:val="28"/>
        </w:rPr>
        <w:t>2.中小企业声明函</w:t>
      </w:r>
      <w:bookmarkEnd w:id="1188"/>
      <w:bookmarkEnd w:id="1189"/>
      <w:bookmarkEnd w:id="1190"/>
      <w:bookmarkEnd w:id="1191"/>
      <w:bookmarkEnd w:id="1192"/>
      <w:bookmarkEnd w:id="1193"/>
      <w:bookmarkEnd w:id="1194"/>
      <w:bookmarkEnd w:id="1195"/>
      <w:bookmarkEnd w:id="1196"/>
      <w:bookmarkEnd w:id="1197"/>
      <w:bookmarkEnd w:id="1198"/>
      <w:bookmarkEnd w:id="1199"/>
    </w:p>
    <w:p w14:paraId="6FDC79E0">
      <w:pPr>
        <w:spacing w:line="360" w:lineRule="auto"/>
        <w:ind w:firstLine="444" w:firstLineChars="200"/>
        <w:rPr>
          <w:rFonts w:hint="eastAsia" w:ascii="宋体" w:hAnsi="宋体" w:cs="宋体"/>
          <w:color w:val="auto"/>
          <w:spacing w:val="6"/>
          <w:szCs w:val="21"/>
        </w:rPr>
      </w:pPr>
      <w:bookmarkStart w:id="1202" w:name="_Toc69678493"/>
      <w:bookmarkStart w:id="1203" w:name="_Toc45976972"/>
      <w:bookmarkStart w:id="1204" w:name="_Toc53412280"/>
      <w:bookmarkStart w:id="1205" w:name="_Toc75783596"/>
      <w:bookmarkStart w:id="1206" w:name="_Toc81331011"/>
      <w:bookmarkStart w:id="1207" w:name="_Toc42205064"/>
      <w:r>
        <w:rPr>
          <w:rFonts w:hint="eastAsia" w:ascii="宋体" w:hAnsi="宋体" w:cs="宋体"/>
          <w:color w:val="auto"/>
          <w:spacing w:val="6"/>
          <w:szCs w:val="21"/>
        </w:rPr>
        <w:t>本公司（联合体）郑重声明，根据《政府采购促进中小企业发展管理办法》（财库﹝2020﹞46号）的规定，本公司（联合体）参加</w:t>
      </w:r>
      <w:r>
        <w:rPr>
          <w:rFonts w:hint="eastAsia" w:ascii="宋体" w:hAnsi="宋体" w:cs="宋体"/>
          <w:color w:val="auto"/>
          <w:spacing w:val="6"/>
          <w:szCs w:val="21"/>
          <w:u w:val="single"/>
        </w:rPr>
        <w:t xml:space="preserve"> （单位名称） </w:t>
      </w:r>
      <w:r>
        <w:rPr>
          <w:rFonts w:hint="eastAsia" w:ascii="宋体" w:hAnsi="宋体" w:cs="宋体"/>
          <w:color w:val="auto"/>
          <w:spacing w:val="6"/>
          <w:szCs w:val="21"/>
        </w:rPr>
        <w:t>的</w:t>
      </w:r>
      <w:r>
        <w:rPr>
          <w:rFonts w:hint="eastAsia" w:ascii="宋体" w:hAnsi="宋体" w:cs="宋体"/>
          <w:color w:val="auto"/>
          <w:spacing w:val="6"/>
          <w:szCs w:val="21"/>
          <w:u w:val="single"/>
        </w:rPr>
        <w:t>（项目名称）</w:t>
      </w:r>
      <w:r>
        <w:rPr>
          <w:rFonts w:hint="eastAsia" w:ascii="宋体" w:hAnsi="宋体" w:cs="宋体"/>
          <w:color w:val="auto"/>
          <w:spacing w:val="6"/>
          <w:szCs w:val="21"/>
        </w:rPr>
        <w:t>采购活动，服务全部由符合政策要求的中小企业承接。相关企业（含联合体中的中小企业、签订分包意向协议的中小企业）的具体情况如下：</w:t>
      </w:r>
    </w:p>
    <w:p w14:paraId="783C890C">
      <w:pPr>
        <w:spacing w:line="360" w:lineRule="auto"/>
        <w:ind w:firstLine="444" w:firstLineChars="200"/>
        <w:rPr>
          <w:rFonts w:hint="eastAsia" w:ascii="宋体" w:hAnsi="宋体" w:cs="宋体"/>
          <w:color w:val="auto"/>
          <w:spacing w:val="6"/>
          <w:szCs w:val="21"/>
        </w:rPr>
      </w:pPr>
      <w:r>
        <w:rPr>
          <w:rFonts w:hint="eastAsia" w:ascii="宋体" w:hAnsi="宋体" w:cs="宋体"/>
          <w:color w:val="auto"/>
          <w:spacing w:val="6"/>
          <w:szCs w:val="21"/>
          <w:u w:val="single"/>
        </w:rPr>
        <w:t>1.（标的名称）</w:t>
      </w:r>
      <w:r>
        <w:rPr>
          <w:rFonts w:hint="eastAsia" w:ascii="宋体" w:hAnsi="宋体" w:cs="宋体"/>
          <w:color w:val="auto"/>
          <w:spacing w:val="6"/>
          <w:szCs w:val="21"/>
        </w:rPr>
        <w:t>，属于</w:t>
      </w:r>
      <w:bookmarkStart w:id="1208" w:name="_Hlk101911819"/>
      <w:r>
        <w:rPr>
          <w:rFonts w:hint="eastAsia" w:ascii="宋体" w:hAnsi="宋体" w:cs="宋体"/>
          <w:color w:val="auto"/>
          <w:spacing w:val="6"/>
          <w:szCs w:val="21"/>
          <w:u w:val="single"/>
        </w:rPr>
        <w:t>（采购文件中明确的所属行业）</w:t>
      </w:r>
      <w:bookmarkEnd w:id="1208"/>
      <w:r>
        <w:rPr>
          <w:rFonts w:hint="eastAsia" w:ascii="宋体" w:hAnsi="宋体" w:cs="宋体"/>
          <w:color w:val="auto"/>
          <w:spacing w:val="6"/>
          <w:szCs w:val="21"/>
        </w:rPr>
        <w:t>；承接企业为</w:t>
      </w:r>
      <w:r>
        <w:rPr>
          <w:rFonts w:hint="eastAsia" w:ascii="宋体" w:hAnsi="宋体" w:cs="宋体"/>
          <w:color w:val="auto"/>
          <w:spacing w:val="6"/>
          <w:szCs w:val="21"/>
          <w:u w:val="single"/>
        </w:rPr>
        <w:t>（企业名称）</w:t>
      </w:r>
      <w:r>
        <w:rPr>
          <w:rFonts w:hint="eastAsia" w:ascii="宋体" w:hAnsi="宋体" w:cs="宋体"/>
          <w:color w:val="auto"/>
          <w:spacing w:val="6"/>
          <w:szCs w:val="21"/>
        </w:rPr>
        <w:t>，从业人员</w:t>
      </w:r>
      <w:r>
        <w:rPr>
          <w:rFonts w:hint="eastAsia" w:ascii="宋体" w:hAnsi="宋体" w:cs="宋体"/>
          <w:color w:val="auto"/>
          <w:spacing w:val="6"/>
          <w:szCs w:val="21"/>
          <w:u w:val="single"/>
        </w:rPr>
        <w:t>     </w:t>
      </w:r>
      <w:r>
        <w:rPr>
          <w:rFonts w:hint="eastAsia" w:ascii="宋体" w:hAnsi="宋体" w:cs="宋体"/>
          <w:color w:val="auto"/>
          <w:spacing w:val="6"/>
          <w:szCs w:val="21"/>
        </w:rPr>
        <w:t>人，营业收入为</w:t>
      </w:r>
      <w:r>
        <w:rPr>
          <w:rFonts w:hint="eastAsia" w:ascii="宋体" w:hAnsi="宋体" w:cs="宋体"/>
          <w:color w:val="auto"/>
          <w:spacing w:val="6"/>
          <w:szCs w:val="21"/>
          <w:u w:val="single"/>
        </w:rPr>
        <w:t>     </w:t>
      </w:r>
      <w:r>
        <w:rPr>
          <w:rFonts w:hint="eastAsia" w:ascii="宋体" w:hAnsi="宋体" w:cs="宋体"/>
          <w:color w:val="auto"/>
          <w:spacing w:val="6"/>
          <w:szCs w:val="21"/>
        </w:rPr>
        <w:t>万元，资产总额为</w:t>
      </w:r>
      <w:r>
        <w:rPr>
          <w:rFonts w:hint="eastAsia" w:ascii="宋体" w:hAnsi="宋体" w:cs="宋体"/>
          <w:color w:val="auto"/>
          <w:spacing w:val="6"/>
          <w:szCs w:val="21"/>
          <w:u w:val="single"/>
        </w:rPr>
        <w:t>     </w:t>
      </w:r>
      <w:r>
        <w:rPr>
          <w:rFonts w:hint="eastAsia" w:ascii="宋体" w:hAnsi="宋体" w:cs="宋体"/>
          <w:color w:val="auto"/>
          <w:spacing w:val="6"/>
          <w:szCs w:val="21"/>
        </w:rPr>
        <w:t>万元，属于</w:t>
      </w:r>
      <w:r>
        <w:rPr>
          <w:rFonts w:hint="eastAsia" w:ascii="宋体" w:hAnsi="宋体" w:cs="宋体"/>
          <w:color w:val="auto"/>
          <w:spacing w:val="6"/>
          <w:szCs w:val="21"/>
          <w:u w:val="single"/>
        </w:rPr>
        <w:t>（中型企业、小型企业、微型企业）</w:t>
      </w:r>
      <w:r>
        <w:rPr>
          <w:rFonts w:hint="eastAsia" w:ascii="宋体" w:hAnsi="宋体" w:cs="宋体"/>
          <w:color w:val="auto"/>
          <w:spacing w:val="6"/>
          <w:szCs w:val="21"/>
        </w:rPr>
        <w:t>；</w:t>
      </w:r>
    </w:p>
    <w:p w14:paraId="4562892B">
      <w:pPr>
        <w:spacing w:line="360" w:lineRule="auto"/>
        <w:ind w:firstLine="444" w:firstLineChars="200"/>
        <w:rPr>
          <w:rFonts w:hint="eastAsia" w:ascii="宋体" w:hAnsi="宋体" w:cs="宋体"/>
          <w:color w:val="auto"/>
          <w:spacing w:val="6"/>
          <w:szCs w:val="21"/>
        </w:rPr>
      </w:pPr>
      <w:r>
        <w:rPr>
          <w:rFonts w:hint="eastAsia" w:ascii="宋体" w:hAnsi="宋体" w:cs="宋体"/>
          <w:color w:val="auto"/>
          <w:spacing w:val="6"/>
          <w:szCs w:val="21"/>
          <w:u w:val="single"/>
        </w:rPr>
        <w:t>2.（标的名称）</w:t>
      </w:r>
      <w:r>
        <w:rPr>
          <w:rFonts w:hint="eastAsia" w:ascii="宋体" w:hAnsi="宋体" w:cs="宋体"/>
          <w:color w:val="auto"/>
          <w:spacing w:val="6"/>
          <w:szCs w:val="21"/>
        </w:rPr>
        <w:t>，属于</w:t>
      </w:r>
      <w:r>
        <w:rPr>
          <w:rFonts w:hint="eastAsia" w:ascii="宋体" w:hAnsi="宋体" w:cs="宋体"/>
          <w:color w:val="auto"/>
          <w:spacing w:val="6"/>
          <w:szCs w:val="21"/>
          <w:u w:val="single"/>
        </w:rPr>
        <w:t>（采购文件中明确的所属行业）</w:t>
      </w:r>
      <w:r>
        <w:rPr>
          <w:rFonts w:hint="eastAsia" w:ascii="宋体" w:hAnsi="宋体" w:cs="宋体"/>
          <w:color w:val="auto"/>
          <w:spacing w:val="6"/>
          <w:szCs w:val="21"/>
        </w:rPr>
        <w:t>；承接企业为</w:t>
      </w:r>
      <w:r>
        <w:rPr>
          <w:rFonts w:hint="eastAsia" w:ascii="宋体" w:hAnsi="宋体" w:cs="宋体"/>
          <w:color w:val="auto"/>
          <w:spacing w:val="6"/>
          <w:szCs w:val="21"/>
          <w:u w:val="single"/>
        </w:rPr>
        <w:t>（企业名称）</w:t>
      </w:r>
      <w:r>
        <w:rPr>
          <w:rFonts w:hint="eastAsia" w:ascii="宋体" w:hAnsi="宋体" w:cs="宋体"/>
          <w:color w:val="auto"/>
          <w:spacing w:val="6"/>
          <w:szCs w:val="21"/>
        </w:rPr>
        <w:t>，从业人员</w:t>
      </w:r>
      <w:r>
        <w:rPr>
          <w:rFonts w:hint="eastAsia" w:ascii="宋体" w:hAnsi="宋体" w:cs="宋体"/>
          <w:color w:val="auto"/>
          <w:spacing w:val="6"/>
          <w:szCs w:val="21"/>
          <w:u w:val="single"/>
        </w:rPr>
        <w:t>     </w:t>
      </w:r>
      <w:r>
        <w:rPr>
          <w:rFonts w:hint="eastAsia" w:ascii="宋体" w:hAnsi="宋体" w:cs="宋体"/>
          <w:color w:val="auto"/>
          <w:spacing w:val="6"/>
          <w:szCs w:val="21"/>
        </w:rPr>
        <w:t>人，营业收入为</w:t>
      </w:r>
      <w:r>
        <w:rPr>
          <w:rFonts w:hint="eastAsia" w:ascii="宋体" w:hAnsi="宋体" w:cs="宋体"/>
          <w:color w:val="auto"/>
          <w:spacing w:val="6"/>
          <w:szCs w:val="21"/>
          <w:u w:val="single"/>
        </w:rPr>
        <w:t>     </w:t>
      </w:r>
      <w:r>
        <w:rPr>
          <w:rFonts w:hint="eastAsia" w:ascii="宋体" w:hAnsi="宋体" w:cs="宋体"/>
          <w:color w:val="auto"/>
          <w:spacing w:val="6"/>
          <w:szCs w:val="21"/>
        </w:rPr>
        <w:t>万元，资产总额为</w:t>
      </w:r>
      <w:r>
        <w:rPr>
          <w:rFonts w:hint="eastAsia" w:ascii="宋体" w:hAnsi="宋体" w:cs="宋体"/>
          <w:color w:val="auto"/>
          <w:spacing w:val="6"/>
          <w:szCs w:val="21"/>
          <w:u w:val="single"/>
        </w:rPr>
        <w:t>     </w:t>
      </w:r>
      <w:r>
        <w:rPr>
          <w:rFonts w:hint="eastAsia" w:ascii="宋体" w:hAnsi="宋体" w:cs="宋体"/>
          <w:color w:val="auto"/>
          <w:spacing w:val="6"/>
          <w:szCs w:val="21"/>
        </w:rPr>
        <w:t>万元，属于</w:t>
      </w:r>
      <w:r>
        <w:rPr>
          <w:rFonts w:hint="eastAsia" w:ascii="宋体" w:hAnsi="宋体" w:cs="宋体"/>
          <w:color w:val="auto"/>
          <w:spacing w:val="6"/>
          <w:szCs w:val="21"/>
          <w:u w:val="single"/>
        </w:rPr>
        <w:t>（中型企业、小型企业、微型企业）</w:t>
      </w:r>
      <w:r>
        <w:rPr>
          <w:rFonts w:hint="eastAsia" w:ascii="宋体" w:hAnsi="宋体" w:cs="宋体"/>
          <w:color w:val="auto"/>
          <w:spacing w:val="6"/>
          <w:szCs w:val="21"/>
        </w:rPr>
        <w:t>；</w:t>
      </w:r>
    </w:p>
    <w:p w14:paraId="7035218B">
      <w:pPr>
        <w:spacing w:line="360" w:lineRule="auto"/>
        <w:ind w:firstLine="664" w:firstLineChars="200"/>
        <w:rPr>
          <w:rFonts w:hint="eastAsia" w:ascii="宋体" w:hAnsi="宋体" w:cs="宋体"/>
          <w:color w:val="auto"/>
          <w:spacing w:val="6"/>
          <w:sz w:val="32"/>
          <w:szCs w:val="32"/>
        </w:rPr>
      </w:pPr>
      <w:r>
        <w:rPr>
          <w:rFonts w:ascii="Arial" w:hAnsi="Arial" w:cs="Arial"/>
          <w:color w:val="auto"/>
          <w:spacing w:val="6"/>
          <w:sz w:val="32"/>
          <w:szCs w:val="32"/>
        </w:rPr>
        <w:t>……</w:t>
      </w:r>
    </w:p>
    <w:p w14:paraId="4154B30E">
      <w:pPr>
        <w:spacing w:line="360" w:lineRule="auto"/>
        <w:ind w:firstLine="444" w:firstLineChars="200"/>
        <w:rPr>
          <w:rFonts w:hint="eastAsia" w:ascii="宋体" w:hAnsi="宋体" w:cs="宋体"/>
          <w:color w:val="auto"/>
          <w:spacing w:val="6"/>
          <w:szCs w:val="21"/>
        </w:rPr>
      </w:pPr>
      <w:r>
        <w:rPr>
          <w:rFonts w:hint="eastAsia" w:ascii="宋体" w:hAnsi="宋体" w:cs="宋体"/>
          <w:color w:val="auto"/>
          <w:spacing w:val="6"/>
          <w:szCs w:val="21"/>
        </w:rPr>
        <w:t>以上企业，不属于大企业的分支机构，不存在控股股东为大企业的情形，也不存在与大企业的负责人为同一人的情形。</w:t>
      </w:r>
    </w:p>
    <w:p w14:paraId="6965E6BE">
      <w:pPr>
        <w:spacing w:line="360" w:lineRule="auto"/>
        <w:ind w:firstLine="444" w:firstLineChars="200"/>
        <w:rPr>
          <w:rFonts w:hint="eastAsia" w:ascii="宋体" w:hAnsi="宋体" w:cs="宋体"/>
          <w:color w:val="auto"/>
          <w:spacing w:val="6"/>
          <w:szCs w:val="21"/>
        </w:rPr>
      </w:pPr>
      <w:r>
        <w:rPr>
          <w:rFonts w:hint="eastAsia" w:ascii="宋体" w:hAnsi="宋体" w:cs="宋体"/>
          <w:color w:val="auto"/>
          <w:spacing w:val="6"/>
          <w:szCs w:val="21"/>
        </w:rPr>
        <w:t>本企业对上述声明内容的真实性负责。如有虚假，将依法承担相应责任。</w:t>
      </w:r>
    </w:p>
    <w:p w14:paraId="0551EBE1">
      <w:pPr>
        <w:widowControl/>
        <w:spacing w:line="360" w:lineRule="auto"/>
        <w:jc w:val="left"/>
        <w:rPr>
          <w:rFonts w:hint="eastAsia" w:ascii="宋体" w:hAnsi="宋体" w:cs="宋体"/>
          <w:color w:val="auto"/>
          <w:spacing w:val="6"/>
          <w:szCs w:val="21"/>
        </w:rPr>
      </w:pPr>
    </w:p>
    <w:p w14:paraId="32D2DCF2">
      <w:pPr>
        <w:widowControl/>
        <w:spacing w:line="360" w:lineRule="auto"/>
        <w:jc w:val="left"/>
        <w:rPr>
          <w:rFonts w:hint="eastAsia" w:ascii="宋体" w:hAnsi="宋体" w:cs="宋体"/>
          <w:color w:val="auto"/>
          <w:spacing w:val="6"/>
          <w:szCs w:val="21"/>
        </w:rPr>
      </w:pPr>
    </w:p>
    <w:p w14:paraId="5E731152">
      <w:pPr>
        <w:widowControl/>
        <w:spacing w:line="360" w:lineRule="auto"/>
        <w:jc w:val="left"/>
        <w:rPr>
          <w:rFonts w:hint="eastAsia" w:ascii="宋体" w:hAnsi="宋体" w:cs="宋体"/>
          <w:color w:val="auto"/>
          <w:spacing w:val="6"/>
          <w:szCs w:val="21"/>
        </w:rPr>
      </w:pPr>
    </w:p>
    <w:p w14:paraId="7F6C55B8">
      <w:pPr>
        <w:spacing w:line="480" w:lineRule="auto"/>
        <w:ind w:right="252" w:rightChars="120" w:firstLine="4200" w:firstLineChars="2000"/>
        <w:rPr>
          <w:rFonts w:hint="eastAsia" w:ascii="宋体" w:hAnsi="宋体" w:cs="宋体"/>
          <w:color w:val="auto"/>
          <w:szCs w:val="21"/>
          <w:u w:val="single"/>
        </w:rPr>
      </w:pPr>
      <w:r>
        <w:rPr>
          <w:rFonts w:hint="eastAsia" w:ascii="宋体" w:hAnsi="宋体" w:cs="宋体"/>
          <w:color w:val="auto"/>
          <w:szCs w:val="21"/>
        </w:rPr>
        <w:t>企业名称（电子签章）：</w:t>
      </w:r>
      <w:r>
        <w:rPr>
          <w:rFonts w:hint="eastAsia" w:ascii="宋体" w:hAnsi="宋体" w:cs="宋体"/>
          <w:color w:val="auto"/>
          <w:szCs w:val="21"/>
          <w:u w:val="single"/>
        </w:rPr>
        <w:t xml:space="preserve">                </w:t>
      </w:r>
    </w:p>
    <w:p w14:paraId="7A21795D">
      <w:pPr>
        <w:spacing w:line="480" w:lineRule="auto"/>
        <w:ind w:right="252" w:rightChars="120" w:firstLine="4200" w:firstLineChars="2000"/>
        <w:rPr>
          <w:rFonts w:hint="eastAsia" w:ascii="宋体" w:hAnsi="宋体" w:cs="宋体"/>
          <w:color w:val="auto"/>
          <w:szCs w:val="21"/>
        </w:rPr>
      </w:pPr>
      <w:r>
        <w:rPr>
          <w:rFonts w:hint="eastAsia" w:ascii="宋体" w:hAnsi="宋体" w:cs="宋体"/>
          <w:color w:val="auto"/>
          <w:szCs w:val="21"/>
        </w:rPr>
        <w:t>日  期：</w:t>
      </w:r>
      <w:r>
        <w:rPr>
          <w:rFonts w:hint="eastAsia" w:ascii="宋体" w:hAnsi="宋体" w:cs="宋体"/>
          <w:color w:val="auto"/>
          <w:szCs w:val="21"/>
          <w:u w:val="single"/>
        </w:rPr>
        <w:t xml:space="preserve">               </w:t>
      </w:r>
    </w:p>
    <w:p w14:paraId="7139D8FF">
      <w:pPr>
        <w:spacing w:line="480" w:lineRule="auto"/>
        <w:ind w:right="252" w:rightChars="120" w:firstLine="420" w:firstLineChars="200"/>
        <w:rPr>
          <w:rFonts w:hint="eastAsia" w:ascii="宋体" w:hAnsi="宋体" w:cs="宋体"/>
          <w:color w:val="auto"/>
          <w:szCs w:val="21"/>
        </w:rPr>
      </w:pPr>
      <w:r>
        <w:rPr>
          <w:rFonts w:hint="eastAsia" w:ascii="宋体" w:hAnsi="宋体" w:cs="宋体"/>
          <w:color w:val="auto"/>
          <w:szCs w:val="21"/>
        </w:rPr>
        <w:t>从业人员、营业收入、资产总额填报上一年度数据，无上一年度数据的新成立企业可不填报。</w:t>
      </w:r>
    </w:p>
    <w:p w14:paraId="5346A459">
      <w:pPr>
        <w:spacing w:line="360" w:lineRule="auto"/>
        <w:ind w:right="252" w:rightChars="120" w:firstLine="6510" w:firstLineChars="3100"/>
        <w:rPr>
          <w:rFonts w:hint="eastAsia" w:ascii="宋体" w:hAnsi="宋体" w:cs="宋体"/>
          <w:color w:val="auto"/>
          <w:szCs w:val="21"/>
        </w:rPr>
      </w:pPr>
    </w:p>
    <w:p w14:paraId="581BD1F5">
      <w:pPr>
        <w:spacing w:line="360" w:lineRule="auto"/>
        <w:ind w:right="252" w:rightChars="120" w:firstLine="6510" w:firstLineChars="3100"/>
        <w:rPr>
          <w:rFonts w:hint="eastAsia" w:ascii="宋体" w:hAnsi="宋体" w:cs="宋体"/>
          <w:color w:val="auto"/>
          <w:szCs w:val="21"/>
        </w:rPr>
      </w:pPr>
    </w:p>
    <w:p w14:paraId="3E5285DC">
      <w:pPr>
        <w:spacing w:line="360" w:lineRule="auto"/>
        <w:ind w:right="252" w:rightChars="120" w:firstLine="422" w:firstLineChars="200"/>
        <w:rPr>
          <w:rFonts w:hint="eastAsia" w:cs="仿宋_GB2312" w:asciiTheme="minorEastAsia" w:hAnsiTheme="minorEastAsia" w:eastAsiaTheme="minorEastAsia"/>
          <w:b/>
          <w:bCs/>
          <w:color w:val="auto"/>
          <w:szCs w:val="21"/>
        </w:rPr>
      </w:pPr>
      <w:r>
        <w:rPr>
          <w:rFonts w:hint="eastAsia" w:cs="仿宋_GB2312" w:asciiTheme="minorEastAsia" w:hAnsiTheme="minorEastAsia" w:eastAsiaTheme="minorEastAsia"/>
          <w:b/>
          <w:bCs/>
          <w:color w:val="auto"/>
          <w:szCs w:val="21"/>
        </w:rPr>
        <w:t>注：1.从业人员、营业收入、资产总额填报上一年度数据，无上一年度数据的新成立企业可不填报；</w:t>
      </w:r>
    </w:p>
    <w:p w14:paraId="7EE62B4D">
      <w:pPr>
        <w:spacing w:line="360" w:lineRule="auto"/>
        <w:ind w:firstLine="778" w:firstLineChars="369"/>
        <w:rPr>
          <w:rFonts w:hint="eastAsia" w:asciiTheme="minorEastAsia" w:hAnsiTheme="minorEastAsia" w:eastAsiaTheme="minorEastAsia"/>
          <w:b/>
          <w:bCs/>
          <w:color w:val="auto"/>
          <w:spacing w:val="6"/>
          <w:szCs w:val="21"/>
        </w:rPr>
      </w:pPr>
      <w:r>
        <w:rPr>
          <w:rFonts w:cs="仿宋_GB2312" w:asciiTheme="minorEastAsia" w:hAnsiTheme="minorEastAsia" w:eastAsiaTheme="minorEastAsia"/>
          <w:b/>
          <w:bCs/>
          <w:color w:val="auto"/>
          <w:szCs w:val="21"/>
        </w:rPr>
        <w:t>2</w:t>
      </w:r>
      <w:r>
        <w:rPr>
          <w:rFonts w:hint="eastAsia" w:cs="仿宋_GB2312" w:asciiTheme="minorEastAsia" w:hAnsiTheme="minorEastAsia" w:eastAsiaTheme="minorEastAsia"/>
          <w:b/>
          <w:bCs/>
          <w:color w:val="auto"/>
          <w:szCs w:val="21"/>
        </w:rPr>
        <w:t>.供应商须按以上要求完整的填写《中小企业声明函》</w:t>
      </w:r>
      <w:r>
        <w:rPr>
          <w:rFonts w:hint="eastAsia" w:asciiTheme="minorEastAsia" w:hAnsiTheme="minorEastAsia" w:eastAsiaTheme="minorEastAsia"/>
          <w:b/>
          <w:bCs/>
          <w:color w:val="auto"/>
          <w:spacing w:val="6"/>
          <w:szCs w:val="21"/>
        </w:rPr>
        <w:t>。</w:t>
      </w:r>
    </w:p>
    <w:p w14:paraId="5F1815C4">
      <w:pPr>
        <w:spacing w:line="360" w:lineRule="auto"/>
        <w:ind w:firstLine="399" w:firstLineChars="190"/>
        <w:rPr>
          <w:rFonts w:hint="eastAsia" w:ascii="宋体" w:hAnsi="宋体" w:cs="宋体"/>
          <w:b/>
          <w:bCs/>
          <w:color w:val="auto"/>
          <w:spacing w:val="6"/>
          <w:szCs w:val="21"/>
        </w:rPr>
      </w:pPr>
      <w:r>
        <w:rPr>
          <w:rFonts w:hint="eastAsia" w:ascii="宋体" w:hAnsi="宋体" w:cs="宋体"/>
          <w:color w:val="auto"/>
          <w:szCs w:val="21"/>
        </w:rPr>
        <w:br w:type="page"/>
      </w:r>
    </w:p>
    <w:p w14:paraId="3A07F684">
      <w:pPr>
        <w:spacing w:line="360" w:lineRule="auto"/>
        <w:jc w:val="center"/>
        <w:outlineLvl w:val="3"/>
        <w:rPr>
          <w:rFonts w:hint="eastAsia" w:ascii="宋体" w:hAnsi="宋体" w:cs="宋体"/>
          <w:b/>
          <w:color w:val="auto"/>
          <w:sz w:val="28"/>
          <w:szCs w:val="28"/>
        </w:rPr>
      </w:pPr>
      <w:bookmarkStart w:id="1209" w:name="_Toc3268"/>
      <w:bookmarkStart w:id="1210" w:name="_Toc110405211"/>
      <w:bookmarkStart w:id="1211" w:name="_Toc98865077"/>
      <w:bookmarkStart w:id="1212" w:name="_Toc109809391"/>
      <w:bookmarkStart w:id="1213" w:name="_Toc116584082"/>
      <w:r>
        <w:rPr>
          <w:rFonts w:hint="eastAsia" w:ascii="宋体" w:hAnsi="宋体" w:cs="宋体"/>
          <w:b/>
          <w:color w:val="auto"/>
          <w:sz w:val="28"/>
          <w:szCs w:val="28"/>
        </w:rPr>
        <w:t>3.残疾人福利性单位声明函</w:t>
      </w:r>
      <w:bookmarkEnd w:id="1202"/>
      <w:bookmarkEnd w:id="1203"/>
      <w:bookmarkEnd w:id="1204"/>
      <w:bookmarkEnd w:id="1205"/>
      <w:bookmarkEnd w:id="1206"/>
      <w:bookmarkEnd w:id="1207"/>
      <w:bookmarkEnd w:id="1209"/>
      <w:bookmarkEnd w:id="1210"/>
      <w:bookmarkEnd w:id="1211"/>
      <w:bookmarkEnd w:id="1212"/>
      <w:bookmarkEnd w:id="1213"/>
    </w:p>
    <w:p w14:paraId="5E88F886">
      <w:pPr>
        <w:spacing w:line="360" w:lineRule="auto"/>
        <w:ind w:firstLine="444" w:firstLineChars="200"/>
        <w:rPr>
          <w:rFonts w:hint="eastAsia" w:ascii="宋体" w:hAnsi="宋体" w:cs="宋体"/>
          <w:color w:val="auto"/>
          <w:spacing w:val="6"/>
          <w:szCs w:val="21"/>
        </w:rPr>
      </w:pPr>
      <w:r>
        <w:rPr>
          <w:rFonts w:hint="eastAsia" w:ascii="宋体" w:hAnsi="宋体" w:cs="宋体"/>
          <w:color w:val="auto"/>
          <w:spacing w:val="6"/>
          <w:szCs w:val="21"/>
        </w:rPr>
        <w:t>本单位郑重声明，根据《财政部 民政部 中国残疾人联合会关于促进残疾人就业政府采购政策的通知》（财库</w:t>
      </w:r>
      <w:r>
        <w:rPr>
          <w:rFonts w:hint="eastAsia" w:ascii="宋体" w:hAnsi="宋体" w:cs="宋体"/>
          <w:color w:val="auto"/>
          <w:szCs w:val="21"/>
        </w:rPr>
        <w:t>〔2017〕141</w:t>
      </w:r>
      <w:r>
        <w:rPr>
          <w:rFonts w:hint="eastAsia" w:ascii="宋体" w:hAnsi="宋体" w:cs="宋体"/>
          <w:color w:val="auto"/>
          <w:spacing w:val="6"/>
          <w:szCs w:val="21"/>
        </w:rPr>
        <w:t>号）的规定，本单位为符合条件的残疾人福利性单位，且本单位参加</w:t>
      </w:r>
      <w:r>
        <w:rPr>
          <w:rFonts w:hint="eastAsia" w:ascii="宋体" w:hAnsi="宋体" w:cs="宋体"/>
          <w:color w:val="auto"/>
          <w:spacing w:val="6"/>
          <w:szCs w:val="21"/>
          <w:u w:val="single"/>
        </w:rPr>
        <w:t xml:space="preserve">               </w:t>
      </w:r>
      <w:r>
        <w:rPr>
          <w:rFonts w:hint="eastAsia" w:ascii="宋体" w:hAnsi="宋体" w:cs="宋体"/>
          <w:color w:val="auto"/>
          <w:spacing w:val="6"/>
          <w:szCs w:val="21"/>
        </w:rPr>
        <w:t>单位的</w:t>
      </w:r>
      <w:r>
        <w:rPr>
          <w:rFonts w:hint="eastAsia" w:ascii="宋体" w:hAnsi="宋体" w:cs="宋体"/>
          <w:color w:val="auto"/>
          <w:spacing w:val="6"/>
          <w:szCs w:val="21"/>
          <w:u w:val="single"/>
        </w:rPr>
        <w:t xml:space="preserve">                      </w:t>
      </w:r>
      <w:r>
        <w:rPr>
          <w:rFonts w:hint="eastAsia" w:ascii="宋体" w:hAnsi="宋体" w:cs="宋体"/>
          <w:color w:val="auto"/>
          <w:spacing w:val="6"/>
          <w:szCs w:val="21"/>
        </w:rPr>
        <w:t>项目采购活动提供服务。</w:t>
      </w:r>
    </w:p>
    <w:p w14:paraId="47B30CF6">
      <w:pPr>
        <w:spacing w:line="360" w:lineRule="auto"/>
        <w:ind w:firstLine="444" w:firstLineChars="200"/>
        <w:rPr>
          <w:rFonts w:hint="eastAsia" w:ascii="宋体" w:hAnsi="宋体" w:cs="宋体"/>
          <w:color w:val="auto"/>
          <w:spacing w:val="6"/>
          <w:szCs w:val="21"/>
        </w:rPr>
      </w:pPr>
      <w:r>
        <w:rPr>
          <w:rFonts w:hint="eastAsia" w:ascii="宋体" w:hAnsi="宋体" w:cs="宋体"/>
          <w:color w:val="auto"/>
          <w:spacing w:val="6"/>
          <w:szCs w:val="21"/>
        </w:rPr>
        <w:t>本单位对上述声明的真实性负责。如有虚假，将依法承担相应责任。</w:t>
      </w:r>
    </w:p>
    <w:p w14:paraId="3B0522DE">
      <w:pPr>
        <w:spacing w:line="360" w:lineRule="auto"/>
        <w:ind w:firstLine="444" w:firstLineChars="200"/>
        <w:rPr>
          <w:rFonts w:hint="eastAsia" w:ascii="宋体" w:hAnsi="宋体" w:cs="宋体"/>
          <w:color w:val="auto"/>
          <w:spacing w:val="6"/>
          <w:szCs w:val="21"/>
        </w:rPr>
      </w:pPr>
    </w:p>
    <w:p w14:paraId="4F176EE5">
      <w:pPr>
        <w:spacing w:line="360" w:lineRule="auto"/>
        <w:jc w:val="left"/>
        <w:rPr>
          <w:rFonts w:hint="eastAsia" w:ascii="宋体" w:hAnsi="宋体" w:cs="宋体"/>
          <w:color w:val="auto"/>
          <w:spacing w:val="6"/>
          <w:szCs w:val="21"/>
        </w:rPr>
      </w:pPr>
    </w:p>
    <w:p w14:paraId="510635A3">
      <w:pPr>
        <w:spacing w:line="360" w:lineRule="auto"/>
        <w:jc w:val="left"/>
        <w:rPr>
          <w:rFonts w:hint="eastAsia" w:ascii="宋体" w:hAnsi="宋体" w:cs="宋体"/>
          <w:color w:val="auto"/>
          <w:spacing w:val="6"/>
          <w:szCs w:val="21"/>
        </w:rPr>
      </w:pPr>
    </w:p>
    <w:p w14:paraId="76447E03">
      <w:pPr>
        <w:spacing w:line="360" w:lineRule="auto"/>
        <w:jc w:val="left"/>
        <w:rPr>
          <w:rFonts w:hint="eastAsia" w:ascii="宋体" w:hAnsi="宋体" w:cs="宋体"/>
          <w:color w:val="auto"/>
          <w:spacing w:val="6"/>
          <w:szCs w:val="21"/>
        </w:rPr>
      </w:pPr>
    </w:p>
    <w:p w14:paraId="3CA32417">
      <w:pPr>
        <w:autoSpaceDE w:val="0"/>
        <w:autoSpaceDN w:val="0"/>
        <w:adjustRightInd w:val="0"/>
        <w:spacing w:line="480" w:lineRule="auto"/>
        <w:ind w:firstLine="6405" w:firstLineChars="3050"/>
        <w:jc w:val="left"/>
        <w:rPr>
          <w:rFonts w:hint="eastAsia" w:ascii="宋体" w:hAnsi="宋体" w:cs="宋体"/>
          <w:color w:val="auto"/>
          <w:szCs w:val="21"/>
        </w:rPr>
      </w:pPr>
      <w:r>
        <w:rPr>
          <w:rFonts w:hint="eastAsia" w:ascii="宋体" w:hAnsi="宋体" w:cs="宋体"/>
          <w:color w:val="auto"/>
          <w:szCs w:val="21"/>
        </w:rPr>
        <w:t>企业名称（电子签章）：</w:t>
      </w:r>
    </w:p>
    <w:p w14:paraId="59AC4884">
      <w:pPr>
        <w:autoSpaceDE w:val="0"/>
        <w:autoSpaceDN w:val="0"/>
        <w:adjustRightInd w:val="0"/>
        <w:spacing w:line="480" w:lineRule="auto"/>
        <w:ind w:firstLine="6405" w:firstLineChars="3050"/>
        <w:jc w:val="left"/>
        <w:rPr>
          <w:rFonts w:hint="eastAsia" w:ascii="宋体" w:hAnsi="宋体" w:cs="宋体"/>
          <w:color w:val="auto"/>
          <w:szCs w:val="21"/>
        </w:rPr>
      </w:pPr>
      <w:r>
        <w:rPr>
          <w:rFonts w:hint="eastAsia" w:ascii="宋体" w:hAnsi="宋体" w:cs="宋体"/>
          <w:color w:val="auto"/>
          <w:szCs w:val="21"/>
        </w:rPr>
        <w:t>日 期：</w:t>
      </w:r>
    </w:p>
    <w:p w14:paraId="4166D8B4">
      <w:pPr>
        <w:spacing w:line="360" w:lineRule="auto"/>
        <w:ind w:right="252" w:rightChars="120" w:firstLine="6510" w:firstLineChars="3100"/>
        <w:jc w:val="left"/>
        <w:rPr>
          <w:rFonts w:hint="eastAsia" w:ascii="宋体" w:hAnsi="宋体" w:cs="宋体"/>
          <w:color w:val="auto"/>
          <w:szCs w:val="21"/>
        </w:rPr>
      </w:pPr>
    </w:p>
    <w:p w14:paraId="219448AF">
      <w:pPr>
        <w:spacing w:line="360" w:lineRule="auto"/>
        <w:ind w:right="252" w:rightChars="120" w:firstLine="6510" w:firstLineChars="3100"/>
        <w:jc w:val="left"/>
        <w:rPr>
          <w:rFonts w:hint="eastAsia" w:ascii="宋体" w:hAnsi="宋体" w:cs="宋体"/>
          <w:color w:val="auto"/>
          <w:szCs w:val="21"/>
        </w:rPr>
      </w:pPr>
    </w:p>
    <w:p w14:paraId="50B52C80">
      <w:pPr>
        <w:spacing w:line="360" w:lineRule="auto"/>
        <w:ind w:firstLine="422" w:firstLineChars="200"/>
        <w:jc w:val="left"/>
        <w:rPr>
          <w:rFonts w:hint="eastAsia" w:ascii="宋体" w:hAnsi="宋体" w:cs="宋体"/>
          <w:b/>
          <w:bCs/>
          <w:color w:val="auto"/>
          <w:spacing w:val="6"/>
          <w:szCs w:val="21"/>
        </w:rPr>
      </w:pPr>
      <w:r>
        <w:rPr>
          <w:rFonts w:hint="eastAsia" w:ascii="宋体" w:hAnsi="宋体" w:cs="宋体"/>
          <w:b/>
          <w:bCs/>
          <w:color w:val="auto"/>
          <w:szCs w:val="21"/>
        </w:rPr>
        <w:t>注：若提供服务的企业为</w:t>
      </w:r>
      <w:r>
        <w:rPr>
          <w:rFonts w:hint="eastAsia" w:ascii="宋体" w:hAnsi="宋体" w:cs="宋体"/>
          <w:b/>
          <w:bCs/>
          <w:color w:val="auto"/>
          <w:spacing w:val="6"/>
          <w:szCs w:val="21"/>
        </w:rPr>
        <w:t>符合政策要求的残疾人福利性单位，即可填报声明；否则，可不填报及签章。</w:t>
      </w:r>
    </w:p>
    <w:p w14:paraId="51791CEA">
      <w:pPr>
        <w:rPr>
          <w:rFonts w:hint="eastAsia" w:ascii="宋体" w:hAnsi="宋体" w:cs="宋体"/>
          <w:b/>
          <w:color w:val="auto"/>
          <w:sz w:val="24"/>
          <w:szCs w:val="24"/>
        </w:rPr>
      </w:pPr>
      <w:bookmarkStart w:id="1214" w:name="_Toc116584083"/>
      <w:bookmarkStart w:id="1215" w:name="_Toc75783597"/>
      <w:bookmarkStart w:id="1216" w:name="_Toc45976973"/>
      <w:bookmarkStart w:id="1217" w:name="_Toc3402"/>
      <w:bookmarkStart w:id="1218" w:name="_Toc69678494"/>
      <w:bookmarkStart w:id="1219" w:name="_Toc53412281"/>
      <w:bookmarkStart w:id="1220" w:name="_Toc110405212"/>
      <w:bookmarkStart w:id="1221" w:name="_Toc98865078"/>
      <w:bookmarkStart w:id="1222" w:name="_Toc81331012"/>
      <w:bookmarkStart w:id="1223" w:name="_Toc42205065"/>
      <w:bookmarkStart w:id="1224" w:name="_Toc109809392"/>
      <w:r>
        <w:rPr>
          <w:rFonts w:hint="eastAsia" w:ascii="宋体" w:hAnsi="宋体" w:cs="宋体"/>
          <w:b/>
          <w:color w:val="auto"/>
          <w:sz w:val="24"/>
          <w:szCs w:val="24"/>
        </w:rPr>
        <w:br w:type="page"/>
      </w:r>
    </w:p>
    <w:p w14:paraId="2E5724DC">
      <w:pPr>
        <w:spacing w:line="360" w:lineRule="auto"/>
        <w:jc w:val="center"/>
        <w:outlineLvl w:val="3"/>
        <w:rPr>
          <w:rFonts w:hint="eastAsia" w:ascii="宋体" w:hAnsi="宋体" w:cs="宋体"/>
          <w:b/>
          <w:color w:val="auto"/>
          <w:sz w:val="28"/>
          <w:szCs w:val="28"/>
        </w:rPr>
      </w:pPr>
      <w:r>
        <w:rPr>
          <w:rFonts w:hint="eastAsia" w:ascii="宋体" w:hAnsi="宋体" w:cs="宋体"/>
          <w:b/>
          <w:color w:val="auto"/>
          <w:sz w:val="28"/>
          <w:szCs w:val="28"/>
        </w:rPr>
        <w:t>4.监狱企业证明</w:t>
      </w:r>
      <w:bookmarkEnd w:id="1214"/>
      <w:bookmarkEnd w:id="1215"/>
      <w:bookmarkEnd w:id="1216"/>
      <w:bookmarkEnd w:id="1217"/>
      <w:bookmarkEnd w:id="1218"/>
      <w:bookmarkEnd w:id="1219"/>
      <w:bookmarkEnd w:id="1220"/>
      <w:bookmarkEnd w:id="1221"/>
      <w:bookmarkEnd w:id="1222"/>
      <w:bookmarkEnd w:id="1223"/>
      <w:bookmarkEnd w:id="1224"/>
    </w:p>
    <w:p w14:paraId="602DDC51">
      <w:pPr>
        <w:spacing w:line="360" w:lineRule="auto"/>
        <w:jc w:val="center"/>
        <w:rPr>
          <w:rFonts w:hint="eastAsia" w:ascii="宋体" w:hAnsi="宋体" w:cs="宋体"/>
          <w:color w:val="auto"/>
          <w:lang w:val="zh-CN"/>
        </w:rPr>
      </w:pPr>
      <w:r>
        <w:rPr>
          <w:rFonts w:hint="eastAsia" w:ascii="宋体" w:hAnsi="宋体" w:cs="宋体"/>
          <w:color w:val="auto"/>
        </w:rPr>
        <w:t>注：若供应商为监狱企业，须附监狱企业证明材料的原件扫描件。</w:t>
      </w:r>
    </w:p>
    <w:p w14:paraId="5A6A0BCE">
      <w:pPr>
        <w:widowControl/>
        <w:jc w:val="left"/>
        <w:rPr>
          <w:rFonts w:hint="eastAsia" w:ascii="宋体" w:hAnsi="宋体" w:cs="宋体"/>
          <w:color w:val="auto"/>
          <w:szCs w:val="21"/>
        </w:rPr>
      </w:pPr>
      <w:r>
        <w:rPr>
          <w:rFonts w:hint="eastAsia" w:ascii="宋体" w:hAnsi="宋体" w:cs="宋体"/>
          <w:color w:val="auto"/>
          <w:szCs w:val="21"/>
        </w:rPr>
        <w:br w:type="page"/>
      </w:r>
    </w:p>
    <w:p w14:paraId="3153CBC2">
      <w:pPr>
        <w:spacing w:line="360" w:lineRule="auto"/>
        <w:jc w:val="center"/>
        <w:outlineLvl w:val="2"/>
        <w:rPr>
          <w:rFonts w:hint="eastAsia" w:ascii="宋体" w:hAnsi="宋体" w:cs="宋体"/>
          <w:bCs/>
          <w:color w:val="auto"/>
          <w:sz w:val="28"/>
          <w:szCs w:val="28"/>
        </w:rPr>
      </w:pPr>
      <w:r>
        <w:rPr>
          <w:rFonts w:hint="eastAsia" w:ascii="宋体" w:hAnsi="宋体" w:cs="宋体"/>
          <w:bCs/>
          <w:color w:val="auto"/>
          <w:sz w:val="28"/>
          <w:szCs w:val="28"/>
        </w:rPr>
        <w:t>（七）其他</w:t>
      </w:r>
    </w:p>
    <w:tbl>
      <w:tblPr>
        <w:tblStyle w:val="55"/>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1753"/>
        <w:gridCol w:w="3815"/>
        <w:gridCol w:w="1798"/>
        <w:gridCol w:w="989"/>
      </w:tblGrid>
      <w:tr w14:paraId="28230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blHeader/>
          <w:jc w:val="center"/>
        </w:trPr>
        <w:tc>
          <w:tcPr>
            <w:tcW w:w="832" w:type="dxa"/>
            <w:vAlign w:val="center"/>
          </w:tcPr>
          <w:p w14:paraId="76BC96DB">
            <w:pPr>
              <w:spacing w:before="60" w:beforeLines="25" w:after="60" w:afterLines="25"/>
              <w:jc w:val="center"/>
              <w:rPr>
                <w:rFonts w:hint="eastAsia" w:ascii="宋体" w:hAnsi="宋体" w:cs="宋体"/>
                <w:b/>
                <w:color w:val="auto"/>
                <w:szCs w:val="21"/>
              </w:rPr>
            </w:pPr>
            <w:r>
              <w:rPr>
                <w:rFonts w:hint="eastAsia" w:ascii="宋体" w:hAnsi="宋体" w:cs="宋体"/>
                <w:b/>
                <w:color w:val="auto"/>
                <w:szCs w:val="21"/>
              </w:rPr>
              <w:t>序号</w:t>
            </w:r>
          </w:p>
        </w:tc>
        <w:tc>
          <w:tcPr>
            <w:tcW w:w="1758" w:type="dxa"/>
            <w:vAlign w:val="center"/>
          </w:tcPr>
          <w:p w14:paraId="3BF45767">
            <w:pPr>
              <w:widowControl/>
              <w:spacing w:before="60" w:beforeLines="25" w:after="60" w:afterLines="25"/>
              <w:jc w:val="center"/>
              <w:rPr>
                <w:rFonts w:hint="eastAsia" w:ascii="宋体" w:hAnsi="宋体" w:cs="宋体"/>
                <w:b/>
                <w:color w:val="auto"/>
                <w:szCs w:val="21"/>
              </w:rPr>
            </w:pPr>
            <w:r>
              <w:rPr>
                <w:rFonts w:hint="eastAsia" w:ascii="宋体" w:hAnsi="宋体" w:cs="宋体"/>
                <w:b/>
                <w:color w:val="auto"/>
                <w:szCs w:val="21"/>
              </w:rPr>
              <w:t>符合性审查内容</w:t>
            </w:r>
          </w:p>
        </w:tc>
        <w:tc>
          <w:tcPr>
            <w:tcW w:w="3828" w:type="dxa"/>
            <w:vAlign w:val="center"/>
          </w:tcPr>
          <w:p w14:paraId="27C9F066">
            <w:pPr>
              <w:widowControl/>
              <w:spacing w:before="60" w:beforeLines="25" w:after="60" w:afterLines="25"/>
              <w:jc w:val="center"/>
              <w:rPr>
                <w:rFonts w:hint="eastAsia" w:ascii="宋体" w:hAnsi="宋体" w:cs="宋体"/>
                <w:b/>
                <w:color w:val="auto"/>
                <w:szCs w:val="21"/>
              </w:rPr>
            </w:pPr>
            <w:r>
              <w:rPr>
                <w:rFonts w:hint="eastAsia" w:ascii="宋体" w:hAnsi="宋体" w:cs="宋体"/>
                <w:b/>
                <w:color w:val="auto"/>
                <w:szCs w:val="21"/>
              </w:rPr>
              <w:t>采购文件要求</w:t>
            </w:r>
          </w:p>
        </w:tc>
        <w:tc>
          <w:tcPr>
            <w:tcW w:w="1804" w:type="dxa"/>
            <w:vAlign w:val="center"/>
          </w:tcPr>
          <w:p w14:paraId="091834B4">
            <w:pPr>
              <w:spacing w:before="60" w:beforeLines="25" w:after="60" w:afterLines="25"/>
              <w:jc w:val="center"/>
              <w:rPr>
                <w:rFonts w:hint="eastAsia" w:ascii="宋体" w:hAnsi="宋体" w:cs="宋体"/>
                <w:b/>
                <w:color w:val="auto"/>
                <w:szCs w:val="21"/>
              </w:rPr>
            </w:pPr>
            <w:r>
              <w:rPr>
                <w:rFonts w:hint="eastAsia" w:ascii="宋体" w:hAnsi="宋体" w:cs="宋体"/>
                <w:b/>
                <w:color w:val="auto"/>
                <w:szCs w:val="21"/>
              </w:rPr>
              <w:t>供应商响应情况</w:t>
            </w:r>
          </w:p>
        </w:tc>
        <w:tc>
          <w:tcPr>
            <w:tcW w:w="992" w:type="dxa"/>
            <w:vAlign w:val="center"/>
          </w:tcPr>
          <w:p w14:paraId="00AA80FC">
            <w:pPr>
              <w:spacing w:before="60" w:beforeLines="25" w:after="60" w:afterLines="25"/>
              <w:jc w:val="center"/>
              <w:rPr>
                <w:rFonts w:hint="eastAsia" w:ascii="宋体" w:hAnsi="宋体" w:cs="宋体"/>
                <w:b/>
                <w:color w:val="auto"/>
                <w:szCs w:val="21"/>
              </w:rPr>
            </w:pPr>
            <w:r>
              <w:rPr>
                <w:rFonts w:hint="eastAsia" w:ascii="宋体" w:hAnsi="宋体" w:cs="宋体"/>
                <w:b/>
                <w:color w:val="auto"/>
                <w:szCs w:val="21"/>
              </w:rPr>
              <w:t>备注</w:t>
            </w:r>
          </w:p>
        </w:tc>
      </w:tr>
      <w:tr w14:paraId="16725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2" w:type="dxa"/>
            <w:vAlign w:val="center"/>
          </w:tcPr>
          <w:p w14:paraId="6206805B">
            <w:pPr>
              <w:spacing w:before="60" w:beforeLines="25" w:after="60" w:afterLines="25"/>
              <w:jc w:val="center"/>
              <w:rPr>
                <w:rFonts w:hint="eastAsia" w:ascii="宋体" w:hAnsi="宋体" w:cs="宋体"/>
                <w:color w:val="auto"/>
                <w:szCs w:val="24"/>
              </w:rPr>
            </w:pPr>
            <w:r>
              <w:rPr>
                <w:rFonts w:hint="eastAsia" w:ascii="宋体" w:hAnsi="宋体" w:cs="宋体"/>
                <w:color w:val="auto"/>
                <w:szCs w:val="24"/>
              </w:rPr>
              <w:t>1</w:t>
            </w:r>
          </w:p>
        </w:tc>
        <w:tc>
          <w:tcPr>
            <w:tcW w:w="1758" w:type="dxa"/>
            <w:vAlign w:val="center"/>
          </w:tcPr>
          <w:p w14:paraId="2E772074">
            <w:pPr>
              <w:spacing w:before="60" w:beforeLines="25" w:after="60" w:afterLines="25"/>
              <w:jc w:val="center"/>
              <w:rPr>
                <w:rFonts w:hint="eastAsia" w:ascii="宋体" w:hAnsi="宋体" w:cs="宋体"/>
                <w:color w:val="auto"/>
                <w:szCs w:val="24"/>
              </w:rPr>
            </w:pPr>
            <w:r>
              <w:rPr>
                <w:rFonts w:hint="eastAsia" w:ascii="宋体" w:hAnsi="宋体" w:cs="宋体"/>
                <w:color w:val="auto"/>
                <w:szCs w:val="24"/>
              </w:rPr>
              <w:t>采购内容</w:t>
            </w:r>
          </w:p>
        </w:tc>
        <w:tc>
          <w:tcPr>
            <w:tcW w:w="3828" w:type="dxa"/>
            <w:vAlign w:val="center"/>
          </w:tcPr>
          <w:p w14:paraId="2B24C7D3">
            <w:pPr>
              <w:spacing w:before="60" w:beforeLines="25" w:after="60" w:afterLines="25"/>
              <w:jc w:val="center"/>
              <w:rPr>
                <w:rFonts w:hint="eastAsia" w:ascii="宋体" w:hAnsi="宋体" w:cs="宋体"/>
                <w:color w:val="auto"/>
                <w:szCs w:val="24"/>
              </w:rPr>
            </w:pPr>
            <w:r>
              <w:rPr>
                <w:rFonts w:hint="eastAsia" w:ascii="宋体" w:hAnsi="宋体" w:cs="宋体"/>
                <w:color w:val="auto"/>
                <w:szCs w:val="24"/>
              </w:rPr>
              <w:t>符合“供应商须知前附表”第1.3.1项</w:t>
            </w:r>
          </w:p>
        </w:tc>
        <w:tc>
          <w:tcPr>
            <w:tcW w:w="1804" w:type="dxa"/>
            <w:vAlign w:val="center"/>
          </w:tcPr>
          <w:p w14:paraId="3D12C0A5">
            <w:pPr>
              <w:spacing w:line="340" w:lineRule="exact"/>
              <w:jc w:val="left"/>
              <w:rPr>
                <w:rFonts w:hint="eastAsia" w:ascii="宋体" w:hAnsi="宋体" w:cs="宋体"/>
                <w:color w:val="auto"/>
                <w:szCs w:val="24"/>
              </w:rPr>
            </w:pPr>
          </w:p>
        </w:tc>
        <w:tc>
          <w:tcPr>
            <w:tcW w:w="992" w:type="dxa"/>
            <w:vAlign w:val="center"/>
          </w:tcPr>
          <w:p w14:paraId="13754F5D">
            <w:pPr>
              <w:spacing w:line="340" w:lineRule="exact"/>
              <w:jc w:val="left"/>
              <w:rPr>
                <w:rFonts w:hint="eastAsia" w:ascii="宋体" w:hAnsi="宋体" w:cs="宋体"/>
                <w:color w:val="auto"/>
                <w:szCs w:val="24"/>
              </w:rPr>
            </w:pPr>
          </w:p>
        </w:tc>
      </w:tr>
      <w:tr w14:paraId="46CDE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2" w:type="dxa"/>
            <w:vAlign w:val="center"/>
          </w:tcPr>
          <w:p w14:paraId="3BCB955B">
            <w:pPr>
              <w:spacing w:before="60" w:beforeLines="25" w:after="60" w:afterLines="25"/>
              <w:jc w:val="center"/>
              <w:rPr>
                <w:rFonts w:hint="eastAsia" w:ascii="宋体" w:hAnsi="宋体" w:cs="宋体"/>
                <w:color w:val="auto"/>
                <w:szCs w:val="24"/>
              </w:rPr>
            </w:pPr>
            <w:r>
              <w:rPr>
                <w:rFonts w:hint="eastAsia" w:ascii="宋体" w:hAnsi="宋体" w:cs="宋体"/>
                <w:color w:val="auto"/>
                <w:szCs w:val="24"/>
              </w:rPr>
              <w:t>2</w:t>
            </w:r>
          </w:p>
        </w:tc>
        <w:tc>
          <w:tcPr>
            <w:tcW w:w="1758" w:type="dxa"/>
            <w:vAlign w:val="center"/>
          </w:tcPr>
          <w:p w14:paraId="0C2DA28C">
            <w:pPr>
              <w:spacing w:before="60" w:beforeLines="25" w:after="60" w:afterLines="25"/>
              <w:jc w:val="center"/>
              <w:rPr>
                <w:rFonts w:hint="eastAsia" w:ascii="宋体" w:hAnsi="宋体" w:cs="宋体"/>
                <w:color w:val="auto"/>
                <w:szCs w:val="24"/>
              </w:rPr>
            </w:pPr>
            <w:r>
              <w:rPr>
                <w:rFonts w:hint="eastAsia" w:ascii="宋体" w:hAnsi="宋体" w:cs="宋体"/>
                <w:color w:val="auto"/>
                <w:szCs w:val="21"/>
              </w:rPr>
              <w:t>服务期限</w:t>
            </w:r>
          </w:p>
        </w:tc>
        <w:tc>
          <w:tcPr>
            <w:tcW w:w="3828" w:type="dxa"/>
            <w:vAlign w:val="center"/>
          </w:tcPr>
          <w:p w14:paraId="4DC18A35">
            <w:pPr>
              <w:spacing w:before="60" w:beforeLines="25" w:after="60" w:afterLines="25"/>
              <w:jc w:val="center"/>
              <w:rPr>
                <w:rFonts w:hint="eastAsia" w:ascii="宋体" w:hAnsi="宋体" w:cs="宋体"/>
                <w:color w:val="auto"/>
                <w:szCs w:val="24"/>
              </w:rPr>
            </w:pPr>
            <w:r>
              <w:rPr>
                <w:rFonts w:hint="eastAsia" w:ascii="宋体" w:hAnsi="宋体" w:cs="宋体"/>
                <w:color w:val="auto"/>
                <w:szCs w:val="24"/>
              </w:rPr>
              <w:t>符合</w:t>
            </w:r>
            <w:r>
              <w:rPr>
                <w:rFonts w:hint="eastAsia" w:ascii="宋体" w:hAnsi="宋体" w:cs="宋体"/>
                <w:color w:val="auto"/>
              </w:rPr>
              <w:t>“供应商须知前附表”第1.3.2项</w:t>
            </w:r>
          </w:p>
        </w:tc>
        <w:tc>
          <w:tcPr>
            <w:tcW w:w="1804" w:type="dxa"/>
            <w:vAlign w:val="center"/>
          </w:tcPr>
          <w:p w14:paraId="14DFF9AF">
            <w:pPr>
              <w:spacing w:line="340" w:lineRule="exact"/>
              <w:jc w:val="left"/>
              <w:rPr>
                <w:rFonts w:hint="eastAsia" w:ascii="宋体" w:hAnsi="宋体" w:cs="宋体"/>
                <w:color w:val="auto"/>
                <w:sz w:val="29"/>
                <w:szCs w:val="32"/>
              </w:rPr>
            </w:pPr>
          </w:p>
        </w:tc>
        <w:tc>
          <w:tcPr>
            <w:tcW w:w="992" w:type="dxa"/>
            <w:vAlign w:val="center"/>
          </w:tcPr>
          <w:p w14:paraId="6F7A6DA9">
            <w:pPr>
              <w:spacing w:line="340" w:lineRule="exact"/>
              <w:jc w:val="left"/>
              <w:rPr>
                <w:rFonts w:hint="eastAsia" w:ascii="宋体" w:hAnsi="宋体" w:cs="宋体"/>
                <w:color w:val="auto"/>
                <w:szCs w:val="24"/>
              </w:rPr>
            </w:pPr>
          </w:p>
        </w:tc>
      </w:tr>
      <w:tr w14:paraId="19A03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2" w:type="dxa"/>
            <w:vAlign w:val="center"/>
          </w:tcPr>
          <w:p w14:paraId="64A43F35">
            <w:pPr>
              <w:spacing w:before="60" w:beforeLines="25" w:after="60" w:afterLines="25"/>
              <w:jc w:val="center"/>
              <w:rPr>
                <w:rFonts w:hint="eastAsia" w:ascii="宋体" w:hAnsi="宋体" w:cs="宋体"/>
                <w:color w:val="auto"/>
                <w:szCs w:val="24"/>
              </w:rPr>
            </w:pPr>
            <w:r>
              <w:rPr>
                <w:rFonts w:hint="eastAsia" w:ascii="宋体" w:hAnsi="宋体" w:cs="宋体"/>
                <w:color w:val="auto"/>
                <w:szCs w:val="24"/>
              </w:rPr>
              <w:t>3</w:t>
            </w:r>
          </w:p>
        </w:tc>
        <w:tc>
          <w:tcPr>
            <w:tcW w:w="1758" w:type="dxa"/>
            <w:vAlign w:val="center"/>
          </w:tcPr>
          <w:p w14:paraId="0C19BD28">
            <w:pPr>
              <w:spacing w:before="60" w:beforeLines="25" w:after="60" w:afterLines="25"/>
              <w:jc w:val="center"/>
              <w:rPr>
                <w:rFonts w:hint="eastAsia" w:ascii="宋体" w:hAnsi="宋体" w:cs="宋体"/>
                <w:color w:val="auto"/>
                <w:szCs w:val="24"/>
              </w:rPr>
            </w:pPr>
            <w:r>
              <w:rPr>
                <w:rFonts w:hint="eastAsia" w:ascii="宋体" w:hAnsi="宋体" w:cs="宋体"/>
                <w:color w:val="auto"/>
              </w:rPr>
              <w:t>质量标准</w:t>
            </w:r>
          </w:p>
        </w:tc>
        <w:tc>
          <w:tcPr>
            <w:tcW w:w="3828" w:type="dxa"/>
            <w:vAlign w:val="center"/>
          </w:tcPr>
          <w:p w14:paraId="527A6665">
            <w:pPr>
              <w:spacing w:before="60" w:beforeLines="25" w:after="60" w:afterLines="25"/>
              <w:jc w:val="center"/>
              <w:rPr>
                <w:rFonts w:hint="eastAsia" w:ascii="宋体" w:hAnsi="宋体" w:cs="宋体"/>
                <w:color w:val="auto"/>
                <w:szCs w:val="24"/>
              </w:rPr>
            </w:pPr>
            <w:r>
              <w:rPr>
                <w:rFonts w:hint="eastAsia" w:ascii="宋体" w:hAnsi="宋体" w:cs="宋体"/>
                <w:color w:val="auto"/>
                <w:szCs w:val="24"/>
              </w:rPr>
              <w:t>符合</w:t>
            </w:r>
            <w:r>
              <w:rPr>
                <w:rFonts w:hint="eastAsia" w:ascii="宋体" w:hAnsi="宋体" w:cs="宋体"/>
                <w:color w:val="auto"/>
              </w:rPr>
              <w:t>“供应商须知前附表”第1.3.3项</w:t>
            </w:r>
          </w:p>
        </w:tc>
        <w:tc>
          <w:tcPr>
            <w:tcW w:w="1804" w:type="dxa"/>
            <w:vAlign w:val="center"/>
          </w:tcPr>
          <w:p w14:paraId="3CB719BE">
            <w:pPr>
              <w:spacing w:line="340" w:lineRule="exact"/>
              <w:jc w:val="left"/>
              <w:rPr>
                <w:rFonts w:hint="eastAsia" w:ascii="宋体" w:hAnsi="宋体" w:cs="宋体"/>
                <w:color w:val="auto"/>
                <w:sz w:val="29"/>
                <w:szCs w:val="32"/>
              </w:rPr>
            </w:pPr>
          </w:p>
        </w:tc>
        <w:tc>
          <w:tcPr>
            <w:tcW w:w="992" w:type="dxa"/>
            <w:vAlign w:val="center"/>
          </w:tcPr>
          <w:p w14:paraId="57635AD3">
            <w:pPr>
              <w:spacing w:line="340" w:lineRule="exact"/>
              <w:jc w:val="left"/>
              <w:rPr>
                <w:rFonts w:hint="eastAsia" w:ascii="宋体" w:hAnsi="宋体" w:cs="宋体"/>
                <w:color w:val="auto"/>
                <w:szCs w:val="24"/>
              </w:rPr>
            </w:pPr>
          </w:p>
        </w:tc>
      </w:tr>
      <w:tr w14:paraId="6F43C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2" w:type="dxa"/>
            <w:vAlign w:val="center"/>
          </w:tcPr>
          <w:p w14:paraId="3196496B">
            <w:pPr>
              <w:spacing w:before="60" w:beforeLines="25" w:after="60" w:afterLines="25"/>
              <w:jc w:val="center"/>
              <w:rPr>
                <w:rFonts w:hint="eastAsia" w:ascii="宋体" w:hAnsi="宋体" w:cs="宋体"/>
                <w:color w:val="auto"/>
                <w:szCs w:val="24"/>
              </w:rPr>
            </w:pPr>
            <w:r>
              <w:rPr>
                <w:rFonts w:hint="eastAsia" w:ascii="宋体" w:hAnsi="宋体" w:cs="宋体"/>
                <w:color w:val="auto"/>
                <w:szCs w:val="24"/>
              </w:rPr>
              <w:t>4</w:t>
            </w:r>
          </w:p>
        </w:tc>
        <w:tc>
          <w:tcPr>
            <w:tcW w:w="1758" w:type="dxa"/>
            <w:vAlign w:val="center"/>
          </w:tcPr>
          <w:p w14:paraId="6D8B67A2">
            <w:pPr>
              <w:spacing w:before="60" w:beforeLines="25" w:after="60" w:afterLines="25"/>
              <w:jc w:val="center"/>
              <w:rPr>
                <w:rFonts w:hint="eastAsia" w:ascii="宋体" w:hAnsi="宋体" w:cs="宋体"/>
                <w:color w:val="auto"/>
              </w:rPr>
            </w:pPr>
            <w:r>
              <w:rPr>
                <w:rFonts w:hint="eastAsia" w:ascii="宋体" w:hAnsi="宋体" w:cs="宋体"/>
                <w:color w:val="auto"/>
              </w:rPr>
              <w:t>联合体磋商</w:t>
            </w:r>
          </w:p>
        </w:tc>
        <w:tc>
          <w:tcPr>
            <w:tcW w:w="3828" w:type="dxa"/>
            <w:vAlign w:val="center"/>
          </w:tcPr>
          <w:p w14:paraId="1813A2EC">
            <w:pPr>
              <w:spacing w:before="60" w:beforeLines="25" w:after="60" w:afterLines="25"/>
              <w:jc w:val="center"/>
              <w:rPr>
                <w:rFonts w:hint="eastAsia" w:ascii="宋体" w:hAnsi="宋体" w:cs="宋体"/>
                <w:color w:val="auto"/>
                <w:szCs w:val="24"/>
              </w:rPr>
            </w:pPr>
            <w:r>
              <w:rPr>
                <w:rFonts w:hint="eastAsia" w:ascii="宋体" w:hAnsi="宋体" w:cs="宋体"/>
                <w:color w:val="auto"/>
                <w:szCs w:val="24"/>
              </w:rPr>
              <w:t>符合</w:t>
            </w:r>
            <w:r>
              <w:rPr>
                <w:rFonts w:hint="eastAsia" w:ascii="宋体" w:hAnsi="宋体" w:cs="宋体"/>
                <w:color w:val="auto"/>
              </w:rPr>
              <w:t>“供应商须知前附表”第1.4.3项</w:t>
            </w:r>
          </w:p>
        </w:tc>
        <w:tc>
          <w:tcPr>
            <w:tcW w:w="1804" w:type="dxa"/>
            <w:vAlign w:val="center"/>
          </w:tcPr>
          <w:p w14:paraId="445DEEF5">
            <w:pPr>
              <w:spacing w:line="340" w:lineRule="exact"/>
              <w:jc w:val="left"/>
              <w:rPr>
                <w:rFonts w:hint="eastAsia" w:ascii="宋体" w:hAnsi="宋体" w:cs="宋体"/>
                <w:color w:val="auto"/>
                <w:sz w:val="29"/>
                <w:szCs w:val="32"/>
              </w:rPr>
            </w:pPr>
          </w:p>
        </w:tc>
        <w:tc>
          <w:tcPr>
            <w:tcW w:w="992" w:type="dxa"/>
            <w:vAlign w:val="center"/>
          </w:tcPr>
          <w:p w14:paraId="62A501D2">
            <w:pPr>
              <w:spacing w:line="340" w:lineRule="exact"/>
              <w:jc w:val="left"/>
              <w:rPr>
                <w:rFonts w:hint="eastAsia" w:ascii="宋体" w:hAnsi="宋体" w:cs="宋体"/>
                <w:color w:val="auto"/>
                <w:szCs w:val="24"/>
              </w:rPr>
            </w:pPr>
          </w:p>
        </w:tc>
      </w:tr>
      <w:tr w14:paraId="4ABDD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2" w:type="dxa"/>
            <w:vAlign w:val="center"/>
          </w:tcPr>
          <w:p w14:paraId="162EADCC">
            <w:pPr>
              <w:spacing w:before="60" w:beforeLines="25" w:after="60" w:afterLines="25"/>
              <w:jc w:val="center"/>
              <w:rPr>
                <w:rFonts w:hint="eastAsia" w:ascii="宋体" w:hAnsi="宋体" w:cs="宋体"/>
                <w:color w:val="auto"/>
                <w:szCs w:val="24"/>
              </w:rPr>
            </w:pPr>
            <w:r>
              <w:rPr>
                <w:rFonts w:hint="eastAsia" w:ascii="宋体" w:hAnsi="宋体" w:cs="宋体"/>
                <w:color w:val="auto"/>
                <w:szCs w:val="24"/>
              </w:rPr>
              <w:t>5</w:t>
            </w:r>
          </w:p>
        </w:tc>
        <w:tc>
          <w:tcPr>
            <w:tcW w:w="1758" w:type="dxa"/>
            <w:vAlign w:val="center"/>
          </w:tcPr>
          <w:p w14:paraId="17CE2063">
            <w:pPr>
              <w:spacing w:before="60" w:beforeLines="25" w:after="60" w:afterLines="25"/>
              <w:jc w:val="center"/>
              <w:rPr>
                <w:rFonts w:hint="eastAsia" w:ascii="宋体" w:hAnsi="宋体" w:cs="宋体"/>
                <w:color w:val="auto"/>
              </w:rPr>
            </w:pPr>
            <w:r>
              <w:rPr>
                <w:rFonts w:hint="eastAsia" w:ascii="宋体" w:hAnsi="宋体" w:cs="宋体"/>
                <w:color w:val="auto"/>
              </w:rPr>
              <w:t>分包</w:t>
            </w:r>
          </w:p>
        </w:tc>
        <w:tc>
          <w:tcPr>
            <w:tcW w:w="3828" w:type="dxa"/>
            <w:vAlign w:val="center"/>
          </w:tcPr>
          <w:p w14:paraId="59BD2F0F">
            <w:pPr>
              <w:spacing w:before="60" w:beforeLines="25" w:after="60" w:afterLines="25"/>
              <w:jc w:val="center"/>
              <w:rPr>
                <w:rFonts w:hint="eastAsia" w:ascii="宋体" w:hAnsi="宋体" w:cs="宋体"/>
                <w:color w:val="auto"/>
              </w:rPr>
            </w:pPr>
            <w:r>
              <w:rPr>
                <w:rFonts w:hint="eastAsia" w:ascii="宋体" w:hAnsi="宋体" w:cs="宋体"/>
                <w:color w:val="auto"/>
                <w:szCs w:val="24"/>
              </w:rPr>
              <w:t>符合“供应商须知前附表”第1.11项</w:t>
            </w:r>
          </w:p>
        </w:tc>
        <w:tc>
          <w:tcPr>
            <w:tcW w:w="1804" w:type="dxa"/>
            <w:vAlign w:val="center"/>
          </w:tcPr>
          <w:p w14:paraId="49C33C06">
            <w:pPr>
              <w:spacing w:line="340" w:lineRule="exact"/>
              <w:jc w:val="left"/>
              <w:rPr>
                <w:rFonts w:hint="eastAsia" w:ascii="宋体" w:hAnsi="宋体" w:cs="宋体"/>
                <w:color w:val="auto"/>
                <w:sz w:val="29"/>
                <w:szCs w:val="32"/>
              </w:rPr>
            </w:pPr>
          </w:p>
        </w:tc>
        <w:tc>
          <w:tcPr>
            <w:tcW w:w="992" w:type="dxa"/>
            <w:vAlign w:val="center"/>
          </w:tcPr>
          <w:p w14:paraId="61E28965">
            <w:pPr>
              <w:spacing w:line="340" w:lineRule="exact"/>
              <w:jc w:val="left"/>
              <w:rPr>
                <w:rFonts w:hint="eastAsia" w:ascii="宋体" w:hAnsi="宋体" w:cs="宋体"/>
                <w:color w:val="auto"/>
                <w:szCs w:val="24"/>
              </w:rPr>
            </w:pPr>
          </w:p>
        </w:tc>
      </w:tr>
      <w:tr w14:paraId="48A94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2" w:type="dxa"/>
            <w:vAlign w:val="center"/>
          </w:tcPr>
          <w:p w14:paraId="6F2EB3A0">
            <w:pPr>
              <w:spacing w:before="60" w:beforeLines="25" w:after="60" w:afterLines="25"/>
              <w:jc w:val="center"/>
              <w:rPr>
                <w:rFonts w:hint="eastAsia" w:ascii="宋体" w:hAnsi="宋体" w:cs="宋体"/>
                <w:color w:val="auto"/>
                <w:szCs w:val="24"/>
              </w:rPr>
            </w:pPr>
            <w:r>
              <w:rPr>
                <w:rFonts w:hint="eastAsia" w:ascii="宋体" w:hAnsi="宋体" w:cs="宋体"/>
                <w:color w:val="auto"/>
                <w:szCs w:val="24"/>
              </w:rPr>
              <w:t>6</w:t>
            </w:r>
          </w:p>
        </w:tc>
        <w:tc>
          <w:tcPr>
            <w:tcW w:w="1758" w:type="dxa"/>
            <w:vAlign w:val="center"/>
          </w:tcPr>
          <w:p w14:paraId="6DADE899">
            <w:pPr>
              <w:spacing w:before="60" w:beforeLines="25" w:after="60" w:afterLines="25"/>
              <w:jc w:val="center"/>
              <w:rPr>
                <w:rFonts w:hint="eastAsia" w:ascii="宋体" w:hAnsi="宋体" w:cs="宋体"/>
                <w:color w:val="auto"/>
                <w:szCs w:val="24"/>
              </w:rPr>
            </w:pPr>
            <w:r>
              <w:rPr>
                <w:rFonts w:hint="eastAsia" w:ascii="宋体" w:hAnsi="宋体" w:cs="宋体"/>
                <w:color w:val="auto"/>
              </w:rPr>
              <w:t>偏离</w:t>
            </w:r>
          </w:p>
        </w:tc>
        <w:tc>
          <w:tcPr>
            <w:tcW w:w="3828" w:type="dxa"/>
            <w:vAlign w:val="center"/>
          </w:tcPr>
          <w:p w14:paraId="43C12FF1">
            <w:pPr>
              <w:spacing w:before="60" w:beforeLines="25" w:after="60" w:afterLines="25"/>
              <w:jc w:val="center"/>
              <w:rPr>
                <w:rFonts w:hint="eastAsia" w:ascii="宋体" w:hAnsi="宋体" w:cs="宋体"/>
                <w:color w:val="auto"/>
                <w:szCs w:val="24"/>
              </w:rPr>
            </w:pPr>
            <w:r>
              <w:rPr>
                <w:rFonts w:hint="eastAsia" w:ascii="宋体" w:hAnsi="宋体" w:cs="宋体"/>
                <w:color w:val="auto"/>
                <w:szCs w:val="24"/>
              </w:rPr>
              <w:t>符合“供应商须知前附表”第1.12项</w:t>
            </w:r>
          </w:p>
        </w:tc>
        <w:tc>
          <w:tcPr>
            <w:tcW w:w="1804" w:type="dxa"/>
            <w:vAlign w:val="center"/>
          </w:tcPr>
          <w:p w14:paraId="6558FBDA">
            <w:pPr>
              <w:spacing w:line="320" w:lineRule="exact"/>
              <w:ind w:left="840" w:hanging="840" w:hangingChars="400"/>
              <w:jc w:val="left"/>
              <w:rPr>
                <w:rFonts w:hint="eastAsia" w:ascii="宋体" w:hAnsi="宋体" w:cs="宋体"/>
                <w:color w:val="auto"/>
                <w:szCs w:val="24"/>
              </w:rPr>
            </w:pPr>
          </w:p>
        </w:tc>
        <w:tc>
          <w:tcPr>
            <w:tcW w:w="992" w:type="dxa"/>
            <w:vAlign w:val="center"/>
          </w:tcPr>
          <w:p w14:paraId="21C2C917">
            <w:pPr>
              <w:spacing w:line="320" w:lineRule="exact"/>
              <w:ind w:left="840" w:hanging="840" w:hangingChars="400"/>
              <w:jc w:val="left"/>
              <w:rPr>
                <w:rFonts w:hint="eastAsia" w:ascii="宋体" w:hAnsi="宋体" w:cs="宋体"/>
                <w:color w:val="auto"/>
                <w:szCs w:val="24"/>
              </w:rPr>
            </w:pPr>
          </w:p>
        </w:tc>
      </w:tr>
      <w:tr w14:paraId="0E2C8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2" w:type="dxa"/>
            <w:vAlign w:val="center"/>
          </w:tcPr>
          <w:p w14:paraId="219FC838">
            <w:pPr>
              <w:spacing w:before="60" w:beforeLines="25" w:after="60" w:afterLines="25"/>
              <w:jc w:val="center"/>
              <w:rPr>
                <w:rFonts w:hint="eastAsia" w:ascii="宋体" w:hAnsi="宋体" w:cs="宋体"/>
                <w:color w:val="auto"/>
                <w:szCs w:val="24"/>
              </w:rPr>
            </w:pPr>
            <w:r>
              <w:rPr>
                <w:rFonts w:hint="eastAsia" w:ascii="宋体" w:hAnsi="宋体" w:cs="宋体"/>
                <w:color w:val="auto"/>
                <w:szCs w:val="24"/>
              </w:rPr>
              <w:t>7</w:t>
            </w:r>
          </w:p>
        </w:tc>
        <w:tc>
          <w:tcPr>
            <w:tcW w:w="1758" w:type="dxa"/>
            <w:vAlign w:val="center"/>
          </w:tcPr>
          <w:p w14:paraId="09D0D0C2">
            <w:pPr>
              <w:spacing w:before="60" w:beforeLines="25" w:after="60" w:afterLines="25"/>
              <w:jc w:val="center"/>
              <w:rPr>
                <w:rFonts w:hint="eastAsia" w:ascii="宋体" w:hAnsi="宋体" w:cs="宋体"/>
                <w:color w:val="auto"/>
              </w:rPr>
            </w:pPr>
            <w:r>
              <w:rPr>
                <w:rFonts w:hint="eastAsia" w:ascii="宋体" w:hAnsi="宋体" w:cs="宋体"/>
                <w:color w:val="auto"/>
              </w:rPr>
              <w:t>磋商有效期</w:t>
            </w:r>
          </w:p>
        </w:tc>
        <w:tc>
          <w:tcPr>
            <w:tcW w:w="3828" w:type="dxa"/>
            <w:vAlign w:val="center"/>
          </w:tcPr>
          <w:p w14:paraId="2AE54FBC">
            <w:pPr>
              <w:spacing w:before="60" w:beforeLines="25" w:after="60" w:afterLines="25"/>
              <w:jc w:val="center"/>
              <w:rPr>
                <w:rFonts w:hint="eastAsia" w:ascii="宋体" w:hAnsi="宋体" w:cs="宋体"/>
                <w:color w:val="auto"/>
                <w:szCs w:val="24"/>
              </w:rPr>
            </w:pPr>
            <w:r>
              <w:rPr>
                <w:rFonts w:hint="eastAsia" w:ascii="宋体" w:hAnsi="宋体" w:cs="宋体"/>
                <w:color w:val="auto"/>
                <w:szCs w:val="24"/>
              </w:rPr>
              <w:t>符合“供应商须知前附表”第3.3.1项</w:t>
            </w:r>
          </w:p>
        </w:tc>
        <w:tc>
          <w:tcPr>
            <w:tcW w:w="1804" w:type="dxa"/>
            <w:vAlign w:val="center"/>
          </w:tcPr>
          <w:p w14:paraId="3A30AE0C">
            <w:pPr>
              <w:spacing w:line="320" w:lineRule="exact"/>
              <w:ind w:left="840" w:hanging="840" w:hangingChars="400"/>
              <w:jc w:val="left"/>
              <w:rPr>
                <w:rFonts w:hint="eastAsia" w:ascii="宋体" w:hAnsi="宋体" w:cs="宋体"/>
                <w:color w:val="auto"/>
                <w:szCs w:val="24"/>
              </w:rPr>
            </w:pPr>
          </w:p>
        </w:tc>
        <w:tc>
          <w:tcPr>
            <w:tcW w:w="992" w:type="dxa"/>
            <w:vAlign w:val="center"/>
          </w:tcPr>
          <w:p w14:paraId="7891D886">
            <w:pPr>
              <w:spacing w:line="320" w:lineRule="exact"/>
              <w:ind w:left="840" w:hanging="840" w:hangingChars="400"/>
              <w:jc w:val="left"/>
              <w:rPr>
                <w:rFonts w:hint="eastAsia" w:ascii="宋体" w:hAnsi="宋体" w:cs="宋体"/>
                <w:color w:val="auto"/>
                <w:szCs w:val="24"/>
              </w:rPr>
            </w:pPr>
          </w:p>
        </w:tc>
      </w:tr>
    </w:tbl>
    <w:p w14:paraId="5D7ED359">
      <w:pPr>
        <w:autoSpaceDE w:val="0"/>
        <w:autoSpaceDN w:val="0"/>
        <w:adjustRightInd w:val="0"/>
        <w:spacing w:before="120" w:beforeLines="50" w:line="360" w:lineRule="auto"/>
        <w:jc w:val="left"/>
        <w:rPr>
          <w:rFonts w:hint="eastAsia" w:ascii="宋体" w:hAnsi="宋体" w:cs="宋体"/>
          <w:bCs/>
          <w:color w:val="auto"/>
          <w:szCs w:val="21"/>
        </w:rPr>
      </w:pPr>
      <w:r>
        <w:rPr>
          <w:rFonts w:hint="eastAsia" w:ascii="宋体" w:hAnsi="宋体" w:cs="宋体"/>
          <w:bCs/>
          <w:color w:val="auto"/>
          <w:szCs w:val="21"/>
        </w:rPr>
        <w:t>注：供应商在编制响应文件时，须根据采购文件的要求，在以上表格的“供应商响应情况”一栏中填写响应情况或作出说明。若供应商所填写的响应情况不符合采购文件的相关要求或存在负偏离的，其响应文件作否决磋商处理。</w:t>
      </w:r>
    </w:p>
    <w:p w14:paraId="657EE688">
      <w:pPr>
        <w:autoSpaceDE w:val="0"/>
        <w:autoSpaceDN w:val="0"/>
        <w:adjustRightInd w:val="0"/>
        <w:spacing w:line="480" w:lineRule="auto"/>
        <w:jc w:val="left"/>
        <w:rPr>
          <w:rFonts w:hint="eastAsia" w:ascii="宋体" w:hAnsi="宋体" w:cs="宋体"/>
          <w:bCs/>
          <w:color w:val="auto"/>
          <w:szCs w:val="21"/>
        </w:rPr>
      </w:pPr>
    </w:p>
    <w:p w14:paraId="505ECA25">
      <w:pPr>
        <w:autoSpaceDE w:val="0"/>
        <w:autoSpaceDN w:val="0"/>
        <w:adjustRightInd w:val="0"/>
        <w:spacing w:line="480" w:lineRule="auto"/>
        <w:jc w:val="left"/>
        <w:rPr>
          <w:rFonts w:hint="eastAsia" w:ascii="宋体" w:hAnsi="宋体" w:cs="宋体"/>
          <w:bCs/>
          <w:color w:val="auto"/>
          <w:szCs w:val="21"/>
        </w:rPr>
      </w:pPr>
    </w:p>
    <w:p w14:paraId="5F7DC601">
      <w:pPr>
        <w:autoSpaceDE w:val="0"/>
        <w:autoSpaceDN w:val="0"/>
        <w:adjustRightInd w:val="0"/>
        <w:spacing w:line="480" w:lineRule="auto"/>
        <w:ind w:firstLine="5040" w:firstLineChars="2400"/>
        <w:jc w:val="left"/>
        <w:rPr>
          <w:rFonts w:hint="eastAsia" w:ascii="宋体" w:hAnsi="宋体" w:cs="宋体"/>
          <w:bCs/>
          <w:color w:val="auto"/>
          <w:szCs w:val="21"/>
        </w:rPr>
      </w:pPr>
      <w:r>
        <w:rPr>
          <w:rFonts w:hint="eastAsia" w:ascii="宋体" w:hAnsi="宋体" w:cs="宋体"/>
          <w:bCs/>
          <w:color w:val="auto"/>
          <w:szCs w:val="21"/>
        </w:rPr>
        <w:t>供应商：</w:t>
      </w:r>
      <w:r>
        <w:rPr>
          <w:rFonts w:hint="eastAsia" w:ascii="宋体" w:hAnsi="宋体" w:cs="宋体"/>
          <w:bCs/>
          <w:color w:val="auto"/>
          <w:szCs w:val="21"/>
          <w:u w:val="single"/>
        </w:rPr>
        <w:t xml:space="preserve">               （</w:t>
      </w:r>
      <w:r>
        <w:rPr>
          <w:rFonts w:hint="eastAsia" w:ascii="宋体" w:hAnsi="宋体" w:cs="宋体"/>
          <w:color w:val="auto"/>
          <w:szCs w:val="21"/>
          <w:u w:val="single"/>
        </w:rPr>
        <w:t>电子签章</w:t>
      </w:r>
      <w:r>
        <w:rPr>
          <w:rFonts w:hint="eastAsia" w:ascii="宋体" w:hAnsi="宋体" w:cs="宋体"/>
          <w:bCs/>
          <w:color w:val="auto"/>
          <w:szCs w:val="21"/>
          <w:u w:val="single"/>
        </w:rPr>
        <w:t>）</w:t>
      </w:r>
    </w:p>
    <w:p w14:paraId="77220906">
      <w:pPr>
        <w:autoSpaceDE w:val="0"/>
        <w:autoSpaceDN w:val="0"/>
        <w:adjustRightInd w:val="0"/>
        <w:spacing w:line="480" w:lineRule="auto"/>
        <w:ind w:firstLine="5040" w:firstLineChars="2400"/>
        <w:jc w:val="left"/>
        <w:rPr>
          <w:rFonts w:hint="eastAsia" w:ascii="宋体" w:hAnsi="宋体" w:cs="宋体"/>
          <w:bCs/>
          <w:color w:val="auto"/>
          <w:szCs w:val="21"/>
        </w:rPr>
      </w:pPr>
      <w:r>
        <w:rPr>
          <w:rFonts w:hint="eastAsia" w:ascii="宋体" w:hAnsi="宋体" w:cs="宋体"/>
          <w:bCs/>
          <w:color w:val="auto"/>
          <w:szCs w:val="21"/>
        </w:rPr>
        <w:t>法定代表人：</w:t>
      </w:r>
      <w:r>
        <w:rPr>
          <w:rFonts w:hint="eastAsia" w:ascii="宋体" w:hAnsi="宋体" w:cs="宋体"/>
          <w:bCs/>
          <w:color w:val="auto"/>
          <w:szCs w:val="21"/>
          <w:u w:val="single"/>
        </w:rPr>
        <w:t xml:space="preserve">            （电子签章） </w:t>
      </w:r>
    </w:p>
    <w:p w14:paraId="6FC12443">
      <w:pPr>
        <w:autoSpaceDE w:val="0"/>
        <w:autoSpaceDN w:val="0"/>
        <w:adjustRightInd w:val="0"/>
        <w:spacing w:line="480" w:lineRule="auto"/>
        <w:ind w:firstLine="5040" w:firstLineChars="2400"/>
        <w:jc w:val="left"/>
        <w:rPr>
          <w:rFonts w:hint="eastAsia" w:ascii="宋体" w:hAnsi="宋体" w:cs="宋体"/>
          <w:bCs/>
          <w:color w:val="auto"/>
          <w:szCs w:val="21"/>
        </w:rPr>
      </w:pPr>
      <w:r>
        <w:rPr>
          <w:rFonts w:hint="eastAsia" w:ascii="宋体" w:hAnsi="宋体" w:cs="宋体"/>
          <w:bCs/>
          <w:color w:val="auto"/>
          <w:szCs w:val="21"/>
        </w:rPr>
        <w:t>日期：</w:t>
      </w:r>
      <w:r>
        <w:rPr>
          <w:rFonts w:hint="eastAsia" w:ascii="宋体" w:hAnsi="宋体" w:cs="宋体"/>
          <w:bCs/>
          <w:color w:val="auto"/>
          <w:szCs w:val="21"/>
          <w:u w:val="single"/>
        </w:rPr>
        <w:t xml:space="preserve">      </w:t>
      </w:r>
      <w:r>
        <w:rPr>
          <w:rFonts w:hint="eastAsia" w:ascii="宋体" w:hAnsi="宋体" w:cs="宋体"/>
          <w:bCs/>
          <w:color w:val="auto"/>
          <w:szCs w:val="21"/>
        </w:rPr>
        <w:t>年</w:t>
      </w:r>
      <w:r>
        <w:rPr>
          <w:rFonts w:hint="eastAsia" w:ascii="宋体" w:hAnsi="宋体" w:cs="宋体"/>
          <w:bCs/>
          <w:color w:val="auto"/>
          <w:szCs w:val="21"/>
          <w:u w:val="single"/>
        </w:rPr>
        <w:t xml:space="preserve">     </w:t>
      </w:r>
      <w:r>
        <w:rPr>
          <w:rFonts w:hint="eastAsia" w:ascii="宋体" w:hAnsi="宋体" w:cs="宋体"/>
          <w:bCs/>
          <w:color w:val="auto"/>
          <w:szCs w:val="21"/>
        </w:rPr>
        <w:t>月</w:t>
      </w:r>
      <w:r>
        <w:rPr>
          <w:rFonts w:hint="eastAsia" w:ascii="宋体" w:hAnsi="宋体" w:cs="宋体"/>
          <w:bCs/>
          <w:color w:val="auto"/>
          <w:szCs w:val="21"/>
          <w:u w:val="single"/>
        </w:rPr>
        <w:t xml:space="preserve">      </w:t>
      </w:r>
      <w:r>
        <w:rPr>
          <w:rFonts w:hint="eastAsia" w:ascii="宋体" w:hAnsi="宋体" w:cs="宋体"/>
          <w:bCs/>
          <w:color w:val="auto"/>
          <w:szCs w:val="21"/>
        </w:rPr>
        <w:t>日</w:t>
      </w:r>
    </w:p>
    <w:bookmarkEnd w:id="1200"/>
    <w:bookmarkEnd w:id="1201"/>
    <w:p w14:paraId="5F990C8F">
      <w:pPr>
        <w:rPr>
          <w:rFonts w:hint="eastAsia" w:ascii="宋体" w:hAnsi="宋体" w:cs="宋体"/>
          <w:b/>
          <w:color w:val="auto"/>
          <w:sz w:val="30"/>
          <w:szCs w:val="30"/>
        </w:rPr>
      </w:pPr>
      <w:r>
        <w:rPr>
          <w:rFonts w:hint="eastAsia" w:ascii="宋体" w:hAnsi="宋体" w:cs="宋体"/>
          <w:b/>
          <w:color w:val="auto"/>
          <w:sz w:val="30"/>
          <w:szCs w:val="30"/>
        </w:rPr>
        <w:br w:type="page"/>
      </w:r>
    </w:p>
    <w:p w14:paraId="0D83AB49">
      <w:pPr>
        <w:autoSpaceDE w:val="0"/>
        <w:autoSpaceDN w:val="0"/>
        <w:adjustRightInd w:val="0"/>
        <w:spacing w:after="120" w:afterLines="50" w:line="360" w:lineRule="auto"/>
        <w:jc w:val="center"/>
        <w:rPr>
          <w:rFonts w:hint="eastAsia" w:ascii="宋体" w:hAnsi="宋体"/>
          <w:b/>
          <w:bCs/>
          <w:color w:val="auto"/>
          <w:sz w:val="30"/>
          <w:szCs w:val="30"/>
        </w:rPr>
      </w:pPr>
      <w:r>
        <w:rPr>
          <w:rFonts w:hint="eastAsia" w:ascii="宋体" w:hAnsi="宋体"/>
          <w:b/>
          <w:bCs/>
          <w:color w:val="auto"/>
          <w:sz w:val="30"/>
          <w:szCs w:val="30"/>
        </w:rPr>
        <w:t>二次报价表（</w:t>
      </w:r>
      <w:r>
        <w:rPr>
          <w:rFonts w:hint="eastAsia" w:ascii="宋体" w:hAnsi="宋体"/>
          <w:b/>
          <w:bCs/>
          <w:color w:val="auto"/>
          <w:sz w:val="30"/>
          <w:szCs w:val="30"/>
          <w:lang w:eastAsia="zh-CN"/>
        </w:rPr>
        <w:t>模板</w:t>
      </w:r>
      <w:r>
        <w:rPr>
          <w:rFonts w:hint="eastAsia" w:ascii="宋体" w:hAnsi="宋体"/>
          <w:b/>
          <w:bCs/>
          <w:color w:val="auto"/>
          <w:sz w:val="30"/>
          <w:szCs w:val="30"/>
        </w:rPr>
        <w:t>）</w:t>
      </w:r>
    </w:p>
    <w:tbl>
      <w:tblPr>
        <w:tblStyle w:val="55"/>
        <w:tblW w:w="9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793"/>
      </w:tblGrid>
      <w:tr w14:paraId="33029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2263" w:type="dxa"/>
            <w:vAlign w:val="center"/>
          </w:tcPr>
          <w:p w14:paraId="0F4EC120">
            <w:pPr>
              <w:spacing w:before="120" w:beforeLines="50" w:line="360" w:lineRule="auto"/>
              <w:jc w:val="center"/>
              <w:rPr>
                <w:rFonts w:hint="eastAsia" w:ascii="宋体" w:hAnsi="宋体"/>
                <w:color w:val="auto"/>
                <w:szCs w:val="21"/>
              </w:rPr>
            </w:pPr>
            <w:r>
              <w:rPr>
                <w:rFonts w:ascii="宋体" w:hAnsi="宋体"/>
                <w:color w:val="auto"/>
                <w:szCs w:val="21"/>
              </w:rPr>
              <w:t>项目名称</w:t>
            </w:r>
          </w:p>
        </w:tc>
        <w:tc>
          <w:tcPr>
            <w:tcW w:w="6793" w:type="dxa"/>
            <w:vAlign w:val="center"/>
          </w:tcPr>
          <w:p w14:paraId="5B53A58A">
            <w:pPr>
              <w:spacing w:before="120" w:beforeLines="50" w:line="360" w:lineRule="auto"/>
              <w:jc w:val="center"/>
              <w:rPr>
                <w:rFonts w:hint="eastAsia" w:ascii="宋体" w:hAnsi="宋体"/>
                <w:color w:val="auto"/>
                <w:szCs w:val="21"/>
              </w:rPr>
            </w:pPr>
          </w:p>
        </w:tc>
      </w:tr>
      <w:tr w14:paraId="16CF3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263" w:type="dxa"/>
            <w:vAlign w:val="center"/>
          </w:tcPr>
          <w:p w14:paraId="04C76D84">
            <w:pPr>
              <w:spacing w:before="120" w:beforeLines="50" w:line="360" w:lineRule="auto"/>
              <w:jc w:val="center"/>
              <w:rPr>
                <w:rFonts w:hint="eastAsia" w:ascii="宋体" w:hAnsi="宋体"/>
                <w:color w:val="auto"/>
                <w:szCs w:val="21"/>
              </w:rPr>
            </w:pPr>
            <w:r>
              <w:rPr>
                <w:rFonts w:hint="eastAsia" w:ascii="宋体" w:hAnsi="宋体"/>
                <w:color w:val="auto"/>
                <w:szCs w:val="21"/>
              </w:rPr>
              <w:t>供应商名称</w:t>
            </w:r>
          </w:p>
        </w:tc>
        <w:tc>
          <w:tcPr>
            <w:tcW w:w="6793" w:type="dxa"/>
            <w:vAlign w:val="center"/>
          </w:tcPr>
          <w:p w14:paraId="71C111A7">
            <w:pPr>
              <w:spacing w:before="120" w:beforeLines="50" w:line="360" w:lineRule="auto"/>
              <w:jc w:val="center"/>
              <w:rPr>
                <w:rFonts w:hint="eastAsia" w:ascii="宋体" w:hAnsi="宋体"/>
                <w:color w:val="auto"/>
                <w:szCs w:val="21"/>
              </w:rPr>
            </w:pPr>
            <w:r>
              <w:rPr>
                <w:rFonts w:hint="eastAsia" w:ascii="宋体" w:hAnsi="宋体" w:cs="宋体"/>
                <w:color w:val="auto"/>
                <w:szCs w:val="21"/>
              </w:rPr>
              <w:t>小写：¥</w:t>
            </w:r>
            <w:r>
              <w:rPr>
                <w:rFonts w:hint="eastAsia" w:ascii="宋体" w:hAnsi="宋体" w:cs="宋体"/>
                <w:color w:val="auto"/>
                <w:szCs w:val="21"/>
                <w:u w:val="single"/>
              </w:rPr>
              <w:t xml:space="preserve">             </w:t>
            </w:r>
            <w:r>
              <w:rPr>
                <w:rFonts w:hint="eastAsia" w:ascii="宋体" w:hAnsi="宋体" w:cs="宋体"/>
                <w:color w:val="auto"/>
                <w:szCs w:val="21"/>
              </w:rPr>
              <w:t>元；大写：</w:t>
            </w:r>
            <w:r>
              <w:rPr>
                <w:rFonts w:hint="eastAsia" w:ascii="宋体" w:hAnsi="宋体" w:cs="宋体"/>
                <w:color w:val="auto"/>
                <w:szCs w:val="21"/>
                <w:u w:val="single"/>
              </w:rPr>
              <w:t xml:space="preserve">            </w:t>
            </w:r>
            <w:r>
              <w:rPr>
                <w:rFonts w:hint="eastAsia" w:ascii="宋体" w:hAnsi="宋体" w:cs="宋体"/>
                <w:color w:val="auto"/>
                <w:szCs w:val="21"/>
              </w:rPr>
              <w:t>。</w:t>
            </w:r>
          </w:p>
        </w:tc>
      </w:tr>
      <w:tr w14:paraId="3BF58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2263" w:type="dxa"/>
            <w:vAlign w:val="center"/>
          </w:tcPr>
          <w:p w14:paraId="26677F5D">
            <w:pPr>
              <w:spacing w:before="120" w:beforeLines="50" w:line="360" w:lineRule="auto"/>
              <w:jc w:val="center"/>
              <w:rPr>
                <w:rFonts w:hint="eastAsia" w:ascii="宋体" w:hAnsi="宋体"/>
                <w:color w:val="auto"/>
                <w:szCs w:val="21"/>
              </w:rPr>
            </w:pPr>
            <w:r>
              <w:rPr>
                <w:rFonts w:hint="eastAsia" w:ascii="宋体" w:hAnsi="宋体" w:cs="宋体"/>
                <w:color w:val="auto"/>
                <w:szCs w:val="21"/>
              </w:rPr>
              <w:t>磋商报价</w:t>
            </w:r>
          </w:p>
        </w:tc>
        <w:tc>
          <w:tcPr>
            <w:tcW w:w="6793" w:type="dxa"/>
            <w:vAlign w:val="center"/>
          </w:tcPr>
          <w:p w14:paraId="6B8DDA1D">
            <w:pPr>
              <w:spacing w:before="120" w:beforeLines="50" w:line="360" w:lineRule="auto"/>
              <w:rPr>
                <w:rFonts w:hint="eastAsia" w:ascii="宋体" w:hAnsi="宋体"/>
                <w:color w:val="auto"/>
                <w:szCs w:val="21"/>
              </w:rPr>
            </w:pPr>
          </w:p>
        </w:tc>
      </w:tr>
      <w:tr w14:paraId="767D7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jc w:val="center"/>
        </w:trPr>
        <w:tc>
          <w:tcPr>
            <w:tcW w:w="2263" w:type="dxa"/>
            <w:vAlign w:val="center"/>
          </w:tcPr>
          <w:p w14:paraId="55654B94">
            <w:pPr>
              <w:spacing w:before="120" w:after="120" w:line="360" w:lineRule="auto"/>
              <w:jc w:val="center"/>
              <w:rPr>
                <w:rFonts w:hint="eastAsia" w:ascii="宋体" w:hAnsi="宋体"/>
                <w:color w:val="auto"/>
                <w:szCs w:val="21"/>
              </w:rPr>
            </w:pPr>
            <w:r>
              <w:rPr>
                <w:rFonts w:hint="eastAsia" w:ascii="宋体" w:hAnsi="宋体"/>
                <w:color w:val="auto"/>
                <w:szCs w:val="21"/>
              </w:rPr>
              <w:t xml:space="preserve">说 </w:t>
            </w:r>
            <w:r>
              <w:rPr>
                <w:rFonts w:ascii="宋体" w:hAnsi="宋体"/>
                <w:color w:val="auto"/>
                <w:szCs w:val="21"/>
              </w:rPr>
              <w:t xml:space="preserve"> </w:t>
            </w:r>
            <w:r>
              <w:rPr>
                <w:rFonts w:hint="eastAsia" w:ascii="宋体" w:hAnsi="宋体"/>
                <w:color w:val="auto"/>
                <w:szCs w:val="21"/>
              </w:rPr>
              <w:t>明</w:t>
            </w:r>
          </w:p>
        </w:tc>
        <w:tc>
          <w:tcPr>
            <w:tcW w:w="6793" w:type="dxa"/>
            <w:vAlign w:val="center"/>
          </w:tcPr>
          <w:p w14:paraId="2A115884">
            <w:pPr>
              <w:spacing w:before="120" w:after="120" w:line="360" w:lineRule="auto"/>
              <w:rPr>
                <w:rFonts w:hint="eastAsia" w:ascii="宋体" w:hAnsi="宋体"/>
                <w:color w:val="auto"/>
                <w:szCs w:val="21"/>
              </w:rPr>
            </w:pPr>
            <w:r>
              <w:rPr>
                <w:rFonts w:hint="eastAsia" w:ascii="宋体" w:hAnsi="宋体"/>
                <w:color w:val="auto"/>
                <w:szCs w:val="21"/>
              </w:rPr>
              <w:t xml:space="preserve">                                   </w:t>
            </w:r>
          </w:p>
        </w:tc>
      </w:tr>
    </w:tbl>
    <w:p w14:paraId="46E74771">
      <w:pPr>
        <w:spacing w:line="360" w:lineRule="auto"/>
        <w:ind w:left="-105" w:leftChars="-50"/>
        <w:rPr>
          <w:rFonts w:hint="eastAsia" w:ascii="宋体" w:hAnsi="宋体" w:cs="仿宋_GB2312"/>
          <w:color w:val="auto"/>
          <w:sz w:val="24"/>
          <w:szCs w:val="22"/>
        </w:rPr>
      </w:pPr>
    </w:p>
    <w:p w14:paraId="31AC9517">
      <w:pPr>
        <w:spacing w:line="360" w:lineRule="auto"/>
        <w:ind w:left="-105" w:leftChars="-50"/>
        <w:rPr>
          <w:rFonts w:hint="eastAsia" w:ascii="宋体" w:hAnsi="宋体" w:cs="仿宋_GB2312"/>
          <w:color w:val="auto"/>
          <w:sz w:val="24"/>
          <w:szCs w:val="22"/>
        </w:rPr>
      </w:pPr>
    </w:p>
    <w:p w14:paraId="44E0616E">
      <w:pPr>
        <w:spacing w:line="360" w:lineRule="auto"/>
        <w:ind w:left="-105" w:leftChars="-50"/>
        <w:rPr>
          <w:rFonts w:hint="eastAsia" w:ascii="宋体" w:hAnsi="宋体" w:cs="仿宋_GB2312"/>
          <w:color w:val="auto"/>
          <w:sz w:val="24"/>
          <w:szCs w:val="22"/>
        </w:rPr>
      </w:pPr>
    </w:p>
    <w:p w14:paraId="6F069D23">
      <w:pPr>
        <w:spacing w:line="480" w:lineRule="auto"/>
        <w:ind w:right="105" w:firstLine="4410" w:firstLineChars="2100"/>
        <w:rPr>
          <w:rFonts w:hint="eastAsia" w:asciiTheme="minorEastAsia" w:hAnsiTheme="minorEastAsia" w:eastAsiaTheme="minorEastAsia"/>
          <w:color w:val="auto"/>
          <w:szCs w:val="21"/>
          <w:u w:val="single"/>
        </w:rPr>
      </w:pPr>
      <w:r>
        <w:rPr>
          <w:rFonts w:hint="eastAsia" w:asciiTheme="minorEastAsia" w:hAnsiTheme="minorEastAsia" w:eastAsiaTheme="minorEastAsia"/>
          <w:color w:val="auto"/>
          <w:szCs w:val="21"/>
        </w:rPr>
        <w:t>供应商：</w:t>
      </w:r>
      <w:r>
        <w:rPr>
          <w:rFonts w:hint="eastAsia" w:asciiTheme="minorEastAsia" w:hAnsiTheme="minorEastAsia" w:eastAsiaTheme="minorEastAsia"/>
          <w:color w:val="auto"/>
          <w:szCs w:val="21"/>
          <w:u w:val="single"/>
        </w:rPr>
        <w:t xml:space="preserve">               </w:t>
      </w:r>
      <w:r>
        <w:rPr>
          <w:rFonts w:asciiTheme="minorEastAsia" w:hAnsiTheme="minorEastAsia" w:eastAsiaTheme="minorEastAsia"/>
          <w:color w:val="auto"/>
          <w:szCs w:val="21"/>
          <w:u w:val="single"/>
        </w:rPr>
        <w:t xml:space="preserve">  </w:t>
      </w:r>
      <w:r>
        <w:rPr>
          <w:rFonts w:hint="eastAsia" w:asciiTheme="minorEastAsia" w:hAnsiTheme="minorEastAsia" w:eastAsiaTheme="minorEastAsia"/>
          <w:color w:val="auto"/>
          <w:szCs w:val="21"/>
          <w:u w:val="single"/>
        </w:rPr>
        <w:t xml:space="preserve">    </w:t>
      </w:r>
      <w:r>
        <w:rPr>
          <w:rFonts w:asciiTheme="minorEastAsia" w:hAnsiTheme="minorEastAsia" w:eastAsiaTheme="minorEastAsia"/>
          <w:color w:val="auto"/>
          <w:szCs w:val="21"/>
          <w:u w:val="single"/>
        </w:rPr>
        <w:t xml:space="preserve"> </w:t>
      </w:r>
      <w:r>
        <w:rPr>
          <w:rFonts w:hint="eastAsia" w:asciiTheme="minorEastAsia" w:hAnsiTheme="minorEastAsia" w:eastAsiaTheme="minorEastAsia"/>
          <w:color w:val="auto"/>
          <w:szCs w:val="21"/>
          <w:u w:val="single"/>
        </w:rPr>
        <w:t>（电子签章）</w:t>
      </w:r>
    </w:p>
    <w:p w14:paraId="6BC7424C">
      <w:pPr>
        <w:spacing w:line="480" w:lineRule="auto"/>
        <w:ind w:firstLine="4410" w:firstLineChars="2100"/>
        <w:rPr>
          <w:rFonts w:hint="eastAsia" w:asciiTheme="minorEastAsia" w:hAnsiTheme="minorEastAsia" w:eastAsiaTheme="minorEastAsia"/>
          <w:color w:val="auto"/>
          <w:szCs w:val="21"/>
          <w:u w:val="single"/>
        </w:rPr>
      </w:pPr>
      <w:r>
        <w:rPr>
          <w:rFonts w:hint="eastAsia" w:asciiTheme="minorEastAsia" w:hAnsiTheme="minorEastAsia" w:eastAsiaTheme="minorEastAsia"/>
          <w:color w:val="auto"/>
          <w:szCs w:val="21"/>
        </w:rPr>
        <w:t>法定代表人：</w:t>
      </w:r>
      <w:r>
        <w:rPr>
          <w:rFonts w:hint="eastAsia" w:asciiTheme="minorEastAsia" w:hAnsiTheme="minorEastAsia" w:eastAsiaTheme="minorEastAsia"/>
          <w:color w:val="auto"/>
          <w:szCs w:val="21"/>
          <w:u w:val="single"/>
        </w:rPr>
        <w:t xml:space="preserve">           </w:t>
      </w:r>
      <w:r>
        <w:rPr>
          <w:rFonts w:asciiTheme="minorEastAsia" w:hAnsiTheme="minorEastAsia" w:eastAsiaTheme="minorEastAsia"/>
          <w:color w:val="auto"/>
          <w:szCs w:val="21"/>
          <w:u w:val="single"/>
        </w:rPr>
        <w:t xml:space="preserve"> </w:t>
      </w:r>
      <w:r>
        <w:rPr>
          <w:rFonts w:hint="eastAsia" w:asciiTheme="minorEastAsia" w:hAnsiTheme="minorEastAsia" w:eastAsiaTheme="minorEastAsia"/>
          <w:color w:val="auto"/>
          <w:szCs w:val="21"/>
          <w:u w:val="single"/>
        </w:rPr>
        <w:t xml:space="preserve">      （电子签章）</w:t>
      </w:r>
    </w:p>
    <w:p w14:paraId="56473DBE">
      <w:pPr>
        <w:spacing w:line="360" w:lineRule="auto"/>
        <w:ind w:right="252" w:rightChars="120" w:firstLine="4393" w:firstLineChars="2092"/>
        <w:jc w:val="left"/>
        <w:rPr>
          <w:rFonts w:hint="eastAsia" w:ascii="宋体" w:hAnsi="宋体" w:cs="仿宋_GB2312"/>
          <w:color w:val="auto"/>
          <w:szCs w:val="21"/>
        </w:rPr>
      </w:pPr>
      <w:r>
        <w:rPr>
          <w:rFonts w:hint="eastAsia" w:asciiTheme="minorEastAsia" w:hAnsiTheme="minorEastAsia" w:eastAsiaTheme="minorEastAsia"/>
          <w:color w:val="auto"/>
          <w:szCs w:val="21"/>
        </w:rPr>
        <w:t>日  期：</w:t>
      </w:r>
      <w:r>
        <w:rPr>
          <w:rFonts w:hint="eastAsia" w:asciiTheme="minorEastAsia" w:hAnsiTheme="minorEastAsia" w:eastAsiaTheme="minorEastAsia"/>
          <w:color w:val="auto"/>
          <w:szCs w:val="21"/>
          <w:u w:val="single"/>
        </w:rPr>
        <w:t xml:space="preserve">     </w:t>
      </w:r>
      <w:r>
        <w:rPr>
          <w:rFonts w:hint="eastAsia" w:asciiTheme="minorEastAsia" w:hAnsiTheme="minorEastAsia" w:eastAsiaTheme="minorEastAsia"/>
          <w:color w:val="auto"/>
          <w:szCs w:val="21"/>
        </w:rPr>
        <w:t>年</w:t>
      </w:r>
      <w:r>
        <w:rPr>
          <w:rFonts w:hint="eastAsia" w:asciiTheme="minorEastAsia" w:hAnsiTheme="minorEastAsia" w:eastAsiaTheme="minorEastAsia"/>
          <w:color w:val="auto"/>
          <w:szCs w:val="21"/>
          <w:u w:val="single"/>
        </w:rPr>
        <w:t xml:space="preserve">    </w:t>
      </w:r>
      <w:r>
        <w:rPr>
          <w:rFonts w:hint="eastAsia" w:asciiTheme="minorEastAsia" w:hAnsiTheme="minorEastAsia" w:eastAsiaTheme="minorEastAsia"/>
          <w:color w:val="auto"/>
          <w:szCs w:val="21"/>
        </w:rPr>
        <w:t>月</w:t>
      </w:r>
      <w:r>
        <w:rPr>
          <w:rFonts w:hint="eastAsia" w:asciiTheme="minorEastAsia" w:hAnsiTheme="minorEastAsia" w:eastAsiaTheme="minorEastAsia"/>
          <w:color w:val="auto"/>
          <w:szCs w:val="21"/>
          <w:u w:val="single"/>
        </w:rPr>
        <w:t xml:space="preserve">    </w:t>
      </w:r>
      <w:r>
        <w:rPr>
          <w:rFonts w:hint="eastAsia" w:asciiTheme="minorEastAsia" w:hAnsiTheme="minorEastAsia" w:eastAsiaTheme="minorEastAsia"/>
          <w:color w:val="auto"/>
          <w:szCs w:val="21"/>
        </w:rPr>
        <w:t>日</w:t>
      </w:r>
    </w:p>
    <w:p w14:paraId="06187DAA">
      <w:pPr>
        <w:rPr>
          <w:rFonts w:ascii="Calibri" w:hAnsi="Calibri"/>
          <w:color w:val="auto"/>
          <w:szCs w:val="22"/>
        </w:rPr>
      </w:pPr>
    </w:p>
    <w:p w14:paraId="74999BDA">
      <w:pPr>
        <w:autoSpaceDE w:val="0"/>
        <w:autoSpaceDN w:val="0"/>
        <w:adjustRightInd w:val="0"/>
        <w:spacing w:line="360" w:lineRule="auto"/>
        <w:ind w:firstLine="422" w:firstLineChars="200"/>
        <w:jc w:val="left"/>
        <w:rPr>
          <w:rFonts w:hint="eastAsia" w:asciiTheme="minorEastAsia" w:hAnsiTheme="minorEastAsia" w:eastAsiaTheme="minorEastAsia"/>
          <w:b/>
          <w:color w:val="auto"/>
          <w:szCs w:val="21"/>
        </w:rPr>
      </w:pPr>
      <w:r>
        <w:rPr>
          <w:rFonts w:hint="eastAsia" w:asciiTheme="minorEastAsia" w:hAnsiTheme="minorEastAsia" w:eastAsiaTheme="minorEastAsia"/>
          <w:b/>
          <w:color w:val="auto"/>
          <w:szCs w:val="21"/>
        </w:rPr>
        <w:t>注：（1）磋商小组在政府采购云平台上发起二次报价后，供应商从政府采购云平台上下载附件此《二次报价表》，按照格式在规定的时间内进行填报并上传。此《二次报价表》在提交响应文件时无需提供，仅作为二次报价的依据。</w:t>
      </w:r>
    </w:p>
    <w:p w14:paraId="43FCE3C5">
      <w:pPr>
        <w:autoSpaceDE w:val="0"/>
        <w:autoSpaceDN w:val="0"/>
        <w:adjustRightInd w:val="0"/>
        <w:spacing w:line="360" w:lineRule="auto"/>
        <w:ind w:firstLine="843" w:firstLineChars="400"/>
        <w:jc w:val="left"/>
        <w:rPr>
          <w:rFonts w:hint="eastAsia" w:asciiTheme="minorEastAsia" w:hAnsiTheme="minorEastAsia" w:eastAsiaTheme="minorEastAsia"/>
          <w:b/>
          <w:bCs/>
          <w:color w:val="auto"/>
          <w:szCs w:val="21"/>
        </w:rPr>
      </w:pPr>
      <w:r>
        <w:rPr>
          <w:rFonts w:hint="eastAsia" w:asciiTheme="minorEastAsia" w:hAnsiTheme="minorEastAsia" w:eastAsiaTheme="minorEastAsia"/>
          <w:b/>
          <w:bCs/>
          <w:color w:val="auto"/>
        </w:rPr>
        <w:t>（2）</w:t>
      </w:r>
      <w:r>
        <w:rPr>
          <w:rFonts w:asciiTheme="minorEastAsia" w:hAnsiTheme="minorEastAsia" w:eastAsiaTheme="minorEastAsia"/>
          <w:b/>
          <w:bCs/>
          <w:color w:val="auto"/>
        </w:rPr>
        <w:t>请供应商务必在规定的时间内进行二次报价</w:t>
      </w:r>
      <w:r>
        <w:rPr>
          <w:rFonts w:hint="eastAsia" w:asciiTheme="minorEastAsia" w:hAnsiTheme="minorEastAsia" w:eastAsiaTheme="minorEastAsia"/>
          <w:b/>
          <w:bCs/>
          <w:color w:val="auto"/>
        </w:rPr>
        <w:t>并</w:t>
      </w:r>
      <w:r>
        <w:rPr>
          <w:rFonts w:asciiTheme="minorEastAsia" w:hAnsiTheme="minorEastAsia" w:eastAsiaTheme="minorEastAsia"/>
          <w:b/>
          <w:bCs/>
          <w:color w:val="auto"/>
        </w:rPr>
        <w:t>上传经电子签章后的《二次报价表》，同时保持通讯工具畅通。若供应商未在规定的时间内进行二次报价或联系不上的，</w:t>
      </w:r>
      <w:r>
        <w:rPr>
          <w:rFonts w:hint="eastAsia" w:asciiTheme="minorEastAsia" w:hAnsiTheme="minorEastAsia" w:eastAsiaTheme="minorEastAsia"/>
          <w:b/>
          <w:bCs/>
          <w:color w:val="auto"/>
        </w:rPr>
        <w:t>磋商</w:t>
      </w:r>
      <w:r>
        <w:rPr>
          <w:rFonts w:asciiTheme="minorEastAsia" w:hAnsiTheme="minorEastAsia" w:eastAsiaTheme="minorEastAsia"/>
          <w:b/>
          <w:bCs/>
          <w:color w:val="auto"/>
        </w:rPr>
        <w:t>小组将视为其放弃二次报价，并将其响应文件中的</w:t>
      </w:r>
      <w:r>
        <w:rPr>
          <w:rFonts w:hint="eastAsia" w:asciiTheme="minorEastAsia" w:hAnsiTheme="minorEastAsia" w:eastAsiaTheme="minorEastAsia"/>
          <w:b/>
          <w:bCs/>
          <w:color w:val="auto"/>
        </w:rPr>
        <w:t>磋商报价</w:t>
      </w:r>
      <w:r>
        <w:rPr>
          <w:rFonts w:asciiTheme="minorEastAsia" w:hAnsiTheme="minorEastAsia" w:eastAsiaTheme="minorEastAsia"/>
          <w:b/>
          <w:bCs/>
          <w:color w:val="auto"/>
        </w:rPr>
        <w:t>作为其最后报价参与评审。</w:t>
      </w:r>
      <w:r>
        <w:rPr>
          <w:rFonts w:hint="eastAsia" w:asciiTheme="minorEastAsia" w:hAnsiTheme="minorEastAsia" w:eastAsiaTheme="minorEastAsia"/>
          <w:b/>
          <w:bCs/>
          <w:color w:val="auto"/>
        </w:rPr>
        <w:t>若因供应商自身原因导致出现以上情况的，供应商自行承担评审结果，与采购人、代理机构以及磋商小组无关。</w:t>
      </w:r>
    </w:p>
    <w:p w14:paraId="57BAD3DB">
      <w:pPr>
        <w:widowControl/>
        <w:jc w:val="left"/>
        <w:rPr>
          <w:b/>
          <w:color w:val="auto"/>
          <w:sz w:val="32"/>
          <w:szCs w:val="32"/>
        </w:rPr>
      </w:pPr>
      <w:r>
        <w:rPr>
          <w:b/>
          <w:color w:val="auto"/>
          <w:sz w:val="32"/>
          <w:szCs w:val="32"/>
        </w:rPr>
        <w:br w:type="page"/>
      </w:r>
    </w:p>
    <w:p w14:paraId="355E69DA">
      <w:pPr>
        <w:spacing w:line="360" w:lineRule="auto"/>
        <w:jc w:val="center"/>
        <w:outlineLvl w:val="1"/>
        <w:rPr>
          <w:rFonts w:hint="eastAsia" w:ascii="宋体" w:hAnsi="宋体" w:cs="宋体"/>
          <w:b/>
          <w:color w:val="auto"/>
          <w:sz w:val="30"/>
          <w:szCs w:val="30"/>
        </w:rPr>
      </w:pPr>
      <w:bookmarkStart w:id="1225" w:name="_Toc28025"/>
      <w:bookmarkStart w:id="1226" w:name="_Toc484146332"/>
      <w:bookmarkStart w:id="1227" w:name="_Toc128658857"/>
      <w:r>
        <w:rPr>
          <w:rFonts w:hint="eastAsia" w:ascii="宋体" w:hAnsi="宋体" w:cs="宋体"/>
          <w:b/>
          <w:color w:val="auto"/>
          <w:sz w:val="30"/>
          <w:szCs w:val="30"/>
        </w:rPr>
        <w:t>三、技术</w:t>
      </w:r>
      <w:bookmarkEnd w:id="1162"/>
      <w:bookmarkEnd w:id="1163"/>
      <w:bookmarkEnd w:id="1225"/>
      <w:r>
        <w:rPr>
          <w:rFonts w:hint="eastAsia" w:ascii="宋体" w:hAnsi="宋体" w:cs="宋体"/>
          <w:b/>
          <w:color w:val="auto"/>
          <w:sz w:val="30"/>
          <w:szCs w:val="30"/>
        </w:rPr>
        <w:t>文件</w:t>
      </w:r>
      <w:bookmarkEnd w:id="1226"/>
      <w:bookmarkEnd w:id="1227"/>
    </w:p>
    <w:p w14:paraId="020F9C40">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注：供应商的响应文件中的“技术文件”部分应结合采购需求、评审办法等相关内容进行编制，格式不限。技术文件的内容应当包括但不限于以下内容：</w:t>
      </w:r>
    </w:p>
    <w:p w14:paraId="2BEA04BD">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1.服务方案。</w:t>
      </w:r>
    </w:p>
    <w:p w14:paraId="4BC4970F">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2.服务期限保证措施及承诺。</w:t>
      </w:r>
    </w:p>
    <w:p w14:paraId="4FE40778">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3.服务质量保证措施及承诺。</w:t>
      </w:r>
    </w:p>
    <w:p w14:paraId="79FF6B72">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4.保密管理措施及承诺。</w:t>
      </w:r>
    </w:p>
    <w:p w14:paraId="56C9E0FC">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5.档案管理制度。</w:t>
      </w:r>
    </w:p>
    <w:p w14:paraId="19C90508">
      <w:pPr>
        <w:rPr>
          <w:rFonts w:hint="eastAsia" w:ascii="宋体" w:hAnsi="宋体" w:cs="宋体"/>
          <w:b/>
          <w:bCs/>
          <w:color w:val="auto"/>
          <w:sz w:val="24"/>
          <w:szCs w:val="22"/>
        </w:rPr>
      </w:pPr>
      <w:r>
        <w:rPr>
          <w:rFonts w:hint="eastAsia" w:ascii="宋体" w:hAnsi="宋体" w:cs="宋体"/>
          <w:b/>
          <w:bCs/>
          <w:color w:val="auto"/>
          <w:sz w:val="24"/>
          <w:szCs w:val="22"/>
        </w:rPr>
        <w:br w:type="page"/>
      </w:r>
    </w:p>
    <w:bookmarkEnd w:id="1075"/>
    <w:bookmarkEnd w:id="1076"/>
    <w:bookmarkEnd w:id="1077"/>
    <w:bookmarkEnd w:id="1078"/>
    <w:bookmarkEnd w:id="1079"/>
    <w:bookmarkEnd w:id="1080"/>
    <w:bookmarkEnd w:id="1084"/>
    <w:bookmarkEnd w:id="1085"/>
    <w:bookmarkEnd w:id="1086"/>
    <w:bookmarkEnd w:id="1087"/>
    <w:bookmarkEnd w:id="1088"/>
    <w:bookmarkEnd w:id="1089"/>
    <w:bookmarkEnd w:id="1090"/>
    <w:bookmarkEnd w:id="1091"/>
    <w:p w14:paraId="4FD2C372">
      <w:pPr>
        <w:spacing w:line="360" w:lineRule="auto"/>
        <w:jc w:val="center"/>
        <w:outlineLvl w:val="0"/>
        <w:rPr>
          <w:rFonts w:hint="eastAsia" w:ascii="宋体" w:hAnsi="宋体" w:cs="宋体"/>
          <w:b/>
          <w:bCs/>
          <w:color w:val="auto"/>
          <w:sz w:val="32"/>
          <w:szCs w:val="32"/>
        </w:rPr>
      </w:pPr>
      <w:bookmarkStart w:id="1228" w:name="_Toc1586168368"/>
      <w:r>
        <w:rPr>
          <w:rFonts w:hint="eastAsia" w:ascii="宋体" w:hAnsi="宋体" w:cs="宋体"/>
          <w:b/>
          <w:bCs/>
          <w:color w:val="auto"/>
          <w:sz w:val="32"/>
          <w:szCs w:val="32"/>
        </w:rPr>
        <w:t>第五章 采购需求</w:t>
      </w:r>
      <w:bookmarkEnd w:id="1228"/>
    </w:p>
    <w:p w14:paraId="63A0C773">
      <w:pPr>
        <w:widowControl/>
        <w:shd w:val="clear" w:color="auto" w:fill="FFFFFF"/>
        <w:spacing w:line="360" w:lineRule="auto"/>
        <w:ind w:firstLine="482" w:firstLineChars="200"/>
        <w:jc w:val="left"/>
        <w:rPr>
          <w:rFonts w:hint="eastAsia" w:ascii="宋体" w:hAnsi="宋体" w:cs="宋体"/>
          <w:color w:val="auto"/>
          <w:kern w:val="0"/>
          <w:sz w:val="24"/>
          <w:szCs w:val="24"/>
        </w:rPr>
      </w:pPr>
      <w:r>
        <w:rPr>
          <w:rFonts w:hint="eastAsia" w:ascii="宋体" w:hAnsi="宋体" w:cs="宋体"/>
          <w:b/>
          <w:bCs/>
          <w:color w:val="auto"/>
          <w:kern w:val="0"/>
          <w:sz w:val="24"/>
          <w:szCs w:val="24"/>
        </w:rPr>
        <w:t>一、采购标的需实现的功能或者目标，以及为落实政府采购政策需满足的要求</w:t>
      </w:r>
    </w:p>
    <w:p w14:paraId="2A107B38">
      <w:pPr>
        <w:widowControl/>
        <w:shd w:val="clear" w:color="auto" w:fill="FFFFFF"/>
        <w:spacing w:line="360" w:lineRule="auto"/>
        <w:ind w:firstLine="482"/>
        <w:jc w:val="left"/>
        <w:rPr>
          <w:rFonts w:hint="eastAsia" w:ascii="宋体" w:hAnsi="宋体" w:cs="宋体"/>
          <w:color w:val="auto"/>
          <w:kern w:val="0"/>
          <w:szCs w:val="21"/>
        </w:rPr>
      </w:pPr>
      <w:r>
        <w:rPr>
          <w:rFonts w:hint="eastAsia" w:ascii="宋体" w:hAnsi="宋体" w:cs="宋体"/>
          <w:color w:val="auto"/>
          <w:kern w:val="0"/>
          <w:szCs w:val="21"/>
        </w:rPr>
        <w:t>1.采购标的需实现的功能或者目标：完成安宁市2026年流动人员人事档案管理服务工作，工作内容包括但不限于：档案管理（对安宁市行政区域内的非公有制企业和社会组织聘用人员的档案；辞职辞退、取消录（聘）用或被开除的机关事业单位工作人员档案；与企事业单位解除或终止劳动（聘用）关系人员的档案；未就业的高校毕业生及中专毕业生的档案；自费出国留学及其他因私出国（境）人员的档案；外国企业常驻代表机构的中方雇员的档案；自由职业或灵活就业人员的档案）、退休申报（其他实行社会管理人员的档案等进行专业化管理并提供优质的退休申报服务）等。</w:t>
      </w:r>
    </w:p>
    <w:p w14:paraId="5553D129">
      <w:pPr>
        <w:widowControl/>
        <w:shd w:val="clear" w:color="auto" w:fill="FFFFFF"/>
        <w:spacing w:line="360" w:lineRule="auto"/>
        <w:ind w:firstLine="482"/>
        <w:jc w:val="left"/>
        <w:rPr>
          <w:rFonts w:hint="eastAsia" w:ascii="宋体" w:hAnsi="宋体" w:cs="宋体"/>
          <w:color w:val="auto"/>
          <w:kern w:val="0"/>
          <w:szCs w:val="21"/>
        </w:rPr>
      </w:pPr>
      <w:r>
        <w:rPr>
          <w:rFonts w:hint="eastAsia" w:ascii="宋体" w:hAnsi="宋体" w:cs="宋体"/>
          <w:color w:val="auto"/>
          <w:kern w:val="0"/>
          <w:szCs w:val="21"/>
        </w:rPr>
        <w:t>2.落实政府采购政策需满足的要求：无，专门面向中小企业采购。</w:t>
      </w:r>
    </w:p>
    <w:p w14:paraId="0B8BE61E">
      <w:pPr>
        <w:widowControl/>
        <w:shd w:val="clear" w:color="auto" w:fill="FFFFFF"/>
        <w:spacing w:line="360" w:lineRule="auto"/>
        <w:ind w:firstLine="482" w:firstLineChars="200"/>
        <w:jc w:val="left"/>
        <w:rPr>
          <w:rFonts w:hint="eastAsia" w:ascii="宋体" w:hAnsi="宋体" w:cs="宋体"/>
          <w:b/>
          <w:bCs/>
          <w:color w:val="auto"/>
          <w:kern w:val="0"/>
          <w:sz w:val="24"/>
          <w:szCs w:val="24"/>
        </w:rPr>
      </w:pPr>
      <w:r>
        <w:rPr>
          <w:rFonts w:hint="eastAsia" w:ascii="宋体" w:hAnsi="宋体" w:cs="宋体"/>
          <w:b/>
          <w:bCs/>
          <w:color w:val="auto"/>
          <w:kern w:val="0"/>
          <w:sz w:val="24"/>
          <w:szCs w:val="24"/>
        </w:rPr>
        <w:t>二、采购标的需执行的国家相关标准、行业标准、地方标准或者其他标准、规范</w:t>
      </w:r>
    </w:p>
    <w:p w14:paraId="1107C6AC">
      <w:pPr>
        <w:widowControl/>
        <w:shd w:val="clear" w:color="auto" w:fill="FFFFFF"/>
        <w:spacing w:line="360" w:lineRule="auto"/>
        <w:ind w:firstLine="482"/>
        <w:jc w:val="left"/>
        <w:rPr>
          <w:rFonts w:hint="eastAsia" w:ascii="宋体" w:hAnsi="宋体" w:cs="宋体"/>
          <w:bCs/>
          <w:color w:val="auto"/>
          <w:kern w:val="0"/>
          <w:szCs w:val="21"/>
        </w:rPr>
      </w:pPr>
      <w:r>
        <w:rPr>
          <w:rFonts w:hint="eastAsia" w:ascii="宋体" w:hAnsi="宋体" w:cs="宋体"/>
          <w:bCs/>
          <w:color w:val="auto"/>
          <w:kern w:val="0"/>
          <w:szCs w:val="21"/>
        </w:rPr>
        <w:t>按照《流动人员人事档案管理服务规范》GB/T 32623-2016、《流动人员人事档案安全管理规范》LD/T 04-2020及国家现行相关法律法规开展工作。</w:t>
      </w:r>
    </w:p>
    <w:p w14:paraId="725D69AE">
      <w:pPr>
        <w:widowControl/>
        <w:shd w:val="clear" w:color="auto" w:fill="FFFFFF"/>
        <w:spacing w:line="360" w:lineRule="auto"/>
        <w:ind w:firstLine="482" w:firstLineChars="200"/>
        <w:jc w:val="left"/>
        <w:rPr>
          <w:rFonts w:hint="eastAsia" w:ascii="宋体" w:hAnsi="宋体" w:cs="宋体"/>
          <w:b/>
          <w:bCs/>
          <w:color w:val="auto"/>
          <w:kern w:val="0"/>
          <w:sz w:val="24"/>
          <w:szCs w:val="24"/>
        </w:rPr>
      </w:pPr>
      <w:r>
        <w:rPr>
          <w:rFonts w:hint="eastAsia" w:ascii="宋体" w:hAnsi="宋体" w:cs="宋体"/>
          <w:b/>
          <w:bCs/>
          <w:color w:val="auto"/>
          <w:kern w:val="0"/>
          <w:sz w:val="24"/>
          <w:szCs w:val="24"/>
        </w:rPr>
        <w:t>三、采购标的需满足的质量、安全、技术规格、物理特性等要求</w:t>
      </w:r>
    </w:p>
    <w:p w14:paraId="04AC3712">
      <w:pPr>
        <w:widowControl/>
        <w:shd w:val="clear" w:color="auto" w:fill="FFFFFF"/>
        <w:spacing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服务人员要求：</w:t>
      </w:r>
    </w:p>
    <w:p w14:paraId="5DC94E95">
      <w:pPr>
        <w:widowControl/>
        <w:shd w:val="clear" w:color="auto" w:fill="FFFFFF"/>
        <w:spacing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（1）人员管理要求</w:t>
      </w:r>
    </w:p>
    <w:p w14:paraId="0ED887F1">
      <w:pPr>
        <w:widowControl/>
        <w:shd w:val="clear" w:color="auto" w:fill="FFFFFF"/>
        <w:spacing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在提供人事档案管理服务期间，其服务人员应严格遵守安宁市公共就业和人才服务中心相关的管理规定，为保证任务的按时完成，进场人员必须办理完善的用工手续并保持相对的稳定性，中途不得随意更换服务人员，且服务人员需具备档案管理员资格证书。</w:t>
      </w:r>
    </w:p>
    <w:p w14:paraId="23E3EBEA">
      <w:pPr>
        <w:widowControl/>
        <w:shd w:val="clear" w:color="auto" w:fill="FFFFFF"/>
        <w:spacing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（2）安全保密性要求</w:t>
      </w:r>
    </w:p>
    <w:p w14:paraId="79DE2ECB">
      <w:pPr>
        <w:widowControl/>
        <w:shd w:val="clear" w:color="auto" w:fill="FFFFFF"/>
        <w:spacing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服务人员不得以任何形式将各项档案资料带出指定工作现场，不得以任何形式进行泄露、传播；不得无故查看及讨论档案内容；本项目的相关文档均不得外传、不得泄露。</w:t>
      </w:r>
    </w:p>
    <w:p w14:paraId="5BB62A30">
      <w:pPr>
        <w:widowControl/>
        <w:shd w:val="clear" w:color="auto" w:fill="FFFFFF"/>
        <w:spacing w:line="360" w:lineRule="auto"/>
        <w:ind w:firstLine="482" w:firstLineChars="200"/>
        <w:jc w:val="left"/>
        <w:rPr>
          <w:rFonts w:hint="eastAsia" w:ascii="宋体" w:hAnsi="宋体" w:cs="宋体"/>
          <w:b/>
          <w:bCs/>
          <w:color w:val="auto"/>
          <w:kern w:val="0"/>
          <w:sz w:val="24"/>
          <w:szCs w:val="24"/>
        </w:rPr>
      </w:pPr>
      <w:r>
        <w:rPr>
          <w:rFonts w:hint="eastAsia" w:ascii="宋体" w:hAnsi="宋体" w:cs="宋体"/>
          <w:b/>
          <w:bCs/>
          <w:color w:val="auto"/>
          <w:kern w:val="0"/>
          <w:sz w:val="24"/>
          <w:szCs w:val="24"/>
        </w:rPr>
        <w:t>四、采购标的的数量、采购项目交付或者实施的时间和地点</w:t>
      </w:r>
    </w:p>
    <w:p w14:paraId="767D6ACC">
      <w:pPr>
        <w:widowControl/>
        <w:shd w:val="clear" w:color="auto" w:fill="FFFFFF"/>
        <w:spacing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1.项目实施的时间：合同签订之日起一年。</w:t>
      </w:r>
    </w:p>
    <w:p w14:paraId="4476FB83">
      <w:pPr>
        <w:widowControl/>
        <w:shd w:val="clear" w:color="auto" w:fill="FFFFFF"/>
        <w:spacing w:line="360" w:lineRule="auto"/>
        <w:ind w:firstLine="420" w:firstLineChars="200"/>
        <w:jc w:val="left"/>
        <w:rPr>
          <w:rFonts w:hint="eastAsia" w:ascii="宋体" w:hAnsi="宋体" w:cs="宋体"/>
          <w:color w:val="auto"/>
          <w:szCs w:val="21"/>
        </w:rPr>
      </w:pPr>
      <w:r>
        <w:rPr>
          <w:rFonts w:hint="eastAsia" w:ascii="宋体" w:hAnsi="宋体" w:cs="宋体"/>
          <w:color w:val="auto"/>
          <w:kern w:val="0"/>
          <w:szCs w:val="21"/>
        </w:rPr>
        <w:t>2.项目实施的地点：采购人指定地点。</w:t>
      </w:r>
    </w:p>
    <w:p w14:paraId="239B9D8B">
      <w:pPr>
        <w:widowControl/>
        <w:shd w:val="clear" w:color="auto" w:fill="FFFFFF"/>
        <w:spacing w:line="360" w:lineRule="auto"/>
        <w:ind w:firstLine="482" w:firstLineChars="200"/>
        <w:jc w:val="left"/>
        <w:rPr>
          <w:rFonts w:hint="eastAsia" w:ascii="宋体" w:hAnsi="宋体" w:cs="宋体"/>
          <w:b/>
          <w:bCs/>
          <w:color w:val="auto"/>
          <w:kern w:val="0"/>
          <w:sz w:val="24"/>
          <w:szCs w:val="24"/>
        </w:rPr>
      </w:pPr>
      <w:r>
        <w:rPr>
          <w:rFonts w:hint="eastAsia" w:ascii="宋体" w:hAnsi="宋体" w:cs="宋体"/>
          <w:b/>
          <w:bCs/>
          <w:color w:val="auto"/>
          <w:kern w:val="0"/>
          <w:sz w:val="24"/>
          <w:szCs w:val="24"/>
        </w:rPr>
        <w:t>五、采购标的需满足的服务标准、期限、效率等要求</w:t>
      </w:r>
    </w:p>
    <w:p w14:paraId="23F7A5E1">
      <w:pPr>
        <w:widowControl/>
        <w:shd w:val="clear" w:color="auto" w:fill="FFFFFF"/>
        <w:spacing w:line="360" w:lineRule="auto"/>
        <w:ind w:firstLine="482"/>
        <w:jc w:val="left"/>
        <w:rPr>
          <w:rFonts w:hint="eastAsia" w:ascii="宋体" w:hAnsi="宋体" w:cs="宋体"/>
          <w:color w:val="auto"/>
          <w:kern w:val="0"/>
          <w:szCs w:val="21"/>
        </w:rPr>
      </w:pPr>
      <w:r>
        <w:rPr>
          <w:rFonts w:hint="eastAsia" w:ascii="宋体" w:hAnsi="宋体" w:cs="宋体"/>
          <w:color w:val="auto"/>
          <w:kern w:val="0"/>
          <w:szCs w:val="21"/>
        </w:rPr>
        <w:t>1.服务标准：</w:t>
      </w:r>
      <w:r>
        <w:rPr>
          <w:rFonts w:hint="eastAsia" w:ascii="宋体" w:hAnsi="宋体" w:cs="宋体"/>
          <w:bCs/>
          <w:color w:val="auto"/>
          <w:kern w:val="0"/>
          <w:szCs w:val="21"/>
        </w:rPr>
        <w:t>按照《流动人员人事档案管理服务规范》GB/T 32623-2016、《流动人员人事档案安全管理规范》LD/T 04-2020及国家现行相关法律法规开展工作。</w:t>
      </w:r>
    </w:p>
    <w:p w14:paraId="6EA36E0B">
      <w:pPr>
        <w:widowControl/>
        <w:shd w:val="clear" w:color="auto" w:fill="FFFFFF"/>
        <w:spacing w:line="360" w:lineRule="auto"/>
        <w:ind w:firstLine="482"/>
        <w:jc w:val="left"/>
        <w:rPr>
          <w:rFonts w:hint="eastAsia" w:ascii="宋体" w:hAnsi="宋体" w:cs="宋体"/>
          <w:color w:val="auto"/>
          <w:kern w:val="0"/>
          <w:szCs w:val="21"/>
        </w:rPr>
      </w:pPr>
      <w:r>
        <w:rPr>
          <w:rFonts w:hint="eastAsia" w:ascii="宋体" w:hAnsi="宋体" w:cs="宋体"/>
          <w:color w:val="auto"/>
          <w:kern w:val="0"/>
          <w:szCs w:val="21"/>
        </w:rPr>
        <w:t>2.合同履约期限：合同签订之日起一年。</w:t>
      </w:r>
    </w:p>
    <w:p w14:paraId="0EC19CE0">
      <w:pPr>
        <w:widowControl/>
        <w:shd w:val="clear" w:color="auto" w:fill="FFFFFF"/>
        <w:spacing w:line="360" w:lineRule="auto"/>
        <w:ind w:firstLine="482"/>
        <w:jc w:val="left"/>
        <w:rPr>
          <w:rFonts w:hint="eastAsia" w:ascii="宋体" w:hAnsi="宋体" w:cs="宋体"/>
          <w:color w:val="auto"/>
          <w:kern w:val="0"/>
          <w:szCs w:val="21"/>
        </w:rPr>
      </w:pPr>
      <w:r>
        <w:rPr>
          <w:rFonts w:hint="eastAsia" w:ascii="宋体" w:hAnsi="宋体" w:cs="宋体"/>
          <w:color w:val="auto"/>
          <w:kern w:val="0"/>
          <w:szCs w:val="21"/>
        </w:rPr>
        <w:t>3.服务效率：按照要求按质按量完成合同委托范围内的所有工作内容。</w:t>
      </w:r>
    </w:p>
    <w:p w14:paraId="34AC0109">
      <w:pPr>
        <w:widowControl/>
        <w:shd w:val="clear" w:color="auto" w:fill="FFFFFF"/>
        <w:spacing w:line="360" w:lineRule="auto"/>
        <w:ind w:firstLine="482" w:firstLineChars="200"/>
        <w:jc w:val="left"/>
        <w:rPr>
          <w:rFonts w:hint="eastAsia" w:ascii="宋体" w:hAnsi="宋体" w:cs="宋体"/>
          <w:b/>
          <w:bCs/>
          <w:color w:val="auto"/>
          <w:kern w:val="0"/>
          <w:sz w:val="24"/>
          <w:szCs w:val="24"/>
        </w:rPr>
      </w:pPr>
      <w:r>
        <w:rPr>
          <w:rFonts w:hint="eastAsia" w:ascii="宋体" w:hAnsi="宋体" w:cs="宋体"/>
          <w:b/>
          <w:bCs/>
          <w:color w:val="auto"/>
          <w:kern w:val="0"/>
          <w:sz w:val="24"/>
          <w:szCs w:val="24"/>
        </w:rPr>
        <w:t>六、采购标的的验收标准</w:t>
      </w:r>
    </w:p>
    <w:p w14:paraId="45B090EF">
      <w:pPr>
        <w:widowControl/>
        <w:shd w:val="clear" w:color="auto" w:fill="FFFFFF"/>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项目验收执行《流动人员人事档案管理服务规范》GB/T 32623-2016、《流动人员人事档案安全管理规范》LD/T 04-2020及国家、行业相关标准规范、合同、采购文件及乙方响应文件条款。</w:t>
      </w:r>
    </w:p>
    <w:p w14:paraId="21B4F26C">
      <w:pPr>
        <w:widowControl/>
        <w:shd w:val="clear" w:color="auto" w:fill="FFFFFF"/>
        <w:spacing w:line="360" w:lineRule="auto"/>
        <w:ind w:firstLine="482" w:firstLineChars="200"/>
        <w:jc w:val="left"/>
        <w:rPr>
          <w:rFonts w:hint="eastAsia" w:ascii="宋体" w:hAnsi="宋体" w:cs="宋体"/>
          <w:b/>
          <w:bCs/>
          <w:color w:val="auto"/>
          <w:kern w:val="0"/>
          <w:sz w:val="24"/>
          <w:szCs w:val="24"/>
        </w:rPr>
      </w:pPr>
      <w:r>
        <w:rPr>
          <w:rFonts w:hint="eastAsia" w:ascii="宋体" w:hAnsi="宋体" w:cs="宋体"/>
          <w:b/>
          <w:bCs/>
          <w:color w:val="auto"/>
          <w:kern w:val="0"/>
          <w:sz w:val="24"/>
          <w:szCs w:val="24"/>
        </w:rPr>
        <w:t>七、采购标的其他技术、服务等要求</w:t>
      </w:r>
    </w:p>
    <w:p w14:paraId="35C4EBA8">
      <w:pPr>
        <w:widowControl/>
        <w:shd w:val="clear" w:color="auto" w:fill="FFFFFF"/>
        <w:spacing w:line="360" w:lineRule="auto"/>
        <w:ind w:firstLine="420" w:firstLineChars="200"/>
        <w:jc w:val="left"/>
        <w:rPr>
          <w:rFonts w:hint="eastAsia" w:ascii="宋体" w:hAnsi="宋体" w:cs="宋体"/>
          <w:bCs/>
          <w:color w:val="auto"/>
          <w:kern w:val="0"/>
          <w:szCs w:val="21"/>
        </w:rPr>
      </w:pPr>
      <w:r>
        <w:rPr>
          <w:rFonts w:hint="eastAsia" w:ascii="宋体" w:hAnsi="宋体" w:cs="宋体"/>
          <w:color w:val="auto"/>
          <w:szCs w:val="21"/>
        </w:rPr>
        <w:t>无。</w:t>
      </w:r>
      <w:r>
        <w:rPr>
          <w:rFonts w:hint="eastAsia" w:ascii="宋体" w:hAnsi="宋体" w:cs="宋体"/>
          <w:b/>
          <w:bCs/>
          <w:color w:val="auto"/>
          <w:sz w:val="32"/>
          <w:szCs w:val="32"/>
        </w:rPr>
        <w:br w:type="page"/>
      </w:r>
    </w:p>
    <w:p w14:paraId="5E915E60">
      <w:pPr>
        <w:spacing w:line="360" w:lineRule="auto"/>
        <w:jc w:val="center"/>
        <w:outlineLvl w:val="0"/>
        <w:rPr>
          <w:rFonts w:hint="eastAsia" w:ascii="宋体" w:hAnsi="宋体" w:cs="宋体"/>
          <w:b/>
          <w:bCs/>
          <w:color w:val="auto"/>
          <w:sz w:val="32"/>
          <w:szCs w:val="32"/>
        </w:rPr>
      </w:pPr>
      <w:bookmarkStart w:id="1229" w:name="_Toc489256110"/>
      <w:r>
        <w:rPr>
          <w:rFonts w:hint="eastAsia" w:ascii="宋体" w:hAnsi="宋体" w:cs="宋体"/>
          <w:b/>
          <w:bCs/>
          <w:color w:val="auto"/>
          <w:sz w:val="32"/>
          <w:szCs w:val="32"/>
        </w:rPr>
        <w:t>第六章 评审办法（综合评分法）</w:t>
      </w:r>
      <w:bookmarkEnd w:id="1229"/>
    </w:p>
    <w:p w14:paraId="09DE7A9F">
      <w:pPr>
        <w:pStyle w:val="4"/>
        <w:spacing w:line="360" w:lineRule="auto"/>
        <w:rPr>
          <w:rFonts w:hint="eastAsia" w:ascii="宋体" w:hAnsi="宋体" w:cs="宋体"/>
          <w:b w:val="0"/>
          <w:bCs/>
          <w:color w:val="auto"/>
          <w:szCs w:val="28"/>
        </w:rPr>
      </w:pPr>
      <w:bookmarkStart w:id="1230" w:name="_Toc447640828"/>
      <w:bookmarkStart w:id="1231" w:name="_Toc388013369"/>
      <w:bookmarkStart w:id="1232" w:name="_Toc801463784"/>
      <w:bookmarkStart w:id="1233" w:name="_Toc37603109"/>
      <w:bookmarkStart w:id="1234" w:name="_Toc110405174"/>
      <w:bookmarkStart w:id="1235" w:name="_Toc302769231"/>
      <w:bookmarkStart w:id="1236" w:name="_Toc87543857"/>
      <w:bookmarkStart w:id="1237" w:name="_Toc84356289"/>
      <w:bookmarkStart w:id="1238" w:name="_Toc87538406"/>
      <w:bookmarkStart w:id="1239" w:name="_Toc388013682"/>
      <w:bookmarkStart w:id="1240" w:name="_Toc388014371"/>
      <w:bookmarkStart w:id="1241" w:name="_Toc42205031"/>
      <w:bookmarkStart w:id="1242" w:name="_Toc9290724"/>
      <w:bookmarkStart w:id="1243" w:name="_Toc83753929"/>
      <w:r>
        <w:rPr>
          <w:rFonts w:hint="eastAsia" w:ascii="宋体" w:hAnsi="宋体" w:cs="宋体"/>
          <w:b w:val="0"/>
          <w:bCs/>
          <w:color w:val="auto"/>
          <w:szCs w:val="28"/>
        </w:rPr>
        <w:t>一、评审办法前附表</w:t>
      </w:r>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p>
    <w:tbl>
      <w:tblPr>
        <w:tblStyle w:val="55"/>
        <w:tblW w:w="9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
        <w:gridCol w:w="1610"/>
        <w:gridCol w:w="142"/>
        <w:gridCol w:w="2409"/>
        <w:gridCol w:w="3279"/>
        <w:gridCol w:w="888"/>
      </w:tblGrid>
      <w:tr w14:paraId="178B1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937" w:type="dxa"/>
            <w:vAlign w:val="center"/>
          </w:tcPr>
          <w:p w14:paraId="3712CEE6">
            <w:pPr>
              <w:autoSpaceDE w:val="0"/>
              <w:autoSpaceDN w:val="0"/>
              <w:adjustRightInd w:val="0"/>
              <w:jc w:val="center"/>
              <w:rPr>
                <w:rFonts w:hint="eastAsia" w:ascii="宋体" w:hAnsi="宋体" w:cs="宋体"/>
                <w:b/>
                <w:color w:val="auto"/>
                <w:spacing w:val="1"/>
                <w:kern w:val="0"/>
                <w:szCs w:val="21"/>
              </w:rPr>
            </w:pPr>
            <w:r>
              <w:rPr>
                <w:rFonts w:hint="eastAsia" w:ascii="宋体" w:hAnsi="宋体" w:cs="宋体"/>
                <w:b/>
                <w:color w:val="auto"/>
                <w:spacing w:val="1"/>
                <w:kern w:val="0"/>
                <w:szCs w:val="21"/>
              </w:rPr>
              <w:t>条款号</w:t>
            </w:r>
          </w:p>
        </w:tc>
        <w:tc>
          <w:tcPr>
            <w:tcW w:w="1752" w:type="dxa"/>
            <w:gridSpan w:val="2"/>
            <w:vAlign w:val="center"/>
          </w:tcPr>
          <w:p w14:paraId="67981CAD">
            <w:pPr>
              <w:autoSpaceDE w:val="0"/>
              <w:autoSpaceDN w:val="0"/>
              <w:adjustRightInd w:val="0"/>
              <w:jc w:val="center"/>
              <w:rPr>
                <w:rFonts w:hint="eastAsia" w:ascii="宋体" w:hAnsi="宋体" w:cs="宋体"/>
                <w:b/>
                <w:color w:val="auto"/>
                <w:szCs w:val="21"/>
              </w:rPr>
            </w:pPr>
            <w:r>
              <w:rPr>
                <w:rFonts w:hint="eastAsia" w:ascii="宋体" w:hAnsi="宋体" w:cs="宋体"/>
                <w:b/>
                <w:color w:val="auto"/>
                <w:szCs w:val="21"/>
              </w:rPr>
              <w:t>评审因素</w:t>
            </w:r>
          </w:p>
        </w:tc>
        <w:tc>
          <w:tcPr>
            <w:tcW w:w="2409" w:type="dxa"/>
            <w:vAlign w:val="center"/>
          </w:tcPr>
          <w:p w14:paraId="519111DB">
            <w:pPr>
              <w:autoSpaceDE w:val="0"/>
              <w:autoSpaceDN w:val="0"/>
              <w:adjustRightInd w:val="0"/>
              <w:jc w:val="center"/>
              <w:rPr>
                <w:rFonts w:hint="eastAsia" w:ascii="宋体" w:hAnsi="宋体" w:cs="宋体"/>
                <w:b/>
                <w:color w:val="auto"/>
                <w:szCs w:val="21"/>
              </w:rPr>
            </w:pPr>
            <w:r>
              <w:rPr>
                <w:rFonts w:hint="eastAsia" w:ascii="宋体" w:hAnsi="宋体" w:cs="宋体"/>
                <w:b/>
                <w:color w:val="auto"/>
                <w:szCs w:val="21"/>
              </w:rPr>
              <w:t>评审内容</w:t>
            </w:r>
          </w:p>
        </w:tc>
        <w:tc>
          <w:tcPr>
            <w:tcW w:w="4167" w:type="dxa"/>
            <w:gridSpan w:val="2"/>
            <w:vAlign w:val="center"/>
          </w:tcPr>
          <w:p w14:paraId="4566E5CF">
            <w:pPr>
              <w:autoSpaceDE w:val="0"/>
              <w:autoSpaceDN w:val="0"/>
              <w:adjustRightInd w:val="0"/>
              <w:jc w:val="center"/>
              <w:rPr>
                <w:rFonts w:hint="eastAsia" w:ascii="宋体" w:hAnsi="宋体" w:cs="宋体"/>
                <w:b/>
                <w:color w:val="auto"/>
                <w:szCs w:val="21"/>
              </w:rPr>
            </w:pPr>
            <w:r>
              <w:rPr>
                <w:rFonts w:hint="eastAsia" w:ascii="宋体" w:hAnsi="宋体" w:cs="宋体"/>
                <w:b/>
                <w:color w:val="auto"/>
                <w:spacing w:val="9"/>
                <w:szCs w:val="21"/>
              </w:rPr>
              <w:t>评审标准</w:t>
            </w:r>
          </w:p>
        </w:tc>
      </w:tr>
      <w:tr w14:paraId="29AA2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7" w:type="dxa"/>
            <w:vMerge w:val="restart"/>
            <w:vAlign w:val="center"/>
          </w:tcPr>
          <w:p w14:paraId="4EADCD63">
            <w:pPr>
              <w:snapToGrid w:val="0"/>
              <w:spacing w:line="360" w:lineRule="auto"/>
              <w:jc w:val="center"/>
              <w:rPr>
                <w:rFonts w:hint="eastAsia" w:ascii="宋体" w:hAnsi="宋体" w:cs="宋体"/>
                <w:color w:val="auto"/>
                <w:szCs w:val="21"/>
              </w:rPr>
            </w:pPr>
            <w:r>
              <w:rPr>
                <w:rFonts w:hint="eastAsia" w:ascii="宋体" w:hAnsi="宋体" w:cs="宋体"/>
                <w:color w:val="auto"/>
                <w:szCs w:val="21"/>
              </w:rPr>
              <w:t>2.1.1</w:t>
            </w:r>
          </w:p>
        </w:tc>
        <w:tc>
          <w:tcPr>
            <w:tcW w:w="1752" w:type="dxa"/>
            <w:gridSpan w:val="2"/>
            <w:vMerge w:val="restart"/>
            <w:vAlign w:val="center"/>
          </w:tcPr>
          <w:p w14:paraId="7CAD39E2">
            <w:pPr>
              <w:snapToGrid w:val="0"/>
              <w:spacing w:line="276" w:lineRule="auto"/>
              <w:jc w:val="center"/>
              <w:rPr>
                <w:rFonts w:hint="eastAsia" w:ascii="宋体" w:hAnsi="宋体" w:cs="宋体"/>
                <w:color w:val="auto"/>
                <w:szCs w:val="21"/>
              </w:rPr>
            </w:pPr>
            <w:r>
              <w:rPr>
                <w:rFonts w:hint="eastAsia" w:ascii="宋体" w:hAnsi="宋体" w:cs="宋体"/>
                <w:color w:val="auto"/>
                <w:szCs w:val="21"/>
              </w:rPr>
              <w:t>资格审查</w:t>
            </w:r>
          </w:p>
          <w:p w14:paraId="1C929B06">
            <w:pPr>
              <w:snapToGrid w:val="0"/>
              <w:spacing w:line="276" w:lineRule="auto"/>
              <w:jc w:val="center"/>
              <w:rPr>
                <w:rFonts w:hint="eastAsia" w:ascii="宋体" w:hAnsi="宋体" w:cs="宋体"/>
                <w:color w:val="auto"/>
                <w:szCs w:val="21"/>
              </w:rPr>
            </w:pPr>
            <w:r>
              <w:rPr>
                <w:rFonts w:hint="eastAsia" w:ascii="宋体" w:hAnsi="宋体" w:cs="宋体"/>
                <w:color w:val="auto"/>
                <w:szCs w:val="21"/>
              </w:rPr>
              <w:t>标准</w:t>
            </w:r>
          </w:p>
        </w:tc>
        <w:tc>
          <w:tcPr>
            <w:tcW w:w="2409" w:type="dxa"/>
            <w:vAlign w:val="center"/>
          </w:tcPr>
          <w:p w14:paraId="3F51FBD6">
            <w:pPr>
              <w:spacing w:line="276" w:lineRule="auto"/>
              <w:rPr>
                <w:rFonts w:hint="eastAsia" w:ascii="宋体" w:hAnsi="宋体" w:cs="宋体"/>
                <w:color w:val="auto"/>
                <w:szCs w:val="21"/>
              </w:rPr>
            </w:pPr>
            <w:r>
              <w:rPr>
                <w:rFonts w:hint="eastAsia" w:ascii="宋体" w:hAnsi="宋体" w:cs="宋体"/>
                <w:color w:val="auto"/>
                <w:szCs w:val="21"/>
              </w:rPr>
              <w:t>具有独立承担民事责任的能力</w:t>
            </w:r>
          </w:p>
        </w:tc>
        <w:tc>
          <w:tcPr>
            <w:tcW w:w="4167" w:type="dxa"/>
            <w:gridSpan w:val="2"/>
            <w:vAlign w:val="center"/>
          </w:tcPr>
          <w:p w14:paraId="47372598">
            <w:pPr>
              <w:spacing w:line="276" w:lineRule="auto"/>
              <w:rPr>
                <w:rFonts w:hint="eastAsia" w:ascii="宋体" w:hAnsi="宋体" w:cs="宋体"/>
                <w:color w:val="auto"/>
                <w:szCs w:val="21"/>
              </w:rPr>
            </w:pPr>
            <w:r>
              <w:rPr>
                <w:rFonts w:hint="eastAsia" w:ascii="宋体" w:hAnsi="宋体" w:cs="宋体"/>
                <w:color w:val="auto"/>
                <w:szCs w:val="21"/>
              </w:rPr>
              <w:t>符合第二章“供应商须知前附表”第1.4.1项规定</w:t>
            </w:r>
          </w:p>
        </w:tc>
      </w:tr>
      <w:tr w14:paraId="0C677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jc w:val="center"/>
        </w:trPr>
        <w:tc>
          <w:tcPr>
            <w:tcW w:w="937" w:type="dxa"/>
            <w:vMerge w:val="continue"/>
            <w:vAlign w:val="center"/>
          </w:tcPr>
          <w:p w14:paraId="7F523AC9">
            <w:pPr>
              <w:snapToGrid w:val="0"/>
              <w:spacing w:line="360" w:lineRule="auto"/>
              <w:jc w:val="center"/>
              <w:rPr>
                <w:rFonts w:hint="eastAsia" w:ascii="宋体" w:hAnsi="宋体" w:cs="宋体"/>
                <w:color w:val="auto"/>
                <w:szCs w:val="21"/>
              </w:rPr>
            </w:pPr>
          </w:p>
        </w:tc>
        <w:tc>
          <w:tcPr>
            <w:tcW w:w="1752" w:type="dxa"/>
            <w:gridSpan w:val="2"/>
            <w:vMerge w:val="continue"/>
            <w:vAlign w:val="center"/>
          </w:tcPr>
          <w:p w14:paraId="10A63652">
            <w:pPr>
              <w:snapToGrid w:val="0"/>
              <w:spacing w:line="276" w:lineRule="auto"/>
              <w:jc w:val="center"/>
              <w:rPr>
                <w:rFonts w:hint="eastAsia" w:ascii="宋体" w:hAnsi="宋体" w:cs="宋体"/>
                <w:color w:val="auto"/>
                <w:szCs w:val="21"/>
              </w:rPr>
            </w:pPr>
          </w:p>
        </w:tc>
        <w:tc>
          <w:tcPr>
            <w:tcW w:w="2409" w:type="dxa"/>
            <w:vAlign w:val="center"/>
          </w:tcPr>
          <w:p w14:paraId="537EA0A9">
            <w:pPr>
              <w:spacing w:line="276" w:lineRule="auto"/>
              <w:rPr>
                <w:rFonts w:hint="eastAsia" w:ascii="宋体" w:hAnsi="宋体" w:cs="宋体"/>
                <w:color w:val="auto"/>
                <w:szCs w:val="21"/>
              </w:rPr>
            </w:pPr>
            <w:r>
              <w:rPr>
                <w:rFonts w:hint="eastAsia" w:ascii="宋体" w:hAnsi="宋体" w:cs="宋体"/>
                <w:color w:val="auto"/>
                <w:szCs w:val="21"/>
              </w:rPr>
              <w:t>具有良好的商业信誉和健全的财务会计制度</w:t>
            </w:r>
          </w:p>
        </w:tc>
        <w:tc>
          <w:tcPr>
            <w:tcW w:w="4167" w:type="dxa"/>
            <w:gridSpan w:val="2"/>
            <w:vAlign w:val="center"/>
          </w:tcPr>
          <w:p w14:paraId="3BE64810">
            <w:pPr>
              <w:spacing w:line="276" w:lineRule="auto"/>
              <w:rPr>
                <w:rFonts w:hint="eastAsia" w:ascii="宋体" w:hAnsi="宋体" w:cs="宋体"/>
                <w:color w:val="auto"/>
                <w:szCs w:val="21"/>
              </w:rPr>
            </w:pPr>
            <w:r>
              <w:rPr>
                <w:rFonts w:hint="eastAsia" w:ascii="宋体" w:hAnsi="宋体" w:cs="宋体"/>
                <w:color w:val="auto"/>
                <w:szCs w:val="21"/>
              </w:rPr>
              <w:t>符合第二章“供应商须知前附表”第1.4.1项规定</w:t>
            </w:r>
          </w:p>
        </w:tc>
      </w:tr>
      <w:tr w14:paraId="55EC0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937" w:type="dxa"/>
            <w:vMerge w:val="continue"/>
            <w:vAlign w:val="center"/>
          </w:tcPr>
          <w:p w14:paraId="7775F286">
            <w:pPr>
              <w:snapToGrid w:val="0"/>
              <w:spacing w:line="360" w:lineRule="auto"/>
              <w:jc w:val="center"/>
              <w:rPr>
                <w:rFonts w:hint="eastAsia" w:ascii="宋体" w:hAnsi="宋体" w:cs="宋体"/>
                <w:color w:val="auto"/>
                <w:szCs w:val="21"/>
              </w:rPr>
            </w:pPr>
          </w:p>
        </w:tc>
        <w:tc>
          <w:tcPr>
            <w:tcW w:w="1752" w:type="dxa"/>
            <w:gridSpan w:val="2"/>
            <w:vMerge w:val="continue"/>
            <w:vAlign w:val="center"/>
          </w:tcPr>
          <w:p w14:paraId="02E5FFC9">
            <w:pPr>
              <w:snapToGrid w:val="0"/>
              <w:spacing w:line="276" w:lineRule="auto"/>
              <w:jc w:val="center"/>
              <w:rPr>
                <w:rFonts w:hint="eastAsia" w:ascii="宋体" w:hAnsi="宋体" w:cs="宋体"/>
                <w:color w:val="auto"/>
                <w:szCs w:val="21"/>
              </w:rPr>
            </w:pPr>
          </w:p>
        </w:tc>
        <w:tc>
          <w:tcPr>
            <w:tcW w:w="2409" w:type="dxa"/>
            <w:vAlign w:val="center"/>
          </w:tcPr>
          <w:p w14:paraId="4C92744C">
            <w:pPr>
              <w:spacing w:line="276" w:lineRule="auto"/>
              <w:rPr>
                <w:rFonts w:hint="eastAsia" w:ascii="宋体" w:hAnsi="宋体" w:cs="宋体"/>
                <w:color w:val="auto"/>
                <w:szCs w:val="21"/>
              </w:rPr>
            </w:pPr>
            <w:r>
              <w:rPr>
                <w:rFonts w:hint="eastAsia" w:ascii="宋体" w:hAnsi="宋体" w:cs="宋体"/>
                <w:color w:val="auto"/>
                <w:szCs w:val="21"/>
              </w:rPr>
              <w:t>履行合同所必需的设备和专业技术能力</w:t>
            </w:r>
          </w:p>
        </w:tc>
        <w:tc>
          <w:tcPr>
            <w:tcW w:w="4167" w:type="dxa"/>
            <w:gridSpan w:val="2"/>
            <w:vAlign w:val="center"/>
          </w:tcPr>
          <w:p w14:paraId="29845CE2">
            <w:pPr>
              <w:spacing w:line="276" w:lineRule="auto"/>
              <w:rPr>
                <w:rFonts w:hint="eastAsia" w:ascii="宋体" w:hAnsi="宋体" w:cs="宋体"/>
                <w:color w:val="auto"/>
                <w:szCs w:val="21"/>
              </w:rPr>
            </w:pPr>
            <w:r>
              <w:rPr>
                <w:rFonts w:hint="eastAsia" w:ascii="宋体" w:hAnsi="宋体" w:cs="宋体"/>
                <w:color w:val="auto"/>
                <w:szCs w:val="21"/>
              </w:rPr>
              <w:t>符合第二章“供应商须知前附表”第1.4.1项规定</w:t>
            </w:r>
          </w:p>
        </w:tc>
      </w:tr>
      <w:tr w14:paraId="0C5D6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jc w:val="center"/>
        </w:trPr>
        <w:tc>
          <w:tcPr>
            <w:tcW w:w="937" w:type="dxa"/>
            <w:vMerge w:val="continue"/>
            <w:vAlign w:val="center"/>
          </w:tcPr>
          <w:p w14:paraId="5B2F3422">
            <w:pPr>
              <w:snapToGrid w:val="0"/>
              <w:spacing w:line="360" w:lineRule="auto"/>
              <w:jc w:val="center"/>
              <w:rPr>
                <w:rFonts w:hint="eastAsia" w:ascii="宋体" w:hAnsi="宋体" w:cs="宋体"/>
                <w:color w:val="auto"/>
                <w:szCs w:val="21"/>
              </w:rPr>
            </w:pPr>
          </w:p>
        </w:tc>
        <w:tc>
          <w:tcPr>
            <w:tcW w:w="1752" w:type="dxa"/>
            <w:gridSpan w:val="2"/>
            <w:vMerge w:val="continue"/>
            <w:vAlign w:val="center"/>
          </w:tcPr>
          <w:p w14:paraId="3CEFDAE9">
            <w:pPr>
              <w:snapToGrid w:val="0"/>
              <w:spacing w:line="276" w:lineRule="auto"/>
              <w:jc w:val="center"/>
              <w:rPr>
                <w:rFonts w:hint="eastAsia" w:ascii="宋体" w:hAnsi="宋体" w:cs="宋体"/>
                <w:color w:val="auto"/>
                <w:szCs w:val="21"/>
              </w:rPr>
            </w:pPr>
          </w:p>
        </w:tc>
        <w:tc>
          <w:tcPr>
            <w:tcW w:w="2409" w:type="dxa"/>
            <w:vAlign w:val="center"/>
          </w:tcPr>
          <w:p w14:paraId="58ADFF53">
            <w:pPr>
              <w:spacing w:line="276" w:lineRule="auto"/>
              <w:rPr>
                <w:rFonts w:hint="eastAsia" w:ascii="宋体" w:hAnsi="宋体" w:cs="宋体"/>
                <w:color w:val="auto"/>
                <w:szCs w:val="21"/>
              </w:rPr>
            </w:pPr>
            <w:r>
              <w:rPr>
                <w:rFonts w:hint="eastAsia" w:ascii="宋体" w:hAnsi="宋体" w:cs="宋体"/>
                <w:color w:val="auto"/>
                <w:szCs w:val="21"/>
              </w:rPr>
              <w:t>有依法缴纳税收和社会保障资金的良好记录</w:t>
            </w:r>
          </w:p>
        </w:tc>
        <w:tc>
          <w:tcPr>
            <w:tcW w:w="4167" w:type="dxa"/>
            <w:gridSpan w:val="2"/>
            <w:vAlign w:val="center"/>
          </w:tcPr>
          <w:p w14:paraId="2628F576">
            <w:pPr>
              <w:spacing w:line="276" w:lineRule="auto"/>
              <w:rPr>
                <w:rFonts w:hint="eastAsia" w:ascii="宋体" w:hAnsi="宋体" w:cs="宋体"/>
                <w:color w:val="auto"/>
                <w:szCs w:val="21"/>
              </w:rPr>
            </w:pPr>
            <w:r>
              <w:rPr>
                <w:rFonts w:hint="eastAsia" w:ascii="宋体" w:hAnsi="宋体" w:cs="宋体"/>
                <w:color w:val="auto"/>
                <w:szCs w:val="21"/>
              </w:rPr>
              <w:t>符合第二章“供应商须知前附表”第1.4.1项规定</w:t>
            </w:r>
          </w:p>
        </w:tc>
      </w:tr>
      <w:tr w14:paraId="70C5C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937" w:type="dxa"/>
            <w:vMerge w:val="continue"/>
            <w:vAlign w:val="center"/>
          </w:tcPr>
          <w:p w14:paraId="7784E3F2">
            <w:pPr>
              <w:snapToGrid w:val="0"/>
              <w:spacing w:line="360" w:lineRule="auto"/>
              <w:jc w:val="center"/>
              <w:rPr>
                <w:rFonts w:hint="eastAsia" w:ascii="宋体" w:hAnsi="宋体" w:cs="宋体"/>
                <w:color w:val="auto"/>
                <w:szCs w:val="21"/>
              </w:rPr>
            </w:pPr>
          </w:p>
        </w:tc>
        <w:tc>
          <w:tcPr>
            <w:tcW w:w="1752" w:type="dxa"/>
            <w:gridSpan w:val="2"/>
            <w:vMerge w:val="continue"/>
            <w:vAlign w:val="center"/>
          </w:tcPr>
          <w:p w14:paraId="4029B379">
            <w:pPr>
              <w:snapToGrid w:val="0"/>
              <w:spacing w:line="276" w:lineRule="auto"/>
              <w:jc w:val="center"/>
              <w:rPr>
                <w:rFonts w:hint="eastAsia" w:ascii="宋体" w:hAnsi="宋体" w:cs="宋体"/>
                <w:color w:val="auto"/>
                <w:szCs w:val="21"/>
              </w:rPr>
            </w:pPr>
          </w:p>
        </w:tc>
        <w:tc>
          <w:tcPr>
            <w:tcW w:w="2409" w:type="dxa"/>
            <w:vAlign w:val="center"/>
          </w:tcPr>
          <w:p w14:paraId="1AD70CD7">
            <w:pPr>
              <w:spacing w:line="276" w:lineRule="auto"/>
              <w:rPr>
                <w:rFonts w:hint="eastAsia" w:ascii="宋体" w:hAnsi="宋体" w:cs="宋体"/>
                <w:color w:val="auto"/>
                <w:szCs w:val="21"/>
              </w:rPr>
            </w:pPr>
            <w:r>
              <w:rPr>
                <w:rFonts w:hint="eastAsia" w:ascii="宋体" w:hAnsi="宋体" w:cs="宋体"/>
                <w:color w:val="auto"/>
                <w:szCs w:val="21"/>
              </w:rPr>
              <w:t>参加政府采购活动前三年内，在经营活动中没有重大违法记录</w:t>
            </w:r>
          </w:p>
        </w:tc>
        <w:tc>
          <w:tcPr>
            <w:tcW w:w="4167" w:type="dxa"/>
            <w:gridSpan w:val="2"/>
            <w:vAlign w:val="center"/>
          </w:tcPr>
          <w:p w14:paraId="47144C74">
            <w:pPr>
              <w:spacing w:line="276" w:lineRule="auto"/>
              <w:rPr>
                <w:rFonts w:hint="eastAsia" w:ascii="宋体" w:hAnsi="宋体" w:cs="宋体"/>
                <w:color w:val="auto"/>
                <w:szCs w:val="21"/>
              </w:rPr>
            </w:pPr>
            <w:r>
              <w:rPr>
                <w:rFonts w:hint="eastAsia" w:ascii="宋体" w:hAnsi="宋体" w:cs="宋体"/>
                <w:color w:val="auto"/>
                <w:szCs w:val="21"/>
              </w:rPr>
              <w:t>符合第二章“供应商须知前附表”第1.4.1项规定</w:t>
            </w:r>
          </w:p>
        </w:tc>
      </w:tr>
      <w:tr w14:paraId="3883E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937" w:type="dxa"/>
            <w:vMerge w:val="continue"/>
            <w:vAlign w:val="center"/>
          </w:tcPr>
          <w:p w14:paraId="6EA5A4C1">
            <w:pPr>
              <w:snapToGrid w:val="0"/>
              <w:spacing w:line="360" w:lineRule="auto"/>
              <w:jc w:val="center"/>
              <w:rPr>
                <w:rFonts w:hint="eastAsia" w:ascii="宋体" w:hAnsi="宋体" w:cs="宋体"/>
                <w:color w:val="auto"/>
                <w:szCs w:val="21"/>
              </w:rPr>
            </w:pPr>
          </w:p>
        </w:tc>
        <w:tc>
          <w:tcPr>
            <w:tcW w:w="1752" w:type="dxa"/>
            <w:gridSpan w:val="2"/>
            <w:vMerge w:val="continue"/>
            <w:vAlign w:val="center"/>
          </w:tcPr>
          <w:p w14:paraId="63AE66D7">
            <w:pPr>
              <w:snapToGrid w:val="0"/>
              <w:spacing w:line="276" w:lineRule="auto"/>
              <w:jc w:val="center"/>
              <w:rPr>
                <w:rFonts w:hint="eastAsia" w:ascii="宋体" w:hAnsi="宋体" w:cs="宋体"/>
                <w:color w:val="auto"/>
                <w:szCs w:val="21"/>
              </w:rPr>
            </w:pPr>
          </w:p>
        </w:tc>
        <w:tc>
          <w:tcPr>
            <w:tcW w:w="2409" w:type="dxa"/>
            <w:vAlign w:val="center"/>
          </w:tcPr>
          <w:p w14:paraId="34AC2125">
            <w:pPr>
              <w:spacing w:line="276" w:lineRule="auto"/>
              <w:rPr>
                <w:rFonts w:hint="eastAsia" w:ascii="宋体" w:hAnsi="宋体" w:cs="宋体"/>
                <w:color w:val="auto"/>
                <w:szCs w:val="21"/>
              </w:rPr>
            </w:pPr>
            <w:r>
              <w:rPr>
                <w:rFonts w:hint="eastAsia" w:ascii="宋体" w:hAnsi="宋体"/>
                <w:color w:val="auto"/>
                <w:szCs w:val="21"/>
              </w:rPr>
              <w:t>联合体磋商</w:t>
            </w:r>
          </w:p>
        </w:tc>
        <w:tc>
          <w:tcPr>
            <w:tcW w:w="4167" w:type="dxa"/>
            <w:gridSpan w:val="2"/>
            <w:vAlign w:val="center"/>
          </w:tcPr>
          <w:p w14:paraId="4A805684">
            <w:pPr>
              <w:spacing w:line="276" w:lineRule="auto"/>
              <w:rPr>
                <w:rFonts w:hint="eastAsia" w:ascii="宋体" w:hAnsi="宋体" w:cs="宋体"/>
                <w:color w:val="auto"/>
                <w:szCs w:val="21"/>
              </w:rPr>
            </w:pPr>
            <w:r>
              <w:rPr>
                <w:rFonts w:hint="eastAsia" w:ascii="宋体" w:hAnsi="宋体"/>
                <w:color w:val="auto"/>
                <w:szCs w:val="21"/>
              </w:rPr>
              <w:t>符合第二章“供应商须知前附表”第1.4.3项规定</w:t>
            </w:r>
          </w:p>
        </w:tc>
      </w:tr>
      <w:tr w14:paraId="35EB0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937" w:type="dxa"/>
            <w:vMerge w:val="continue"/>
            <w:vAlign w:val="center"/>
          </w:tcPr>
          <w:p w14:paraId="37B9EE92">
            <w:pPr>
              <w:snapToGrid w:val="0"/>
              <w:spacing w:line="360" w:lineRule="auto"/>
              <w:jc w:val="center"/>
              <w:rPr>
                <w:rFonts w:hint="eastAsia" w:ascii="宋体" w:hAnsi="宋体" w:cs="宋体"/>
                <w:color w:val="auto"/>
                <w:szCs w:val="21"/>
              </w:rPr>
            </w:pPr>
          </w:p>
        </w:tc>
        <w:tc>
          <w:tcPr>
            <w:tcW w:w="1752" w:type="dxa"/>
            <w:gridSpan w:val="2"/>
            <w:vMerge w:val="continue"/>
            <w:vAlign w:val="center"/>
          </w:tcPr>
          <w:p w14:paraId="7302372B">
            <w:pPr>
              <w:snapToGrid w:val="0"/>
              <w:spacing w:line="276" w:lineRule="auto"/>
              <w:jc w:val="center"/>
              <w:rPr>
                <w:rFonts w:hint="eastAsia" w:ascii="宋体" w:hAnsi="宋体" w:cs="宋体"/>
                <w:color w:val="auto"/>
                <w:szCs w:val="21"/>
              </w:rPr>
            </w:pPr>
          </w:p>
        </w:tc>
        <w:tc>
          <w:tcPr>
            <w:tcW w:w="2409" w:type="dxa"/>
            <w:vAlign w:val="center"/>
          </w:tcPr>
          <w:p w14:paraId="370B6E8C">
            <w:pPr>
              <w:spacing w:line="276" w:lineRule="auto"/>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采购政策</w:t>
            </w:r>
          </w:p>
        </w:tc>
        <w:tc>
          <w:tcPr>
            <w:tcW w:w="4167" w:type="dxa"/>
            <w:gridSpan w:val="2"/>
            <w:vAlign w:val="center"/>
          </w:tcPr>
          <w:p w14:paraId="4C9CC980">
            <w:pPr>
              <w:spacing w:line="276" w:lineRule="auto"/>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请根据要求单独上传《中小企业声明函》，格式以采购文件要求为准</w:t>
            </w:r>
          </w:p>
        </w:tc>
      </w:tr>
      <w:tr w14:paraId="58DF3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7" w:type="dxa"/>
            <w:vMerge w:val="restart"/>
            <w:vAlign w:val="center"/>
          </w:tcPr>
          <w:p w14:paraId="14BC3C2B">
            <w:pPr>
              <w:snapToGrid w:val="0"/>
              <w:spacing w:line="360" w:lineRule="auto"/>
              <w:jc w:val="center"/>
              <w:rPr>
                <w:rFonts w:hint="eastAsia" w:ascii="宋体" w:hAnsi="宋体" w:cs="宋体"/>
                <w:color w:val="auto"/>
                <w:szCs w:val="21"/>
              </w:rPr>
            </w:pPr>
            <w:r>
              <w:rPr>
                <w:rFonts w:hint="eastAsia" w:ascii="宋体" w:hAnsi="宋体" w:cs="宋体"/>
                <w:color w:val="auto"/>
                <w:szCs w:val="21"/>
              </w:rPr>
              <w:t>2.1.2</w:t>
            </w:r>
          </w:p>
        </w:tc>
        <w:tc>
          <w:tcPr>
            <w:tcW w:w="1752" w:type="dxa"/>
            <w:gridSpan w:val="2"/>
            <w:vMerge w:val="restart"/>
            <w:vAlign w:val="center"/>
          </w:tcPr>
          <w:p w14:paraId="145D05DB">
            <w:pPr>
              <w:snapToGrid w:val="0"/>
              <w:spacing w:line="276" w:lineRule="auto"/>
              <w:jc w:val="center"/>
              <w:rPr>
                <w:rFonts w:hint="eastAsia" w:ascii="宋体" w:hAnsi="宋体" w:cs="宋体"/>
                <w:color w:val="auto"/>
                <w:szCs w:val="21"/>
              </w:rPr>
            </w:pPr>
            <w:r>
              <w:rPr>
                <w:rFonts w:hint="eastAsia" w:ascii="宋体" w:hAnsi="宋体" w:cs="宋体"/>
                <w:color w:val="auto"/>
                <w:szCs w:val="21"/>
              </w:rPr>
              <w:t>符合性审查</w:t>
            </w:r>
          </w:p>
          <w:p w14:paraId="4FB659EE">
            <w:pPr>
              <w:snapToGrid w:val="0"/>
              <w:spacing w:line="276" w:lineRule="auto"/>
              <w:jc w:val="center"/>
              <w:rPr>
                <w:rFonts w:hint="eastAsia" w:ascii="宋体" w:hAnsi="宋体" w:cs="宋体"/>
                <w:color w:val="auto"/>
                <w:szCs w:val="21"/>
              </w:rPr>
            </w:pPr>
            <w:r>
              <w:rPr>
                <w:rFonts w:hint="eastAsia" w:ascii="宋体" w:hAnsi="宋体" w:cs="宋体"/>
                <w:color w:val="auto"/>
                <w:szCs w:val="21"/>
              </w:rPr>
              <w:t>标准</w:t>
            </w:r>
          </w:p>
        </w:tc>
        <w:tc>
          <w:tcPr>
            <w:tcW w:w="2409" w:type="dxa"/>
            <w:vAlign w:val="center"/>
          </w:tcPr>
          <w:p w14:paraId="21A4E238">
            <w:pPr>
              <w:spacing w:line="276" w:lineRule="auto"/>
              <w:rPr>
                <w:rFonts w:hint="eastAsia" w:ascii="宋体" w:hAnsi="宋体" w:cs="宋体"/>
                <w:color w:val="auto"/>
                <w:szCs w:val="21"/>
              </w:rPr>
            </w:pPr>
            <w:r>
              <w:rPr>
                <w:rFonts w:hint="eastAsia" w:ascii="宋体" w:hAnsi="宋体" w:cs="宋体"/>
                <w:color w:val="auto"/>
                <w:szCs w:val="21"/>
              </w:rPr>
              <w:t>响应文件封面</w:t>
            </w:r>
          </w:p>
        </w:tc>
        <w:tc>
          <w:tcPr>
            <w:tcW w:w="4167" w:type="dxa"/>
            <w:gridSpan w:val="2"/>
            <w:vAlign w:val="center"/>
          </w:tcPr>
          <w:p w14:paraId="4D874141">
            <w:pPr>
              <w:spacing w:line="276" w:lineRule="auto"/>
              <w:rPr>
                <w:rFonts w:hint="eastAsia" w:ascii="宋体" w:hAnsi="宋体" w:cs="宋体"/>
                <w:color w:val="auto"/>
                <w:szCs w:val="21"/>
              </w:rPr>
            </w:pPr>
            <w:r>
              <w:rPr>
                <w:rFonts w:hint="eastAsia" w:ascii="宋体" w:hAnsi="宋体" w:cs="宋体"/>
                <w:color w:val="auto"/>
                <w:szCs w:val="21"/>
              </w:rPr>
              <w:t>符合第四章“响应文件格式”要求</w:t>
            </w:r>
          </w:p>
        </w:tc>
      </w:tr>
      <w:tr w14:paraId="5B4E2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7" w:type="dxa"/>
            <w:vMerge w:val="continue"/>
            <w:vAlign w:val="center"/>
          </w:tcPr>
          <w:p w14:paraId="0719EA3D">
            <w:pPr>
              <w:snapToGrid w:val="0"/>
              <w:spacing w:line="360" w:lineRule="auto"/>
              <w:jc w:val="center"/>
              <w:rPr>
                <w:rFonts w:hint="eastAsia" w:ascii="宋体" w:hAnsi="宋体" w:cs="宋体"/>
                <w:color w:val="auto"/>
                <w:szCs w:val="21"/>
              </w:rPr>
            </w:pPr>
          </w:p>
        </w:tc>
        <w:tc>
          <w:tcPr>
            <w:tcW w:w="1752" w:type="dxa"/>
            <w:gridSpan w:val="2"/>
            <w:vMerge w:val="continue"/>
            <w:vAlign w:val="center"/>
          </w:tcPr>
          <w:p w14:paraId="083BCE7A">
            <w:pPr>
              <w:snapToGrid w:val="0"/>
              <w:spacing w:line="276" w:lineRule="auto"/>
              <w:jc w:val="center"/>
              <w:rPr>
                <w:rFonts w:hint="eastAsia" w:ascii="宋体" w:hAnsi="宋体" w:cs="宋体"/>
                <w:color w:val="auto"/>
                <w:szCs w:val="21"/>
              </w:rPr>
            </w:pPr>
          </w:p>
        </w:tc>
        <w:tc>
          <w:tcPr>
            <w:tcW w:w="2409" w:type="dxa"/>
            <w:vAlign w:val="center"/>
          </w:tcPr>
          <w:p w14:paraId="796CC727">
            <w:pPr>
              <w:spacing w:line="276" w:lineRule="auto"/>
              <w:rPr>
                <w:rFonts w:hint="eastAsia" w:ascii="宋体" w:hAnsi="宋体" w:cs="宋体"/>
                <w:color w:val="auto"/>
                <w:szCs w:val="21"/>
              </w:rPr>
            </w:pPr>
            <w:r>
              <w:rPr>
                <w:rFonts w:hint="eastAsia" w:ascii="宋体" w:hAnsi="宋体" w:cs="宋体"/>
                <w:color w:val="auto"/>
                <w:szCs w:val="21"/>
              </w:rPr>
              <w:t>磋商函</w:t>
            </w:r>
          </w:p>
        </w:tc>
        <w:tc>
          <w:tcPr>
            <w:tcW w:w="4167" w:type="dxa"/>
            <w:gridSpan w:val="2"/>
            <w:vAlign w:val="center"/>
          </w:tcPr>
          <w:p w14:paraId="5D212325">
            <w:pPr>
              <w:spacing w:line="276" w:lineRule="auto"/>
              <w:rPr>
                <w:rFonts w:hint="eastAsia" w:ascii="宋体" w:hAnsi="宋体" w:cs="宋体"/>
                <w:color w:val="auto"/>
                <w:szCs w:val="21"/>
              </w:rPr>
            </w:pPr>
            <w:r>
              <w:rPr>
                <w:rFonts w:hint="eastAsia" w:ascii="宋体" w:hAnsi="宋体" w:cs="宋体"/>
                <w:color w:val="auto"/>
                <w:szCs w:val="21"/>
              </w:rPr>
              <w:t>符合第四章“响应文件格式”中“商务报价文件”中的第（一）项规定</w:t>
            </w:r>
          </w:p>
        </w:tc>
      </w:tr>
      <w:tr w14:paraId="53E96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7" w:type="dxa"/>
            <w:vMerge w:val="continue"/>
            <w:vAlign w:val="center"/>
          </w:tcPr>
          <w:p w14:paraId="600437CA">
            <w:pPr>
              <w:snapToGrid w:val="0"/>
              <w:spacing w:line="360" w:lineRule="auto"/>
              <w:jc w:val="center"/>
              <w:rPr>
                <w:rFonts w:hint="eastAsia" w:ascii="宋体" w:hAnsi="宋体" w:cs="宋体"/>
                <w:color w:val="auto"/>
                <w:szCs w:val="21"/>
              </w:rPr>
            </w:pPr>
          </w:p>
        </w:tc>
        <w:tc>
          <w:tcPr>
            <w:tcW w:w="1752" w:type="dxa"/>
            <w:gridSpan w:val="2"/>
            <w:vMerge w:val="continue"/>
            <w:vAlign w:val="center"/>
          </w:tcPr>
          <w:p w14:paraId="1CDD33DA">
            <w:pPr>
              <w:snapToGrid w:val="0"/>
              <w:spacing w:line="276" w:lineRule="auto"/>
              <w:jc w:val="center"/>
              <w:rPr>
                <w:rFonts w:hint="eastAsia" w:ascii="宋体" w:hAnsi="宋体" w:cs="宋体"/>
                <w:color w:val="auto"/>
                <w:szCs w:val="21"/>
              </w:rPr>
            </w:pPr>
          </w:p>
        </w:tc>
        <w:tc>
          <w:tcPr>
            <w:tcW w:w="2409" w:type="dxa"/>
            <w:vAlign w:val="center"/>
          </w:tcPr>
          <w:p w14:paraId="6D1AE226">
            <w:pPr>
              <w:spacing w:line="276" w:lineRule="auto"/>
              <w:rPr>
                <w:rFonts w:hint="eastAsia" w:ascii="宋体" w:hAnsi="宋体" w:cs="宋体"/>
                <w:color w:val="auto"/>
                <w:szCs w:val="21"/>
              </w:rPr>
            </w:pPr>
            <w:r>
              <w:rPr>
                <w:rFonts w:hint="eastAsia" w:ascii="宋体" w:hAnsi="宋体" w:cs="宋体"/>
                <w:color w:val="auto"/>
                <w:szCs w:val="21"/>
              </w:rPr>
              <w:t>法定代表人身份证明及授权委托书</w:t>
            </w:r>
          </w:p>
        </w:tc>
        <w:tc>
          <w:tcPr>
            <w:tcW w:w="4167" w:type="dxa"/>
            <w:gridSpan w:val="2"/>
            <w:vAlign w:val="center"/>
          </w:tcPr>
          <w:p w14:paraId="3B62AF3C">
            <w:pPr>
              <w:spacing w:line="276" w:lineRule="auto"/>
              <w:rPr>
                <w:rFonts w:hint="eastAsia" w:ascii="宋体" w:hAnsi="宋体" w:cs="宋体"/>
                <w:color w:val="auto"/>
                <w:szCs w:val="21"/>
              </w:rPr>
            </w:pPr>
            <w:r>
              <w:rPr>
                <w:rFonts w:hint="eastAsia" w:ascii="宋体" w:hAnsi="宋体" w:cs="宋体"/>
                <w:color w:val="auto"/>
                <w:szCs w:val="21"/>
              </w:rPr>
              <w:t>符合第四章“响应文件格式”中“商务报价文件”中的第（二）项规定，并且有效</w:t>
            </w:r>
          </w:p>
        </w:tc>
      </w:tr>
      <w:tr w14:paraId="7C8A9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7" w:type="dxa"/>
            <w:vMerge w:val="continue"/>
            <w:vAlign w:val="center"/>
          </w:tcPr>
          <w:p w14:paraId="3CE63E4D">
            <w:pPr>
              <w:snapToGrid w:val="0"/>
              <w:spacing w:line="360" w:lineRule="auto"/>
              <w:jc w:val="center"/>
              <w:rPr>
                <w:rFonts w:hint="eastAsia" w:ascii="宋体" w:hAnsi="宋体" w:cs="宋体"/>
                <w:color w:val="auto"/>
                <w:szCs w:val="21"/>
              </w:rPr>
            </w:pPr>
          </w:p>
        </w:tc>
        <w:tc>
          <w:tcPr>
            <w:tcW w:w="1752" w:type="dxa"/>
            <w:gridSpan w:val="2"/>
            <w:vMerge w:val="continue"/>
            <w:vAlign w:val="center"/>
          </w:tcPr>
          <w:p w14:paraId="67F0E3AA">
            <w:pPr>
              <w:snapToGrid w:val="0"/>
              <w:spacing w:line="276" w:lineRule="auto"/>
              <w:jc w:val="center"/>
              <w:rPr>
                <w:rFonts w:hint="eastAsia" w:ascii="宋体" w:hAnsi="宋体" w:cs="宋体"/>
                <w:color w:val="auto"/>
                <w:szCs w:val="21"/>
              </w:rPr>
            </w:pPr>
          </w:p>
        </w:tc>
        <w:tc>
          <w:tcPr>
            <w:tcW w:w="2409" w:type="dxa"/>
            <w:vAlign w:val="center"/>
          </w:tcPr>
          <w:p w14:paraId="1F5AECD7">
            <w:pPr>
              <w:spacing w:line="276" w:lineRule="auto"/>
              <w:rPr>
                <w:rFonts w:hint="eastAsia" w:ascii="宋体" w:hAnsi="宋体" w:cs="宋体"/>
                <w:color w:val="auto"/>
                <w:szCs w:val="21"/>
              </w:rPr>
            </w:pPr>
            <w:r>
              <w:rPr>
                <w:rFonts w:hint="eastAsia" w:ascii="宋体" w:hAnsi="宋体" w:cs="宋体"/>
                <w:color w:val="auto"/>
                <w:szCs w:val="21"/>
              </w:rPr>
              <w:t>拟派服务人员承诺书</w:t>
            </w:r>
          </w:p>
        </w:tc>
        <w:tc>
          <w:tcPr>
            <w:tcW w:w="4167" w:type="dxa"/>
            <w:gridSpan w:val="2"/>
            <w:vAlign w:val="center"/>
          </w:tcPr>
          <w:p w14:paraId="7E3CC626">
            <w:pPr>
              <w:spacing w:line="276" w:lineRule="auto"/>
              <w:rPr>
                <w:rFonts w:hint="eastAsia" w:ascii="宋体" w:hAnsi="宋体" w:cs="宋体"/>
                <w:color w:val="auto"/>
                <w:szCs w:val="21"/>
              </w:rPr>
            </w:pPr>
            <w:r>
              <w:rPr>
                <w:rFonts w:hint="eastAsia" w:ascii="宋体" w:hAnsi="宋体" w:cs="宋体"/>
                <w:color w:val="auto"/>
                <w:szCs w:val="21"/>
              </w:rPr>
              <w:t>符合第四章“响应文件格式”中“商务报价文件”中的第（三）项规定</w:t>
            </w:r>
          </w:p>
        </w:tc>
      </w:tr>
      <w:tr w14:paraId="3C381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937" w:type="dxa"/>
            <w:vMerge w:val="continue"/>
            <w:vAlign w:val="center"/>
          </w:tcPr>
          <w:p w14:paraId="6C90E566">
            <w:pPr>
              <w:snapToGrid w:val="0"/>
              <w:spacing w:line="360" w:lineRule="auto"/>
              <w:jc w:val="center"/>
              <w:rPr>
                <w:rFonts w:hint="eastAsia" w:ascii="宋体" w:hAnsi="宋体" w:cs="宋体"/>
                <w:color w:val="auto"/>
                <w:szCs w:val="21"/>
              </w:rPr>
            </w:pPr>
          </w:p>
        </w:tc>
        <w:tc>
          <w:tcPr>
            <w:tcW w:w="1752" w:type="dxa"/>
            <w:gridSpan w:val="2"/>
            <w:vMerge w:val="continue"/>
            <w:vAlign w:val="center"/>
          </w:tcPr>
          <w:p w14:paraId="0DBD7C0F">
            <w:pPr>
              <w:snapToGrid w:val="0"/>
              <w:spacing w:line="276" w:lineRule="auto"/>
              <w:jc w:val="center"/>
              <w:rPr>
                <w:rFonts w:hint="eastAsia" w:ascii="宋体" w:hAnsi="宋体" w:cs="宋体"/>
                <w:color w:val="auto"/>
                <w:szCs w:val="21"/>
              </w:rPr>
            </w:pPr>
          </w:p>
        </w:tc>
        <w:tc>
          <w:tcPr>
            <w:tcW w:w="2409" w:type="dxa"/>
            <w:vAlign w:val="center"/>
          </w:tcPr>
          <w:p w14:paraId="394D049F">
            <w:pPr>
              <w:spacing w:line="276" w:lineRule="auto"/>
              <w:rPr>
                <w:rFonts w:hint="eastAsia" w:ascii="宋体" w:hAnsi="宋体" w:cs="宋体"/>
                <w:color w:val="auto"/>
                <w:szCs w:val="21"/>
              </w:rPr>
            </w:pPr>
            <w:r>
              <w:rPr>
                <w:rFonts w:hint="eastAsia" w:ascii="宋体" w:hAnsi="宋体" w:cs="宋体"/>
                <w:color w:val="auto"/>
                <w:szCs w:val="21"/>
              </w:rPr>
              <w:t>供应商承诺书</w:t>
            </w:r>
          </w:p>
        </w:tc>
        <w:tc>
          <w:tcPr>
            <w:tcW w:w="4167" w:type="dxa"/>
            <w:gridSpan w:val="2"/>
            <w:vAlign w:val="center"/>
          </w:tcPr>
          <w:p w14:paraId="5AB711F0">
            <w:pPr>
              <w:spacing w:line="276" w:lineRule="auto"/>
              <w:rPr>
                <w:rFonts w:hint="eastAsia" w:ascii="宋体" w:hAnsi="宋体" w:cs="宋体"/>
                <w:color w:val="auto"/>
                <w:szCs w:val="21"/>
              </w:rPr>
            </w:pPr>
            <w:r>
              <w:rPr>
                <w:rFonts w:hint="eastAsia" w:ascii="宋体" w:hAnsi="宋体" w:cs="宋体"/>
                <w:color w:val="auto"/>
                <w:szCs w:val="21"/>
              </w:rPr>
              <w:t>符合第四章“响应文件格式”中“商务报价文件”中的第（四）项规定</w:t>
            </w:r>
          </w:p>
        </w:tc>
      </w:tr>
      <w:tr w14:paraId="04139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37" w:type="dxa"/>
            <w:vMerge w:val="continue"/>
            <w:vAlign w:val="center"/>
          </w:tcPr>
          <w:p w14:paraId="4FD62DA3">
            <w:pPr>
              <w:snapToGrid w:val="0"/>
              <w:spacing w:line="360" w:lineRule="auto"/>
              <w:jc w:val="center"/>
              <w:rPr>
                <w:rFonts w:hint="eastAsia" w:ascii="宋体" w:hAnsi="宋体" w:cs="宋体"/>
                <w:color w:val="auto"/>
                <w:szCs w:val="21"/>
              </w:rPr>
            </w:pPr>
          </w:p>
        </w:tc>
        <w:tc>
          <w:tcPr>
            <w:tcW w:w="1752" w:type="dxa"/>
            <w:gridSpan w:val="2"/>
            <w:vMerge w:val="continue"/>
            <w:vAlign w:val="center"/>
          </w:tcPr>
          <w:p w14:paraId="66A1B93A">
            <w:pPr>
              <w:snapToGrid w:val="0"/>
              <w:spacing w:line="276" w:lineRule="auto"/>
              <w:jc w:val="center"/>
              <w:rPr>
                <w:rFonts w:hint="eastAsia" w:ascii="宋体" w:hAnsi="宋体" w:cs="宋体"/>
                <w:color w:val="auto"/>
                <w:szCs w:val="21"/>
              </w:rPr>
            </w:pPr>
          </w:p>
        </w:tc>
        <w:tc>
          <w:tcPr>
            <w:tcW w:w="2409" w:type="dxa"/>
            <w:vAlign w:val="center"/>
          </w:tcPr>
          <w:p w14:paraId="654BDF4D">
            <w:pPr>
              <w:spacing w:line="276" w:lineRule="auto"/>
              <w:rPr>
                <w:rFonts w:hint="eastAsia" w:ascii="宋体" w:hAnsi="宋体" w:cs="宋体"/>
                <w:color w:val="auto"/>
                <w:szCs w:val="21"/>
              </w:rPr>
            </w:pPr>
            <w:r>
              <w:rPr>
                <w:rFonts w:hint="eastAsia" w:ascii="宋体" w:hAnsi="宋体" w:cs="宋体"/>
                <w:color w:val="auto"/>
                <w:szCs w:val="21"/>
              </w:rPr>
              <w:t>磋商报价</w:t>
            </w:r>
          </w:p>
        </w:tc>
        <w:tc>
          <w:tcPr>
            <w:tcW w:w="4167" w:type="dxa"/>
            <w:gridSpan w:val="2"/>
            <w:vAlign w:val="center"/>
          </w:tcPr>
          <w:p w14:paraId="2AC28921">
            <w:pPr>
              <w:spacing w:line="276" w:lineRule="auto"/>
              <w:rPr>
                <w:rFonts w:hint="eastAsia" w:ascii="宋体" w:hAnsi="宋体" w:cs="宋体"/>
                <w:color w:val="auto"/>
                <w:szCs w:val="21"/>
              </w:rPr>
            </w:pPr>
            <w:r>
              <w:rPr>
                <w:rFonts w:hint="eastAsia" w:ascii="宋体" w:hAnsi="宋体" w:cs="宋体"/>
                <w:color w:val="auto"/>
                <w:szCs w:val="21"/>
              </w:rPr>
              <w:t>符合第二章“供应商须知前附表”第3.2.1项规定</w:t>
            </w:r>
          </w:p>
        </w:tc>
      </w:tr>
      <w:tr w14:paraId="06178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7" w:type="dxa"/>
            <w:vMerge w:val="continue"/>
            <w:vAlign w:val="center"/>
          </w:tcPr>
          <w:p w14:paraId="7D88481B">
            <w:pPr>
              <w:snapToGrid w:val="0"/>
              <w:spacing w:line="360" w:lineRule="auto"/>
              <w:jc w:val="center"/>
              <w:rPr>
                <w:rFonts w:hint="eastAsia" w:ascii="宋体" w:hAnsi="宋体" w:cs="宋体"/>
                <w:color w:val="auto"/>
                <w:szCs w:val="21"/>
              </w:rPr>
            </w:pPr>
          </w:p>
        </w:tc>
        <w:tc>
          <w:tcPr>
            <w:tcW w:w="1752" w:type="dxa"/>
            <w:gridSpan w:val="2"/>
            <w:vMerge w:val="continue"/>
            <w:vAlign w:val="center"/>
          </w:tcPr>
          <w:p w14:paraId="70433A87">
            <w:pPr>
              <w:snapToGrid w:val="0"/>
              <w:spacing w:line="276" w:lineRule="auto"/>
              <w:jc w:val="center"/>
              <w:rPr>
                <w:rFonts w:hint="eastAsia" w:ascii="宋体" w:hAnsi="宋体" w:cs="宋体"/>
                <w:color w:val="auto"/>
                <w:szCs w:val="21"/>
              </w:rPr>
            </w:pPr>
          </w:p>
        </w:tc>
        <w:tc>
          <w:tcPr>
            <w:tcW w:w="2409" w:type="dxa"/>
            <w:vAlign w:val="center"/>
          </w:tcPr>
          <w:p w14:paraId="5E293DA9">
            <w:pPr>
              <w:spacing w:line="276" w:lineRule="auto"/>
              <w:rPr>
                <w:rFonts w:hint="eastAsia" w:ascii="宋体" w:hAnsi="宋体" w:cs="宋体"/>
                <w:color w:val="auto"/>
                <w:szCs w:val="21"/>
              </w:rPr>
            </w:pPr>
            <w:r>
              <w:rPr>
                <w:rFonts w:hint="eastAsia" w:ascii="宋体" w:hAnsi="宋体" w:cs="宋体"/>
                <w:color w:val="auto"/>
                <w:szCs w:val="21"/>
              </w:rPr>
              <w:t>其他</w:t>
            </w:r>
          </w:p>
        </w:tc>
        <w:tc>
          <w:tcPr>
            <w:tcW w:w="4167" w:type="dxa"/>
            <w:gridSpan w:val="2"/>
            <w:vAlign w:val="center"/>
          </w:tcPr>
          <w:p w14:paraId="6F2F5688">
            <w:pPr>
              <w:spacing w:line="276" w:lineRule="auto"/>
              <w:rPr>
                <w:rFonts w:hint="eastAsia" w:ascii="宋体" w:hAnsi="宋体" w:cs="宋体"/>
                <w:color w:val="auto"/>
                <w:szCs w:val="21"/>
              </w:rPr>
            </w:pPr>
            <w:r>
              <w:rPr>
                <w:rFonts w:hint="eastAsia" w:ascii="宋体" w:hAnsi="宋体" w:cs="宋体"/>
                <w:color w:val="auto"/>
                <w:szCs w:val="21"/>
              </w:rPr>
              <w:t>不存在第六章“评审办法”附件B的任何一种情形</w:t>
            </w:r>
          </w:p>
        </w:tc>
      </w:tr>
      <w:tr w14:paraId="107C8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37" w:type="dxa"/>
            <w:vAlign w:val="center"/>
          </w:tcPr>
          <w:p w14:paraId="508735B2">
            <w:pPr>
              <w:snapToGrid w:val="0"/>
              <w:jc w:val="center"/>
              <w:rPr>
                <w:rFonts w:hint="eastAsia" w:ascii="宋体" w:hAnsi="宋体" w:cs="宋体"/>
                <w:b/>
                <w:color w:val="auto"/>
                <w:szCs w:val="21"/>
              </w:rPr>
            </w:pPr>
            <w:r>
              <w:rPr>
                <w:rFonts w:hint="eastAsia" w:ascii="宋体" w:hAnsi="宋体" w:cs="宋体"/>
                <w:b/>
                <w:color w:val="auto"/>
                <w:szCs w:val="21"/>
              </w:rPr>
              <w:t>条款号</w:t>
            </w:r>
          </w:p>
        </w:tc>
        <w:tc>
          <w:tcPr>
            <w:tcW w:w="4161" w:type="dxa"/>
            <w:gridSpan w:val="3"/>
            <w:vAlign w:val="center"/>
          </w:tcPr>
          <w:p w14:paraId="6E23CB52">
            <w:pPr>
              <w:snapToGrid w:val="0"/>
              <w:jc w:val="center"/>
              <w:rPr>
                <w:rFonts w:hint="eastAsia" w:ascii="宋体" w:hAnsi="宋体" w:cs="宋体"/>
                <w:b/>
                <w:color w:val="auto"/>
                <w:szCs w:val="21"/>
              </w:rPr>
            </w:pPr>
            <w:r>
              <w:rPr>
                <w:rFonts w:hint="eastAsia" w:ascii="宋体" w:hAnsi="宋体" w:cs="宋体"/>
                <w:b/>
                <w:color w:val="auto"/>
                <w:szCs w:val="21"/>
              </w:rPr>
              <w:t>条款内容</w:t>
            </w:r>
          </w:p>
        </w:tc>
        <w:tc>
          <w:tcPr>
            <w:tcW w:w="4167" w:type="dxa"/>
            <w:gridSpan w:val="2"/>
            <w:vAlign w:val="center"/>
          </w:tcPr>
          <w:p w14:paraId="6E3C0AF0">
            <w:pPr>
              <w:snapToGrid w:val="0"/>
              <w:jc w:val="center"/>
              <w:rPr>
                <w:rFonts w:hint="eastAsia" w:ascii="宋体" w:hAnsi="宋体" w:cs="宋体"/>
                <w:b/>
                <w:color w:val="auto"/>
                <w:szCs w:val="21"/>
              </w:rPr>
            </w:pPr>
            <w:r>
              <w:rPr>
                <w:rFonts w:hint="eastAsia" w:ascii="宋体" w:hAnsi="宋体" w:cs="宋体"/>
                <w:b/>
                <w:color w:val="auto"/>
                <w:szCs w:val="21"/>
              </w:rPr>
              <w:t>编列内容</w:t>
            </w:r>
          </w:p>
        </w:tc>
      </w:tr>
      <w:tr w14:paraId="17A92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937" w:type="dxa"/>
            <w:vAlign w:val="center"/>
          </w:tcPr>
          <w:p w14:paraId="1446C369">
            <w:pPr>
              <w:snapToGrid w:val="0"/>
              <w:spacing w:line="360" w:lineRule="auto"/>
              <w:jc w:val="center"/>
              <w:rPr>
                <w:rFonts w:hint="eastAsia" w:ascii="宋体" w:hAnsi="宋体" w:cs="宋体"/>
                <w:color w:val="auto"/>
                <w:szCs w:val="21"/>
              </w:rPr>
            </w:pPr>
            <w:r>
              <w:rPr>
                <w:rFonts w:hint="eastAsia" w:ascii="宋体" w:hAnsi="宋体" w:cs="宋体"/>
                <w:color w:val="auto"/>
                <w:szCs w:val="21"/>
              </w:rPr>
              <w:t>2.2.1</w:t>
            </w:r>
          </w:p>
        </w:tc>
        <w:tc>
          <w:tcPr>
            <w:tcW w:w="4161" w:type="dxa"/>
            <w:gridSpan w:val="3"/>
            <w:vAlign w:val="center"/>
          </w:tcPr>
          <w:p w14:paraId="79C34797">
            <w:pPr>
              <w:snapToGrid w:val="0"/>
              <w:spacing w:line="360" w:lineRule="auto"/>
              <w:jc w:val="center"/>
              <w:rPr>
                <w:rFonts w:hint="eastAsia" w:ascii="宋体" w:hAnsi="宋体" w:cs="宋体"/>
                <w:color w:val="auto"/>
                <w:szCs w:val="21"/>
              </w:rPr>
            </w:pPr>
            <w:r>
              <w:rPr>
                <w:rFonts w:hint="eastAsia" w:ascii="宋体" w:hAnsi="宋体" w:cs="宋体"/>
                <w:color w:val="auto"/>
                <w:szCs w:val="21"/>
              </w:rPr>
              <w:t>分值构成</w:t>
            </w:r>
          </w:p>
          <w:p w14:paraId="539E71C0">
            <w:pPr>
              <w:snapToGrid w:val="0"/>
              <w:spacing w:line="360" w:lineRule="auto"/>
              <w:jc w:val="center"/>
              <w:rPr>
                <w:rFonts w:hint="eastAsia" w:ascii="宋体" w:hAnsi="宋体" w:cs="宋体"/>
                <w:color w:val="auto"/>
                <w:szCs w:val="21"/>
              </w:rPr>
            </w:pPr>
            <w:r>
              <w:rPr>
                <w:rFonts w:hint="eastAsia" w:ascii="宋体" w:hAnsi="宋体" w:cs="宋体"/>
                <w:color w:val="auto"/>
                <w:szCs w:val="21"/>
              </w:rPr>
              <w:t>（技术部分满分80分；</w:t>
            </w:r>
          </w:p>
          <w:p w14:paraId="007EC35F">
            <w:pPr>
              <w:snapToGrid w:val="0"/>
              <w:spacing w:line="360" w:lineRule="auto"/>
              <w:jc w:val="center"/>
              <w:rPr>
                <w:rFonts w:hint="eastAsia" w:ascii="宋体" w:hAnsi="宋体" w:cs="宋体"/>
                <w:color w:val="auto"/>
                <w:szCs w:val="21"/>
              </w:rPr>
            </w:pPr>
            <w:r>
              <w:rPr>
                <w:rFonts w:hint="eastAsia" w:ascii="宋体" w:hAnsi="宋体" w:cs="宋体"/>
                <w:color w:val="auto"/>
                <w:szCs w:val="21"/>
              </w:rPr>
              <w:t>商务部分满分20分。）</w:t>
            </w:r>
          </w:p>
        </w:tc>
        <w:tc>
          <w:tcPr>
            <w:tcW w:w="4167" w:type="dxa"/>
            <w:gridSpan w:val="2"/>
            <w:vAlign w:val="center"/>
          </w:tcPr>
          <w:p w14:paraId="1A19C737">
            <w:pPr>
              <w:autoSpaceDE w:val="0"/>
              <w:autoSpaceDN w:val="0"/>
              <w:adjustRightInd w:val="0"/>
              <w:spacing w:before="120" w:beforeLines="50" w:line="360" w:lineRule="auto"/>
              <w:jc w:val="left"/>
              <w:rPr>
                <w:rFonts w:hint="eastAsia" w:ascii="宋体" w:hAnsi="宋体" w:cs="宋体"/>
                <w:color w:val="auto"/>
                <w:szCs w:val="21"/>
              </w:rPr>
            </w:pPr>
            <w:r>
              <w:rPr>
                <w:rFonts w:hint="eastAsia" w:ascii="宋体" w:hAnsi="宋体" w:cs="宋体"/>
                <w:color w:val="auto"/>
                <w:szCs w:val="21"/>
              </w:rPr>
              <w:t>供应商的综合得分计算公式：Z=J+S。</w:t>
            </w:r>
          </w:p>
          <w:p w14:paraId="69FC4931">
            <w:pPr>
              <w:autoSpaceDE w:val="0"/>
              <w:autoSpaceDN w:val="0"/>
              <w:adjustRightInd w:val="0"/>
              <w:spacing w:line="360" w:lineRule="auto"/>
              <w:jc w:val="left"/>
              <w:rPr>
                <w:rFonts w:hint="eastAsia" w:ascii="宋体" w:hAnsi="宋体" w:cs="宋体"/>
                <w:color w:val="auto"/>
                <w:szCs w:val="21"/>
              </w:rPr>
            </w:pPr>
            <w:r>
              <w:rPr>
                <w:rFonts w:hint="eastAsia" w:ascii="宋体" w:hAnsi="宋体" w:cs="宋体"/>
                <w:color w:val="auto"/>
                <w:szCs w:val="21"/>
              </w:rPr>
              <w:t>式中：Z为供应商的综合得分；</w:t>
            </w:r>
          </w:p>
          <w:p w14:paraId="0E90DBB2">
            <w:pPr>
              <w:autoSpaceDE w:val="0"/>
              <w:autoSpaceDN w:val="0"/>
              <w:adjustRightInd w:val="0"/>
              <w:spacing w:line="360" w:lineRule="auto"/>
              <w:ind w:firstLine="630" w:firstLineChars="300"/>
              <w:jc w:val="left"/>
              <w:rPr>
                <w:rFonts w:hint="eastAsia" w:ascii="宋体" w:hAnsi="宋体" w:cs="宋体"/>
                <w:color w:val="auto"/>
                <w:szCs w:val="21"/>
              </w:rPr>
            </w:pPr>
            <w:r>
              <w:rPr>
                <w:rFonts w:hint="eastAsia" w:ascii="宋体" w:hAnsi="宋体" w:cs="宋体"/>
                <w:color w:val="auto"/>
                <w:szCs w:val="21"/>
              </w:rPr>
              <w:t>J为供应商的技术部分得分；</w:t>
            </w:r>
          </w:p>
          <w:p w14:paraId="6648F342">
            <w:pPr>
              <w:autoSpaceDE w:val="0"/>
              <w:autoSpaceDN w:val="0"/>
              <w:adjustRightInd w:val="0"/>
              <w:spacing w:line="360" w:lineRule="auto"/>
              <w:ind w:firstLine="630" w:firstLineChars="300"/>
              <w:jc w:val="left"/>
              <w:rPr>
                <w:rFonts w:hint="eastAsia" w:ascii="宋体" w:hAnsi="宋体" w:cs="宋体"/>
                <w:b/>
                <w:bCs/>
                <w:color w:val="auto"/>
                <w:szCs w:val="21"/>
              </w:rPr>
            </w:pPr>
            <w:r>
              <w:rPr>
                <w:rFonts w:hint="eastAsia" w:ascii="宋体" w:hAnsi="宋体" w:cs="宋体"/>
                <w:color w:val="auto"/>
                <w:szCs w:val="21"/>
              </w:rPr>
              <w:t>S为供应商的商务部分得分。</w:t>
            </w:r>
          </w:p>
        </w:tc>
      </w:tr>
      <w:tr w14:paraId="4A68E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937" w:type="dxa"/>
            <w:vAlign w:val="center"/>
          </w:tcPr>
          <w:p w14:paraId="4EA2A420">
            <w:pPr>
              <w:autoSpaceDE w:val="0"/>
              <w:autoSpaceDN w:val="0"/>
              <w:adjustRightInd w:val="0"/>
              <w:spacing w:before="120" w:beforeLines="50" w:line="360" w:lineRule="auto"/>
              <w:jc w:val="center"/>
              <w:rPr>
                <w:rFonts w:hint="eastAsia" w:ascii="宋体" w:hAnsi="宋体" w:cs="宋体"/>
                <w:b/>
                <w:bCs/>
                <w:color w:val="auto"/>
                <w:szCs w:val="21"/>
              </w:rPr>
            </w:pPr>
            <w:r>
              <w:rPr>
                <w:rFonts w:hint="eastAsia" w:ascii="宋体" w:hAnsi="宋体" w:cs="宋体"/>
                <w:b/>
                <w:bCs/>
                <w:color w:val="auto"/>
                <w:szCs w:val="21"/>
              </w:rPr>
              <w:t>条款号</w:t>
            </w:r>
          </w:p>
        </w:tc>
        <w:tc>
          <w:tcPr>
            <w:tcW w:w="1610" w:type="dxa"/>
            <w:vAlign w:val="center"/>
          </w:tcPr>
          <w:p w14:paraId="507F4274">
            <w:pPr>
              <w:autoSpaceDE w:val="0"/>
              <w:autoSpaceDN w:val="0"/>
              <w:adjustRightInd w:val="0"/>
              <w:spacing w:before="120" w:beforeLines="50" w:line="360" w:lineRule="auto"/>
              <w:jc w:val="center"/>
              <w:rPr>
                <w:rFonts w:hint="eastAsia" w:ascii="宋体" w:hAnsi="宋体" w:cs="宋体"/>
                <w:b/>
                <w:bCs/>
                <w:color w:val="auto"/>
                <w:szCs w:val="21"/>
              </w:rPr>
            </w:pPr>
            <w:r>
              <w:rPr>
                <w:rFonts w:hint="eastAsia" w:ascii="宋体" w:hAnsi="宋体" w:cs="宋体"/>
                <w:b/>
                <w:bCs/>
                <w:color w:val="auto"/>
                <w:szCs w:val="21"/>
              </w:rPr>
              <w:t>评审因素</w:t>
            </w:r>
          </w:p>
        </w:tc>
        <w:tc>
          <w:tcPr>
            <w:tcW w:w="5830" w:type="dxa"/>
            <w:gridSpan w:val="3"/>
            <w:vAlign w:val="center"/>
          </w:tcPr>
          <w:p w14:paraId="3D254C62">
            <w:pPr>
              <w:autoSpaceDE w:val="0"/>
              <w:autoSpaceDN w:val="0"/>
              <w:adjustRightInd w:val="0"/>
              <w:spacing w:before="120" w:beforeLines="50" w:line="360" w:lineRule="auto"/>
              <w:jc w:val="center"/>
              <w:rPr>
                <w:rFonts w:hint="eastAsia" w:ascii="宋体" w:hAnsi="宋体" w:cs="宋体"/>
                <w:b/>
                <w:bCs/>
                <w:color w:val="auto"/>
                <w:szCs w:val="21"/>
              </w:rPr>
            </w:pPr>
            <w:r>
              <w:rPr>
                <w:rFonts w:hint="eastAsia" w:ascii="宋体" w:hAnsi="宋体" w:cs="宋体"/>
                <w:b/>
                <w:bCs/>
                <w:color w:val="auto"/>
                <w:szCs w:val="21"/>
              </w:rPr>
              <w:t>评审标准</w:t>
            </w:r>
          </w:p>
        </w:tc>
        <w:tc>
          <w:tcPr>
            <w:tcW w:w="888" w:type="dxa"/>
            <w:vAlign w:val="center"/>
          </w:tcPr>
          <w:p w14:paraId="5AF02930">
            <w:pPr>
              <w:autoSpaceDE w:val="0"/>
              <w:autoSpaceDN w:val="0"/>
              <w:adjustRightInd w:val="0"/>
              <w:spacing w:before="120" w:beforeLines="50" w:line="360" w:lineRule="auto"/>
              <w:jc w:val="center"/>
              <w:rPr>
                <w:rFonts w:hint="eastAsia" w:ascii="宋体" w:hAnsi="宋体" w:cs="宋体"/>
                <w:b/>
                <w:bCs/>
                <w:color w:val="auto"/>
                <w:szCs w:val="21"/>
              </w:rPr>
            </w:pPr>
            <w:r>
              <w:rPr>
                <w:rFonts w:hint="eastAsia" w:ascii="宋体" w:hAnsi="宋体" w:cs="宋体"/>
                <w:b/>
                <w:bCs/>
                <w:color w:val="auto"/>
                <w:szCs w:val="21"/>
              </w:rPr>
              <w:t>满分</w:t>
            </w:r>
          </w:p>
        </w:tc>
      </w:tr>
      <w:tr w14:paraId="08D75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937" w:type="dxa"/>
            <w:vMerge w:val="restart"/>
            <w:vAlign w:val="center"/>
          </w:tcPr>
          <w:p w14:paraId="36160E21">
            <w:pPr>
              <w:autoSpaceDE w:val="0"/>
              <w:autoSpaceDN w:val="0"/>
              <w:adjustRightInd w:val="0"/>
              <w:spacing w:before="120" w:beforeLines="50" w:line="360" w:lineRule="auto"/>
              <w:jc w:val="center"/>
              <w:rPr>
                <w:rFonts w:hint="eastAsia" w:ascii="宋体" w:hAnsi="宋体" w:cs="宋体"/>
                <w:color w:val="auto"/>
                <w:szCs w:val="21"/>
              </w:rPr>
            </w:pPr>
            <w:r>
              <w:rPr>
                <w:rFonts w:hint="eastAsia" w:ascii="宋体" w:hAnsi="宋体" w:cs="宋体"/>
                <w:color w:val="auto"/>
                <w:szCs w:val="21"/>
              </w:rPr>
              <w:t>2.2.2</w:t>
            </w:r>
          </w:p>
        </w:tc>
        <w:tc>
          <w:tcPr>
            <w:tcW w:w="1610" w:type="dxa"/>
            <w:vMerge w:val="restart"/>
            <w:vAlign w:val="center"/>
          </w:tcPr>
          <w:p w14:paraId="0728E8F3">
            <w:pPr>
              <w:spacing w:before="120" w:beforeLines="50" w:line="360" w:lineRule="auto"/>
              <w:jc w:val="center"/>
              <w:rPr>
                <w:rFonts w:hint="eastAsia" w:ascii="宋体" w:hAnsi="宋体" w:cs="宋体"/>
                <w:bCs/>
                <w:color w:val="auto"/>
                <w:szCs w:val="21"/>
              </w:rPr>
            </w:pPr>
            <w:r>
              <w:rPr>
                <w:rFonts w:hint="eastAsia" w:ascii="宋体" w:hAnsi="宋体" w:cs="宋体"/>
                <w:bCs/>
                <w:color w:val="auto"/>
                <w:szCs w:val="21"/>
              </w:rPr>
              <w:t>技术部分</w:t>
            </w:r>
          </w:p>
          <w:p w14:paraId="477D6767">
            <w:pPr>
              <w:spacing w:line="360" w:lineRule="auto"/>
              <w:jc w:val="center"/>
              <w:rPr>
                <w:rFonts w:hint="eastAsia" w:ascii="宋体" w:hAnsi="宋体" w:cs="宋体"/>
                <w:bCs/>
                <w:color w:val="auto"/>
                <w:szCs w:val="21"/>
              </w:rPr>
            </w:pPr>
            <w:r>
              <w:rPr>
                <w:rFonts w:hint="eastAsia" w:ascii="宋体" w:hAnsi="宋体" w:cs="宋体"/>
                <w:bCs/>
                <w:color w:val="auto"/>
                <w:szCs w:val="21"/>
              </w:rPr>
              <w:t>评审评分</w:t>
            </w:r>
          </w:p>
          <w:p w14:paraId="30F4ABF1">
            <w:pPr>
              <w:autoSpaceDE w:val="0"/>
              <w:autoSpaceDN w:val="0"/>
              <w:adjustRightInd w:val="0"/>
              <w:spacing w:line="360" w:lineRule="auto"/>
              <w:jc w:val="center"/>
              <w:rPr>
                <w:rFonts w:hint="eastAsia" w:ascii="宋体" w:hAnsi="宋体" w:cs="宋体"/>
                <w:b/>
                <w:bCs/>
                <w:color w:val="auto"/>
                <w:szCs w:val="21"/>
              </w:rPr>
            </w:pPr>
            <w:r>
              <w:rPr>
                <w:rFonts w:hint="eastAsia" w:ascii="宋体" w:hAnsi="宋体" w:cs="宋体"/>
                <w:bCs/>
                <w:color w:val="auto"/>
                <w:szCs w:val="21"/>
              </w:rPr>
              <w:t>（满分80分）</w:t>
            </w:r>
          </w:p>
        </w:tc>
        <w:tc>
          <w:tcPr>
            <w:tcW w:w="5830" w:type="dxa"/>
            <w:gridSpan w:val="3"/>
            <w:vAlign w:val="center"/>
          </w:tcPr>
          <w:p w14:paraId="35750801">
            <w:pPr>
              <w:adjustRightInd w:val="0"/>
              <w:spacing w:before="120" w:beforeLines="50" w:line="360" w:lineRule="auto"/>
              <w:rPr>
                <w:rFonts w:hint="eastAsia" w:ascii="宋体" w:hAnsi="宋体" w:cs="宋体"/>
                <w:b/>
                <w:color w:val="auto"/>
                <w:kern w:val="0"/>
                <w:szCs w:val="21"/>
              </w:rPr>
            </w:pPr>
            <w:r>
              <w:rPr>
                <w:rFonts w:hint="eastAsia" w:ascii="宋体" w:hAnsi="宋体" w:cs="宋体"/>
                <w:b/>
                <w:color w:val="auto"/>
                <w:kern w:val="0"/>
                <w:szCs w:val="21"/>
              </w:rPr>
              <w:t>服务方案评审评分</w:t>
            </w:r>
          </w:p>
          <w:p w14:paraId="65C0E4D4">
            <w:pPr>
              <w:wordWrap w:val="0"/>
              <w:topLinePunct/>
              <w:adjustRightInd w:val="0"/>
              <w:spacing w:line="360" w:lineRule="auto"/>
              <w:rPr>
                <w:rFonts w:hint="eastAsia" w:ascii="宋体" w:hAnsi="宋体"/>
                <w:color w:val="auto"/>
                <w:szCs w:val="21"/>
              </w:rPr>
            </w:pPr>
            <w:r>
              <w:rPr>
                <w:rFonts w:hint="eastAsia" w:ascii="宋体" w:hAnsi="宋体"/>
                <w:b/>
                <w:bCs/>
                <w:color w:val="auto"/>
                <w:szCs w:val="21"/>
              </w:rPr>
              <w:t>根据供应商提出的服务方案整体情况进行评审评分（包括但不限于：</w:t>
            </w:r>
            <w:r>
              <w:rPr>
                <w:rFonts w:hint="eastAsia" w:ascii="宋体" w:hAnsi="宋体"/>
                <w:b/>
                <w:bCs/>
                <w:color w:val="auto"/>
                <w:szCs w:val="21"/>
              </w:rPr>
              <w:fldChar w:fldCharType="begin"/>
            </w:r>
            <w:r>
              <w:rPr>
                <w:rFonts w:hint="eastAsia" w:ascii="宋体" w:hAnsi="宋体"/>
                <w:b/>
                <w:bCs/>
                <w:color w:val="auto"/>
                <w:szCs w:val="21"/>
              </w:rPr>
              <w:instrText xml:space="preserve"> = 1 \* GB3 </w:instrText>
            </w:r>
            <w:r>
              <w:rPr>
                <w:rFonts w:hint="eastAsia" w:ascii="宋体" w:hAnsi="宋体"/>
                <w:b/>
                <w:bCs/>
                <w:color w:val="auto"/>
                <w:szCs w:val="21"/>
              </w:rPr>
              <w:fldChar w:fldCharType="separate"/>
            </w:r>
            <w:r>
              <w:rPr>
                <w:rFonts w:hint="eastAsia" w:ascii="宋体" w:hAnsi="宋体"/>
                <w:b/>
                <w:bCs/>
                <w:color w:val="auto"/>
                <w:szCs w:val="21"/>
              </w:rPr>
              <w:t>①</w:t>
            </w:r>
            <w:r>
              <w:rPr>
                <w:rFonts w:hint="eastAsia" w:ascii="宋体" w:hAnsi="宋体"/>
                <w:b/>
                <w:bCs/>
                <w:color w:val="auto"/>
                <w:szCs w:val="21"/>
              </w:rPr>
              <w:fldChar w:fldCharType="end"/>
            </w:r>
            <w:r>
              <w:rPr>
                <w:rFonts w:hint="eastAsia" w:ascii="宋体" w:hAnsi="宋体"/>
                <w:b/>
                <w:bCs/>
                <w:color w:val="auto"/>
                <w:szCs w:val="21"/>
              </w:rPr>
              <w:t>对本项目的理解；</w:t>
            </w:r>
            <w:r>
              <w:rPr>
                <w:rFonts w:hint="eastAsia" w:ascii="宋体" w:hAnsi="宋体"/>
                <w:b/>
                <w:bCs/>
                <w:color w:val="auto"/>
                <w:szCs w:val="21"/>
              </w:rPr>
              <w:fldChar w:fldCharType="begin"/>
            </w:r>
            <w:r>
              <w:rPr>
                <w:rFonts w:hint="eastAsia" w:ascii="宋体" w:hAnsi="宋体"/>
                <w:b/>
                <w:bCs/>
                <w:color w:val="auto"/>
                <w:szCs w:val="21"/>
              </w:rPr>
              <w:instrText xml:space="preserve"> = 2 \* GB3 </w:instrText>
            </w:r>
            <w:r>
              <w:rPr>
                <w:rFonts w:hint="eastAsia" w:ascii="宋体" w:hAnsi="宋体"/>
                <w:b/>
                <w:bCs/>
                <w:color w:val="auto"/>
                <w:szCs w:val="21"/>
              </w:rPr>
              <w:fldChar w:fldCharType="separate"/>
            </w:r>
            <w:r>
              <w:rPr>
                <w:rFonts w:hint="eastAsia" w:ascii="宋体" w:hAnsi="宋体"/>
                <w:b/>
                <w:bCs/>
                <w:color w:val="auto"/>
                <w:szCs w:val="21"/>
              </w:rPr>
              <w:t>②</w:t>
            </w:r>
            <w:r>
              <w:rPr>
                <w:rFonts w:hint="eastAsia" w:ascii="宋体" w:hAnsi="宋体"/>
                <w:b/>
                <w:bCs/>
                <w:color w:val="auto"/>
                <w:szCs w:val="21"/>
              </w:rPr>
              <w:fldChar w:fldCharType="end"/>
            </w:r>
            <w:r>
              <w:rPr>
                <w:rFonts w:hint="eastAsia" w:ascii="宋体" w:hAnsi="宋体"/>
                <w:b/>
                <w:bCs/>
                <w:color w:val="auto"/>
                <w:szCs w:val="21"/>
              </w:rPr>
              <w:t>服务内容分析</w:t>
            </w:r>
            <w:r>
              <w:rPr>
                <w:rFonts w:hint="eastAsia" w:ascii="宋体" w:hAnsi="宋体" w:cs="宋体"/>
                <w:b/>
                <w:color w:val="auto"/>
                <w:szCs w:val="21"/>
              </w:rPr>
              <w:t>；③</w:t>
            </w:r>
            <w:r>
              <w:rPr>
                <w:rFonts w:hint="eastAsia" w:ascii="宋体" w:hAnsi="宋体"/>
                <w:b/>
                <w:bCs/>
                <w:color w:val="auto"/>
                <w:szCs w:val="21"/>
              </w:rPr>
              <w:t>工作机制；</w:t>
            </w:r>
            <w:r>
              <w:rPr>
                <w:rFonts w:hint="eastAsia" w:ascii="宋体" w:hAnsi="宋体" w:cs="宋体"/>
                <w:b/>
                <w:bCs/>
                <w:color w:val="auto"/>
                <w:szCs w:val="21"/>
              </w:rPr>
              <w:t>④档案管理</w:t>
            </w:r>
            <w:r>
              <w:rPr>
                <w:rFonts w:hint="eastAsia" w:ascii="宋体" w:hAnsi="宋体"/>
                <w:b/>
                <w:bCs/>
                <w:color w:val="auto"/>
                <w:szCs w:val="21"/>
              </w:rPr>
              <w:t>服务标准；</w:t>
            </w:r>
            <w:r>
              <w:rPr>
                <w:rFonts w:hint="eastAsia" w:ascii="宋体" w:hAnsi="宋体" w:cs="宋体"/>
                <w:b/>
                <w:bCs/>
                <w:color w:val="auto"/>
                <w:szCs w:val="21"/>
              </w:rPr>
              <w:t>⑤</w:t>
            </w:r>
            <w:r>
              <w:rPr>
                <w:rFonts w:hint="eastAsia" w:ascii="宋体" w:hAnsi="宋体"/>
                <w:b/>
                <w:bCs/>
                <w:color w:val="auto"/>
                <w:szCs w:val="21"/>
              </w:rPr>
              <w:t>保障措施等）。</w:t>
            </w:r>
          </w:p>
          <w:p w14:paraId="34178A62">
            <w:pPr>
              <w:wordWrap w:val="0"/>
              <w:topLinePunct/>
              <w:adjustRightInd w:val="0"/>
              <w:spacing w:line="360" w:lineRule="auto"/>
              <w:rPr>
                <w:rFonts w:hint="eastAsia" w:ascii="宋体" w:hAnsi="宋体"/>
                <w:color w:val="auto"/>
                <w:szCs w:val="21"/>
              </w:rPr>
            </w:pPr>
            <w:r>
              <w:rPr>
                <w:rFonts w:hint="eastAsia" w:ascii="宋体" w:hAnsi="宋体"/>
                <w:color w:val="auto"/>
                <w:szCs w:val="21"/>
              </w:rPr>
              <w:t>（1）服务方案内容齐全、科学、操作性及针对性强的，得30分；</w:t>
            </w:r>
          </w:p>
          <w:p w14:paraId="0624A4A0">
            <w:pPr>
              <w:wordWrap w:val="0"/>
              <w:topLinePunct/>
              <w:adjustRightInd w:val="0"/>
              <w:spacing w:line="360" w:lineRule="auto"/>
              <w:rPr>
                <w:rFonts w:hint="eastAsia" w:ascii="宋体" w:hAnsi="宋体"/>
                <w:color w:val="auto"/>
                <w:szCs w:val="21"/>
              </w:rPr>
            </w:pPr>
            <w:r>
              <w:rPr>
                <w:rFonts w:hint="eastAsia" w:ascii="宋体" w:hAnsi="宋体"/>
                <w:color w:val="auto"/>
                <w:szCs w:val="21"/>
              </w:rPr>
              <w:t>（2）服务方案中每出现一项缺漏的，扣6分；</w:t>
            </w:r>
          </w:p>
          <w:p w14:paraId="46CC4B7E">
            <w:pPr>
              <w:wordWrap w:val="0"/>
              <w:topLinePunct/>
              <w:adjustRightInd w:val="0"/>
              <w:spacing w:line="360" w:lineRule="auto"/>
              <w:rPr>
                <w:rFonts w:hint="eastAsia" w:ascii="宋体" w:hAnsi="宋体" w:cs="宋体"/>
                <w:b/>
                <w:bCs/>
                <w:color w:val="auto"/>
                <w:szCs w:val="21"/>
              </w:rPr>
            </w:pPr>
            <w:r>
              <w:rPr>
                <w:rFonts w:hint="eastAsia" w:ascii="宋体" w:hAnsi="宋体"/>
                <w:color w:val="auto"/>
                <w:szCs w:val="21"/>
              </w:rPr>
              <w:t>（3）服务方案中每有一项描述不完整，阐述不明确、不合理、操作性及针对性不强的，扣3分。</w:t>
            </w:r>
          </w:p>
        </w:tc>
        <w:tc>
          <w:tcPr>
            <w:tcW w:w="888" w:type="dxa"/>
            <w:vAlign w:val="center"/>
          </w:tcPr>
          <w:p w14:paraId="2678F18C">
            <w:pPr>
              <w:autoSpaceDE w:val="0"/>
              <w:autoSpaceDN w:val="0"/>
              <w:adjustRightInd w:val="0"/>
              <w:spacing w:before="120" w:beforeLines="50" w:line="360" w:lineRule="auto"/>
              <w:jc w:val="center"/>
              <w:rPr>
                <w:rFonts w:hint="eastAsia" w:ascii="宋体" w:hAnsi="宋体" w:cs="宋体"/>
                <w:color w:val="auto"/>
                <w:szCs w:val="21"/>
              </w:rPr>
            </w:pPr>
            <w:r>
              <w:rPr>
                <w:rFonts w:hint="eastAsia" w:ascii="宋体" w:hAnsi="宋体" w:cs="宋体"/>
                <w:color w:val="auto"/>
                <w:szCs w:val="21"/>
              </w:rPr>
              <w:t>30分</w:t>
            </w:r>
          </w:p>
        </w:tc>
      </w:tr>
      <w:tr w14:paraId="12856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937" w:type="dxa"/>
            <w:vMerge w:val="continue"/>
            <w:vAlign w:val="center"/>
          </w:tcPr>
          <w:p w14:paraId="48B22E5F">
            <w:pPr>
              <w:autoSpaceDE w:val="0"/>
              <w:autoSpaceDN w:val="0"/>
              <w:adjustRightInd w:val="0"/>
              <w:spacing w:before="120" w:beforeLines="50" w:line="360" w:lineRule="auto"/>
              <w:jc w:val="center"/>
              <w:rPr>
                <w:rFonts w:hint="eastAsia" w:ascii="宋体" w:hAnsi="宋体" w:cs="宋体"/>
                <w:color w:val="auto"/>
                <w:szCs w:val="21"/>
              </w:rPr>
            </w:pPr>
          </w:p>
        </w:tc>
        <w:tc>
          <w:tcPr>
            <w:tcW w:w="1610" w:type="dxa"/>
            <w:vMerge w:val="continue"/>
            <w:vAlign w:val="center"/>
          </w:tcPr>
          <w:p w14:paraId="76A9E021">
            <w:pPr>
              <w:autoSpaceDE w:val="0"/>
              <w:autoSpaceDN w:val="0"/>
              <w:adjustRightInd w:val="0"/>
              <w:spacing w:line="360" w:lineRule="auto"/>
              <w:jc w:val="center"/>
              <w:rPr>
                <w:rFonts w:hint="eastAsia" w:ascii="宋体" w:hAnsi="宋体" w:cs="宋体"/>
                <w:bCs/>
                <w:color w:val="auto"/>
                <w:szCs w:val="21"/>
              </w:rPr>
            </w:pPr>
          </w:p>
        </w:tc>
        <w:tc>
          <w:tcPr>
            <w:tcW w:w="5830" w:type="dxa"/>
            <w:gridSpan w:val="3"/>
            <w:vAlign w:val="center"/>
          </w:tcPr>
          <w:p w14:paraId="6E084839">
            <w:pPr>
              <w:adjustRightInd w:val="0"/>
              <w:spacing w:line="360" w:lineRule="auto"/>
              <w:rPr>
                <w:rFonts w:hint="eastAsia" w:ascii="宋体" w:hAnsi="宋体" w:cs="宋体"/>
                <w:b/>
                <w:bCs/>
                <w:color w:val="auto"/>
                <w:szCs w:val="21"/>
              </w:rPr>
            </w:pPr>
            <w:bookmarkStart w:id="1244" w:name="_Hlk182342551"/>
            <w:r>
              <w:rPr>
                <w:rFonts w:hint="eastAsia" w:ascii="宋体" w:hAnsi="宋体" w:cs="宋体"/>
                <w:b/>
                <w:bCs/>
                <w:color w:val="auto"/>
                <w:szCs w:val="21"/>
              </w:rPr>
              <w:t>服务期限保证措施及承诺</w:t>
            </w:r>
            <w:bookmarkEnd w:id="1244"/>
            <w:r>
              <w:rPr>
                <w:rFonts w:hint="eastAsia" w:ascii="宋体" w:hAnsi="宋体" w:cs="宋体"/>
                <w:b/>
                <w:bCs/>
                <w:color w:val="auto"/>
                <w:szCs w:val="21"/>
              </w:rPr>
              <w:t>评审评分</w:t>
            </w:r>
          </w:p>
          <w:p w14:paraId="4EC7A4D2">
            <w:pPr>
              <w:adjustRightInd w:val="0"/>
              <w:spacing w:line="360" w:lineRule="auto"/>
              <w:rPr>
                <w:rFonts w:hint="eastAsia" w:ascii="宋体" w:hAnsi="宋体" w:cs="宋体"/>
                <w:b/>
                <w:bCs/>
                <w:color w:val="auto"/>
                <w:szCs w:val="21"/>
              </w:rPr>
            </w:pPr>
            <w:r>
              <w:rPr>
                <w:rFonts w:hint="eastAsia" w:ascii="宋体" w:hAnsi="宋体" w:cs="宋体"/>
                <w:b/>
                <w:bCs/>
                <w:color w:val="auto"/>
                <w:szCs w:val="21"/>
              </w:rPr>
              <w:t>根据供应商提出的</w:t>
            </w:r>
            <w:r>
              <w:rPr>
                <w:rFonts w:hint="eastAsia" w:ascii="宋体" w:hAnsi="宋体"/>
                <w:b/>
                <w:bCs/>
                <w:color w:val="auto"/>
                <w:szCs w:val="21"/>
              </w:rPr>
              <w:t>服务期限保证措施及承诺</w:t>
            </w:r>
            <w:r>
              <w:rPr>
                <w:rFonts w:hint="eastAsia" w:ascii="宋体" w:hAnsi="宋体" w:cs="宋体"/>
                <w:b/>
                <w:bCs/>
                <w:color w:val="auto"/>
                <w:szCs w:val="21"/>
              </w:rPr>
              <w:t>整体情况进行评审评分（包括但不限于：</w:t>
            </w:r>
            <w:r>
              <w:rPr>
                <w:rFonts w:hint="eastAsia" w:asciiTheme="minorEastAsia" w:hAnsiTheme="minorEastAsia" w:eastAsiaTheme="minorEastAsia"/>
                <w:b/>
                <w:bCs/>
                <w:color w:val="auto"/>
                <w:szCs w:val="21"/>
              </w:rPr>
              <w:fldChar w:fldCharType="begin"/>
            </w:r>
            <w:r>
              <w:rPr>
                <w:rFonts w:hint="eastAsia" w:asciiTheme="minorEastAsia" w:hAnsiTheme="minorEastAsia" w:eastAsiaTheme="minorEastAsia"/>
                <w:b/>
                <w:bCs/>
                <w:color w:val="auto"/>
                <w:szCs w:val="21"/>
              </w:rPr>
              <w:instrText xml:space="preserve"> = 1 \* GB3 </w:instrText>
            </w:r>
            <w:r>
              <w:rPr>
                <w:rFonts w:hint="eastAsia" w:asciiTheme="minorEastAsia" w:hAnsiTheme="minorEastAsia" w:eastAsiaTheme="minorEastAsia"/>
                <w:b/>
                <w:bCs/>
                <w:color w:val="auto"/>
                <w:szCs w:val="21"/>
              </w:rPr>
              <w:fldChar w:fldCharType="separate"/>
            </w:r>
            <w:r>
              <w:rPr>
                <w:rFonts w:hint="eastAsia" w:asciiTheme="minorEastAsia" w:hAnsiTheme="minorEastAsia" w:eastAsiaTheme="minorEastAsia"/>
                <w:b/>
                <w:bCs/>
                <w:color w:val="auto"/>
                <w:szCs w:val="21"/>
              </w:rPr>
              <w:t>①</w:t>
            </w:r>
            <w:r>
              <w:rPr>
                <w:rFonts w:hint="eastAsia" w:asciiTheme="minorEastAsia" w:hAnsiTheme="minorEastAsia" w:eastAsiaTheme="minorEastAsia"/>
                <w:b/>
                <w:bCs/>
                <w:color w:val="auto"/>
                <w:szCs w:val="21"/>
              </w:rPr>
              <w:fldChar w:fldCharType="end"/>
            </w:r>
            <w:r>
              <w:rPr>
                <w:rFonts w:hint="eastAsia" w:ascii="宋体" w:hAnsi="宋体" w:cs="宋体"/>
                <w:b/>
                <w:bCs/>
                <w:color w:val="auto"/>
                <w:szCs w:val="21"/>
              </w:rPr>
              <w:t>服务</w:t>
            </w:r>
            <w:r>
              <w:rPr>
                <w:rFonts w:hint="eastAsia" w:ascii="宋体" w:hAnsi="宋体"/>
                <w:b/>
                <w:bCs/>
                <w:color w:val="auto"/>
                <w:szCs w:val="21"/>
              </w:rPr>
              <w:t>期限</w:t>
            </w:r>
            <w:r>
              <w:rPr>
                <w:rFonts w:hint="eastAsia" w:ascii="宋体" w:hAnsi="宋体" w:cs="宋体"/>
                <w:b/>
                <w:bCs/>
                <w:color w:val="auto"/>
                <w:szCs w:val="21"/>
              </w:rPr>
              <w:t>保证措施</w:t>
            </w:r>
            <w:r>
              <w:rPr>
                <w:rFonts w:hint="eastAsia" w:ascii="宋体" w:hAnsi="宋体" w:cs="宋体"/>
                <w:b/>
                <w:color w:val="auto"/>
                <w:szCs w:val="21"/>
              </w:rPr>
              <w:t>；</w:t>
            </w:r>
            <w:r>
              <w:rPr>
                <w:rFonts w:hint="eastAsia" w:asciiTheme="minorEastAsia" w:hAnsiTheme="minorEastAsia" w:eastAsiaTheme="minorEastAsia"/>
                <w:b/>
                <w:bCs/>
                <w:color w:val="auto"/>
                <w:szCs w:val="21"/>
              </w:rPr>
              <w:fldChar w:fldCharType="begin"/>
            </w:r>
            <w:r>
              <w:rPr>
                <w:rFonts w:hint="eastAsia" w:asciiTheme="minorEastAsia" w:hAnsiTheme="minorEastAsia" w:eastAsiaTheme="minorEastAsia"/>
                <w:b/>
                <w:bCs/>
                <w:color w:val="auto"/>
                <w:szCs w:val="21"/>
              </w:rPr>
              <w:instrText xml:space="preserve"> = 2 \* GB3 </w:instrText>
            </w:r>
            <w:r>
              <w:rPr>
                <w:rFonts w:hint="eastAsia" w:asciiTheme="minorEastAsia" w:hAnsiTheme="minorEastAsia" w:eastAsiaTheme="minorEastAsia"/>
                <w:b/>
                <w:bCs/>
                <w:color w:val="auto"/>
                <w:szCs w:val="21"/>
              </w:rPr>
              <w:fldChar w:fldCharType="separate"/>
            </w:r>
            <w:r>
              <w:rPr>
                <w:rFonts w:hint="eastAsia" w:asciiTheme="minorEastAsia" w:hAnsiTheme="minorEastAsia" w:eastAsiaTheme="minorEastAsia"/>
                <w:b/>
                <w:bCs/>
                <w:color w:val="auto"/>
                <w:szCs w:val="21"/>
              </w:rPr>
              <w:t>②</w:t>
            </w:r>
            <w:r>
              <w:rPr>
                <w:rFonts w:hint="eastAsia" w:asciiTheme="minorEastAsia" w:hAnsiTheme="minorEastAsia" w:eastAsiaTheme="minorEastAsia"/>
                <w:b/>
                <w:bCs/>
                <w:color w:val="auto"/>
                <w:szCs w:val="21"/>
              </w:rPr>
              <w:fldChar w:fldCharType="end"/>
            </w:r>
            <w:r>
              <w:rPr>
                <w:rFonts w:hint="eastAsia" w:ascii="宋体" w:hAnsi="宋体" w:cs="宋体"/>
                <w:b/>
                <w:bCs/>
                <w:color w:val="auto"/>
                <w:szCs w:val="21"/>
              </w:rPr>
              <w:t>违约责任承诺等）。</w:t>
            </w:r>
          </w:p>
          <w:p w14:paraId="5C0AFEB4">
            <w:pPr>
              <w:spacing w:line="360" w:lineRule="auto"/>
              <w:rPr>
                <w:rFonts w:hint="eastAsia" w:ascii="宋体" w:hAnsi="宋体" w:cs="宋体"/>
                <w:color w:val="auto"/>
                <w:szCs w:val="21"/>
              </w:rPr>
            </w:pPr>
            <w:r>
              <w:rPr>
                <w:rFonts w:hint="eastAsia" w:ascii="宋体" w:hAnsi="宋体" w:cs="宋体"/>
                <w:color w:val="auto"/>
                <w:szCs w:val="21"/>
              </w:rPr>
              <w:t>（1）服务期限保证措施内容齐全</w:t>
            </w:r>
            <w:r>
              <w:rPr>
                <w:rFonts w:hint="eastAsia"/>
                <w:color w:val="auto"/>
                <w:szCs w:val="21"/>
              </w:rPr>
              <w:t>、完善、符合项目实际情况，有具体的违约责任承诺</w:t>
            </w:r>
            <w:r>
              <w:rPr>
                <w:rFonts w:hint="eastAsia" w:ascii="宋体" w:hAnsi="宋体" w:cs="宋体"/>
                <w:color w:val="auto"/>
                <w:szCs w:val="21"/>
              </w:rPr>
              <w:t>的，得10分；</w:t>
            </w:r>
          </w:p>
          <w:p w14:paraId="2CDA273E">
            <w:pPr>
              <w:snapToGrid w:val="0"/>
              <w:spacing w:line="360" w:lineRule="auto"/>
              <w:rPr>
                <w:rFonts w:hint="eastAsia" w:ascii="宋体" w:hAnsi="宋体" w:cs="宋体"/>
                <w:color w:val="auto"/>
                <w:szCs w:val="21"/>
              </w:rPr>
            </w:pPr>
            <w:r>
              <w:rPr>
                <w:rFonts w:hint="eastAsia" w:ascii="宋体" w:hAnsi="宋体" w:cs="宋体"/>
                <w:color w:val="auto"/>
                <w:szCs w:val="21"/>
              </w:rPr>
              <w:t>（2）服务期限保证措施、</w:t>
            </w:r>
            <w:r>
              <w:rPr>
                <w:rFonts w:hint="eastAsia"/>
                <w:color w:val="auto"/>
                <w:szCs w:val="21"/>
              </w:rPr>
              <w:t>违约责任承诺</w:t>
            </w:r>
            <w:r>
              <w:rPr>
                <w:rFonts w:hint="eastAsia" w:ascii="宋体" w:hAnsi="宋体"/>
                <w:color w:val="auto"/>
                <w:szCs w:val="21"/>
              </w:rPr>
              <w:t>每出现一项缺漏的</w:t>
            </w:r>
            <w:r>
              <w:rPr>
                <w:rFonts w:hint="eastAsia" w:ascii="宋体" w:hAnsi="宋体" w:cs="宋体"/>
                <w:color w:val="auto"/>
                <w:szCs w:val="21"/>
              </w:rPr>
              <w:t>，扣5分；</w:t>
            </w:r>
          </w:p>
          <w:p w14:paraId="482045EC">
            <w:pPr>
              <w:wordWrap w:val="0"/>
              <w:topLinePunct/>
              <w:adjustRightInd w:val="0"/>
              <w:spacing w:line="360" w:lineRule="auto"/>
              <w:ind w:left="105" w:leftChars="50"/>
              <w:rPr>
                <w:rFonts w:hint="eastAsia" w:ascii="宋体" w:hAnsi="宋体"/>
                <w:color w:val="auto"/>
                <w:szCs w:val="21"/>
              </w:rPr>
            </w:pPr>
            <w:r>
              <w:rPr>
                <w:rFonts w:hint="eastAsia" w:ascii="宋体" w:hAnsi="宋体" w:cs="宋体"/>
                <w:color w:val="auto"/>
                <w:szCs w:val="21"/>
              </w:rPr>
              <w:t>（3）违约责任承诺不具体的，扣3分；服务期限保证措施不完善或不符合项目实际情况的，扣2分。</w:t>
            </w:r>
          </w:p>
        </w:tc>
        <w:tc>
          <w:tcPr>
            <w:tcW w:w="888" w:type="dxa"/>
            <w:vAlign w:val="center"/>
          </w:tcPr>
          <w:p w14:paraId="192744C1">
            <w:pPr>
              <w:autoSpaceDE w:val="0"/>
              <w:autoSpaceDN w:val="0"/>
              <w:adjustRightInd w:val="0"/>
              <w:spacing w:before="120" w:beforeLines="50" w:line="360" w:lineRule="auto"/>
              <w:jc w:val="center"/>
              <w:rPr>
                <w:rFonts w:hint="eastAsia" w:ascii="宋体" w:hAnsi="宋体" w:cs="宋体"/>
                <w:color w:val="auto"/>
                <w:szCs w:val="21"/>
              </w:rPr>
            </w:pPr>
            <w:r>
              <w:rPr>
                <w:rFonts w:hint="eastAsia" w:ascii="宋体" w:hAnsi="宋体" w:cs="宋体"/>
                <w:color w:val="auto"/>
                <w:szCs w:val="21"/>
              </w:rPr>
              <w:t>10分</w:t>
            </w:r>
          </w:p>
        </w:tc>
      </w:tr>
      <w:tr w14:paraId="54B0D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937" w:type="dxa"/>
            <w:vMerge w:val="continue"/>
            <w:vAlign w:val="center"/>
          </w:tcPr>
          <w:p w14:paraId="22E6F6DF">
            <w:pPr>
              <w:autoSpaceDE w:val="0"/>
              <w:autoSpaceDN w:val="0"/>
              <w:adjustRightInd w:val="0"/>
              <w:spacing w:before="120" w:beforeLines="50" w:line="360" w:lineRule="auto"/>
              <w:jc w:val="center"/>
              <w:rPr>
                <w:rFonts w:hint="eastAsia" w:ascii="宋体" w:hAnsi="宋体" w:cs="宋体"/>
                <w:b/>
                <w:bCs/>
                <w:color w:val="auto"/>
                <w:szCs w:val="21"/>
              </w:rPr>
            </w:pPr>
          </w:p>
        </w:tc>
        <w:tc>
          <w:tcPr>
            <w:tcW w:w="1610" w:type="dxa"/>
            <w:vMerge w:val="continue"/>
            <w:vAlign w:val="center"/>
          </w:tcPr>
          <w:p w14:paraId="11998422">
            <w:pPr>
              <w:autoSpaceDE w:val="0"/>
              <w:autoSpaceDN w:val="0"/>
              <w:adjustRightInd w:val="0"/>
              <w:spacing w:before="120" w:beforeLines="50" w:line="360" w:lineRule="auto"/>
              <w:jc w:val="center"/>
              <w:rPr>
                <w:rFonts w:hint="eastAsia" w:ascii="宋体" w:hAnsi="宋体" w:cs="宋体"/>
                <w:b/>
                <w:bCs/>
                <w:color w:val="auto"/>
                <w:szCs w:val="21"/>
              </w:rPr>
            </w:pPr>
          </w:p>
        </w:tc>
        <w:tc>
          <w:tcPr>
            <w:tcW w:w="5830" w:type="dxa"/>
            <w:gridSpan w:val="3"/>
            <w:vAlign w:val="center"/>
          </w:tcPr>
          <w:p w14:paraId="496ECBE4">
            <w:pPr>
              <w:adjustRightInd w:val="0"/>
              <w:spacing w:before="120" w:beforeLines="50" w:line="360" w:lineRule="auto"/>
              <w:rPr>
                <w:rFonts w:hint="eastAsia" w:ascii="宋体" w:hAnsi="宋体" w:cs="宋体"/>
                <w:b/>
                <w:bCs/>
                <w:color w:val="auto"/>
                <w:szCs w:val="21"/>
              </w:rPr>
            </w:pPr>
            <w:r>
              <w:rPr>
                <w:rFonts w:hint="eastAsia" w:ascii="宋体" w:hAnsi="宋体" w:cs="宋体"/>
                <w:b/>
                <w:bCs/>
                <w:color w:val="auto"/>
                <w:szCs w:val="21"/>
              </w:rPr>
              <w:t>服务质量保证措施及承诺评审评分</w:t>
            </w:r>
          </w:p>
          <w:p w14:paraId="3A90C4DE">
            <w:pPr>
              <w:adjustRightInd w:val="0"/>
              <w:spacing w:line="360" w:lineRule="auto"/>
              <w:rPr>
                <w:rFonts w:hint="eastAsia" w:ascii="宋体" w:hAnsi="宋体" w:cs="宋体"/>
                <w:b/>
                <w:bCs/>
                <w:color w:val="auto"/>
                <w:szCs w:val="21"/>
              </w:rPr>
            </w:pPr>
            <w:r>
              <w:rPr>
                <w:rFonts w:hint="eastAsia" w:ascii="宋体" w:hAnsi="宋体" w:cs="宋体"/>
                <w:b/>
                <w:bCs/>
                <w:color w:val="auto"/>
                <w:szCs w:val="21"/>
              </w:rPr>
              <w:t>根据供应商提出的服务质量保证措施及承诺整体情况进行评审评分（包括但不限于：</w:t>
            </w:r>
            <w:r>
              <w:rPr>
                <w:rFonts w:hint="eastAsia" w:ascii="宋体" w:hAnsi="宋体" w:cs="宋体"/>
                <w:b/>
                <w:bCs/>
                <w:color w:val="auto"/>
                <w:szCs w:val="21"/>
              </w:rPr>
              <w:fldChar w:fldCharType="begin"/>
            </w:r>
            <w:r>
              <w:rPr>
                <w:rFonts w:hint="eastAsia" w:ascii="宋体" w:hAnsi="宋体" w:cs="宋体"/>
                <w:b/>
                <w:bCs/>
                <w:color w:val="auto"/>
                <w:szCs w:val="21"/>
              </w:rPr>
              <w:instrText xml:space="preserve"> = 1 \* GB3 </w:instrText>
            </w:r>
            <w:r>
              <w:rPr>
                <w:rFonts w:hint="eastAsia" w:ascii="宋体" w:hAnsi="宋体" w:cs="宋体"/>
                <w:b/>
                <w:bCs/>
                <w:color w:val="auto"/>
                <w:szCs w:val="21"/>
              </w:rPr>
              <w:fldChar w:fldCharType="separate"/>
            </w:r>
            <w:r>
              <w:rPr>
                <w:rFonts w:hint="eastAsia" w:ascii="宋体" w:hAnsi="宋体" w:cs="宋体"/>
                <w:b/>
                <w:bCs/>
                <w:color w:val="auto"/>
                <w:szCs w:val="21"/>
              </w:rPr>
              <w:t>①</w:t>
            </w:r>
            <w:r>
              <w:rPr>
                <w:rFonts w:hint="eastAsia" w:ascii="宋体" w:hAnsi="宋体" w:cs="宋体"/>
                <w:b/>
                <w:bCs/>
                <w:color w:val="auto"/>
                <w:szCs w:val="21"/>
              </w:rPr>
              <w:fldChar w:fldCharType="end"/>
            </w:r>
            <w:r>
              <w:rPr>
                <w:rFonts w:hint="eastAsia" w:ascii="宋体" w:hAnsi="宋体" w:cs="宋体"/>
                <w:b/>
                <w:bCs/>
                <w:color w:val="auto"/>
                <w:szCs w:val="21"/>
              </w:rPr>
              <w:t>服务质量保证措施</w:t>
            </w:r>
            <w:r>
              <w:rPr>
                <w:rFonts w:hint="eastAsia" w:ascii="宋体" w:hAnsi="宋体" w:cs="宋体"/>
                <w:b/>
                <w:color w:val="auto"/>
                <w:szCs w:val="21"/>
              </w:rPr>
              <w:t>；</w:t>
            </w:r>
            <w:r>
              <w:rPr>
                <w:rFonts w:hint="eastAsia" w:asciiTheme="minorEastAsia" w:hAnsiTheme="minorEastAsia" w:eastAsiaTheme="minorEastAsia"/>
                <w:b/>
                <w:bCs/>
                <w:color w:val="auto"/>
                <w:szCs w:val="21"/>
              </w:rPr>
              <w:fldChar w:fldCharType="begin"/>
            </w:r>
            <w:r>
              <w:rPr>
                <w:rFonts w:hint="eastAsia" w:asciiTheme="minorEastAsia" w:hAnsiTheme="minorEastAsia" w:eastAsiaTheme="minorEastAsia"/>
                <w:b/>
                <w:bCs/>
                <w:color w:val="auto"/>
                <w:szCs w:val="21"/>
              </w:rPr>
              <w:instrText xml:space="preserve"> = 2 \* GB3 </w:instrText>
            </w:r>
            <w:r>
              <w:rPr>
                <w:rFonts w:hint="eastAsia" w:asciiTheme="minorEastAsia" w:hAnsiTheme="minorEastAsia" w:eastAsiaTheme="minorEastAsia"/>
                <w:b/>
                <w:bCs/>
                <w:color w:val="auto"/>
                <w:szCs w:val="21"/>
              </w:rPr>
              <w:fldChar w:fldCharType="separate"/>
            </w:r>
            <w:r>
              <w:rPr>
                <w:rFonts w:hint="eastAsia" w:asciiTheme="minorEastAsia" w:hAnsiTheme="minorEastAsia" w:eastAsiaTheme="minorEastAsia"/>
                <w:b/>
                <w:bCs/>
                <w:color w:val="auto"/>
                <w:szCs w:val="21"/>
              </w:rPr>
              <w:t>②</w:t>
            </w:r>
            <w:r>
              <w:rPr>
                <w:rFonts w:hint="eastAsia" w:asciiTheme="minorEastAsia" w:hAnsiTheme="minorEastAsia" w:eastAsiaTheme="minorEastAsia"/>
                <w:b/>
                <w:bCs/>
                <w:color w:val="auto"/>
                <w:szCs w:val="21"/>
              </w:rPr>
              <w:fldChar w:fldCharType="end"/>
            </w:r>
            <w:r>
              <w:rPr>
                <w:rFonts w:hint="eastAsia" w:ascii="宋体" w:hAnsi="宋体" w:cs="宋体"/>
                <w:b/>
                <w:bCs/>
                <w:color w:val="auto"/>
                <w:szCs w:val="21"/>
              </w:rPr>
              <w:t>违约责任承诺等）。</w:t>
            </w:r>
          </w:p>
          <w:p w14:paraId="5EDD46B9">
            <w:pPr>
              <w:spacing w:line="360" w:lineRule="auto"/>
              <w:rPr>
                <w:rFonts w:hint="eastAsia" w:ascii="宋体" w:hAnsi="宋体" w:cs="宋体"/>
                <w:color w:val="auto"/>
                <w:szCs w:val="21"/>
              </w:rPr>
            </w:pPr>
            <w:r>
              <w:rPr>
                <w:rFonts w:hint="eastAsia" w:ascii="宋体" w:hAnsi="宋体" w:cs="宋体"/>
                <w:color w:val="auto"/>
                <w:szCs w:val="21"/>
              </w:rPr>
              <w:t>（1）服务质量保证措施内容齐全</w:t>
            </w:r>
            <w:r>
              <w:rPr>
                <w:rFonts w:hint="eastAsia"/>
                <w:color w:val="auto"/>
                <w:szCs w:val="21"/>
              </w:rPr>
              <w:t>、完善、符合项目实际情况，有具体的违约责任承诺</w:t>
            </w:r>
            <w:r>
              <w:rPr>
                <w:rFonts w:hint="eastAsia" w:ascii="宋体" w:hAnsi="宋体" w:cs="宋体"/>
                <w:color w:val="auto"/>
                <w:szCs w:val="21"/>
              </w:rPr>
              <w:t>的，得10分；</w:t>
            </w:r>
          </w:p>
          <w:p w14:paraId="69EF0B62">
            <w:pPr>
              <w:snapToGrid w:val="0"/>
              <w:spacing w:line="360" w:lineRule="auto"/>
              <w:rPr>
                <w:rFonts w:hint="eastAsia" w:ascii="宋体" w:hAnsi="宋体" w:cs="宋体"/>
                <w:color w:val="auto"/>
                <w:szCs w:val="21"/>
              </w:rPr>
            </w:pPr>
            <w:r>
              <w:rPr>
                <w:rFonts w:hint="eastAsia" w:ascii="宋体" w:hAnsi="宋体" w:cs="宋体"/>
                <w:color w:val="auto"/>
                <w:szCs w:val="21"/>
              </w:rPr>
              <w:t>（2）服务质量保证措施、</w:t>
            </w:r>
            <w:r>
              <w:rPr>
                <w:rFonts w:hint="eastAsia"/>
                <w:color w:val="auto"/>
                <w:szCs w:val="21"/>
              </w:rPr>
              <w:t>违约责任承诺</w:t>
            </w:r>
            <w:r>
              <w:rPr>
                <w:rFonts w:hint="eastAsia" w:ascii="宋体" w:hAnsi="宋体"/>
                <w:color w:val="auto"/>
                <w:szCs w:val="21"/>
              </w:rPr>
              <w:t>每出现一项缺漏的</w:t>
            </w:r>
            <w:r>
              <w:rPr>
                <w:rFonts w:hint="eastAsia" w:ascii="宋体" w:hAnsi="宋体" w:cs="宋体"/>
                <w:color w:val="auto"/>
                <w:szCs w:val="21"/>
              </w:rPr>
              <w:t>，扣5分；</w:t>
            </w:r>
          </w:p>
          <w:p w14:paraId="1294A930">
            <w:pPr>
              <w:autoSpaceDE w:val="0"/>
              <w:autoSpaceDN w:val="0"/>
              <w:adjustRightInd w:val="0"/>
              <w:spacing w:line="360" w:lineRule="auto"/>
              <w:jc w:val="left"/>
              <w:rPr>
                <w:rFonts w:hint="eastAsia" w:ascii="宋体" w:hAnsi="宋体" w:cs="宋体"/>
                <w:b/>
                <w:bCs/>
                <w:color w:val="auto"/>
                <w:szCs w:val="21"/>
              </w:rPr>
            </w:pPr>
            <w:r>
              <w:rPr>
                <w:rFonts w:hint="eastAsia" w:ascii="宋体" w:hAnsi="宋体" w:cs="宋体"/>
                <w:color w:val="auto"/>
                <w:szCs w:val="21"/>
              </w:rPr>
              <w:t>（3）违约责任承诺不具体的，</w:t>
            </w:r>
            <w:r>
              <w:rPr>
                <w:rFonts w:hint="eastAsia" w:ascii="宋体" w:hAnsi="宋体"/>
                <w:color w:val="auto"/>
                <w:szCs w:val="21"/>
              </w:rPr>
              <w:t>扣3分；</w:t>
            </w:r>
            <w:r>
              <w:rPr>
                <w:rFonts w:hint="eastAsia" w:ascii="宋体" w:hAnsi="宋体" w:cs="宋体"/>
                <w:color w:val="auto"/>
                <w:szCs w:val="21"/>
              </w:rPr>
              <w:t>服务质量保证措施不完善</w:t>
            </w:r>
            <w:r>
              <w:rPr>
                <w:rFonts w:hint="eastAsia" w:ascii="宋体" w:hAnsi="宋体"/>
                <w:color w:val="auto"/>
                <w:szCs w:val="21"/>
              </w:rPr>
              <w:t>或不符合项目实际情况</w:t>
            </w:r>
            <w:r>
              <w:rPr>
                <w:rFonts w:hint="eastAsia" w:ascii="宋体" w:hAnsi="宋体" w:cs="宋体"/>
                <w:color w:val="auto"/>
                <w:szCs w:val="21"/>
              </w:rPr>
              <w:t>的，扣2分。</w:t>
            </w:r>
          </w:p>
        </w:tc>
        <w:tc>
          <w:tcPr>
            <w:tcW w:w="888" w:type="dxa"/>
            <w:vAlign w:val="center"/>
          </w:tcPr>
          <w:p w14:paraId="6C2B5034">
            <w:pPr>
              <w:autoSpaceDE w:val="0"/>
              <w:autoSpaceDN w:val="0"/>
              <w:adjustRightInd w:val="0"/>
              <w:spacing w:before="120" w:beforeLines="50" w:line="360" w:lineRule="auto"/>
              <w:jc w:val="center"/>
              <w:rPr>
                <w:rFonts w:hint="eastAsia" w:ascii="宋体" w:hAnsi="宋体" w:cs="宋体"/>
                <w:color w:val="auto"/>
                <w:szCs w:val="21"/>
              </w:rPr>
            </w:pPr>
            <w:r>
              <w:rPr>
                <w:rFonts w:hint="eastAsia" w:ascii="宋体" w:hAnsi="宋体" w:cs="宋体"/>
                <w:color w:val="auto"/>
                <w:szCs w:val="21"/>
              </w:rPr>
              <w:t>10分</w:t>
            </w:r>
          </w:p>
        </w:tc>
      </w:tr>
      <w:tr w14:paraId="0810B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937" w:type="dxa"/>
            <w:vMerge w:val="continue"/>
            <w:vAlign w:val="center"/>
          </w:tcPr>
          <w:p w14:paraId="20141691">
            <w:pPr>
              <w:autoSpaceDE w:val="0"/>
              <w:autoSpaceDN w:val="0"/>
              <w:adjustRightInd w:val="0"/>
              <w:spacing w:before="120" w:beforeLines="50" w:line="360" w:lineRule="auto"/>
              <w:jc w:val="center"/>
              <w:rPr>
                <w:rFonts w:hint="eastAsia" w:ascii="宋体" w:hAnsi="宋体" w:cs="宋体"/>
                <w:b/>
                <w:bCs/>
                <w:color w:val="auto"/>
                <w:szCs w:val="21"/>
              </w:rPr>
            </w:pPr>
          </w:p>
        </w:tc>
        <w:tc>
          <w:tcPr>
            <w:tcW w:w="1610" w:type="dxa"/>
            <w:vMerge w:val="continue"/>
            <w:vAlign w:val="center"/>
          </w:tcPr>
          <w:p w14:paraId="3DB28DF2">
            <w:pPr>
              <w:autoSpaceDE w:val="0"/>
              <w:autoSpaceDN w:val="0"/>
              <w:adjustRightInd w:val="0"/>
              <w:spacing w:before="120" w:beforeLines="50" w:line="360" w:lineRule="auto"/>
              <w:jc w:val="center"/>
              <w:rPr>
                <w:rFonts w:hint="eastAsia" w:ascii="宋体" w:hAnsi="宋体" w:cs="宋体"/>
                <w:b/>
                <w:bCs/>
                <w:color w:val="auto"/>
                <w:szCs w:val="21"/>
              </w:rPr>
            </w:pPr>
          </w:p>
        </w:tc>
        <w:tc>
          <w:tcPr>
            <w:tcW w:w="5830" w:type="dxa"/>
            <w:gridSpan w:val="3"/>
            <w:vAlign w:val="center"/>
          </w:tcPr>
          <w:p w14:paraId="05FC4B85">
            <w:pPr>
              <w:spacing w:before="120" w:beforeLines="50" w:line="360" w:lineRule="auto"/>
              <w:rPr>
                <w:rFonts w:hint="eastAsia" w:ascii="宋体" w:hAnsi="宋体" w:cs="宋体"/>
                <w:b/>
                <w:bCs/>
                <w:color w:val="auto"/>
                <w:szCs w:val="21"/>
              </w:rPr>
            </w:pPr>
            <w:r>
              <w:rPr>
                <w:rFonts w:hint="eastAsia" w:ascii="宋体" w:hAnsi="宋体" w:cs="宋体"/>
                <w:b/>
                <w:bCs/>
                <w:color w:val="auto"/>
                <w:szCs w:val="21"/>
              </w:rPr>
              <w:t>保密管理措施及承诺评审评分</w:t>
            </w:r>
          </w:p>
          <w:p w14:paraId="3AE9CF2F">
            <w:pPr>
              <w:adjustRightInd w:val="0"/>
              <w:spacing w:line="360" w:lineRule="auto"/>
              <w:rPr>
                <w:rFonts w:hint="eastAsia" w:cs="宋体" w:asciiTheme="minorEastAsia" w:hAnsiTheme="minorEastAsia" w:eastAsiaTheme="minorEastAsia"/>
                <w:b/>
                <w:bCs/>
                <w:color w:val="auto"/>
                <w:szCs w:val="21"/>
              </w:rPr>
            </w:pPr>
            <w:r>
              <w:rPr>
                <w:rFonts w:hint="eastAsia" w:cs="宋体" w:asciiTheme="minorEastAsia" w:hAnsiTheme="minorEastAsia" w:eastAsiaTheme="minorEastAsia"/>
                <w:b/>
                <w:bCs/>
                <w:color w:val="auto"/>
                <w:szCs w:val="21"/>
              </w:rPr>
              <w:t>根据供应商提出的保密管理措施及承诺整体情况进行评审评分（包括但不限于：</w:t>
            </w:r>
            <w:r>
              <w:rPr>
                <w:rFonts w:hint="eastAsia" w:cs="宋体" w:asciiTheme="minorEastAsia" w:hAnsiTheme="minorEastAsia" w:eastAsiaTheme="minorEastAsia"/>
                <w:b/>
                <w:bCs/>
                <w:color w:val="auto"/>
                <w:szCs w:val="21"/>
              </w:rPr>
              <w:fldChar w:fldCharType="begin"/>
            </w:r>
            <w:r>
              <w:rPr>
                <w:rFonts w:hint="eastAsia" w:cs="宋体" w:asciiTheme="minorEastAsia" w:hAnsiTheme="minorEastAsia" w:eastAsiaTheme="minorEastAsia"/>
                <w:b/>
                <w:bCs/>
                <w:color w:val="auto"/>
                <w:szCs w:val="21"/>
              </w:rPr>
              <w:instrText xml:space="preserve"> = 1 \* GB3 </w:instrText>
            </w:r>
            <w:r>
              <w:rPr>
                <w:rFonts w:hint="eastAsia" w:cs="宋体" w:asciiTheme="minorEastAsia" w:hAnsiTheme="minorEastAsia" w:eastAsiaTheme="minorEastAsia"/>
                <w:b/>
                <w:bCs/>
                <w:color w:val="auto"/>
                <w:szCs w:val="21"/>
              </w:rPr>
              <w:fldChar w:fldCharType="separate"/>
            </w:r>
            <w:r>
              <w:rPr>
                <w:rFonts w:hint="eastAsia" w:cs="宋体" w:asciiTheme="minorEastAsia" w:hAnsiTheme="minorEastAsia" w:eastAsiaTheme="minorEastAsia"/>
                <w:b/>
                <w:bCs/>
                <w:color w:val="auto"/>
                <w:szCs w:val="21"/>
              </w:rPr>
              <w:t>①</w:t>
            </w:r>
            <w:r>
              <w:rPr>
                <w:rFonts w:hint="eastAsia" w:cs="宋体" w:asciiTheme="minorEastAsia" w:hAnsiTheme="minorEastAsia" w:eastAsiaTheme="minorEastAsia"/>
                <w:b/>
                <w:bCs/>
                <w:color w:val="auto"/>
                <w:szCs w:val="21"/>
              </w:rPr>
              <w:fldChar w:fldCharType="end"/>
            </w:r>
            <w:r>
              <w:rPr>
                <w:rFonts w:hint="eastAsia" w:cs="宋体" w:asciiTheme="minorEastAsia" w:hAnsiTheme="minorEastAsia" w:eastAsiaTheme="minorEastAsia"/>
                <w:b/>
                <w:bCs/>
                <w:color w:val="auto"/>
                <w:szCs w:val="21"/>
              </w:rPr>
              <w:t>保密管理制度；</w:t>
            </w:r>
            <w:r>
              <w:rPr>
                <w:rFonts w:hint="eastAsia" w:cs="宋体" w:asciiTheme="minorEastAsia" w:hAnsiTheme="minorEastAsia" w:eastAsiaTheme="minorEastAsia"/>
                <w:b/>
                <w:bCs/>
                <w:color w:val="auto"/>
                <w:szCs w:val="21"/>
              </w:rPr>
              <w:fldChar w:fldCharType="begin"/>
            </w:r>
            <w:r>
              <w:rPr>
                <w:rFonts w:hint="eastAsia" w:cs="宋体" w:asciiTheme="minorEastAsia" w:hAnsiTheme="minorEastAsia" w:eastAsiaTheme="minorEastAsia"/>
                <w:b/>
                <w:bCs/>
                <w:color w:val="auto"/>
                <w:szCs w:val="21"/>
              </w:rPr>
              <w:instrText xml:space="preserve"> = 2 \* GB3 </w:instrText>
            </w:r>
            <w:r>
              <w:rPr>
                <w:rFonts w:hint="eastAsia" w:cs="宋体" w:asciiTheme="minorEastAsia" w:hAnsiTheme="minorEastAsia" w:eastAsiaTheme="minorEastAsia"/>
                <w:b/>
                <w:bCs/>
                <w:color w:val="auto"/>
                <w:szCs w:val="21"/>
              </w:rPr>
              <w:fldChar w:fldCharType="separate"/>
            </w:r>
            <w:r>
              <w:rPr>
                <w:rFonts w:hint="eastAsia" w:cs="宋体" w:asciiTheme="minorEastAsia" w:hAnsiTheme="minorEastAsia" w:eastAsiaTheme="minorEastAsia"/>
                <w:b/>
                <w:bCs/>
                <w:color w:val="auto"/>
                <w:szCs w:val="21"/>
              </w:rPr>
              <w:t>②</w:t>
            </w:r>
            <w:r>
              <w:rPr>
                <w:rFonts w:hint="eastAsia" w:cs="宋体" w:asciiTheme="minorEastAsia" w:hAnsiTheme="minorEastAsia" w:eastAsiaTheme="minorEastAsia"/>
                <w:b/>
                <w:bCs/>
                <w:color w:val="auto"/>
                <w:szCs w:val="21"/>
              </w:rPr>
              <w:fldChar w:fldCharType="end"/>
            </w:r>
            <w:r>
              <w:rPr>
                <w:rFonts w:hint="eastAsia" w:cs="宋体" w:asciiTheme="minorEastAsia" w:hAnsiTheme="minorEastAsia" w:eastAsiaTheme="minorEastAsia"/>
                <w:b/>
                <w:bCs/>
                <w:color w:val="auto"/>
                <w:szCs w:val="21"/>
              </w:rPr>
              <w:t>保密管理措施</w:t>
            </w:r>
            <w:r>
              <w:rPr>
                <w:rFonts w:hint="eastAsia" w:ascii="宋体" w:hAnsi="宋体" w:cs="宋体"/>
                <w:b/>
                <w:color w:val="auto"/>
                <w:szCs w:val="21"/>
              </w:rPr>
              <w:t>；③</w:t>
            </w:r>
            <w:r>
              <w:rPr>
                <w:rFonts w:hint="eastAsia" w:cs="宋体" w:asciiTheme="minorEastAsia" w:hAnsiTheme="minorEastAsia" w:eastAsiaTheme="minorEastAsia"/>
                <w:b/>
                <w:bCs/>
                <w:color w:val="auto"/>
                <w:szCs w:val="21"/>
              </w:rPr>
              <w:t>违约责任承诺等）。</w:t>
            </w:r>
          </w:p>
          <w:p w14:paraId="36BE1BCF">
            <w:pPr>
              <w:spacing w:line="360" w:lineRule="auto"/>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（1）保密管理制度、保密管理措施内容齐全</w:t>
            </w:r>
            <w:r>
              <w:rPr>
                <w:rFonts w:hint="eastAsia" w:asciiTheme="minorEastAsia" w:hAnsiTheme="minorEastAsia" w:eastAsiaTheme="minorEastAsia"/>
                <w:color w:val="auto"/>
                <w:szCs w:val="21"/>
              </w:rPr>
              <w:t>、完善、符合项目实际情况，有具体的违约责任承诺</w:t>
            </w:r>
            <w:r>
              <w:rPr>
                <w:rFonts w:hint="eastAsia" w:cs="宋体" w:asciiTheme="minorEastAsia" w:hAnsiTheme="minorEastAsia" w:eastAsiaTheme="minorEastAsia"/>
                <w:color w:val="auto"/>
                <w:szCs w:val="21"/>
              </w:rPr>
              <w:t>的，得15分；</w:t>
            </w:r>
          </w:p>
          <w:p w14:paraId="363DB6F5">
            <w:pPr>
              <w:snapToGrid w:val="0"/>
              <w:spacing w:line="360" w:lineRule="auto"/>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（2）保密管理制度、保密管理措施、</w:t>
            </w:r>
            <w:r>
              <w:rPr>
                <w:rFonts w:hint="eastAsia"/>
                <w:color w:val="auto"/>
                <w:szCs w:val="21"/>
              </w:rPr>
              <w:t>违约责任承诺</w:t>
            </w:r>
            <w:r>
              <w:rPr>
                <w:rFonts w:hint="eastAsia" w:ascii="宋体" w:hAnsi="宋体"/>
                <w:color w:val="auto"/>
                <w:szCs w:val="21"/>
              </w:rPr>
              <w:t>每出现一项缺漏的</w:t>
            </w:r>
            <w:r>
              <w:rPr>
                <w:rFonts w:hint="eastAsia" w:cs="宋体" w:asciiTheme="minorEastAsia" w:hAnsiTheme="minorEastAsia" w:eastAsiaTheme="minorEastAsia"/>
                <w:color w:val="auto"/>
                <w:szCs w:val="21"/>
              </w:rPr>
              <w:t>，扣5分；</w:t>
            </w:r>
          </w:p>
          <w:p w14:paraId="78A097E9">
            <w:pPr>
              <w:spacing w:line="360" w:lineRule="auto"/>
              <w:rPr>
                <w:rFonts w:hint="eastAsia" w:ascii="宋体" w:hAnsi="宋体" w:cs="宋体"/>
                <w:b/>
                <w:bCs/>
                <w:color w:val="auto"/>
                <w:szCs w:val="21"/>
              </w:rPr>
            </w:pPr>
            <w:r>
              <w:rPr>
                <w:rFonts w:hint="eastAsia" w:cs="宋体" w:asciiTheme="minorEastAsia" w:hAnsiTheme="minorEastAsia" w:eastAsiaTheme="minorEastAsia"/>
                <w:color w:val="auto"/>
                <w:szCs w:val="21"/>
              </w:rPr>
              <w:t>（3）</w:t>
            </w:r>
            <w:r>
              <w:rPr>
                <w:rFonts w:hint="eastAsia" w:ascii="宋体" w:hAnsi="宋体" w:cs="宋体"/>
                <w:color w:val="auto"/>
                <w:szCs w:val="21"/>
              </w:rPr>
              <w:t>违约责任承诺不具体的</w:t>
            </w:r>
            <w:r>
              <w:rPr>
                <w:rFonts w:hint="eastAsia" w:cs="宋体" w:asciiTheme="minorEastAsia" w:hAnsiTheme="minorEastAsia" w:eastAsiaTheme="minorEastAsia"/>
                <w:color w:val="auto"/>
                <w:szCs w:val="21"/>
              </w:rPr>
              <w:t>，</w:t>
            </w:r>
            <w:r>
              <w:rPr>
                <w:rFonts w:hint="eastAsia" w:asciiTheme="minorEastAsia" w:hAnsiTheme="minorEastAsia" w:eastAsiaTheme="minorEastAsia"/>
                <w:color w:val="auto"/>
                <w:szCs w:val="21"/>
              </w:rPr>
              <w:t>扣3分；保密</w:t>
            </w:r>
            <w:r>
              <w:rPr>
                <w:rFonts w:hint="eastAsia" w:cs="宋体" w:asciiTheme="minorEastAsia" w:hAnsiTheme="minorEastAsia" w:eastAsiaTheme="minorEastAsia"/>
                <w:color w:val="auto"/>
                <w:szCs w:val="21"/>
              </w:rPr>
              <w:t>管理</w:t>
            </w:r>
            <w:r>
              <w:rPr>
                <w:rFonts w:hint="eastAsia" w:asciiTheme="minorEastAsia" w:hAnsiTheme="minorEastAsia" w:eastAsiaTheme="minorEastAsia"/>
                <w:color w:val="auto"/>
                <w:szCs w:val="21"/>
              </w:rPr>
              <w:t>制度、保密</w:t>
            </w:r>
            <w:r>
              <w:rPr>
                <w:rFonts w:hint="eastAsia" w:cs="宋体" w:asciiTheme="minorEastAsia" w:hAnsiTheme="minorEastAsia" w:eastAsiaTheme="minorEastAsia"/>
                <w:color w:val="auto"/>
                <w:szCs w:val="21"/>
              </w:rPr>
              <w:t>管理</w:t>
            </w:r>
            <w:r>
              <w:rPr>
                <w:rFonts w:hint="eastAsia" w:asciiTheme="minorEastAsia" w:hAnsiTheme="minorEastAsia" w:eastAsiaTheme="minorEastAsia"/>
                <w:color w:val="auto"/>
                <w:szCs w:val="21"/>
              </w:rPr>
              <w:t>措施</w:t>
            </w:r>
            <w:r>
              <w:rPr>
                <w:rFonts w:hint="eastAsia" w:cs="宋体" w:asciiTheme="minorEastAsia" w:hAnsiTheme="minorEastAsia" w:eastAsiaTheme="minorEastAsia"/>
                <w:color w:val="auto"/>
                <w:szCs w:val="21"/>
              </w:rPr>
              <w:t>不完善</w:t>
            </w:r>
            <w:r>
              <w:rPr>
                <w:rFonts w:hint="eastAsia" w:asciiTheme="minorEastAsia" w:hAnsiTheme="minorEastAsia" w:eastAsiaTheme="minorEastAsia"/>
                <w:color w:val="auto"/>
                <w:szCs w:val="21"/>
              </w:rPr>
              <w:t>或不符合项目实际情况</w:t>
            </w:r>
            <w:r>
              <w:rPr>
                <w:rFonts w:hint="eastAsia" w:cs="宋体" w:asciiTheme="minorEastAsia" w:hAnsiTheme="minorEastAsia" w:eastAsiaTheme="minorEastAsia"/>
                <w:color w:val="auto"/>
                <w:szCs w:val="21"/>
              </w:rPr>
              <w:t>的，扣2分。</w:t>
            </w:r>
          </w:p>
        </w:tc>
        <w:tc>
          <w:tcPr>
            <w:tcW w:w="888" w:type="dxa"/>
            <w:vAlign w:val="center"/>
          </w:tcPr>
          <w:p w14:paraId="43F0CDB7">
            <w:pPr>
              <w:autoSpaceDE w:val="0"/>
              <w:autoSpaceDN w:val="0"/>
              <w:adjustRightInd w:val="0"/>
              <w:spacing w:before="120" w:beforeLines="50" w:line="360" w:lineRule="auto"/>
              <w:jc w:val="center"/>
              <w:rPr>
                <w:rFonts w:hint="eastAsia" w:ascii="宋体" w:hAnsi="宋体" w:cs="宋体"/>
                <w:color w:val="auto"/>
                <w:szCs w:val="21"/>
              </w:rPr>
            </w:pPr>
            <w:r>
              <w:rPr>
                <w:rFonts w:hint="eastAsia" w:ascii="宋体" w:hAnsi="宋体" w:cs="宋体"/>
                <w:color w:val="auto"/>
                <w:szCs w:val="21"/>
              </w:rPr>
              <w:t>15分</w:t>
            </w:r>
          </w:p>
        </w:tc>
      </w:tr>
      <w:tr w14:paraId="7218E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937" w:type="dxa"/>
            <w:vMerge w:val="continue"/>
            <w:vAlign w:val="center"/>
          </w:tcPr>
          <w:p w14:paraId="04B987C7">
            <w:pPr>
              <w:autoSpaceDE w:val="0"/>
              <w:autoSpaceDN w:val="0"/>
              <w:adjustRightInd w:val="0"/>
              <w:spacing w:before="120" w:beforeLines="50" w:line="360" w:lineRule="auto"/>
              <w:jc w:val="center"/>
              <w:rPr>
                <w:rFonts w:hint="eastAsia" w:ascii="宋体" w:hAnsi="宋体" w:cs="宋体"/>
                <w:b/>
                <w:bCs/>
                <w:color w:val="auto"/>
                <w:szCs w:val="21"/>
              </w:rPr>
            </w:pPr>
          </w:p>
        </w:tc>
        <w:tc>
          <w:tcPr>
            <w:tcW w:w="1610" w:type="dxa"/>
            <w:vMerge w:val="continue"/>
            <w:vAlign w:val="center"/>
          </w:tcPr>
          <w:p w14:paraId="5C9A8621">
            <w:pPr>
              <w:autoSpaceDE w:val="0"/>
              <w:autoSpaceDN w:val="0"/>
              <w:adjustRightInd w:val="0"/>
              <w:spacing w:before="120" w:beforeLines="50" w:line="360" w:lineRule="auto"/>
              <w:jc w:val="center"/>
              <w:rPr>
                <w:rFonts w:hint="eastAsia" w:ascii="宋体" w:hAnsi="宋体" w:cs="宋体"/>
                <w:b/>
                <w:bCs/>
                <w:color w:val="auto"/>
                <w:szCs w:val="21"/>
              </w:rPr>
            </w:pPr>
          </w:p>
        </w:tc>
        <w:tc>
          <w:tcPr>
            <w:tcW w:w="5830" w:type="dxa"/>
            <w:gridSpan w:val="3"/>
            <w:vAlign w:val="center"/>
          </w:tcPr>
          <w:p w14:paraId="2F18799B">
            <w:pPr>
              <w:adjustRightInd w:val="0"/>
              <w:spacing w:before="120" w:beforeLines="50" w:line="360" w:lineRule="auto"/>
              <w:rPr>
                <w:rFonts w:hint="eastAsia" w:ascii="宋体" w:hAnsi="宋体" w:cs="宋体"/>
                <w:b/>
                <w:bCs/>
                <w:color w:val="auto"/>
                <w:szCs w:val="21"/>
              </w:rPr>
            </w:pPr>
            <w:bookmarkStart w:id="1245" w:name="OLE_LINK3"/>
            <w:bookmarkStart w:id="1246" w:name="_Hlk193273465"/>
            <w:r>
              <w:rPr>
                <w:rFonts w:hint="eastAsia" w:ascii="宋体" w:hAnsi="宋体" w:cs="宋体"/>
                <w:b/>
                <w:bCs/>
                <w:color w:val="auto"/>
                <w:szCs w:val="21"/>
              </w:rPr>
              <w:t>档案</w:t>
            </w:r>
            <w:bookmarkEnd w:id="1245"/>
            <w:r>
              <w:rPr>
                <w:rFonts w:hint="eastAsia" w:ascii="宋体" w:hAnsi="宋体" w:cs="宋体"/>
                <w:b/>
                <w:bCs/>
                <w:color w:val="auto"/>
                <w:szCs w:val="21"/>
              </w:rPr>
              <w:t>管理制度</w:t>
            </w:r>
            <w:bookmarkEnd w:id="1246"/>
            <w:r>
              <w:rPr>
                <w:rFonts w:hint="eastAsia" w:ascii="宋体" w:hAnsi="宋体" w:cs="宋体"/>
                <w:b/>
                <w:bCs/>
                <w:color w:val="auto"/>
                <w:szCs w:val="21"/>
              </w:rPr>
              <w:t>评审评分</w:t>
            </w:r>
          </w:p>
          <w:p w14:paraId="58FDEC13">
            <w:pPr>
              <w:adjustRightInd w:val="0"/>
              <w:spacing w:line="360" w:lineRule="auto"/>
              <w:rPr>
                <w:rFonts w:hint="eastAsia" w:asciiTheme="minorEastAsia" w:hAnsiTheme="minorEastAsia" w:eastAsiaTheme="minorEastAsia"/>
                <w:b/>
                <w:bCs/>
                <w:color w:val="auto"/>
                <w:szCs w:val="21"/>
              </w:rPr>
            </w:pPr>
            <w:r>
              <w:rPr>
                <w:rFonts w:hint="eastAsia" w:asciiTheme="minorEastAsia" w:hAnsiTheme="minorEastAsia" w:eastAsiaTheme="minorEastAsia"/>
                <w:b/>
                <w:bCs/>
                <w:color w:val="auto"/>
                <w:szCs w:val="21"/>
              </w:rPr>
              <w:t>根据供应商应提出的档案管理制度整体情况进行评审评分（包括但不限于</w:t>
            </w:r>
            <w:r>
              <w:rPr>
                <w:rFonts w:hint="eastAsia" w:cs="宋体" w:asciiTheme="minorEastAsia" w:hAnsiTheme="minorEastAsia" w:eastAsiaTheme="minorEastAsia"/>
                <w:b/>
                <w:bCs/>
                <w:color w:val="auto"/>
                <w:szCs w:val="21"/>
              </w:rPr>
              <w:t>：</w:t>
            </w:r>
            <w:r>
              <w:rPr>
                <w:rFonts w:hint="eastAsia" w:cs="宋体" w:asciiTheme="minorEastAsia" w:hAnsiTheme="minorEastAsia" w:eastAsiaTheme="minorEastAsia"/>
                <w:b/>
                <w:bCs/>
                <w:color w:val="auto"/>
                <w:szCs w:val="21"/>
              </w:rPr>
              <w:fldChar w:fldCharType="begin"/>
            </w:r>
            <w:r>
              <w:rPr>
                <w:rFonts w:hint="eastAsia" w:cs="宋体" w:asciiTheme="minorEastAsia" w:hAnsiTheme="minorEastAsia" w:eastAsiaTheme="minorEastAsia"/>
                <w:b/>
                <w:bCs/>
                <w:color w:val="auto"/>
                <w:szCs w:val="21"/>
              </w:rPr>
              <w:instrText xml:space="preserve"> = 1 \* GB3 </w:instrText>
            </w:r>
            <w:r>
              <w:rPr>
                <w:rFonts w:hint="eastAsia" w:cs="宋体" w:asciiTheme="minorEastAsia" w:hAnsiTheme="minorEastAsia" w:eastAsiaTheme="minorEastAsia"/>
                <w:b/>
                <w:bCs/>
                <w:color w:val="auto"/>
                <w:szCs w:val="21"/>
              </w:rPr>
              <w:fldChar w:fldCharType="separate"/>
            </w:r>
            <w:r>
              <w:rPr>
                <w:rFonts w:hint="eastAsia" w:cs="宋体" w:asciiTheme="minorEastAsia" w:hAnsiTheme="minorEastAsia" w:eastAsiaTheme="minorEastAsia"/>
                <w:b/>
                <w:bCs/>
                <w:color w:val="auto"/>
                <w:szCs w:val="21"/>
              </w:rPr>
              <w:t>①</w:t>
            </w:r>
            <w:r>
              <w:rPr>
                <w:rFonts w:hint="eastAsia" w:cs="宋体" w:asciiTheme="minorEastAsia" w:hAnsiTheme="minorEastAsia" w:eastAsiaTheme="minorEastAsia"/>
                <w:b/>
                <w:bCs/>
                <w:color w:val="auto"/>
                <w:szCs w:val="21"/>
              </w:rPr>
              <w:fldChar w:fldCharType="end"/>
            </w:r>
            <w:r>
              <w:rPr>
                <w:rFonts w:hint="eastAsia" w:eastAsiaTheme="minorEastAsia"/>
                <w:b/>
                <w:color w:val="auto"/>
                <w:szCs w:val="21"/>
              </w:rPr>
              <w:t>档案管理制度；</w:t>
            </w:r>
            <w:r>
              <w:rPr>
                <w:rFonts w:hint="eastAsia" w:eastAsiaTheme="minorEastAsia"/>
                <w:b/>
                <w:color w:val="auto"/>
                <w:szCs w:val="21"/>
              </w:rPr>
              <w:fldChar w:fldCharType="begin"/>
            </w:r>
            <w:r>
              <w:rPr>
                <w:rFonts w:hint="eastAsia" w:eastAsiaTheme="minorEastAsia"/>
                <w:b/>
                <w:color w:val="auto"/>
                <w:szCs w:val="21"/>
              </w:rPr>
              <w:instrText xml:space="preserve"> = 2 \* GB3 </w:instrText>
            </w:r>
            <w:r>
              <w:rPr>
                <w:rFonts w:hint="eastAsia" w:eastAsiaTheme="minorEastAsia"/>
                <w:b/>
                <w:color w:val="auto"/>
                <w:szCs w:val="21"/>
              </w:rPr>
              <w:fldChar w:fldCharType="separate"/>
            </w:r>
            <w:r>
              <w:rPr>
                <w:rFonts w:hint="eastAsia" w:eastAsiaTheme="minorEastAsia"/>
                <w:b/>
                <w:color w:val="auto"/>
                <w:szCs w:val="21"/>
              </w:rPr>
              <w:t>②</w:t>
            </w:r>
            <w:r>
              <w:rPr>
                <w:rFonts w:hint="eastAsia" w:eastAsiaTheme="minorEastAsia"/>
                <w:b/>
                <w:color w:val="auto"/>
                <w:szCs w:val="21"/>
              </w:rPr>
              <w:fldChar w:fldCharType="end"/>
            </w:r>
            <w:r>
              <w:rPr>
                <w:rFonts w:hint="eastAsia"/>
                <w:b/>
                <w:color w:val="auto"/>
                <w:szCs w:val="21"/>
              </w:rPr>
              <w:t>分类标准与归档规范</w:t>
            </w:r>
            <w:r>
              <w:rPr>
                <w:rFonts w:hint="eastAsia" w:ascii="宋体" w:hAnsi="宋体" w:cs="宋体"/>
                <w:b/>
                <w:color w:val="auto"/>
                <w:szCs w:val="21"/>
              </w:rPr>
              <w:t>；③</w:t>
            </w:r>
            <w:r>
              <w:rPr>
                <w:rFonts w:hint="eastAsia"/>
                <w:b/>
                <w:color w:val="auto"/>
                <w:szCs w:val="21"/>
              </w:rPr>
              <w:t>管理流程</w:t>
            </w:r>
            <w:r>
              <w:rPr>
                <w:rFonts w:hint="eastAsia" w:asciiTheme="minorEastAsia" w:hAnsiTheme="minorEastAsia" w:eastAsiaTheme="minorEastAsia"/>
                <w:b/>
                <w:bCs/>
                <w:color w:val="auto"/>
                <w:szCs w:val="21"/>
              </w:rPr>
              <w:t>等）。</w:t>
            </w:r>
          </w:p>
          <w:p w14:paraId="20567AA8">
            <w:pPr>
              <w:pStyle w:val="49"/>
              <w:spacing w:before="0" w:beforeAutospacing="0" w:after="0" w:afterAutospacing="0" w:line="360" w:lineRule="auto"/>
              <w:rPr>
                <w:rFonts w:hint="eastAsia"/>
                <w:color w:val="auto"/>
                <w:sz w:val="21"/>
                <w:szCs w:val="21"/>
              </w:rPr>
            </w:pPr>
            <w:r>
              <w:rPr>
                <w:rFonts w:hint="eastAsia"/>
                <w:color w:val="auto"/>
                <w:sz w:val="21"/>
                <w:szCs w:val="21"/>
              </w:rPr>
              <w:t>（1）档案管理制度、分类标准与归档规范、管理流程内容齐全、完善、符合项目实际情况的，得15分；</w:t>
            </w:r>
          </w:p>
          <w:p w14:paraId="30AC4C22">
            <w:pPr>
              <w:adjustRightInd w:val="0"/>
              <w:spacing w:line="360" w:lineRule="auto"/>
              <w:rPr>
                <w:rFonts w:hint="eastAsia" w:ascii="宋体" w:hAnsi="宋体"/>
                <w:color w:val="auto"/>
                <w:szCs w:val="21"/>
              </w:rPr>
            </w:pPr>
            <w:r>
              <w:rPr>
                <w:rFonts w:hint="eastAsia" w:ascii="宋体" w:hAnsi="宋体"/>
                <w:color w:val="auto"/>
                <w:szCs w:val="21"/>
              </w:rPr>
              <w:t>（2）</w:t>
            </w:r>
            <w:r>
              <w:rPr>
                <w:rFonts w:hint="eastAsia"/>
                <w:color w:val="auto"/>
                <w:szCs w:val="21"/>
              </w:rPr>
              <w:t>档案管理制度、分类标准与归档规范、</w:t>
            </w:r>
            <w:bookmarkStart w:id="1247" w:name="OLE_LINK4"/>
            <w:r>
              <w:rPr>
                <w:rFonts w:hint="eastAsia"/>
                <w:color w:val="auto"/>
                <w:szCs w:val="21"/>
              </w:rPr>
              <w:t>管理流程</w:t>
            </w:r>
            <w:bookmarkEnd w:id="1247"/>
            <w:r>
              <w:rPr>
                <w:rFonts w:hint="eastAsia" w:ascii="宋体" w:hAnsi="宋体"/>
                <w:color w:val="auto"/>
                <w:szCs w:val="21"/>
              </w:rPr>
              <w:t>每出现一项缺漏的，扣5分；</w:t>
            </w:r>
          </w:p>
          <w:p w14:paraId="5CF18AAB">
            <w:pPr>
              <w:autoSpaceDE w:val="0"/>
              <w:autoSpaceDN w:val="0"/>
              <w:adjustRightInd w:val="0"/>
              <w:spacing w:line="360" w:lineRule="auto"/>
              <w:jc w:val="left"/>
              <w:rPr>
                <w:rFonts w:hint="eastAsia" w:ascii="宋体" w:hAnsi="宋体" w:cs="宋体"/>
                <w:b/>
                <w:bCs/>
                <w:color w:val="auto"/>
                <w:szCs w:val="21"/>
              </w:rPr>
            </w:pPr>
            <w:r>
              <w:rPr>
                <w:rFonts w:hint="eastAsia" w:ascii="宋体" w:hAnsi="宋体"/>
                <w:color w:val="auto"/>
                <w:szCs w:val="21"/>
              </w:rPr>
              <w:t>（3）</w:t>
            </w:r>
            <w:r>
              <w:rPr>
                <w:rFonts w:hint="eastAsia"/>
                <w:color w:val="auto"/>
                <w:szCs w:val="21"/>
              </w:rPr>
              <w:t>档案管理制度、分类标准与归档规范、管理流程</w:t>
            </w:r>
            <w:r>
              <w:rPr>
                <w:rFonts w:hint="eastAsia" w:ascii="宋体" w:hAnsi="宋体"/>
                <w:color w:val="auto"/>
                <w:szCs w:val="21"/>
              </w:rPr>
              <w:t>每有一项不完善或不符合项目实际情况的，扣2分。</w:t>
            </w:r>
          </w:p>
        </w:tc>
        <w:tc>
          <w:tcPr>
            <w:tcW w:w="888" w:type="dxa"/>
            <w:vAlign w:val="center"/>
          </w:tcPr>
          <w:p w14:paraId="3961A58D">
            <w:pPr>
              <w:autoSpaceDE w:val="0"/>
              <w:autoSpaceDN w:val="0"/>
              <w:adjustRightInd w:val="0"/>
              <w:spacing w:before="120" w:beforeLines="50" w:line="360" w:lineRule="auto"/>
              <w:jc w:val="center"/>
              <w:rPr>
                <w:rFonts w:hint="eastAsia" w:ascii="宋体" w:hAnsi="宋体" w:cs="宋体"/>
                <w:color w:val="auto"/>
                <w:szCs w:val="21"/>
              </w:rPr>
            </w:pPr>
            <w:r>
              <w:rPr>
                <w:rFonts w:hint="eastAsia" w:ascii="宋体" w:hAnsi="宋体" w:cs="宋体"/>
                <w:color w:val="auto"/>
                <w:szCs w:val="21"/>
              </w:rPr>
              <w:t>15分</w:t>
            </w:r>
          </w:p>
        </w:tc>
      </w:tr>
      <w:tr w14:paraId="6582F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937" w:type="dxa"/>
            <w:vMerge w:val="restart"/>
            <w:vAlign w:val="center"/>
          </w:tcPr>
          <w:p w14:paraId="415B9107">
            <w:pPr>
              <w:autoSpaceDE w:val="0"/>
              <w:autoSpaceDN w:val="0"/>
              <w:adjustRightInd w:val="0"/>
              <w:spacing w:before="120" w:beforeLines="50" w:line="360" w:lineRule="auto"/>
              <w:jc w:val="center"/>
              <w:rPr>
                <w:rFonts w:hint="eastAsia" w:ascii="宋体" w:hAnsi="宋体" w:cs="宋体"/>
                <w:b/>
                <w:bCs/>
                <w:color w:val="auto"/>
                <w:szCs w:val="21"/>
              </w:rPr>
            </w:pPr>
            <w:r>
              <w:rPr>
                <w:rFonts w:hint="eastAsia" w:ascii="宋体" w:hAnsi="宋体" w:cs="宋体"/>
                <w:color w:val="auto"/>
                <w:szCs w:val="21"/>
              </w:rPr>
              <w:t>2.2.3</w:t>
            </w:r>
          </w:p>
        </w:tc>
        <w:tc>
          <w:tcPr>
            <w:tcW w:w="1610" w:type="dxa"/>
            <w:vMerge w:val="restart"/>
            <w:vAlign w:val="center"/>
          </w:tcPr>
          <w:p w14:paraId="70D7916E">
            <w:pPr>
              <w:pStyle w:val="330"/>
              <w:spacing w:before="120" w:beforeLines="50" w:line="360" w:lineRule="auto"/>
              <w:jc w:val="center"/>
              <w:rPr>
                <w:rFonts w:hint="eastAsia"/>
                <w:color w:val="auto"/>
                <w:sz w:val="21"/>
                <w:szCs w:val="21"/>
                <w:lang w:eastAsia="zh-CN"/>
              </w:rPr>
            </w:pPr>
            <w:r>
              <w:rPr>
                <w:rFonts w:hint="eastAsia"/>
                <w:color w:val="auto"/>
                <w:sz w:val="21"/>
                <w:szCs w:val="21"/>
                <w:lang w:eastAsia="zh-CN"/>
              </w:rPr>
              <w:t>商务部分</w:t>
            </w:r>
          </w:p>
          <w:p w14:paraId="18F32BA3">
            <w:pPr>
              <w:pStyle w:val="330"/>
              <w:spacing w:before="0" w:line="360" w:lineRule="auto"/>
              <w:jc w:val="center"/>
              <w:rPr>
                <w:rFonts w:hint="eastAsia"/>
                <w:color w:val="auto"/>
                <w:sz w:val="21"/>
                <w:szCs w:val="21"/>
                <w:lang w:eastAsia="zh-CN"/>
              </w:rPr>
            </w:pPr>
            <w:r>
              <w:rPr>
                <w:rFonts w:hint="eastAsia"/>
                <w:color w:val="auto"/>
                <w:sz w:val="21"/>
                <w:szCs w:val="21"/>
                <w:lang w:eastAsia="zh-CN"/>
              </w:rPr>
              <w:t>评审标准</w:t>
            </w:r>
          </w:p>
          <w:p w14:paraId="43DDDDA9">
            <w:pPr>
              <w:autoSpaceDE w:val="0"/>
              <w:autoSpaceDN w:val="0"/>
              <w:adjustRightInd w:val="0"/>
              <w:spacing w:line="360" w:lineRule="auto"/>
              <w:jc w:val="center"/>
              <w:rPr>
                <w:rFonts w:hint="eastAsia" w:ascii="宋体" w:hAnsi="宋体" w:cs="宋体"/>
                <w:b/>
                <w:bCs/>
                <w:color w:val="auto"/>
                <w:szCs w:val="21"/>
              </w:rPr>
            </w:pPr>
            <w:r>
              <w:rPr>
                <w:rFonts w:hint="eastAsia" w:ascii="宋体" w:hAnsi="宋体" w:cs="宋体"/>
                <w:color w:val="auto"/>
                <w:szCs w:val="21"/>
              </w:rPr>
              <w:t>（满分20分）</w:t>
            </w:r>
          </w:p>
        </w:tc>
        <w:tc>
          <w:tcPr>
            <w:tcW w:w="5830" w:type="dxa"/>
            <w:gridSpan w:val="3"/>
            <w:vAlign w:val="center"/>
          </w:tcPr>
          <w:p w14:paraId="318D873E">
            <w:pPr>
              <w:wordWrap w:val="0"/>
              <w:topLinePunct/>
              <w:snapToGrid w:val="0"/>
              <w:spacing w:line="360" w:lineRule="auto"/>
              <w:rPr>
                <w:rFonts w:hint="eastAsia" w:cs="宋体" w:asciiTheme="minorEastAsia" w:hAnsiTheme="minorEastAsia" w:eastAsiaTheme="minorEastAsia"/>
                <w:b/>
                <w:color w:val="auto"/>
                <w:szCs w:val="21"/>
              </w:rPr>
            </w:pPr>
            <w:r>
              <w:rPr>
                <w:rFonts w:hint="eastAsia" w:cs="宋体" w:asciiTheme="minorEastAsia" w:hAnsiTheme="minorEastAsia" w:eastAsiaTheme="minorEastAsia"/>
                <w:b/>
                <w:color w:val="auto"/>
                <w:szCs w:val="21"/>
              </w:rPr>
              <w:t>类似项目业绩评审评分</w:t>
            </w:r>
          </w:p>
          <w:p w14:paraId="1D8A301D">
            <w:pPr>
              <w:snapToGrid w:val="0"/>
              <w:spacing w:line="360" w:lineRule="auto"/>
              <w:rPr>
                <w:rFonts w:hint="eastAsia" w:ascii="宋体" w:hAnsi="宋体"/>
                <w:color w:val="auto"/>
                <w:szCs w:val="21"/>
              </w:rPr>
            </w:pPr>
            <w:r>
              <w:rPr>
                <w:rFonts w:hint="eastAsia" w:ascii="宋体" w:hAnsi="宋体"/>
                <w:color w:val="auto"/>
                <w:szCs w:val="21"/>
              </w:rPr>
              <w:t>供应商每承担过1个类似项目的，得5分，满分为10分。</w:t>
            </w:r>
          </w:p>
          <w:p w14:paraId="5964932A">
            <w:pPr>
              <w:wordWrap w:val="0"/>
              <w:topLinePunct/>
              <w:snapToGrid w:val="0"/>
              <w:spacing w:line="360" w:lineRule="auto"/>
              <w:rPr>
                <w:rFonts w:hint="eastAsia" w:cs="宋体" w:asciiTheme="minorEastAsia" w:hAnsiTheme="minorEastAsia" w:eastAsiaTheme="minorEastAsia"/>
                <w:b/>
                <w:color w:val="auto"/>
                <w:szCs w:val="21"/>
              </w:rPr>
            </w:pPr>
            <w:r>
              <w:rPr>
                <w:rFonts w:hint="eastAsia" w:ascii="宋体" w:hAnsi="宋体"/>
                <w:color w:val="auto"/>
                <w:szCs w:val="21"/>
              </w:rPr>
              <w:t>注：业绩证明材料须提供中标（成交）通知书或合同（协议书）或业主证明材料的</w:t>
            </w:r>
            <w:r>
              <w:rPr>
                <w:rFonts w:hint="eastAsia" w:ascii="宋体" w:hAnsi="宋体" w:cs="宋体"/>
                <w:color w:val="auto"/>
                <w:szCs w:val="21"/>
              </w:rPr>
              <w:t>原件</w:t>
            </w:r>
            <w:r>
              <w:rPr>
                <w:rFonts w:hint="eastAsia" w:ascii="宋体" w:hAnsi="宋体"/>
                <w:color w:val="auto"/>
                <w:szCs w:val="21"/>
              </w:rPr>
              <w:t>扫描件。</w:t>
            </w:r>
          </w:p>
        </w:tc>
        <w:tc>
          <w:tcPr>
            <w:tcW w:w="888" w:type="dxa"/>
            <w:vAlign w:val="center"/>
          </w:tcPr>
          <w:p w14:paraId="026E88CE">
            <w:pPr>
              <w:autoSpaceDE w:val="0"/>
              <w:autoSpaceDN w:val="0"/>
              <w:adjustRightInd w:val="0"/>
              <w:spacing w:before="120" w:beforeLines="50" w:line="360" w:lineRule="auto"/>
              <w:jc w:val="center"/>
              <w:rPr>
                <w:rFonts w:hint="eastAsia" w:ascii="宋体" w:hAnsi="宋体" w:cs="宋体"/>
                <w:color w:val="auto"/>
                <w:szCs w:val="21"/>
              </w:rPr>
            </w:pPr>
            <w:r>
              <w:rPr>
                <w:rFonts w:hint="eastAsia" w:ascii="宋体" w:hAnsi="宋体" w:cs="宋体"/>
                <w:color w:val="auto"/>
                <w:szCs w:val="21"/>
              </w:rPr>
              <w:t>10分</w:t>
            </w:r>
          </w:p>
        </w:tc>
      </w:tr>
      <w:tr w14:paraId="629C2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937" w:type="dxa"/>
            <w:vMerge w:val="continue"/>
            <w:vAlign w:val="center"/>
          </w:tcPr>
          <w:p w14:paraId="6B9BCE50">
            <w:pPr>
              <w:autoSpaceDE w:val="0"/>
              <w:autoSpaceDN w:val="0"/>
              <w:adjustRightInd w:val="0"/>
              <w:spacing w:before="120" w:beforeLines="50" w:line="360" w:lineRule="auto"/>
              <w:jc w:val="center"/>
              <w:rPr>
                <w:rFonts w:hint="eastAsia" w:ascii="宋体" w:hAnsi="宋体" w:cs="宋体"/>
                <w:color w:val="auto"/>
                <w:szCs w:val="21"/>
              </w:rPr>
            </w:pPr>
            <w:bookmarkStart w:id="1248" w:name="_Toc110405175"/>
            <w:bookmarkStart w:id="1249" w:name="_Toc87538407"/>
            <w:bookmarkStart w:id="1250" w:name="_Toc83753930"/>
            <w:bookmarkStart w:id="1251" w:name="_Toc84356290"/>
            <w:bookmarkStart w:id="1252" w:name="_Toc87543858"/>
            <w:bookmarkStart w:id="1253" w:name="_Toc81330978"/>
            <w:bookmarkStart w:id="1254" w:name="_Toc45791393"/>
            <w:bookmarkStart w:id="1255" w:name="_Toc42205032"/>
            <w:bookmarkStart w:id="1256" w:name="_Hlk83753665"/>
          </w:p>
        </w:tc>
        <w:tc>
          <w:tcPr>
            <w:tcW w:w="1610" w:type="dxa"/>
            <w:vMerge w:val="continue"/>
            <w:vAlign w:val="center"/>
          </w:tcPr>
          <w:p w14:paraId="5346CE2B">
            <w:pPr>
              <w:autoSpaceDE w:val="0"/>
              <w:autoSpaceDN w:val="0"/>
              <w:adjustRightInd w:val="0"/>
              <w:spacing w:line="360" w:lineRule="auto"/>
              <w:jc w:val="center"/>
              <w:rPr>
                <w:rFonts w:hint="eastAsia" w:ascii="宋体" w:hAnsi="宋体" w:cs="宋体"/>
                <w:color w:val="auto"/>
                <w:szCs w:val="21"/>
              </w:rPr>
            </w:pPr>
          </w:p>
        </w:tc>
        <w:tc>
          <w:tcPr>
            <w:tcW w:w="5830" w:type="dxa"/>
            <w:gridSpan w:val="3"/>
            <w:vAlign w:val="center"/>
          </w:tcPr>
          <w:p w14:paraId="293EE938">
            <w:pPr>
              <w:spacing w:before="120" w:beforeLines="50" w:line="360" w:lineRule="auto"/>
              <w:rPr>
                <w:rFonts w:hint="eastAsia" w:ascii="宋体" w:hAnsi="宋体"/>
                <w:b/>
                <w:bCs/>
                <w:color w:val="auto"/>
                <w:szCs w:val="21"/>
              </w:rPr>
            </w:pPr>
            <w:r>
              <w:rPr>
                <w:rFonts w:ascii="宋体" w:hAnsi="宋体"/>
                <w:b/>
                <w:bCs/>
                <w:color w:val="auto"/>
                <w:szCs w:val="21"/>
              </w:rPr>
              <w:t>磋商报价评审评分</w:t>
            </w:r>
          </w:p>
          <w:p w14:paraId="6D85CBA7">
            <w:pPr>
              <w:tabs>
                <w:tab w:val="left" w:pos="2160"/>
                <w:tab w:val="left" w:pos="3255"/>
                <w:tab w:val="left" w:pos="4830"/>
              </w:tabs>
              <w:spacing w:line="360" w:lineRule="auto"/>
              <w:rPr>
                <w:rFonts w:hint="eastAsia" w:ascii="宋体" w:hAnsi="宋体" w:cs="仿宋"/>
                <w:color w:val="auto"/>
                <w:szCs w:val="21"/>
              </w:rPr>
            </w:pPr>
            <w:r>
              <w:rPr>
                <w:rFonts w:hint="eastAsia" w:ascii="宋体" w:hAnsi="宋体" w:cs="仿宋"/>
                <w:color w:val="auto"/>
                <w:szCs w:val="21"/>
              </w:rPr>
              <w:t>1.供应商的</w:t>
            </w:r>
            <w:r>
              <w:rPr>
                <w:rFonts w:hint="eastAsia" w:ascii="宋体" w:hAnsi="宋体" w:cs="仿宋"/>
                <w:color w:val="auto"/>
                <w:szCs w:val="21"/>
                <w:lang w:val="en-US" w:eastAsia="zh-CN"/>
              </w:rPr>
              <w:t>磋商报价</w:t>
            </w:r>
            <w:r>
              <w:rPr>
                <w:rFonts w:hint="eastAsia" w:ascii="宋体" w:hAnsi="宋体" w:cs="仿宋"/>
                <w:color w:val="auto"/>
                <w:szCs w:val="21"/>
              </w:rPr>
              <w:t>得分，以供应商的二次报价得分为准。</w:t>
            </w:r>
          </w:p>
          <w:p w14:paraId="40E2BC5B">
            <w:pPr>
              <w:spacing w:line="360" w:lineRule="auto"/>
              <w:outlineLvl w:val="3"/>
              <w:rPr>
                <w:rFonts w:hint="eastAsia" w:ascii="宋体" w:hAnsi="宋体"/>
                <w:color w:val="auto"/>
                <w:szCs w:val="21"/>
              </w:rPr>
            </w:pPr>
            <w:r>
              <w:rPr>
                <w:rFonts w:hint="eastAsia" w:ascii="宋体" w:hAnsi="宋体"/>
                <w:color w:val="auto"/>
                <w:szCs w:val="21"/>
              </w:rPr>
              <w:t>2.供应商的磋商报价满足采购文件的要求，并且</w:t>
            </w:r>
            <w:r>
              <w:rPr>
                <w:rFonts w:hint="eastAsia" w:ascii="宋体" w:hAnsi="宋体" w:cs="仿宋"/>
                <w:color w:val="auto"/>
                <w:szCs w:val="21"/>
              </w:rPr>
              <w:t>二次报价</w:t>
            </w:r>
            <w:r>
              <w:rPr>
                <w:rFonts w:hint="eastAsia" w:ascii="宋体" w:hAnsi="宋体"/>
                <w:color w:val="auto"/>
                <w:szCs w:val="21"/>
              </w:rPr>
              <w:t>最低的为磋商基准价，其报价得分为满分。其他供应商的报价得分统一按照下列公式进行计算：</w:t>
            </w:r>
          </w:p>
          <w:p w14:paraId="5560BE1B">
            <w:pPr>
              <w:spacing w:line="360" w:lineRule="auto"/>
              <w:outlineLvl w:val="3"/>
              <w:rPr>
                <w:rFonts w:hint="eastAsia" w:ascii="宋体" w:hAnsi="宋体"/>
                <w:b/>
                <w:color w:val="auto"/>
                <w:szCs w:val="21"/>
              </w:rPr>
            </w:pPr>
            <w:r>
              <w:rPr>
                <w:rFonts w:hint="eastAsia" w:ascii="宋体" w:hAnsi="宋体"/>
                <w:b/>
                <w:color w:val="auto"/>
                <w:szCs w:val="21"/>
              </w:rPr>
              <w:t>二次报价得分=（</w:t>
            </w:r>
            <w:r>
              <w:rPr>
                <w:rFonts w:hint="eastAsia" w:ascii="宋体" w:hAnsi="宋体" w:cs="宋体"/>
                <w:b/>
                <w:color w:val="auto"/>
                <w:kern w:val="0"/>
                <w:szCs w:val="21"/>
              </w:rPr>
              <w:t>磋商基准价/二次报价</w:t>
            </w:r>
            <w:r>
              <w:rPr>
                <w:rFonts w:hint="eastAsia" w:ascii="宋体" w:hAnsi="宋体"/>
                <w:b/>
                <w:color w:val="auto"/>
                <w:szCs w:val="21"/>
              </w:rPr>
              <w:t>）</w:t>
            </w:r>
            <w:r>
              <w:rPr>
                <w:rFonts w:hint="eastAsia" w:ascii="宋体" w:hAnsi="宋体" w:cs="宋体"/>
                <w:b/>
                <w:color w:val="auto"/>
                <w:kern w:val="0"/>
                <w:szCs w:val="21"/>
              </w:rPr>
              <w:t>×1</w:t>
            </w:r>
            <w:r>
              <w:rPr>
                <w:rFonts w:ascii="宋体" w:hAnsi="宋体" w:cs="宋体"/>
                <w:b/>
                <w:color w:val="auto"/>
                <w:kern w:val="0"/>
                <w:szCs w:val="21"/>
              </w:rPr>
              <w:t>0</w:t>
            </w:r>
            <w:r>
              <w:rPr>
                <w:rFonts w:hint="eastAsia" w:ascii="宋体" w:hAnsi="宋体"/>
                <w:b/>
                <w:color w:val="auto"/>
                <w:szCs w:val="21"/>
              </w:rPr>
              <w:t>。</w:t>
            </w:r>
          </w:p>
          <w:p w14:paraId="473A4053">
            <w:pPr>
              <w:autoSpaceDE w:val="0"/>
              <w:autoSpaceDN w:val="0"/>
              <w:adjustRightInd w:val="0"/>
              <w:spacing w:line="360" w:lineRule="auto"/>
              <w:jc w:val="left"/>
              <w:rPr>
                <w:rFonts w:hint="eastAsia" w:ascii="宋体" w:hAnsi="宋体" w:cs="宋体"/>
                <w:b/>
                <w:bCs/>
                <w:color w:val="auto"/>
                <w:szCs w:val="21"/>
              </w:rPr>
            </w:pPr>
            <w:r>
              <w:rPr>
                <w:rFonts w:hint="eastAsia" w:ascii="宋体" w:hAnsi="宋体"/>
                <w:color w:val="auto"/>
                <w:szCs w:val="21"/>
              </w:rPr>
              <w:t>注：在评审过程中，不得去掉</w:t>
            </w:r>
            <w:r>
              <w:rPr>
                <w:rFonts w:hint="eastAsia" w:ascii="宋体" w:hAnsi="宋体" w:cs="仿宋"/>
                <w:color w:val="auto"/>
                <w:szCs w:val="21"/>
              </w:rPr>
              <w:t>二次报价</w:t>
            </w:r>
            <w:r>
              <w:rPr>
                <w:rFonts w:hint="eastAsia" w:ascii="宋体" w:hAnsi="宋体"/>
                <w:color w:val="auto"/>
                <w:szCs w:val="21"/>
              </w:rPr>
              <w:t>中的最高报价和最低报价。</w:t>
            </w:r>
          </w:p>
        </w:tc>
        <w:tc>
          <w:tcPr>
            <w:tcW w:w="888" w:type="dxa"/>
            <w:vAlign w:val="center"/>
          </w:tcPr>
          <w:p w14:paraId="20C28CB1">
            <w:pPr>
              <w:autoSpaceDE w:val="0"/>
              <w:autoSpaceDN w:val="0"/>
              <w:adjustRightInd w:val="0"/>
              <w:spacing w:before="120" w:beforeLines="50" w:line="360" w:lineRule="auto"/>
              <w:jc w:val="center"/>
              <w:rPr>
                <w:rFonts w:hint="eastAsia" w:ascii="宋体" w:hAnsi="宋体" w:cs="宋体"/>
                <w:color w:val="auto"/>
                <w:szCs w:val="21"/>
              </w:rPr>
            </w:pPr>
            <w:r>
              <w:rPr>
                <w:rFonts w:hint="eastAsia" w:ascii="宋体" w:hAnsi="宋体" w:cs="宋体"/>
                <w:color w:val="auto"/>
                <w:szCs w:val="21"/>
              </w:rPr>
              <w:t>10分</w:t>
            </w:r>
          </w:p>
        </w:tc>
      </w:tr>
    </w:tbl>
    <w:p w14:paraId="1ADC4F5F">
      <w:pPr>
        <w:rPr>
          <w:rFonts w:hint="eastAsia" w:ascii="宋体" w:hAnsi="宋体" w:cs="宋体"/>
          <w:color w:val="auto"/>
          <w:szCs w:val="28"/>
        </w:rPr>
      </w:pPr>
      <w:r>
        <w:rPr>
          <w:rFonts w:hint="eastAsia" w:ascii="宋体" w:hAnsi="宋体" w:cs="宋体"/>
          <w:color w:val="auto"/>
          <w:szCs w:val="28"/>
        </w:rPr>
        <w:br w:type="page"/>
      </w:r>
    </w:p>
    <w:p w14:paraId="10DDA4DD">
      <w:pPr>
        <w:pStyle w:val="4"/>
        <w:spacing w:before="120" w:beforeLines="50" w:line="360" w:lineRule="auto"/>
        <w:rPr>
          <w:rFonts w:hint="eastAsia" w:ascii="宋体" w:hAnsi="宋体" w:cs="宋体"/>
          <w:color w:val="auto"/>
          <w:szCs w:val="28"/>
        </w:rPr>
      </w:pPr>
      <w:bookmarkStart w:id="1257" w:name="_Toc775442990"/>
      <w:r>
        <w:rPr>
          <w:rFonts w:hint="eastAsia" w:ascii="宋体" w:hAnsi="宋体" w:cs="宋体"/>
          <w:color w:val="auto"/>
          <w:szCs w:val="28"/>
        </w:rPr>
        <w:t>二、评审办法正文部分</w:t>
      </w:r>
      <w:bookmarkEnd w:id="1248"/>
      <w:bookmarkEnd w:id="1249"/>
      <w:bookmarkEnd w:id="1250"/>
      <w:bookmarkEnd w:id="1251"/>
      <w:bookmarkEnd w:id="1252"/>
      <w:bookmarkEnd w:id="1257"/>
    </w:p>
    <w:p w14:paraId="220A725A">
      <w:pPr>
        <w:spacing w:before="120" w:beforeLines="50" w:line="360" w:lineRule="auto"/>
        <w:outlineLvl w:val="2"/>
        <w:rPr>
          <w:rFonts w:hint="eastAsia" w:ascii="宋体" w:hAnsi="宋体" w:cs="宋体"/>
          <w:b/>
          <w:color w:val="auto"/>
          <w:sz w:val="24"/>
          <w:szCs w:val="24"/>
        </w:rPr>
      </w:pPr>
      <w:bookmarkStart w:id="1258" w:name="_Toc116584043"/>
      <w:bookmarkStart w:id="1259" w:name="_Toc83753931"/>
      <w:bookmarkStart w:id="1260" w:name="_Toc98033975"/>
      <w:bookmarkStart w:id="1261" w:name="_Toc110405176"/>
      <w:bookmarkStart w:id="1262" w:name="_Toc4075"/>
      <w:bookmarkStart w:id="1263" w:name="_Toc98865052"/>
      <w:bookmarkStart w:id="1264" w:name="_Toc109809353"/>
      <w:bookmarkStart w:id="1265" w:name="_Toc87543859"/>
      <w:bookmarkStart w:id="1266" w:name="_Toc84356291"/>
      <w:bookmarkStart w:id="1267" w:name="_Toc87538408"/>
      <w:r>
        <w:rPr>
          <w:rFonts w:hint="eastAsia" w:ascii="宋体" w:hAnsi="宋体" w:cs="宋体"/>
          <w:b/>
          <w:color w:val="auto"/>
          <w:sz w:val="24"/>
          <w:szCs w:val="24"/>
        </w:rPr>
        <w:t>1.评审方法</w:t>
      </w:r>
      <w:bookmarkEnd w:id="1258"/>
      <w:bookmarkEnd w:id="1259"/>
      <w:bookmarkEnd w:id="1260"/>
      <w:bookmarkEnd w:id="1261"/>
      <w:bookmarkEnd w:id="1262"/>
      <w:bookmarkEnd w:id="1263"/>
      <w:bookmarkEnd w:id="1264"/>
      <w:bookmarkEnd w:id="1265"/>
      <w:bookmarkEnd w:id="1266"/>
      <w:bookmarkEnd w:id="1267"/>
      <w:r>
        <w:rPr>
          <w:rFonts w:hint="eastAsia" w:ascii="宋体" w:hAnsi="宋体" w:cs="宋体"/>
          <w:b/>
          <w:color w:val="auto"/>
          <w:sz w:val="24"/>
          <w:szCs w:val="24"/>
        </w:rPr>
        <w:t xml:space="preserve"> </w:t>
      </w:r>
    </w:p>
    <w:p w14:paraId="05D1A5CA">
      <w:pPr>
        <w:spacing w:line="360" w:lineRule="auto"/>
        <w:ind w:firstLine="435"/>
        <w:rPr>
          <w:rFonts w:hint="eastAsia" w:ascii="宋体" w:hAnsi="宋体" w:cs="宋体"/>
          <w:color w:val="auto"/>
          <w:szCs w:val="21"/>
        </w:rPr>
      </w:pPr>
      <w:r>
        <w:rPr>
          <w:rFonts w:hint="eastAsia" w:ascii="宋体" w:hAnsi="宋体" w:cs="宋体"/>
          <w:color w:val="auto"/>
          <w:szCs w:val="21"/>
        </w:rPr>
        <w:t>1.1本评审方法根据《中华人民共和国政府采购法》、《中华人民共和国政府采购法实施条例》（国务院令第658号）、《关于印发&lt;政府采购竞争性磋商采购方式管理暂行办法&gt;的通知》（财库〔2014〕214号）等相关法律法规的规定制定，采用综合评分法进行评审。</w:t>
      </w:r>
    </w:p>
    <w:p w14:paraId="56D1E79C">
      <w:pPr>
        <w:spacing w:line="360" w:lineRule="auto"/>
        <w:ind w:firstLine="435"/>
        <w:rPr>
          <w:rFonts w:hint="eastAsia" w:ascii="宋体" w:hAnsi="宋体" w:cs="宋体"/>
          <w:color w:val="auto"/>
          <w:szCs w:val="21"/>
        </w:rPr>
      </w:pPr>
      <w:r>
        <w:rPr>
          <w:rFonts w:hint="eastAsia" w:ascii="宋体" w:hAnsi="宋体" w:cs="宋体"/>
          <w:color w:val="auto"/>
          <w:szCs w:val="21"/>
        </w:rPr>
        <w:t>1.2磋商小组对通过初步评审的响应文件，进行技术部分和商务部分评审评分，并按照供应商的综合得分由高到低的顺序推荐1～3名成交候选人。</w:t>
      </w:r>
      <w:r>
        <w:rPr>
          <w:rFonts w:hint="eastAsia" w:asciiTheme="minorEastAsia" w:hAnsiTheme="minorEastAsia" w:eastAsiaTheme="minorEastAsia"/>
          <w:color w:val="auto"/>
          <w:szCs w:val="21"/>
        </w:rPr>
        <w:t>若综合得分相同，按照供应商的</w:t>
      </w:r>
      <w:r>
        <w:rPr>
          <w:rFonts w:hint="eastAsia" w:eastAsiaTheme="minorEastAsia"/>
          <w:color w:val="auto"/>
        </w:rPr>
        <w:t>二次</w:t>
      </w:r>
      <w:r>
        <w:rPr>
          <w:rFonts w:hint="eastAsia"/>
          <w:color w:val="auto"/>
        </w:rPr>
        <w:t>报价</w:t>
      </w:r>
      <w:r>
        <w:rPr>
          <w:rFonts w:hint="eastAsia" w:asciiTheme="minorEastAsia" w:hAnsiTheme="minorEastAsia" w:eastAsiaTheme="minorEastAsia"/>
          <w:color w:val="auto"/>
          <w:szCs w:val="21"/>
        </w:rPr>
        <w:t>由低到高的顺序推荐成交候选人；若</w:t>
      </w:r>
      <w:r>
        <w:rPr>
          <w:rFonts w:hint="eastAsia" w:eastAsiaTheme="minorEastAsia"/>
          <w:color w:val="auto"/>
        </w:rPr>
        <w:t>二次报价</w:t>
      </w:r>
      <w:r>
        <w:rPr>
          <w:rFonts w:hint="eastAsia" w:cs="仿宋" w:asciiTheme="minorEastAsia" w:hAnsiTheme="minorEastAsia" w:eastAsiaTheme="minorEastAsia"/>
          <w:color w:val="auto"/>
          <w:szCs w:val="21"/>
        </w:rPr>
        <w:t>还</w:t>
      </w:r>
      <w:r>
        <w:rPr>
          <w:rFonts w:hint="eastAsia" w:asciiTheme="minorEastAsia" w:hAnsiTheme="minorEastAsia" w:eastAsiaTheme="minorEastAsia"/>
          <w:color w:val="auto"/>
          <w:szCs w:val="21"/>
        </w:rPr>
        <w:t>相同时，按照供应商的技术部分得分由高到低的顺序推荐成交候选人；若技术部分得分也相同时，由磋商小组以不记名投票的方式推荐成交候选人</w:t>
      </w:r>
      <w:r>
        <w:rPr>
          <w:rFonts w:hint="eastAsia" w:ascii="宋体" w:hAnsi="宋体" w:cs="宋体"/>
          <w:color w:val="auto"/>
          <w:szCs w:val="21"/>
        </w:rPr>
        <w:t>。</w:t>
      </w:r>
    </w:p>
    <w:p w14:paraId="4DAF3279">
      <w:pPr>
        <w:spacing w:line="360" w:lineRule="auto"/>
        <w:outlineLvl w:val="2"/>
        <w:rPr>
          <w:rFonts w:hint="eastAsia" w:ascii="宋体" w:hAnsi="宋体" w:cs="宋体"/>
          <w:b/>
          <w:color w:val="auto"/>
          <w:sz w:val="24"/>
          <w:szCs w:val="24"/>
        </w:rPr>
      </w:pPr>
      <w:bookmarkStart w:id="1268" w:name="_Toc116584044"/>
      <w:bookmarkStart w:id="1269" w:name="_Toc98033976"/>
      <w:bookmarkStart w:id="1270" w:name="_Toc81330979"/>
      <w:bookmarkStart w:id="1271" w:name="_Toc110405177"/>
      <w:bookmarkStart w:id="1272" w:name="_Toc83753932"/>
      <w:bookmarkStart w:id="1273" w:name="_Toc98865053"/>
      <w:bookmarkStart w:id="1274" w:name="_Toc87538409"/>
      <w:bookmarkStart w:id="1275" w:name="_Toc45791394"/>
      <w:bookmarkStart w:id="1276" w:name="_Toc84356292"/>
      <w:bookmarkStart w:id="1277" w:name="_Toc109809354"/>
      <w:bookmarkStart w:id="1278" w:name="_Toc12572"/>
      <w:bookmarkStart w:id="1279" w:name="_Toc42205033"/>
      <w:bookmarkStart w:id="1280" w:name="_Toc87543860"/>
      <w:r>
        <w:rPr>
          <w:rFonts w:hint="eastAsia" w:ascii="宋体" w:hAnsi="宋体" w:cs="宋体"/>
          <w:b/>
          <w:color w:val="auto"/>
          <w:sz w:val="24"/>
          <w:szCs w:val="24"/>
        </w:rPr>
        <w:t>2.评审标准</w:t>
      </w:r>
      <w:bookmarkEnd w:id="1268"/>
      <w:bookmarkEnd w:id="1269"/>
      <w:bookmarkEnd w:id="1270"/>
      <w:bookmarkEnd w:id="1271"/>
      <w:bookmarkEnd w:id="1272"/>
      <w:bookmarkEnd w:id="1273"/>
      <w:bookmarkEnd w:id="1274"/>
      <w:bookmarkEnd w:id="1275"/>
      <w:bookmarkEnd w:id="1276"/>
      <w:bookmarkEnd w:id="1277"/>
      <w:bookmarkEnd w:id="1278"/>
      <w:bookmarkEnd w:id="1279"/>
      <w:bookmarkEnd w:id="1280"/>
      <w:r>
        <w:rPr>
          <w:rFonts w:hint="eastAsia" w:ascii="宋体" w:hAnsi="宋体" w:cs="宋体"/>
          <w:b/>
          <w:color w:val="auto"/>
          <w:sz w:val="24"/>
          <w:szCs w:val="24"/>
        </w:rPr>
        <w:t xml:space="preserve"> </w:t>
      </w:r>
    </w:p>
    <w:p w14:paraId="55302DE3">
      <w:pPr>
        <w:spacing w:line="360" w:lineRule="auto"/>
        <w:rPr>
          <w:rFonts w:hint="eastAsia" w:ascii="宋体" w:hAnsi="宋体" w:cs="宋体"/>
          <w:b/>
          <w:color w:val="auto"/>
          <w:szCs w:val="21"/>
        </w:rPr>
      </w:pPr>
      <w:r>
        <w:rPr>
          <w:rFonts w:hint="eastAsia" w:ascii="宋体" w:hAnsi="宋体" w:cs="宋体"/>
          <w:b/>
          <w:color w:val="auto"/>
          <w:szCs w:val="21"/>
        </w:rPr>
        <w:t xml:space="preserve">2.1 初步评审标准 </w:t>
      </w:r>
    </w:p>
    <w:p w14:paraId="345D46D1">
      <w:pPr>
        <w:spacing w:line="360" w:lineRule="auto"/>
        <w:ind w:firstLine="435"/>
        <w:rPr>
          <w:rFonts w:hint="eastAsia" w:ascii="宋体" w:hAnsi="宋体" w:cs="宋体"/>
          <w:color w:val="auto"/>
          <w:szCs w:val="21"/>
        </w:rPr>
      </w:pPr>
      <w:r>
        <w:rPr>
          <w:rFonts w:hint="eastAsia" w:ascii="宋体" w:hAnsi="宋体" w:cs="宋体"/>
          <w:color w:val="auto"/>
          <w:szCs w:val="21"/>
        </w:rPr>
        <w:t>2.1.1资格审查标准：见评审办法前附表。</w:t>
      </w:r>
    </w:p>
    <w:p w14:paraId="7972823C">
      <w:pPr>
        <w:spacing w:line="360" w:lineRule="auto"/>
        <w:ind w:firstLine="435"/>
        <w:rPr>
          <w:rFonts w:hint="eastAsia" w:ascii="宋体" w:hAnsi="宋体" w:cs="宋体"/>
          <w:color w:val="auto"/>
          <w:szCs w:val="21"/>
        </w:rPr>
      </w:pPr>
      <w:r>
        <w:rPr>
          <w:rFonts w:hint="eastAsia" w:ascii="宋体" w:hAnsi="宋体" w:cs="宋体"/>
          <w:color w:val="auto"/>
          <w:szCs w:val="21"/>
        </w:rPr>
        <w:t>2.1.2符合性审查标准：见评审办法前附表。</w:t>
      </w:r>
    </w:p>
    <w:p w14:paraId="38FB2E7C">
      <w:pPr>
        <w:spacing w:line="360" w:lineRule="auto"/>
        <w:rPr>
          <w:rFonts w:hint="eastAsia" w:ascii="宋体" w:hAnsi="宋体" w:cs="宋体"/>
          <w:b/>
          <w:color w:val="auto"/>
          <w:szCs w:val="21"/>
        </w:rPr>
      </w:pPr>
      <w:r>
        <w:rPr>
          <w:rFonts w:hint="eastAsia" w:ascii="宋体" w:hAnsi="宋体" w:cs="宋体"/>
          <w:b/>
          <w:color w:val="auto"/>
          <w:szCs w:val="21"/>
        </w:rPr>
        <w:t>2.2详细评审标准</w:t>
      </w:r>
    </w:p>
    <w:p w14:paraId="17331A19">
      <w:pPr>
        <w:spacing w:line="360" w:lineRule="auto"/>
        <w:ind w:firstLine="420" w:firstLineChars="200"/>
        <w:rPr>
          <w:rFonts w:hint="eastAsia" w:ascii="宋体" w:hAnsi="宋体" w:cs="宋体"/>
          <w:color w:val="auto"/>
        </w:rPr>
      </w:pPr>
      <w:bookmarkStart w:id="1281" w:name="_Toc84356293"/>
      <w:bookmarkStart w:id="1282" w:name="_Toc98033977"/>
      <w:bookmarkStart w:id="1283" w:name="_Toc98865054"/>
      <w:bookmarkStart w:id="1284" w:name="_Toc87538410"/>
      <w:bookmarkStart w:id="1285" w:name="_Toc45791395"/>
      <w:bookmarkStart w:id="1286" w:name="_Toc83753933"/>
      <w:bookmarkStart w:id="1287" w:name="_Toc87543861"/>
      <w:bookmarkStart w:id="1288" w:name="_Toc42205034"/>
      <w:bookmarkStart w:id="1289" w:name="_Toc81330980"/>
      <w:r>
        <w:rPr>
          <w:rFonts w:hint="eastAsia" w:ascii="宋体" w:hAnsi="宋体" w:cs="宋体"/>
          <w:color w:val="auto"/>
        </w:rPr>
        <w:t>2.2.1分值构成：见评标办法前附表。</w:t>
      </w:r>
    </w:p>
    <w:p w14:paraId="1E7CFCC3">
      <w:pPr>
        <w:spacing w:line="360" w:lineRule="auto"/>
        <w:ind w:firstLine="420" w:firstLineChars="200"/>
        <w:rPr>
          <w:rFonts w:hint="eastAsia" w:ascii="宋体" w:hAnsi="宋体" w:cs="宋体"/>
          <w:color w:val="auto"/>
        </w:rPr>
      </w:pPr>
      <w:r>
        <w:rPr>
          <w:rFonts w:hint="eastAsia" w:ascii="宋体" w:hAnsi="宋体" w:cs="宋体"/>
          <w:color w:val="auto"/>
        </w:rPr>
        <w:t>2.2.2技术部分评审标准：见评审办法前附表。</w:t>
      </w:r>
    </w:p>
    <w:p w14:paraId="3BF989D9">
      <w:pPr>
        <w:spacing w:line="360" w:lineRule="auto"/>
        <w:ind w:firstLine="420" w:firstLineChars="200"/>
        <w:rPr>
          <w:rFonts w:hint="eastAsia" w:ascii="宋体" w:hAnsi="宋体" w:cs="宋体"/>
          <w:color w:val="auto"/>
        </w:rPr>
      </w:pPr>
      <w:r>
        <w:rPr>
          <w:rFonts w:hint="eastAsia" w:ascii="宋体" w:hAnsi="宋体" w:cs="宋体"/>
          <w:color w:val="auto"/>
        </w:rPr>
        <w:t>2.2.3商务部分评审标准：见评审办法前附表。</w:t>
      </w:r>
    </w:p>
    <w:p w14:paraId="6F2A2ED5">
      <w:pPr>
        <w:spacing w:line="360" w:lineRule="auto"/>
        <w:outlineLvl w:val="2"/>
        <w:rPr>
          <w:rFonts w:hint="eastAsia" w:ascii="宋体" w:hAnsi="宋体" w:cs="宋体"/>
          <w:b/>
          <w:color w:val="auto"/>
          <w:sz w:val="24"/>
          <w:szCs w:val="24"/>
        </w:rPr>
      </w:pPr>
      <w:bookmarkStart w:id="1290" w:name="_Toc109809355"/>
      <w:bookmarkStart w:id="1291" w:name="_Toc110405178"/>
      <w:bookmarkStart w:id="1292" w:name="_Toc6028"/>
      <w:bookmarkStart w:id="1293" w:name="_Toc116584045"/>
      <w:r>
        <w:rPr>
          <w:rFonts w:hint="eastAsia" w:ascii="宋体" w:hAnsi="宋体" w:cs="宋体"/>
          <w:b/>
          <w:color w:val="auto"/>
          <w:sz w:val="24"/>
          <w:szCs w:val="24"/>
        </w:rPr>
        <w:t>3.评审程序</w:t>
      </w:r>
      <w:bookmarkEnd w:id="1281"/>
      <w:bookmarkEnd w:id="1282"/>
      <w:bookmarkEnd w:id="1283"/>
      <w:bookmarkEnd w:id="1284"/>
      <w:bookmarkEnd w:id="1285"/>
      <w:bookmarkEnd w:id="1286"/>
      <w:bookmarkEnd w:id="1287"/>
      <w:bookmarkEnd w:id="1288"/>
      <w:bookmarkEnd w:id="1289"/>
      <w:bookmarkEnd w:id="1290"/>
      <w:bookmarkEnd w:id="1291"/>
      <w:bookmarkEnd w:id="1292"/>
      <w:bookmarkEnd w:id="1293"/>
    </w:p>
    <w:p w14:paraId="40539BE3">
      <w:pPr>
        <w:spacing w:line="360" w:lineRule="auto"/>
        <w:outlineLvl w:val="3"/>
        <w:rPr>
          <w:rFonts w:hint="eastAsia" w:ascii="宋体" w:hAnsi="宋体" w:cs="宋体"/>
          <w:b/>
          <w:color w:val="auto"/>
          <w:szCs w:val="21"/>
        </w:rPr>
      </w:pPr>
      <w:r>
        <w:rPr>
          <w:rFonts w:hint="eastAsia" w:ascii="宋体" w:hAnsi="宋体" w:cs="宋体"/>
          <w:b/>
          <w:color w:val="auto"/>
          <w:szCs w:val="21"/>
        </w:rPr>
        <w:t>3.1 初步评审</w:t>
      </w:r>
    </w:p>
    <w:p w14:paraId="62902CB4">
      <w:pPr>
        <w:spacing w:line="360" w:lineRule="auto"/>
        <w:ind w:firstLine="437"/>
        <w:rPr>
          <w:rFonts w:hint="eastAsia" w:ascii="宋体" w:hAnsi="宋体" w:cs="宋体"/>
          <w:bCs/>
          <w:color w:val="auto"/>
          <w:szCs w:val="21"/>
        </w:rPr>
      </w:pPr>
      <w:r>
        <w:rPr>
          <w:rFonts w:hint="eastAsia" w:ascii="宋体" w:hAnsi="宋体" w:cs="宋体"/>
          <w:bCs/>
          <w:color w:val="auto"/>
          <w:szCs w:val="21"/>
        </w:rPr>
        <w:t>3.1.1资格审查</w:t>
      </w:r>
    </w:p>
    <w:p w14:paraId="500FDC0B">
      <w:pPr>
        <w:spacing w:line="360" w:lineRule="auto"/>
        <w:ind w:firstLine="435"/>
        <w:rPr>
          <w:rFonts w:hint="eastAsia" w:ascii="宋体" w:hAnsi="宋体" w:cs="宋体"/>
          <w:color w:val="auto"/>
          <w:szCs w:val="21"/>
        </w:rPr>
      </w:pPr>
      <w:r>
        <w:rPr>
          <w:rFonts w:hint="eastAsia" w:ascii="宋体" w:hAnsi="宋体" w:cs="宋体"/>
          <w:color w:val="auto"/>
          <w:szCs w:val="21"/>
        </w:rPr>
        <w:t>磋商小组依据本章第2.1.1款规定的审查标准对所有供应商的响应文件进行资格审查，有一项不符合审查标准的，响应文件按否决处理。</w:t>
      </w:r>
    </w:p>
    <w:p w14:paraId="0B7965FF">
      <w:pPr>
        <w:spacing w:line="360" w:lineRule="auto"/>
        <w:ind w:firstLine="437"/>
        <w:rPr>
          <w:rFonts w:hint="eastAsia" w:ascii="宋体" w:hAnsi="宋体" w:cs="宋体"/>
          <w:bCs/>
          <w:color w:val="auto"/>
          <w:szCs w:val="21"/>
        </w:rPr>
      </w:pPr>
      <w:r>
        <w:rPr>
          <w:rFonts w:hint="eastAsia" w:ascii="宋体" w:hAnsi="宋体" w:cs="宋体"/>
          <w:bCs/>
          <w:color w:val="auto"/>
          <w:szCs w:val="21"/>
        </w:rPr>
        <w:t>3.1.2符合性审查</w:t>
      </w:r>
    </w:p>
    <w:p w14:paraId="4B4A8C80">
      <w:pPr>
        <w:spacing w:line="360" w:lineRule="auto"/>
        <w:ind w:firstLine="435"/>
        <w:rPr>
          <w:rFonts w:hint="eastAsia" w:ascii="宋体" w:hAnsi="宋体" w:cs="宋体"/>
          <w:color w:val="auto"/>
          <w:szCs w:val="21"/>
        </w:rPr>
      </w:pPr>
      <w:r>
        <w:rPr>
          <w:rFonts w:hint="eastAsia" w:ascii="宋体" w:hAnsi="宋体" w:cs="宋体"/>
          <w:color w:val="auto"/>
          <w:szCs w:val="21"/>
        </w:rPr>
        <w:t>磋商小组依据本章第2.1.2款规定的审查标准对所有供应商的响应文件进行符合性审查，有一项不符合审查标准的，响应文件按否决处理。</w:t>
      </w:r>
    </w:p>
    <w:p w14:paraId="05FCF26E">
      <w:pPr>
        <w:spacing w:line="360" w:lineRule="auto"/>
        <w:ind w:firstLine="435"/>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3.1.3异常低价审查</w:t>
      </w:r>
    </w:p>
    <w:p w14:paraId="53ED16F7">
      <w:pPr>
        <w:spacing w:line="360" w:lineRule="auto"/>
        <w:ind w:firstLine="435"/>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（1）评审过程中，若供应商的二次报价出现下列情形之一的，磋商小组应当启动异常低价审查程序：</w:t>
      </w:r>
    </w:p>
    <w:p w14:paraId="4996D3A0">
      <w:pPr>
        <w:spacing w:line="360" w:lineRule="auto"/>
        <w:ind w:firstLine="435"/>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①二次报价低于全部通过符合性审查供应商二次报价平均值50%的，即二次报价&lt;全部通过符合性审查供应商二次报价平均值×50%；</w:t>
      </w:r>
    </w:p>
    <w:p w14:paraId="3A418F6C">
      <w:pPr>
        <w:spacing w:line="360" w:lineRule="auto"/>
        <w:ind w:firstLine="435"/>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②二次报价低于通过符合性审查的次低报价供应商二次报价50%的，即二次报价&lt;通过符合性审查的次低报价供应商二次报价×50%；</w:t>
      </w:r>
    </w:p>
    <w:p w14:paraId="0027E41A">
      <w:pPr>
        <w:spacing w:line="360" w:lineRule="auto"/>
        <w:ind w:firstLine="435"/>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③磋商小组基于专业判断，认为供应商报价过低，有可能影响产品质量或者不能诚信履约的其他情形。</w:t>
      </w:r>
    </w:p>
    <w:p w14:paraId="15665FF6">
      <w:pPr>
        <w:spacing w:line="360" w:lineRule="auto"/>
        <w:ind w:firstLine="435"/>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2）磋商小组启动异常低价投标审查后，属于前述第1项至第3项情形的，应当要求相关供应商在评审现场于30分钟内对其磋商价格作出解释，并提供项目具体成本测算等与报价合理性相关的书面说明及必要的证明材料，包括但不限于原材料成本、人工成本、制造费用等。</w:t>
      </w:r>
    </w:p>
    <w:p w14:paraId="137C21C9">
      <w:pPr>
        <w:spacing w:line="360" w:lineRule="auto"/>
        <w:ind w:firstLine="435"/>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3）磋商小组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无效投标处理。</w:t>
      </w:r>
    </w:p>
    <w:p w14:paraId="1C28CD75">
      <w:pPr>
        <w:spacing w:line="360" w:lineRule="auto"/>
        <w:ind w:firstLine="435"/>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 xml:space="preserve">（4）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 </w:t>
      </w:r>
    </w:p>
    <w:p w14:paraId="645EB855">
      <w:pPr>
        <w:spacing w:line="360" w:lineRule="auto"/>
        <w:ind w:firstLine="435"/>
        <w:rPr>
          <w:rFonts w:hint="eastAsia" w:ascii="宋体" w:hAnsi="宋体" w:cs="宋体"/>
          <w:color w:val="auto"/>
          <w:szCs w:val="21"/>
        </w:rPr>
      </w:pPr>
      <w:r>
        <w:rPr>
          <w:rFonts w:hint="eastAsia" w:asciiTheme="minorEastAsia" w:hAnsiTheme="minorEastAsia" w:eastAsiaTheme="minorEastAsia"/>
          <w:color w:val="auto"/>
          <w:szCs w:val="21"/>
        </w:rPr>
        <w:t>（5）异常低价投标审查的启动原因、审查意见和审查结果应当在评审报告中记录，并随供应商提供的相关书面说明及证明材料，以及磋商小组有关互联网浏览、查询历史一并归档。</w:t>
      </w:r>
    </w:p>
    <w:p w14:paraId="20D27517">
      <w:pPr>
        <w:spacing w:line="360" w:lineRule="auto"/>
        <w:outlineLvl w:val="3"/>
        <w:rPr>
          <w:rFonts w:hint="eastAsia" w:ascii="宋体" w:hAnsi="宋体" w:cs="宋体"/>
          <w:b/>
          <w:color w:val="auto"/>
          <w:szCs w:val="21"/>
        </w:rPr>
      </w:pPr>
      <w:r>
        <w:rPr>
          <w:rFonts w:hint="eastAsia" w:ascii="宋体" w:hAnsi="宋体" w:cs="宋体"/>
          <w:b/>
          <w:color w:val="auto"/>
          <w:szCs w:val="21"/>
        </w:rPr>
        <w:t>3.2 详细评审</w:t>
      </w:r>
    </w:p>
    <w:p w14:paraId="44E2AF86">
      <w:pPr>
        <w:spacing w:line="360" w:lineRule="auto"/>
        <w:ind w:firstLine="420" w:firstLineChars="200"/>
        <w:rPr>
          <w:rFonts w:hint="eastAsia" w:ascii="宋体" w:hAnsi="宋体" w:cs="宋体"/>
          <w:color w:val="auto"/>
        </w:rPr>
      </w:pPr>
      <w:r>
        <w:rPr>
          <w:rFonts w:hint="eastAsia" w:ascii="宋体" w:hAnsi="宋体" w:cs="宋体"/>
          <w:color w:val="auto"/>
        </w:rPr>
        <w:t>3.2.1磋商小组按照本章第2.2款规定的量化因素和分值进行评审评分，并计算出供应商的综合得分。</w:t>
      </w:r>
    </w:p>
    <w:p w14:paraId="47747C0C">
      <w:pPr>
        <w:spacing w:line="360" w:lineRule="auto"/>
        <w:ind w:firstLine="420" w:firstLineChars="200"/>
        <w:rPr>
          <w:rFonts w:hint="eastAsia" w:ascii="宋体" w:hAnsi="宋体" w:cs="宋体"/>
          <w:color w:val="auto"/>
        </w:rPr>
      </w:pPr>
      <w:r>
        <w:rPr>
          <w:rFonts w:hint="eastAsia" w:ascii="宋体" w:hAnsi="宋体" w:cs="宋体"/>
          <w:color w:val="auto"/>
        </w:rPr>
        <w:t>3.2.2供应商的综合得分分值计算后保留小数点后两位，小数点后第三位“四舍五入”。</w:t>
      </w:r>
    </w:p>
    <w:p w14:paraId="5AC7C66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3.2.3通过资格审查、符合性审查的供应商将进行二次报价，二次报价的价格为供应商的最后报价，并成为其响应文件的重要组成部分。供应商一旦完成二次报价，即不得再报。</w:t>
      </w:r>
    </w:p>
    <w:p w14:paraId="3D143D48">
      <w:pPr>
        <w:spacing w:line="360" w:lineRule="auto"/>
        <w:ind w:firstLine="422" w:firstLineChars="200"/>
        <w:rPr>
          <w:rFonts w:hint="eastAsia" w:ascii="宋体" w:hAnsi="宋体" w:cs="宋体"/>
          <w:b/>
          <w:color w:val="auto"/>
          <w:szCs w:val="21"/>
        </w:rPr>
      </w:pPr>
      <w:r>
        <w:rPr>
          <w:rFonts w:hint="eastAsia" w:ascii="宋体" w:hAnsi="宋体" w:cs="宋体"/>
          <w:b/>
          <w:color w:val="auto"/>
          <w:szCs w:val="21"/>
        </w:rPr>
        <w:t>3.2.4采购项目需要落实的政府采购政策</w:t>
      </w:r>
    </w:p>
    <w:p w14:paraId="4C7FCC65">
      <w:pPr>
        <w:spacing w:line="360" w:lineRule="auto"/>
        <w:ind w:firstLine="422" w:firstLineChars="200"/>
        <w:rPr>
          <w:rFonts w:hint="eastAsia" w:asciiTheme="minorEastAsia" w:hAnsiTheme="minorEastAsia" w:eastAsiaTheme="minorEastAsia"/>
          <w:b/>
          <w:color w:val="auto"/>
        </w:rPr>
      </w:pPr>
      <w:r>
        <w:rPr>
          <w:rFonts w:hint="eastAsia" w:asciiTheme="minorEastAsia" w:hAnsiTheme="minorEastAsia" w:eastAsiaTheme="minorEastAsia"/>
          <w:b/>
          <w:color w:val="auto"/>
        </w:rPr>
        <w:t>（1）本项目专门面向中小企业采购。</w:t>
      </w:r>
    </w:p>
    <w:p w14:paraId="5DD12557">
      <w:pPr>
        <w:spacing w:line="360" w:lineRule="auto"/>
        <w:ind w:firstLine="422" w:firstLineChars="200"/>
        <w:rPr>
          <w:rFonts w:hint="eastAsia" w:asciiTheme="minorEastAsia" w:hAnsiTheme="minorEastAsia" w:eastAsiaTheme="minorEastAsia"/>
          <w:b/>
          <w:color w:val="auto"/>
        </w:rPr>
      </w:pPr>
      <w:r>
        <w:rPr>
          <w:rFonts w:hint="eastAsia" w:asciiTheme="minorEastAsia" w:hAnsiTheme="minorEastAsia" w:eastAsiaTheme="minorEastAsia"/>
          <w:b/>
          <w:color w:val="auto"/>
        </w:rPr>
        <w:t>（2）中小企业</w:t>
      </w:r>
    </w:p>
    <w:p w14:paraId="3B9274F7">
      <w:pPr>
        <w:spacing w:line="360" w:lineRule="auto"/>
        <w:ind w:firstLine="420" w:firstLineChars="200"/>
        <w:rPr>
          <w:rFonts w:hint="eastAsia" w:asciiTheme="minorEastAsia" w:hAnsiTheme="minorEastAsia" w:eastAsiaTheme="minorEastAsia"/>
          <w:color w:val="auto"/>
          <w:szCs w:val="21"/>
        </w:rPr>
      </w:pPr>
      <w:r>
        <w:rPr>
          <w:rFonts w:hint="eastAsia" w:asciiTheme="minorEastAsia" w:hAnsiTheme="minorEastAsia" w:eastAsiaTheme="minorEastAsia"/>
          <w:color w:val="auto"/>
        </w:rPr>
        <w:t>根据</w:t>
      </w:r>
      <w:r>
        <w:rPr>
          <w:rFonts w:hint="eastAsia" w:asciiTheme="minorEastAsia" w:hAnsiTheme="minorEastAsia" w:eastAsiaTheme="minorEastAsia"/>
          <w:color w:val="auto"/>
          <w:szCs w:val="21"/>
        </w:rPr>
        <w:t>《政府采购促进中小企业发展管理办法》（财库〔2020〕46号）和</w:t>
      </w:r>
      <w:r>
        <w:rPr>
          <w:rFonts w:hint="eastAsia" w:asciiTheme="minorEastAsia" w:hAnsiTheme="minorEastAsia" w:eastAsiaTheme="minorEastAsia"/>
          <w:color w:val="auto"/>
        </w:rPr>
        <w:t>《关于进一步加大政府采购支持中小企业力度的通知》（财库〔20</w:t>
      </w:r>
      <w:r>
        <w:rPr>
          <w:rFonts w:asciiTheme="minorEastAsia" w:hAnsiTheme="minorEastAsia" w:eastAsiaTheme="minorEastAsia"/>
          <w:color w:val="auto"/>
        </w:rPr>
        <w:t>22</w:t>
      </w:r>
      <w:r>
        <w:rPr>
          <w:rFonts w:hint="eastAsia" w:asciiTheme="minorEastAsia" w:hAnsiTheme="minorEastAsia" w:eastAsiaTheme="minorEastAsia"/>
          <w:color w:val="auto"/>
        </w:rPr>
        <w:t>〕</w:t>
      </w:r>
      <w:r>
        <w:rPr>
          <w:rFonts w:asciiTheme="minorEastAsia" w:hAnsiTheme="minorEastAsia" w:eastAsiaTheme="minorEastAsia"/>
          <w:color w:val="auto"/>
        </w:rPr>
        <w:t>19</w:t>
      </w:r>
      <w:r>
        <w:rPr>
          <w:rFonts w:hint="eastAsia" w:asciiTheme="minorEastAsia" w:hAnsiTheme="minorEastAsia" w:eastAsiaTheme="minorEastAsia"/>
          <w:color w:val="auto"/>
        </w:rPr>
        <w:t>号）的规定，符合中小企业划分标准的个体工商户，在政府采购活动中视同中小企业。</w:t>
      </w:r>
    </w:p>
    <w:p w14:paraId="7C9DF2F5">
      <w:pPr>
        <w:spacing w:line="360" w:lineRule="auto"/>
        <w:ind w:firstLine="420" w:firstLineChars="200"/>
        <w:jc w:val="left"/>
        <w:rPr>
          <w:rFonts w:hint="eastAsia" w:asciiTheme="minorEastAsia" w:hAnsiTheme="minorEastAsia" w:eastAsiaTheme="minorEastAsia"/>
          <w:color w:val="auto"/>
        </w:rPr>
      </w:pPr>
      <w:r>
        <w:rPr>
          <w:rFonts w:hint="eastAsia" w:asciiTheme="minorEastAsia" w:hAnsiTheme="minorEastAsia" w:eastAsiaTheme="minorEastAsia"/>
          <w:color w:val="auto"/>
          <w:szCs w:val="21"/>
        </w:rPr>
        <w:t>供应商应当按照《政府采购促进中小企业发展管理办法》规定和《统计上大中小微型企业划分办法（2017）》的划分标准，如实填写并递交《中小企业声明函》</w:t>
      </w:r>
      <w:r>
        <w:rPr>
          <w:rFonts w:hint="eastAsia" w:asciiTheme="minorEastAsia" w:hAnsiTheme="minorEastAsia" w:eastAsiaTheme="minorEastAsia"/>
          <w:color w:val="auto"/>
        </w:rPr>
        <w:t>（声明函格式见第四章“响应文件格式”），未递交声明函的在评审时视为非中型、小型、微型企业。</w:t>
      </w:r>
    </w:p>
    <w:p w14:paraId="527E88EE">
      <w:pPr>
        <w:widowControl/>
        <w:jc w:val="left"/>
        <w:rPr>
          <w:rFonts w:hint="eastAsia" w:asciiTheme="minorEastAsia" w:hAnsiTheme="minorEastAsia" w:eastAsiaTheme="minorEastAsia"/>
          <w:b/>
          <w:bCs/>
          <w:color w:val="auto"/>
        </w:rPr>
      </w:pPr>
      <w:r>
        <w:rPr>
          <w:rFonts w:hint="eastAsia" w:asciiTheme="minorEastAsia" w:hAnsiTheme="minorEastAsia" w:eastAsiaTheme="minorEastAsia"/>
          <w:b/>
          <w:bCs/>
          <w:color w:val="auto"/>
        </w:rPr>
        <w:br w:type="page"/>
      </w:r>
    </w:p>
    <w:p w14:paraId="5B57E9E7">
      <w:pPr>
        <w:widowControl/>
        <w:spacing w:line="360" w:lineRule="auto"/>
        <w:jc w:val="center"/>
        <w:rPr>
          <w:rFonts w:hint="eastAsia" w:cs="宋体" w:asciiTheme="minorEastAsia" w:hAnsiTheme="minorEastAsia" w:eastAsiaTheme="minorEastAsia"/>
          <w:b/>
          <w:color w:val="auto"/>
          <w:kern w:val="0"/>
          <w:sz w:val="24"/>
          <w:szCs w:val="22"/>
        </w:rPr>
      </w:pPr>
      <w:r>
        <w:rPr>
          <w:rFonts w:hint="eastAsia" w:cs="宋体" w:asciiTheme="minorEastAsia" w:hAnsiTheme="minorEastAsia" w:eastAsiaTheme="minorEastAsia"/>
          <w:b/>
          <w:color w:val="auto"/>
          <w:kern w:val="0"/>
          <w:sz w:val="24"/>
          <w:szCs w:val="22"/>
        </w:rPr>
        <w:t>统计上大中小微型企业划分标准</w:t>
      </w:r>
    </w:p>
    <w:tbl>
      <w:tblPr>
        <w:tblStyle w:val="55"/>
        <w:tblW w:w="90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1606"/>
        <w:gridCol w:w="711"/>
        <w:gridCol w:w="1129"/>
        <w:gridCol w:w="1706"/>
        <w:gridCol w:w="1431"/>
        <w:gridCol w:w="995"/>
      </w:tblGrid>
      <w:tr w14:paraId="7DDF9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1485" w:type="dxa"/>
            <w:vAlign w:val="center"/>
          </w:tcPr>
          <w:p w14:paraId="56B51BC8">
            <w:pPr>
              <w:widowControl/>
              <w:spacing w:line="360" w:lineRule="auto"/>
              <w:contextualSpacing/>
              <w:jc w:val="center"/>
              <w:rPr>
                <w:rFonts w:hint="eastAsia" w:cs="宋体" w:asciiTheme="minorEastAsia" w:hAnsiTheme="minorEastAsia" w:eastAsiaTheme="minorEastAsia"/>
                <w:b/>
                <w:bCs/>
                <w:color w:val="auto"/>
                <w:kern w:val="0"/>
                <w:szCs w:val="21"/>
              </w:rPr>
            </w:pPr>
            <w:r>
              <w:rPr>
                <w:rFonts w:hint="eastAsia" w:cs="宋体" w:asciiTheme="minorEastAsia" w:hAnsiTheme="minorEastAsia" w:eastAsiaTheme="minorEastAsia"/>
                <w:b/>
                <w:bCs/>
                <w:color w:val="auto"/>
                <w:kern w:val="0"/>
                <w:szCs w:val="21"/>
              </w:rPr>
              <w:t>行业名称</w:t>
            </w:r>
          </w:p>
        </w:tc>
        <w:tc>
          <w:tcPr>
            <w:tcW w:w="1606" w:type="dxa"/>
            <w:vAlign w:val="center"/>
          </w:tcPr>
          <w:p w14:paraId="7CF7B1D4">
            <w:pPr>
              <w:widowControl/>
              <w:spacing w:line="360" w:lineRule="auto"/>
              <w:contextualSpacing/>
              <w:jc w:val="center"/>
              <w:rPr>
                <w:rFonts w:hint="eastAsia" w:cs="宋体" w:asciiTheme="minorEastAsia" w:hAnsiTheme="minorEastAsia" w:eastAsiaTheme="minorEastAsia"/>
                <w:b/>
                <w:bCs/>
                <w:color w:val="auto"/>
                <w:kern w:val="0"/>
                <w:szCs w:val="21"/>
              </w:rPr>
            </w:pPr>
            <w:r>
              <w:rPr>
                <w:rFonts w:hint="eastAsia" w:cs="宋体" w:asciiTheme="minorEastAsia" w:hAnsiTheme="minorEastAsia" w:eastAsiaTheme="minorEastAsia"/>
                <w:b/>
                <w:bCs/>
                <w:color w:val="auto"/>
                <w:kern w:val="0"/>
                <w:szCs w:val="21"/>
              </w:rPr>
              <w:t>指标名称</w:t>
            </w:r>
          </w:p>
        </w:tc>
        <w:tc>
          <w:tcPr>
            <w:tcW w:w="711" w:type="dxa"/>
            <w:vAlign w:val="center"/>
          </w:tcPr>
          <w:p w14:paraId="456DFA9E">
            <w:pPr>
              <w:widowControl/>
              <w:spacing w:line="360" w:lineRule="auto"/>
              <w:contextualSpacing/>
              <w:jc w:val="center"/>
              <w:rPr>
                <w:rFonts w:hint="eastAsia" w:cs="宋体" w:asciiTheme="minorEastAsia" w:hAnsiTheme="minorEastAsia" w:eastAsiaTheme="minorEastAsia"/>
                <w:b/>
                <w:bCs/>
                <w:color w:val="auto"/>
                <w:kern w:val="0"/>
                <w:szCs w:val="21"/>
              </w:rPr>
            </w:pPr>
            <w:r>
              <w:rPr>
                <w:rFonts w:hint="eastAsia" w:cs="宋体" w:asciiTheme="minorEastAsia" w:hAnsiTheme="minorEastAsia" w:eastAsiaTheme="minorEastAsia"/>
                <w:b/>
                <w:bCs/>
                <w:color w:val="auto"/>
                <w:kern w:val="0"/>
                <w:szCs w:val="21"/>
              </w:rPr>
              <w:t>计量单位</w:t>
            </w:r>
          </w:p>
        </w:tc>
        <w:tc>
          <w:tcPr>
            <w:tcW w:w="1129" w:type="dxa"/>
            <w:vAlign w:val="center"/>
          </w:tcPr>
          <w:p w14:paraId="273448C1">
            <w:pPr>
              <w:widowControl/>
              <w:spacing w:line="360" w:lineRule="auto"/>
              <w:contextualSpacing/>
              <w:jc w:val="center"/>
              <w:rPr>
                <w:rFonts w:hint="eastAsia" w:cs="宋体" w:asciiTheme="minorEastAsia" w:hAnsiTheme="minorEastAsia" w:eastAsiaTheme="minorEastAsia"/>
                <w:b/>
                <w:bCs/>
                <w:color w:val="auto"/>
                <w:kern w:val="0"/>
                <w:szCs w:val="21"/>
              </w:rPr>
            </w:pPr>
            <w:r>
              <w:rPr>
                <w:rFonts w:hint="eastAsia" w:cs="宋体" w:asciiTheme="minorEastAsia" w:hAnsiTheme="minorEastAsia" w:eastAsiaTheme="minorEastAsia"/>
                <w:b/>
                <w:bCs/>
                <w:color w:val="auto"/>
                <w:kern w:val="0"/>
                <w:szCs w:val="21"/>
              </w:rPr>
              <w:t>大型</w:t>
            </w:r>
          </w:p>
        </w:tc>
        <w:tc>
          <w:tcPr>
            <w:tcW w:w="1706" w:type="dxa"/>
            <w:vAlign w:val="center"/>
          </w:tcPr>
          <w:p w14:paraId="1BD7E749">
            <w:pPr>
              <w:widowControl/>
              <w:spacing w:line="360" w:lineRule="auto"/>
              <w:contextualSpacing/>
              <w:jc w:val="center"/>
              <w:rPr>
                <w:rFonts w:hint="eastAsia" w:cs="宋体" w:asciiTheme="minorEastAsia" w:hAnsiTheme="minorEastAsia" w:eastAsiaTheme="minorEastAsia"/>
                <w:b/>
                <w:bCs/>
                <w:color w:val="auto"/>
                <w:kern w:val="0"/>
                <w:szCs w:val="21"/>
              </w:rPr>
            </w:pPr>
            <w:r>
              <w:rPr>
                <w:rFonts w:hint="eastAsia" w:cs="宋体" w:asciiTheme="minorEastAsia" w:hAnsiTheme="minorEastAsia" w:eastAsiaTheme="minorEastAsia"/>
                <w:b/>
                <w:bCs/>
                <w:color w:val="auto"/>
                <w:kern w:val="0"/>
                <w:szCs w:val="21"/>
              </w:rPr>
              <w:t>中型</w:t>
            </w:r>
          </w:p>
        </w:tc>
        <w:tc>
          <w:tcPr>
            <w:tcW w:w="1431" w:type="dxa"/>
            <w:vAlign w:val="center"/>
          </w:tcPr>
          <w:p w14:paraId="44D0A6D3">
            <w:pPr>
              <w:widowControl/>
              <w:spacing w:line="360" w:lineRule="auto"/>
              <w:contextualSpacing/>
              <w:jc w:val="center"/>
              <w:rPr>
                <w:rFonts w:hint="eastAsia" w:cs="宋体" w:asciiTheme="minorEastAsia" w:hAnsiTheme="minorEastAsia" w:eastAsiaTheme="minorEastAsia"/>
                <w:b/>
                <w:bCs/>
                <w:color w:val="auto"/>
                <w:kern w:val="0"/>
                <w:szCs w:val="21"/>
              </w:rPr>
            </w:pPr>
            <w:r>
              <w:rPr>
                <w:rFonts w:hint="eastAsia" w:cs="宋体" w:asciiTheme="minorEastAsia" w:hAnsiTheme="minorEastAsia" w:eastAsiaTheme="minorEastAsia"/>
                <w:b/>
                <w:bCs/>
                <w:color w:val="auto"/>
                <w:kern w:val="0"/>
                <w:szCs w:val="21"/>
              </w:rPr>
              <w:t>小型</w:t>
            </w:r>
          </w:p>
        </w:tc>
        <w:tc>
          <w:tcPr>
            <w:tcW w:w="995" w:type="dxa"/>
            <w:vAlign w:val="center"/>
          </w:tcPr>
          <w:p w14:paraId="139CB530">
            <w:pPr>
              <w:widowControl/>
              <w:spacing w:line="360" w:lineRule="auto"/>
              <w:contextualSpacing/>
              <w:jc w:val="center"/>
              <w:rPr>
                <w:rFonts w:hint="eastAsia" w:cs="宋体" w:asciiTheme="minorEastAsia" w:hAnsiTheme="minorEastAsia" w:eastAsiaTheme="minorEastAsia"/>
                <w:b/>
                <w:bCs/>
                <w:color w:val="auto"/>
                <w:kern w:val="0"/>
                <w:szCs w:val="21"/>
              </w:rPr>
            </w:pPr>
            <w:r>
              <w:rPr>
                <w:rFonts w:hint="eastAsia" w:cs="宋体" w:asciiTheme="minorEastAsia" w:hAnsiTheme="minorEastAsia" w:eastAsiaTheme="minorEastAsia"/>
                <w:b/>
                <w:bCs/>
                <w:color w:val="auto"/>
                <w:kern w:val="0"/>
                <w:szCs w:val="21"/>
              </w:rPr>
              <w:t>微型</w:t>
            </w:r>
          </w:p>
        </w:tc>
      </w:tr>
      <w:tr w14:paraId="6646E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1485" w:type="dxa"/>
            <w:vAlign w:val="center"/>
          </w:tcPr>
          <w:p w14:paraId="06EFDF10">
            <w:pPr>
              <w:widowControl/>
              <w:spacing w:line="360" w:lineRule="auto"/>
              <w:contextualSpacing/>
              <w:jc w:val="left"/>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农、林、牧、渔业</w:t>
            </w:r>
          </w:p>
        </w:tc>
        <w:tc>
          <w:tcPr>
            <w:tcW w:w="1606" w:type="dxa"/>
            <w:vAlign w:val="center"/>
          </w:tcPr>
          <w:p w14:paraId="3B4D2D5F">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营业收入（Y）</w:t>
            </w:r>
          </w:p>
        </w:tc>
        <w:tc>
          <w:tcPr>
            <w:tcW w:w="711" w:type="dxa"/>
            <w:vAlign w:val="center"/>
          </w:tcPr>
          <w:p w14:paraId="1AD27712">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万元</w:t>
            </w:r>
          </w:p>
        </w:tc>
        <w:tc>
          <w:tcPr>
            <w:tcW w:w="1129" w:type="dxa"/>
            <w:vAlign w:val="center"/>
          </w:tcPr>
          <w:p w14:paraId="172EB40D">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Y≥20000</w:t>
            </w:r>
          </w:p>
        </w:tc>
        <w:tc>
          <w:tcPr>
            <w:tcW w:w="1706" w:type="dxa"/>
            <w:vAlign w:val="center"/>
          </w:tcPr>
          <w:p w14:paraId="75BE0746">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 xml:space="preserve"> 500≤Y＜20000</w:t>
            </w:r>
          </w:p>
        </w:tc>
        <w:tc>
          <w:tcPr>
            <w:tcW w:w="1431" w:type="dxa"/>
            <w:vAlign w:val="center"/>
          </w:tcPr>
          <w:p w14:paraId="1629FD3F">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 xml:space="preserve"> 50≤Y＜500</w:t>
            </w:r>
          </w:p>
        </w:tc>
        <w:tc>
          <w:tcPr>
            <w:tcW w:w="995" w:type="dxa"/>
            <w:vAlign w:val="center"/>
          </w:tcPr>
          <w:p w14:paraId="63E51441">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Y＜50</w:t>
            </w:r>
          </w:p>
        </w:tc>
      </w:tr>
      <w:tr w14:paraId="25A18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1485" w:type="dxa"/>
            <w:vMerge w:val="restart"/>
            <w:vAlign w:val="center"/>
          </w:tcPr>
          <w:p w14:paraId="4A3AC1D6">
            <w:pPr>
              <w:widowControl/>
              <w:spacing w:line="360" w:lineRule="auto"/>
              <w:contextualSpacing/>
              <w:jc w:val="left"/>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工业 *</w:t>
            </w:r>
          </w:p>
        </w:tc>
        <w:tc>
          <w:tcPr>
            <w:tcW w:w="1606" w:type="dxa"/>
            <w:vAlign w:val="center"/>
          </w:tcPr>
          <w:p w14:paraId="4B2AF912">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从业人员（X）</w:t>
            </w:r>
          </w:p>
        </w:tc>
        <w:tc>
          <w:tcPr>
            <w:tcW w:w="711" w:type="dxa"/>
            <w:vAlign w:val="center"/>
          </w:tcPr>
          <w:p w14:paraId="4AA20892">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人</w:t>
            </w:r>
          </w:p>
        </w:tc>
        <w:tc>
          <w:tcPr>
            <w:tcW w:w="1129" w:type="dxa"/>
            <w:vAlign w:val="center"/>
          </w:tcPr>
          <w:p w14:paraId="452FAB7F">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X≥1000</w:t>
            </w:r>
          </w:p>
        </w:tc>
        <w:tc>
          <w:tcPr>
            <w:tcW w:w="1706" w:type="dxa"/>
            <w:vAlign w:val="center"/>
          </w:tcPr>
          <w:p w14:paraId="50D2F489">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300≤X＜1000</w:t>
            </w:r>
          </w:p>
        </w:tc>
        <w:tc>
          <w:tcPr>
            <w:tcW w:w="1431" w:type="dxa"/>
            <w:vAlign w:val="center"/>
          </w:tcPr>
          <w:p w14:paraId="47FC1DF6">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 xml:space="preserve"> 20≤X＜300</w:t>
            </w:r>
          </w:p>
        </w:tc>
        <w:tc>
          <w:tcPr>
            <w:tcW w:w="995" w:type="dxa"/>
            <w:vAlign w:val="center"/>
          </w:tcPr>
          <w:p w14:paraId="2E163950">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X＜20</w:t>
            </w:r>
          </w:p>
        </w:tc>
      </w:tr>
      <w:tr w14:paraId="2E03B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exact"/>
          <w:jc w:val="center"/>
        </w:trPr>
        <w:tc>
          <w:tcPr>
            <w:tcW w:w="1485" w:type="dxa"/>
            <w:vMerge w:val="continue"/>
            <w:vAlign w:val="center"/>
          </w:tcPr>
          <w:p w14:paraId="41F1098C">
            <w:pPr>
              <w:widowControl/>
              <w:spacing w:line="360" w:lineRule="auto"/>
              <w:contextualSpacing/>
              <w:jc w:val="left"/>
              <w:rPr>
                <w:rFonts w:hint="eastAsia" w:cs="宋体" w:asciiTheme="minorEastAsia" w:hAnsiTheme="minorEastAsia" w:eastAsiaTheme="minorEastAsia"/>
                <w:color w:val="auto"/>
                <w:kern w:val="0"/>
                <w:szCs w:val="21"/>
              </w:rPr>
            </w:pPr>
          </w:p>
        </w:tc>
        <w:tc>
          <w:tcPr>
            <w:tcW w:w="1606" w:type="dxa"/>
            <w:vAlign w:val="center"/>
          </w:tcPr>
          <w:p w14:paraId="570811FB">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营业收入（Y）</w:t>
            </w:r>
          </w:p>
        </w:tc>
        <w:tc>
          <w:tcPr>
            <w:tcW w:w="711" w:type="dxa"/>
            <w:vAlign w:val="center"/>
          </w:tcPr>
          <w:p w14:paraId="6BA6A704">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万元</w:t>
            </w:r>
          </w:p>
        </w:tc>
        <w:tc>
          <w:tcPr>
            <w:tcW w:w="1129" w:type="dxa"/>
            <w:vAlign w:val="center"/>
          </w:tcPr>
          <w:p w14:paraId="736246AD">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Y≥40000</w:t>
            </w:r>
          </w:p>
        </w:tc>
        <w:tc>
          <w:tcPr>
            <w:tcW w:w="1706" w:type="dxa"/>
            <w:vAlign w:val="center"/>
          </w:tcPr>
          <w:p w14:paraId="1C3E4F5D">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2000≤Y＜40000</w:t>
            </w:r>
          </w:p>
        </w:tc>
        <w:tc>
          <w:tcPr>
            <w:tcW w:w="1431" w:type="dxa"/>
            <w:vAlign w:val="center"/>
          </w:tcPr>
          <w:p w14:paraId="1D7767A6">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 xml:space="preserve"> 300≤Y＜2000</w:t>
            </w:r>
          </w:p>
        </w:tc>
        <w:tc>
          <w:tcPr>
            <w:tcW w:w="995" w:type="dxa"/>
            <w:vAlign w:val="center"/>
          </w:tcPr>
          <w:p w14:paraId="08CFFC03">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Y＜300</w:t>
            </w:r>
          </w:p>
        </w:tc>
      </w:tr>
      <w:tr w14:paraId="5CCAC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exact"/>
          <w:jc w:val="center"/>
        </w:trPr>
        <w:tc>
          <w:tcPr>
            <w:tcW w:w="1485" w:type="dxa"/>
            <w:vMerge w:val="restart"/>
            <w:vAlign w:val="center"/>
          </w:tcPr>
          <w:p w14:paraId="5F47F1F3">
            <w:pPr>
              <w:widowControl/>
              <w:spacing w:line="360" w:lineRule="auto"/>
              <w:contextualSpacing/>
              <w:jc w:val="left"/>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建筑业</w:t>
            </w:r>
          </w:p>
        </w:tc>
        <w:tc>
          <w:tcPr>
            <w:tcW w:w="1606" w:type="dxa"/>
            <w:vAlign w:val="center"/>
          </w:tcPr>
          <w:p w14:paraId="6619DE01">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营业收入（Y）</w:t>
            </w:r>
          </w:p>
        </w:tc>
        <w:tc>
          <w:tcPr>
            <w:tcW w:w="711" w:type="dxa"/>
            <w:vAlign w:val="center"/>
          </w:tcPr>
          <w:p w14:paraId="0966A754">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万元</w:t>
            </w:r>
          </w:p>
        </w:tc>
        <w:tc>
          <w:tcPr>
            <w:tcW w:w="1129" w:type="dxa"/>
            <w:vAlign w:val="center"/>
          </w:tcPr>
          <w:p w14:paraId="422E089F">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Y≥80000</w:t>
            </w:r>
          </w:p>
        </w:tc>
        <w:tc>
          <w:tcPr>
            <w:tcW w:w="1706" w:type="dxa"/>
            <w:vAlign w:val="center"/>
          </w:tcPr>
          <w:p w14:paraId="7B0DA40F">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6000≤Y＜80000</w:t>
            </w:r>
          </w:p>
        </w:tc>
        <w:tc>
          <w:tcPr>
            <w:tcW w:w="1431" w:type="dxa"/>
            <w:vAlign w:val="center"/>
          </w:tcPr>
          <w:p w14:paraId="555BCDA8">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300≤Y＜6000</w:t>
            </w:r>
          </w:p>
        </w:tc>
        <w:tc>
          <w:tcPr>
            <w:tcW w:w="995" w:type="dxa"/>
            <w:vAlign w:val="center"/>
          </w:tcPr>
          <w:p w14:paraId="3DED89C3">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Y＜300</w:t>
            </w:r>
          </w:p>
        </w:tc>
      </w:tr>
      <w:tr w14:paraId="6E0BA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exact"/>
          <w:jc w:val="center"/>
        </w:trPr>
        <w:tc>
          <w:tcPr>
            <w:tcW w:w="1485" w:type="dxa"/>
            <w:vMerge w:val="continue"/>
            <w:vAlign w:val="center"/>
          </w:tcPr>
          <w:p w14:paraId="6B652F87">
            <w:pPr>
              <w:widowControl/>
              <w:spacing w:line="360" w:lineRule="auto"/>
              <w:contextualSpacing/>
              <w:jc w:val="left"/>
              <w:rPr>
                <w:rFonts w:hint="eastAsia" w:cs="宋体" w:asciiTheme="minorEastAsia" w:hAnsiTheme="minorEastAsia" w:eastAsiaTheme="minorEastAsia"/>
                <w:color w:val="auto"/>
                <w:kern w:val="0"/>
                <w:szCs w:val="21"/>
              </w:rPr>
            </w:pPr>
          </w:p>
        </w:tc>
        <w:tc>
          <w:tcPr>
            <w:tcW w:w="1606" w:type="dxa"/>
            <w:vAlign w:val="center"/>
          </w:tcPr>
          <w:p w14:paraId="23DD4DB9">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资产总额（Z）</w:t>
            </w:r>
          </w:p>
        </w:tc>
        <w:tc>
          <w:tcPr>
            <w:tcW w:w="711" w:type="dxa"/>
            <w:vAlign w:val="center"/>
          </w:tcPr>
          <w:p w14:paraId="7BFB7976">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万元</w:t>
            </w:r>
          </w:p>
        </w:tc>
        <w:tc>
          <w:tcPr>
            <w:tcW w:w="1129" w:type="dxa"/>
            <w:vAlign w:val="center"/>
          </w:tcPr>
          <w:p w14:paraId="796F9A1A">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Z≥80000</w:t>
            </w:r>
          </w:p>
        </w:tc>
        <w:tc>
          <w:tcPr>
            <w:tcW w:w="1706" w:type="dxa"/>
            <w:vAlign w:val="center"/>
          </w:tcPr>
          <w:p w14:paraId="4977C990">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5000≤Z＜80000</w:t>
            </w:r>
          </w:p>
        </w:tc>
        <w:tc>
          <w:tcPr>
            <w:tcW w:w="1431" w:type="dxa"/>
            <w:vAlign w:val="center"/>
          </w:tcPr>
          <w:p w14:paraId="137C655E">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 xml:space="preserve"> 300≤Z＜5000</w:t>
            </w:r>
          </w:p>
        </w:tc>
        <w:tc>
          <w:tcPr>
            <w:tcW w:w="995" w:type="dxa"/>
            <w:vAlign w:val="center"/>
          </w:tcPr>
          <w:p w14:paraId="264988A3">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Z＜300</w:t>
            </w:r>
          </w:p>
        </w:tc>
      </w:tr>
      <w:tr w14:paraId="1FCA9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exact"/>
          <w:jc w:val="center"/>
        </w:trPr>
        <w:tc>
          <w:tcPr>
            <w:tcW w:w="1485" w:type="dxa"/>
            <w:vMerge w:val="restart"/>
            <w:vAlign w:val="center"/>
          </w:tcPr>
          <w:p w14:paraId="4FDD4E0D">
            <w:pPr>
              <w:widowControl/>
              <w:spacing w:line="360" w:lineRule="auto"/>
              <w:contextualSpacing/>
              <w:jc w:val="left"/>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批发业</w:t>
            </w:r>
          </w:p>
        </w:tc>
        <w:tc>
          <w:tcPr>
            <w:tcW w:w="1606" w:type="dxa"/>
            <w:vAlign w:val="center"/>
          </w:tcPr>
          <w:p w14:paraId="780836A4">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从业人员（X）</w:t>
            </w:r>
          </w:p>
        </w:tc>
        <w:tc>
          <w:tcPr>
            <w:tcW w:w="711" w:type="dxa"/>
            <w:vAlign w:val="center"/>
          </w:tcPr>
          <w:p w14:paraId="6E251D53">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人</w:t>
            </w:r>
          </w:p>
        </w:tc>
        <w:tc>
          <w:tcPr>
            <w:tcW w:w="1129" w:type="dxa"/>
            <w:vAlign w:val="center"/>
          </w:tcPr>
          <w:p w14:paraId="20E2DAC9">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X≥200</w:t>
            </w:r>
          </w:p>
        </w:tc>
        <w:tc>
          <w:tcPr>
            <w:tcW w:w="1706" w:type="dxa"/>
            <w:vAlign w:val="center"/>
          </w:tcPr>
          <w:p w14:paraId="39F01E92">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20≤X＜200</w:t>
            </w:r>
          </w:p>
        </w:tc>
        <w:tc>
          <w:tcPr>
            <w:tcW w:w="1431" w:type="dxa"/>
            <w:vAlign w:val="center"/>
          </w:tcPr>
          <w:p w14:paraId="4BD1A0CE">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 xml:space="preserve"> 5≤X＜20</w:t>
            </w:r>
          </w:p>
        </w:tc>
        <w:tc>
          <w:tcPr>
            <w:tcW w:w="995" w:type="dxa"/>
            <w:vAlign w:val="center"/>
          </w:tcPr>
          <w:p w14:paraId="4412C98A">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X＜5</w:t>
            </w:r>
          </w:p>
        </w:tc>
      </w:tr>
      <w:tr w14:paraId="2D5C3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exact"/>
          <w:jc w:val="center"/>
        </w:trPr>
        <w:tc>
          <w:tcPr>
            <w:tcW w:w="1485" w:type="dxa"/>
            <w:vMerge w:val="continue"/>
            <w:vAlign w:val="center"/>
          </w:tcPr>
          <w:p w14:paraId="391BD7CB">
            <w:pPr>
              <w:widowControl/>
              <w:spacing w:line="360" w:lineRule="auto"/>
              <w:contextualSpacing/>
              <w:jc w:val="left"/>
              <w:rPr>
                <w:rFonts w:hint="eastAsia" w:cs="宋体" w:asciiTheme="minorEastAsia" w:hAnsiTheme="minorEastAsia" w:eastAsiaTheme="minorEastAsia"/>
                <w:color w:val="auto"/>
                <w:kern w:val="0"/>
                <w:szCs w:val="21"/>
              </w:rPr>
            </w:pPr>
          </w:p>
        </w:tc>
        <w:tc>
          <w:tcPr>
            <w:tcW w:w="1606" w:type="dxa"/>
            <w:vAlign w:val="center"/>
          </w:tcPr>
          <w:p w14:paraId="7C325604">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营业收入（Y）</w:t>
            </w:r>
          </w:p>
        </w:tc>
        <w:tc>
          <w:tcPr>
            <w:tcW w:w="711" w:type="dxa"/>
            <w:vAlign w:val="center"/>
          </w:tcPr>
          <w:p w14:paraId="321ADE66">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万元</w:t>
            </w:r>
          </w:p>
        </w:tc>
        <w:tc>
          <w:tcPr>
            <w:tcW w:w="1129" w:type="dxa"/>
            <w:vAlign w:val="center"/>
          </w:tcPr>
          <w:p w14:paraId="4BD2CE23">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Y≥40000</w:t>
            </w:r>
          </w:p>
        </w:tc>
        <w:tc>
          <w:tcPr>
            <w:tcW w:w="1706" w:type="dxa"/>
            <w:vAlign w:val="center"/>
          </w:tcPr>
          <w:p w14:paraId="713B01CF">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5000≤Y＜40000</w:t>
            </w:r>
          </w:p>
        </w:tc>
        <w:tc>
          <w:tcPr>
            <w:tcW w:w="1431" w:type="dxa"/>
            <w:vAlign w:val="center"/>
          </w:tcPr>
          <w:p w14:paraId="7FC14E04">
            <w:pPr>
              <w:widowControl/>
              <w:spacing w:line="360" w:lineRule="auto"/>
              <w:ind w:left="-1" w:leftChars="-1" w:hanging="1"/>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1000≤Y＜5000</w:t>
            </w:r>
          </w:p>
        </w:tc>
        <w:tc>
          <w:tcPr>
            <w:tcW w:w="995" w:type="dxa"/>
            <w:vAlign w:val="center"/>
          </w:tcPr>
          <w:p w14:paraId="35DAFE58">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Y＜1000</w:t>
            </w:r>
          </w:p>
        </w:tc>
      </w:tr>
      <w:tr w14:paraId="7AA10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exact"/>
          <w:jc w:val="center"/>
        </w:trPr>
        <w:tc>
          <w:tcPr>
            <w:tcW w:w="1485" w:type="dxa"/>
            <w:vMerge w:val="restart"/>
            <w:vAlign w:val="center"/>
          </w:tcPr>
          <w:p w14:paraId="45EDB238">
            <w:pPr>
              <w:widowControl/>
              <w:spacing w:line="360" w:lineRule="auto"/>
              <w:contextualSpacing/>
              <w:jc w:val="left"/>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零售业</w:t>
            </w:r>
          </w:p>
        </w:tc>
        <w:tc>
          <w:tcPr>
            <w:tcW w:w="1606" w:type="dxa"/>
            <w:vAlign w:val="center"/>
          </w:tcPr>
          <w:p w14:paraId="4ADAFB84">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从业人员（X）</w:t>
            </w:r>
          </w:p>
        </w:tc>
        <w:tc>
          <w:tcPr>
            <w:tcW w:w="711" w:type="dxa"/>
            <w:vAlign w:val="center"/>
          </w:tcPr>
          <w:p w14:paraId="4DEFC361">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人</w:t>
            </w:r>
          </w:p>
        </w:tc>
        <w:tc>
          <w:tcPr>
            <w:tcW w:w="1129" w:type="dxa"/>
            <w:vAlign w:val="center"/>
          </w:tcPr>
          <w:p w14:paraId="02274492">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X≥300</w:t>
            </w:r>
          </w:p>
        </w:tc>
        <w:tc>
          <w:tcPr>
            <w:tcW w:w="1706" w:type="dxa"/>
            <w:vAlign w:val="center"/>
          </w:tcPr>
          <w:p w14:paraId="377E50D5">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50≤X＜300</w:t>
            </w:r>
          </w:p>
        </w:tc>
        <w:tc>
          <w:tcPr>
            <w:tcW w:w="1431" w:type="dxa"/>
            <w:vAlign w:val="center"/>
          </w:tcPr>
          <w:p w14:paraId="03EFD347">
            <w:pPr>
              <w:widowControl/>
              <w:spacing w:line="360" w:lineRule="auto"/>
              <w:ind w:left="-1" w:leftChars="-1" w:hanging="1"/>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 xml:space="preserve">10≤X＜50 </w:t>
            </w:r>
          </w:p>
        </w:tc>
        <w:tc>
          <w:tcPr>
            <w:tcW w:w="995" w:type="dxa"/>
            <w:vAlign w:val="center"/>
          </w:tcPr>
          <w:p w14:paraId="2288F162">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X＜10</w:t>
            </w:r>
          </w:p>
        </w:tc>
      </w:tr>
      <w:tr w14:paraId="4319D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jc w:val="center"/>
        </w:trPr>
        <w:tc>
          <w:tcPr>
            <w:tcW w:w="1485" w:type="dxa"/>
            <w:vMerge w:val="continue"/>
            <w:vAlign w:val="center"/>
          </w:tcPr>
          <w:p w14:paraId="0E48FCDC">
            <w:pPr>
              <w:widowControl/>
              <w:spacing w:line="360" w:lineRule="auto"/>
              <w:contextualSpacing/>
              <w:jc w:val="left"/>
              <w:rPr>
                <w:rFonts w:hint="eastAsia" w:cs="宋体" w:asciiTheme="minorEastAsia" w:hAnsiTheme="minorEastAsia" w:eastAsiaTheme="minorEastAsia"/>
                <w:color w:val="auto"/>
                <w:kern w:val="0"/>
                <w:szCs w:val="21"/>
              </w:rPr>
            </w:pPr>
          </w:p>
        </w:tc>
        <w:tc>
          <w:tcPr>
            <w:tcW w:w="1606" w:type="dxa"/>
            <w:vAlign w:val="center"/>
          </w:tcPr>
          <w:p w14:paraId="21193826">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营业收入（Y）</w:t>
            </w:r>
          </w:p>
        </w:tc>
        <w:tc>
          <w:tcPr>
            <w:tcW w:w="711" w:type="dxa"/>
            <w:vAlign w:val="center"/>
          </w:tcPr>
          <w:p w14:paraId="5F8BD46F">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万元</w:t>
            </w:r>
          </w:p>
        </w:tc>
        <w:tc>
          <w:tcPr>
            <w:tcW w:w="1129" w:type="dxa"/>
            <w:vAlign w:val="center"/>
          </w:tcPr>
          <w:p w14:paraId="12617CDF">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Y≥20000</w:t>
            </w:r>
          </w:p>
        </w:tc>
        <w:tc>
          <w:tcPr>
            <w:tcW w:w="1706" w:type="dxa"/>
            <w:vAlign w:val="center"/>
          </w:tcPr>
          <w:p w14:paraId="4100229F">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 xml:space="preserve"> 500≤Y＜20000</w:t>
            </w:r>
          </w:p>
        </w:tc>
        <w:tc>
          <w:tcPr>
            <w:tcW w:w="1431" w:type="dxa"/>
            <w:vAlign w:val="center"/>
          </w:tcPr>
          <w:p w14:paraId="3D3CFCA9">
            <w:pPr>
              <w:widowControl/>
              <w:spacing w:line="360" w:lineRule="auto"/>
              <w:ind w:left="-1" w:leftChars="-1" w:hanging="1"/>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 xml:space="preserve">100≤Y＜500 </w:t>
            </w:r>
          </w:p>
        </w:tc>
        <w:tc>
          <w:tcPr>
            <w:tcW w:w="995" w:type="dxa"/>
            <w:vAlign w:val="center"/>
          </w:tcPr>
          <w:p w14:paraId="67B5C37F">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Y＜100</w:t>
            </w:r>
          </w:p>
        </w:tc>
      </w:tr>
      <w:tr w14:paraId="2709D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1485" w:type="dxa"/>
            <w:vMerge w:val="restart"/>
            <w:vAlign w:val="center"/>
          </w:tcPr>
          <w:p w14:paraId="50B6F401">
            <w:pPr>
              <w:widowControl/>
              <w:spacing w:line="360" w:lineRule="auto"/>
              <w:contextualSpacing/>
              <w:jc w:val="left"/>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交通运输业 *</w:t>
            </w:r>
          </w:p>
        </w:tc>
        <w:tc>
          <w:tcPr>
            <w:tcW w:w="1606" w:type="dxa"/>
            <w:vAlign w:val="center"/>
          </w:tcPr>
          <w:p w14:paraId="15BBA58E">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从业人员（X）</w:t>
            </w:r>
          </w:p>
        </w:tc>
        <w:tc>
          <w:tcPr>
            <w:tcW w:w="711" w:type="dxa"/>
            <w:vAlign w:val="center"/>
          </w:tcPr>
          <w:p w14:paraId="5ACAEE3C">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人</w:t>
            </w:r>
          </w:p>
        </w:tc>
        <w:tc>
          <w:tcPr>
            <w:tcW w:w="1129" w:type="dxa"/>
            <w:vAlign w:val="center"/>
          </w:tcPr>
          <w:p w14:paraId="36224FBC">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X≥1000</w:t>
            </w:r>
          </w:p>
        </w:tc>
        <w:tc>
          <w:tcPr>
            <w:tcW w:w="1706" w:type="dxa"/>
            <w:vAlign w:val="center"/>
          </w:tcPr>
          <w:p w14:paraId="5D59B444">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300≤X＜1000</w:t>
            </w:r>
          </w:p>
        </w:tc>
        <w:tc>
          <w:tcPr>
            <w:tcW w:w="1431" w:type="dxa"/>
            <w:vAlign w:val="center"/>
          </w:tcPr>
          <w:p w14:paraId="55656DCB">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 xml:space="preserve"> 20≤X＜300</w:t>
            </w:r>
          </w:p>
        </w:tc>
        <w:tc>
          <w:tcPr>
            <w:tcW w:w="995" w:type="dxa"/>
            <w:vAlign w:val="center"/>
          </w:tcPr>
          <w:p w14:paraId="2F31DD76">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X＜20</w:t>
            </w:r>
          </w:p>
        </w:tc>
      </w:tr>
      <w:tr w14:paraId="61231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exact"/>
          <w:jc w:val="center"/>
        </w:trPr>
        <w:tc>
          <w:tcPr>
            <w:tcW w:w="1485" w:type="dxa"/>
            <w:vMerge w:val="continue"/>
            <w:vAlign w:val="center"/>
          </w:tcPr>
          <w:p w14:paraId="3F1ADA4A">
            <w:pPr>
              <w:widowControl/>
              <w:spacing w:line="360" w:lineRule="auto"/>
              <w:contextualSpacing/>
              <w:jc w:val="left"/>
              <w:rPr>
                <w:rFonts w:hint="eastAsia" w:cs="宋体" w:asciiTheme="minorEastAsia" w:hAnsiTheme="minorEastAsia" w:eastAsiaTheme="minorEastAsia"/>
                <w:color w:val="auto"/>
                <w:kern w:val="0"/>
                <w:szCs w:val="21"/>
              </w:rPr>
            </w:pPr>
          </w:p>
        </w:tc>
        <w:tc>
          <w:tcPr>
            <w:tcW w:w="1606" w:type="dxa"/>
            <w:vAlign w:val="center"/>
          </w:tcPr>
          <w:p w14:paraId="0435117E">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营业收入（Y）</w:t>
            </w:r>
          </w:p>
        </w:tc>
        <w:tc>
          <w:tcPr>
            <w:tcW w:w="711" w:type="dxa"/>
            <w:vAlign w:val="center"/>
          </w:tcPr>
          <w:p w14:paraId="02ECC2A1">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万元</w:t>
            </w:r>
          </w:p>
        </w:tc>
        <w:tc>
          <w:tcPr>
            <w:tcW w:w="1129" w:type="dxa"/>
            <w:vAlign w:val="center"/>
          </w:tcPr>
          <w:p w14:paraId="4FF34246">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Y≥30000</w:t>
            </w:r>
          </w:p>
        </w:tc>
        <w:tc>
          <w:tcPr>
            <w:tcW w:w="1706" w:type="dxa"/>
            <w:vAlign w:val="center"/>
          </w:tcPr>
          <w:p w14:paraId="42426294">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3000≤Y＜30000</w:t>
            </w:r>
          </w:p>
        </w:tc>
        <w:tc>
          <w:tcPr>
            <w:tcW w:w="1431" w:type="dxa"/>
            <w:vAlign w:val="center"/>
          </w:tcPr>
          <w:p w14:paraId="07CCAEDF">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 xml:space="preserve"> 200≤Y＜3000</w:t>
            </w:r>
          </w:p>
        </w:tc>
        <w:tc>
          <w:tcPr>
            <w:tcW w:w="995" w:type="dxa"/>
            <w:vAlign w:val="center"/>
          </w:tcPr>
          <w:p w14:paraId="525D5217">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Y＜200</w:t>
            </w:r>
          </w:p>
        </w:tc>
      </w:tr>
      <w:tr w14:paraId="2F211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exact"/>
          <w:jc w:val="center"/>
        </w:trPr>
        <w:tc>
          <w:tcPr>
            <w:tcW w:w="1485" w:type="dxa"/>
            <w:vMerge w:val="restart"/>
            <w:vAlign w:val="center"/>
          </w:tcPr>
          <w:p w14:paraId="19F1EF85">
            <w:pPr>
              <w:widowControl/>
              <w:spacing w:line="360" w:lineRule="auto"/>
              <w:contextualSpacing/>
              <w:jc w:val="left"/>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仓储业</w:t>
            </w:r>
          </w:p>
        </w:tc>
        <w:tc>
          <w:tcPr>
            <w:tcW w:w="1606" w:type="dxa"/>
            <w:vAlign w:val="center"/>
          </w:tcPr>
          <w:p w14:paraId="717E838D">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从业人员（X）</w:t>
            </w:r>
          </w:p>
        </w:tc>
        <w:tc>
          <w:tcPr>
            <w:tcW w:w="711" w:type="dxa"/>
            <w:vAlign w:val="center"/>
          </w:tcPr>
          <w:p w14:paraId="1D89A7F1">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人</w:t>
            </w:r>
          </w:p>
        </w:tc>
        <w:tc>
          <w:tcPr>
            <w:tcW w:w="1129" w:type="dxa"/>
            <w:vAlign w:val="center"/>
          </w:tcPr>
          <w:p w14:paraId="44FC9BCC">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X≥200</w:t>
            </w:r>
          </w:p>
        </w:tc>
        <w:tc>
          <w:tcPr>
            <w:tcW w:w="1706" w:type="dxa"/>
            <w:vAlign w:val="center"/>
          </w:tcPr>
          <w:p w14:paraId="29F1B362">
            <w:pPr>
              <w:widowControl/>
              <w:spacing w:line="360" w:lineRule="auto"/>
              <w:ind w:left="19" w:leftChars="-51" w:hanging="126" w:hangingChars="60"/>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100≤X＜200</w:t>
            </w:r>
          </w:p>
        </w:tc>
        <w:tc>
          <w:tcPr>
            <w:tcW w:w="1431" w:type="dxa"/>
            <w:vAlign w:val="center"/>
          </w:tcPr>
          <w:p w14:paraId="387B7B03">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 xml:space="preserve"> 20≤X＜100</w:t>
            </w:r>
          </w:p>
        </w:tc>
        <w:tc>
          <w:tcPr>
            <w:tcW w:w="995" w:type="dxa"/>
            <w:vAlign w:val="center"/>
          </w:tcPr>
          <w:p w14:paraId="742AF5B5">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X＜20</w:t>
            </w:r>
          </w:p>
        </w:tc>
      </w:tr>
      <w:tr w14:paraId="61D7E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exact"/>
          <w:jc w:val="center"/>
        </w:trPr>
        <w:tc>
          <w:tcPr>
            <w:tcW w:w="1485" w:type="dxa"/>
            <w:vMerge w:val="continue"/>
            <w:vAlign w:val="center"/>
          </w:tcPr>
          <w:p w14:paraId="2350BBE5">
            <w:pPr>
              <w:widowControl/>
              <w:spacing w:line="360" w:lineRule="auto"/>
              <w:contextualSpacing/>
              <w:jc w:val="left"/>
              <w:rPr>
                <w:rFonts w:hint="eastAsia" w:cs="宋体" w:asciiTheme="minorEastAsia" w:hAnsiTheme="minorEastAsia" w:eastAsiaTheme="minorEastAsia"/>
                <w:color w:val="auto"/>
                <w:kern w:val="0"/>
                <w:szCs w:val="21"/>
              </w:rPr>
            </w:pPr>
          </w:p>
        </w:tc>
        <w:tc>
          <w:tcPr>
            <w:tcW w:w="1606" w:type="dxa"/>
            <w:vAlign w:val="center"/>
          </w:tcPr>
          <w:p w14:paraId="6B44F64A">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营业收入（Y）</w:t>
            </w:r>
          </w:p>
        </w:tc>
        <w:tc>
          <w:tcPr>
            <w:tcW w:w="711" w:type="dxa"/>
            <w:vAlign w:val="center"/>
          </w:tcPr>
          <w:p w14:paraId="4FA95444">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万元</w:t>
            </w:r>
          </w:p>
        </w:tc>
        <w:tc>
          <w:tcPr>
            <w:tcW w:w="1129" w:type="dxa"/>
            <w:vAlign w:val="center"/>
          </w:tcPr>
          <w:p w14:paraId="2E129763">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Y≥30000</w:t>
            </w:r>
          </w:p>
        </w:tc>
        <w:tc>
          <w:tcPr>
            <w:tcW w:w="1706" w:type="dxa"/>
            <w:vAlign w:val="center"/>
          </w:tcPr>
          <w:p w14:paraId="1A466CE9">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1000≤Y＜30000</w:t>
            </w:r>
          </w:p>
        </w:tc>
        <w:tc>
          <w:tcPr>
            <w:tcW w:w="1431" w:type="dxa"/>
            <w:vAlign w:val="center"/>
          </w:tcPr>
          <w:p w14:paraId="1ACCE61D">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 xml:space="preserve"> 100≤Y＜1000</w:t>
            </w:r>
          </w:p>
        </w:tc>
        <w:tc>
          <w:tcPr>
            <w:tcW w:w="995" w:type="dxa"/>
            <w:vAlign w:val="center"/>
          </w:tcPr>
          <w:p w14:paraId="41A4943E">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Y＜100</w:t>
            </w:r>
          </w:p>
        </w:tc>
      </w:tr>
      <w:tr w14:paraId="7C801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exact"/>
          <w:jc w:val="center"/>
        </w:trPr>
        <w:tc>
          <w:tcPr>
            <w:tcW w:w="1485" w:type="dxa"/>
            <w:vMerge w:val="restart"/>
            <w:vAlign w:val="center"/>
          </w:tcPr>
          <w:p w14:paraId="31D4D6A6">
            <w:pPr>
              <w:widowControl/>
              <w:spacing w:line="360" w:lineRule="auto"/>
              <w:contextualSpacing/>
              <w:jc w:val="left"/>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邮政业</w:t>
            </w:r>
          </w:p>
        </w:tc>
        <w:tc>
          <w:tcPr>
            <w:tcW w:w="1606" w:type="dxa"/>
            <w:vAlign w:val="center"/>
          </w:tcPr>
          <w:p w14:paraId="4D3B760C">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从业人员（X）</w:t>
            </w:r>
          </w:p>
        </w:tc>
        <w:tc>
          <w:tcPr>
            <w:tcW w:w="711" w:type="dxa"/>
            <w:vAlign w:val="center"/>
          </w:tcPr>
          <w:p w14:paraId="7D2C78BB">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人</w:t>
            </w:r>
          </w:p>
        </w:tc>
        <w:tc>
          <w:tcPr>
            <w:tcW w:w="1129" w:type="dxa"/>
            <w:vAlign w:val="center"/>
          </w:tcPr>
          <w:p w14:paraId="2E209DFD">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X≥1000</w:t>
            </w:r>
          </w:p>
        </w:tc>
        <w:tc>
          <w:tcPr>
            <w:tcW w:w="1706" w:type="dxa"/>
            <w:vAlign w:val="center"/>
          </w:tcPr>
          <w:p w14:paraId="3459B6B9">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300≤X＜1000</w:t>
            </w:r>
          </w:p>
        </w:tc>
        <w:tc>
          <w:tcPr>
            <w:tcW w:w="1431" w:type="dxa"/>
            <w:vAlign w:val="center"/>
          </w:tcPr>
          <w:p w14:paraId="70C39971">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 xml:space="preserve"> 20≤X＜300</w:t>
            </w:r>
          </w:p>
        </w:tc>
        <w:tc>
          <w:tcPr>
            <w:tcW w:w="995" w:type="dxa"/>
            <w:vAlign w:val="center"/>
          </w:tcPr>
          <w:p w14:paraId="1AE273C5">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X＜20</w:t>
            </w:r>
          </w:p>
        </w:tc>
      </w:tr>
      <w:tr w14:paraId="70AED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exact"/>
          <w:jc w:val="center"/>
        </w:trPr>
        <w:tc>
          <w:tcPr>
            <w:tcW w:w="1485" w:type="dxa"/>
            <w:vMerge w:val="continue"/>
            <w:vAlign w:val="center"/>
          </w:tcPr>
          <w:p w14:paraId="5A5140D5">
            <w:pPr>
              <w:widowControl/>
              <w:spacing w:line="360" w:lineRule="auto"/>
              <w:contextualSpacing/>
              <w:jc w:val="left"/>
              <w:rPr>
                <w:rFonts w:hint="eastAsia" w:cs="宋体" w:asciiTheme="minorEastAsia" w:hAnsiTheme="minorEastAsia" w:eastAsiaTheme="minorEastAsia"/>
                <w:color w:val="auto"/>
                <w:kern w:val="0"/>
                <w:szCs w:val="21"/>
              </w:rPr>
            </w:pPr>
          </w:p>
        </w:tc>
        <w:tc>
          <w:tcPr>
            <w:tcW w:w="1606" w:type="dxa"/>
            <w:vAlign w:val="center"/>
          </w:tcPr>
          <w:p w14:paraId="7A31164C">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营业收入（Y）</w:t>
            </w:r>
          </w:p>
        </w:tc>
        <w:tc>
          <w:tcPr>
            <w:tcW w:w="711" w:type="dxa"/>
            <w:vAlign w:val="center"/>
          </w:tcPr>
          <w:p w14:paraId="48316987">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万元</w:t>
            </w:r>
          </w:p>
        </w:tc>
        <w:tc>
          <w:tcPr>
            <w:tcW w:w="1129" w:type="dxa"/>
            <w:vAlign w:val="center"/>
          </w:tcPr>
          <w:p w14:paraId="2AAA4D11">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Y≥30000</w:t>
            </w:r>
          </w:p>
        </w:tc>
        <w:tc>
          <w:tcPr>
            <w:tcW w:w="1706" w:type="dxa"/>
            <w:vAlign w:val="center"/>
          </w:tcPr>
          <w:p w14:paraId="625B43AA">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2000≤Y＜30000</w:t>
            </w:r>
          </w:p>
        </w:tc>
        <w:tc>
          <w:tcPr>
            <w:tcW w:w="1431" w:type="dxa"/>
            <w:vAlign w:val="center"/>
          </w:tcPr>
          <w:p w14:paraId="623FBD54">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 xml:space="preserve"> 100≤Y＜2000</w:t>
            </w:r>
          </w:p>
        </w:tc>
        <w:tc>
          <w:tcPr>
            <w:tcW w:w="995" w:type="dxa"/>
            <w:vAlign w:val="center"/>
          </w:tcPr>
          <w:p w14:paraId="424F20EC">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Y＜100</w:t>
            </w:r>
          </w:p>
        </w:tc>
      </w:tr>
      <w:tr w14:paraId="483C2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exact"/>
          <w:jc w:val="center"/>
        </w:trPr>
        <w:tc>
          <w:tcPr>
            <w:tcW w:w="1485" w:type="dxa"/>
            <w:vMerge w:val="restart"/>
            <w:vAlign w:val="center"/>
          </w:tcPr>
          <w:p w14:paraId="7F546B47">
            <w:pPr>
              <w:widowControl/>
              <w:spacing w:line="360" w:lineRule="auto"/>
              <w:contextualSpacing/>
              <w:jc w:val="left"/>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住宿业</w:t>
            </w:r>
          </w:p>
        </w:tc>
        <w:tc>
          <w:tcPr>
            <w:tcW w:w="1606" w:type="dxa"/>
            <w:vAlign w:val="center"/>
          </w:tcPr>
          <w:p w14:paraId="64A47701">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从业人员（X）</w:t>
            </w:r>
          </w:p>
        </w:tc>
        <w:tc>
          <w:tcPr>
            <w:tcW w:w="711" w:type="dxa"/>
            <w:vAlign w:val="center"/>
          </w:tcPr>
          <w:p w14:paraId="14765714">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人</w:t>
            </w:r>
          </w:p>
        </w:tc>
        <w:tc>
          <w:tcPr>
            <w:tcW w:w="1129" w:type="dxa"/>
            <w:vAlign w:val="center"/>
          </w:tcPr>
          <w:p w14:paraId="1AF75B75">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X≥300</w:t>
            </w:r>
          </w:p>
        </w:tc>
        <w:tc>
          <w:tcPr>
            <w:tcW w:w="1706" w:type="dxa"/>
            <w:vAlign w:val="center"/>
          </w:tcPr>
          <w:p w14:paraId="1E7C4C08">
            <w:pPr>
              <w:widowControl/>
              <w:spacing w:line="360" w:lineRule="auto"/>
              <w:ind w:left="19" w:leftChars="-51" w:hanging="126" w:hangingChars="60"/>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 xml:space="preserve">100≤X＜300 </w:t>
            </w:r>
          </w:p>
        </w:tc>
        <w:tc>
          <w:tcPr>
            <w:tcW w:w="1431" w:type="dxa"/>
            <w:vAlign w:val="center"/>
          </w:tcPr>
          <w:p w14:paraId="217D8F0C">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 xml:space="preserve"> 10≤X＜100</w:t>
            </w:r>
          </w:p>
        </w:tc>
        <w:tc>
          <w:tcPr>
            <w:tcW w:w="995" w:type="dxa"/>
            <w:vAlign w:val="center"/>
          </w:tcPr>
          <w:p w14:paraId="68E5856A">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X＜10</w:t>
            </w:r>
          </w:p>
        </w:tc>
      </w:tr>
      <w:tr w14:paraId="16AE5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exact"/>
          <w:jc w:val="center"/>
        </w:trPr>
        <w:tc>
          <w:tcPr>
            <w:tcW w:w="1485" w:type="dxa"/>
            <w:vMerge w:val="continue"/>
            <w:vAlign w:val="center"/>
          </w:tcPr>
          <w:p w14:paraId="47A449C8">
            <w:pPr>
              <w:widowControl/>
              <w:spacing w:line="360" w:lineRule="auto"/>
              <w:contextualSpacing/>
              <w:jc w:val="left"/>
              <w:rPr>
                <w:rFonts w:hint="eastAsia" w:cs="宋体" w:asciiTheme="minorEastAsia" w:hAnsiTheme="minorEastAsia" w:eastAsiaTheme="minorEastAsia"/>
                <w:color w:val="auto"/>
                <w:kern w:val="0"/>
                <w:szCs w:val="21"/>
              </w:rPr>
            </w:pPr>
          </w:p>
        </w:tc>
        <w:tc>
          <w:tcPr>
            <w:tcW w:w="1606" w:type="dxa"/>
            <w:vAlign w:val="center"/>
          </w:tcPr>
          <w:p w14:paraId="04AF5C12">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营业收入（Y）</w:t>
            </w:r>
          </w:p>
        </w:tc>
        <w:tc>
          <w:tcPr>
            <w:tcW w:w="711" w:type="dxa"/>
            <w:vAlign w:val="center"/>
          </w:tcPr>
          <w:p w14:paraId="566BCCEB">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万元</w:t>
            </w:r>
          </w:p>
        </w:tc>
        <w:tc>
          <w:tcPr>
            <w:tcW w:w="1129" w:type="dxa"/>
            <w:vAlign w:val="center"/>
          </w:tcPr>
          <w:p w14:paraId="00A13DEC">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Y≥10000</w:t>
            </w:r>
          </w:p>
        </w:tc>
        <w:tc>
          <w:tcPr>
            <w:tcW w:w="1706" w:type="dxa"/>
            <w:vAlign w:val="center"/>
          </w:tcPr>
          <w:p w14:paraId="44D14573">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2000≤Y＜10000</w:t>
            </w:r>
          </w:p>
        </w:tc>
        <w:tc>
          <w:tcPr>
            <w:tcW w:w="1431" w:type="dxa"/>
            <w:vAlign w:val="center"/>
          </w:tcPr>
          <w:p w14:paraId="2B6227E5">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 xml:space="preserve"> 100≤Y＜2000</w:t>
            </w:r>
          </w:p>
        </w:tc>
        <w:tc>
          <w:tcPr>
            <w:tcW w:w="995" w:type="dxa"/>
            <w:vAlign w:val="center"/>
          </w:tcPr>
          <w:p w14:paraId="6FA13655">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Y＜100</w:t>
            </w:r>
          </w:p>
        </w:tc>
      </w:tr>
      <w:tr w14:paraId="0632E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exact"/>
          <w:jc w:val="center"/>
        </w:trPr>
        <w:tc>
          <w:tcPr>
            <w:tcW w:w="1485" w:type="dxa"/>
            <w:vMerge w:val="restart"/>
            <w:vAlign w:val="center"/>
          </w:tcPr>
          <w:p w14:paraId="39A4097B">
            <w:pPr>
              <w:widowControl/>
              <w:spacing w:line="360" w:lineRule="auto"/>
              <w:contextualSpacing/>
              <w:jc w:val="left"/>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餐饮业</w:t>
            </w:r>
          </w:p>
        </w:tc>
        <w:tc>
          <w:tcPr>
            <w:tcW w:w="1606" w:type="dxa"/>
            <w:vAlign w:val="center"/>
          </w:tcPr>
          <w:p w14:paraId="650C83DB">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从业人员（X）</w:t>
            </w:r>
          </w:p>
        </w:tc>
        <w:tc>
          <w:tcPr>
            <w:tcW w:w="711" w:type="dxa"/>
            <w:vAlign w:val="center"/>
          </w:tcPr>
          <w:p w14:paraId="2C2B5009">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人</w:t>
            </w:r>
          </w:p>
        </w:tc>
        <w:tc>
          <w:tcPr>
            <w:tcW w:w="1129" w:type="dxa"/>
            <w:vAlign w:val="center"/>
          </w:tcPr>
          <w:p w14:paraId="14AA3D31">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X≥300</w:t>
            </w:r>
          </w:p>
        </w:tc>
        <w:tc>
          <w:tcPr>
            <w:tcW w:w="1706" w:type="dxa"/>
            <w:vAlign w:val="center"/>
          </w:tcPr>
          <w:p w14:paraId="61FA450F">
            <w:pPr>
              <w:widowControl/>
              <w:spacing w:line="360" w:lineRule="auto"/>
              <w:ind w:left="19" w:leftChars="-51" w:hanging="126" w:hangingChars="60"/>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 xml:space="preserve">100≤X＜300 </w:t>
            </w:r>
          </w:p>
        </w:tc>
        <w:tc>
          <w:tcPr>
            <w:tcW w:w="1431" w:type="dxa"/>
            <w:vAlign w:val="center"/>
          </w:tcPr>
          <w:p w14:paraId="59383C7F">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 xml:space="preserve"> 10≤X＜100</w:t>
            </w:r>
          </w:p>
        </w:tc>
        <w:tc>
          <w:tcPr>
            <w:tcW w:w="995" w:type="dxa"/>
            <w:vAlign w:val="center"/>
          </w:tcPr>
          <w:p w14:paraId="5D75AB21">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X＜10</w:t>
            </w:r>
          </w:p>
        </w:tc>
      </w:tr>
      <w:tr w14:paraId="7C7E5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exact"/>
          <w:jc w:val="center"/>
        </w:trPr>
        <w:tc>
          <w:tcPr>
            <w:tcW w:w="1485" w:type="dxa"/>
            <w:vMerge w:val="continue"/>
            <w:vAlign w:val="center"/>
          </w:tcPr>
          <w:p w14:paraId="69BE0051">
            <w:pPr>
              <w:widowControl/>
              <w:spacing w:line="360" w:lineRule="auto"/>
              <w:contextualSpacing/>
              <w:jc w:val="left"/>
              <w:rPr>
                <w:rFonts w:hint="eastAsia" w:cs="宋体" w:asciiTheme="minorEastAsia" w:hAnsiTheme="minorEastAsia" w:eastAsiaTheme="minorEastAsia"/>
                <w:color w:val="auto"/>
                <w:kern w:val="0"/>
                <w:szCs w:val="21"/>
              </w:rPr>
            </w:pPr>
          </w:p>
        </w:tc>
        <w:tc>
          <w:tcPr>
            <w:tcW w:w="1606" w:type="dxa"/>
            <w:vAlign w:val="center"/>
          </w:tcPr>
          <w:p w14:paraId="391F09C7">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营业收入（Y）</w:t>
            </w:r>
          </w:p>
        </w:tc>
        <w:tc>
          <w:tcPr>
            <w:tcW w:w="711" w:type="dxa"/>
            <w:vAlign w:val="center"/>
          </w:tcPr>
          <w:p w14:paraId="76C6F5C6">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万元</w:t>
            </w:r>
          </w:p>
        </w:tc>
        <w:tc>
          <w:tcPr>
            <w:tcW w:w="1129" w:type="dxa"/>
            <w:vAlign w:val="center"/>
          </w:tcPr>
          <w:p w14:paraId="49CFAF01">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Y≥10000</w:t>
            </w:r>
          </w:p>
        </w:tc>
        <w:tc>
          <w:tcPr>
            <w:tcW w:w="1706" w:type="dxa"/>
            <w:vAlign w:val="center"/>
          </w:tcPr>
          <w:p w14:paraId="3F799FCA">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2000≤Y＜10000</w:t>
            </w:r>
          </w:p>
        </w:tc>
        <w:tc>
          <w:tcPr>
            <w:tcW w:w="1431" w:type="dxa"/>
            <w:vAlign w:val="center"/>
          </w:tcPr>
          <w:p w14:paraId="37F3EDD6">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 xml:space="preserve"> 100≤Y＜2000</w:t>
            </w:r>
          </w:p>
        </w:tc>
        <w:tc>
          <w:tcPr>
            <w:tcW w:w="995" w:type="dxa"/>
            <w:vAlign w:val="center"/>
          </w:tcPr>
          <w:p w14:paraId="23F80256">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Y＜100</w:t>
            </w:r>
          </w:p>
        </w:tc>
      </w:tr>
      <w:tr w14:paraId="176AD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exact"/>
          <w:jc w:val="center"/>
        </w:trPr>
        <w:tc>
          <w:tcPr>
            <w:tcW w:w="1485" w:type="dxa"/>
            <w:vMerge w:val="restart"/>
            <w:vAlign w:val="center"/>
          </w:tcPr>
          <w:p w14:paraId="16DCBE25">
            <w:pPr>
              <w:widowControl/>
              <w:spacing w:line="360" w:lineRule="auto"/>
              <w:contextualSpacing/>
              <w:jc w:val="left"/>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信息传输业 *</w:t>
            </w:r>
          </w:p>
        </w:tc>
        <w:tc>
          <w:tcPr>
            <w:tcW w:w="1606" w:type="dxa"/>
            <w:vAlign w:val="center"/>
          </w:tcPr>
          <w:p w14:paraId="2D775481">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从业人员（X）</w:t>
            </w:r>
          </w:p>
        </w:tc>
        <w:tc>
          <w:tcPr>
            <w:tcW w:w="711" w:type="dxa"/>
            <w:vAlign w:val="center"/>
          </w:tcPr>
          <w:p w14:paraId="55F1A224">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人</w:t>
            </w:r>
          </w:p>
        </w:tc>
        <w:tc>
          <w:tcPr>
            <w:tcW w:w="1129" w:type="dxa"/>
            <w:vAlign w:val="center"/>
          </w:tcPr>
          <w:p w14:paraId="31E631A5">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X≥2000</w:t>
            </w:r>
          </w:p>
        </w:tc>
        <w:tc>
          <w:tcPr>
            <w:tcW w:w="1706" w:type="dxa"/>
            <w:vAlign w:val="center"/>
          </w:tcPr>
          <w:p w14:paraId="670B565D">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100≤X＜2000</w:t>
            </w:r>
          </w:p>
        </w:tc>
        <w:tc>
          <w:tcPr>
            <w:tcW w:w="1431" w:type="dxa"/>
            <w:vAlign w:val="center"/>
          </w:tcPr>
          <w:p w14:paraId="38FD1C4E">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 xml:space="preserve"> 10≤X＜100</w:t>
            </w:r>
          </w:p>
        </w:tc>
        <w:tc>
          <w:tcPr>
            <w:tcW w:w="995" w:type="dxa"/>
            <w:vAlign w:val="center"/>
          </w:tcPr>
          <w:p w14:paraId="6133B31A">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X＜10</w:t>
            </w:r>
          </w:p>
        </w:tc>
      </w:tr>
      <w:tr w14:paraId="4BB0E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exact"/>
          <w:jc w:val="center"/>
        </w:trPr>
        <w:tc>
          <w:tcPr>
            <w:tcW w:w="1485" w:type="dxa"/>
            <w:vMerge w:val="continue"/>
            <w:vAlign w:val="center"/>
          </w:tcPr>
          <w:p w14:paraId="7839D9B0">
            <w:pPr>
              <w:widowControl/>
              <w:spacing w:line="360" w:lineRule="auto"/>
              <w:contextualSpacing/>
              <w:jc w:val="left"/>
              <w:rPr>
                <w:rFonts w:hint="eastAsia" w:cs="宋体" w:asciiTheme="minorEastAsia" w:hAnsiTheme="minorEastAsia" w:eastAsiaTheme="minorEastAsia"/>
                <w:color w:val="auto"/>
                <w:kern w:val="0"/>
                <w:szCs w:val="21"/>
              </w:rPr>
            </w:pPr>
          </w:p>
        </w:tc>
        <w:tc>
          <w:tcPr>
            <w:tcW w:w="1606" w:type="dxa"/>
            <w:vAlign w:val="center"/>
          </w:tcPr>
          <w:p w14:paraId="5E611A2A">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营业收入（Y）</w:t>
            </w:r>
          </w:p>
        </w:tc>
        <w:tc>
          <w:tcPr>
            <w:tcW w:w="711" w:type="dxa"/>
            <w:vAlign w:val="center"/>
          </w:tcPr>
          <w:p w14:paraId="4E35A662">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万元</w:t>
            </w:r>
          </w:p>
        </w:tc>
        <w:tc>
          <w:tcPr>
            <w:tcW w:w="1129" w:type="dxa"/>
            <w:vAlign w:val="center"/>
          </w:tcPr>
          <w:p w14:paraId="7B3CD15E">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Y≥100000</w:t>
            </w:r>
          </w:p>
        </w:tc>
        <w:tc>
          <w:tcPr>
            <w:tcW w:w="1706" w:type="dxa"/>
            <w:vAlign w:val="center"/>
          </w:tcPr>
          <w:p w14:paraId="67390632">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 xml:space="preserve"> 1000≤Y＜100000</w:t>
            </w:r>
          </w:p>
        </w:tc>
        <w:tc>
          <w:tcPr>
            <w:tcW w:w="1431" w:type="dxa"/>
            <w:vAlign w:val="center"/>
          </w:tcPr>
          <w:p w14:paraId="11AFA088">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 xml:space="preserve"> 100≤Y＜1000</w:t>
            </w:r>
          </w:p>
        </w:tc>
        <w:tc>
          <w:tcPr>
            <w:tcW w:w="995" w:type="dxa"/>
            <w:vAlign w:val="center"/>
          </w:tcPr>
          <w:p w14:paraId="19AE3842">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Y＜100</w:t>
            </w:r>
          </w:p>
        </w:tc>
      </w:tr>
      <w:tr w14:paraId="36702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exact"/>
          <w:jc w:val="center"/>
        </w:trPr>
        <w:tc>
          <w:tcPr>
            <w:tcW w:w="1485" w:type="dxa"/>
            <w:vMerge w:val="restart"/>
            <w:vAlign w:val="center"/>
          </w:tcPr>
          <w:p w14:paraId="5DA58966">
            <w:pPr>
              <w:widowControl/>
              <w:spacing w:line="360" w:lineRule="auto"/>
              <w:contextualSpacing/>
              <w:jc w:val="left"/>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软件和信息技术服务业</w:t>
            </w:r>
          </w:p>
        </w:tc>
        <w:tc>
          <w:tcPr>
            <w:tcW w:w="1606" w:type="dxa"/>
            <w:vAlign w:val="center"/>
          </w:tcPr>
          <w:p w14:paraId="3294ED24">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从业人员（X）</w:t>
            </w:r>
          </w:p>
        </w:tc>
        <w:tc>
          <w:tcPr>
            <w:tcW w:w="711" w:type="dxa"/>
            <w:vAlign w:val="center"/>
          </w:tcPr>
          <w:p w14:paraId="165A44D0">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人</w:t>
            </w:r>
          </w:p>
        </w:tc>
        <w:tc>
          <w:tcPr>
            <w:tcW w:w="1129" w:type="dxa"/>
            <w:vAlign w:val="center"/>
          </w:tcPr>
          <w:p w14:paraId="200EA506">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X≥300</w:t>
            </w:r>
          </w:p>
        </w:tc>
        <w:tc>
          <w:tcPr>
            <w:tcW w:w="1706" w:type="dxa"/>
            <w:vAlign w:val="center"/>
          </w:tcPr>
          <w:p w14:paraId="6CDD9944">
            <w:pPr>
              <w:widowControl/>
              <w:spacing w:line="360" w:lineRule="auto"/>
              <w:ind w:left="19" w:leftChars="-51" w:hanging="126" w:hangingChars="60"/>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 xml:space="preserve">100≤X＜300 </w:t>
            </w:r>
          </w:p>
        </w:tc>
        <w:tc>
          <w:tcPr>
            <w:tcW w:w="1431" w:type="dxa"/>
            <w:vAlign w:val="center"/>
          </w:tcPr>
          <w:p w14:paraId="0C4DA77D">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 xml:space="preserve"> 10≤X＜100</w:t>
            </w:r>
          </w:p>
        </w:tc>
        <w:tc>
          <w:tcPr>
            <w:tcW w:w="995" w:type="dxa"/>
            <w:vAlign w:val="center"/>
          </w:tcPr>
          <w:p w14:paraId="1A1F1B89">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X＜10</w:t>
            </w:r>
          </w:p>
        </w:tc>
      </w:tr>
      <w:tr w14:paraId="0D915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jc w:val="center"/>
        </w:trPr>
        <w:tc>
          <w:tcPr>
            <w:tcW w:w="1485" w:type="dxa"/>
            <w:vMerge w:val="continue"/>
            <w:vAlign w:val="center"/>
          </w:tcPr>
          <w:p w14:paraId="07C690B4">
            <w:pPr>
              <w:widowControl/>
              <w:spacing w:line="360" w:lineRule="auto"/>
              <w:contextualSpacing/>
              <w:jc w:val="left"/>
              <w:rPr>
                <w:rFonts w:hint="eastAsia" w:cs="宋体" w:asciiTheme="minorEastAsia" w:hAnsiTheme="minorEastAsia" w:eastAsiaTheme="minorEastAsia"/>
                <w:color w:val="auto"/>
                <w:kern w:val="0"/>
                <w:szCs w:val="21"/>
              </w:rPr>
            </w:pPr>
          </w:p>
        </w:tc>
        <w:tc>
          <w:tcPr>
            <w:tcW w:w="1606" w:type="dxa"/>
            <w:vAlign w:val="center"/>
          </w:tcPr>
          <w:p w14:paraId="67A9F97E">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营业收入（Y）</w:t>
            </w:r>
          </w:p>
        </w:tc>
        <w:tc>
          <w:tcPr>
            <w:tcW w:w="711" w:type="dxa"/>
            <w:vAlign w:val="center"/>
          </w:tcPr>
          <w:p w14:paraId="7ED54823">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万元</w:t>
            </w:r>
          </w:p>
        </w:tc>
        <w:tc>
          <w:tcPr>
            <w:tcW w:w="1129" w:type="dxa"/>
            <w:vAlign w:val="center"/>
          </w:tcPr>
          <w:p w14:paraId="573D6019">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Y≥10000</w:t>
            </w:r>
          </w:p>
        </w:tc>
        <w:tc>
          <w:tcPr>
            <w:tcW w:w="1706" w:type="dxa"/>
            <w:vAlign w:val="center"/>
          </w:tcPr>
          <w:p w14:paraId="689C82CF">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1000≤Y＜10000</w:t>
            </w:r>
          </w:p>
        </w:tc>
        <w:tc>
          <w:tcPr>
            <w:tcW w:w="1431" w:type="dxa"/>
            <w:vAlign w:val="center"/>
          </w:tcPr>
          <w:p w14:paraId="57533656">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 xml:space="preserve">  50≤Y＜1000</w:t>
            </w:r>
          </w:p>
        </w:tc>
        <w:tc>
          <w:tcPr>
            <w:tcW w:w="995" w:type="dxa"/>
            <w:vAlign w:val="center"/>
          </w:tcPr>
          <w:p w14:paraId="2E5853BD">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Y＜50</w:t>
            </w:r>
          </w:p>
        </w:tc>
      </w:tr>
      <w:tr w14:paraId="71DFB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exact"/>
          <w:jc w:val="center"/>
        </w:trPr>
        <w:tc>
          <w:tcPr>
            <w:tcW w:w="1485" w:type="dxa"/>
            <w:vMerge w:val="restart"/>
            <w:vAlign w:val="center"/>
          </w:tcPr>
          <w:p w14:paraId="1B290814">
            <w:pPr>
              <w:widowControl/>
              <w:spacing w:line="360" w:lineRule="auto"/>
              <w:contextualSpacing/>
              <w:jc w:val="left"/>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房地产开发经营</w:t>
            </w:r>
          </w:p>
        </w:tc>
        <w:tc>
          <w:tcPr>
            <w:tcW w:w="1606" w:type="dxa"/>
            <w:vAlign w:val="center"/>
          </w:tcPr>
          <w:p w14:paraId="1027B724">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营业收入（Y）</w:t>
            </w:r>
          </w:p>
        </w:tc>
        <w:tc>
          <w:tcPr>
            <w:tcW w:w="711" w:type="dxa"/>
            <w:vAlign w:val="center"/>
          </w:tcPr>
          <w:p w14:paraId="5EA9ABAE">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万元</w:t>
            </w:r>
          </w:p>
        </w:tc>
        <w:tc>
          <w:tcPr>
            <w:tcW w:w="1129" w:type="dxa"/>
            <w:vAlign w:val="center"/>
          </w:tcPr>
          <w:p w14:paraId="2E2C169E">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Y≥200000</w:t>
            </w:r>
          </w:p>
        </w:tc>
        <w:tc>
          <w:tcPr>
            <w:tcW w:w="1706" w:type="dxa"/>
            <w:vAlign w:val="center"/>
          </w:tcPr>
          <w:p w14:paraId="6C6C6E28">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 xml:space="preserve"> 1000≤Y＜200000</w:t>
            </w:r>
          </w:p>
        </w:tc>
        <w:tc>
          <w:tcPr>
            <w:tcW w:w="1431" w:type="dxa"/>
            <w:vAlign w:val="center"/>
          </w:tcPr>
          <w:p w14:paraId="16CAEEAB">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 xml:space="preserve"> 100≤Y＜1000</w:t>
            </w:r>
          </w:p>
        </w:tc>
        <w:tc>
          <w:tcPr>
            <w:tcW w:w="995" w:type="dxa"/>
            <w:vAlign w:val="center"/>
          </w:tcPr>
          <w:p w14:paraId="0232CC99">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Y＜100</w:t>
            </w:r>
          </w:p>
        </w:tc>
      </w:tr>
      <w:tr w14:paraId="0A2DD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exact"/>
          <w:jc w:val="center"/>
        </w:trPr>
        <w:tc>
          <w:tcPr>
            <w:tcW w:w="1485" w:type="dxa"/>
            <w:vMerge w:val="continue"/>
            <w:vAlign w:val="center"/>
          </w:tcPr>
          <w:p w14:paraId="2FB256A2">
            <w:pPr>
              <w:widowControl/>
              <w:spacing w:line="360" w:lineRule="auto"/>
              <w:contextualSpacing/>
              <w:jc w:val="left"/>
              <w:rPr>
                <w:rFonts w:hint="eastAsia" w:cs="宋体" w:asciiTheme="minorEastAsia" w:hAnsiTheme="minorEastAsia" w:eastAsiaTheme="minorEastAsia"/>
                <w:color w:val="auto"/>
                <w:kern w:val="0"/>
                <w:szCs w:val="21"/>
              </w:rPr>
            </w:pPr>
          </w:p>
        </w:tc>
        <w:tc>
          <w:tcPr>
            <w:tcW w:w="1606" w:type="dxa"/>
            <w:vAlign w:val="center"/>
          </w:tcPr>
          <w:p w14:paraId="67B252B3">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资产总额（Z）</w:t>
            </w:r>
          </w:p>
        </w:tc>
        <w:tc>
          <w:tcPr>
            <w:tcW w:w="711" w:type="dxa"/>
            <w:vAlign w:val="center"/>
          </w:tcPr>
          <w:p w14:paraId="3F1B92AA">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万元</w:t>
            </w:r>
          </w:p>
        </w:tc>
        <w:tc>
          <w:tcPr>
            <w:tcW w:w="1129" w:type="dxa"/>
            <w:vAlign w:val="center"/>
          </w:tcPr>
          <w:p w14:paraId="1FD66458">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Z≥10000</w:t>
            </w:r>
          </w:p>
        </w:tc>
        <w:tc>
          <w:tcPr>
            <w:tcW w:w="1706" w:type="dxa"/>
            <w:vAlign w:val="center"/>
          </w:tcPr>
          <w:p w14:paraId="7ED43C9C">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5000≤Z＜10000</w:t>
            </w:r>
          </w:p>
        </w:tc>
        <w:tc>
          <w:tcPr>
            <w:tcW w:w="1431" w:type="dxa"/>
            <w:vAlign w:val="center"/>
          </w:tcPr>
          <w:p w14:paraId="2F26392A">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 xml:space="preserve">2000≤Z＜5000   </w:t>
            </w:r>
          </w:p>
        </w:tc>
        <w:tc>
          <w:tcPr>
            <w:tcW w:w="995" w:type="dxa"/>
            <w:vAlign w:val="center"/>
          </w:tcPr>
          <w:p w14:paraId="686BC9E9">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Z＜2000</w:t>
            </w:r>
          </w:p>
        </w:tc>
      </w:tr>
      <w:tr w14:paraId="75A52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exact"/>
          <w:jc w:val="center"/>
        </w:trPr>
        <w:tc>
          <w:tcPr>
            <w:tcW w:w="1485" w:type="dxa"/>
            <w:vMerge w:val="restart"/>
            <w:vAlign w:val="center"/>
          </w:tcPr>
          <w:p w14:paraId="1CC4E71F">
            <w:pPr>
              <w:widowControl/>
              <w:spacing w:line="360" w:lineRule="auto"/>
              <w:contextualSpacing/>
              <w:jc w:val="left"/>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物业管理</w:t>
            </w:r>
          </w:p>
        </w:tc>
        <w:tc>
          <w:tcPr>
            <w:tcW w:w="1606" w:type="dxa"/>
            <w:vAlign w:val="center"/>
          </w:tcPr>
          <w:p w14:paraId="48E35A4A">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从业人员（X）</w:t>
            </w:r>
          </w:p>
        </w:tc>
        <w:tc>
          <w:tcPr>
            <w:tcW w:w="711" w:type="dxa"/>
            <w:vAlign w:val="center"/>
          </w:tcPr>
          <w:p w14:paraId="550BB467">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人</w:t>
            </w:r>
          </w:p>
        </w:tc>
        <w:tc>
          <w:tcPr>
            <w:tcW w:w="1129" w:type="dxa"/>
            <w:vAlign w:val="center"/>
          </w:tcPr>
          <w:p w14:paraId="3D14C65C">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X≥1000</w:t>
            </w:r>
          </w:p>
        </w:tc>
        <w:tc>
          <w:tcPr>
            <w:tcW w:w="1706" w:type="dxa"/>
            <w:vAlign w:val="center"/>
          </w:tcPr>
          <w:p w14:paraId="610A8353">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300≤X＜1000</w:t>
            </w:r>
          </w:p>
        </w:tc>
        <w:tc>
          <w:tcPr>
            <w:tcW w:w="1431" w:type="dxa"/>
            <w:vAlign w:val="center"/>
          </w:tcPr>
          <w:p w14:paraId="6B5CE110">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 xml:space="preserve">100≤X＜300 </w:t>
            </w:r>
          </w:p>
        </w:tc>
        <w:tc>
          <w:tcPr>
            <w:tcW w:w="995" w:type="dxa"/>
            <w:vAlign w:val="center"/>
          </w:tcPr>
          <w:p w14:paraId="653321D0">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X＜100</w:t>
            </w:r>
          </w:p>
        </w:tc>
      </w:tr>
      <w:tr w14:paraId="6DD66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485" w:type="dxa"/>
            <w:vMerge w:val="continue"/>
            <w:vAlign w:val="center"/>
          </w:tcPr>
          <w:p w14:paraId="5B6D40A2">
            <w:pPr>
              <w:widowControl/>
              <w:spacing w:line="360" w:lineRule="auto"/>
              <w:contextualSpacing/>
              <w:jc w:val="left"/>
              <w:rPr>
                <w:rFonts w:hint="eastAsia" w:cs="宋体" w:asciiTheme="minorEastAsia" w:hAnsiTheme="minorEastAsia" w:eastAsiaTheme="minorEastAsia"/>
                <w:color w:val="auto"/>
                <w:kern w:val="0"/>
                <w:szCs w:val="21"/>
              </w:rPr>
            </w:pPr>
          </w:p>
        </w:tc>
        <w:tc>
          <w:tcPr>
            <w:tcW w:w="1606" w:type="dxa"/>
            <w:vAlign w:val="center"/>
          </w:tcPr>
          <w:p w14:paraId="0955717A">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营业收入（Y）</w:t>
            </w:r>
          </w:p>
        </w:tc>
        <w:tc>
          <w:tcPr>
            <w:tcW w:w="711" w:type="dxa"/>
            <w:vAlign w:val="center"/>
          </w:tcPr>
          <w:p w14:paraId="2DEF1B01">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万元</w:t>
            </w:r>
          </w:p>
        </w:tc>
        <w:tc>
          <w:tcPr>
            <w:tcW w:w="1129" w:type="dxa"/>
            <w:vAlign w:val="center"/>
          </w:tcPr>
          <w:p w14:paraId="48EBCC5B">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Y≥5000</w:t>
            </w:r>
          </w:p>
        </w:tc>
        <w:tc>
          <w:tcPr>
            <w:tcW w:w="1706" w:type="dxa"/>
            <w:vAlign w:val="center"/>
          </w:tcPr>
          <w:p w14:paraId="190B947B">
            <w:pPr>
              <w:widowControl/>
              <w:spacing w:line="360" w:lineRule="auto"/>
              <w:ind w:left="19" w:leftChars="-51" w:hanging="126" w:hangingChars="60"/>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 xml:space="preserve">1000≤Y＜5000 </w:t>
            </w:r>
          </w:p>
        </w:tc>
        <w:tc>
          <w:tcPr>
            <w:tcW w:w="1431" w:type="dxa"/>
            <w:vAlign w:val="center"/>
          </w:tcPr>
          <w:p w14:paraId="6C4BE8DB">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 xml:space="preserve"> 500≤Y＜1000</w:t>
            </w:r>
          </w:p>
        </w:tc>
        <w:tc>
          <w:tcPr>
            <w:tcW w:w="995" w:type="dxa"/>
            <w:vAlign w:val="center"/>
          </w:tcPr>
          <w:p w14:paraId="3730FFE9">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Y＜500</w:t>
            </w:r>
          </w:p>
        </w:tc>
      </w:tr>
      <w:tr w14:paraId="74B44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exact"/>
          <w:jc w:val="center"/>
        </w:trPr>
        <w:tc>
          <w:tcPr>
            <w:tcW w:w="1485" w:type="dxa"/>
            <w:vMerge w:val="restart"/>
            <w:vAlign w:val="center"/>
          </w:tcPr>
          <w:p w14:paraId="5604C971">
            <w:pPr>
              <w:widowControl/>
              <w:spacing w:line="360" w:lineRule="auto"/>
              <w:contextualSpacing/>
              <w:jc w:val="left"/>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租赁和商务服务业</w:t>
            </w:r>
          </w:p>
        </w:tc>
        <w:tc>
          <w:tcPr>
            <w:tcW w:w="1606" w:type="dxa"/>
            <w:vAlign w:val="center"/>
          </w:tcPr>
          <w:p w14:paraId="10B0D264">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从业人员（X）</w:t>
            </w:r>
          </w:p>
        </w:tc>
        <w:tc>
          <w:tcPr>
            <w:tcW w:w="711" w:type="dxa"/>
            <w:vAlign w:val="center"/>
          </w:tcPr>
          <w:p w14:paraId="6A83EDBD">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人</w:t>
            </w:r>
          </w:p>
        </w:tc>
        <w:tc>
          <w:tcPr>
            <w:tcW w:w="1129" w:type="dxa"/>
            <w:vAlign w:val="center"/>
          </w:tcPr>
          <w:p w14:paraId="62445A54">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X≥300</w:t>
            </w:r>
          </w:p>
        </w:tc>
        <w:tc>
          <w:tcPr>
            <w:tcW w:w="1706" w:type="dxa"/>
            <w:vAlign w:val="center"/>
          </w:tcPr>
          <w:p w14:paraId="734A2D37">
            <w:pPr>
              <w:widowControl/>
              <w:spacing w:line="360" w:lineRule="auto"/>
              <w:ind w:left="19" w:leftChars="-51" w:hanging="126" w:hangingChars="60"/>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 xml:space="preserve">100≤X＜300 </w:t>
            </w:r>
          </w:p>
        </w:tc>
        <w:tc>
          <w:tcPr>
            <w:tcW w:w="1431" w:type="dxa"/>
            <w:vAlign w:val="center"/>
          </w:tcPr>
          <w:p w14:paraId="7FB59BFA">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 xml:space="preserve"> 10≤X＜100</w:t>
            </w:r>
          </w:p>
        </w:tc>
        <w:tc>
          <w:tcPr>
            <w:tcW w:w="995" w:type="dxa"/>
            <w:vAlign w:val="center"/>
          </w:tcPr>
          <w:p w14:paraId="752DAF8B">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X＜10</w:t>
            </w:r>
          </w:p>
        </w:tc>
      </w:tr>
      <w:tr w14:paraId="55FCF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exact"/>
          <w:jc w:val="center"/>
        </w:trPr>
        <w:tc>
          <w:tcPr>
            <w:tcW w:w="1485" w:type="dxa"/>
            <w:vMerge w:val="continue"/>
            <w:vAlign w:val="center"/>
          </w:tcPr>
          <w:p w14:paraId="43F03E55">
            <w:pPr>
              <w:widowControl/>
              <w:spacing w:line="360" w:lineRule="auto"/>
              <w:contextualSpacing/>
              <w:jc w:val="left"/>
              <w:rPr>
                <w:rFonts w:hint="eastAsia" w:cs="宋体" w:asciiTheme="minorEastAsia" w:hAnsiTheme="minorEastAsia" w:eastAsiaTheme="minorEastAsia"/>
                <w:color w:val="auto"/>
                <w:kern w:val="0"/>
                <w:szCs w:val="21"/>
              </w:rPr>
            </w:pPr>
          </w:p>
        </w:tc>
        <w:tc>
          <w:tcPr>
            <w:tcW w:w="1606" w:type="dxa"/>
            <w:vAlign w:val="center"/>
          </w:tcPr>
          <w:p w14:paraId="729416B9">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资产总额（Z）</w:t>
            </w:r>
          </w:p>
        </w:tc>
        <w:tc>
          <w:tcPr>
            <w:tcW w:w="711" w:type="dxa"/>
            <w:vAlign w:val="center"/>
          </w:tcPr>
          <w:p w14:paraId="36389ADD">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万元</w:t>
            </w:r>
          </w:p>
        </w:tc>
        <w:tc>
          <w:tcPr>
            <w:tcW w:w="1129" w:type="dxa"/>
            <w:vAlign w:val="center"/>
          </w:tcPr>
          <w:p w14:paraId="3499DA3E">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Z≥120000</w:t>
            </w:r>
          </w:p>
        </w:tc>
        <w:tc>
          <w:tcPr>
            <w:tcW w:w="1706" w:type="dxa"/>
            <w:vAlign w:val="center"/>
          </w:tcPr>
          <w:p w14:paraId="0D563AB8">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 xml:space="preserve"> 8000≤Z＜120000</w:t>
            </w:r>
          </w:p>
        </w:tc>
        <w:tc>
          <w:tcPr>
            <w:tcW w:w="1431" w:type="dxa"/>
            <w:vAlign w:val="center"/>
          </w:tcPr>
          <w:p w14:paraId="40174F2E">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 xml:space="preserve"> 100≤Z＜8000</w:t>
            </w:r>
          </w:p>
        </w:tc>
        <w:tc>
          <w:tcPr>
            <w:tcW w:w="995" w:type="dxa"/>
            <w:vAlign w:val="center"/>
          </w:tcPr>
          <w:p w14:paraId="5945633D">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Z＜100</w:t>
            </w:r>
          </w:p>
        </w:tc>
      </w:tr>
      <w:tr w14:paraId="0BD0C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exact"/>
          <w:jc w:val="center"/>
        </w:trPr>
        <w:tc>
          <w:tcPr>
            <w:tcW w:w="1485" w:type="dxa"/>
            <w:vAlign w:val="center"/>
          </w:tcPr>
          <w:p w14:paraId="64D9CC76">
            <w:pPr>
              <w:widowControl/>
              <w:spacing w:line="360" w:lineRule="auto"/>
              <w:contextualSpacing/>
              <w:jc w:val="left"/>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其他未列明行业 *</w:t>
            </w:r>
          </w:p>
        </w:tc>
        <w:tc>
          <w:tcPr>
            <w:tcW w:w="1606" w:type="dxa"/>
            <w:vAlign w:val="center"/>
          </w:tcPr>
          <w:p w14:paraId="1285C4A1">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从业人员（X）</w:t>
            </w:r>
          </w:p>
        </w:tc>
        <w:tc>
          <w:tcPr>
            <w:tcW w:w="711" w:type="dxa"/>
            <w:vAlign w:val="center"/>
          </w:tcPr>
          <w:p w14:paraId="30D50E56">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人</w:t>
            </w:r>
          </w:p>
        </w:tc>
        <w:tc>
          <w:tcPr>
            <w:tcW w:w="1129" w:type="dxa"/>
            <w:vAlign w:val="center"/>
          </w:tcPr>
          <w:p w14:paraId="7893B568">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X≥300</w:t>
            </w:r>
          </w:p>
        </w:tc>
        <w:tc>
          <w:tcPr>
            <w:tcW w:w="1706" w:type="dxa"/>
            <w:vAlign w:val="center"/>
          </w:tcPr>
          <w:p w14:paraId="55A35183">
            <w:pPr>
              <w:widowControl/>
              <w:spacing w:line="360" w:lineRule="auto"/>
              <w:ind w:left="19" w:leftChars="-51" w:hanging="126" w:hangingChars="60"/>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 xml:space="preserve">100≤X＜300 </w:t>
            </w:r>
          </w:p>
        </w:tc>
        <w:tc>
          <w:tcPr>
            <w:tcW w:w="1431" w:type="dxa"/>
            <w:vAlign w:val="center"/>
          </w:tcPr>
          <w:p w14:paraId="757AFCCE">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 xml:space="preserve"> 10≤X＜100</w:t>
            </w:r>
          </w:p>
        </w:tc>
        <w:tc>
          <w:tcPr>
            <w:tcW w:w="995" w:type="dxa"/>
            <w:vAlign w:val="center"/>
          </w:tcPr>
          <w:p w14:paraId="0A417276">
            <w:pPr>
              <w:widowControl/>
              <w:spacing w:line="360" w:lineRule="auto"/>
              <w:contextualSpacing/>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X＜10</w:t>
            </w:r>
          </w:p>
        </w:tc>
      </w:tr>
    </w:tbl>
    <w:p w14:paraId="62EEACA4">
      <w:pPr>
        <w:spacing w:line="360" w:lineRule="auto"/>
        <w:ind w:firstLine="454" w:firstLineChars="200"/>
        <w:rPr>
          <w:rFonts w:hint="eastAsia" w:cs="宋体" w:asciiTheme="minorEastAsia" w:hAnsiTheme="minorEastAsia" w:eastAsiaTheme="minorEastAsia"/>
          <w:b/>
          <w:color w:val="auto"/>
          <w:spacing w:val="8"/>
          <w:kern w:val="0"/>
          <w:szCs w:val="21"/>
        </w:rPr>
      </w:pPr>
      <w:r>
        <w:rPr>
          <w:rFonts w:hint="eastAsia" w:cs="宋体" w:asciiTheme="minorEastAsia" w:hAnsiTheme="minorEastAsia" w:eastAsiaTheme="minorEastAsia"/>
          <w:b/>
          <w:color w:val="auto"/>
          <w:spacing w:val="8"/>
          <w:kern w:val="0"/>
          <w:szCs w:val="21"/>
        </w:rPr>
        <w:t>说明：</w:t>
      </w:r>
    </w:p>
    <w:p w14:paraId="7961FAA6">
      <w:pPr>
        <w:spacing w:line="360" w:lineRule="auto"/>
        <w:ind w:firstLine="420" w:firstLineChars="200"/>
        <w:rPr>
          <w:rFonts w:hint="eastAsia" w:asciiTheme="minorEastAsia" w:hAnsiTheme="minorEastAsia" w:eastAsiaTheme="minorEastAsia"/>
          <w:color w:val="auto"/>
        </w:rPr>
      </w:pPr>
      <w:r>
        <w:rPr>
          <w:rFonts w:hint="eastAsia" w:asciiTheme="minorEastAsia" w:hAnsiTheme="minorEastAsia" w:eastAsiaTheme="minorEastAsia"/>
          <w:color w:val="auto"/>
        </w:rPr>
        <w:t>1.大型、中型和小型企业须同时满足所列指标的下限，否则下划一档；微型企业只须满足所列指标中的一项即可。</w:t>
      </w:r>
    </w:p>
    <w:p w14:paraId="3ED9A1CC">
      <w:pPr>
        <w:spacing w:line="360" w:lineRule="auto"/>
        <w:ind w:firstLine="420" w:firstLineChars="200"/>
        <w:rPr>
          <w:rFonts w:hint="eastAsia" w:asciiTheme="minorEastAsia" w:hAnsiTheme="minorEastAsia" w:eastAsiaTheme="minorEastAsia"/>
          <w:color w:val="auto"/>
          <w:szCs w:val="21"/>
        </w:rPr>
      </w:pPr>
      <w:r>
        <w:rPr>
          <w:rFonts w:hint="eastAsia" w:asciiTheme="minorEastAsia" w:hAnsiTheme="minorEastAsia" w:eastAsiaTheme="minorEastAsia"/>
          <w:color w:val="auto"/>
        </w:rPr>
        <w:t>2.</w:t>
      </w:r>
      <w:r>
        <w:rPr>
          <w:rFonts w:hint="eastAsia" w:asciiTheme="minorEastAsia" w:hAnsiTheme="minorEastAsia" w:eastAsiaTheme="minorEastAsia"/>
          <w:color w:val="auto"/>
          <w:szCs w:val="21"/>
        </w:rPr>
        <w:t>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3E20F3BD">
      <w:pPr>
        <w:spacing w:line="360" w:lineRule="auto"/>
        <w:ind w:firstLine="420"/>
        <w:rPr>
          <w:rFonts w:hint="eastAsia" w:asciiTheme="minorEastAsia" w:hAnsiTheme="minorEastAsia" w:eastAsiaTheme="minorEastAsia"/>
          <w:b/>
          <w:color w:val="auto"/>
        </w:rPr>
      </w:pPr>
      <w:r>
        <w:rPr>
          <w:rFonts w:hint="eastAsia" w:asciiTheme="minorEastAsia" w:hAnsiTheme="minorEastAsia" w:eastAsiaTheme="minorEastAsia"/>
          <w:color w:val="auto"/>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11337154">
      <w:pPr>
        <w:spacing w:line="360" w:lineRule="auto"/>
        <w:ind w:firstLine="422" w:firstLineChars="200"/>
        <w:rPr>
          <w:rFonts w:hint="eastAsia" w:asciiTheme="minorEastAsia" w:hAnsiTheme="minorEastAsia" w:eastAsiaTheme="minorEastAsia"/>
          <w:b/>
          <w:color w:val="auto"/>
        </w:rPr>
      </w:pPr>
      <w:r>
        <w:rPr>
          <w:rFonts w:hint="eastAsia" w:asciiTheme="minorEastAsia" w:hAnsiTheme="minorEastAsia" w:eastAsiaTheme="minorEastAsia"/>
          <w:b/>
          <w:color w:val="auto"/>
        </w:rPr>
        <w:t>（2）监狱企业</w:t>
      </w:r>
    </w:p>
    <w:p w14:paraId="7D8F6AEB">
      <w:pPr>
        <w:spacing w:line="360" w:lineRule="auto"/>
        <w:ind w:firstLine="420" w:firstLineChars="200"/>
        <w:rPr>
          <w:rFonts w:hint="eastAsia" w:asciiTheme="minorEastAsia" w:hAnsiTheme="minorEastAsia" w:eastAsiaTheme="minorEastAsia"/>
          <w:color w:val="auto"/>
        </w:rPr>
      </w:pPr>
      <w:r>
        <w:rPr>
          <w:rFonts w:hint="eastAsia" w:asciiTheme="minorEastAsia" w:hAnsiTheme="minorEastAsia" w:eastAsiaTheme="minorEastAsia"/>
          <w:color w:val="auto"/>
        </w:rPr>
        <w:t>根据《财政部司法部关于政府采购支持监狱企业发展有关问题的通知》（财库〔2014〕68号）文的规定，在政府采购活动中，监狱企业视同小型、微型企业。监狱企业是指由司法部认定的为罪犯、戒毒人员提供生产项目和劳动对象，且全部产权属于司法部监狱管理局、戒毒管理局、直属煤矿管理局，各省、自治区、直辖市监狱管理局、戒毒管理局，各地（设区的 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0205BD8C">
      <w:pPr>
        <w:spacing w:line="360" w:lineRule="auto"/>
        <w:ind w:firstLine="422" w:firstLineChars="200"/>
        <w:rPr>
          <w:rFonts w:hint="eastAsia" w:asciiTheme="minorEastAsia" w:hAnsiTheme="minorEastAsia" w:eastAsiaTheme="minorEastAsia"/>
          <w:b/>
          <w:color w:val="auto"/>
        </w:rPr>
      </w:pPr>
      <w:r>
        <w:rPr>
          <w:rFonts w:hint="eastAsia" w:asciiTheme="minorEastAsia" w:hAnsiTheme="minorEastAsia" w:eastAsiaTheme="minorEastAsia"/>
          <w:b/>
          <w:color w:val="auto"/>
        </w:rPr>
        <w:t>（3）残疾人福利性单位</w:t>
      </w:r>
    </w:p>
    <w:p w14:paraId="31456739">
      <w:pPr>
        <w:spacing w:line="360" w:lineRule="auto"/>
        <w:ind w:firstLine="420" w:firstLineChars="200"/>
        <w:rPr>
          <w:rFonts w:hint="eastAsia" w:asciiTheme="minorEastAsia" w:hAnsiTheme="minorEastAsia" w:eastAsiaTheme="minorEastAsia"/>
          <w:color w:val="auto"/>
        </w:rPr>
      </w:pPr>
      <w:r>
        <w:rPr>
          <w:rFonts w:hint="eastAsia" w:asciiTheme="minorEastAsia" w:hAnsiTheme="minorEastAsia" w:eastAsiaTheme="minorEastAsia"/>
          <w:color w:val="auto"/>
        </w:rPr>
        <w:t xml:space="preserve">根据《财政部 民政部 中国残疾人联合会关于促进残疾人就业政府采购政策的通知》（财库〔2017〕141号）文的规定，在政府采购活动中，残疾人福利性单位视同小型、微型企业。享受政府采购支持政策的残疾人福利性单位应当同时满足以下条件： </w:t>
      </w:r>
    </w:p>
    <w:p w14:paraId="4E95B480">
      <w:pPr>
        <w:spacing w:line="360" w:lineRule="auto"/>
        <w:ind w:firstLine="420" w:firstLineChars="200"/>
        <w:rPr>
          <w:rFonts w:hint="eastAsia" w:asciiTheme="minorEastAsia" w:hAnsiTheme="minorEastAsia" w:eastAsiaTheme="minorEastAsia"/>
          <w:color w:val="auto"/>
        </w:rPr>
      </w:pPr>
      <w:r>
        <w:rPr>
          <w:rFonts w:hint="eastAsia" w:asciiTheme="minorEastAsia" w:hAnsiTheme="minorEastAsia" w:eastAsiaTheme="minorEastAsia"/>
          <w:color w:val="auto"/>
        </w:rPr>
        <w:t xml:space="preserve">①安置的残疾人占本单位在职职工人数的比例不低于25%（含25%），并且安置的残疾人人数不少于10 人（含10人）； </w:t>
      </w:r>
    </w:p>
    <w:p w14:paraId="603A6538">
      <w:pPr>
        <w:spacing w:line="360" w:lineRule="auto"/>
        <w:ind w:firstLine="420" w:firstLineChars="200"/>
        <w:rPr>
          <w:rFonts w:hint="eastAsia" w:asciiTheme="minorEastAsia" w:hAnsiTheme="minorEastAsia" w:eastAsiaTheme="minorEastAsia"/>
          <w:color w:val="auto"/>
        </w:rPr>
      </w:pPr>
      <w:r>
        <w:rPr>
          <w:rFonts w:hint="eastAsia" w:asciiTheme="minorEastAsia" w:hAnsiTheme="minorEastAsia" w:eastAsiaTheme="minorEastAsia"/>
          <w:color w:val="auto"/>
        </w:rPr>
        <w:t xml:space="preserve">②依法与安置的每位残疾人签订了一年以上（含一年）的劳动合同或服务协议； </w:t>
      </w:r>
    </w:p>
    <w:p w14:paraId="3B4A0390">
      <w:pPr>
        <w:spacing w:line="360" w:lineRule="auto"/>
        <w:ind w:firstLine="420" w:firstLineChars="200"/>
        <w:rPr>
          <w:rFonts w:hint="eastAsia" w:asciiTheme="minorEastAsia" w:hAnsiTheme="minorEastAsia" w:eastAsiaTheme="minorEastAsia"/>
          <w:color w:val="auto"/>
        </w:rPr>
      </w:pPr>
      <w:r>
        <w:rPr>
          <w:rFonts w:hint="eastAsia" w:asciiTheme="minorEastAsia" w:hAnsiTheme="minorEastAsia" w:eastAsiaTheme="minorEastAsia"/>
          <w:color w:val="auto"/>
        </w:rPr>
        <w:t xml:space="preserve">③为安置的每位残疾人按月足额缴纳了基本养老保险、基本医疗保险、失业保险、工伤保险和生育保 险等社会保险费； </w:t>
      </w:r>
    </w:p>
    <w:p w14:paraId="21778C92">
      <w:pPr>
        <w:spacing w:line="360" w:lineRule="auto"/>
        <w:ind w:firstLine="420" w:firstLineChars="200"/>
        <w:rPr>
          <w:rFonts w:hint="eastAsia" w:asciiTheme="minorEastAsia" w:hAnsiTheme="minorEastAsia" w:eastAsiaTheme="minorEastAsia"/>
          <w:color w:val="auto"/>
        </w:rPr>
      </w:pPr>
      <w:r>
        <w:rPr>
          <w:rFonts w:hint="eastAsia" w:asciiTheme="minorEastAsia" w:hAnsiTheme="minorEastAsia" w:eastAsiaTheme="minorEastAsia"/>
          <w:color w:val="auto"/>
        </w:rPr>
        <w:t xml:space="preserve">④通过银行等金融机构向安置的每位残疾人，按月支付了不低于单位所在区县适用的经省级人民政府 批准的月最低工资标准的工资； </w:t>
      </w:r>
    </w:p>
    <w:p w14:paraId="02588E0A">
      <w:pPr>
        <w:spacing w:line="360" w:lineRule="auto"/>
        <w:ind w:firstLine="420" w:firstLineChars="200"/>
        <w:rPr>
          <w:rFonts w:hint="eastAsia" w:asciiTheme="minorEastAsia" w:hAnsiTheme="minorEastAsia" w:eastAsiaTheme="minorEastAsia"/>
          <w:color w:val="auto"/>
        </w:rPr>
      </w:pPr>
      <w:r>
        <w:rPr>
          <w:rFonts w:hint="eastAsia" w:asciiTheme="minorEastAsia" w:hAnsiTheme="minorEastAsia" w:eastAsiaTheme="minorEastAsia"/>
          <w:color w:val="auto"/>
        </w:rPr>
        <w:t>⑤提供本单位制造的货物、承担的工程或者服务（以下简称产品），或者提供其他残疾人福利性单位制造的货物（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1A4DD6AC">
      <w:pPr>
        <w:spacing w:line="360" w:lineRule="auto"/>
        <w:ind w:firstLine="420" w:firstLineChars="200"/>
        <w:rPr>
          <w:rFonts w:hint="eastAsia" w:hAnsi="宋体" w:cs="宋体"/>
          <w:b/>
          <w:color w:val="auto"/>
        </w:rPr>
      </w:pPr>
      <w:r>
        <w:rPr>
          <w:rFonts w:hint="eastAsia" w:asciiTheme="minorEastAsia" w:hAnsiTheme="minorEastAsia" w:eastAsiaTheme="minorEastAsia"/>
          <w:color w:val="auto"/>
        </w:rPr>
        <w:t>符合条件的残疾人福利性单位在参加政府采购活动时，应当提供《残疾人福利性单位声明函》（声明函格式见</w:t>
      </w:r>
      <w:r>
        <w:rPr>
          <w:rFonts w:hint="eastAsia" w:asciiTheme="minorEastAsia" w:hAnsiTheme="minorEastAsia" w:eastAsiaTheme="minorEastAsia"/>
          <w:color w:val="auto"/>
          <w:szCs w:val="21"/>
        </w:rPr>
        <w:t>第</w:t>
      </w:r>
      <w:r>
        <w:rPr>
          <w:rFonts w:hint="eastAsia" w:cs="宋体" w:asciiTheme="minorEastAsia" w:hAnsiTheme="minorEastAsia" w:eastAsiaTheme="minorEastAsia"/>
          <w:color w:val="auto"/>
          <w:kern w:val="0"/>
          <w:szCs w:val="21"/>
        </w:rPr>
        <w:t>四</w:t>
      </w:r>
      <w:r>
        <w:rPr>
          <w:rFonts w:hint="eastAsia" w:asciiTheme="minorEastAsia" w:hAnsiTheme="minorEastAsia" w:eastAsiaTheme="minorEastAsia"/>
          <w:color w:val="auto"/>
          <w:szCs w:val="21"/>
        </w:rPr>
        <w:t>章</w:t>
      </w:r>
      <w:r>
        <w:rPr>
          <w:rFonts w:hint="eastAsia" w:asciiTheme="minorEastAsia" w:hAnsiTheme="minorEastAsia" w:eastAsiaTheme="minorEastAsia"/>
          <w:color w:val="auto"/>
        </w:rPr>
        <w:t>“响应文件格式”）。</w:t>
      </w:r>
    </w:p>
    <w:p w14:paraId="37315170">
      <w:pPr>
        <w:spacing w:line="360" w:lineRule="auto"/>
        <w:outlineLvl w:val="3"/>
        <w:rPr>
          <w:rFonts w:hint="eastAsia" w:ascii="宋体" w:hAnsi="宋体" w:cs="宋体"/>
          <w:b/>
          <w:color w:val="auto"/>
          <w:szCs w:val="21"/>
        </w:rPr>
      </w:pPr>
      <w:r>
        <w:rPr>
          <w:rFonts w:hint="eastAsia" w:ascii="宋体" w:hAnsi="宋体" w:cs="宋体"/>
          <w:b/>
          <w:color w:val="auto"/>
          <w:szCs w:val="21"/>
        </w:rPr>
        <w:t>3.3 响应文件的澄清、说明或者补正</w:t>
      </w:r>
    </w:p>
    <w:p w14:paraId="7A0E1511">
      <w:pPr>
        <w:spacing w:line="360" w:lineRule="auto"/>
        <w:ind w:firstLine="420" w:firstLineChars="200"/>
        <w:rPr>
          <w:rFonts w:hint="eastAsia" w:ascii="宋体" w:hAnsi="宋体" w:cs="宋体"/>
          <w:color w:val="auto"/>
        </w:rPr>
      </w:pPr>
      <w:r>
        <w:rPr>
          <w:rFonts w:hint="eastAsia" w:ascii="宋体" w:hAnsi="宋体" w:cs="宋体"/>
          <w:color w:val="auto"/>
        </w:rPr>
        <w:t>3.3.1在评审过程中，磋商小组对于供应商的响应文件中含义不明确、同类问题表述不一致或者有明显文字和计算错误的内容，应当以书面形式要求供应商作出必要的澄清、说明或者补正。</w:t>
      </w:r>
    </w:p>
    <w:p w14:paraId="094B3626">
      <w:pPr>
        <w:spacing w:line="360" w:lineRule="auto"/>
        <w:ind w:firstLine="420" w:firstLineChars="200"/>
        <w:rPr>
          <w:rFonts w:hint="eastAsia" w:ascii="宋体" w:hAnsi="宋体" w:cs="宋体"/>
          <w:color w:val="auto"/>
        </w:rPr>
      </w:pPr>
      <w:r>
        <w:rPr>
          <w:rFonts w:hint="eastAsia" w:ascii="宋体" w:hAnsi="宋体" w:cs="宋体"/>
          <w:color w:val="auto"/>
        </w:rPr>
        <w:t>3.3.2供应商的澄清、说明或者补正应当采用书面形式并加盖公章，或者由法定代表人或其授权的代表签字。供应商的澄清、说明或者补正不得超出响应文件的范围或改变响应文件的实质性内容（算术性错误修正的除外）。供应商的书面澄清、说明或者补正属于响应文件的组成部分。</w:t>
      </w:r>
    </w:p>
    <w:p w14:paraId="256904C8">
      <w:pPr>
        <w:spacing w:line="360" w:lineRule="auto"/>
        <w:ind w:firstLine="420" w:firstLineChars="200"/>
        <w:rPr>
          <w:rFonts w:hint="eastAsia" w:ascii="宋体" w:hAnsi="宋体" w:cs="宋体"/>
          <w:color w:val="auto"/>
        </w:rPr>
      </w:pPr>
      <w:r>
        <w:rPr>
          <w:rFonts w:hint="eastAsia" w:ascii="宋体" w:hAnsi="宋体" w:cs="宋体"/>
          <w:color w:val="auto"/>
        </w:rPr>
        <w:t>3.3.3磋商小组对供应商提交的澄清、说明或者补正有疑问的，可以要求供应商进一步澄清、说明或者补正，直至满足磋商小组的要求。</w:t>
      </w:r>
    </w:p>
    <w:p w14:paraId="48E9303E">
      <w:pPr>
        <w:spacing w:line="360" w:lineRule="auto"/>
        <w:ind w:firstLine="420" w:firstLineChars="200"/>
        <w:rPr>
          <w:rFonts w:hint="eastAsia" w:ascii="宋体" w:hAnsi="宋体" w:cs="宋体"/>
          <w:color w:val="auto"/>
        </w:rPr>
      </w:pPr>
      <w:r>
        <w:rPr>
          <w:rFonts w:hint="eastAsia" w:ascii="宋体" w:hAnsi="宋体" w:cs="宋体"/>
          <w:color w:val="auto"/>
        </w:rPr>
        <w:t>3.3.4凡超出采购文件规定的或给采购人带来未曾要求的利益的变化、偏离或其他因素在评审时不予考虑。</w:t>
      </w:r>
    </w:p>
    <w:p w14:paraId="34EC8E38">
      <w:pPr>
        <w:spacing w:line="360" w:lineRule="auto"/>
        <w:outlineLvl w:val="3"/>
        <w:rPr>
          <w:rFonts w:hint="eastAsia" w:ascii="宋体" w:hAnsi="宋体" w:cs="宋体"/>
          <w:b/>
          <w:color w:val="auto"/>
          <w:szCs w:val="21"/>
        </w:rPr>
      </w:pPr>
      <w:r>
        <w:rPr>
          <w:rFonts w:hint="eastAsia" w:ascii="宋体" w:hAnsi="宋体" w:cs="宋体"/>
          <w:b/>
          <w:color w:val="auto"/>
          <w:szCs w:val="21"/>
        </w:rPr>
        <w:t>3.4 算术性错误修正</w:t>
      </w:r>
    </w:p>
    <w:p w14:paraId="7218D00F">
      <w:pPr>
        <w:spacing w:line="360" w:lineRule="auto"/>
        <w:ind w:firstLine="420" w:firstLineChars="200"/>
        <w:rPr>
          <w:rFonts w:hint="eastAsia" w:ascii="宋体" w:hAnsi="宋体" w:cs="宋体"/>
          <w:color w:val="auto"/>
        </w:rPr>
      </w:pPr>
      <w:r>
        <w:rPr>
          <w:rFonts w:hint="eastAsia" w:ascii="宋体" w:hAnsi="宋体" w:cs="宋体"/>
          <w:color w:val="auto"/>
        </w:rPr>
        <w:t xml:space="preserve">供应商的响应文件中的磋商报价出现前后不一致的，除采购文件另有规定外，磋商小组依法对其进行修正。修正后的磋商报价按照A3.4款的规定，经供应商确认后产生约束力，供应商不确认的，其磋商无效。 </w:t>
      </w:r>
    </w:p>
    <w:p w14:paraId="3CF2C7DC">
      <w:pPr>
        <w:spacing w:line="360" w:lineRule="auto"/>
        <w:outlineLvl w:val="3"/>
        <w:rPr>
          <w:rFonts w:hint="eastAsia" w:ascii="宋体" w:hAnsi="宋体" w:cs="宋体"/>
          <w:b/>
          <w:color w:val="auto"/>
          <w:szCs w:val="21"/>
        </w:rPr>
      </w:pPr>
      <w:r>
        <w:rPr>
          <w:rFonts w:hint="eastAsia" w:ascii="宋体" w:hAnsi="宋体" w:cs="宋体"/>
          <w:b/>
          <w:color w:val="auto"/>
          <w:szCs w:val="21"/>
        </w:rPr>
        <w:t xml:space="preserve">3.5 响应文件相关信息的核查 </w:t>
      </w:r>
    </w:p>
    <w:p w14:paraId="48EA18DD">
      <w:pPr>
        <w:spacing w:line="360" w:lineRule="auto"/>
        <w:ind w:firstLine="435"/>
        <w:rPr>
          <w:rFonts w:hint="eastAsia" w:ascii="宋体" w:hAnsi="宋体" w:cs="宋体"/>
          <w:color w:val="auto"/>
          <w:szCs w:val="21"/>
        </w:rPr>
      </w:pPr>
      <w:r>
        <w:rPr>
          <w:rFonts w:hint="eastAsia" w:ascii="宋体" w:hAnsi="宋体" w:cs="宋体"/>
          <w:color w:val="auto"/>
          <w:szCs w:val="21"/>
        </w:rPr>
        <w:t>磋商小组对评审过程中发现的供应商与供应商之间、供应商与采购人之间存在的串通磋商情形进行评审和认定。若供应商存在串通磋商、弄虚作假、行贿等违法行为的，磋商小组应否决其磋商。</w:t>
      </w:r>
    </w:p>
    <w:p w14:paraId="57C8BD3C">
      <w:pPr>
        <w:spacing w:line="360" w:lineRule="auto"/>
        <w:ind w:firstLine="435"/>
        <w:rPr>
          <w:rFonts w:hint="eastAsia" w:ascii="宋体" w:hAnsi="宋体" w:cs="宋体"/>
          <w:color w:val="auto"/>
          <w:szCs w:val="21"/>
        </w:rPr>
      </w:pPr>
      <w:r>
        <w:rPr>
          <w:rFonts w:hint="eastAsia" w:ascii="宋体" w:hAnsi="宋体" w:cs="宋体"/>
          <w:color w:val="auto"/>
          <w:szCs w:val="21"/>
        </w:rPr>
        <w:t>3.5.1有下列情形之一的，属于供应商相互串通磋商：</w:t>
      </w:r>
    </w:p>
    <w:p w14:paraId="4B1096AA">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（1）供应商之间协商磋商报价等响应文件的实质性内容；</w:t>
      </w:r>
    </w:p>
    <w:p w14:paraId="5670D8DD">
      <w:pPr>
        <w:spacing w:line="360" w:lineRule="auto"/>
        <w:ind w:firstLine="435"/>
        <w:rPr>
          <w:rFonts w:hint="eastAsia" w:ascii="宋体" w:hAnsi="宋体" w:cs="宋体"/>
          <w:color w:val="auto"/>
          <w:szCs w:val="21"/>
        </w:rPr>
      </w:pPr>
      <w:r>
        <w:rPr>
          <w:rFonts w:hint="eastAsia" w:ascii="宋体" w:hAnsi="宋体" w:cs="宋体"/>
          <w:color w:val="auto"/>
          <w:szCs w:val="21"/>
        </w:rPr>
        <w:t>（2）供应商之间约定成交供应商；</w:t>
      </w:r>
    </w:p>
    <w:p w14:paraId="423C7FB6">
      <w:pPr>
        <w:spacing w:line="360" w:lineRule="auto"/>
        <w:ind w:firstLine="435"/>
        <w:rPr>
          <w:rFonts w:hint="eastAsia" w:ascii="宋体" w:hAnsi="宋体" w:cs="宋体"/>
          <w:color w:val="auto"/>
          <w:szCs w:val="21"/>
        </w:rPr>
      </w:pPr>
      <w:r>
        <w:rPr>
          <w:rFonts w:hint="eastAsia" w:ascii="宋体" w:hAnsi="宋体" w:cs="宋体"/>
          <w:color w:val="auto"/>
          <w:szCs w:val="21"/>
        </w:rPr>
        <w:t>（3）供应商之间约定部分供应商放弃磋商或成交；</w:t>
      </w:r>
    </w:p>
    <w:p w14:paraId="25FC3266">
      <w:pPr>
        <w:spacing w:line="360" w:lineRule="auto"/>
        <w:ind w:firstLine="435"/>
        <w:rPr>
          <w:rFonts w:hint="eastAsia" w:ascii="宋体" w:hAnsi="宋体" w:cs="宋体"/>
          <w:color w:val="auto"/>
          <w:szCs w:val="21"/>
        </w:rPr>
      </w:pPr>
      <w:r>
        <w:rPr>
          <w:rFonts w:hint="eastAsia" w:ascii="宋体" w:hAnsi="宋体" w:cs="宋体"/>
          <w:color w:val="auto"/>
          <w:szCs w:val="21"/>
        </w:rPr>
        <w:t>（4）属于同一集团、协会、商会等组织成员的供应商按照该组织要求协同磋商；</w:t>
      </w:r>
    </w:p>
    <w:p w14:paraId="57263F41">
      <w:pPr>
        <w:spacing w:line="360" w:lineRule="auto"/>
        <w:ind w:firstLine="435"/>
        <w:rPr>
          <w:rFonts w:hint="eastAsia" w:ascii="宋体" w:hAnsi="宋体" w:cs="宋体"/>
          <w:color w:val="auto"/>
          <w:szCs w:val="21"/>
        </w:rPr>
      </w:pPr>
      <w:r>
        <w:rPr>
          <w:rFonts w:hint="eastAsia" w:ascii="宋体" w:hAnsi="宋体" w:cs="宋体"/>
          <w:color w:val="auto"/>
          <w:szCs w:val="21"/>
        </w:rPr>
        <w:t>（5）供应商之间为谋取成交或排斥特定供应商而采取的其他联合行动。</w:t>
      </w:r>
    </w:p>
    <w:p w14:paraId="71559666">
      <w:pPr>
        <w:spacing w:line="360" w:lineRule="auto"/>
        <w:ind w:firstLine="435"/>
        <w:rPr>
          <w:rFonts w:hint="eastAsia" w:ascii="宋体" w:hAnsi="宋体" w:cs="宋体"/>
          <w:color w:val="auto"/>
          <w:szCs w:val="21"/>
        </w:rPr>
      </w:pPr>
      <w:r>
        <w:rPr>
          <w:rFonts w:hint="eastAsia" w:ascii="宋体" w:hAnsi="宋体" w:cs="宋体"/>
          <w:color w:val="auto"/>
          <w:szCs w:val="21"/>
        </w:rPr>
        <w:t>3.5.2有下列情形之一的，视为供应商相互串通磋商：</w:t>
      </w:r>
    </w:p>
    <w:p w14:paraId="7B77B592">
      <w:pPr>
        <w:spacing w:line="360" w:lineRule="auto"/>
        <w:ind w:firstLine="435"/>
        <w:rPr>
          <w:rFonts w:hint="eastAsia" w:ascii="宋体" w:hAnsi="宋体" w:cs="宋体"/>
          <w:color w:val="auto"/>
          <w:szCs w:val="21"/>
        </w:rPr>
      </w:pPr>
      <w:r>
        <w:rPr>
          <w:rFonts w:hint="eastAsia" w:ascii="宋体" w:hAnsi="宋体" w:cs="宋体"/>
          <w:color w:val="auto"/>
          <w:szCs w:val="21"/>
        </w:rPr>
        <w:t>（1）不同供应商的响应文件由同一单位或个人编制；</w:t>
      </w:r>
    </w:p>
    <w:p w14:paraId="3A7D9F3F">
      <w:pPr>
        <w:spacing w:line="360" w:lineRule="auto"/>
        <w:ind w:firstLine="435"/>
        <w:rPr>
          <w:rFonts w:hint="eastAsia" w:ascii="宋体" w:hAnsi="宋体" w:cs="宋体"/>
          <w:color w:val="auto"/>
          <w:szCs w:val="21"/>
        </w:rPr>
      </w:pPr>
      <w:r>
        <w:rPr>
          <w:rFonts w:hint="eastAsia" w:ascii="宋体" w:hAnsi="宋体" w:cs="宋体"/>
          <w:color w:val="auto"/>
          <w:szCs w:val="21"/>
        </w:rPr>
        <w:t>（2）不同供应商委托同一单位或个人办理磋商事宜；</w:t>
      </w:r>
    </w:p>
    <w:p w14:paraId="0052FB73">
      <w:pPr>
        <w:spacing w:line="360" w:lineRule="auto"/>
        <w:ind w:firstLine="435"/>
        <w:rPr>
          <w:rFonts w:hint="eastAsia" w:ascii="宋体" w:hAnsi="宋体" w:cs="宋体"/>
          <w:color w:val="auto"/>
          <w:szCs w:val="21"/>
        </w:rPr>
      </w:pPr>
      <w:r>
        <w:rPr>
          <w:rFonts w:hint="eastAsia" w:ascii="宋体" w:hAnsi="宋体" w:cs="宋体"/>
          <w:color w:val="auto"/>
          <w:szCs w:val="21"/>
        </w:rPr>
        <w:t>（3）不同供应商的响应文件载明的项目组成员为同一人；</w:t>
      </w:r>
    </w:p>
    <w:p w14:paraId="0A8509CD">
      <w:pPr>
        <w:spacing w:line="360" w:lineRule="auto"/>
        <w:ind w:firstLine="435"/>
        <w:rPr>
          <w:rFonts w:hint="eastAsia" w:ascii="宋体" w:hAnsi="宋体" w:cs="宋体"/>
          <w:color w:val="auto"/>
          <w:szCs w:val="21"/>
        </w:rPr>
      </w:pPr>
      <w:r>
        <w:rPr>
          <w:rFonts w:hint="eastAsia" w:ascii="宋体" w:hAnsi="宋体" w:cs="宋体"/>
          <w:color w:val="auto"/>
          <w:szCs w:val="21"/>
        </w:rPr>
        <w:t>（4）不同供应商的响应文件异常一致或磋商报价呈规律性差异；</w:t>
      </w:r>
    </w:p>
    <w:p w14:paraId="2CD5B898">
      <w:pPr>
        <w:spacing w:line="360" w:lineRule="auto"/>
        <w:ind w:firstLine="435"/>
        <w:rPr>
          <w:rFonts w:hint="eastAsia" w:ascii="宋体" w:hAnsi="宋体" w:cs="宋体"/>
          <w:color w:val="auto"/>
          <w:szCs w:val="21"/>
        </w:rPr>
      </w:pPr>
      <w:r>
        <w:rPr>
          <w:rFonts w:hint="eastAsia" w:ascii="宋体" w:hAnsi="宋体" w:cs="宋体"/>
          <w:color w:val="auto"/>
          <w:szCs w:val="21"/>
        </w:rPr>
        <w:t>3.5.3有下列情形之一的，属于采购人与供应商串通磋商：</w:t>
      </w:r>
    </w:p>
    <w:p w14:paraId="1E176D23">
      <w:pPr>
        <w:spacing w:line="360" w:lineRule="auto"/>
        <w:ind w:firstLine="435"/>
        <w:rPr>
          <w:rFonts w:hint="eastAsia" w:ascii="宋体" w:hAnsi="宋体" w:cs="宋体"/>
          <w:color w:val="auto"/>
          <w:szCs w:val="21"/>
        </w:rPr>
      </w:pPr>
      <w:r>
        <w:rPr>
          <w:rFonts w:hint="eastAsia" w:ascii="宋体" w:hAnsi="宋体" w:cs="宋体"/>
          <w:color w:val="auto"/>
          <w:szCs w:val="21"/>
        </w:rPr>
        <w:t>（1）采购人在开标前开启响应文件并将有关信息泄露给其他供应商；</w:t>
      </w:r>
    </w:p>
    <w:p w14:paraId="03C29EB7">
      <w:pPr>
        <w:spacing w:line="360" w:lineRule="auto"/>
        <w:ind w:firstLine="435"/>
        <w:rPr>
          <w:rFonts w:hint="eastAsia" w:ascii="宋体" w:hAnsi="宋体" w:cs="宋体"/>
          <w:color w:val="auto"/>
          <w:szCs w:val="21"/>
        </w:rPr>
      </w:pPr>
      <w:r>
        <w:rPr>
          <w:rFonts w:hint="eastAsia" w:ascii="宋体" w:hAnsi="宋体" w:cs="宋体"/>
          <w:color w:val="auto"/>
          <w:szCs w:val="21"/>
        </w:rPr>
        <w:t>（2）采购人直接或间接向供应商泄露标底、磋商小组成员等信息；</w:t>
      </w:r>
    </w:p>
    <w:p w14:paraId="5C4F76C8">
      <w:pPr>
        <w:spacing w:line="360" w:lineRule="auto"/>
        <w:ind w:firstLine="435"/>
        <w:rPr>
          <w:rFonts w:hint="eastAsia" w:ascii="宋体" w:hAnsi="宋体" w:cs="宋体"/>
          <w:color w:val="auto"/>
          <w:szCs w:val="21"/>
        </w:rPr>
      </w:pPr>
      <w:r>
        <w:rPr>
          <w:rFonts w:hint="eastAsia" w:ascii="宋体" w:hAnsi="宋体" w:cs="宋体"/>
          <w:color w:val="auto"/>
          <w:szCs w:val="21"/>
        </w:rPr>
        <w:t>（3）采购人明示或暗示供应商压低或抬高磋商报价；</w:t>
      </w:r>
    </w:p>
    <w:p w14:paraId="6F8CC3DD">
      <w:pPr>
        <w:spacing w:line="360" w:lineRule="auto"/>
        <w:ind w:firstLine="435"/>
        <w:rPr>
          <w:rFonts w:hint="eastAsia" w:ascii="宋体" w:hAnsi="宋体" w:cs="宋体"/>
          <w:color w:val="auto"/>
          <w:szCs w:val="21"/>
        </w:rPr>
      </w:pPr>
      <w:r>
        <w:rPr>
          <w:rFonts w:hint="eastAsia" w:ascii="宋体" w:hAnsi="宋体" w:cs="宋体"/>
          <w:color w:val="auto"/>
          <w:szCs w:val="21"/>
        </w:rPr>
        <w:t>（4）采购人授意供应商撤换、修改响应文件；</w:t>
      </w:r>
    </w:p>
    <w:p w14:paraId="0642D858">
      <w:pPr>
        <w:spacing w:line="360" w:lineRule="auto"/>
        <w:ind w:firstLine="435"/>
        <w:rPr>
          <w:rFonts w:hint="eastAsia" w:ascii="宋体" w:hAnsi="宋体" w:cs="宋体"/>
          <w:color w:val="auto"/>
          <w:szCs w:val="21"/>
        </w:rPr>
      </w:pPr>
      <w:r>
        <w:rPr>
          <w:rFonts w:hint="eastAsia" w:ascii="宋体" w:hAnsi="宋体" w:cs="宋体"/>
          <w:color w:val="auto"/>
          <w:szCs w:val="21"/>
        </w:rPr>
        <w:t>（5）采购人明示或暗示供应商为特定供应商成交提供方便；</w:t>
      </w:r>
    </w:p>
    <w:p w14:paraId="4D72608A">
      <w:pPr>
        <w:spacing w:line="360" w:lineRule="auto"/>
        <w:ind w:firstLine="435"/>
        <w:rPr>
          <w:rFonts w:hint="eastAsia" w:ascii="宋体" w:hAnsi="宋体" w:cs="宋体"/>
          <w:color w:val="auto"/>
          <w:szCs w:val="21"/>
        </w:rPr>
      </w:pPr>
      <w:r>
        <w:rPr>
          <w:rFonts w:hint="eastAsia" w:ascii="宋体" w:hAnsi="宋体" w:cs="宋体"/>
          <w:color w:val="auto"/>
          <w:szCs w:val="21"/>
        </w:rPr>
        <w:t>（6）采购人与供应商为谋求特定供应商成交而采取的其他串通行为。</w:t>
      </w:r>
    </w:p>
    <w:p w14:paraId="37EE6D4B">
      <w:pPr>
        <w:spacing w:line="360" w:lineRule="auto"/>
        <w:ind w:firstLine="435"/>
        <w:rPr>
          <w:rFonts w:hint="eastAsia" w:ascii="宋体" w:hAnsi="宋体" w:cs="宋体"/>
          <w:color w:val="auto"/>
          <w:szCs w:val="21"/>
        </w:rPr>
      </w:pPr>
      <w:r>
        <w:rPr>
          <w:rFonts w:hint="eastAsia" w:ascii="宋体" w:hAnsi="宋体" w:cs="宋体"/>
          <w:color w:val="auto"/>
          <w:szCs w:val="21"/>
        </w:rPr>
        <w:t>3.5.4供应商有下列情形之一的，属于弄虚作假的行为：</w:t>
      </w:r>
    </w:p>
    <w:p w14:paraId="50E3A3F2">
      <w:pPr>
        <w:spacing w:line="360" w:lineRule="auto"/>
        <w:ind w:firstLine="435"/>
        <w:rPr>
          <w:rFonts w:hint="eastAsia" w:ascii="宋体" w:hAnsi="宋体" w:cs="宋体"/>
          <w:color w:val="auto"/>
          <w:szCs w:val="21"/>
        </w:rPr>
      </w:pPr>
      <w:r>
        <w:rPr>
          <w:rFonts w:hint="eastAsia" w:ascii="宋体" w:hAnsi="宋体" w:cs="宋体"/>
          <w:color w:val="auto"/>
          <w:szCs w:val="21"/>
        </w:rPr>
        <w:t>（1）使用通过受让或租借等方式获取的资格、资质证书磋商；</w:t>
      </w:r>
    </w:p>
    <w:p w14:paraId="4815629D">
      <w:pPr>
        <w:spacing w:line="360" w:lineRule="auto"/>
        <w:ind w:firstLine="435"/>
        <w:rPr>
          <w:rFonts w:hint="eastAsia" w:ascii="宋体" w:hAnsi="宋体" w:cs="宋体"/>
          <w:color w:val="auto"/>
          <w:szCs w:val="21"/>
        </w:rPr>
      </w:pPr>
      <w:r>
        <w:rPr>
          <w:rFonts w:hint="eastAsia" w:ascii="宋体" w:hAnsi="宋体" w:cs="宋体"/>
          <w:color w:val="auto"/>
          <w:szCs w:val="21"/>
        </w:rPr>
        <w:t>（2）使用伪造、变造的许可证件；</w:t>
      </w:r>
    </w:p>
    <w:p w14:paraId="777509DB">
      <w:pPr>
        <w:spacing w:line="360" w:lineRule="auto"/>
        <w:ind w:firstLine="435"/>
        <w:rPr>
          <w:rFonts w:hint="eastAsia" w:ascii="宋体" w:hAnsi="宋体" w:cs="宋体"/>
          <w:color w:val="auto"/>
          <w:szCs w:val="21"/>
        </w:rPr>
      </w:pPr>
      <w:r>
        <w:rPr>
          <w:rFonts w:hint="eastAsia" w:ascii="宋体" w:hAnsi="宋体" w:cs="宋体"/>
          <w:color w:val="auto"/>
          <w:szCs w:val="21"/>
        </w:rPr>
        <w:t>（3）提供虚假的财务状况或业绩或其他证明材料或证件等；</w:t>
      </w:r>
    </w:p>
    <w:p w14:paraId="60081B2E">
      <w:pPr>
        <w:spacing w:line="360" w:lineRule="auto"/>
        <w:ind w:firstLine="435"/>
        <w:rPr>
          <w:rFonts w:hint="eastAsia" w:ascii="宋体" w:hAnsi="宋体" w:cs="宋体"/>
          <w:color w:val="auto"/>
          <w:szCs w:val="21"/>
        </w:rPr>
      </w:pPr>
      <w:r>
        <w:rPr>
          <w:rFonts w:hint="eastAsia" w:ascii="宋体" w:hAnsi="宋体" w:cs="宋体"/>
          <w:color w:val="auto"/>
          <w:szCs w:val="21"/>
        </w:rPr>
        <w:t>（4）提供虚假的信用状况；</w:t>
      </w:r>
    </w:p>
    <w:p w14:paraId="3207A108">
      <w:pPr>
        <w:spacing w:line="360" w:lineRule="auto"/>
        <w:ind w:firstLine="435"/>
        <w:rPr>
          <w:rFonts w:hint="eastAsia" w:ascii="宋体" w:hAnsi="宋体" w:cs="宋体"/>
          <w:color w:val="auto"/>
          <w:szCs w:val="21"/>
        </w:rPr>
      </w:pPr>
      <w:r>
        <w:rPr>
          <w:rFonts w:hint="eastAsia" w:ascii="宋体" w:hAnsi="宋体" w:cs="宋体"/>
          <w:color w:val="auto"/>
          <w:szCs w:val="21"/>
        </w:rPr>
        <w:t>（5）其他弄虚作假的行为。</w:t>
      </w:r>
    </w:p>
    <w:p w14:paraId="69B98A44">
      <w:pPr>
        <w:spacing w:line="360" w:lineRule="auto"/>
        <w:ind w:firstLine="437"/>
        <w:outlineLvl w:val="3"/>
        <w:rPr>
          <w:rFonts w:hint="eastAsia" w:ascii="宋体" w:hAnsi="宋体" w:cs="宋体"/>
          <w:b/>
          <w:color w:val="auto"/>
          <w:szCs w:val="21"/>
        </w:rPr>
      </w:pPr>
      <w:r>
        <w:rPr>
          <w:rFonts w:hint="eastAsia" w:ascii="宋体" w:hAnsi="宋体" w:cs="宋体"/>
          <w:b/>
          <w:color w:val="auto"/>
          <w:szCs w:val="21"/>
        </w:rPr>
        <w:t>3.6 评分要求和统计分数原则</w:t>
      </w:r>
    </w:p>
    <w:p w14:paraId="0DFA552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3.6.1磋商小组应首先对各供应商的响应文件进行评审，并按采购文件规定的分值评分，若有打分档，各分档评分中间不得用插入法评分。</w:t>
      </w:r>
    </w:p>
    <w:p w14:paraId="57A19C1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3.6.2统计分数原则：磋商小组成员的评分通过计算平均分值为供应商的技术部分得分（保留小数点后两位）。商务部分得分由供应商的二次报价计算后及类似业绩汇总得出（保留小数点后两位）。</w:t>
      </w:r>
    </w:p>
    <w:p w14:paraId="6DED55B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3.6.3</w:t>
      </w:r>
      <w:r>
        <w:rPr>
          <w:rFonts w:hint="eastAsia" w:ascii="宋体" w:hAnsi="宋体" w:cs="宋体"/>
          <w:color w:val="auto"/>
        </w:rPr>
        <w:t xml:space="preserve"> </w:t>
      </w:r>
      <w:r>
        <w:rPr>
          <w:rFonts w:hint="eastAsia" w:ascii="宋体" w:hAnsi="宋体" w:cs="宋体"/>
          <w:color w:val="auto"/>
          <w:szCs w:val="21"/>
        </w:rPr>
        <w:t>汇总评分结果</w:t>
      </w:r>
    </w:p>
    <w:p w14:paraId="44FF8037">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磋商小组对所有有效供应商的响应文件的技术部分、商务部分分别进行评审评分后，再按评审办法前附表载明的公式计算出供应商的综合得分。</w:t>
      </w:r>
    </w:p>
    <w:p w14:paraId="18E69354">
      <w:pPr>
        <w:spacing w:line="360" w:lineRule="auto"/>
        <w:ind w:firstLine="437"/>
        <w:outlineLvl w:val="3"/>
        <w:rPr>
          <w:rFonts w:hint="eastAsia" w:ascii="宋体" w:hAnsi="宋体" w:cs="宋体"/>
          <w:b/>
          <w:color w:val="auto"/>
          <w:szCs w:val="21"/>
        </w:rPr>
      </w:pPr>
      <w:r>
        <w:rPr>
          <w:rFonts w:hint="eastAsia" w:ascii="宋体" w:hAnsi="宋体" w:cs="宋体"/>
          <w:b/>
          <w:color w:val="auto"/>
          <w:szCs w:val="21"/>
        </w:rPr>
        <w:t xml:space="preserve">3.7 评审结果 </w:t>
      </w:r>
    </w:p>
    <w:p w14:paraId="60AEACB8">
      <w:pPr>
        <w:spacing w:line="360" w:lineRule="auto"/>
        <w:ind w:firstLine="435"/>
        <w:rPr>
          <w:rFonts w:hint="eastAsia" w:ascii="宋体" w:hAnsi="宋体" w:cs="宋体"/>
          <w:color w:val="auto"/>
          <w:szCs w:val="21"/>
        </w:rPr>
      </w:pPr>
      <w:r>
        <w:rPr>
          <w:rFonts w:hint="eastAsia" w:ascii="宋体" w:hAnsi="宋体" w:cs="宋体"/>
          <w:color w:val="auto"/>
          <w:szCs w:val="21"/>
        </w:rPr>
        <w:t>3.7.1除第二章“供应商须知前附表”授权磋商小组确定成交供应商外，磋商小组将对通过初步评审的响应文件，进行技术部分、商务部分评审评分，并按照供应商的综合得分由高到低的顺序推荐1～3名成交候选人。</w:t>
      </w:r>
      <w:r>
        <w:rPr>
          <w:rFonts w:hint="eastAsia" w:asciiTheme="minorEastAsia" w:hAnsiTheme="minorEastAsia" w:eastAsiaTheme="minorEastAsia"/>
          <w:color w:val="auto"/>
          <w:szCs w:val="21"/>
        </w:rPr>
        <w:t>若综合得分相同，按照供应商的</w:t>
      </w:r>
      <w:r>
        <w:rPr>
          <w:rFonts w:hint="eastAsia" w:eastAsiaTheme="minorEastAsia"/>
          <w:color w:val="auto"/>
        </w:rPr>
        <w:t>二次</w:t>
      </w:r>
      <w:r>
        <w:rPr>
          <w:rFonts w:hint="eastAsia"/>
          <w:color w:val="auto"/>
        </w:rPr>
        <w:t>报价</w:t>
      </w:r>
      <w:r>
        <w:rPr>
          <w:rFonts w:hint="eastAsia" w:asciiTheme="minorEastAsia" w:hAnsiTheme="minorEastAsia" w:eastAsiaTheme="minorEastAsia"/>
          <w:color w:val="auto"/>
          <w:szCs w:val="21"/>
        </w:rPr>
        <w:t>由低到高的顺序推荐成交候选人；若</w:t>
      </w:r>
      <w:r>
        <w:rPr>
          <w:rFonts w:hint="eastAsia" w:eastAsiaTheme="minorEastAsia"/>
          <w:color w:val="auto"/>
        </w:rPr>
        <w:t>二次报价</w:t>
      </w:r>
      <w:r>
        <w:rPr>
          <w:rFonts w:hint="eastAsia" w:cs="仿宋" w:asciiTheme="minorEastAsia" w:hAnsiTheme="minorEastAsia" w:eastAsiaTheme="minorEastAsia"/>
          <w:color w:val="auto"/>
          <w:szCs w:val="21"/>
        </w:rPr>
        <w:t>还</w:t>
      </w:r>
      <w:r>
        <w:rPr>
          <w:rFonts w:hint="eastAsia" w:asciiTheme="minorEastAsia" w:hAnsiTheme="minorEastAsia" w:eastAsiaTheme="minorEastAsia"/>
          <w:color w:val="auto"/>
          <w:szCs w:val="21"/>
        </w:rPr>
        <w:t>相同时，按照供应商的技术部分得分由高到低的顺序推荐成交候选人；若技术部分得分也相同时，由磋商小组以不记名投票的方式推荐成交候选人</w:t>
      </w:r>
      <w:r>
        <w:rPr>
          <w:rFonts w:hint="eastAsia" w:ascii="宋体" w:hAnsi="宋体" w:cs="宋体"/>
          <w:color w:val="auto"/>
          <w:szCs w:val="21"/>
        </w:rPr>
        <w:t>。</w:t>
      </w:r>
    </w:p>
    <w:p w14:paraId="2824F952">
      <w:pPr>
        <w:spacing w:line="360" w:lineRule="auto"/>
        <w:ind w:firstLine="435"/>
        <w:rPr>
          <w:rFonts w:hint="eastAsia" w:ascii="宋体" w:hAnsi="宋体" w:cs="宋体"/>
          <w:color w:val="auto"/>
          <w:szCs w:val="21"/>
        </w:rPr>
      </w:pPr>
      <w:r>
        <w:rPr>
          <w:rFonts w:hint="eastAsia" w:ascii="宋体" w:hAnsi="宋体" w:cs="宋体"/>
          <w:color w:val="auto"/>
          <w:szCs w:val="21"/>
        </w:rPr>
        <w:t>3.7.2磋商小组完成评审后，应当向采购人提交书面评审报告。</w:t>
      </w:r>
    </w:p>
    <w:p w14:paraId="2D7D768A">
      <w:pPr>
        <w:spacing w:line="360" w:lineRule="auto"/>
        <w:ind w:firstLine="435"/>
        <w:rPr>
          <w:rFonts w:hint="eastAsia" w:ascii="宋体" w:hAnsi="宋体" w:cs="宋体"/>
          <w:color w:val="auto"/>
          <w:szCs w:val="21"/>
        </w:rPr>
      </w:pPr>
      <w:r>
        <w:rPr>
          <w:rFonts w:hint="eastAsia" w:ascii="宋体" w:hAnsi="宋体" w:cs="宋体"/>
          <w:color w:val="auto"/>
          <w:szCs w:val="21"/>
        </w:rPr>
        <w:t>3.7.3评审报告应当由磋商小组全体成员签章确认。磋商小组成员对评审报告有异议的，磋商小组按照少数服从多数的原则推荐成交候选人，采购程序继续进行。对评审报告有异议的磋商小组成员应当在评审报告上签署不同意见并说明理由，由磋商小组记录相关情况。磋商小组成员拒绝在评审报告上签章又不说明其不同意见和理由的，视为同意评审报告</w:t>
      </w:r>
    </w:p>
    <w:p w14:paraId="41394501">
      <w:pPr>
        <w:spacing w:line="360" w:lineRule="auto"/>
        <w:ind w:firstLine="435"/>
        <w:rPr>
          <w:rFonts w:hint="eastAsia"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rPr>
        <w:br w:type="page"/>
      </w:r>
    </w:p>
    <w:p w14:paraId="4D190C08">
      <w:pPr>
        <w:spacing w:before="120" w:beforeLines="50" w:line="360" w:lineRule="auto"/>
        <w:outlineLvl w:val="2"/>
        <w:rPr>
          <w:rFonts w:hint="eastAsia" w:ascii="宋体" w:hAnsi="宋体" w:cs="宋体"/>
          <w:b/>
          <w:color w:val="auto"/>
          <w:szCs w:val="21"/>
        </w:rPr>
      </w:pPr>
      <w:bookmarkStart w:id="1294" w:name="_Toc45791396"/>
      <w:bookmarkStart w:id="1295" w:name="_Toc53412258"/>
      <w:bookmarkStart w:id="1296" w:name="_Toc116584046"/>
      <w:bookmarkStart w:id="1297" w:name="_Toc84356294"/>
      <w:bookmarkStart w:id="1298" w:name="_Toc87543862"/>
      <w:bookmarkStart w:id="1299" w:name="_Toc83753934"/>
      <w:bookmarkStart w:id="1300" w:name="_Toc45976942"/>
      <w:bookmarkStart w:id="1301" w:name="_Toc87538411"/>
      <w:bookmarkStart w:id="1302" w:name="_Toc42205035"/>
      <w:bookmarkStart w:id="1303" w:name="_Toc109809356"/>
      <w:bookmarkStart w:id="1304" w:name="_Toc98033978"/>
      <w:bookmarkStart w:id="1305" w:name="_Toc81330981"/>
      <w:bookmarkStart w:id="1306" w:name="_Toc30376"/>
      <w:bookmarkStart w:id="1307" w:name="_Toc98865055"/>
      <w:bookmarkStart w:id="1308" w:name="_Toc110405179"/>
      <w:r>
        <w:rPr>
          <w:rFonts w:hint="eastAsia" w:ascii="宋体" w:hAnsi="宋体" w:cs="宋体"/>
          <w:b/>
          <w:color w:val="auto"/>
          <w:szCs w:val="21"/>
        </w:rPr>
        <w:t>附件A：评审详细程序</w:t>
      </w:r>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p>
    <w:p w14:paraId="54EF727C">
      <w:pPr>
        <w:spacing w:line="360" w:lineRule="auto"/>
        <w:jc w:val="center"/>
        <w:rPr>
          <w:rFonts w:hint="eastAsia" w:ascii="宋体" w:hAnsi="宋体" w:cs="宋体"/>
          <w:b/>
          <w:bCs/>
          <w:color w:val="auto"/>
          <w:sz w:val="28"/>
          <w:szCs w:val="28"/>
        </w:rPr>
      </w:pPr>
      <w:r>
        <w:rPr>
          <w:rFonts w:hint="eastAsia" w:ascii="宋体" w:hAnsi="宋体" w:cs="宋体"/>
          <w:b/>
          <w:bCs/>
          <w:color w:val="auto"/>
          <w:sz w:val="28"/>
          <w:szCs w:val="28"/>
        </w:rPr>
        <w:t>评审详细程序</w:t>
      </w:r>
    </w:p>
    <w:p w14:paraId="0107E840">
      <w:pPr>
        <w:spacing w:line="360" w:lineRule="auto"/>
        <w:rPr>
          <w:rFonts w:hint="eastAsia" w:ascii="宋体" w:hAnsi="宋体" w:cs="宋体"/>
          <w:b/>
          <w:color w:val="auto"/>
          <w:szCs w:val="21"/>
        </w:rPr>
      </w:pPr>
      <w:r>
        <w:rPr>
          <w:rFonts w:hint="eastAsia" w:ascii="宋体" w:hAnsi="宋体" w:cs="宋体"/>
          <w:b/>
          <w:color w:val="auto"/>
          <w:szCs w:val="21"/>
        </w:rPr>
        <w:t>A0.总  则</w:t>
      </w:r>
    </w:p>
    <w:p w14:paraId="276593A0">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本附件是本章“评审办法”的组成部分，是对本章第3条所规定的评审程序的进一步细化，磋商小组应当按照本附件所规定的详细程序开展并完成评审工作。</w:t>
      </w:r>
    </w:p>
    <w:p w14:paraId="7EDD39B0">
      <w:pPr>
        <w:spacing w:line="360" w:lineRule="auto"/>
        <w:rPr>
          <w:rFonts w:hint="eastAsia" w:ascii="宋体" w:hAnsi="宋体" w:cs="宋体"/>
          <w:b/>
          <w:color w:val="auto"/>
          <w:szCs w:val="21"/>
        </w:rPr>
      </w:pPr>
      <w:r>
        <w:rPr>
          <w:rFonts w:hint="eastAsia" w:ascii="宋体" w:hAnsi="宋体" w:cs="宋体"/>
          <w:b/>
          <w:color w:val="auto"/>
          <w:szCs w:val="21"/>
        </w:rPr>
        <w:t>A1.基本程序</w:t>
      </w:r>
    </w:p>
    <w:p w14:paraId="07FB151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评审活动将按以下七个步骤进行：</w:t>
      </w:r>
    </w:p>
    <w:p w14:paraId="466567E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（1）评审准备；</w:t>
      </w:r>
    </w:p>
    <w:p w14:paraId="3B50D500">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（2）资格审查；</w:t>
      </w:r>
    </w:p>
    <w:p w14:paraId="27083C0A">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（3）符合性审查；</w:t>
      </w:r>
    </w:p>
    <w:p w14:paraId="01F419B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（4）技术部分评审；</w:t>
      </w:r>
    </w:p>
    <w:p w14:paraId="0C8B18F0">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（5）商务部分评审；</w:t>
      </w:r>
    </w:p>
    <w:p w14:paraId="4F485D0C">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（6）澄清、说明或补正；</w:t>
      </w:r>
    </w:p>
    <w:p w14:paraId="26266620">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（7）推荐成交候选人或者直接确定成交供应商及提交评审报告。</w:t>
      </w:r>
    </w:p>
    <w:p w14:paraId="2A289CD6">
      <w:pPr>
        <w:spacing w:line="360" w:lineRule="auto"/>
        <w:rPr>
          <w:rFonts w:hint="eastAsia" w:ascii="宋体" w:hAnsi="宋体" w:cs="宋体"/>
          <w:b/>
          <w:color w:val="auto"/>
          <w:szCs w:val="21"/>
        </w:rPr>
      </w:pPr>
      <w:r>
        <w:rPr>
          <w:rFonts w:hint="eastAsia" w:ascii="宋体" w:hAnsi="宋体" w:cs="宋体"/>
          <w:b/>
          <w:color w:val="auto"/>
          <w:szCs w:val="21"/>
        </w:rPr>
        <w:t>A2.评审准备</w:t>
      </w:r>
    </w:p>
    <w:p w14:paraId="731594F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A2.1磋商小组成员签到</w:t>
      </w:r>
    </w:p>
    <w:p w14:paraId="1E00655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磋商小组成员到达评审现场签到并组建磋商小组。</w:t>
      </w:r>
    </w:p>
    <w:p w14:paraId="103C17C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A2.2磋商小组的分工</w:t>
      </w:r>
    </w:p>
    <w:p w14:paraId="6C68824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磋商小组首先推选一名磋商小组组长。磋商小组组长负责评审活动的组织领导工作。磋商小组组长在与其他磋商小组成员协商的基础上，可以将磋商小组划分为技术组和商务组。</w:t>
      </w:r>
    </w:p>
    <w:p w14:paraId="005AFA53">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A2.3熟悉文件资料</w:t>
      </w:r>
    </w:p>
    <w:p w14:paraId="3D41E080">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A2.3.1磋商小组组长应组织磋商小组成员认真研究采购文件，了解和熟悉采购目的、采购范围、主要合同条件、质量要求和服务期限等要求，掌握评审标准和方法，熟悉评审办法。采购文件中未规定的标准和方法，磋商小组不得作为评审的依据。</w:t>
      </w:r>
    </w:p>
    <w:p w14:paraId="234E57A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A2.3.2采购人或采购代理机构应向磋商小组提供评审所需的信息和数据，包括采购文件、未在开标会上当场拒绝的各响应文件、开标会记录及各供应商在响应文件，有关的法律、法规、规章、国家标准以及采购人或磋商小组认为必要的其他信息和数据。</w:t>
      </w:r>
    </w:p>
    <w:p w14:paraId="0F84AE8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A2.4对响应文件进行基础性数据分析和整理工作（清标）</w:t>
      </w:r>
    </w:p>
    <w:p w14:paraId="70275DB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在不改变供应商响应文件实质性内容的前提下，磋商小组应当对响应文件进行基础性数据分析和整理（简称为“清标”），从而发现并提取其中可能存在的对采购范围理解的偏差、磋商报价的算术性错误、错漏项、磋商报价构成不合理、不平衡报价、是否低于成本报价等存在明显异常的问题，并就这些问题整理形成清标成果。磋商小组对清标成果审议后，决定需要供应商进行书面澄清、</w:t>
      </w:r>
    </w:p>
    <w:p w14:paraId="3143CB17">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说明或补正的问题，形成质疑问卷，向供应商发出问题澄清通知（质疑问卷）。</w:t>
      </w:r>
    </w:p>
    <w:p w14:paraId="10D30A73">
      <w:pPr>
        <w:spacing w:line="360" w:lineRule="auto"/>
        <w:rPr>
          <w:rFonts w:hint="eastAsia" w:ascii="宋体" w:hAnsi="宋体" w:cs="宋体"/>
          <w:b/>
          <w:color w:val="auto"/>
          <w:szCs w:val="21"/>
        </w:rPr>
      </w:pPr>
      <w:r>
        <w:rPr>
          <w:rFonts w:hint="eastAsia" w:ascii="宋体" w:hAnsi="宋体" w:cs="宋体"/>
          <w:b/>
          <w:color w:val="auto"/>
          <w:szCs w:val="21"/>
        </w:rPr>
        <w:t>A3.初步评审</w:t>
      </w:r>
    </w:p>
    <w:p w14:paraId="0B449022">
      <w:pPr>
        <w:spacing w:line="360" w:lineRule="auto"/>
        <w:ind w:firstLine="435"/>
        <w:rPr>
          <w:rFonts w:hint="eastAsia" w:ascii="宋体" w:hAnsi="宋体" w:cs="宋体"/>
          <w:b/>
          <w:color w:val="auto"/>
          <w:szCs w:val="21"/>
        </w:rPr>
      </w:pPr>
      <w:r>
        <w:rPr>
          <w:rFonts w:hint="eastAsia" w:ascii="宋体" w:hAnsi="宋体" w:cs="宋体"/>
          <w:b/>
          <w:color w:val="auto"/>
          <w:szCs w:val="21"/>
        </w:rPr>
        <w:t>A3.1资格审查</w:t>
      </w:r>
    </w:p>
    <w:p w14:paraId="605A1E39">
      <w:pPr>
        <w:spacing w:line="360" w:lineRule="auto"/>
        <w:ind w:firstLine="435"/>
        <w:rPr>
          <w:rFonts w:hint="eastAsia" w:ascii="宋体" w:hAnsi="宋体" w:cs="宋体"/>
          <w:color w:val="auto"/>
          <w:szCs w:val="21"/>
        </w:rPr>
      </w:pPr>
      <w:r>
        <w:rPr>
          <w:rFonts w:hint="eastAsia" w:ascii="宋体" w:hAnsi="宋体" w:cs="宋体"/>
          <w:color w:val="auto"/>
          <w:szCs w:val="21"/>
        </w:rPr>
        <w:t>磋商小组依据本章第2.1.1款规定的审查标准对响应文件进行资格审查，有一项不符合审查标准的，响应文件按否决处理。</w:t>
      </w:r>
    </w:p>
    <w:p w14:paraId="7C46618C">
      <w:pPr>
        <w:spacing w:line="360" w:lineRule="auto"/>
        <w:ind w:firstLine="435"/>
        <w:rPr>
          <w:rFonts w:hint="eastAsia" w:ascii="宋体" w:hAnsi="宋体" w:cs="宋体"/>
          <w:b/>
          <w:color w:val="auto"/>
          <w:szCs w:val="21"/>
        </w:rPr>
      </w:pPr>
      <w:r>
        <w:rPr>
          <w:rFonts w:hint="eastAsia" w:ascii="宋体" w:hAnsi="宋体" w:cs="宋体"/>
          <w:b/>
          <w:color w:val="auto"/>
          <w:szCs w:val="21"/>
        </w:rPr>
        <w:t>A3.2符合性审查</w:t>
      </w:r>
    </w:p>
    <w:p w14:paraId="331926D4">
      <w:pPr>
        <w:spacing w:line="360" w:lineRule="auto"/>
        <w:ind w:firstLine="435"/>
        <w:rPr>
          <w:rFonts w:hint="eastAsia" w:ascii="宋体" w:hAnsi="宋体" w:cs="宋体"/>
          <w:color w:val="auto"/>
          <w:szCs w:val="21"/>
        </w:rPr>
      </w:pPr>
      <w:r>
        <w:rPr>
          <w:rFonts w:hint="eastAsia" w:ascii="宋体" w:hAnsi="宋体" w:cs="宋体"/>
          <w:color w:val="auto"/>
          <w:szCs w:val="21"/>
        </w:rPr>
        <w:t>磋商小组依据本章第2.1.2款规定的审查标准对所有供应商的响应文件进行符合性审查，有一项不符合审查标准的，响应文件按否决处理。</w:t>
      </w:r>
    </w:p>
    <w:p w14:paraId="66F36D4D">
      <w:pPr>
        <w:spacing w:line="360" w:lineRule="auto"/>
        <w:ind w:firstLine="435"/>
        <w:rPr>
          <w:rFonts w:hint="eastAsia" w:ascii="宋体" w:hAnsi="宋体" w:cs="宋体"/>
          <w:b/>
          <w:color w:val="auto"/>
          <w:szCs w:val="21"/>
        </w:rPr>
      </w:pPr>
      <w:r>
        <w:rPr>
          <w:rFonts w:hint="eastAsia" w:ascii="宋体" w:hAnsi="宋体" w:cs="宋体"/>
          <w:b/>
          <w:color w:val="auto"/>
          <w:szCs w:val="21"/>
        </w:rPr>
        <w:t>A3.3判断响应文件是否作否决处理</w:t>
      </w:r>
    </w:p>
    <w:p w14:paraId="23B51E75">
      <w:pPr>
        <w:spacing w:line="360" w:lineRule="auto"/>
        <w:ind w:firstLine="435"/>
        <w:rPr>
          <w:rFonts w:hint="eastAsia" w:ascii="宋体" w:hAnsi="宋体" w:cs="宋体"/>
          <w:color w:val="auto"/>
          <w:szCs w:val="21"/>
        </w:rPr>
      </w:pPr>
      <w:r>
        <w:rPr>
          <w:rFonts w:hint="eastAsia" w:ascii="宋体" w:hAnsi="宋体" w:cs="宋体"/>
          <w:color w:val="auto"/>
          <w:szCs w:val="21"/>
        </w:rPr>
        <w:t>磋商小组在评审过程中依据本章附件B中规定的否决条件判断供应商的响应文件是否作否决处理。</w:t>
      </w:r>
    </w:p>
    <w:p w14:paraId="765E2F2A">
      <w:pPr>
        <w:spacing w:line="360" w:lineRule="auto"/>
        <w:ind w:firstLine="437"/>
        <w:rPr>
          <w:rFonts w:hint="eastAsia" w:ascii="宋体" w:hAnsi="宋体" w:cs="宋体"/>
          <w:b/>
          <w:color w:val="auto"/>
          <w:szCs w:val="21"/>
        </w:rPr>
      </w:pPr>
      <w:r>
        <w:rPr>
          <w:rFonts w:hint="eastAsia" w:ascii="宋体" w:hAnsi="宋体" w:cs="宋体"/>
          <w:b/>
          <w:color w:val="auto"/>
          <w:szCs w:val="21"/>
        </w:rPr>
        <w:t xml:space="preserve">A3.4重新采购 </w:t>
      </w:r>
    </w:p>
    <w:p w14:paraId="16445519">
      <w:pPr>
        <w:spacing w:line="360" w:lineRule="auto"/>
        <w:ind w:firstLine="435"/>
        <w:rPr>
          <w:rFonts w:hint="eastAsia" w:ascii="宋体" w:hAnsi="宋体" w:cs="宋体"/>
          <w:color w:val="auto"/>
          <w:szCs w:val="21"/>
        </w:rPr>
      </w:pPr>
      <w:r>
        <w:rPr>
          <w:rFonts w:hint="eastAsia" w:asciiTheme="minorEastAsia" w:hAnsiTheme="minorEastAsia" w:eastAsiaTheme="minorEastAsia"/>
          <w:color w:val="auto"/>
          <w:szCs w:val="21"/>
        </w:rPr>
        <w:t>经磋商小组评审后，有效供应商的数量少于3家的，采购人应当依法重新采购。</w:t>
      </w:r>
    </w:p>
    <w:p w14:paraId="568156DB">
      <w:pPr>
        <w:spacing w:line="360" w:lineRule="auto"/>
        <w:ind w:firstLine="435"/>
        <w:rPr>
          <w:rFonts w:hint="eastAsia" w:ascii="宋体" w:hAnsi="宋体" w:cs="宋体"/>
          <w:b/>
          <w:color w:val="auto"/>
          <w:szCs w:val="21"/>
        </w:rPr>
      </w:pPr>
      <w:r>
        <w:rPr>
          <w:rFonts w:hint="eastAsia" w:ascii="宋体" w:hAnsi="宋体" w:cs="宋体"/>
          <w:b/>
          <w:color w:val="auto"/>
          <w:szCs w:val="21"/>
        </w:rPr>
        <w:t>A3.5算术性错误修正</w:t>
      </w:r>
    </w:p>
    <w:p w14:paraId="3AEDE0EE">
      <w:pPr>
        <w:spacing w:line="360" w:lineRule="auto"/>
        <w:ind w:firstLine="435"/>
        <w:rPr>
          <w:rFonts w:hint="eastAsia" w:ascii="宋体" w:hAnsi="宋体" w:cs="宋体"/>
          <w:color w:val="auto"/>
          <w:szCs w:val="21"/>
        </w:rPr>
      </w:pPr>
      <w:r>
        <w:rPr>
          <w:rFonts w:hint="eastAsia" w:ascii="宋体" w:hAnsi="宋体" w:cs="宋体"/>
          <w:color w:val="auto"/>
          <w:szCs w:val="21"/>
        </w:rPr>
        <w:t>供应商的响应文件及二次报价中的磋商报价出现前后不一致的，除采购文件另有规定外，磋商小组依法对其按照下列规定进行修正：</w:t>
      </w:r>
    </w:p>
    <w:p w14:paraId="52DAEE57">
      <w:pPr>
        <w:spacing w:line="360" w:lineRule="auto"/>
        <w:ind w:firstLine="435"/>
        <w:rPr>
          <w:rFonts w:hint="eastAsia" w:ascii="宋体" w:hAnsi="宋体" w:cs="宋体"/>
          <w:color w:val="auto"/>
          <w:szCs w:val="21"/>
        </w:rPr>
      </w:pPr>
      <w:r>
        <w:rPr>
          <w:rFonts w:hint="eastAsia" w:ascii="宋体" w:hAnsi="宋体" w:cs="宋体"/>
          <w:color w:val="auto"/>
          <w:szCs w:val="21"/>
        </w:rPr>
        <w:t>（1）大写金额和小写金额不一致的，以大写金额为准；</w:t>
      </w:r>
    </w:p>
    <w:p w14:paraId="33F65E51">
      <w:pPr>
        <w:spacing w:line="360" w:lineRule="auto"/>
        <w:ind w:firstLine="435"/>
        <w:rPr>
          <w:rFonts w:hint="eastAsia" w:ascii="宋体" w:hAnsi="宋体" w:cs="宋体"/>
          <w:color w:val="auto"/>
          <w:szCs w:val="21"/>
        </w:rPr>
      </w:pPr>
      <w:r>
        <w:rPr>
          <w:rFonts w:hint="eastAsia" w:ascii="宋体" w:hAnsi="宋体" w:cs="宋体"/>
          <w:color w:val="auto"/>
          <w:szCs w:val="21"/>
        </w:rPr>
        <w:t>（2）单价金额小数点或者百分比有明显错位的，以“开标一览表”中的磋商报价为准；</w:t>
      </w:r>
    </w:p>
    <w:p w14:paraId="0D8D13AF">
      <w:pPr>
        <w:spacing w:line="360" w:lineRule="auto"/>
        <w:ind w:firstLine="435"/>
        <w:rPr>
          <w:rFonts w:hint="eastAsia" w:ascii="宋体" w:hAnsi="宋体" w:cs="宋体"/>
          <w:color w:val="auto"/>
          <w:szCs w:val="21"/>
        </w:rPr>
      </w:pPr>
      <w:r>
        <w:rPr>
          <w:rFonts w:hint="eastAsia" w:ascii="宋体" w:hAnsi="宋体" w:cs="宋体"/>
          <w:color w:val="auto"/>
          <w:szCs w:val="21"/>
        </w:rPr>
        <w:t>（3）总价金额与按单价汇总金额不一致的，以单价金额计算结果为准。</w:t>
      </w:r>
    </w:p>
    <w:p w14:paraId="7838D446">
      <w:pPr>
        <w:spacing w:line="360" w:lineRule="auto"/>
        <w:ind w:firstLine="435"/>
        <w:rPr>
          <w:rFonts w:hint="eastAsia" w:ascii="宋体" w:hAnsi="宋体" w:cs="宋体"/>
          <w:color w:val="auto"/>
          <w:szCs w:val="21"/>
        </w:rPr>
      </w:pPr>
      <w:r>
        <w:rPr>
          <w:rFonts w:hint="eastAsia" w:ascii="宋体" w:hAnsi="宋体" w:cs="宋体"/>
          <w:color w:val="auto"/>
          <w:szCs w:val="21"/>
        </w:rPr>
        <w:t>同时出现两种以上不一致的，按照前款规定的顺序修正。修正后的报价按照本章第3.3条的规定经供应商确认后产生约束力，供应商不确认的，其磋商无效。</w:t>
      </w:r>
    </w:p>
    <w:p w14:paraId="37346802">
      <w:pPr>
        <w:spacing w:line="360" w:lineRule="auto"/>
        <w:rPr>
          <w:rFonts w:hint="eastAsia" w:ascii="宋体" w:hAnsi="宋体" w:cs="宋体"/>
          <w:b/>
          <w:color w:val="auto"/>
          <w:szCs w:val="21"/>
        </w:rPr>
      </w:pPr>
      <w:r>
        <w:rPr>
          <w:rFonts w:hint="eastAsia" w:ascii="宋体" w:hAnsi="宋体" w:cs="宋体"/>
          <w:b/>
          <w:color w:val="auto"/>
          <w:szCs w:val="21"/>
        </w:rPr>
        <w:t>A4.技术部分评审</w:t>
      </w:r>
    </w:p>
    <w:p w14:paraId="7086E1D3">
      <w:pPr>
        <w:spacing w:line="360" w:lineRule="auto"/>
        <w:ind w:firstLine="435"/>
        <w:rPr>
          <w:rFonts w:hint="eastAsia" w:ascii="宋体" w:hAnsi="宋体" w:cs="宋体"/>
          <w:color w:val="auto"/>
          <w:szCs w:val="21"/>
        </w:rPr>
      </w:pPr>
      <w:r>
        <w:rPr>
          <w:rFonts w:hint="eastAsia" w:ascii="宋体" w:hAnsi="宋体" w:cs="宋体"/>
          <w:color w:val="auto"/>
          <w:szCs w:val="21"/>
        </w:rPr>
        <w:t>A 4.1磋商小组依据本章第2.2.2款规定的分值对通过资格审查和符合性审查的供应商的响应文件中的技术部分进行评审评分，</w:t>
      </w:r>
      <w:r>
        <w:rPr>
          <w:rFonts w:hint="eastAsia" w:ascii="宋体" w:hAnsi="宋体" w:cs="宋体"/>
          <w:color w:val="auto"/>
        </w:rPr>
        <w:t>磋商小组成员</w:t>
      </w:r>
      <w:r>
        <w:rPr>
          <w:rFonts w:hint="eastAsia" w:ascii="宋体" w:hAnsi="宋体" w:cs="宋体"/>
          <w:color w:val="auto"/>
          <w:szCs w:val="21"/>
        </w:rPr>
        <w:t>的评分通过计算平均分值为供应商的技术部分得分。</w:t>
      </w:r>
    </w:p>
    <w:p w14:paraId="01925856">
      <w:pPr>
        <w:spacing w:line="360" w:lineRule="auto"/>
        <w:ind w:firstLine="435"/>
        <w:rPr>
          <w:rFonts w:hint="eastAsia" w:ascii="宋体" w:hAnsi="宋体" w:cs="宋体"/>
          <w:color w:val="auto"/>
          <w:szCs w:val="21"/>
        </w:rPr>
      </w:pPr>
      <w:r>
        <w:rPr>
          <w:rFonts w:hint="eastAsia" w:ascii="宋体" w:hAnsi="宋体" w:cs="宋体"/>
          <w:color w:val="auto"/>
          <w:szCs w:val="21"/>
        </w:rPr>
        <w:t>A 4.2评分分值计算保留小数点后两位，小数点后第三位“四舍五入”。</w:t>
      </w:r>
    </w:p>
    <w:p w14:paraId="6653984F">
      <w:pPr>
        <w:spacing w:line="360" w:lineRule="auto"/>
        <w:rPr>
          <w:rFonts w:hint="eastAsia" w:ascii="宋体" w:hAnsi="宋体" w:cs="宋体"/>
          <w:b/>
          <w:color w:val="auto"/>
          <w:szCs w:val="21"/>
        </w:rPr>
      </w:pPr>
      <w:r>
        <w:rPr>
          <w:rFonts w:hint="eastAsia" w:ascii="宋体" w:hAnsi="宋体" w:cs="宋体"/>
          <w:b/>
          <w:color w:val="auto"/>
          <w:szCs w:val="21"/>
        </w:rPr>
        <w:t>A5.商务部分评审</w:t>
      </w:r>
    </w:p>
    <w:p w14:paraId="3006E9F7">
      <w:pPr>
        <w:spacing w:line="360" w:lineRule="auto"/>
        <w:ind w:firstLine="435"/>
        <w:rPr>
          <w:rFonts w:hint="eastAsia" w:ascii="宋体" w:hAnsi="宋体" w:cs="宋体"/>
          <w:color w:val="auto"/>
          <w:szCs w:val="21"/>
        </w:rPr>
      </w:pPr>
      <w:r>
        <w:rPr>
          <w:rFonts w:hint="eastAsia" w:ascii="宋体" w:hAnsi="宋体" w:cs="宋体"/>
          <w:color w:val="auto"/>
          <w:szCs w:val="21"/>
        </w:rPr>
        <w:t>A 5.1磋商小组依据本章第2.2.4款规定的分值对通过资格审查和符合性审查的供应商的二次报价进行评审评分，供应商的二次报价得分即为供应商的商务部分得分。</w:t>
      </w:r>
    </w:p>
    <w:p w14:paraId="144A70D1">
      <w:pPr>
        <w:spacing w:line="360" w:lineRule="auto"/>
        <w:ind w:firstLine="435"/>
        <w:rPr>
          <w:rFonts w:hint="eastAsia" w:ascii="宋体" w:hAnsi="宋体" w:cs="宋体"/>
          <w:color w:val="auto"/>
          <w:szCs w:val="21"/>
        </w:rPr>
      </w:pPr>
      <w:r>
        <w:rPr>
          <w:rFonts w:hint="eastAsia" w:ascii="宋体" w:hAnsi="宋体" w:cs="宋体"/>
          <w:color w:val="auto"/>
          <w:szCs w:val="21"/>
        </w:rPr>
        <w:t>A 5.2评分分值计算保留小数点后两位，小数点后第三位“四舍五入”。</w:t>
      </w:r>
    </w:p>
    <w:p w14:paraId="06D6AB5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A 5.3通过资格审查、符合性审查的供应商将进行二次报价，二次报价的价格为供应商的最后报价，并成为其响应文件的重要组成部分。供应商一旦完成二次报价，即不得再报。</w:t>
      </w:r>
    </w:p>
    <w:p w14:paraId="7478D36B">
      <w:pPr>
        <w:spacing w:line="360" w:lineRule="auto"/>
        <w:rPr>
          <w:rFonts w:hint="eastAsia" w:ascii="宋体" w:hAnsi="宋体" w:cs="宋体"/>
          <w:b/>
          <w:color w:val="auto"/>
          <w:szCs w:val="21"/>
        </w:rPr>
      </w:pPr>
      <w:r>
        <w:rPr>
          <w:rFonts w:hint="eastAsia" w:ascii="宋体" w:hAnsi="宋体" w:cs="宋体"/>
          <w:b/>
          <w:color w:val="auto"/>
          <w:szCs w:val="21"/>
        </w:rPr>
        <w:t>A6澄清、说明或补正</w:t>
      </w:r>
    </w:p>
    <w:p w14:paraId="5A539865">
      <w:pPr>
        <w:spacing w:line="360" w:lineRule="auto"/>
        <w:ind w:firstLine="435"/>
        <w:rPr>
          <w:rFonts w:hint="eastAsia" w:ascii="宋体" w:hAnsi="宋体" w:cs="宋体"/>
          <w:color w:val="auto"/>
          <w:szCs w:val="21"/>
        </w:rPr>
      </w:pPr>
      <w:r>
        <w:rPr>
          <w:rFonts w:hint="eastAsia" w:ascii="宋体" w:hAnsi="宋体" w:cs="宋体"/>
          <w:color w:val="auto"/>
          <w:szCs w:val="21"/>
        </w:rPr>
        <w:t>在初步评审过程中，磋商小组应当就供应商的响应文件中不明确的内容要求供应商进行澄清、说明或者补正。供应商对此以书面形式予以澄清、说明或者补正。澄清、说明或补正根据本章第3.3款的规定执行。</w:t>
      </w:r>
    </w:p>
    <w:p w14:paraId="540A4384">
      <w:pPr>
        <w:spacing w:line="360" w:lineRule="auto"/>
        <w:rPr>
          <w:rFonts w:hint="eastAsia" w:ascii="宋体" w:hAnsi="宋体" w:cs="宋体"/>
          <w:b/>
          <w:color w:val="auto"/>
          <w:szCs w:val="21"/>
        </w:rPr>
      </w:pPr>
      <w:r>
        <w:rPr>
          <w:rFonts w:hint="eastAsia" w:ascii="宋体" w:hAnsi="宋体" w:cs="宋体"/>
          <w:b/>
          <w:color w:val="auto"/>
          <w:szCs w:val="21"/>
        </w:rPr>
        <w:t>A7.特殊情况的处置程序</w:t>
      </w:r>
    </w:p>
    <w:p w14:paraId="28CCFD37">
      <w:pPr>
        <w:spacing w:line="360" w:lineRule="auto"/>
        <w:ind w:firstLine="435"/>
        <w:rPr>
          <w:rFonts w:hint="eastAsia" w:ascii="宋体" w:hAnsi="宋体" w:cs="宋体"/>
          <w:color w:val="auto"/>
          <w:szCs w:val="21"/>
        </w:rPr>
      </w:pPr>
      <w:r>
        <w:rPr>
          <w:rFonts w:hint="eastAsia" w:ascii="宋体" w:hAnsi="宋体" w:cs="宋体"/>
          <w:color w:val="auto"/>
          <w:szCs w:val="21"/>
        </w:rPr>
        <w:t>A7.1关于评审活动暂停</w:t>
      </w:r>
    </w:p>
    <w:p w14:paraId="5B1AEDC9">
      <w:pPr>
        <w:spacing w:line="360" w:lineRule="auto"/>
        <w:ind w:firstLine="435"/>
        <w:rPr>
          <w:rFonts w:hint="eastAsia" w:ascii="宋体" w:hAnsi="宋体" w:cs="宋体"/>
          <w:color w:val="auto"/>
          <w:szCs w:val="21"/>
        </w:rPr>
      </w:pPr>
      <w:r>
        <w:rPr>
          <w:rFonts w:hint="eastAsia" w:ascii="宋体" w:hAnsi="宋体" w:cs="宋体"/>
          <w:color w:val="auto"/>
          <w:szCs w:val="21"/>
        </w:rPr>
        <w:t>A7.1.1磋商小组应当执行连续评审的原则，按评审办法中规定的程序、内容、方法、标准完成全部评审工作。只有发生不可抗力导致评审工作无法继续时，评审活动方可暂停。</w:t>
      </w:r>
    </w:p>
    <w:p w14:paraId="33212AD0">
      <w:pPr>
        <w:spacing w:line="360" w:lineRule="auto"/>
        <w:ind w:firstLine="435"/>
        <w:rPr>
          <w:rFonts w:hint="eastAsia" w:ascii="宋体" w:hAnsi="宋体" w:cs="宋体"/>
          <w:color w:val="auto"/>
          <w:szCs w:val="21"/>
        </w:rPr>
      </w:pPr>
      <w:r>
        <w:rPr>
          <w:rFonts w:hint="eastAsia" w:ascii="宋体" w:hAnsi="宋体" w:cs="宋体"/>
          <w:color w:val="auto"/>
          <w:szCs w:val="21"/>
        </w:rPr>
        <w:t>A7.1.2发生评审暂停情况时，磋商小组应当封存全部磋商申请文件和评审记录，待不可抗力的影响结束且具备继续评审的条件时，由原磋商小组继续评审。</w:t>
      </w:r>
    </w:p>
    <w:p w14:paraId="1A742B88">
      <w:pPr>
        <w:spacing w:line="360" w:lineRule="auto"/>
        <w:ind w:firstLine="435"/>
        <w:rPr>
          <w:rFonts w:hint="eastAsia" w:ascii="宋体" w:hAnsi="宋体" w:cs="宋体"/>
          <w:color w:val="auto"/>
          <w:szCs w:val="21"/>
        </w:rPr>
      </w:pPr>
      <w:r>
        <w:rPr>
          <w:rFonts w:hint="eastAsia" w:ascii="宋体" w:hAnsi="宋体" w:cs="宋体"/>
          <w:color w:val="auto"/>
          <w:szCs w:val="21"/>
        </w:rPr>
        <w:t>A7.2关于评审中途更换评委</w:t>
      </w:r>
    </w:p>
    <w:p w14:paraId="75B6BC32">
      <w:pPr>
        <w:spacing w:line="360" w:lineRule="auto"/>
        <w:ind w:firstLine="435"/>
        <w:rPr>
          <w:rFonts w:hint="eastAsia" w:ascii="宋体" w:hAnsi="宋体" w:cs="宋体"/>
          <w:color w:val="auto"/>
          <w:szCs w:val="21"/>
        </w:rPr>
      </w:pPr>
      <w:r>
        <w:rPr>
          <w:rFonts w:hint="eastAsia" w:ascii="宋体" w:hAnsi="宋体" w:cs="宋体"/>
          <w:color w:val="auto"/>
          <w:szCs w:val="21"/>
        </w:rPr>
        <w:t>A7.2.1除非发生下列情况之一，磋商小组成员不得在评审中途更换：</w:t>
      </w:r>
    </w:p>
    <w:p w14:paraId="7E5EC86A">
      <w:pPr>
        <w:spacing w:line="360" w:lineRule="auto"/>
        <w:ind w:firstLine="435"/>
        <w:rPr>
          <w:rFonts w:hint="eastAsia" w:ascii="宋体" w:hAnsi="宋体" w:cs="宋体"/>
          <w:color w:val="auto"/>
          <w:szCs w:val="21"/>
        </w:rPr>
      </w:pPr>
      <w:r>
        <w:rPr>
          <w:rFonts w:hint="eastAsia" w:ascii="宋体" w:hAnsi="宋体" w:cs="宋体"/>
          <w:color w:val="auto"/>
          <w:szCs w:val="21"/>
        </w:rPr>
        <w:t>（1）因不可抗力的客观原因，不能到场或需在评审中途退出评审活动。</w:t>
      </w:r>
    </w:p>
    <w:p w14:paraId="153B8D43">
      <w:pPr>
        <w:spacing w:line="360" w:lineRule="auto"/>
        <w:ind w:firstLine="435"/>
        <w:rPr>
          <w:rFonts w:hint="eastAsia" w:ascii="宋体" w:hAnsi="宋体" w:cs="宋体"/>
          <w:color w:val="auto"/>
          <w:szCs w:val="21"/>
        </w:rPr>
      </w:pPr>
      <w:r>
        <w:rPr>
          <w:rFonts w:hint="eastAsia" w:ascii="宋体" w:hAnsi="宋体" w:cs="宋体"/>
          <w:color w:val="auto"/>
          <w:szCs w:val="21"/>
        </w:rPr>
        <w:t>（2）根据法律法规规定，某个或某几个磋商小组成员需要回避。</w:t>
      </w:r>
    </w:p>
    <w:p w14:paraId="28A6F578">
      <w:pPr>
        <w:spacing w:line="360" w:lineRule="auto"/>
        <w:ind w:firstLine="435"/>
        <w:rPr>
          <w:rFonts w:hint="eastAsia" w:ascii="宋体" w:hAnsi="宋体" w:cs="宋体"/>
          <w:color w:val="auto"/>
          <w:szCs w:val="21"/>
        </w:rPr>
      </w:pPr>
      <w:r>
        <w:rPr>
          <w:rFonts w:hint="eastAsia" w:ascii="宋体" w:hAnsi="宋体" w:cs="宋体"/>
          <w:color w:val="auto"/>
          <w:szCs w:val="21"/>
        </w:rPr>
        <w:t>A7.2.2退出评审的磋商小组成员，其已完成的评审行为无效。由采购人根据本采购文件规定的磋商小组成员生产方式另行确定替代者进行评审。</w:t>
      </w:r>
    </w:p>
    <w:p w14:paraId="2823C3ED">
      <w:pPr>
        <w:spacing w:line="360" w:lineRule="auto"/>
        <w:ind w:firstLine="435"/>
        <w:rPr>
          <w:rFonts w:hint="eastAsia" w:ascii="宋体" w:hAnsi="宋体" w:cs="宋体"/>
          <w:color w:val="auto"/>
          <w:szCs w:val="21"/>
        </w:rPr>
      </w:pPr>
      <w:r>
        <w:rPr>
          <w:rFonts w:hint="eastAsia" w:ascii="宋体" w:hAnsi="宋体" w:cs="宋体"/>
          <w:color w:val="auto"/>
          <w:szCs w:val="21"/>
        </w:rPr>
        <w:t>A7.3不记名投票</w:t>
      </w:r>
    </w:p>
    <w:p w14:paraId="7F2031F0">
      <w:pPr>
        <w:spacing w:line="360" w:lineRule="auto"/>
        <w:ind w:firstLine="435"/>
        <w:rPr>
          <w:rFonts w:hint="eastAsia" w:ascii="宋体" w:hAnsi="宋体" w:cs="宋体"/>
          <w:color w:val="auto"/>
          <w:szCs w:val="21"/>
        </w:rPr>
      </w:pPr>
      <w:r>
        <w:rPr>
          <w:rFonts w:hint="eastAsia" w:ascii="宋体" w:hAnsi="宋体" w:cs="宋体"/>
          <w:color w:val="auto"/>
          <w:szCs w:val="21"/>
        </w:rPr>
        <w:t>在任何评审环节中，需磋商小组就某项定性的评审结论作出表决的，由磋商小组全体成员按照少数服从多数的原则，以不记名投票方式表决。</w:t>
      </w:r>
    </w:p>
    <w:p w14:paraId="1128B209">
      <w:pPr>
        <w:spacing w:line="360" w:lineRule="auto"/>
        <w:rPr>
          <w:rFonts w:hint="eastAsia" w:ascii="宋体" w:hAnsi="宋体" w:cs="宋体"/>
          <w:b/>
          <w:color w:val="auto"/>
          <w:szCs w:val="21"/>
        </w:rPr>
      </w:pPr>
      <w:r>
        <w:rPr>
          <w:rFonts w:hint="eastAsia" w:ascii="宋体" w:hAnsi="宋体" w:cs="宋体"/>
          <w:b/>
          <w:color w:val="auto"/>
          <w:szCs w:val="21"/>
        </w:rPr>
        <w:t>A8.补充条款</w:t>
      </w:r>
    </w:p>
    <w:p w14:paraId="6142C1D5">
      <w:pPr>
        <w:spacing w:line="360" w:lineRule="auto"/>
        <w:ind w:firstLine="435"/>
        <w:rPr>
          <w:rFonts w:hint="eastAsia" w:ascii="宋体" w:hAnsi="宋体" w:cs="宋体"/>
          <w:color w:val="auto"/>
          <w:szCs w:val="21"/>
        </w:rPr>
      </w:pPr>
      <w:r>
        <w:rPr>
          <w:rFonts w:hint="eastAsia" w:ascii="宋体" w:hAnsi="宋体" w:cs="宋体"/>
          <w:color w:val="auto"/>
          <w:szCs w:val="21"/>
        </w:rPr>
        <w:t>评审中若遇特殊问题，由磋商小组根据有关法律、法规、规定研究决定。</w:t>
      </w:r>
    </w:p>
    <w:p w14:paraId="5912FBEB">
      <w:pPr>
        <w:spacing w:line="360" w:lineRule="auto"/>
        <w:ind w:firstLine="435"/>
        <w:rPr>
          <w:rFonts w:hint="eastAsia" w:ascii="宋体" w:hAnsi="宋体" w:cs="宋体"/>
          <w:color w:val="auto"/>
          <w:szCs w:val="21"/>
        </w:rPr>
      </w:pPr>
      <w:r>
        <w:rPr>
          <w:rFonts w:hint="eastAsia" w:ascii="宋体" w:hAnsi="宋体" w:cs="宋体"/>
          <w:color w:val="auto"/>
          <w:szCs w:val="21"/>
        </w:rPr>
        <w:br w:type="page"/>
      </w:r>
    </w:p>
    <w:p w14:paraId="485743A8">
      <w:pPr>
        <w:spacing w:before="120" w:beforeLines="50" w:line="360" w:lineRule="auto"/>
        <w:outlineLvl w:val="2"/>
        <w:rPr>
          <w:rFonts w:hint="eastAsia" w:ascii="宋体" w:hAnsi="宋体" w:cs="宋体"/>
          <w:b/>
          <w:color w:val="auto"/>
          <w:szCs w:val="21"/>
        </w:rPr>
      </w:pPr>
      <w:bookmarkStart w:id="1309" w:name="_Toc87538412"/>
      <w:bookmarkStart w:id="1310" w:name="_Toc84356295"/>
      <w:bookmarkStart w:id="1311" w:name="_Toc45976943"/>
      <w:bookmarkStart w:id="1312" w:name="_Toc98033979"/>
      <w:bookmarkStart w:id="1313" w:name="_Toc110405180"/>
      <w:bookmarkStart w:id="1314" w:name="_Toc83753935"/>
      <w:bookmarkStart w:id="1315" w:name="_Toc53412259"/>
      <w:bookmarkStart w:id="1316" w:name="_Toc98865056"/>
      <w:bookmarkStart w:id="1317" w:name="_Toc109809357"/>
      <w:bookmarkStart w:id="1318" w:name="_Toc116584047"/>
      <w:bookmarkStart w:id="1319" w:name="_Toc45791397"/>
      <w:bookmarkStart w:id="1320" w:name="_Toc81330982"/>
      <w:bookmarkStart w:id="1321" w:name="_Toc87543863"/>
      <w:bookmarkStart w:id="1322" w:name="_Toc4288"/>
      <w:bookmarkStart w:id="1323" w:name="_Toc42205036"/>
      <w:r>
        <w:rPr>
          <w:rFonts w:hint="eastAsia" w:ascii="宋体" w:hAnsi="宋体" w:cs="宋体"/>
          <w:b/>
          <w:color w:val="auto"/>
          <w:szCs w:val="21"/>
        </w:rPr>
        <w:t>附件B：否决条件</w:t>
      </w:r>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p>
    <w:p w14:paraId="56CB6357">
      <w:pPr>
        <w:spacing w:line="360" w:lineRule="auto"/>
        <w:jc w:val="center"/>
        <w:rPr>
          <w:rFonts w:hint="eastAsia" w:ascii="宋体" w:hAnsi="宋体" w:cs="宋体"/>
          <w:b/>
          <w:bCs/>
          <w:color w:val="auto"/>
          <w:sz w:val="28"/>
          <w:szCs w:val="28"/>
        </w:rPr>
      </w:pPr>
      <w:r>
        <w:rPr>
          <w:rFonts w:hint="eastAsia" w:ascii="宋体" w:hAnsi="宋体" w:cs="宋体"/>
          <w:b/>
          <w:bCs/>
          <w:color w:val="auto"/>
          <w:sz w:val="28"/>
          <w:szCs w:val="28"/>
        </w:rPr>
        <w:t>否决条件</w:t>
      </w:r>
    </w:p>
    <w:p w14:paraId="53AEDC3E">
      <w:pPr>
        <w:spacing w:line="360" w:lineRule="auto"/>
        <w:ind w:firstLine="420" w:firstLineChars="200"/>
        <w:jc w:val="left"/>
        <w:rPr>
          <w:rFonts w:hint="eastAsia" w:ascii="宋体" w:hAnsi="宋体" w:cs="宋体"/>
          <w:color w:val="auto"/>
        </w:rPr>
      </w:pPr>
      <w:r>
        <w:rPr>
          <w:rFonts w:hint="eastAsia" w:ascii="宋体" w:hAnsi="宋体" w:cs="宋体"/>
          <w:color w:val="auto"/>
        </w:rPr>
        <w:t>B0.总  则</w:t>
      </w:r>
    </w:p>
    <w:p w14:paraId="764415FB">
      <w:pPr>
        <w:spacing w:line="360" w:lineRule="auto"/>
        <w:ind w:firstLine="435"/>
        <w:rPr>
          <w:rFonts w:hint="eastAsia" w:ascii="宋体" w:hAnsi="宋体" w:cs="宋体"/>
          <w:color w:val="auto"/>
          <w:szCs w:val="21"/>
        </w:rPr>
      </w:pPr>
      <w:bookmarkStart w:id="1324" w:name="_Toc458454495"/>
      <w:bookmarkStart w:id="1325" w:name="_Toc42205037"/>
      <w:bookmarkStart w:id="1326" w:name="_Toc37603110"/>
      <w:r>
        <w:rPr>
          <w:rFonts w:hint="eastAsia" w:ascii="宋体" w:hAnsi="宋体" w:cs="宋体"/>
          <w:color w:val="auto"/>
          <w:szCs w:val="21"/>
        </w:rPr>
        <w:t>本附件所集中列示的否决条件，是本章“评审办法”的组成部分，是对第二章“供应商须知”和本章正文部分所规定的否决条件的总结和补充，如果出现相互矛盾的情况，以本节的规定为准。</w:t>
      </w:r>
    </w:p>
    <w:p w14:paraId="2D0C27C2">
      <w:pPr>
        <w:spacing w:line="360" w:lineRule="auto"/>
        <w:ind w:firstLine="420" w:firstLineChars="200"/>
        <w:jc w:val="left"/>
        <w:rPr>
          <w:rFonts w:hint="eastAsia" w:ascii="宋体" w:hAnsi="宋体" w:cs="宋体"/>
          <w:color w:val="auto"/>
        </w:rPr>
      </w:pPr>
      <w:r>
        <w:rPr>
          <w:rFonts w:hint="eastAsia" w:ascii="宋体" w:hAnsi="宋体" w:cs="宋体"/>
          <w:color w:val="auto"/>
        </w:rPr>
        <w:t>B1.未按磋商小组要求澄清、说明或补正的；</w:t>
      </w:r>
    </w:p>
    <w:p w14:paraId="465E14C5">
      <w:pPr>
        <w:spacing w:line="360" w:lineRule="auto"/>
        <w:ind w:firstLine="420" w:firstLineChars="200"/>
        <w:jc w:val="left"/>
        <w:rPr>
          <w:rFonts w:hint="eastAsia" w:ascii="宋体" w:hAnsi="宋体" w:cs="宋体"/>
          <w:color w:val="auto"/>
        </w:rPr>
      </w:pPr>
      <w:r>
        <w:rPr>
          <w:rFonts w:hint="eastAsia" w:ascii="宋体" w:hAnsi="宋体" w:cs="宋体"/>
          <w:color w:val="auto"/>
        </w:rPr>
        <w:t>B2.在资格审查、符合性审查中，磋商小组认定供应商的响应文件不符合评审办法前附表中规定的任何一项评审标准的；</w:t>
      </w:r>
    </w:p>
    <w:p w14:paraId="224F947F">
      <w:pPr>
        <w:spacing w:line="360" w:lineRule="auto"/>
        <w:ind w:firstLine="420" w:firstLineChars="200"/>
        <w:jc w:val="left"/>
        <w:rPr>
          <w:rFonts w:hint="eastAsia" w:ascii="宋体" w:hAnsi="宋体" w:cs="宋体"/>
          <w:color w:val="auto"/>
        </w:rPr>
      </w:pPr>
      <w:r>
        <w:rPr>
          <w:rFonts w:hint="eastAsia" w:ascii="宋体" w:hAnsi="宋体" w:cs="宋体"/>
          <w:color w:val="auto"/>
        </w:rPr>
        <w:t>B3.供应商的名称与所提供的资料上的名称不一致的；</w:t>
      </w:r>
    </w:p>
    <w:p w14:paraId="62009830">
      <w:pPr>
        <w:spacing w:line="360" w:lineRule="auto"/>
        <w:ind w:firstLine="420" w:firstLineChars="200"/>
        <w:jc w:val="left"/>
        <w:rPr>
          <w:rFonts w:hint="eastAsia" w:ascii="宋体" w:hAnsi="宋体" w:cs="宋体"/>
          <w:color w:val="auto"/>
        </w:rPr>
      </w:pPr>
      <w:r>
        <w:rPr>
          <w:rFonts w:hint="eastAsia" w:ascii="宋体" w:hAnsi="宋体" w:cs="宋体"/>
          <w:color w:val="auto"/>
        </w:rPr>
        <w:t>B4.磋商内容不符合第二章“供应商须知前附表”第1.3.1项规定的；</w:t>
      </w:r>
    </w:p>
    <w:p w14:paraId="4BDB514A">
      <w:pPr>
        <w:spacing w:line="360" w:lineRule="auto"/>
        <w:ind w:firstLine="420" w:firstLineChars="200"/>
        <w:jc w:val="left"/>
        <w:rPr>
          <w:rFonts w:hint="eastAsia" w:ascii="宋体" w:hAnsi="宋体" w:cs="宋体"/>
          <w:color w:val="auto"/>
        </w:rPr>
      </w:pPr>
      <w:r>
        <w:rPr>
          <w:rFonts w:hint="eastAsia" w:ascii="宋体" w:hAnsi="宋体" w:cs="宋体"/>
          <w:color w:val="auto"/>
        </w:rPr>
        <w:t>B5.</w:t>
      </w:r>
      <w:r>
        <w:rPr>
          <w:rFonts w:hint="eastAsia" w:ascii="宋体" w:hAnsi="宋体" w:cs="宋体"/>
          <w:color w:val="auto"/>
          <w:szCs w:val="21"/>
        </w:rPr>
        <w:t>服务期限</w:t>
      </w:r>
      <w:r>
        <w:rPr>
          <w:rFonts w:hint="eastAsia" w:ascii="宋体" w:hAnsi="宋体" w:cs="宋体"/>
          <w:color w:val="auto"/>
        </w:rPr>
        <w:t>不符合第二章“供应商须知前附表”第1.3.2项规定的；</w:t>
      </w:r>
    </w:p>
    <w:p w14:paraId="37CA5448">
      <w:pPr>
        <w:spacing w:line="360" w:lineRule="auto"/>
        <w:ind w:firstLine="420" w:firstLineChars="200"/>
        <w:jc w:val="left"/>
        <w:rPr>
          <w:rFonts w:hint="eastAsia" w:ascii="宋体" w:hAnsi="宋体" w:cs="宋体"/>
          <w:color w:val="auto"/>
        </w:rPr>
      </w:pPr>
      <w:r>
        <w:rPr>
          <w:rFonts w:hint="eastAsia" w:ascii="宋体" w:hAnsi="宋体" w:cs="宋体"/>
          <w:color w:val="auto"/>
        </w:rPr>
        <w:t>B6.质量标准不符合第二章“供应商须知前附表”第1.3.3项规定的；</w:t>
      </w:r>
    </w:p>
    <w:p w14:paraId="6810242C">
      <w:pPr>
        <w:spacing w:line="360" w:lineRule="auto"/>
        <w:ind w:firstLine="420" w:firstLineChars="200"/>
        <w:jc w:val="left"/>
        <w:rPr>
          <w:rFonts w:hint="eastAsia" w:ascii="宋体" w:hAnsi="宋体" w:cs="宋体"/>
          <w:color w:val="auto"/>
        </w:rPr>
      </w:pPr>
      <w:r>
        <w:rPr>
          <w:rFonts w:hint="eastAsia" w:ascii="宋体" w:hAnsi="宋体" w:cs="宋体"/>
          <w:color w:val="auto"/>
        </w:rPr>
        <w:t>B7.供应商的信誉不符合第二章“供应商须知前附表”第1.4.2项规定的；</w:t>
      </w:r>
    </w:p>
    <w:p w14:paraId="4E4899E7">
      <w:pPr>
        <w:spacing w:line="360" w:lineRule="auto"/>
        <w:ind w:firstLine="420" w:firstLineChars="200"/>
        <w:jc w:val="left"/>
        <w:rPr>
          <w:rFonts w:hint="eastAsia" w:ascii="宋体" w:hAnsi="宋体" w:cs="宋体"/>
          <w:color w:val="auto"/>
        </w:rPr>
      </w:pPr>
      <w:r>
        <w:rPr>
          <w:rFonts w:hint="eastAsia" w:ascii="宋体" w:hAnsi="宋体" w:cs="宋体"/>
          <w:color w:val="auto"/>
        </w:rPr>
        <w:t>B8.参与磋商的供应商的单位负责人为同一人或存在直接控股、管理关系的；</w:t>
      </w:r>
    </w:p>
    <w:p w14:paraId="52451EAA">
      <w:pPr>
        <w:spacing w:line="360" w:lineRule="auto"/>
        <w:ind w:firstLine="420" w:firstLineChars="200"/>
        <w:jc w:val="left"/>
        <w:rPr>
          <w:rFonts w:hint="eastAsia" w:ascii="宋体" w:hAnsi="宋体" w:cs="宋体"/>
          <w:color w:val="auto"/>
        </w:rPr>
      </w:pPr>
      <w:r>
        <w:rPr>
          <w:rFonts w:hint="eastAsia" w:ascii="宋体" w:hAnsi="宋体" w:cs="宋体"/>
          <w:color w:val="auto"/>
        </w:rPr>
        <w:t>B9.联合体不符合第二章“供应商须知前附表”第1.4.3项规定的；</w:t>
      </w:r>
    </w:p>
    <w:p w14:paraId="40B6413D">
      <w:pPr>
        <w:spacing w:line="360" w:lineRule="auto"/>
        <w:ind w:firstLine="420" w:firstLineChars="200"/>
        <w:jc w:val="left"/>
        <w:rPr>
          <w:rFonts w:hint="eastAsia" w:ascii="宋体" w:hAnsi="宋体" w:cs="宋体"/>
          <w:color w:val="auto"/>
        </w:rPr>
      </w:pPr>
      <w:r>
        <w:rPr>
          <w:rFonts w:hint="eastAsia" w:ascii="宋体" w:hAnsi="宋体" w:cs="宋体"/>
          <w:color w:val="auto"/>
        </w:rPr>
        <w:t>B10.分包不符合第二章“供应商须知”第1.11项规定的；</w:t>
      </w:r>
    </w:p>
    <w:p w14:paraId="2AF1A710">
      <w:pPr>
        <w:spacing w:line="360" w:lineRule="auto"/>
        <w:ind w:firstLine="420" w:firstLineChars="200"/>
        <w:jc w:val="left"/>
        <w:rPr>
          <w:rFonts w:hint="eastAsia" w:ascii="宋体" w:hAnsi="宋体" w:cs="宋体"/>
          <w:color w:val="auto"/>
        </w:rPr>
      </w:pPr>
      <w:r>
        <w:rPr>
          <w:rFonts w:hint="eastAsia" w:ascii="宋体" w:hAnsi="宋体" w:cs="宋体"/>
          <w:color w:val="auto"/>
        </w:rPr>
        <w:t>B11.偏离不符合第二章“供应商须知”第1.12项规定的；</w:t>
      </w:r>
    </w:p>
    <w:p w14:paraId="13A2EBDA">
      <w:pPr>
        <w:spacing w:line="360" w:lineRule="auto"/>
        <w:ind w:firstLine="420" w:firstLineChars="200"/>
        <w:jc w:val="left"/>
        <w:rPr>
          <w:rFonts w:hint="eastAsia" w:ascii="宋体" w:hAnsi="宋体" w:cs="宋体"/>
          <w:color w:val="auto"/>
        </w:rPr>
      </w:pPr>
      <w:r>
        <w:rPr>
          <w:rFonts w:hint="eastAsia" w:ascii="宋体" w:hAnsi="宋体" w:cs="宋体"/>
          <w:color w:val="auto"/>
        </w:rPr>
        <w:t>B12.磋商有效期不符合第二章“供应商须知前附表”第3.3.1项规定的；</w:t>
      </w:r>
    </w:p>
    <w:p w14:paraId="6C3ED845">
      <w:pPr>
        <w:spacing w:line="360" w:lineRule="auto"/>
        <w:ind w:firstLine="420" w:firstLineChars="200"/>
        <w:jc w:val="left"/>
        <w:rPr>
          <w:rFonts w:hint="eastAsia" w:ascii="宋体" w:hAnsi="宋体" w:cs="宋体"/>
          <w:color w:val="auto"/>
        </w:rPr>
      </w:pPr>
      <w:r>
        <w:rPr>
          <w:rFonts w:hint="eastAsia" w:ascii="宋体" w:hAnsi="宋体" w:cs="宋体"/>
          <w:color w:val="auto"/>
        </w:rPr>
        <w:t>B13.响应文件未按采购文件的要求采用单位和个人数字证书电子签章的；</w:t>
      </w:r>
    </w:p>
    <w:p w14:paraId="41FBB33F">
      <w:pPr>
        <w:spacing w:line="360" w:lineRule="auto"/>
        <w:ind w:firstLine="420" w:firstLineChars="200"/>
        <w:jc w:val="left"/>
        <w:rPr>
          <w:rFonts w:hint="eastAsia" w:ascii="宋体" w:hAnsi="宋体" w:cs="宋体"/>
          <w:color w:val="auto"/>
        </w:rPr>
      </w:pPr>
      <w:r>
        <w:rPr>
          <w:rFonts w:hint="eastAsia" w:ascii="宋体" w:hAnsi="宋体" w:cs="宋体"/>
          <w:color w:val="auto"/>
        </w:rPr>
        <w:t>B14.响应文件未按采购文件规定的格式填写，内容不全或关键字迹模糊、无法辨认的；</w:t>
      </w:r>
    </w:p>
    <w:p w14:paraId="70184C2E">
      <w:pPr>
        <w:spacing w:line="360" w:lineRule="auto"/>
        <w:ind w:firstLine="420" w:firstLineChars="200"/>
        <w:jc w:val="left"/>
        <w:rPr>
          <w:rFonts w:hint="eastAsia" w:ascii="宋体" w:hAnsi="宋体" w:cs="宋体"/>
          <w:color w:val="auto"/>
        </w:rPr>
      </w:pPr>
      <w:r>
        <w:rPr>
          <w:rFonts w:hint="eastAsia" w:ascii="宋体" w:hAnsi="宋体" w:cs="宋体"/>
          <w:color w:val="auto"/>
        </w:rPr>
        <w:t>B15.供应商递交两份或多份内容不同的响应文件的；</w:t>
      </w:r>
    </w:p>
    <w:p w14:paraId="6F2F67CF">
      <w:pPr>
        <w:spacing w:line="360" w:lineRule="auto"/>
        <w:ind w:firstLine="420" w:firstLineChars="200"/>
        <w:jc w:val="left"/>
        <w:rPr>
          <w:rFonts w:hint="eastAsia" w:ascii="宋体" w:hAnsi="宋体" w:cs="宋体"/>
          <w:color w:val="auto"/>
        </w:rPr>
      </w:pPr>
      <w:r>
        <w:rPr>
          <w:rFonts w:hint="eastAsia" w:ascii="宋体" w:hAnsi="宋体" w:cs="宋体"/>
          <w:color w:val="auto"/>
        </w:rPr>
        <w:t>B16.响应文件中，供应商</w:t>
      </w:r>
      <w:r>
        <w:rPr>
          <w:rFonts w:hint="eastAsia" w:ascii="宋体" w:hAnsi="宋体" w:cs="宋体"/>
          <w:color w:val="auto"/>
          <w:szCs w:val="21"/>
        </w:rPr>
        <w:t>投报两个或多个报价，又未书面声明其中哪一个有效的</w:t>
      </w:r>
      <w:r>
        <w:rPr>
          <w:rFonts w:hint="eastAsia" w:ascii="宋体" w:hAnsi="宋体" w:cs="宋体"/>
          <w:color w:val="auto"/>
        </w:rPr>
        <w:t>；</w:t>
      </w:r>
    </w:p>
    <w:p w14:paraId="08AE6E02">
      <w:pPr>
        <w:spacing w:line="360" w:lineRule="auto"/>
        <w:ind w:firstLine="420" w:firstLineChars="200"/>
        <w:jc w:val="left"/>
        <w:rPr>
          <w:rFonts w:hint="eastAsia" w:ascii="宋体" w:hAnsi="宋体" w:cs="宋体"/>
          <w:color w:val="auto"/>
        </w:rPr>
      </w:pPr>
      <w:r>
        <w:rPr>
          <w:rFonts w:hint="eastAsia" w:ascii="宋体" w:hAnsi="宋体" w:cs="宋体"/>
          <w:color w:val="auto"/>
        </w:rPr>
        <w:t>B17.供应商磋商报价存在异常低价情况，且未通过第六章“评标办法（综合评分法）”正文部分第3.1.2项“异常低价审查”的；</w:t>
      </w:r>
    </w:p>
    <w:p w14:paraId="26BEF54E">
      <w:pPr>
        <w:spacing w:line="360" w:lineRule="auto"/>
        <w:ind w:firstLine="420" w:firstLineChars="200"/>
        <w:jc w:val="left"/>
        <w:rPr>
          <w:rFonts w:hint="eastAsia" w:ascii="宋体" w:hAnsi="宋体" w:cs="宋体"/>
          <w:color w:val="auto"/>
        </w:rPr>
      </w:pPr>
      <w:r>
        <w:rPr>
          <w:rFonts w:hint="eastAsia" w:ascii="宋体" w:hAnsi="宋体" w:cs="宋体"/>
          <w:color w:val="auto"/>
        </w:rPr>
        <w:t>B18.有下列情形之一的，经磋商小组集体表决后认定，视作串通磋商处理，并提请行政监督管理部门依法予以处罚：</w:t>
      </w:r>
    </w:p>
    <w:p w14:paraId="06D57C1E">
      <w:pPr>
        <w:spacing w:line="360" w:lineRule="auto"/>
        <w:ind w:firstLine="420" w:firstLineChars="200"/>
        <w:jc w:val="left"/>
        <w:rPr>
          <w:rFonts w:hint="eastAsia" w:ascii="宋体" w:hAnsi="宋体" w:cs="宋体"/>
          <w:color w:val="auto"/>
        </w:rPr>
      </w:pPr>
      <w:r>
        <w:rPr>
          <w:rFonts w:hint="eastAsia" w:ascii="宋体" w:hAnsi="宋体" w:cs="宋体"/>
          <w:color w:val="auto"/>
        </w:rPr>
        <w:t>（1）不同供应商的响应文件内容存在非正常一致的；</w:t>
      </w:r>
    </w:p>
    <w:p w14:paraId="47074904">
      <w:pPr>
        <w:spacing w:line="360" w:lineRule="auto"/>
        <w:ind w:firstLine="420" w:firstLineChars="200"/>
        <w:jc w:val="left"/>
        <w:rPr>
          <w:rFonts w:hint="eastAsia" w:ascii="宋体" w:hAnsi="宋体" w:cs="宋体"/>
          <w:color w:val="auto"/>
        </w:rPr>
      </w:pPr>
      <w:r>
        <w:rPr>
          <w:rFonts w:hint="eastAsia" w:ascii="宋体" w:hAnsi="宋体" w:cs="宋体"/>
          <w:color w:val="auto"/>
        </w:rPr>
        <w:t>（2）不同供应商的响应文件两处以上错漏一致的；</w:t>
      </w:r>
    </w:p>
    <w:p w14:paraId="7D88E82E">
      <w:pPr>
        <w:spacing w:line="360" w:lineRule="auto"/>
        <w:ind w:firstLine="420" w:firstLineChars="200"/>
        <w:jc w:val="left"/>
        <w:rPr>
          <w:rFonts w:hint="eastAsia" w:ascii="宋体" w:hAnsi="宋体" w:cs="宋体"/>
          <w:color w:val="auto"/>
        </w:rPr>
      </w:pPr>
      <w:r>
        <w:rPr>
          <w:rFonts w:hint="eastAsia" w:ascii="宋体" w:hAnsi="宋体" w:cs="宋体"/>
          <w:color w:val="auto"/>
        </w:rPr>
        <w:t>（3）不同供应商的响应文件由同一企业或者同一个人编制的；</w:t>
      </w:r>
    </w:p>
    <w:p w14:paraId="084022BA">
      <w:pPr>
        <w:spacing w:line="360" w:lineRule="auto"/>
        <w:ind w:firstLine="420" w:firstLineChars="200"/>
        <w:jc w:val="left"/>
        <w:rPr>
          <w:rFonts w:hint="eastAsia" w:ascii="宋体" w:hAnsi="宋体" w:cs="宋体"/>
          <w:color w:val="auto"/>
        </w:rPr>
      </w:pPr>
      <w:r>
        <w:rPr>
          <w:rFonts w:hint="eastAsia" w:ascii="宋体" w:hAnsi="宋体" w:cs="宋体"/>
          <w:color w:val="auto"/>
        </w:rPr>
        <w:t>（4）不同供应商的响应文件相互混装的；</w:t>
      </w:r>
    </w:p>
    <w:p w14:paraId="1F80F058">
      <w:pPr>
        <w:spacing w:line="360" w:lineRule="auto"/>
        <w:ind w:firstLine="420" w:firstLineChars="200"/>
        <w:jc w:val="left"/>
        <w:rPr>
          <w:rFonts w:hint="eastAsia" w:ascii="宋体" w:hAnsi="宋体" w:cs="宋体"/>
          <w:color w:val="auto"/>
        </w:rPr>
      </w:pPr>
      <w:r>
        <w:rPr>
          <w:rFonts w:hint="eastAsia" w:ascii="宋体" w:hAnsi="宋体" w:cs="宋体"/>
          <w:color w:val="auto"/>
        </w:rPr>
        <w:t>（5）不同供应商委托同一人磋商的；</w:t>
      </w:r>
    </w:p>
    <w:p w14:paraId="30913158">
      <w:pPr>
        <w:spacing w:line="360" w:lineRule="auto"/>
        <w:ind w:firstLine="420" w:firstLineChars="200"/>
        <w:jc w:val="left"/>
        <w:rPr>
          <w:rFonts w:hint="eastAsia" w:ascii="宋体" w:hAnsi="宋体" w:cs="宋体"/>
          <w:color w:val="auto"/>
        </w:rPr>
      </w:pPr>
      <w:r>
        <w:rPr>
          <w:rFonts w:hint="eastAsia" w:ascii="宋体" w:hAnsi="宋体" w:cs="宋体"/>
          <w:color w:val="auto"/>
        </w:rPr>
        <w:t>（6）磋商小组认定的其他串通磋商的情形。</w:t>
      </w:r>
      <w:bookmarkEnd w:id="1253"/>
      <w:bookmarkEnd w:id="1254"/>
      <w:bookmarkEnd w:id="1255"/>
      <w:bookmarkEnd w:id="1256"/>
      <w:bookmarkEnd w:id="1324"/>
      <w:bookmarkEnd w:id="1325"/>
      <w:bookmarkEnd w:id="1326"/>
    </w:p>
    <w:sectPr>
      <w:headerReference r:id="rId12" w:type="first"/>
      <w:footerReference r:id="rId13" w:type="first"/>
      <w:pgSz w:w="11906" w:h="16838"/>
      <w:pgMar w:top="1440" w:right="1304" w:bottom="1440" w:left="1304" w:header="850" w:footer="1134"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Garamond">
    <w:altName w:val="PMingLiU-ExtB"/>
    <w:panose1 w:val="02020404030301010803"/>
    <w:charset w:val="00"/>
    <w:family w:val="roman"/>
    <w:pitch w:val="default"/>
    <w:sig w:usb0="00000000" w:usb1="00000000" w:usb2="00000000" w:usb3="00000000" w:csb0="0000009F"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MingLiU">
    <w:altName w:val="PMingLiU-ExtB"/>
    <w:panose1 w:val="02010609000101010101"/>
    <w:charset w:val="88"/>
    <w:family w:val="modern"/>
    <w:pitch w:val="default"/>
    <w:sig w:usb0="00000000" w:usb1="00000000" w:usb2="00000016" w:usb3="00000000" w:csb0="00100001"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 w:name="Microsoft YaHei UI">
    <w:panose1 w:val="020B0503020204020204"/>
    <w:charset w:val="86"/>
    <w:family w:val="swiss"/>
    <w:pitch w:val="default"/>
    <w:sig w:usb0="80000287" w:usb1="2ACF3C50" w:usb2="00000016" w:usb3="00000000" w:csb0="0004001F" w:csb1="00000000"/>
  </w:font>
  <w:font w:name="方正综艺简体">
    <w:altName w:val="微软雅黑"/>
    <w:panose1 w:val="00000000000000000000"/>
    <w:charset w:val="86"/>
    <w:family w:val="auto"/>
    <w:pitch w:val="default"/>
    <w:sig w:usb0="00000000" w:usb1="00000000" w:usb2="00000010" w:usb3="00000000" w:csb0="00040000" w:csb1="00000000"/>
  </w:font>
  <w:font w:name="MSung Light SC">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5737858"/>
    </w:sdtPr>
    <w:sdtContent>
      <w:p w14:paraId="01CC885A">
        <w:pPr>
          <w:pStyle w:val="34"/>
          <w:jc w:val="center"/>
        </w:pPr>
        <w:r>
          <w:fldChar w:fldCharType="begin"/>
        </w:r>
        <w:r>
          <w:instrText xml:space="preserve">PAGE   \* MERGEFORMAT</w:instrText>
        </w:r>
        <w:r>
          <w:fldChar w:fldCharType="separate"/>
        </w:r>
        <w:r>
          <w:rPr>
            <w:lang w:val="zh-CN"/>
          </w:rPr>
          <w:t>39</w:t>
        </w:r>
        <w:r>
          <w:fldChar w:fldCharType="end"/>
        </w:r>
      </w:p>
      <w:p w14:paraId="1E979314">
        <w:pPr>
          <w:pStyle w:val="34"/>
          <w:jc w:val="right"/>
        </w:pPr>
        <w:r>
          <w:drawing>
            <wp:inline distT="0" distB="0" distL="0" distR="0">
              <wp:extent cx="1899285" cy="181610"/>
              <wp:effectExtent l="0" t="0" r="5715" b="8890"/>
              <wp:docPr id="681730638" name="图片 681730638" descr="logo（运用于招标文件左下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730638" name="图片 681730638" descr="logo（运用于招标文件左下角）"/>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899285" cy="181610"/>
                      </a:xfrm>
                      <a:prstGeom prst="rect">
                        <a:avLst/>
                      </a:prstGeom>
                      <a:noFill/>
                      <a:ln>
                        <a:noFill/>
                      </a:ln>
                    </pic:spPr>
                  </pic:pic>
                </a:graphicData>
              </a:graphic>
            </wp:inline>
          </w:drawing>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11B14">
    <w:pPr>
      <w:pStyle w:val="34"/>
      <w:framePr w:wrap="around" w:vAnchor="text" w:hAnchor="margin" w:xAlign="right" w:y="1"/>
      <w:rPr>
        <w:rStyle w:val="59"/>
      </w:rPr>
    </w:pPr>
    <w:r>
      <w:fldChar w:fldCharType="begin"/>
    </w:r>
    <w:r>
      <w:rPr>
        <w:rStyle w:val="59"/>
      </w:rPr>
      <w:instrText xml:space="preserve">PAGE  </w:instrText>
    </w:r>
    <w:r>
      <w:fldChar w:fldCharType="separate"/>
    </w:r>
    <w:r>
      <w:rPr>
        <w:rStyle w:val="59"/>
      </w:rPr>
      <w:t>1</w:t>
    </w:r>
    <w:r>
      <w:fldChar w:fldCharType="end"/>
    </w:r>
  </w:p>
  <w:p w14:paraId="47287B5F">
    <w:pPr>
      <w:pStyle w:val="3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25262972"/>
    </w:sdtPr>
    <w:sdtContent>
      <w:p w14:paraId="605379DB">
        <w:pPr>
          <w:pStyle w:val="34"/>
          <w:jc w:val="center"/>
        </w:pPr>
        <w:r>
          <w:drawing>
            <wp:anchor distT="0" distB="0" distL="114300" distR="114300" simplePos="0" relativeHeight="251659264" behindDoc="0" locked="0" layoutInCell="1" allowOverlap="1">
              <wp:simplePos x="0" y="0"/>
              <wp:positionH relativeFrom="column">
                <wp:posOffset>3747135</wp:posOffset>
              </wp:positionH>
              <wp:positionV relativeFrom="paragraph">
                <wp:posOffset>137160</wp:posOffset>
              </wp:positionV>
              <wp:extent cx="1900555" cy="179705"/>
              <wp:effectExtent l="0" t="0" r="4445" b="0"/>
              <wp:wrapSquare wrapText="bothSides"/>
              <wp:docPr id="912946529" name="图片 912946529" descr="logo（运用于招标文件左下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946529" name="图片 912946529" descr="logo（运用于招标文件左下角）"/>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900555" cy="179705"/>
                      </a:xfrm>
                      <a:prstGeom prst="rect">
                        <a:avLst/>
                      </a:prstGeom>
                      <a:noFill/>
                      <a:ln>
                        <a:noFill/>
                      </a:ln>
                    </pic:spPr>
                  </pic:pic>
                </a:graphicData>
              </a:graphic>
            </wp:anchor>
          </w:drawing>
        </w:r>
        <w:r>
          <w:fldChar w:fldCharType="begin"/>
        </w:r>
        <w:r>
          <w:instrText xml:space="preserve">PAGE   \* MERGEFORMAT</w:instrText>
        </w:r>
        <w:r>
          <w:fldChar w:fldCharType="separate"/>
        </w:r>
        <w:r>
          <w:rPr>
            <w:lang w:val="zh-CN"/>
          </w:rPr>
          <w:t>61</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4939829"/>
    </w:sdtPr>
    <w:sdtContent>
      <w:p w14:paraId="220D7FF7">
        <w:pPr>
          <w:pStyle w:val="34"/>
          <w:jc w:val="center"/>
        </w:pPr>
        <w:r>
          <w:fldChar w:fldCharType="begin"/>
        </w:r>
        <w:r>
          <w:instrText xml:space="preserve">PAGE   \* MERGEFORMAT</w:instrText>
        </w:r>
        <w:r>
          <w:fldChar w:fldCharType="separate"/>
        </w:r>
        <w:r>
          <w:rPr>
            <w:lang w:val="zh-CN"/>
          </w:rPr>
          <w:t>1</w:t>
        </w:r>
        <w:r>
          <w:fldChar w:fldCharType="end"/>
        </w:r>
      </w:p>
    </w:sdtContent>
  </w:sdt>
  <w:p w14:paraId="7AF2EE49">
    <w:pPr>
      <w:pStyle w:val="34"/>
    </w:pPr>
  </w:p>
  <w:p w14:paraId="54AC5244"/>
  <w:p w14:paraId="71DCDC55"/>
  <w:p w14:paraId="40FD9CB8"/>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7341592"/>
    </w:sdtPr>
    <w:sdtContent>
      <w:p w14:paraId="727B9346">
        <w:pPr>
          <w:pStyle w:val="34"/>
          <w:jc w:val="center"/>
        </w:pPr>
        <w:r>
          <w:fldChar w:fldCharType="begin"/>
        </w:r>
        <w:r>
          <w:instrText xml:space="preserve">PAGE   \* MERGEFORMAT</w:instrText>
        </w:r>
        <w:r>
          <w:fldChar w:fldCharType="separate"/>
        </w:r>
        <w:r>
          <w:rPr>
            <w:lang w:val="zh-CN"/>
          </w:rPr>
          <w:t>1</w:t>
        </w:r>
        <w:r>
          <w:fldChar w:fldCharType="end"/>
        </w:r>
      </w:p>
    </w:sdtContent>
  </w:sdt>
  <w:p w14:paraId="09CDCFA8">
    <w:pPr>
      <w:pStyle w:val="34"/>
    </w:pPr>
  </w:p>
  <w:p w14:paraId="37A410CF"/>
  <w:p w14:paraId="2C25B88E"/>
  <w:p w14:paraId="3E25F3E1"/>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63439997"/>
    </w:sdtPr>
    <w:sdtContent>
      <w:p w14:paraId="1244B3EE">
        <w:pPr>
          <w:pStyle w:val="34"/>
          <w:jc w:val="center"/>
        </w:pPr>
        <w:r>
          <w:fldChar w:fldCharType="begin"/>
        </w:r>
        <w:r>
          <w:instrText xml:space="preserve">PAGE   \* MERGEFORMAT</w:instrText>
        </w:r>
        <w:r>
          <w:fldChar w:fldCharType="separate"/>
        </w:r>
        <w:r>
          <w:rPr>
            <w:lang w:val="zh-CN"/>
          </w:rPr>
          <w:t>1</w:t>
        </w:r>
        <w:r>
          <w:fldChar w:fldCharType="end"/>
        </w:r>
      </w:p>
    </w:sdtContent>
  </w:sdt>
  <w:p w14:paraId="70B77D36">
    <w:pPr>
      <w:pStyle w:val="34"/>
    </w:pPr>
  </w:p>
  <w:p w14:paraId="4A4B72F5"/>
  <w:p w14:paraId="4B860209"/>
  <w:p w14:paraId="6F08F5B9"/>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CE86F">
    <w:pPr>
      <w:pStyle w:val="35"/>
      <w:jc w:val="left"/>
      <w:rPr>
        <w:sz w:val="15"/>
        <w:szCs w:val="15"/>
      </w:rPr>
    </w:pPr>
    <w:r>
      <w:rPr>
        <w:rFonts w:hint="eastAsia" w:ascii="宋体" w:hAnsi="宋体"/>
        <w:sz w:val="15"/>
        <w:szCs w:val="15"/>
      </w:rPr>
      <w:t>安宁市2026年流动人员人事档案管理服务项目                                                                          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95649">
    <w:pPr>
      <w:pStyle w:val="35"/>
      <w:framePr w:wrap="around" w:vAnchor="text" w:hAnchor="margin" w:xAlign="right" w:y="1"/>
      <w:rPr>
        <w:rStyle w:val="59"/>
      </w:rPr>
    </w:pPr>
    <w:r>
      <w:fldChar w:fldCharType="begin"/>
    </w:r>
    <w:r>
      <w:rPr>
        <w:rStyle w:val="59"/>
      </w:rPr>
      <w:instrText xml:space="preserve">PAGE  </w:instrText>
    </w:r>
    <w:r>
      <w:fldChar w:fldCharType="separate"/>
    </w:r>
    <w:r>
      <w:rPr>
        <w:rStyle w:val="59"/>
      </w:rPr>
      <w:t>5</w:t>
    </w:r>
    <w:r>
      <w:fldChar w:fldCharType="end"/>
    </w:r>
  </w:p>
  <w:p w14:paraId="2680243C">
    <w:pPr>
      <w:pStyle w:val="35"/>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905F6">
    <w:pPr>
      <w:pStyle w:val="35"/>
      <w:tabs>
        <w:tab w:val="right" w:pos="9638"/>
      </w:tabs>
      <w:jc w:val="left"/>
    </w:pPr>
    <w:r>
      <w:rPr>
        <w:rFonts w:hint="eastAsia"/>
      </w:rPr>
      <w:t xml:space="preserve">                    </w:t>
    </w:r>
    <w:r>
      <w:t xml:space="preserve">          </w:t>
    </w:r>
    <w:r>
      <w:rPr>
        <w:rFonts w:hint="eastAsia"/>
      </w:rPr>
      <w:t>竞争性磋商文</w:t>
    </w:r>
  </w:p>
  <w:p w14:paraId="56B68E80"/>
  <w:p w14:paraId="3485A010"/>
  <w:p w14:paraId="055A5E4F"/>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14F25">
    <w:pPr>
      <w:pStyle w:val="35"/>
      <w:tabs>
        <w:tab w:val="right" w:pos="9638"/>
      </w:tabs>
      <w:jc w:val="left"/>
    </w:pPr>
    <w:r>
      <w:rPr>
        <w:rFonts w:hint="eastAsia"/>
      </w:rPr>
      <w:t xml:space="preserve">                    </w:t>
    </w:r>
    <w:r>
      <w:t xml:space="preserve">          </w:t>
    </w:r>
    <w:r>
      <w:rPr>
        <w:rFonts w:hint="eastAsia"/>
      </w:rPr>
      <w:t>竞争性磋商文</w:t>
    </w:r>
  </w:p>
  <w:p w14:paraId="5BE61355"/>
  <w:p w14:paraId="24809C5E"/>
  <w:p w14:paraId="74FB789E"/>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3408D">
    <w:pPr>
      <w:pStyle w:val="35"/>
      <w:tabs>
        <w:tab w:val="right" w:pos="9638"/>
      </w:tabs>
      <w:jc w:val="left"/>
    </w:pPr>
    <w:r>
      <w:rPr>
        <w:rFonts w:hint="eastAsia"/>
      </w:rPr>
      <w:t xml:space="preserve">                    </w:t>
    </w:r>
    <w:r>
      <w:t xml:space="preserve">          </w:t>
    </w:r>
    <w:r>
      <w:rPr>
        <w:rFonts w:hint="eastAsia"/>
      </w:rPr>
      <w:t>竞争性磋商文</w:t>
    </w:r>
  </w:p>
  <w:p w14:paraId="749013B9"/>
  <w:p w14:paraId="56518A61"/>
  <w:p w14:paraId="113693E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A8CD82"/>
    <w:multiLevelType w:val="singleLevel"/>
    <w:tmpl w:val="F8A8CD82"/>
    <w:lvl w:ilvl="0" w:tentative="0">
      <w:start w:val="1"/>
      <w:numFmt w:val="decimal"/>
      <w:suff w:val="nothing"/>
      <w:lvlText w:val="（%1）"/>
      <w:lvlJc w:val="left"/>
    </w:lvl>
  </w:abstractNum>
  <w:abstractNum w:abstractNumId="1">
    <w:nsid w:val="5F7F52D8"/>
    <w:multiLevelType w:val="multilevel"/>
    <w:tmpl w:val="5F7F52D8"/>
    <w:lvl w:ilvl="0" w:tentative="0">
      <w:start w:val="1"/>
      <w:numFmt w:val="decimal"/>
      <w:lvlText w:val="（%1）"/>
      <w:lvlJc w:val="left"/>
      <w:pPr>
        <w:tabs>
          <w:tab w:val="left" w:pos="1252"/>
        </w:tabs>
        <w:ind w:left="1252" w:hanging="720"/>
      </w:pPr>
      <w:rPr>
        <w:rFonts w:hint="eastAsia"/>
      </w:rPr>
    </w:lvl>
    <w:lvl w:ilvl="1" w:tentative="0">
      <w:start w:val="1"/>
      <w:numFmt w:val="decimal"/>
      <w:lvlText w:val="（%2）"/>
      <w:lvlJc w:val="left"/>
      <w:pPr>
        <w:tabs>
          <w:tab w:val="left" w:pos="1672"/>
        </w:tabs>
        <w:ind w:left="1672" w:hanging="720"/>
      </w:pPr>
      <w:rPr>
        <w:rFonts w:hint="default"/>
      </w:rPr>
    </w:lvl>
    <w:lvl w:ilvl="2" w:tentative="0">
      <w:start w:val="4"/>
      <w:numFmt w:val="decimal"/>
      <w:lvlText w:val="(%3)"/>
      <w:lvlJc w:val="left"/>
      <w:pPr>
        <w:tabs>
          <w:tab w:val="left" w:pos="1732"/>
        </w:tabs>
        <w:ind w:left="1732" w:hanging="360"/>
      </w:pPr>
      <w:rPr>
        <w:rFonts w:hint="default"/>
      </w:rPr>
    </w:lvl>
    <w:lvl w:ilvl="3" w:tentative="0">
      <w:start w:val="1"/>
      <w:numFmt w:val="decimal"/>
      <w:lvlText w:val="%4."/>
      <w:lvlJc w:val="left"/>
      <w:pPr>
        <w:tabs>
          <w:tab w:val="left" w:pos="2212"/>
        </w:tabs>
        <w:ind w:left="2212" w:hanging="420"/>
      </w:pPr>
    </w:lvl>
    <w:lvl w:ilvl="4" w:tentative="0">
      <w:start w:val="1"/>
      <w:numFmt w:val="lowerLetter"/>
      <w:lvlText w:val="%5)"/>
      <w:lvlJc w:val="left"/>
      <w:pPr>
        <w:tabs>
          <w:tab w:val="left" w:pos="2632"/>
        </w:tabs>
        <w:ind w:left="2632" w:hanging="420"/>
      </w:pPr>
    </w:lvl>
    <w:lvl w:ilvl="5" w:tentative="0">
      <w:start w:val="1"/>
      <w:numFmt w:val="lowerRoman"/>
      <w:pStyle w:val="9"/>
      <w:lvlText w:val="%6."/>
      <w:lvlJc w:val="right"/>
      <w:pPr>
        <w:tabs>
          <w:tab w:val="left" w:pos="3052"/>
        </w:tabs>
        <w:ind w:left="3052" w:hanging="420"/>
      </w:pPr>
    </w:lvl>
    <w:lvl w:ilvl="6" w:tentative="0">
      <w:start w:val="1"/>
      <w:numFmt w:val="decimal"/>
      <w:lvlText w:val="%7."/>
      <w:lvlJc w:val="left"/>
      <w:pPr>
        <w:tabs>
          <w:tab w:val="left" w:pos="3472"/>
        </w:tabs>
        <w:ind w:left="3472" w:hanging="420"/>
      </w:pPr>
    </w:lvl>
    <w:lvl w:ilvl="7" w:tentative="0">
      <w:start w:val="1"/>
      <w:numFmt w:val="lowerLetter"/>
      <w:lvlText w:val="%8)"/>
      <w:lvlJc w:val="left"/>
      <w:pPr>
        <w:tabs>
          <w:tab w:val="left" w:pos="3892"/>
        </w:tabs>
        <w:ind w:left="3892" w:hanging="420"/>
      </w:pPr>
    </w:lvl>
    <w:lvl w:ilvl="8" w:tentative="0">
      <w:start w:val="1"/>
      <w:numFmt w:val="lowerRoman"/>
      <w:lvlText w:val="%9."/>
      <w:lvlJc w:val="right"/>
      <w:pPr>
        <w:tabs>
          <w:tab w:val="left" w:pos="4312"/>
        </w:tabs>
        <w:ind w:left="4312"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I5NmFlMWM0NGIyN2E0YzkzNDE0MmNiODM4NDE1MjgifQ=="/>
  </w:docVars>
  <w:rsids>
    <w:rsidRoot w:val="00172A27"/>
    <w:rsid w:val="000009E3"/>
    <w:rsid w:val="00000F1F"/>
    <w:rsid w:val="00001097"/>
    <w:rsid w:val="000013C9"/>
    <w:rsid w:val="00001776"/>
    <w:rsid w:val="00001927"/>
    <w:rsid w:val="00001C52"/>
    <w:rsid w:val="00001E10"/>
    <w:rsid w:val="000024C2"/>
    <w:rsid w:val="000024C8"/>
    <w:rsid w:val="00002712"/>
    <w:rsid w:val="00002DA2"/>
    <w:rsid w:val="0000372C"/>
    <w:rsid w:val="00003B16"/>
    <w:rsid w:val="00004137"/>
    <w:rsid w:val="00004FB7"/>
    <w:rsid w:val="000050D0"/>
    <w:rsid w:val="00005723"/>
    <w:rsid w:val="00005A47"/>
    <w:rsid w:val="00005CE3"/>
    <w:rsid w:val="00006216"/>
    <w:rsid w:val="000068DF"/>
    <w:rsid w:val="00006A63"/>
    <w:rsid w:val="0000722C"/>
    <w:rsid w:val="000073DE"/>
    <w:rsid w:val="00010B6D"/>
    <w:rsid w:val="0001125C"/>
    <w:rsid w:val="0001182D"/>
    <w:rsid w:val="00011A49"/>
    <w:rsid w:val="00012432"/>
    <w:rsid w:val="00012F7D"/>
    <w:rsid w:val="00013B08"/>
    <w:rsid w:val="00014134"/>
    <w:rsid w:val="00014325"/>
    <w:rsid w:val="0001480F"/>
    <w:rsid w:val="000148B8"/>
    <w:rsid w:val="00015754"/>
    <w:rsid w:val="00015952"/>
    <w:rsid w:val="00016217"/>
    <w:rsid w:val="000162C1"/>
    <w:rsid w:val="000163C5"/>
    <w:rsid w:val="0001668B"/>
    <w:rsid w:val="00017D8E"/>
    <w:rsid w:val="00020F93"/>
    <w:rsid w:val="00021A04"/>
    <w:rsid w:val="00021C8F"/>
    <w:rsid w:val="00021EB3"/>
    <w:rsid w:val="00022267"/>
    <w:rsid w:val="00023396"/>
    <w:rsid w:val="00023F48"/>
    <w:rsid w:val="00024596"/>
    <w:rsid w:val="00024AF0"/>
    <w:rsid w:val="00024FB8"/>
    <w:rsid w:val="000255E2"/>
    <w:rsid w:val="0002743D"/>
    <w:rsid w:val="00027888"/>
    <w:rsid w:val="000312D6"/>
    <w:rsid w:val="000315CC"/>
    <w:rsid w:val="0003181B"/>
    <w:rsid w:val="0003195A"/>
    <w:rsid w:val="00031B31"/>
    <w:rsid w:val="00031E69"/>
    <w:rsid w:val="000324BE"/>
    <w:rsid w:val="00032551"/>
    <w:rsid w:val="000326C5"/>
    <w:rsid w:val="000327A4"/>
    <w:rsid w:val="00032E7A"/>
    <w:rsid w:val="00032F1F"/>
    <w:rsid w:val="00032F48"/>
    <w:rsid w:val="00032FD7"/>
    <w:rsid w:val="000335F8"/>
    <w:rsid w:val="00033778"/>
    <w:rsid w:val="00033DB0"/>
    <w:rsid w:val="00034193"/>
    <w:rsid w:val="000342EC"/>
    <w:rsid w:val="00034993"/>
    <w:rsid w:val="00034C0D"/>
    <w:rsid w:val="00035B03"/>
    <w:rsid w:val="000366AD"/>
    <w:rsid w:val="000366B0"/>
    <w:rsid w:val="00037B5F"/>
    <w:rsid w:val="00037E86"/>
    <w:rsid w:val="00037F01"/>
    <w:rsid w:val="00040029"/>
    <w:rsid w:val="000410EC"/>
    <w:rsid w:val="00041BD7"/>
    <w:rsid w:val="00042033"/>
    <w:rsid w:val="000422EA"/>
    <w:rsid w:val="00042BFA"/>
    <w:rsid w:val="00043192"/>
    <w:rsid w:val="000439E0"/>
    <w:rsid w:val="00043A98"/>
    <w:rsid w:val="00043DF0"/>
    <w:rsid w:val="000443FF"/>
    <w:rsid w:val="00044454"/>
    <w:rsid w:val="0004451E"/>
    <w:rsid w:val="00044531"/>
    <w:rsid w:val="00044D5E"/>
    <w:rsid w:val="00044D95"/>
    <w:rsid w:val="00044E14"/>
    <w:rsid w:val="000456E2"/>
    <w:rsid w:val="000458BE"/>
    <w:rsid w:val="000459E1"/>
    <w:rsid w:val="00046183"/>
    <w:rsid w:val="000465D0"/>
    <w:rsid w:val="00046ACA"/>
    <w:rsid w:val="00046B9F"/>
    <w:rsid w:val="00046CF8"/>
    <w:rsid w:val="00047050"/>
    <w:rsid w:val="00047662"/>
    <w:rsid w:val="00047A01"/>
    <w:rsid w:val="00047CE9"/>
    <w:rsid w:val="00047CF2"/>
    <w:rsid w:val="00047EC1"/>
    <w:rsid w:val="00047F10"/>
    <w:rsid w:val="00050075"/>
    <w:rsid w:val="000500A5"/>
    <w:rsid w:val="0005105C"/>
    <w:rsid w:val="00051632"/>
    <w:rsid w:val="0005165C"/>
    <w:rsid w:val="00051E59"/>
    <w:rsid w:val="00052174"/>
    <w:rsid w:val="00052D5C"/>
    <w:rsid w:val="00053E3A"/>
    <w:rsid w:val="0005465A"/>
    <w:rsid w:val="00054ED6"/>
    <w:rsid w:val="00054FB6"/>
    <w:rsid w:val="00055611"/>
    <w:rsid w:val="0005580F"/>
    <w:rsid w:val="00056142"/>
    <w:rsid w:val="000561C5"/>
    <w:rsid w:val="0005620E"/>
    <w:rsid w:val="000569A3"/>
    <w:rsid w:val="00057159"/>
    <w:rsid w:val="0005771E"/>
    <w:rsid w:val="00057E67"/>
    <w:rsid w:val="000608EC"/>
    <w:rsid w:val="00060998"/>
    <w:rsid w:val="00060ACE"/>
    <w:rsid w:val="000612D8"/>
    <w:rsid w:val="000612E0"/>
    <w:rsid w:val="0006205D"/>
    <w:rsid w:val="000626F2"/>
    <w:rsid w:val="00062D92"/>
    <w:rsid w:val="00063227"/>
    <w:rsid w:val="0006369D"/>
    <w:rsid w:val="00063B01"/>
    <w:rsid w:val="0006569F"/>
    <w:rsid w:val="00065D68"/>
    <w:rsid w:val="00066878"/>
    <w:rsid w:val="00066C5B"/>
    <w:rsid w:val="000674A0"/>
    <w:rsid w:val="00067E06"/>
    <w:rsid w:val="00067F32"/>
    <w:rsid w:val="000702D3"/>
    <w:rsid w:val="00070804"/>
    <w:rsid w:val="00071389"/>
    <w:rsid w:val="000724D8"/>
    <w:rsid w:val="0007259C"/>
    <w:rsid w:val="000726A0"/>
    <w:rsid w:val="000727D3"/>
    <w:rsid w:val="00072B79"/>
    <w:rsid w:val="00073AA7"/>
    <w:rsid w:val="00073C2B"/>
    <w:rsid w:val="00074E4C"/>
    <w:rsid w:val="0007531B"/>
    <w:rsid w:val="000760BA"/>
    <w:rsid w:val="000760D3"/>
    <w:rsid w:val="00076BD2"/>
    <w:rsid w:val="00076BF5"/>
    <w:rsid w:val="00077313"/>
    <w:rsid w:val="00077394"/>
    <w:rsid w:val="00077AA2"/>
    <w:rsid w:val="00077C48"/>
    <w:rsid w:val="000807E9"/>
    <w:rsid w:val="0008099D"/>
    <w:rsid w:val="00080E0A"/>
    <w:rsid w:val="000815F3"/>
    <w:rsid w:val="00081C95"/>
    <w:rsid w:val="00081EEA"/>
    <w:rsid w:val="0008272D"/>
    <w:rsid w:val="00082D88"/>
    <w:rsid w:val="00082E2A"/>
    <w:rsid w:val="00083562"/>
    <w:rsid w:val="00084584"/>
    <w:rsid w:val="00084C9E"/>
    <w:rsid w:val="00085403"/>
    <w:rsid w:val="00085585"/>
    <w:rsid w:val="00085E29"/>
    <w:rsid w:val="00085E52"/>
    <w:rsid w:val="00086121"/>
    <w:rsid w:val="00086177"/>
    <w:rsid w:val="000864A7"/>
    <w:rsid w:val="000869DE"/>
    <w:rsid w:val="00086F31"/>
    <w:rsid w:val="0008710D"/>
    <w:rsid w:val="00090E22"/>
    <w:rsid w:val="0009101D"/>
    <w:rsid w:val="00091FD9"/>
    <w:rsid w:val="0009215D"/>
    <w:rsid w:val="0009219A"/>
    <w:rsid w:val="0009292A"/>
    <w:rsid w:val="00092DF3"/>
    <w:rsid w:val="00092EB3"/>
    <w:rsid w:val="00093BA7"/>
    <w:rsid w:val="0009438B"/>
    <w:rsid w:val="0009494B"/>
    <w:rsid w:val="00094AEF"/>
    <w:rsid w:val="00095230"/>
    <w:rsid w:val="00095447"/>
    <w:rsid w:val="00095459"/>
    <w:rsid w:val="00095626"/>
    <w:rsid w:val="00095E46"/>
    <w:rsid w:val="0009611A"/>
    <w:rsid w:val="00097166"/>
    <w:rsid w:val="000975E8"/>
    <w:rsid w:val="00097DAE"/>
    <w:rsid w:val="000A01EE"/>
    <w:rsid w:val="000A084D"/>
    <w:rsid w:val="000A0EA6"/>
    <w:rsid w:val="000A0EDE"/>
    <w:rsid w:val="000A1448"/>
    <w:rsid w:val="000A17C3"/>
    <w:rsid w:val="000A2708"/>
    <w:rsid w:val="000A2DC3"/>
    <w:rsid w:val="000A2F7D"/>
    <w:rsid w:val="000A32FE"/>
    <w:rsid w:val="000A3518"/>
    <w:rsid w:val="000A3636"/>
    <w:rsid w:val="000A392D"/>
    <w:rsid w:val="000A3A89"/>
    <w:rsid w:val="000A3FE6"/>
    <w:rsid w:val="000A42AA"/>
    <w:rsid w:val="000A466D"/>
    <w:rsid w:val="000A50B6"/>
    <w:rsid w:val="000A5BE6"/>
    <w:rsid w:val="000A624A"/>
    <w:rsid w:val="000A646A"/>
    <w:rsid w:val="000A64B6"/>
    <w:rsid w:val="000A6836"/>
    <w:rsid w:val="000A68AF"/>
    <w:rsid w:val="000A6AFB"/>
    <w:rsid w:val="000A6D4F"/>
    <w:rsid w:val="000A728F"/>
    <w:rsid w:val="000A76A0"/>
    <w:rsid w:val="000A7729"/>
    <w:rsid w:val="000B0226"/>
    <w:rsid w:val="000B0842"/>
    <w:rsid w:val="000B17F0"/>
    <w:rsid w:val="000B1A84"/>
    <w:rsid w:val="000B1BD6"/>
    <w:rsid w:val="000B1FBB"/>
    <w:rsid w:val="000B2176"/>
    <w:rsid w:val="000B2DBB"/>
    <w:rsid w:val="000B2E80"/>
    <w:rsid w:val="000B3019"/>
    <w:rsid w:val="000B3547"/>
    <w:rsid w:val="000B3917"/>
    <w:rsid w:val="000B3C52"/>
    <w:rsid w:val="000B49F7"/>
    <w:rsid w:val="000B57B3"/>
    <w:rsid w:val="000B5D85"/>
    <w:rsid w:val="000B6466"/>
    <w:rsid w:val="000B65C8"/>
    <w:rsid w:val="000B6BFA"/>
    <w:rsid w:val="000B6FAA"/>
    <w:rsid w:val="000B709E"/>
    <w:rsid w:val="000B7313"/>
    <w:rsid w:val="000B7385"/>
    <w:rsid w:val="000B784F"/>
    <w:rsid w:val="000B7995"/>
    <w:rsid w:val="000B79FD"/>
    <w:rsid w:val="000C0638"/>
    <w:rsid w:val="000C08A8"/>
    <w:rsid w:val="000C1251"/>
    <w:rsid w:val="000C1446"/>
    <w:rsid w:val="000C1544"/>
    <w:rsid w:val="000C2495"/>
    <w:rsid w:val="000C24B5"/>
    <w:rsid w:val="000C2913"/>
    <w:rsid w:val="000C36BE"/>
    <w:rsid w:val="000C3B98"/>
    <w:rsid w:val="000C3CD6"/>
    <w:rsid w:val="000C435B"/>
    <w:rsid w:val="000C443D"/>
    <w:rsid w:val="000C47EF"/>
    <w:rsid w:val="000C489A"/>
    <w:rsid w:val="000C4B8A"/>
    <w:rsid w:val="000C588C"/>
    <w:rsid w:val="000C78EB"/>
    <w:rsid w:val="000C799E"/>
    <w:rsid w:val="000D0732"/>
    <w:rsid w:val="000D0CCC"/>
    <w:rsid w:val="000D12D1"/>
    <w:rsid w:val="000D135A"/>
    <w:rsid w:val="000D157A"/>
    <w:rsid w:val="000D1D1C"/>
    <w:rsid w:val="000D22A0"/>
    <w:rsid w:val="000D27EE"/>
    <w:rsid w:val="000D2BA8"/>
    <w:rsid w:val="000D2EA7"/>
    <w:rsid w:val="000D2FDE"/>
    <w:rsid w:val="000D33DC"/>
    <w:rsid w:val="000D33FE"/>
    <w:rsid w:val="000D3F97"/>
    <w:rsid w:val="000D4ACA"/>
    <w:rsid w:val="000D4AE4"/>
    <w:rsid w:val="000D4EA7"/>
    <w:rsid w:val="000D5068"/>
    <w:rsid w:val="000D53C3"/>
    <w:rsid w:val="000D5463"/>
    <w:rsid w:val="000D5B01"/>
    <w:rsid w:val="000D74C9"/>
    <w:rsid w:val="000D75CE"/>
    <w:rsid w:val="000D792B"/>
    <w:rsid w:val="000E11E6"/>
    <w:rsid w:val="000E126F"/>
    <w:rsid w:val="000E1F83"/>
    <w:rsid w:val="000E29AD"/>
    <w:rsid w:val="000E2FE8"/>
    <w:rsid w:val="000E2FEB"/>
    <w:rsid w:val="000E37FC"/>
    <w:rsid w:val="000E3DD8"/>
    <w:rsid w:val="000E42D6"/>
    <w:rsid w:val="000E48F9"/>
    <w:rsid w:val="000E5159"/>
    <w:rsid w:val="000E54AA"/>
    <w:rsid w:val="000E54FC"/>
    <w:rsid w:val="000E5532"/>
    <w:rsid w:val="000E6C86"/>
    <w:rsid w:val="000E6E6A"/>
    <w:rsid w:val="000E70E4"/>
    <w:rsid w:val="000E7278"/>
    <w:rsid w:val="000E7E6F"/>
    <w:rsid w:val="000E7E79"/>
    <w:rsid w:val="000E7FCD"/>
    <w:rsid w:val="000F003C"/>
    <w:rsid w:val="000F0A04"/>
    <w:rsid w:val="000F0E21"/>
    <w:rsid w:val="000F1049"/>
    <w:rsid w:val="000F1475"/>
    <w:rsid w:val="000F15AA"/>
    <w:rsid w:val="000F16B6"/>
    <w:rsid w:val="000F1B66"/>
    <w:rsid w:val="000F217B"/>
    <w:rsid w:val="000F2427"/>
    <w:rsid w:val="000F2510"/>
    <w:rsid w:val="000F2922"/>
    <w:rsid w:val="000F343B"/>
    <w:rsid w:val="000F3800"/>
    <w:rsid w:val="000F3CBC"/>
    <w:rsid w:val="000F3E46"/>
    <w:rsid w:val="000F3F3A"/>
    <w:rsid w:val="000F436D"/>
    <w:rsid w:val="000F47AD"/>
    <w:rsid w:val="000F4F9F"/>
    <w:rsid w:val="000F566E"/>
    <w:rsid w:val="000F63BE"/>
    <w:rsid w:val="000F6F86"/>
    <w:rsid w:val="000F70B2"/>
    <w:rsid w:val="0010026F"/>
    <w:rsid w:val="001005B6"/>
    <w:rsid w:val="0010087D"/>
    <w:rsid w:val="00101477"/>
    <w:rsid w:val="001018AA"/>
    <w:rsid w:val="00102F86"/>
    <w:rsid w:val="00103272"/>
    <w:rsid w:val="00103EB7"/>
    <w:rsid w:val="00103FCF"/>
    <w:rsid w:val="001049F7"/>
    <w:rsid w:val="00105359"/>
    <w:rsid w:val="001054B3"/>
    <w:rsid w:val="0010595A"/>
    <w:rsid w:val="00105C73"/>
    <w:rsid w:val="00106039"/>
    <w:rsid w:val="0010658F"/>
    <w:rsid w:val="0010678B"/>
    <w:rsid w:val="00106C7B"/>
    <w:rsid w:val="00106E22"/>
    <w:rsid w:val="00107356"/>
    <w:rsid w:val="00107D4A"/>
    <w:rsid w:val="001105C9"/>
    <w:rsid w:val="001109FD"/>
    <w:rsid w:val="00110CD6"/>
    <w:rsid w:val="0011131F"/>
    <w:rsid w:val="00111686"/>
    <w:rsid w:val="001116CF"/>
    <w:rsid w:val="00111AF1"/>
    <w:rsid w:val="00111D22"/>
    <w:rsid w:val="001121FB"/>
    <w:rsid w:val="001125C5"/>
    <w:rsid w:val="00112AEC"/>
    <w:rsid w:val="00112C2F"/>
    <w:rsid w:val="00113792"/>
    <w:rsid w:val="00113982"/>
    <w:rsid w:val="00113BB4"/>
    <w:rsid w:val="00113FDE"/>
    <w:rsid w:val="00114DBF"/>
    <w:rsid w:val="001159CA"/>
    <w:rsid w:val="00115EDF"/>
    <w:rsid w:val="00115FD2"/>
    <w:rsid w:val="00116383"/>
    <w:rsid w:val="00116D2C"/>
    <w:rsid w:val="00120340"/>
    <w:rsid w:val="001209F5"/>
    <w:rsid w:val="00120D18"/>
    <w:rsid w:val="00120EA0"/>
    <w:rsid w:val="001219A8"/>
    <w:rsid w:val="00121BEE"/>
    <w:rsid w:val="00122A66"/>
    <w:rsid w:val="00122FBE"/>
    <w:rsid w:val="0012377F"/>
    <w:rsid w:val="00124B81"/>
    <w:rsid w:val="001251C6"/>
    <w:rsid w:val="00125B5F"/>
    <w:rsid w:val="001264FA"/>
    <w:rsid w:val="00126A82"/>
    <w:rsid w:val="00130179"/>
    <w:rsid w:val="00130B02"/>
    <w:rsid w:val="001316C3"/>
    <w:rsid w:val="00131966"/>
    <w:rsid w:val="00131D73"/>
    <w:rsid w:val="00131DF0"/>
    <w:rsid w:val="001321C9"/>
    <w:rsid w:val="001326ED"/>
    <w:rsid w:val="00133361"/>
    <w:rsid w:val="0013362C"/>
    <w:rsid w:val="00133D93"/>
    <w:rsid w:val="00134A0C"/>
    <w:rsid w:val="00134E96"/>
    <w:rsid w:val="00135AB5"/>
    <w:rsid w:val="00135E28"/>
    <w:rsid w:val="00136775"/>
    <w:rsid w:val="00136E3E"/>
    <w:rsid w:val="00136EB4"/>
    <w:rsid w:val="0013741B"/>
    <w:rsid w:val="00137CC8"/>
    <w:rsid w:val="00137CFF"/>
    <w:rsid w:val="00137ED7"/>
    <w:rsid w:val="0014190E"/>
    <w:rsid w:val="001419D3"/>
    <w:rsid w:val="00142421"/>
    <w:rsid w:val="001426DC"/>
    <w:rsid w:val="001426F0"/>
    <w:rsid w:val="001428A7"/>
    <w:rsid w:val="00142B4E"/>
    <w:rsid w:val="00142E0D"/>
    <w:rsid w:val="0014359C"/>
    <w:rsid w:val="00143E1D"/>
    <w:rsid w:val="00144529"/>
    <w:rsid w:val="00144719"/>
    <w:rsid w:val="0014500B"/>
    <w:rsid w:val="00145157"/>
    <w:rsid w:val="001453C7"/>
    <w:rsid w:val="00146463"/>
    <w:rsid w:val="001464A1"/>
    <w:rsid w:val="00146A03"/>
    <w:rsid w:val="001471E8"/>
    <w:rsid w:val="001474CB"/>
    <w:rsid w:val="00147571"/>
    <w:rsid w:val="00147772"/>
    <w:rsid w:val="001478F5"/>
    <w:rsid w:val="00147976"/>
    <w:rsid w:val="00147CE8"/>
    <w:rsid w:val="00147F7C"/>
    <w:rsid w:val="00150A48"/>
    <w:rsid w:val="0015224C"/>
    <w:rsid w:val="00153BA9"/>
    <w:rsid w:val="001542B6"/>
    <w:rsid w:val="00154565"/>
    <w:rsid w:val="001547F2"/>
    <w:rsid w:val="001555F2"/>
    <w:rsid w:val="001557F0"/>
    <w:rsid w:val="00155896"/>
    <w:rsid w:val="001559F6"/>
    <w:rsid w:val="00155C09"/>
    <w:rsid w:val="00156418"/>
    <w:rsid w:val="001567AE"/>
    <w:rsid w:val="001568BC"/>
    <w:rsid w:val="00156C36"/>
    <w:rsid w:val="00157D8C"/>
    <w:rsid w:val="00160100"/>
    <w:rsid w:val="001603E9"/>
    <w:rsid w:val="001607C3"/>
    <w:rsid w:val="0016121F"/>
    <w:rsid w:val="0016136B"/>
    <w:rsid w:val="00161E5E"/>
    <w:rsid w:val="001620E2"/>
    <w:rsid w:val="00162EEF"/>
    <w:rsid w:val="00163C86"/>
    <w:rsid w:val="00164605"/>
    <w:rsid w:val="00164A80"/>
    <w:rsid w:val="00165AA1"/>
    <w:rsid w:val="001661F2"/>
    <w:rsid w:val="00166496"/>
    <w:rsid w:val="001665D3"/>
    <w:rsid w:val="00166E96"/>
    <w:rsid w:val="00166F64"/>
    <w:rsid w:val="00167137"/>
    <w:rsid w:val="0017051E"/>
    <w:rsid w:val="00170999"/>
    <w:rsid w:val="00171275"/>
    <w:rsid w:val="0017206B"/>
    <w:rsid w:val="00172104"/>
    <w:rsid w:val="00172176"/>
    <w:rsid w:val="001721B7"/>
    <w:rsid w:val="001723C8"/>
    <w:rsid w:val="00172A27"/>
    <w:rsid w:val="00172E1D"/>
    <w:rsid w:val="00172F09"/>
    <w:rsid w:val="001730EA"/>
    <w:rsid w:val="001736A9"/>
    <w:rsid w:val="00173F7C"/>
    <w:rsid w:val="00173FFB"/>
    <w:rsid w:val="0017491B"/>
    <w:rsid w:val="00174A55"/>
    <w:rsid w:val="00174AAA"/>
    <w:rsid w:val="00174CC5"/>
    <w:rsid w:val="001754D0"/>
    <w:rsid w:val="00175785"/>
    <w:rsid w:val="001758C9"/>
    <w:rsid w:val="00175AF3"/>
    <w:rsid w:val="00176154"/>
    <w:rsid w:val="00180057"/>
    <w:rsid w:val="00180F3D"/>
    <w:rsid w:val="001812B2"/>
    <w:rsid w:val="00181943"/>
    <w:rsid w:val="00181E60"/>
    <w:rsid w:val="001820FF"/>
    <w:rsid w:val="00182C11"/>
    <w:rsid w:val="00182C2B"/>
    <w:rsid w:val="00183093"/>
    <w:rsid w:val="001830E3"/>
    <w:rsid w:val="0018358C"/>
    <w:rsid w:val="0018361D"/>
    <w:rsid w:val="00183760"/>
    <w:rsid w:val="001842F1"/>
    <w:rsid w:val="00184581"/>
    <w:rsid w:val="001846D0"/>
    <w:rsid w:val="00184C4A"/>
    <w:rsid w:val="00184E04"/>
    <w:rsid w:val="00184F30"/>
    <w:rsid w:val="001851EE"/>
    <w:rsid w:val="00185648"/>
    <w:rsid w:val="001861C3"/>
    <w:rsid w:val="0018627C"/>
    <w:rsid w:val="00186A9C"/>
    <w:rsid w:val="00186C2C"/>
    <w:rsid w:val="00186C65"/>
    <w:rsid w:val="00187884"/>
    <w:rsid w:val="00187E86"/>
    <w:rsid w:val="00187E95"/>
    <w:rsid w:val="00187FE3"/>
    <w:rsid w:val="0019010A"/>
    <w:rsid w:val="00190144"/>
    <w:rsid w:val="00190427"/>
    <w:rsid w:val="00190789"/>
    <w:rsid w:val="00190C30"/>
    <w:rsid w:val="00191303"/>
    <w:rsid w:val="00192A9B"/>
    <w:rsid w:val="00192C4D"/>
    <w:rsid w:val="00192E12"/>
    <w:rsid w:val="00192EE4"/>
    <w:rsid w:val="00192FE9"/>
    <w:rsid w:val="00193179"/>
    <w:rsid w:val="001932D2"/>
    <w:rsid w:val="00193675"/>
    <w:rsid w:val="0019410C"/>
    <w:rsid w:val="001941D5"/>
    <w:rsid w:val="001952BB"/>
    <w:rsid w:val="00195827"/>
    <w:rsid w:val="00195A38"/>
    <w:rsid w:val="0019610C"/>
    <w:rsid w:val="00196673"/>
    <w:rsid w:val="001971B3"/>
    <w:rsid w:val="001A0149"/>
    <w:rsid w:val="001A0B22"/>
    <w:rsid w:val="001A0F28"/>
    <w:rsid w:val="001A1197"/>
    <w:rsid w:val="001A11B3"/>
    <w:rsid w:val="001A1547"/>
    <w:rsid w:val="001A1840"/>
    <w:rsid w:val="001A2258"/>
    <w:rsid w:val="001A3AB0"/>
    <w:rsid w:val="001A4620"/>
    <w:rsid w:val="001A4712"/>
    <w:rsid w:val="001A5DCA"/>
    <w:rsid w:val="001A6BB6"/>
    <w:rsid w:val="001A6C8A"/>
    <w:rsid w:val="001A71A1"/>
    <w:rsid w:val="001A7336"/>
    <w:rsid w:val="001A74D8"/>
    <w:rsid w:val="001A7761"/>
    <w:rsid w:val="001A7FE7"/>
    <w:rsid w:val="001B11A0"/>
    <w:rsid w:val="001B1BFD"/>
    <w:rsid w:val="001B1C2E"/>
    <w:rsid w:val="001B1CF2"/>
    <w:rsid w:val="001B1ECA"/>
    <w:rsid w:val="001B2333"/>
    <w:rsid w:val="001B28AD"/>
    <w:rsid w:val="001B297F"/>
    <w:rsid w:val="001B2D60"/>
    <w:rsid w:val="001B2EA4"/>
    <w:rsid w:val="001B313F"/>
    <w:rsid w:val="001B31B9"/>
    <w:rsid w:val="001B47C1"/>
    <w:rsid w:val="001B4982"/>
    <w:rsid w:val="001B4DE7"/>
    <w:rsid w:val="001B4E5D"/>
    <w:rsid w:val="001B4F8B"/>
    <w:rsid w:val="001B602B"/>
    <w:rsid w:val="001B66DF"/>
    <w:rsid w:val="001B6C3A"/>
    <w:rsid w:val="001B6E6A"/>
    <w:rsid w:val="001B777E"/>
    <w:rsid w:val="001C0E77"/>
    <w:rsid w:val="001C156A"/>
    <w:rsid w:val="001C15F7"/>
    <w:rsid w:val="001C1868"/>
    <w:rsid w:val="001C18E8"/>
    <w:rsid w:val="001C202E"/>
    <w:rsid w:val="001C2F68"/>
    <w:rsid w:val="001C3126"/>
    <w:rsid w:val="001C35EF"/>
    <w:rsid w:val="001C3F1B"/>
    <w:rsid w:val="001C4921"/>
    <w:rsid w:val="001C535C"/>
    <w:rsid w:val="001C5763"/>
    <w:rsid w:val="001C5954"/>
    <w:rsid w:val="001C5A3E"/>
    <w:rsid w:val="001C5D4E"/>
    <w:rsid w:val="001C678A"/>
    <w:rsid w:val="001C69C4"/>
    <w:rsid w:val="001C7459"/>
    <w:rsid w:val="001C769F"/>
    <w:rsid w:val="001C7DBD"/>
    <w:rsid w:val="001D0410"/>
    <w:rsid w:val="001D04A9"/>
    <w:rsid w:val="001D0AAE"/>
    <w:rsid w:val="001D0B56"/>
    <w:rsid w:val="001D0D09"/>
    <w:rsid w:val="001D0F67"/>
    <w:rsid w:val="001D137C"/>
    <w:rsid w:val="001D183A"/>
    <w:rsid w:val="001D1D13"/>
    <w:rsid w:val="001D20E1"/>
    <w:rsid w:val="001D213C"/>
    <w:rsid w:val="001D27B2"/>
    <w:rsid w:val="001D3591"/>
    <w:rsid w:val="001D4844"/>
    <w:rsid w:val="001D4A21"/>
    <w:rsid w:val="001D519E"/>
    <w:rsid w:val="001D5961"/>
    <w:rsid w:val="001D5FBE"/>
    <w:rsid w:val="001D60F7"/>
    <w:rsid w:val="001D627D"/>
    <w:rsid w:val="001D6581"/>
    <w:rsid w:val="001D7093"/>
    <w:rsid w:val="001D7A79"/>
    <w:rsid w:val="001D7D57"/>
    <w:rsid w:val="001E0353"/>
    <w:rsid w:val="001E0377"/>
    <w:rsid w:val="001E07AF"/>
    <w:rsid w:val="001E0D98"/>
    <w:rsid w:val="001E0F8A"/>
    <w:rsid w:val="001E2157"/>
    <w:rsid w:val="001E292F"/>
    <w:rsid w:val="001E36F1"/>
    <w:rsid w:val="001E39C5"/>
    <w:rsid w:val="001E4602"/>
    <w:rsid w:val="001E49E0"/>
    <w:rsid w:val="001E5836"/>
    <w:rsid w:val="001E5D25"/>
    <w:rsid w:val="001E5EAA"/>
    <w:rsid w:val="001E6120"/>
    <w:rsid w:val="001E6296"/>
    <w:rsid w:val="001E64A4"/>
    <w:rsid w:val="001E683A"/>
    <w:rsid w:val="001E6FF9"/>
    <w:rsid w:val="001E7524"/>
    <w:rsid w:val="001E7BF9"/>
    <w:rsid w:val="001E7CE9"/>
    <w:rsid w:val="001F0893"/>
    <w:rsid w:val="001F0DF4"/>
    <w:rsid w:val="001F14E6"/>
    <w:rsid w:val="001F174B"/>
    <w:rsid w:val="001F2A6E"/>
    <w:rsid w:val="001F2B03"/>
    <w:rsid w:val="001F2CE7"/>
    <w:rsid w:val="001F2D1E"/>
    <w:rsid w:val="001F31F0"/>
    <w:rsid w:val="001F3D4A"/>
    <w:rsid w:val="001F4398"/>
    <w:rsid w:val="001F55C1"/>
    <w:rsid w:val="001F5891"/>
    <w:rsid w:val="001F6C35"/>
    <w:rsid w:val="001F6EC8"/>
    <w:rsid w:val="001F6ECD"/>
    <w:rsid w:val="001F743B"/>
    <w:rsid w:val="002002C0"/>
    <w:rsid w:val="00200EC7"/>
    <w:rsid w:val="002012BB"/>
    <w:rsid w:val="00201757"/>
    <w:rsid w:val="00201DD5"/>
    <w:rsid w:val="0020386B"/>
    <w:rsid w:val="00204366"/>
    <w:rsid w:val="00204912"/>
    <w:rsid w:val="00204B39"/>
    <w:rsid w:val="00205070"/>
    <w:rsid w:val="00205BAD"/>
    <w:rsid w:val="00205C13"/>
    <w:rsid w:val="00205CD2"/>
    <w:rsid w:val="0020613F"/>
    <w:rsid w:val="00206D0A"/>
    <w:rsid w:val="002078DF"/>
    <w:rsid w:val="00210C0D"/>
    <w:rsid w:val="00210FF3"/>
    <w:rsid w:val="002110EB"/>
    <w:rsid w:val="00211291"/>
    <w:rsid w:val="0021173A"/>
    <w:rsid w:val="00211D59"/>
    <w:rsid w:val="0021207B"/>
    <w:rsid w:val="002121A4"/>
    <w:rsid w:val="00212800"/>
    <w:rsid w:val="002130AF"/>
    <w:rsid w:val="00213151"/>
    <w:rsid w:val="002134C9"/>
    <w:rsid w:val="00213570"/>
    <w:rsid w:val="00213784"/>
    <w:rsid w:val="00213FF4"/>
    <w:rsid w:val="0021452B"/>
    <w:rsid w:val="0021457F"/>
    <w:rsid w:val="00215290"/>
    <w:rsid w:val="002156F3"/>
    <w:rsid w:val="002157AA"/>
    <w:rsid w:val="002157D0"/>
    <w:rsid w:val="002158C8"/>
    <w:rsid w:val="00215AD2"/>
    <w:rsid w:val="0021627A"/>
    <w:rsid w:val="0021714C"/>
    <w:rsid w:val="00217947"/>
    <w:rsid w:val="00217DDD"/>
    <w:rsid w:val="002200B1"/>
    <w:rsid w:val="00221EDB"/>
    <w:rsid w:val="00222F9F"/>
    <w:rsid w:val="00223B13"/>
    <w:rsid w:val="00223F35"/>
    <w:rsid w:val="002242D6"/>
    <w:rsid w:val="00224699"/>
    <w:rsid w:val="00224E3A"/>
    <w:rsid w:val="00225604"/>
    <w:rsid w:val="0022570A"/>
    <w:rsid w:val="00225804"/>
    <w:rsid w:val="00225BF8"/>
    <w:rsid w:val="0022638A"/>
    <w:rsid w:val="00226531"/>
    <w:rsid w:val="00226831"/>
    <w:rsid w:val="00226E27"/>
    <w:rsid w:val="00226F5C"/>
    <w:rsid w:val="002273DA"/>
    <w:rsid w:val="0022763B"/>
    <w:rsid w:val="00227C39"/>
    <w:rsid w:val="002305D4"/>
    <w:rsid w:val="002308D4"/>
    <w:rsid w:val="0023132E"/>
    <w:rsid w:val="0023165D"/>
    <w:rsid w:val="00231C49"/>
    <w:rsid w:val="00231DD8"/>
    <w:rsid w:val="00232097"/>
    <w:rsid w:val="00232886"/>
    <w:rsid w:val="00232901"/>
    <w:rsid w:val="002330BE"/>
    <w:rsid w:val="002335DA"/>
    <w:rsid w:val="002338D5"/>
    <w:rsid w:val="00233B93"/>
    <w:rsid w:val="00233E12"/>
    <w:rsid w:val="002345DE"/>
    <w:rsid w:val="002347F5"/>
    <w:rsid w:val="00234859"/>
    <w:rsid w:val="00234C81"/>
    <w:rsid w:val="0023507D"/>
    <w:rsid w:val="002358A4"/>
    <w:rsid w:val="002359C6"/>
    <w:rsid w:val="0023671B"/>
    <w:rsid w:val="002367D2"/>
    <w:rsid w:val="00236A4F"/>
    <w:rsid w:val="00236C56"/>
    <w:rsid w:val="0023715A"/>
    <w:rsid w:val="00237CAE"/>
    <w:rsid w:val="00237E0E"/>
    <w:rsid w:val="00237E50"/>
    <w:rsid w:val="00240A2C"/>
    <w:rsid w:val="002410BD"/>
    <w:rsid w:val="002411F6"/>
    <w:rsid w:val="00241854"/>
    <w:rsid w:val="0024282D"/>
    <w:rsid w:val="00242D3D"/>
    <w:rsid w:val="00242EBE"/>
    <w:rsid w:val="00243E41"/>
    <w:rsid w:val="00244446"/>
    <w:rsid w:val="00244C9D"/>
    <w:rsid w:val="00245779"/>
    <w:rsid w:val="002458A9"/>
    <w:rsid w:val="00245FAD"/>
    <w:rsid w:val="00246471"/>
    <w:rsid w:val="002465E9"/>
    <w:rsid w:val="002465F8"/>
    <w:rsid w:val="002466BD"/>
    <w:rsid w:val="00246704"/>
    <w:rsid w:val="002469B5"/>
    <w:rsid w:val="002469F5"/>
    <w:rsid w:val="00246FC9"/>
    <w:rsid w:val="0024728B"/>
    <w:rsid w:val="00247575"/>
    <w:rsid w:val="002476FD"/>
    <w:rsid w:val="00247C34"/>
    <w:rsid w:val="002504CA"/>
    <w:rsid w:val="002505EF"/>
    <w:rsid w:val="002512F3"/>
    <w:rsid w:val="00251EBF"/>
    <w:rsid w:val="002528C9"/>
    <w:rsid w:val="00252E2A"/>
    <w:rsid w:val="00253C71"/>
    <w:rsid w:val="00253C95"/>
    <w:rsid w:val="00254526"/>
    <w:rsid w:val="00254A2A"/>
    <w:rsid w:val="00254B3F"/>
    <w:rsid w:val="002553F2"/>
    <w:rsid w:val="002558AB"/>
    <w:rsid w:val="002559C0"/>
    <w:rsid w:val="002560D1"/>
    <w:rsid w:val="002567BC"/>
    <w:rsid w:val="0025759F"/>
    <w:rsid w:val="00257672"/>
    <w:rsid w:val="00257816"/>
    <w:rsid w:val="002600EB"/>
    <w:rsid w:val="00260CD8"/>
    <w:rsid w:val="0026105B"/>
    <w:rsid w:val="00261A97"/>
    <w:rsid w:val="002632D9"/>
    <w:rsid w:val="002638E7"/>
    <w:rsid w:val="0026397C"/>
    <w:rsid w:val="00263AEF"/>
    <w:rsid w:val="002642AF"/>
    <w:rsid w:val="00264932"/>
    <w:rsid w:val="00264EF5"/>
    <w:rsid w:val="0026642F"/>
    <w:rsid w:val="0026680F"/>
    <w:rsid w:val="00266E6E"/>
    <w:rsid w:val="00267072"/>
    <w:rsid w:val="002674B7"/>
    <w:rsid w:val="00270585"/>
    <w:rsid w:val="00270778"/>
    <w:rsid w:val="00270A40"/>
    <w:rsid w:val="00270D09"/>
    <w:rsid w:val="00271151"/>
    <w:rsid w:val="00271913"/>
    <w:rsid w:val="0027248C"/>
    <w:rsid w:val="002727FF"/>
    <w:rsid w:val="00273005"/>
    <w:rsid w:val="002733B5"/>
    <w:rsid w:val="00273633"/>
    <w:rsid w:val="00273EFE"/>
    <w:rsid w:val="0027472C"/>
    <w:rsid w:val="00275686"/>
    <w:rsid w:val="00276119"/>
    <w:rsid w:val="00276160"/>
    <w:rsid w:val="00276824"/>
    <w:rsid w:val="00276A23"/>
    <w:rsid w:val="00276A35"/>
    <w:rsid w:val="002770B3"/>
    <w:rsid w:val="00277165"/>
    <w:rsid w:val="002771C1"/>
    <w:rsid w:val="00277431"/>
    <w:rsid w:val="0027773F"/>
    <w:rsid w:val="002777F4"/>
    <w:rsid w:val="00277D66"/>
    <w:rsid w:val="00280017"/>
    <w:rsid w:val="00280422"/>
    <w:rsid w:val="002806F3"/>
    <w:rsid w:val="002807D1"/>
    <w:rsid w:val="002808E9"/>
    <w:rsid w:val="00280A7B"/>
    <w:rsid w:val="00280B99"/>
    <w:rsid w:val="00280EC0"/>
    <w:rsid w:val="002810A0"/>
    <w:rsid w:val="00281515"/>
    <w:rsid w:val="00281F7E"/>
    <w:rsid w:val="002822C2"/>
    <w:rsid w:val="00282366"/>
    <w:rsid w:val="00282392"/>
    <w:rsid w:val="0028246D"/>
    <w:rsid w:val="002827D0"/>
    <w:rsid w:val="0028294B"/>
    <w:rsid w:val="00282D86"/>
    <w:rsid w:val="002833CD"/>
    <w:rsid w:val="00283499"/>
    <w:rsid w:val="00283ACC"/>
    <w:rsid w:val="0028482A"/>
    <w:rsid w:val="002872CD"/>
    <w:rsid w:val="0028742E"/>
    <w:rsid w:val="00287563"/>
    <w:rsid w:val="002878C0"/>
    <w:rsid w:val="00291824"/>
    <w:rsid w:val="00291F8D"/>
    <w:rsid w:val="0029244E"/>
    <w:rsid w:val="002930AE"/>
    <w:rsid w:val="002937EC"/>
    <w:rsid w:val="00294473"/>
    <w:rsid w:val="002963BE"/>
    <w:rsid w:val="00296535"/>
    <w:rsid w:val="0029691B"/>
    <w:rsid w:val="00296EE6"/>
    <w:rsid w:val="00297414"/>
    <w:rsid w:val="002974B2"/>
    <w:rsid w:val="002979EC"/>
    <w:rsid w:val="002A00E0"/>
    <w:rsid w:val="002A00E4"/>
    <w:rsid w:val="002A0C92"/>
    <w:rsid w:val="002A132B"/>
    <w:rsid w:val="002A1714"/>
    <w:rsid w:val="002A2021"/>
    <w:rsid w:val="002A20A2"/>
    <w:rsid w:val="002A2113"/>
    <w:rsid w:val="002A21B9"/>
    <w:rsid w:val="002A2228"/>
    <w:rsid w:val="002A2C07"/>
    <w:rsid w:val="002A2D46"/>
    <w:rsid w:val="002A2FB8"/>
    <w:rsid w:val="002A3227"/>
    <w:rsid w:val="002A322C"/>
    <w:rsid w:val="002A3A34"/>
    <w:rsid w:val="002A3AB1"/>
    <w:rsid w:val="002A3D1A"/>
    <w:rsid w:val="002A3F27"/>
    <w:rsid w:val="002A4195"/>
    <w:rsid w:val="002A448F"/>
    <w:rsid w:val="002A4FB2"/>
    <w:rsid w:val="002A5932"/>
    <w:rsid w:val="002A5B83"/>
    <w:rsid w:val="002A5E22"/>
    <w:rsid w:val="002A7057"/>
    <w:rsid w:val="002A72D6"/>
    <w:rsid w:val="002A7361"/>
    <w:rsid w:val="002A76AC"/>
    <w:rsid w:val="002B00AA"/>
    <w:rsid w:val="002B0737"/>
    <w:rsid w:val="002B119F"/>
    <w:rsid w:val="002B1653"/>
    <w:rsid w:val="002B1B82"/>
    <w:rsid w:val="002B1BE9"/>
    <w:rsid w:val="002B2034"/>
    <w:rsid w:val="002B2094"/>
    <w:rsid w:val="002B24F2"/>
    <w:rsid w:val="002B2A09"/>
    <w:rsid w:val="002B2F40"/>
    <w:rsid w:val="002B39F9"/>
    <w:rsid w:val="002B4B07"/>
    <w:rsid w:val="002B530F"/>
    <w:rsid w:val="002B5463"/>
    <w:rsid w:val="002B5498"/>
    <w:rsid w:val="002B5BB6"/>
    <w:rsid w:val="002B640A"/>
    <w:rsid w:val="002B670C"/>
    <w:rsid w:val="002B691F"/>
    <w:rsid w:val="002B7AC0"/>
    <w:rsid w:val="002B7D11"/>
    <w:rsid w:val="002C0033"/>
    <w:rsid w:val="002C055D"/>
    <w:rsid w:val="002C0590"/>
    <w:rsid w:val="002C0AED"/>
    <w:rsid w:val="002C1683"/>
    <w:rsid w:val="002C16C8"/>
    <w:rsid w:val="002C1EEE"/>
    <w:rsid w:val="002C2116"/>
    <w:rsid w:val="002C27EC"/>
    <w:rsid w:val="002C2A6E"/>
    <w:rsid w:val="002C2EA8"/>
    <w:rsid w:val="002C3359"/>
    <w:rsid w:val="002C34EE"/>
    <w:rsid w:val="002C3639"/>
    <w:rsid w:val="002C3911"/>
    <w:rsid w:val="002C395E"/>
    <w:rsid w:val="002C44DD"/>
    <w:rsid w:val="002C4536"/>
    <w:rsid w:val="002C4555"/>
    <w:rsid w:val="002C4558"/>
    <w:rsid w:val="002C507C"/>
    <w:rsid w:val="002C5441"/>
    <w:rsid w:val="002C574C"/>
    <w:rsid w:val="002C5DA0"/>
    <w:rsid w:val="002C5E58"/>
    <w:rsid w:val="002C6ACA"/>
    <w:rsid w:val="002C6EE9"/>
    <w:rsid w:val="002D0129"/>
    <w:rsid w:val="002D01A2"/>
    <w:rsid w:val="002D041A"/>
    <w:rsid w:val="002D0534"/>
    <w:rsid w:val="002D0947"/>
    <w:rsid w:val="002D2AD4"/>
    <w:rsid w:val="002D2B36"/>
    <w:rsid w:val="002D2D57"/>
    <w:rsid w:val="002D30ED"/>
    <w:rsid w:val="002D3164"/>
    <w:rsid w:val="002D3924"/>
    <w:rsid w:val="002D3F0E"/>
    <w:rsid w:val="002D4115"/>
    <w:rsid w:val="002D4B17"/>
    <w:rsid w:val="002D4C82"/>
    <w:rsid w:val="002D4FAB"/>
    <w:rsid w:val="002D4FD1"/>
    <w:rsid w:val="002D5016"/>
    <w:rsid w:val="002D60C3"/>
    <w:rsid w:val="002D613F"/>
    <w:rsid w:val="002D6B89"/>
    <w:rsid w:val="002D74F2"/>
    <w:rsid w:val="002D767F"/>
    <w:rsid w:val="002D773E"/>
    <w:rsid w:val="002E025F"/>
    <w:rsid w:val="002E0C34"/>
    <w:rsid w:val="002E1196"/>
    <w:rsid w:val="002E12D3"/>
    <w:rsid w:val="002E13E8"/>
    <w:rsid w:val="002E1960"/>
    <w:rsid w:val="002E1A08"/>
    <w:rsid w:val="002E1C26"/>
    <w:rsid w:val="002E269A"/>
    <w:rsid w:val="002E2D90"/>
    <w:rsid w:val="002E2DEC"/>
    <w:rsid w:val="002E2F23"/>
    <w:rsid w:val="002E3B20"/>
    <w:rsid w:val="002E3B6D"/>
    <w:rsid w:val="002E63A1"/>
    <w:rsid w:val="002E6B87"/>
    <w:rsid w:val="002E7061"/>
    <w:rsid w:val="002E7245"/>
    <w:rsid w:val="002E79EB"/>
    <w:rsid w:val="002F0930"/>
    <w:rsid w:val="002F0C66"/>
    <w:rsid w:val="002F0D90"/>
    <w:rsid w:val="002F1289"/>
    <w:rsid w:val="002F1492"/>
    <w:rsid w:val="002F1775"/>
    <w:rsid w:val="002F199A"/>
    <w:rsid w:val="002F1D7B"/>
    <w:rsid w:val="002F2E0A"/>
    <w:rsid w:val="002F375B"/>
    <w:rsid w:val="002F420E"/>
    <w:rsid w:val="002F429A"/>
    <w:rsid w:val="002F4433"/>
    <w:rsid w:val="002F4D86"/>
    <w:rsid w:val="002F4F3C"/>
    <w:rsid w:val="002F5BC6"/>
    <w:rsid w:val="002F5D2A"/>
    <w:rsid w:val="002F75A0"/>
    <w:rsid w:val="002F767F"/>
    <w:rsid w:val="0030009E"/>
    <w:rsid w:val="003000AE"/>
    <w:rsid w:val="00300646"/>
    <w:rsid w:val="00300649"/>
    <w:rsid w:val="00301472"/>
    <w:rsid w:val="0030182A"/>
    <w:rsid w:val="0030189E"/>
    <w:rsid w:val="00301E2F"/>
    <w:rsid w:val="003021B7"/>
    <w:rsid w:val="00302297"/>
    <w:rsid w:val="00302AF2"/>
    <w:rsid w:val="00302CF5"/>
    <w:rsid w:val="00302D68"/>
    <w:rsid w:val="003032CB"/>
    <w:rsid w:val="003033AB"/>
    <w:rsid w:val="00304204"/>
    <w:rsid w:val="00304883"/>
    <w:rsid w:val="00304C9C"/>
    <w:rsid w:val="0030594A"/>
    <w:rsid w:val="0030715D"/>
    <w:rsid w:val="0030750C"/>
    <w:rsid w:val="00307D6C"/>
    <w:rsid w:val="0031031C"/>
    <w:rsid w:val="00310556"/>
    <w:rsid w:val="00310FD6"/>
    <w:rsid w:val="003110EF"/>
    <w:rsid w:val="0031127F"/>
    <w:rsid w:val="00311625"/>
    <w:rsid w:val="00312001"/>
    <w:rsid w:val="00312781"/>
    <w:rsid w:val="00313CDA"/>
    <w:rsid w:val="003145DD"/>
    <w:rsid w:val="003147DD"/>
    <w:rsid w:val="0031495A"/>
    <w:rsid w:val="00314F4E"/>
    <w:rsid w:val="00315998"/>
    <w:rsid w:val="00315A3A"/>
    <w:rsid w:val="00316728"/>
    <w:rsid w:val="00316A6A"/>
    <w:rsid w:val="00316DC2"/>
    <w:rsid w:val="00317595"/>
    <w:rsid w:val="003177A4"/>
    <w:rsid w:val="00317A80"/>
    <w:rsid w:val="00317B9D"/>
    <w:rsid w:val="00320C94"/>
    <w:rsid w:val="00320EC6"/>
    <w:rsid w:val="0032104A"/>
    <w:rsid w:val="00321D76"/>
    <w:rsid w:val="00321E75"/>
    <w:rsid w:val="00322144"/>
    <w:rsid w:val="0032216D"/>
    <w:rsid w:val="00322432"/>
    <w:rsid w:val="00322639"/>
    <w:rsid w:val="00322976"/>
    <w:rsid w:val="00322A3E"/>
    <w:rsid w:val="00322E7F"/>
    <w:rsid w:val="00323C3F"/>
    <w:rsid w:val="0032425D"/>
    <w:rsid w:val="00324371"/>
    <w:rsid w:val="00324549"/>
    <w:rsid w:val="003249E6"/>
    <w:rsid w:val="00325BE1"/>
    <w:rsid w:val="00325CEA"/>
    <w:rsid w:val="0032600E"/>
    <w:rsid w:val="003261B2"/>
    <w:rsid w:val="00326586"/>
    <w:rsid w:val="0032693A"/>
    <w:rsid w:val="00326A94"/>
    <w:rsid w:val="00326B81"/>
    <w:rsid w:val="00326FB7"/>
    <w:rsid w:val="003275E5"/>
    <w:rsid w:val="0032795A"/>
    <w:rsid w:val="00327A6D"/>
    <w:rsid w:val="00330512"/>
    <w:rsid w:val="00331086"/>
    <w:rsid w:val="0033130E"/>
    <w:rsid w:val="00331794"/>
    <w:rsid w:val="00331899"/>
    <w:rsid w:val="00331BD0"/>
    <w:rsid w:val="00331DBD"/>
    <w:rsid w:val="00332462"/>
    <w:rsid w:val="003325BB"/>
    <w:rsid w:val="00332B9C"/>
    <w:rsid w:val="003330DD"/>
    <w:rsid w:val="00333216"/>
    <w:rsid w:val="00334F44"/>
    <w:rsid w:val="00335040"/>
    <w:rsid w:val="003352BF"/>
    <w:rsid w:val="00335496"/>
    <w:rsid w:val="003356A7"/>
    <w:rsid w:val="0033571B"/>
    <w:rsid w:val="003363FF"/>
    <w:rsid w:val="0033658B"/>
    <w:rsid w:val="00336946"/>
    <w:rsid w:val="00336C7F"/>
    <w:rsid w:val="00336D7F"/>
    <w:rsid w:val="00336F9C"/>
    <w:rsid w:val="0033712F"/>
    <w:rsid w:val="00337749"/>
    <w:rsid w:val="003378C1"/>
    <w:rsid w:val="00337CF3"/>
    <w:rsid w:val="00337F6E"/>
    <w:rsid w:val="003400F9"/>
    <w:rsid w:val="003406A6"/>
    <w:rsid w:val="00340813"/>
    <w:rsid w:val="00340CE2"/>
    <w:rsid w:val="003412A1"/>
    <w:rsid w:val="00341828"/>
    <w:rsid w:val="00342B15"/>
    <w:rsid w:val="0034300F"/>
    <w:rsid w:val="00343832"/>
    <w:rsid w:val="00343E31"/>
    <w:rsid w:val="00343FB7"/>
    <w:rsid w:val="003445B2"/>
    <w:rsid w:val="00344C71"/>
    <w:rsid w:val="00345942"/>
    <w:rsid w:val="00345EC8"/>
    <w:rsid w:val="00346125"/>
    <w:rsid w:val="00346257"/>
    <w:rsid w:val="00346714"/>
    <w:rsid w:val="003471A5"/>
    <w:rsid w:val="0034727B"/>
    <w:rsid w:val="00347702"/>
    <w:rsid w:val="003478B7"/>
    <w:rsid w:val="00350478"/>
    <w:rsid w:val="00350F0F"/>
    <w:rsid w:val="003515AF"/>
    <w:rsid w:val="00351937"/>
    <w:rsid w:val="00351DB8"/>
    <w:rsid w:val="00351DBE"/>
    <w:rsid w:val="00351F88"/>
    <w:rsid w:val="00352104"/>
    <w:rsid w:val="00352C6D"/>
    <w:rsid w:val="00352CF3"/>
    <w:rsid w:val="00353132"/>
    <w:rsid w:val="003539D8"/>
    <w:rsid w:val="00353B2C"/>
    <w:rsid w:val="00353CDA"/>
    <w:rsid w:val="003543C5"/>
    <w:rsid w:val="00354926"/>
    <w:rsid w:val="00354B04"/>
    <w:rsid w:val="0035506D"/>
    <w:rsid w:val="003556DA"/>
    <w:rsid w:val="0035620D"/>
    <w:rsid w:val="00356A3D"/>
    <w:rsid w:val="00357763"/>
    <w:rsid w:val="003577CB"/>
    <w:rsid w:val="00357F06"/>
    <w:rsid w:val="00360453"/>
    <w:rsid w:val="003612A0"/>
    <w:rsid w:val="003613E4"/>
    <w:rsid w:val="00361831"/>
    <w:rsid w:val="00362D6F"/>
    <w:rsid w:val="0036316F"/>
    <w:rsid w:val="00364910"/>
    <w:rsid w:val="003653BC"/>
    <w:rsid w:val="00365A10"/>
    <w:rsid w:val="00365E2A"/>
    <w:rsid w:val="00365EB1"/>
    <w:rsid w:val="003663AF"/>
    <w:rsid w:val="00366679"/>
    <w:rsid w:val="003669EB"/>
    <w:rsid w:val="00367117"/>
    <w:rsid w:val="0036715D"/>
    <w:rsid w:val="003675B7"/>
    <w:rsid w:val="00367760"/>
    <w:rsid w:val="00370385"/>
    <w:rsid w:val="0037061D"/>
    <w:rsid w:val="00370622"/>
    <w:rsid w:val="003707B1"/>
    <w:rsid w:val="003709CC"/>
    <w:rsid w:val="00370C73"/>
    <w:rsid w:val="003713E1"/>
    <w:rsid w:val="0037189A"/>
    <w:rsid w:val="00371F17"/>
    <w:rsid w:val="00371F36"/>
    <w:rsid w:val="00372E17"/>
    <w:rsid w:val="00373506"/>
    <w:rsid w:val="00373E44"/>
    <w:rsid w:val="00374192"/>
    <w:rsid w:val="003749B6"/>
    <w:rsid w:val="003751A1"/>
    <w:rsid w:val="003752BD"/>
    <w:rsid w:val="00375FF2"/>
    <w:rsid w:val="00375FFD"/>
    <w:rsid w:val="003765EE"/>
    <w:rsid w:val="003766D1"/>
    <w:rsid w:val="00376F5C"/>
    <w:rsid w:val="00377AFD"/>
    <w:rsid w:val="0038099E"/>
    <w:rsid w:val="00380E1B"/>
    <w:rsid w:val="00380E2A"/>
    <w:rsid w:val="00380F32"/>
    <w:rsid w:val="00381315"/>
    <w:rsid w:val="00381470"/>
    <w:rsid w:val="00381B0A"/>
    <w:rsid w:val="00381DF8"/>
    <w:rsid w:val="0038215B"/>
    <w:rsid w:val="0038292E"/>
    <w:rsid w:val="00382975"/>
    <w:rsid w:val="00382EE5"/>
    <w:rsid w:val="0038395A"/>
    <w:rsid w:val="00384887"/>
    <w:rsid w:val="003852D1"/>
    <w:rsid w:val="0038534B"/>
    <w:rsid w:val="003854B1"/>
    <w:rsid w:val="003868FB"/>
    <w:rsid w:val="00386BDB"/>
    <w:rsid w:val="0038724C"/>
    <w:rsid w:val="00387417"/>
    <w:rsid w:val="0039003E"/>
    <w:rsid w:val="003900ED"/>
    <w:rsid w:val="00390138"/>
    <w:rsid w:val="0039045B"/>
    <w:rsid w:val="003905AE"/>
    <w:rsid w:val="00390AEC"/>
    <w:rsid w:val="003911FC"/>
    <w:rsid w:val="003912E8"/>
    <w:rsid w:val="003913CD"/>
    <w:rsid w:val="0039153E"/>
    <w:rsid w:val="003917FC"/>
    <w:rsid w:val="00391E2C"/>
    <w:rsid w:val="0039212C"/>
    <w:rsid w:val="00392144"/>
    <w:rsid w:val="0039264F"/>
    <w:rsid w:val="00392C3F"/>
    <w:rsid w:val="003930D4"/>
    <w:rsid w:val="00393860"/>
    <w:rsid w:val="00393BE5"/>
    <w:rsid w:val="003943D4"/>
    <w:rsid w:val="00395558"/>
    <w:rsid w:val="00395621"/>
    <w:rsid w:val="00395BD6"/>
    <w:rsid w:val="00395C88"/>
    <w:rsid w:val="00395FBF"/>
    <w:rsid w:val="0039635A"/>
    <w:rsid w:val="00396468"/>
    <w:rsid w:val="0039688E"/>
    <w:rsid w:val="00396AD9"/>
    <w:rsid w:val="00396DFF"/>
    <w:rsid w:val="00396E5E"/>
    <w:rsid w:val="00397724"/>
    <w:rsid w:val="00397D8E"/>
    <w:rsid w:val="003A0894"/>
    <w:rsid w:val="003A12E4"/>
    <w:rsid w:val="003A16AD"/>
    <w:rsid w:val="003A1EFD"/>
    <w:rsid w:val="003A35ED"/>
    <w:rsid w:val="003A387B"/>
    <w:rsid w:val="003A3C19"/>
    <w:rsid w:val="003A3FE3"/>
    <w:rsid w:val="003A48A6"/>
    <w:rsid w:val="003A4A44"/>
    <w:rsid w:val="003A4B48"/>
    <w:rsid w:val="003A5062"/>
    <w:rsid w:val="003A5E6C"/>
    <w:rsid w:val="003A6356"/>
    <w:rsid w:val="003A665B"/>
    <w:rsid w:val="003A744F"/>
    <w:rsid w:val="003A79A4"/>
    <w:rsid w:val="003A7C60"/>
    <w:rsid w:val="003B0778"/>
    <w:rsid w:val="003B0A4A"/>
    <w:rsid w:val="003B0DA0"/>
    <w:rsid w:val="003B0EFA"/>
    <w:rsid w:val="003B146F"/>
    <w:rsid w:val="003B1BDD"/>
    <w:rsid w:val="003B225B"/>
    <w:rsid w:val="003B2814"/>
    <w:rsid w:val="003B2A14"/>
    <w:rsid w:val="003B302F"/>
    <w:rsid w:val="003B31D7"/>
    <w:rsid w:val="003B3BE1"/>
    <w:rsid w:val="003B4520"/>
    <w:rsid w:val="003B46B3"/>
    <w:rsid w:val="003B54DB"/>
    <w:rsid w:val="003B5BF1"/>
    <w:rsid w:val="003B602C"/>
    <w:rsid w:val="003B60E9"/>
    <w:rsid w:val="003B632E"/>
    <w:rsid w:val="003B6AE2"/>
    <w:rsid w:val="003B76E7"/>
    <w:rsid w:val="003B7A41"/>
    <w:rsid w:val="003B7D0D"/>
    <w:rsid w:val="003C0317"/>
    <w:rsid w:val="003C0354"/>
    <w:rsid w:val="003C0643"/>
    <w:rsid w:val="003C07E5"/>
    <w:rsid w:val="003C19FD"/>
    <w:rsid w:val="003C3102"/>
    <w:rsid w:val="003C4347"/>
    <w:rsid w:val="003C4407"/>
    <w:rsid w:val="003C4AB0"/>
    <w:rsid w:val="003C55D2"/>
    <w:rsid w:val="003C61A6"/>
    <w:rsid w:val="003C61C8"/>
    <w:rsid w:val="003C63E1"/>
    <w:rsid w:val="003C7319"/>
    <w:rsid w:val="003C756E"/>
    <w:rsid w:val="003C77BC"/>
    <w:rsid w:val="003C7D36"/>
    <w:rsid w:val="003D0977"/>
    <w:rsid w:val="003D0E65"/>
    <w:rsid w:val="003D0F0C"/>
    <w:rsid w:val="003D10A3"/>
    <w:rsid w:val="003D159B"/>
    <w:rsid w:val="003D1CBF"/>
    <w:rsid w:val="003D2A85"/>
    <w:rsid w:val="003D2B81"/>
    <w:rsid w:val="003D2CAB"/>
    <w:rsid w:val="003D33BD"/>
    <w:rsid w:val="003D3BB5"/>
    <w:rsid w:val="003D3EF7"/>
    <w:rsid w:val="003D4147"/>
    <w:rsid w:val="003D4477"/>
    <w:rsid w:val="003D4520"/>
    <w:rsid w:val="003D4A63"/>
    <w:rsid w:val="003D4C88"/>
    <w:rsid w:val="003D5591"/>
    <w:rsid w:val="003D5F1E"/>
    <w:rsid w:val="003D6956"/>
    <w:rsid w:val="003D6E5C"/>
    <w:rsid w:val="003D72A6"/>
    <w:rsid w:val="003D73B8"/>
    <w:rsid w:val="003D7858"/>
    <w:rsid w:val="003D7E30"/>
    <w:rsid w:val="003E019C"/>
    <w:rsid w:val="003E04C5"/>
    <w:rsid w:val="003E05E1"/>
    <w:rsid w:val="003E0986"/>
    <w:rsid w:val="003E0A23"/>
    <w:rsid w:val="003E0DA7"/>
    <w:rsid w:val="003E0DD0"/>
    <w:rsid w:val="003E25AC"/>
    <w:rsid w:val="003E263F"/>
    <w:rsid w:val="003E266D"/>
    <w:rsid w:val="003E331C"/>
    <w:rsid w:val="003E363D"/>
    <w:rsid w:val="003E3A55"/>
    <w:rsid w:val="003E3FB9"/>
    <w:rsid w:val="003E4A02"/>
    <w:rsid w:val="003E514B"/>
    <w:rsid w:val="003E66D2"/>
    <w:rsid w:val="003E7264"/>
    <w:rsid w:val="003E72B1"/>
    <w:rsid w:val="003E75E0"/>
    <w:rsid w:val="003E7D26"/>
    <w:rsid w:val="003E7DF1"/>
    <w:rsid w:val="003F0703"/>
    <w:rsid w:val="003F0955"/>
    <w:rsid w:val="003F0A37"/>
    <w:rsid w:val="003F20B8"/>
    <w:rsid w:val="003F2861"/>
    <w:rsid w:val="003F29AF"/>
    <w:rsid w:val="003F2FB0"/>
    <w:rsid w:val="003F3F4B"/>
    <w:rsid w:val="003F3F5F"/>
    <w:rsid w:val="003F47B9"/>
    <w:rsid w:val="003F4874"/>
    <w:rsid w:val="003F48DA"/>
    <w:rsid w:val="003F4DE7"/>
    <w:rsid w:val="003F5028"/>
    <w:rsid w:val="003F5A8C"/>
    <w:rsid w:val="003F62E7"/>
    <w:rsid w:val="003F6EAA"/>
    <w:rsid w:val="003F7024"/>
    <w:rsid w:val="003F7155"/>
    <w:rsid w:val="00400112"/>
    <w:rsid w:val="00400C59"/>
    <w:rsid w:val="00400D03"/>
    <w:rsid w:val="00400F19"/>
    <w:rsid w:val="004018E5"/>
    <w:rsid w:val="00402C9C"/>
    <w:rsid w:val="00403015"/>
    <w:rsid w:val="00403D53"/>
    <w:rsid w:val="00404247"/>
    <w:rsid w:val="00404416"/>
    <w:rsid w:val="00404C02"/>
    <w:rsid w:val="00405AB2"/>
    <w:rsid w:val="00406206"/>
    <w:rsid w:val="00406215"/>
    <w:rsid w:val="0040635C"/>
    <w:rsid w:val="00407776"/>
    <w:rsid w:val="00407872"/>
    <w:rsid w:val="0041039E"/>
    <w:rsid w:val="0041093D"/>
    <w:rsid w:val="00410C38"/>
    <w:rsid w:val="00410C46"/>
    <w:rsid w:val="00410E0D"/>
    <w:rsid w:val="004112A2"/>
    <w:rsid w:val="00411891"/>
    <w:rsid w:val="0041191C"/>
    <w:rsid w:val="004128A1"/>
    <w:rsid w:val="00412CC7"/>
    <w:rsid w:val="00412D9D"/>
    <w:rsid w:val="0041341E"/>
    <w:rsid w:val="00413A80"/>
    <w:rsid w:val="00414137"/>
    <w:rsid w:val="004142E0"/>
    <w:rsid w:val="00414672"/>
    <w:rsid w:val="00414BBA"/>
    <w:rsid w:val="00414D78"/>
    <w:rsid w:val="0041513E"/>
    <w:rsid w:val="00416427"/>
    <w:rsid w:val="004171D4"/>
    <w:rsid w:val="0041746A"/>
    <w:rsid w:val="00417534"/>
    <w:rsid w:val="00420BD1"/>
    <w:rsid w:val="00420E19"/>
    <w:rsid w:val="004211AF"/>
    <w:rsid w:val="0042184D"/>
    <w:rsid w:val="004218E9"/>
    <w:rsid w:val="00421A64"/>
    <w:rsid w:val="00421B43"/>
    <w:rsid w:val="00422065"/>
    <w:rsid w:val="00422C98"/>
    <w:rsid w:val="00422D99"/>
    <w:rsid w:val="004232A4"/>
    <w:rsid w:val="0042343F"/>
    <w:rsid w:val="00423754"/>
    <w:rsid w:val="00424552"/>
    <w:rsid w:val="0042496C"/>
    <w:rsid w:val="004249EB"/>
    <w:rsid w:val="00425622"/>
    <w:rsid w:val="004256A4"/>
    <w:rsid w:val="00426A08"/>
    <w:rsid w:val="004272DB"/>
    <w:rsid w:val="00427DF9"/>
    <w:rsid w:val="004304D2"/>
    <w:rsid w:val="004310D9"/>
    <w:rsid w:val="004311CC"/>
    <w:rsid w:val="004313B0"/>
    <w:rsid w:val="0043163F"/>
    <w:rsid w:val="00431A86"/>
    <w:rsid w:val="00431B29"/>
    <w:rsid w:val="00431BB3"/>
    <w:rsid w:val="00431D4B"/>
    <w:rsid w:val="00432319"/>
    <w:rsid w:val="0043255A"/>
    <w:rsid w:val="0043264A"/>
    <w:rsid w:val="0043286B"/>
    <w:rsid w:val="0043297D"/>
    <w:rsid w:val="0043307B"/>
    <w:rsid w:val="0043395D"/>
    <w:rsid w:val="00433E6C"/>
    <w:rsid w:val="00433FD7"/>
    <w:rsid w:val="00434A37"/>
    <w:rsid w:val="00434B92"/>
    <w:rsid w:val="004355F8"/>
    <w:rsid w:val="00435F57"/>
    <w:rsid w:val="00436548"/>
    <w:rsid w:val="0043720C"/>
    <w:rsid w:val="004374BC"/>
    <w:rsid w:val="004379D2"/>
    <w:rsid w:val="004379EB"/>
    <w:rsid w:val="00437C8F"/>
    <w:rsid w:val="0044035A"/>
    <w:rsid w:val="004405D1"/>
    <w:rsid w:val="0044078F"/>
    <w:rsid w:val="00440BB5"/>
    <w:rsid w:val="00441168"/>
    <w:rsid w:val="004428FC"/>
    <w:rsid w:val="00442B8C"/>
    <w:rsid w:val="004432F8"/>
    <w:rsid w:val="0044437B"/>
    <w:rsid w:val="00444ABB"/>
    <w:rsid w:val="00444E6E"/>
    <w:rsid w:val="004457AB"/>
    <w:rsid w:val="004457ED"/>
    <w:rsid w:val="004459DD"/>
    <w:rsid w:val="00445C6E"/>
    <w:rsid w:val="00445D00"/>
    <w:rsid w:val="0044641B"/>
    <w:rsid w:val="004465F4"/>
    <w:rsid w:val="004467C7"/>
    <w:rsid w:val="0044687C"/>
    <w:rsid w:val="00446EF5"/>
    <w:rsid w:val="0044760E"/>
    <w:rsid w:val="0045009A"/>
    <w:rsid w:val="00450441"/>
    <w:rsid w:val="00450A21"/>
    <w:rsid w:val="00450C9E"/>
    <w:rsid w:val="00450E02"/>
    <w:rsid w:val="00451553"/>
    <w:rsid w:val="004518F6"/>
    <w:rsid w:val="00452203"/>
    <w:rsid w:val="0045292C"/>
    <w:rsid w:val="00452F41"/>
    <w:rsid w:val="004531B8"/>
    <w:rsid w:val="0045338D"/>
    <w:rsid w:val="0045416A"/>
    <w:rsid w:val="00454A9B"/>
    <w:rsid w:val="00454ECB"/>
    <w:rsid w:val="0045566D"/>
    <w:rsid w:val="004558D4"/>
    <w:rsid w:val="00455953"/>
    <w:rsid w:val="00455AA1"/>
    <w:rsid w:val="00455B50"/>
    <w:rsid w:val="004574B0"/>
    <w:rsid w:val="004577D3"/>
    <w:rsid w:val="00457A43"/>
    <w:rsid w:val="004605E0"/>
    <w:rsid w:val="0046088E"/>
    <w:rsid w:val="00460D33"/>
    <w:rsid w:val="00460DB1"/>
    <w:rsid w:val="004611EE"/>
    <w:rsid w:val="0046149F"/>
    <w:rsid w:val="00461540"/>
    <w:rsid w:val="00461A16"/>
    <w:rsid w:val="00461E35"/>
    <w:rsid w:val="00462FE5"/>
    <w:rsid w:val="0046322B"/>
    <w:rsid w:val="00463ECA"/>
    <w:rsid w:val="00464660"/>
    <w:rsid w:val="00465640"/>
    <w:rsid w:val="00465A42"/>
    <w:rsid w:val="00466002"/>
    <w:rsid w:val="004662D8"/>
    <w:rsid w:val="0046647D"/>
    <w:rsid w:val="00466BAE"/>
    <w:rsid w:val="00466FBF"/>
    <w:rsid w:val="00467AA6"/>
    <w:rsid w:val="00467F73"/>
    <w:rsid w:val="004700AB"/>
    <w:rsid w:val="0047052C"/>
    <w:rsid w:val="0047052D"/>
    <w:rsid w:val="00470B54"/>
    <w:rsid w:val="0047106C"/>
    <w:rsid w:val="00471142"/>
    <w:rsid w:val="0047186F"/>
    <w:rsid w:val="00471CDA"/>
    <w:rsid w:val="0047246A"/>
    <w:rsid w:val="0047265E"/>
    <w:rsid w:val="00472714"/>
    <w:rsid w:val="004728F2"/>
    <w:rsid w:val="00472DAC"/>
    <w:rsid w:val="004730F6"/>
    <w:rsid w:val="00473342"/>
    <w:rsid w:val="00473A67"/>
    <w:rsid w:val="004742B4"/>
    <w:rsid w:val="004742B8"/>
    <w:rsid w:val="00474384"/>
    <w:rsid w:val="00474D7A"/>
    <w:rsid w:val="00475980"/>
    <w:rsid w:val="00475C9C"/>
    <w:rsid w:val="00475DFA"/>
    <w:rsid w:val="00475E2B"/>
    <w:rsid w:val="00476063"/>
    <w:rsid w:val="00476A79"/>
    <w:rsid w:val="00477766"/>
    <w:rsid w:val="00477AAC"/>
    <w:rsid w:val="004801DD"/>
    <w:rsid w:val="00480D13"/>
    <w:rsid w:val="00481B64"/>
    <w:rsid w:val="00481FB2"/>
    <w:rsid w:val="0048206D"/>
    <w:rsid w:val="004828BF"/>
    <w:rsid w:val="00482AEA"/>
    <w:rsid w:val="00482F0B"/>
    <w:rsid w:val="0048322F"/>
    <w:rsid w:val="00483AD4"/>
    <w:rsid w:val="00483E1D"/>
    <w:rsid w:val="00484352"/>
    <w:rsid w:val="0048489C"/>
    <w:rsid w:val="004848FD"/>
    <w:rsid w:val="00484F37"/>
    <w:rsid w:val="00484FC1"/>
    <w:rsid w:val="0048518C"/>
    <w:rsid w:val="00486EEA"/>
    <w:rsid w:val="0048707A"/>
    <w:rsid w:val="00487ADA"/>
    <w:rsid w:val="00487C77"/>
    <w:rsid w:val="00487F08"/>
    <w:rsid w:val="0049095E"/>
    <w:rsid w:val="00491AC6"/>
    <w:rsid w:val="00492992"/>
    <w:rsid w:val="004934BD"/>
    <w:rsid w:val="004938EC"/>
    <w:rsid w:val="0049426E"/>
    <w:rsid w:val="00494B65"/>
    <w:rsid w:val="0049586C"/>
    <w:rsid w:val="004958EE"/>
    <w:rsid w:val="00495A46"/>
    <w:rsid w:val="00495DDD"/>
    <w:rsid w:val="0049605A"/>
    <w:rsid w:val="00496422"/>
    <w:rsid w:val="00496544"/>
    <w:rsid w:val="00496FDE"/>
    <w:rsid w:val="00497349"/>
    <w:rsid w:val="0049793B"/>
    <w:rsid w:val="00497A77"/>
    <w:rsid w:val="00497C93"/>
    <w:rsid w:val="00497CF3"/>
    <w:rsid w:val="004A014E"/>
    <w:rsid w:val="004A03BA"/>
    <w:rsid w:val="004A0B68"/>
    <w:rsid w:val="004A1377"/>
    <w:rsid w:val="004A1F26"/>
    <w:rsid w:val="004A22DF"/>
    <w:rsid w:val="004A2406"/>
    <w:rsid w:val="004A240B"/>
    <w:rsid w:val="004A2932"/>
    <w:rsid w:val="004A29E3"/>
    <w:rsid w:val="004A2B0A"/>
    <w:rsid w:val="004A35BE"/>
    <w:rsid w:val="004A3781"/>
    <w:rsid w:val="004A387C"/>
    <w:rsid w:val="004A3BC1"/>
    <w:rsid w:val="004A3C8D"/>
    <w:rsid w:val="004A3E27"/>
    <w:rsid w:val="004A3E93"/>
    <w:rsid w:val="004A4B0D"/>
    <w:rsid w:val="004A5136"/>
    <w:rsid w:val="004A5180"/>
    <w:rsid w:val="004A5334"/>
    <w:rsid w:val="004A6D40"/>
    <w:rsid w:val="004A6DD4"/>
    <w:rsid w:val="004A6E54"/>
    <w:rsid w:val="004A6FC9"/>
    <w:rsid w:val="004A747B"/>
    <w:rsid w:val="004A7803"/>
    <w:rsid w:val="004A78AC"/>
    <w:rsid w:val="004A7D8B"/>
    <w:rsid w:val="004B0169"/>
    <w:rsid w:val="004B0AF0"/>
    <w:rsid w:val="004B0DD0"/>
    <w:rsid w:val="004B15C7"/>
    <w:rsid w:val="004B17B1"/>
    <w:rsid w:val="004B1CEF"/>
    <w:rsid w:val="004B1EBA"/>
    <w:rsid w:val="004B1F32"/>
    <w:rsid w:val="004B29E0"/>
    <w:rsid w:val="004B2C83"/>
    <w:rsid w:val="004B32DE"/>
    <w:rsid w:val="004B347D"/>
    <w:rsid w:val="004B451D"/>
    <w:rsid w:val="004B4907"/>
    <w:rsid w:val="004B4B17"/>
    <w:rsid w:val="004B5156"/>
    <w:rsid w:val="004B5372"/>
    <w:rsid w:val="004B5441"/>
    <w:rsid w:val="004B5ACA"/>
    <w:rsid w:val="004B5B23"/>
    <w:rsid w:val="004B5B98"/>
    <w:rsid w:val="004B7524"/>
    <w:rsid w:val="004B7EE1"/>
    <w:rsid w:val="004C024D"/>
    <w:rsid w:val="004C10B9"/>
    <w:rsid w:val="004C12AB"/>
    <w:rsid w:val="004C15C8"/>
    <w:rsid w:val="004C16B8"/>
    <w:rsid w:val="004C238E"/>
    <w:rsid w:val="004C2BA7"/>
    <w:rsid w:val="004C317F"/>
    <w:rsid w:val="004C335E"/>
    <w:rsid w:val="004C3FA2"/>
    <w:rsid w:val="004C4529"/>
    <w:rsid w:val="004C4559"/>
    <w:rsid w:val="004C4AB9"/>
    <w:rsid w:val="004C4E79"/>
    <w:rsid w:val="004C57AC"/>
    <w:rsid w:val="004C5F45"/>
    <w:rsid w:val="004C5F78"/>
    <w:rsid w:val="004C602A"/>
    <w:rsid w:val="004C6A64"/>
    <w:rsid w:val="004C6D28"/>
    <w:rsid w:val="004C7073"/>
    <w:rsid w:val="004C721A"/>
    <w:rsid w:val="004C728D"/>
    <w:rsid w:val="004C7320"/>
    <w:rsid w:val="004C768E"/>
    <w:rsid w:val="004C77BC"/>
    <w:rsid w:val="004C7AC8"/>
    <w:rsid w:val="004D000F"/>
    <w:rsid w:val="004D0753"/>
    <w:rsid w:val="004D08BA"/>
    <w:rsid w:val="004D0964"/>
    <w:rsid w:val="004D1114"/>
    <w:rsid w:val="004D1251"/>
    <w:rsid w:val="004D135F"/>
    <w:rsid w:val="004D15B5"/>
    <w:rsid w:val="004D1A0C"/>
    <w:rsid w:val="004D1B21"/>
    <w:rsid w:val="004D1DB1"/>
    <w:rsid w:val="004D311C"/>
    <w:rsid w:val="004D3C78"/>
    <w:rsid w:val="004D414E"/>
    <w:rsid w:val="004D52DA"/>
    <w:rsid w:val="004D5994"/>
    <w:rsid w:val="004D5D08"/>
    <w:rsid w:val="004D602D"/>
    <w:rsid w:val="004D647D"/>
    <w:rsid w:val="004D722A"/>
    <w:rsid w:val="004D7D0A"/>
    <w:rsid w:val="004E0282"/>
    <w:rsid w:val="004E05AA"/>
    <w:rsid w:val="004E0CBE"/>
    <w:rsid w:val="004E1C62"/>
    <w:rsid w:val="004E217A"/>
    <w:rsid w:val="004E220A"/>
    <w:rsid w:val="004E250B"/>
    <w:rsid w:val="004E2606"/>
    <w:rsid w:val="004E308F"/>
    <w:rsid w:val="004E309E"/>
    <w:rsid w:val="004E3437"/>
    <w:rsid w:val="004E3F9E"/>
    <w:rsid w:val="004E419F"/>
    <w:rsid w:val="004E468E"/>
    <w:rsid w:val="004E4792"/>
    <w:rsid w:val="004E5BCA"/>
    <w:rsid w:val="004E5EFE"/>
    <w:rsid w:val="004E6967"/>
    <w:rsid w:val="004E7BB0"/>
    <w:rsid w:val="004E7E3F"/>
    <w:rsid w:val="004E7EBB"/>
    <w:rsid w:val="004E7ED1"/>
    <w:rsid w:val="004F08A6"/>
    <w:rsid w:val="004F091C"/>
    <w:rsid w:val="004F1103"/>
    <w:rsid w:val="004F1200"/>
    <w:rsid w:val="004F13DE"/>
    <w:rsid w:val="004F1586"/>
    <w:rsid w:val="004F1DA6"/>
    <w:rsid w:val="004F1EEB"/>
    <w:rsid w:val="004F2958"/>
    <w:rsid w:val="004F2AF0"/>
    <w:rsid w:val="004F31F6"/>
    <w:rsid w:val="004F32A4"/>
    <w:rsid w:val="004F32C2"/>
    <w:rsid w:val="004F38A5"/>
    <w:rsid w:val="004F55ED"/>
    <w:rsid w:val="004F66BF"/>
    <w:rsid w:val="004F6B47"/>
    <w:rsid w:val="004F7DFC"/>
    <w:rsid w:val="00501602"/>
    <w:rsid w:val="00501888"/>
    <w:rsid w:val="00501B1F"/>
    <w:rsid w:val="00502179"/>
    <w:rsid w:val="00502467"/>
    <w:rsid w:val="00502942"/>
    <w:rsid w:val="005034AD"/>
    <w:rsid w:val="00504156"/>
    <w:rsid w:val="00504608"/>
    <w:rsid w:val="00504644"/>
    <w:rsid w:val="00504A8A"/>
    <w:rsid w:val="0050511B"/>
    <w:rsid w:val="00505315"/>
    <w:rsid w:val="0050552D"/>
    <w:rsid w:val="00505566"/>
    <w:rsid w:val="005055B6"/>
    <w:rsid w:val="0050623C"/>
    <w:rsid w:val="005062FD"/>
    <w:rsid w:val="00506403"/>
    <w:rsid w:val="00506D93"/>
    <w:rsid w:val="00506EF0"/>
    <w:rsid w:val="00506FA4"/>
    <w:rsid w:val="00507B5F"/>
    <w:rsid w:val="00507DE0"/>
    <w:rsid w:val="00510B5F"/>
    <w:rsid w:val="00512E55"/>
    <w:rsid w:val="00513101"/>
    <w:rsid w:val="00513EA9"/>
    <w:rsid w:val="0051483F"/>
    <w:rsid w:val="005149B1"/>
    <w:rsid w:val="00514EDA"/>
    <w:rsid w:val="00514F19"/>
    <w:rsid w:val="005150ED"/>
    <w:rsid w:val="00515163"/>
    <w:rsid w:val="00515C94"/>
    <w:rsid w:val="00516271"/>
    <w:rsid w:val="005171EC"/>
    <w:rsid w:val="005213B8"/>
    <w:rsid w:val="00522347"/>
    <w:rsid w:val="00522C15"/>
    <w:rsid w:val="0052329C"/>
    <w:rsid w:val="00523613"/>
    <w:rsid w:val="005236A1"/>
    <w:rsid w:val="00523805"/>
    <w:rsid w:val="00523F6E"/>
    <w:rsid w:val="00523FFB"/>
    <w:rsid w:val="00524285"/>
    <w:rsid w:val="005257BD"/>
    <w:rsid w:val="00525945"/>
    <w:rsid w:val="00526B91"/>
    <w:rsid w:val="00526D02"/>
    <w:rsid w:val="00527F66"/>
    <w:rsid w:val="00530375"/>
    <w:rsid w:val="00530A93"/>
    <w:rsid w:val="005312A7"/>
    <w:rsid w:val="00531DA7"/>
    <w:rsid w:val="00532241"/>
    <w:rsid w:val="005326FF"/>
    <w:rsid w:val="00533EF4"/>
    <w:rsid w:val="00534147"/>
    <w:rsid w:val="00534624"/>
    <w:rsid w:val="00534B60"/>
    <w:rsid w:val="00534C73"/>
    <w:rsid w:val="00535AD9"/>
    <w:rsid w:val="00536B1F"/>
    <w:rsid w:val="00536C13"/>
    <w:rsid w:val="005372A4"/>
    <w:rsid w:val="0053785B"/>
    <w:rsid w:val="005379B8"/>
    <w:rsid w:val="0054000C"/>
    <w:rsid w:val="00540241"/>
    <w:rsid w:val="0054029F"/>
    <w:rsid w:val="005402B5"/>
    <w:rsid w:val="00540427"/>
    <w:rsid w:val="0054056E"/>
    <w:rsid w:val="00540E8F"/>
    <w:rsid w:val="00540FCE"/>
    <w:rsid w:val="005410AF"/>
    <w:rsid w:val="00541462"/>
    <w:rsid w:val="00541A6D"/>
    <w:rsid w:val="00541B72"/>
    <w:rsid w:val="00541FF0"/>
    <w:rsid w:val="00542A77"/>
    <w:rsid w:val="005438F9"/>
    <w:rsid w:val="0054418A"/>
    <w:rsid w:val="00545C8C"/>
    <w:rsid w:val="00546761"/>
    <w:rsid w:val="00546D83"/>
    <w:rsid w:val="00546E2B"/>
    <w:rsid w:val="00547362"/>
    <w:rsid w:val="00547829"/>
    <w:rsid w:val="00550897"/>
    <w:rsid w:val="00550C55"/>
    <w:rsid w:val="00552768"/>
    <w:rsid w:val="00552DF8"/>
    <w:rsid w:val="00552FA2"/>
    <w:rsid w:val="00553928"/>
    <w:rsid w:val="00554374"/>
    <w:rsid w:val="0055463E"/>
    <w:rsid w:val="00554EA7"/>
    <w:rsid w:val="005555B5"/>
    <w:rsid w:val="005555BA"/>
    <w:rsid w:val="00555B17"/>
    <w:rsid w:val="00555B9D"/>
    <w:rsid w:val="00555E7B"/>
    <w:rsid w:val="00555ED1"/>
    <w:rsid w:val="00556488"/>
    <w:rsid w:val="005568AC"/>
    <w:rsid w:val="005569DF"/>
    <w:rsid w:val="00557BE4"/>
    <w:rsid w:val="00557C73"/>
    <w:rsid w:val="00560404"/>
    <w:rsid w:val="005608E5"/>
    <w:rsid w:val="0056124F"/>
    <w:rsid w:val="0056161B"/>
    <w:rsid w:val="0056226B"/>
    <w:rsid w:val="00562354"/>
    <w:rsid w:val="00562983"/>
    <w:rsid w:val="00562B55"/>
    <w:rsid w:val="0056335C"/>
    <w:rsid w:val="00563367"/>
    <w:rsid w:val="00563398"/>
    <w:rsid w:val="00563BF2"/>
    <w:rsid w:val="00564217"/>
    <w:rsid w:val="005647B0"/>
    <w:rsid w:val="00564C47"/>
    <w:rsid w:val="00564D7C"/>
    <w:rsid w:val="005653CD"/>
    <w:rsid w:val="00565A7C"/>
    <w:rsid w:val="00566A62"/>
    <w:rsid w:val="00567889"/>
    <w:rsid w:val="00567C9D"/>
    <w:rsid w:val="00567FA3"/>
    <w:rsid w:val="0057045E"/>
    <w:rsid w:val="00570A68"/>
    <w:rsid w:val="00570C3B"/>
    <w:rsid w:val="005710EB"/>
    <w:rsid w:val="00573331"/>
    <w:rsid w:val="005738D8"/>
    <w:rsid w:val="00573CC7"/>
    <w:rsid w:val="005744B3"/>
    <w:rsid w:val="00574E0C"/>
    <w:rsid w:val="005751FD"/>
    <w:rsid w:val="0057575B"/>
    <w:rsid w:val="00576210"/>
    <w:rsid w:val="0057645A"/>
    <w:rsid w:val="0057662B"/>
    <w:rsid w:val="005770C7"/>
    <w:rsid w:val="0058000E"/>
    <w:rsid w:val="005803C5"/>
    <w:rsid w:val="00580F70"/>
    <w:rsid w:val="00581403"/>
    <w:rsid w:val="0058191B"/>
    <w:rsid w:val="00582E9E"/>
    <w:rsid w:val="005834E5"/>
    <w:rsid w:val="00584A41"/>
    <w:rsid w:val="00584E78"/>
    <w:rsid w:val="005853EE"/>
    <w:rsid w:val="005862D0"/>
    <w:rsid w:val="0058635B"/>
    <w:rsid w:val="005865A3"/>
    <w:rsid w:val="00586C42"/>
    <w:rsid w:val="00587244"/>
    <w:rsid w:val="00587543"/>
    <w:rsid w:val="00587660"/>
    <w:rsid w:val="00587876"/>
    <w:rsid w:val="00590083"/>
    <w:rsid w:val="005902CB"/>
    <w:rsid w:val="00590625"/>
    <w:rsid w:val="00590684"/>
    <w:rsid w:val="00590ADC"/>
    <w:rsid w:val="0059141B"/>
    <w:rsid w:val="005918E8"/>
    <w:rsid w:val="00591B81"/>
    <w:rsid w:val="0059263E"/>
    <w:rsid w:val="005935D0"/>
    <w:rsid w:val="00594BC7"/>
    <w:rsid w:val="00595872"/>
    <w:rsid w:val="00597167"/>
    <w:rsid w:val="00597AB0"/>
    <w:rsid w:val="00597C91"/>
    <w:rsid w:val="00597EFA"/>
    <w:rsid w:val="005A00BB"/>
    <w:rsid w:val="005A0102"/>
    <w:rsid w:val="005A02B9"/>
    <w:rsid w:val="005A05B4"/>
    <w:rsid w:val="005A0955"/>
    <w:rsid w:val="005A1361"/>
    <w:rsid w:val="005A1376"/>
    <w:rsid w:val="005A144B"/>
    <w:rsid w:val="005A1564"/>
    <w:rsid w:val="005A1850"/>
    <w:rsid w:val="005A192F"/>
    <w:rsid w:val="005A1A63"/>
    <w:rsid w:val="005A1A74"/>
    <w:rsid w:val="005A1B14"/>
    <w:rsid w:val="005A1DA2"/>
    <w:rsid w:val="005A2598"/>
    <w:rsid w:val="005A29EB"/>
    <w:rsid w:val="005A2F77"/>
    <w:rsid w:val="005A3429"/>
    <w:rsid w:val="005A386A"/>
    <w:rsid w:val="005A541D"/>
    <w:rsid w:val="005A6272"/>
    <w:rsid w:val="005A685A"/>
    <w:rsid w:val="005A69FD"/>
    <w:rsid w:val="005A7670"/>
    <w:rsid w:val="005A7BDC"/>
    <w:rsid w:val="005A7C92"/>
    <w:rsid w:val="005B014B"/>
    <w:rsid w:val="005B01D7"/>
    <w:rsid w:val="005B0658"/>
    <w:rsid w:val="005B0B6B"/>
    <w:rsid w:val="005B101E"/>
    <w:rsid w:val="005B1D04"/>
    <w:rsid w:val="005B1D18"/>
    <w:rsid w:val="005B20CF"/>
    <w:rsid w:val="005B2695"/>
    <w:rsid w:val="005B2AB8"/>
    <w:rsid w:val="005B3433"/>
    <w:rsid w:val="005B37BF"/>
    <w:rsid w:val="005B38F8"/>
    <w:rsid w:val="005B3C59"/>
    <w:rsid w:val="005B3D23"/>
    <w:rsid w:val="005B4487"/>
    <w:rsid w:val="005B44F9"/>
    <w:rsid w:val="005B4589"/>
    <w:rsid w:val="005B47FD"/>
    <w:rsid w:val="005B4DFE"/>
    <w:rsid w:val="005B4F91"/>
    <w:rsid w:val="005B57B3"/>
    <w:rsid w:val="005B5CEB"/>
    <w:rsid w:val="005B7908"/>
    <w:rsid w:val="005C00C7"/>
    <w:rsid w:val="005C02C1"/>
    <w:rsid w:val="005C0712"/>
    <w:rsid w:val="005C19A9"/>
    <w:rsid w:val="005C1CAA"/>
    <w:rsid w:val="005C1DE0"/>
    <w:rsid w:val="005C3A85"/>
    <w:rsid w:val="005C596A"/>
    <w:rsid w:val="005C5A47"/>
    <w:rsid w:val="005C66AC"/>
    <w:rsid w:val="005C6D6B"/>
    <w:rsid w:val="005C7648"/>
    <w:rsid w:val="005C7C31"/>
    <w:rsid w:val="005C7CE6"/>
    <w:rsid w:val="005D0149"/>
    <w:rsid w:val="005D0269"/>
    <w:rsid w:val="005D043B"/>
    <w:rsid w:val="005D0999"/>
    <w:rsid w:val="005D0C6F"/>
    <w:rsid w:val="005D2075"/>
    <w:rsid w:val="005D2C60"/>
    <w:rsid w:val="005D35F4"/>
    <w:rsid w:val="005D36CC"/>
    <w:rsid w:val="005D3C4D"/>
    <w:rsid w:val="005D43D7"/>
    <w:rsid w:val="005D4BCF"/>
    <w:rsid w:val="005D4EE5"/>
    <w:rsid w:val="005D51E6"/>
    <w:rsid w:val="005D521D"/>
    <w:rsid w:val="005D5635"/>
    <w:rsid w:val="005D57E5"/>
    <w:rsid w:val="005D58C1"/>
    <w:rsid w:val="005D59E8"/>
    <w:rsid w:val="005D70FE"/>
    <w:rsid w:val="005D7691"/>
    <w:rsid w:val="005D7711"/>
    <w:rsid w:val="005D772D"/>
    <w:rsid w:val="005D7C95"/>
    <w:rsid w:val="005E0960"/>
    <w:rsid w:val="005E0C4D"/>
    <w:rsid w:val="005E0C59"/>
    <w:rsid w:val="005E0C75"/>
    <w:rsid w:val="005E171E"/>
    <w:rsid w:val="005E23F5"/>
    <w:rsid w:val="005E2678"/>
    <w:rsid w:val="005E2F66"/>
    <w:rsid w:val="005E4AFD"/>
    <w:rsid w:val="005E4FC5"/>
    <w:rsid w:val="005E5253"/>
    <w:rsid w:val="005E52AD"/>
    <w:rsid w:val="005E5B14"/>
    <w:rsid w:val="005E6A69"/>
    <w:rsid w:val="005E6C50"/>
    <w:rsid w:val="005E6EE3"/>
    <w:rsid w:val="005E6F68"/>
    <w:rsid w:val="005E70E1"/>
    <w:rsid w:val="005E7230"/>
    <w:rsid w:val="005E72B4"/>
    <w:rsid w:val="005E7FC4"/>
    <w:rsid w:val="005F1261"/>
    <w:rsid w:val="005F1331"/>
    <w:rsid w:val="005F1EE5"/>
    <w:rsid w:val="005F3130"/>
    <w:rsid w:val="005F3E50"/>
    <w:rsid w:val="005F3E60"/>
    <w:rsid w:val="005F416F"/>
    <w:rsid w:val="005F49DA"/>
    <w:rsid w:val="005F5062"/>
    <w:rsid w:val="005F51C8"/>
    <w:rsid w:val="005F56CA"/>
    <w:rsid w:val="005F56EE"/>
    <w:rsid w:val="005F5B4E"/>
    <w:rsid w:val="005F5E3A"/>
    <w:rsid w:val="005F643A"/>
    <w:rsid w:val="005F678F"/>
    <w:rsid w:val="005F7491"/>
    <w:rsid w:val="005F776A"/>
    <w:rsid w:val="005F7C9A"/>
    <w:rsid w:val="005F7D7F"/>
    <w:rsid w:val="00600016"/>
    <w:rsid w:val="006000C5"/>
    <w:rsid w:val="00600395"/>
    <w:rsid w:val="00600954"/>
    <w:rsid w:val="006009E6"/>
    <w:rsid w:val="00600D93"/>
    <w:rsid w:val="00600DB9"/>
    <w:rsid w:val="00600EA7"/>
    <w:rsid w:val="0060108A"/>
    <w:rsid w:val="0060186E"/>
    <w:rsid w:val="00601A3E"/>
    <w:rsid w:val="00601CB9"/>
    <w:rsid w:val="00601D30"/>
    <w:rsid w:val="006023E6"/>
    <w:rsid w:val="00602685"/>
    <w:rsid w:val="00602729"/>
    <w:rsid w:val="00602AEA"/>
    <w:rsid w:val="0060336D"/>
    <w:rsid w:val="00603624"/>
    <w:rsid w:val="0060373D"/>
    <w:rsid w:val="00604018"/>
    <w:rsid w:val="0060444D"/>
    <w:rsid w:val="0060455D"/>
    <w:rsid w:val="00604B5D"/>
    <w:rsid w:val="00604EE7"/>
    <w:rsid w:val="006052C3"/>
    <w:rsid w:val="0060563A"/>
    <w:rsid w:val="00606293"/>
    <w:rsid w:val="0060637F"/>
    <w:rsid w:val="00606B46"/>
    <w:rsid w:val="006070A2"/>
    <w:rsid w:val="00607610"/>
    <w:rsid w:val="00607A72"/>
    <w:rsid w:val="006101FF"/>
    <w:rsid w:val="00610A60"/>
    <w:rsid w:val="0061104B"/>
    <w:rsid w:val="006112CF"/>
    <w:rsid w:val="00611A6E"/>
    <w:rsid w:val="00611CCC"/>
    <w:rsid w:val="00613028"/>
    <w:rsid w:val="006137F6"/>
    <w:rsid w:val="006138C8"/>
    <w:rsid w:val="00613CA9"/>
    <w:rsid w:val="0061468E"/>
    <w:rsid w:val="00615DC2"/>
    <w:rsid w:val="00616355"/>
    <w:rsid w:val="00616550"/>
    <w:rsid w:val="006168CD"/>
    <w:rsid w:val="006175DE"/>
    <w:rsid w:val="00620974"/>
    <w:rsid w:val="00622127"/>
    <w:rsid w:val="0062238A"/>
    <w:rsid w:val="00622C3D"/>
    <w:rsid w:val="00622EB6"/>
    <w:rsid w:val="0062306A"/>
    <w:rsid w:val="006230D7"/>
    <w:rsid w:val="00623196"/>
    <w:rsid w:val="00623366"/>
    <w:rsid w:val="006234F3"/>
    <w:rsid w:val="0062383A"/>
    <w:rsid w:val="00623A12"/>
    <w:rsid w:val="00623B2C"/>
    <w:rsid w:val="00623B6D"/>
    <w:rsid w:val="0062429C"/>
    <w:rsid w:val="006242B6"/>
    <w:rsid w:val="00624B5C"/>
    <w:rsid w:val="00624CEC"/>
    <w:rsid w:val="00624D54"/>
    <w:rsid w:val="006251BA"/>
    <w:rsid w:val="006251BB"/>
    <w:rsid w:val="0062585B"/>
    <w:rsid w:val="006258DE"/>
    <w:rsid w:val="00626683"/>
    <w:rsid w:val="0062686C"/>
    <w:rsid w:val="006268CD"/>
    <w:rsid w:val="00626CB3"/>
    <w:rsid w:val="00626EB6"/>
    <w:rsid w:val="0062718E"/>
    <w:rsid w:val="0062779D"/>
    <w:rsid w:val="006301BF"/>
    <w:rsid w:val="006301DB"/>
    <w:rsid w:val="006308E4"/>
    <w:rsid w:val="00630C2B"/>
    <w:rsid w:val="00631179"/>
    <w:rsid w:val="00631952"/>
    <w:rsid w:val="00631B15"/>
    <w:rsid w:val="00631FE6"/>
    <w:rsid w:val="006326E0"/>
    <w:rsid w:val="0063281B"/>
    <w:rsid w:val="006328AC"/>
    <w:rsid w:val="0063312A"/>
    <w:rsid w:val="00633294"/>
    <w:rsid w:val="006332A2"/>
    <w:rsid w:val="00635405"/>
    <w:rsid w:val="006356C4"/>
    <w:rsid w:val="00636132"/>
    <w:rsid w:val="00636B0B"/>
    <w:rsid w:val="00636C99"/>
    <w:rsid w:val="0063703F"/>
    <w:rsid w:val="00637C4D"/>
    <w:rsid w:val="00637DEA"/>
    <w:rsid w:val="00641696"/>
    <w:rsid w:val="00641E83"/>
    <w:rsid w:val="0064203A"/>
    <w:rsid w:val="006420CC"/>
    <w:rsid w:val="0064264A"/>
    <w:rsid w:val="006428E7"/>
    <w:rsid w:val="0064397A"/>
    <w:rsid w:val="00643AA8"/>
    <w:rsid w:val="006441B3"/>
    <w:rsid w:val="00644C9E"/>
    <w:rsid w:val="00645944"/>
    <w:rsid w:val="00646A65"/>
    <w:rsid w:val="00646C7E"/>
    <w:rsid w:val="00647356"/>
    <w:rsid w:val="00647C3B"/>
    <w:rsid w:val="006500C4"/>
    <w:rsid w:val="00650999"/>
    <w:rsid w:val="00650DA1"/>
    <w:rsid w:val="0065193C"/>
    <w:rsid w:val="0065228B"/>
    <w:rsid w:val="00652471"/>
    <w:rsid w:val="0065248B"/>
    <w:rsid w:val="00652F32"/>
    <w:rsid w:val="00653BBD"/>
    <w:rsid w:val="00653C89"/>
    <w:rsid w:val="006549B8"/>
    <w:rsid w:val="00654A52"/>
    <w:rsid w:val="00655377"/>
    <w:rsid w:val="006554A2"/>
    <w:rsid w:val="0065602A"/>
    <w:rsid w:val="00656779"/>
    <w:rsid w:val="00656A98"/>
    <w:rsid w:val="00656B73"/>
    <w:rsid w:val="006571E9"/>
    <w:rsid w:val="00657470"/>
    <w:rsid w:val="00657F4B"/>
    <w:rsid w:val="006601ED"/>
    <w:rsid w:val="0066069E"/>
    <w:rsid w:val="00660E67"/>
    <w:rsid w:val="00661443"/>
    <w:rsid w:val="00661467"/>
    <w:rsid w:val="00661AB1"/>
    <w:rsid w:val="00661D7F"/>
    <w:rsid w:val="006624D2"/>
    <w:rsid w:val="006628C1"/>
    <w:rsid w:val="00662CC5"/>
    <w:rsid w:val="00662FFE"/>
    <w:rsid w:val="006633DC"/>
    <w:rsid w:val="006634BD"/>
    <w:rsid w:val="00664644"/>
    <w:rsid w:val="00664903"/>
    <w:rsid w:val="00664E98"/>
    <w:rsid w:val="00664F0B"/>
    <w:rsid w:val="006653ED"/>
    <w:rsid w:val="006654F2"/>
    <w:rsid w:val="00665853"/>
    <w:rsid w:val="006660E4"/>
    <w:rsid w:val="0066616B"/>
    <w:rsid w:val="006666A3"/>
    <w:rsid w:val="00666D8F"/>
    <w:rsid w:val="00667A10"/>
    <w:rsid w:val="00667B9C"/>
    <w:rsid w:val="00667DC2"/>
    <w:rsid w:val="00670BEB"/>
    <w:rsid w:val="00670C1B"/>
    <w:rsid w:val="00670FAB"/>
    <w:rsid w:val="0067108B"/>
    <w:rsid w:val="00671227"/>
    <w:rsid w:val="006714C5"/>
    <w:rsid w:val="00671C66"/>
    <w:rsid w:val="00672654"/>
    <w:rsid w:val="00672FA6"/>
    <w:rsid w:val="00673B16"/>
    <w:rsid w:val="00673DDE"/>
    <w:rsid w:val="00673EA9"/>
    <w:rsid w:val="00674548"/>
    <w:rsid w:val="0067504A"/>
    <w:rsid w:val="00677001"/>
    <w:rsid w:val="00681018"/>
    <w:rsid w:val="00681C0C"/>
    <w:rsid w:val="0068210A"/>
    <w:rsid w:val="00682E49"/>
    <w:rsid w:val="006832DA"/>
    <w:rsid w:val="0068338A"/>
    <w:rsid w:val="00683664"/>
    <w:rsid w:val="00683991"/>
    <w:rsid w:val="00683B7E"/>
    <w:rsid w:val="00683C03"/>
    <w:rsid w:val="00683E84"/>
    <w:rsid w:val="006843A2"/>
    <w:rsid w:val="00684629"/>
    <w:rsid w:val="00684B1A"/>
    <w:rsid w:val="00684C64"/>
    <w:rsid w:val="0068525B"/>
    <w:rsid w:val="00685317"/>
    <w:rsid w:val="00685C70"/>
    <w:rsid w:val="00685E2C"/>
    <w:rsid w:val="00686029"/>
    <w:rsid w:val="0068663E"/>
    <w:rsid w:val="0068754C"/>
    <w:rsid w:val="00690C1E"/>
    <w:rsid w:val="00690D65"/>
    <w:rsid w:val="00691038"/>
    <w:rsid w:val="00691292"/>
    <w:rsid w:val="006919DA"/>
    <w:rsid w:val="006926E6"/>
    <w:rsid w:val="00693431"/>
    <w:rsid w:val="00693585"/>
    <w:rsid w:val="00694890"/>
    <w:rsid w:val="00694C05"/>
    <w:rsid w:val="00695BE8"/>
    <w:rsid w:val="00695DFA"/>
    <w:rsid w:val="006960C6"/>
    <w:rsid w:val="00696536"/>
    <w:rsid w:val="0069660D"/>
    <w:rsid w:val="006968BF"/>
    <w:rsid w:val="006A0B3C"/>
    <w:rsid w:val="006A0BAB"/>
    <w:rsid w:val="006A0E43"/>
    <w:rsid w:val="006A1A68"/>
    <w:rsid w:val="006A1E8D"/>
    <w:rsid w:val="006A20CC"/>
    <w:rsid w:val="006A2933"/>
    <w:rsid w:val="006A2E8D"/>
    <w:rsid w:val="006A3442"/>
    <w:rsid w:val="006A374D"/>
    <w:rsid w:val="006A3DC1"/>
    <w:rsid w:val="006A421E"/>
    <w:rsid w:val="006A4AE1"/>
    <w:rsid w:val="006A4BDB"/>
    <w:rsid w:val="006A4C93"/>
    <w:rsid w:val="006A5000"/>
    <w:rsid w:val="006A5A45"/>
    <w:rsid w:val="006A608F"/>
    <w:rsid w:val="006A6355"/>
    <w:rsid w:val="006A6542"/>
    <w:rsid w:val="006A66D4"/>
    <w:rsid w:val="006A7379"/>
    <w:rsid w:val="006A75FA"/>
    <w:rsid w:val="006A7EC2"/>
    <w:rsid w:val="006B06D8"/>
    <w:rsid w:val="006B1535"/>
    <w:rsid w:val="006B1AA6"/>
    <w:rsid w:val="006B1D59"/>
    <w:rsid w:val="006B2491"/>
    <w:rsid w:val="006B24F9"/>
    <w:rsid w:val="006B2F24"/>
    <w:rsid w:val="006B317B"/>
    <w:rsid w:val="006B35C0"/>
    <w:rsid w:val="006B43A9"/>
    <w:rsid w:val="006B4B54"/>
    <w:rsid w:val="006B50C7"/>
    <w:rsid w:val="006B5AE5"/>
    <w:rsid w:val="006B5CBA"/>
    <w:rsid w:val="006B5E36"/>
    <w:rsid w:val="006B60A2"/>
    <w:rsid w:val="006B63C7"/>
    <w:rsid w:val="006B6963"/>
    <w:rsid w:val="006B6BB3"/>
    <w:rsid w:val="006B6D10"/>
    <w:rsid w:val="006B7589"/>
    <w:rsid w:val="006C03B0"/>
    <w:rsid w:val="006C081F"/>
    <w:rsid w:val="006C1051"/>
    <w:rsid w:val="006C1604"/>
    <w:rsid w:val="006C1678"/>
    <w:rsid w:val="006C2A2E"/>
    <w:rsid w:val="006C2E24"/>
    <w:rsid w:val="006C33B4"/>
    <w:rsid w:val="006C3571"/>
    <w:rsid w:val="006C3E03"/>
    <w:rsid w:val="006C4076"/>
    <w:rsid w:val="006C4094"/>
    <w:rsid w:val="006C45E2"/>
    <w:rsid w:val="006C46B1"/>
    <w:rsid w:val="006C4A61"/>
    <w:rsid w:val="006C4FD8"/>
    <w:rsid w:val="006C5115"/>
    <w:rsid w:val="006C564F"/>
    <w:rsid w:val="006C5CA4"/>
    <w:rsid w:val="006C5F29"/>
    <w:rsid w:val="006C6182"/>
    <w:rsid w:val="006C6199"/>
    <w:rsid w:val="006C65E6"/>
    <w:rsid w:val="006C664C"/>
    <w:rsid w:val="006C69B0"/>
    <w:rsid w:val="006C7CE5"/>
    <w:rsid w:val="006D0250"/>
    <w:rsid w:val="006D0D38"/>
    <w:rsid w:val="006D0F05"/>
    <w:rsid w:val="006D17CF"/>
    <w:rsid w:val="006D1933"/>
    <w:rsid w:val="006D21CA"/>
    <w:rsid w:val="006D22DC"/>
    <w:rsid w:val="006D2818"/>
    <w:rsid w:val="006D2A97"/>
    <w:rsid w:val="006D2DB8"/>
    <w:rsid w:val="006D2E7F"/>
    <w:rsid w:val="006D39FC"/>
    <w:rsid w:val="006D4BB0"/>
    <w:rsid w:val="006D4CC2"/>
    <w:rsid w:val="006D59E7"/>
    <w:rsid w:val="006D74CC"/>
    <w:rsid w:val="006D7597"/>
    <w:rsid w:val="006D7860"/>
    <w:rsid w:val="006D7F2A"/>
    <w:rsid w:val="006D7F6A"/>
    <w:rsid w:val="006E047A"/>
    <w:rsid w:val="006E0B92"/>
    <w:rsid w:val="006E0FEE"/>
    <w:rsid w:val="006E10EC"/>
    <w:rsid w:val="006E1FDB"/>
    <w:rsid w:val="006E2A2B"/>
    <w:rsid w:val="006E31FA"/>
    <w:rsid w:val="006E32C5"/>
    <w:rsid w:val="006E3899"/>
    <w:rsid w:val="006E3921"/>
    <w:rsid w:val="006E392B"/>
    <w:rsid w:val="006E3BDF"/>
    <w:rsid w:val="006E3BE2"/>
    <w:rsid w:val="006E3C8A"/>
    <w:rsid w:val="006E40D4"/>
    <w:rsid w:val="006E427A"/>
    <w:rsid w:val="006E494E"/>
    <w:rsid w:val="006E4CF3"/>
    <w:rsid w:val="006E5350"/>
    <w:rsid w:val="006E58A2"/>
    <w:rsid w:val="006E592B"/>
    <w:rsid w:val="006E6405"/>
    <w:rsid w:val="006E679F"/>
    <w:rsid w:val="006E6B5D"/>
    <w:rsid w:val="006F0E84"/>
    <w:rsid w:val="006F1039"/>
    <w:rsid w:val="006F17FC"/>
    <w:rsid w:val="006F1B3B"/>
    <w:rsid w:val="006F1CE2"/>
    <w:rsid w:val="006F2174"/>
    <w:rsid w:val="006F28AC"/>
    <w:rsid w:val="006F2F5B"/>
    <w:rsid w:val="006F30E5"/>
    <w:rsid w:val="006F336B"/>
    <w:rsid w:val="006F35DF"/>
    <w:rsid w:val="006F3E7F"/>
    <w:rsid w:val="006F3FEE"/>
    <w:rsid w:val="006F46A6"/>
    <w:rsid w:val="006F5244"/>
    <w:rsid w:val="006F5380"/>
    <w:rsid w:val="006F55C8"/>
    <w:rsid w:val="006F5652"/>
    <w:rsid w:val="006F574B"/>
    <w:rsid w:val="006F674C"/>
    <w:rsid w:val="006F6A40"/>
    <w:rsid w:val="006F70E2"/>
    <w:rsid w:val="006F7B0E"/>
    <w:rsid w:val="00700310"/>
    <w:rsid w:val="0070085C"/>
    <w:rsid w:val="00700958"/>
    <w:rsid w:val="00700BD0"/>
    <w:rsid w:val="00700E45"/>
    <w:rsid w:val="00701DA2"/>
    <w:rsid w:val="0070216E"/>
    <w:rsid w:val="0070260D"/>
    <w:rsid w:val="0070263D"/>
    <w:rsid w:val="00702AE3"/>
    <w:rsid w:val="00702BF7"/>
    <w:rsid w:val="00702D0F"/>
    <w:rsid w:val="0070393C"/>
    <w:rsid w:val="00703C4D"/>
    <w:rsid w:val="00703C79"/>
    <w:rsid w:val="00703D69"/>
    <w:rsid w:val="00704079"/>
    <w:rsid w:val="007048C2"/>
    <w:rsid w:val="00704AC9"/>
    <w:rsid w:val="007056CC"/>
    <w:rsid w:val="00705B13"/>
    <w:rsid w:val="00707005"/>
    <w:rsid w:val="007073CB"/>
    <w:rsid w:val="00707517"/>
    <w:rsid w:val="00707DB3"/>
    <w:rsid w:val="00710F9A"/>
    <w:rsid w:val="00711408"/>
    <w:rsid w:val="007115E1"/>
    <w:rsid w:val="00711F0B"/>
    <w:rsid w:val="007123A3"/>
    <w:rsid w:val="007127A0"/>
    <w:rsid w:val="00713490"/>
    <w:rsid w:val="00713642"/>
    <w:rsid w:val="00713BC4"/>
    <w:rsid w:val="007141F9"/>
    <w:rsid w:val="00714730"/>
    <w:rsid w:val="00714A9E"/>
    <w:rsid w:val="00714AF5"/>
    <w:rsid w:val="00715069"/>
    <w:rsid w:val="0071653D"/>
    <w:rsid w:val="007165B6"/>
    <w:rsid w:val="00716BE6"/>
    <w:rsid w:val="007172F4"/>
    <w:rsid w:val="0071744B"/>
    <w:rsid w:val="00717974"/>
    <w:rsid w:val="00717C8D"/>
    <w:rsid w:val="00717E22"/>
    <w:rsid w:val="00720190"/>
    <w:rsid w:val="00720923"/>
    <w:rsid w:val="00720F9F"/>
    <w:rsid w:val="0072170A"/>
    <w:rsid w:val="00721878"/>
    <w:rsid w:val="00721EB7"/>
    <w:rsid w:val="00723EE1"/>
    <w:rsid w:val="00724A98"/>
    <w:rsid w:val="00724E96"/>
    <w:rsid w:val="0072519B"/>
    <w:rsid w:val="007256C5"/>
    <w:rsid w:val="007256E8"/>
    <w:rsid w:val="007257DB"/>
    <w:rsid w:val="0072585B"/>
    <w:rsid w:val="0072594F"/>
    <w:rsid w:val="00725B96"/>
    <w:rsid w:val="00725BCA"/>
    <w:rsid w:val="00726A37"/>
    <w:rsid w:val="00727215"/>
    <w:rsid w:val="007276FD"/>
    <w:rsid w:val="0072782F"/>
    <w:rsid w:val="00727F8C"/>
    <w:rsid w:val="007306BF"/>
    <w:rsid w:val="0073076B"/>
    <w:rsid w:val="00730C95"/>
    <w:rsid w:val="00732A5E"/>
    <w:rsid w:val="007339E7"/>
    <w:rsid w:val="00733AE1"/>
    <w:rsid w:val="00733B88"/>
    <w:rsid w:val="00733D52"/>
    <w:rsid w:val="007342A8"/>
    <w:rsid w:val="00734430"/>
    <w:rsid w:val="00734721"/>
    <w:rsid w:val="00734871"/>
    <w:rsid w:val="00734A83"/>
    <w:rsid w:val="00735257"/>
    <w:rsid w:val="00735F5E"/>
    <w:rsid w:val="00736339"/>
    <w:rsid w:val="00736494"/>
    <w:rsid w:val="007368E5"/>
    <w:rsid w:val="007369F3"/>
    <w:rsid w:val="00736D92"/>
    <w:rsid w:val="00737353"/>
    <w:rsid w:val="007373BE"/>
    <w:rsid w:val="007374DC"/>
    <w:rsid w:val="007379D9"/>
    <w:rsid w:val="00740222"/>
    <w:rsid w:val="00740359"/>
    <w:rsid w:val="007403F2"/>
    <w:rsid w:val="007415F2"/>
    <w:rsid w:val="00741ADC"/>
    <w:rsid w:val="007422C4"/>
    <w:rsid w:val="00742A24"/>
    <w:rsid w:val="007438B7"/>
    <w:rsid w:val="00743EE0"/>
    <w:rsid w:val="007440A4"/>
    <w:rsid w:val="00744AC5"/>
    <w:rsid w:val="00744B9C"/>
    <w:rsid w:val="00744C21"/>
    <w:rsid w:val="00745C42"/>
    <w:rsid w:val="00745FFC"/>
    <w:rsid w:val="0074602A"/>
    <w:rsid w:val="007467A7"/>
    <w:rsid w:val="00746EA9"/>
    <w:rsid w:val="00746F78"/>
    <w:rsid w:val="0074722D"/>
    <w:rsid w:val="0074731D"/>
    <w:rsid w:val="00747CBB"/>
    <w:rsid w:val="00750084"/>
    <w:rsid w:val="00750675"/>
    <w:rsid w:val="00750D4D"/>
    <w:rsid w:val="00750E3E"/>
    <w:rsid w:val="007517CC"/>
    <w:rsid w:val="00751AD4"/>
    <w:rsid w:val="0075247A"/>
    <w:rsid w:val="00753488"/>
    <w:rsid w:val="0075355F"/>
    <w:rsid w:val="007545BB"/>
    <w:rsid w:val="00754A59"/>
    <w:rsid w:val="00754B49"/>
    <w:rsid w:val="007558F5"/>
    <w:rsid w:val="00756343"/>
    <w:rsid w:val="0075689B"/>
    <w:rsid w:val="007568D1"/>
    <w:rsid w:val="00756F4E"/>
    <w:rsid w:val="00757274"/>
    <w:rsid w:val="0075727A"/>
    <w:rsid w:val="0075747F"/>
    <w:rsid w:val="007604A7"/>
    <w:rsid w:val="0076239C"/>
    <w:rsid w:val="007624C8"/>
    <w:rsid w:val="00763057"/>
    <w:rsid w:val="00763182"/>
    <w:rsid w:val="00763BB6"/>
    <w:rsid w:val="007642CA"/>
    <w:rsid w:val="00764875"/>
    <w:rsid w:val="00764BDC"/>
    <w:rsid w:val="00765382"/>
    <w:rsid w:val="00766683"/>
    <w:rsid w:val="007669E9"/>
    <w:rsid w:val="007705DC"/>
    <w:rsid w:val="007714EB"/>
    <w:rsid w:val="0077171F"/>
    <w:rsid w:val="00771B09"/>
    <w:rsid w:val="00771E38"/>
    <w:rsid w:val="007726A0"/>
    <w:rsid w:val="007731AA"/>
    <w:rsid w:val="00773EE1"/>
    <w:rsid w:val="0077415C"/>
    <w:rsid w:val="00774A63"/>
    <w:rsid w:val="00774B81"/>
    <w:rsid w:val="00774BC0"/>
    <w:rsid w:val="007753A2"/>
    <w:rsid w:val="007756E5"/>
    <w:rsid w:val="00775B37"/>
    <w:rsid w:val="00776260"/>
    <w:rsid w:val="007763B2"/>
    <w:rsid w:val="00776737"/>
    <w:rsid w:val="00776CD3"/>
    <w:rsid w:val="007771BC"/>
    <w:rsid w:val="0077741E"/>
    <w:rsid w:val="00777715"/>
    <w:rsid w:val="007778DA"/>
    <w:rsid w:val="007800FA"/>
    <w:rsid w:val="00780BF5"/>
    <w:rsid w:val="0078225C"/>
    <w:rsid w:val="007824F5"/>
    <w:rsid w:val="0078310D"/>
    <w:rsid w:val="00783A0D"/>
    <w:rsid w:val="00783E8B"/>
    <w:rsid w:val="007843E9"/>
    <w:rsid w:val="007853B1"/>
    <w:rsid w:val="007859F5"/>
    <w:rsid w:val="00786038"/>
    <w:rsid w:val="007860E8"/>
    <w:rsid w:val="007861F2"/>
    <w:rsid w:val="00787426"/>
    <w:rsid w:val="00787961"/>
    <w:rsid w:val="00787F49"/>
    <w:rsid w:val="0079089D"/>
    <w:rsid w:val="00790D2F"/>
    <w:rsid w:val="00791079"/>
    <w:rsid w:val="00791307"/>
    <w:rsid w:val="007918F1"/>
    <w:rsid w:val="00791958"/>
    <w:rsid w:val="0079256A"/>
    <w:rsid w:val="00792D20"/>
    <w:rsid w:val="0079359C"/>
    <w:rsid w:val="00793AFC"/>
    <w:rsid w:val="00793E71"/>
    <w:rsid w:val="007946E9"/>
    <w:rsid w:val="00794D2C"/>
    <w:rsid w:val="00795486"/>
    <w:rsid w:val="00795723"/>
    <w:rsid w:val="0079582D"/>
    <w:rsid w:val="00795F69"/>
    <w:rsid w:val="00796041"/>
    <w:rsid w:val="0079635B"/>
    <w:rsid w:val="00796AA7"/>
    <w:rsid w:val="0079799D"/>
    <w:rsid w:val="00797D08"/>
    <w:rsid w:val="007A058F"/>
    <w:rsid w:val="007A05F2"/>
    <w:rsid w:val="007A1113"/>
    <w:rsid w:val="007A148A"/>
    <w:rsid w:val="007A23CC"/>
    <w:rsid w:val="007A25C0"/>
    <w:rsid w:val="007A2633"/>
    <w:rsid w:val="007A347C"/>
    <w:rsid w:val="007A3823"/>
    <w:rsid w:val="007A3909"/>
    <w:rsid w:val="007A3EEF"/>
    <w:rsid w:val="007A3F89"/>
    <w:rsid w:val="007A40CD"/>
    <w:rsid w:val="007A456C"/>
    <w:rsid w:val="007A4B24"/>
    <w:rsid w:val="007A5461"/>
    <w:rsid w:val="007A56E6"/>
    <w:rsid w:val="007A5FAD"/>
    <w:rsid w:val="007A65DA"/>
    <w:rsid w:val="007A73A1"/>
    <w:rsid w:val="007A73F0"/>
    <w:rsid w:val="007A760D"/>
    <w:rsid w:val="007A794C"/>
    <w:rsid w:val="007A7B8D"/>
    <w:rsid w:val="007B0357"/>
    <w:rsid w:val="007B0613"/>
    <w:rsid w:val="007B06F2"/>
    <w:rsid w:val="007B19C4"/>
    <w:rsid w:val="007B22E1"/>
    <w:rsid w:val="007B2333"/>
    <w:rsid w:val="007B3402"/>
    <w:rsid w:val="007B3FA6"/>
    <w:rsid w:val="007B44B4"/>
    <w:rsid w:val="007B459A"/>
    <w:rsid w:val="007B4AD5"/>
    <w:rsid w:val="007B4C00"/>
    <w:rsid w:val="007B4F13"/>
    <w:rsid w:val="007B50DE"/>
    <w:rsid w:val="007B54FB"/>
    <w:rsid w:val="007B56E0"/>
    <w:rsid w:val="007B5B8F"/>
    <w:rsid w:val="007B5E33"/>
    <w:rsid w:val="007B5EE1"/>
    <w:rsid w:val="007B5F91"/>
    <w:rsid w:val="007B6B97"/>
    <w:rsid w:val="007B6F42"/>
    <w:rsid w:val="007B758D"/>
    <w:rsid w:val="007B7683"/>
    <w:rsid w:val="007B771C"/>
    <w:rsid w:val="007C0F06"/>
    <w:rsid w:val="007C1321"/>
    <w:rsid w:val="007C244A"/>
    <w:rsid w:val="007C2692"/>
    <w:rsid w:val="007C26F0"/>
    <w:rsid w:val="007C27F8"/>
    <w:rsid w:val="007C2A04"/>
    <w:rsid w:val="007C2E40"/>
    <w:rsid w:val="007C30D2"/>
    <w:rsid w:val="007C31E4"/>
    <w:rsid w:val="007C3337"/>
    <w:rsid w:val="007C3B0F"/>
    <w:rsid w:val="007C3DB4"/>
    <w:rsid w:val="007C424C"/>
    <w:rsid w:val="007C485E"/>
    <w:rsid w:val="007C4AE2"/>
    <w:rsid w:val="007C4BC6"/>
    <w:rsid w:val="007C5110"/>
    <w:rsid w:val="007C5AC7"/>
    <w:rsid w:val="007C5F78"/>
    <w:rsid w:val="007C6031"/>
    <w:rsid w:val="007C61D3"/>
    <w:rsid w:val="007C6EF0"/>
    <w:rsid w:val="007C72B7"/>
    <w:rsid w:val="007C757E"/>
    <w:rsid w:val="007C7B45"/>
    <w:rsid w:val="007C7D63"/>
    <w:rsid w:val="007D04AB"/>
    <w:rsid w:val="007D07E5"/>
    <w:rsid w:val="007D0E50"/>
    <w:rsid w:val="007D131E"/>
    <w:rsid w:val="007D27A5"/>
    <w:rsid w:val="007D28A0"/>
    <w:rsid w:val="007D2A69"/>
    <w:rsid w:val="007D32D2"/>
    <w:rsid w:val="007D38D1"/>
    <w:rsid w:val="007D438A"/>
    <w:rsid w:val="007D4BF8"/>
    <w:rsid w:val="007D4D64"/>
    <w:rsid w:val="007D4DA8"/>
    <w:rsid w:val="007D5078"/>
    <w:rsid w:val="007D578C"/>
    <w:rsid w:val="007D5D26"/>
    <w:rsid w:val="007D5D5C"/>
    <w:rsid w:val="007D6455"/>
    <w:rsid w:val="007D66A4"/>
    <w:rsid w:val="007D67C4"/>
    <w:rsid w:val="007D6B03"/>
    <w:rsid w:val="007E06DF"/>
    <w:rsid w:val="007E12F6"/>
    <w:rsid w:val="007E17E4"/>
    <w:rsid w:val="007E1DE3"/>
    <w:rsid w:val="007E1F9D"/>
    <w:rsid w:val="007E2338"/>
    <w:rsid w:val="007E2407"/>
    <w:rsid w:val="007E28CA"/>
    <w:rsid w:val="007E31AC"/>
    <w:rsid w:val="007E3EB9"/>
    <w:rsid w:val="007E40D5"/>
    <w:rsid w:val="007E4719"/>
    <w:rsid w:val="007E48AA"/>
    <w:rsid w:val="007E5383"/>
    <w:rsid w:val="007E579F"/>
    <w:rsid w:val="007E5FEC"/>
    <w:rsid w:val="007E6464"/>
    <w:rsid w:val="007E65E3"/>
    <w:rsid w:val="007E69E2"/>
    <w:rsid w:val="007E73C9"/>
    <w:rsid w:val="007F0706"/>
    <w:rsid w:val="007F2738"/>
    <w:rsid w:val="007F29CD"/>
    <w:rsid w:val="007F2C36"/>
    <w:rsid w:val="007F2CE2"/>
    <w:rsid w:val="007F3007"/>
    <w:rsid w:val="007F3167"/>
    <w:rsid w:val="007F3AD0"/>
    <w:rsid w:val="007F3E87"/>
    <w:rsid w:val="007F3EB6"/>
    <w:rsid w:val="007F3FF7"/>
    <w:rsid w:val="007F4039"/>
    <w:rsid w:val="007F43C4"/>
    <w:rsid w:val="007F4788"/>
    <w:rsid w:val="007F4946"/>
    <w:rsid w:val="007F4E24"/>
    <w:rsid w:val="007F588E"/>
    <w:rsid w:val="007F5E38"/>
    <w:rsid w:val="007F5E3F"/>
    <w:rsid w:val="007F5EC6"/>
    <w:rsid w:val="007F614F"/>
    <w:rsid w:val="007F64F2"/>
    <w:rsid w:val="007F6733"/>
    <w:rsid w:val="007F6C8D"/>
    <w:rsid w:val="007F73DE"/>
    <w:rsid w:val="007F7EB4"/>
    <w:rsid w:val="007F7EF8"/>
    <w:rsid w:val="008008CD"/>
    <w:rsid w:val="008008E2"/>
    <w:rsid w:val="0080121D"/>
    <w:rsid w:val="00801AAA"/>
    <w:rsid w:val="00801DC6"/>
    <w:rsid w:val="008038E8"/>
    <w:rsid w:val="00803FEC"/>
    <w:rsid w:val="008045A5"/>
    <w:rsid w:val="00805254"/>
    <w:rsid w:val="008059CA"/>
    <w:rsid w:val="00805CEC"/>
    <w:rsid w:val="00806998"/>
    <w:rsid w:val="00806C75"/>
    <w:rsid w:val="00807400"/>
    <w:rsid w:val="00807AD4"/>
    <w:rsid w:val="00810D41"/>
    <w:rsid w:val="008115C0"/>
    <w:rsid w:val="00811949"/>
    <w:rsid w:val="008119D4"/>
    <w:rsid w:val="008129D5"/>
    <w:rsid w:val="00812DDA"/>
    <w:rsid w:val="00813810"/>
    <w:rsid w:val="00813D71"/>
    <w:rsid w:val="00814462"/>
    <w:rsid w:val="008151CD"/>
    <w:rsid w:val="0081549B"/>
    <w:rsid w:val="008156DB"/>
    <w:rsid w:val="00815FA9"/>
    <w:rsid w:val="008165CB"/>
    <w:rsid w:val="00816793"/>
    <w:rsid w:val="00816D39"/>
    <w:rsid w:val="00817069"/>
    <w:rsid w:val="00817105"/>
    <w:rsid w:val="00817613"/>
    <w:rsid w:val="0081766A"/>
    <w:rsid w:val="0081775F"/>
    <w:rsid w:val="00817A51"/>
    <w:rsid w:val="00817BAE"/>
    <w:rsid w:val="00817C4F"/>
    <w:rsid w:val="00817D4F"/>
    <w:rsid w:val="00817EE7"/>
    <w:rsid w:val="0082003E"/>
    <w:rsid w:val="008204F6"/>
    <w:rsid w:val="0082132E"/>
    <w:rsid w:val="0082133F"/>
    <w:rsid w:val="00821793"/>
    <w:rsid w:val="008218E8"/>
    <w:rsid w:val="00821FA4"/>
    <w:rsid w:val="00822192"/>
    <w:rsid w:val="008223C6"/>
    <w:rsid w:val="0082252D"/>
    <w:rsid w:val="00822894"/>
    <w:rsid w:val="00822B7C"/>
    <w:rsid w:val="00822EF6"/>
    <w:rsid w:val="0082337C"/>
    <w:rsid w:val="0082425F"/>
    <w:rsid w:val="0082547F"/>
    <w:rsid w:val="0082567C"/>
    <w:rsid w:val="00826565"/>
    <w:rsid w:val="008267C7"/>
    <w:rsid w:val="0082680B"/>
    <w:rsid w:val="00826B75"/>
    <w:rsid w:val="00827290"/>
    <w:rsid w:val="00827795"/>
    <w:rsid w:val="008277F4"/>
    <w:rsid w:val="00827B45"/>
    <w:rsid w:val="00827C40"/>
    <w:rsid w:val="00827E8E"/>
    <w:rsid w:val="008301FF"/>
    <w:rsid w:val="00830465"/>
    <w:rsid w:val="00830B56"/>
    <w:rsid w:val="00830C97"/>
    <w:rsid w:val="00831178"/>
    <w:rsid w:val="008316A7"/>
    <w:rsid w:val="0083192A"/>
    <w:rsid w:val="00831AB2"/>
    <w:rsid w:val="00831D18"/>
    <w:rsid w:val="0083262C"/>
    <w:rsid w:val="00833309"/>
    <w:rsid w:val="008333A4"/>
    <w:rsid w:val="008342BC"/>
    <w:rsid w:val="00834CB1"/>
    <w:rsid w:val="00834E6B"/>
    <w:rsid w:val="00835B87"/>
    <w:rsid w:val="00835F33"/>
    <w:rsid w:val="00836A7D"/>
    <w:rsid w:val="00837721"/>
    <w:rsid w:val="0084005C"/>
    <w:rsid w:val="00840422"/>
    <w:rsid w:val="00840768"/>
    <w:rsid w:val="008408E0"/>
    <w:rsid w:val="0084097D"/>
    <w:rsid w:val="00840BAA"/>
    <w:rsid w:val="00840CFB"/>
    <w:rsid w:val="008412D8"/>
    <w:rsid w:val="00841345"/>
    <w:rsid w:val="008428EF"/>
    <w:rsid w:val="0084315D"/>
    <w:rsid w:val="00843546"/>
    <w:rsid w:val="008435DC"/>
    <w:rsid w:val="00843780"/>
    <w:rsid w:val="0084433C"/>
    <w:rsid w:val="008448D3"/>
    <w:rsid w:val="00844B9B"/>
    <w:rsid w:val="00845491"/>
    <w:rsid w:val="008454B1"/>
    <w:rsid w:val="00845A9A"/>
    <w:rsid w:val="00845B70"/>
    <w:rsid w:val="00845C3A"/>
    <w:rsid w:val="00845E30"/>
    <w:rsid w:val="00845FE7"/>
    <w:rsid w:val="008470BD"/>
    <w:rsid w:val="008478F9"/>
    <w:rsid w:val="0085018F"/>
    <w:rsid w:val="008507C3"/>
    <w:rsid w:val="008508A7"/>
    <w:rsid w:val="00850E37"/>
    <w:rsid w:val="0085130C"/>
    <w:rsid w:val="00851768"/>
    <w:rsid w:val="00851AFD"/>
    <w:rsid w:val="00852434"/>
    <w:rsid w:val="00853147"/>
    <w:rsid w:val="008541BC"/>
    <w:rsid w:val="00854D7B"/>
    <w:rsid w:val="00854FA4"/>
    <w:rsid w:val="0085585C"/>
    <w:rsid w:val="008559FD"/>
    <w:rsid w:val="00855E43"/>
    <w:rsid w:val="00855FDD"/>
    <w:rsid w:val="008566BE"/>
    <w:rsid w:val="00856F19"/>
    <w:rsid w:val="00857227"/>
    <w:rsid w:val="0085756E"/>
    <w:rsid w:val="00857961"/>
    <w:rsid w:val="008615FD"/>
    <w:rsid w:val="00862175"/>
    <w:rsid w:val="008624D3"/>
    <w:rsid w:val="00862687"/>
    <w:rsid w:val="008628E3"/>
    <w:rsid w:val="00862CF5"/>
    <w:rsid w:val="008631D0"/>
    <w:rsid w:val="00863476"/>
    <w:rsid w:val="00863787"/>
    <w:rsid w:val="00863CEF"/>
    <w:rsid w:val="008645AC"/>
    <w:rsid w:val="0086486B"/>
    <w:rsid w:val="0086549F"/>
    <w:rsid w:val="008655F5"/>
    <w:rsid w:val="00865651"/>
    <w:rsid w:val="00865C6D"/>
    <w:rsid w:val="00865D6E"/>
    <w:rsid w:val="00866294"/>
    <w:rsid w:val="008664A4"/>
    <w:rsid w:val="0086734B"/>
    <w:rsid w:val="008674E1"/>
    <w:rsid w:val="00870E90"/>
    <w:rsid w:val="00870ECC"/>
    <w:rsid w:val="00871E19"/>
    <w:rsid w:val="00871F21"/>
    <w:rsid w:val="00872A4A"/>
    <w:rsid w:val="00872FA3"/>
    <w:rsid w:val="0087407A"/>
    <w:rsid w:val="008747FB"/>
    <w:rsid w:val="008749B1"/>
    <w:rsid w:val="00874A25"/>
    <w:rsid w:val="008757EC"/>
    <w:rsid w:val="00875831"/>
    <w:rsid w:val="008759CF"/>
    <w:rsid w:val="00875ABD"/>
    <w:rsid w:val="00875C95"/>
    <w:rsid w:val="00875ECC"/>
    <w:rsid w:val="008767BE"/>
    <w:rsid w:val="008776ED"/>
    <w:rsid w:val="00877A90"/>
    <w:rsid w:val="00880848"/>
    <w:rsid w:val="008810B2"/>
    <w:rsid w:val="008813BE"/>
    <w:rsid w:val="00881C63"/>
    <w:rsid w:val="00882928"/>
    <w:rsid w:val="008829D7"/>
    <w:rsid w:val="00882B77"/>
    <w:rsid w:val="00883331"/>
    <w:rsid w:val="008835B3"/>
    <w:rsid w:val="00883E86"/>
    <w:rsid w:val="00884775"/>
    <w:rsid w:val="00884946"/>
    <w:rsid w:val="008853C4"/>
    <w:rsid w:val="00885BD2"/>
    <w:rsid w:val="00885DEA"/>
    <w:rsid w:val="008867D2"/>
    <w:rsid w:val="00886E96"/>
    <w:rsid w:val="00887745"/>
    <w:rsid w:val="00890053"/>
    <w:rsid w:val="0089036F"/>
    <w:rsid w:val="0089065A"/>
    <w:rsid w:val="00890667"/>
    <w:rsid w:val="00891183"/>
    <w:rsid w:val="008914BD"/>
    <w:rsid w:val="0089161C"/>
    <w:rsid w:val="00891769"/>
    <w:rsid w:val="00892150"/>
    <w:rsid w:val="008925F4"/>
    <w:rsid w:val="00892EDD"/>
    <w:rsid w:val="00893307"/>
    <w:rsid w:val="00893852"/>
    <w:rsid w:val="00893D85"/>
    <w:rsid w:val="008941F7"/>
    <w:rsid w:val="0089425E"/>
    <w:rsid w:val="00894573"/>
    <w:rsid w:val="0089458A"/>
    <w:rsid w:val="0089467D"/>
    <w:rsid w:val="008948CE"/>
    <w:rsid w:val="00894B1F"/>
    <w:rsid w:val="00894FC6"/>
    <w:rsid w:val="00895297"/>
    <w:rsid w:val="008955E3"/>
    <w:rsid w:val="00896549"/>
    <w:rsid w:val="008971CE"/>
    <w:rsid w:val="008979F1"/>
    <w:rsid w:val="008A0B36"/>
    <w:rsid w:val="008A0BED"/>
    <w:rsid w:val="008A0F4E"/>
    <w:rsid w:val="008A153C"/>
    <w:rsid w:val="008A1BC2"/>
    <w:rsid w:val="008A1F21"/>
    <w:rsid w:val="008A24D0"/>
    <w:rsid w:val="008A25A5"/>
    <w:rsid w:val="008A2A9E"/>
    <w:rsid w:val="008A2C70"/>
    <w:rsid w:val="008A330E"/>
    <w:rsid w:val="008A38A2"/>
    <w:rsid w:val="008A3BF8"/>
    <w:rsid w:val="008A4642"/>
    <w:rsid w:val="008A46AE"/>
    <w:rsid w:val="008A4C29"/>
    <w:rsid w:val="008A4E61"/>
    <w:rsid w:val="008A5085"/>
    <w:rsid w:val="008A525F"/>
    <w:rsid w:val="008A6186"/>
    <w:rsid w:val="008A6950"/>
    <w:rsid w:val="008B002C"/>
    <w:rsid w:val="008B07B3"/>
    <w:rsid w:val="008B117A"/>
    <w:rsid w:val="008B14EA"/>
    <w:rsid w:val="008B1A60"/>
    <w:rsid w:val="008B1B78"/>
    <w:rsid w:val="008B21DD"/>
    <w:rsid w:val="008B2B61"/>
    <w:rsid w:val="008B31E2"/>
    <w:rsid w:val="008B39D2"/>
    <w:rsid w:val="008B3AD9"/>
    <w:rsid w:val="008B3B7B"/>
    <w:rsid w:val="008B3B9B"/>
    <w:rsid w:val="008B3E10"/>
    <w:rsid w:val="008B4331"/>
    <w:rsid w:val="008B489A"/>
    <w:rsid w:val="008B48EF"/>
    <w:rsid w:val="008B508D"/>
    <w:rsid w:val="008B513A"/>
    <w:rsid w:val="008B5490"/>
    <w:rsid w:val="008B5683"/>
    <w:rsid w:val="008B5BA7"/>
    <w:rsid w:val="008B6301"/>
    <w:rsid w:val="008B64B1"/>
    <w:rsid w:val="008B698C"/>
    <w:rsid w:val="008B7CAB"/>
    <w:rsid w:val="008C09E0"/>
    <w:rsid w:val="008C10FB"/>
    <w:rsid w:val="008C1167"/>
    <w:rsid w:val="008C225E"/>
    <w:rsid w:val="008C26C2"/>
    <w:rsid w:val="008C2705"/>
    <w:rsid w:val="008C271E"/>
    <w:rsid w:val="008C2B02"/>
    <w:rsid w:val="008C2E5B"/>
    <w:rsid w:val="008C2FD2"/>
    <w:rsid w:val="008C37B2"/>
    <w:rsid w:val="008C4736"/>
    <w:rsid w:val="008C4925"/>
    <w:rsid w:val="008C5612"/>
    <w:rsid w:val="008C56E3"/>
    <w:rsid w:val="008C608E"/>
    <w:rsid w:val="008C68F0"/>
    <w:rsid w:val="008C6E73"/>
    <w:rsid w:val="008C6EA4"/>
    <w:rsid w:val="008C6EF8"/>
    <w:rsid w:val="008C7126"/>
    <w:rsid w:val="008C737A"/>
    <w:rsid w:val="008C7754"/>
    <w:rsid w:val="008D0BBE"/>
    <w:rsid w:val="008D0C83"/>
    <w:rsid w:val="008D133A"/>
    <w:rsid w:val="008D152B"/>
    <w:rsid w:val="008D16E2"/>
    <w:rsid w:val="008D1A74"/>
    <w:rsid w:val="008D1CE2"/>
    <w:rsid w:val="008D2521"/>
    <w:rsid w:val="008D2D06"/>
    <w:rsid w:val="008D2FC7"/>
    <w:rsid w:val="008D31C4"/>
    <w:rsid w:val="008D34FB"/>
    <w:rsid w:val="008D3626"/>
    <w:rsid w:val="008D45F2"/>
    <w:rsid w:val="008D4766"/>
    <w:rsid w:val="008D4AE0"/>
    <w:rsid w:val="008D50E6"/>
    <w:rsid w:val="008D52AA"/>
    <w:rsid w:val="008D5F2C"/>
    <w:rsid w:val="008D6302"/>
    <w:rsid w:val="008D723E"/>
    <w:rsid w:val="008D79E9"/>
    <w:rsid w:val="008D7B17"/>
    <w:rsid w:val="008E0089"/>
    <w:rsid w:val="008E0113"/>
    <w:rsid w:val="008E037B"/>
    <w:rsid w:val="008E0C79"/>
    <w:rsid w:val="008E1249"/>
    <w:rsid w:val="008E1526"/>
    <w:rsid w:val="008E1B69"/>
    <w:rsid w:val="008E1CDA"/>
    <w:rsid w:val="008E201E"/>
    <w:rsid w:val="008E201F"/>
    <w:rsid w:val="008E2437"/>
    <w:rsid w:val="008E26BC"/>
    <w:rsid w:val="008E2C6C"/>
    <w:rsid w:val="008E3222"/>
    <w:rsid w:val="008E3794"/>
    <w:rsid w:val="008E4811"/>
    <w:rsid w:val="008E4861"/>
    <w:rsid w:val="008E4E1C"/>
    <w:rsid w:val="008E4EEE"/>
    <w:rsid w:val="008E5BF3"/>
    <w:rsid w:val="008E6A39"/>
    <w:rsid w:val="008F0993"/>
    <w:rsid w:val="008F0F41"/>
    <w:rsid w:val="008F1D21"/>
    <w:rsid w:val="008F23FC"/>
    <w:rsid w:val="008F2733"/>
    <w:rsid w:val="008F2881"/>
    <w:rsid w:val="008F39DD"/>
    <w:rsid w:val="008F3FB7"/>
    <w:rsid w:val="008F4354"/>
    <w:rsid w:val="008F54C0"/>
    <w:rsid w:val="008F5747"/>
    <w:rsid w:val="008F6144"/>
    <w:rsid w:val="008F62FE"/>
    <w:rsid w:val="008F69A3"/>
    <w:rsid w:val="008F74DD"/>
    <w:rsid w:val="008F7A9D"/>
    <w:rsid w:val="008F7AD4"/>
    <w:rsid w:val="008F7C9F"/>
    <w:rsid w:val="008F7DCC"/>
    <w:rsid w:val="00900339"/>
    <w:rsid w:val="00900909"/>
    <w:rsid w:val="00900E95"/>
    <w:rsid w:val="00901A36"/>
    <w:rsid w:val="00902253"/>
    <w:rsid w:val="00902560"/>
    <w:rsid w:val="00902976"/>
    <w:rsid w:val="00903553"/>
    <w:rsid w:val="0090379C"/>
    <w:rsid w:val="0090399F"/>
    <w:rsid w:val="00903BB9"/>
    <w:rsid w:val="00904011"/>
    <w:rsid w:val="0090442D"/>
    <w:rsid w:val="0090468A"/>
    <w:rsid w:val="00904875"/>
    <w:rsid w:val="009049D8"/>
    <w:rsid w:val="0090545A"/>
    <w:rsid w:val="0090576A"/>
    <w:rsid w:val="00905D14"/>
    <w:rsid w:val="00906523"/>
    <w:rsid w:val="00906BDF"/>
    <w:rsid w:val="00906C57"/>
    <w:rsid w:val="009071A1"/>
    <w:rsid w:val="0090755B"/>
    <w:rsid w:val="00907D8B"/>
    <w:rsid w:val="00910109"/>
    <w:rsid w:val="00911479"/>
    <w:rsid w:val="0091220A"/>
    <w:rsid w:val="00912377"/>
    <w:rsid w:val="0091393F"/>
    <w:rsid w:val="00913A75"/>
    <w:rsid w:val="00913CCA"/>
    <w:rsid w:val="00914627"/>
    <w:rsid w:val="00915376"/>
    <w:rsid w:val="00916039"/>
    <w:rsid w:val="00917269"/>
    <w:rsid w:val="00917FEC"/>
    <w:rsid w:val="0092045E"/>
    <w:rsid w:val="00920692"/>
    <w:rsid w:val="00921222"/>
    <w:rsid w:val="00921885"/>
    <w:rsid w:val="0092197D"/>
    <w:rsid w:val="00921F67"/>
    <w:rsid w:val="00922CA6"/>
    <w:rsid w:val="00922CE0"/>
    <w:rsid w:val="0092318D"/>
    <w:rsid w:val="00923E7E"/>
    <w:rsid w:val="009241A0"/>
    <w:rsid w:val="00924C79"/>
    <w:rsid w:val="009254B6"/>
    <w:rsid w:val="00925E0A"/>
    <w:rsid w:val="00925E1D"/>
    <w:rsid w:val="00925E2F"/>
    <w:rsid w:val="00925E93"/>
    <w:rsid w:val="00926190"/>
    <w:rsid w:val="00926F52"/>
    <w:rsid w:val="009271EE"/>
    <w:rsid w:val="009275AC"/>
    <w:rsid w:val="00927B23"/>
    <w:rsid w:val="009304B9"/>
    <w:rsid w:val="009308FF"/>
    <w:rsid w:val="009312A3"/>
    <w:rsid w:val="0093183C"/>
    <w:rsid w:val="00931B65"/>
    <w:rsid w:val="00931BA4"/>
    <w:rsid w:val="00932887"/>
    <w:rsid w:val="00932E8F"/>
    <w:rsid w:val="00933106"/>
    <w:rsid w:val="00933A0D"/>
    <w:rsid w:val="00933E27"/>
    <w:rsid w:val="00933E51"/>
    <w:rsid w:val="00934108"/>
    <w:rsid w:val="00934518"/>
    <w:rsid w:val="00934CAD"/>
    <w:rsid w:val="00934E61"/>
    <w:rsid w:val="0093584A"/>
    <w:rsid w:val="0093641E"/>
    <w:rsid w:val="00936DFE"/>
    <w:rsid w:val="00940006"/>
    <w:rsid w:val="00940518"/>
    <w:rsid w:val="00940552"/>
    <w:rsid w:val="0094091A"/>
    <w:rsid w:val="00940AD5"/>
    <w:rsid w:val="00940BC7"/>
    <w:rsid w:val="00941095"/>
    <w:rsid w:val="00941121"/>
    <w:rsid w:val="0094195B"/>
    <w:rsid w:val="00941C63"/>
    <w:rsid w:val="00941E27"/>
    <w:rsid w:val="00942637"/>
    <w:rsid w:val="00942C3B"/>
    <w:rsid w:val="00942DB8"/>
    <w:rsid w:val="00942DCE"/>
    <w:rsid w:val="0094383A"/>
    <w:rsid w:val="00943A4D"/>
    <w:rsid w:val="00944425"/>
    <w:rsid w:val="009446D9"/>
    <w:rsid w:val="00944BBB"/>
    <w:rsid w:val="00946B5A"/>
    <w:rsid w:val="00946C42"/>
    <w:rsid w:val="00950656"/>
    <w:rsid w:val="00951189"/>
    <w:rsid w:val="00951334"/>
    <w:rsid w:val="0095149B"/>
    <w:rsid w:val="00951631"/>
    <w:rsid w:val="009519EA"/>
    <w:rsid w:val="009521A4"/>
    <w:rsid w:val="00952BDC"/>
    <w:rsid w:val="00952C10"/>
    <w:rsid w:val="00953392"/>
    <w:rsid w:val="009537F7"/>
    <w:rsid w:val="00953D91"/>
    <w:rsid w:val="00953E8A"/>
    <w:rsid w:val="0095450E"/>
    <w:rsid w:val="00954722"/>
    <w:rsid w:val="009549D9"/>
    <w:rsid w:val="009557E7"/>
    <w:rsid w:val="00955F15"/>
    <w:rsid w:val="00956E31"/>
    <w:rsid w:val="00956F40"/>
    <w:rsid w:val="009570D6"/>
    <w:rsid w:val="0095785F"/>
    <w:rsid w:val="00957C15"/>
    <w:rsid w:val="00957F04"/>
    <w:rsid w:val="009615AE"/>
    <w:rsid w:val="00961A75"/>
    <w:rsid w:val="0096216A"/>
    <w:rsid w:val="0096224B"/>
    <w:rsid w:val="009627CE"/>
    <w:rsid w:val="00962A39"/>
    <w:rsid w:val="0096336D"/>
    <w:rsid w:val="00963C05"/>
    <w:rsid w:val="00964C8D"/>
    <w:rsid w:val="00964F2E"/>
    <w:rsid w:val="00965180"/>
    <w:rsid w:val="009652D0"/>
    <w:rsid w:val="00965794"/>
    <w:rsid w:val="0096584B"/>
    <w:rsid w:val="009659ED"/>
    <w:rsid w:val="00966A38"/>
    <w:rsid w:val="00966C38"/>
    <w:rsid w:val="00966FB5"/>
    <w:rsid w:val="0096737D"/>
    <w:rsid w:val="0096748F"/>
    <w:rsid w:val="00967EC8"/>
    <w:rsid w:val="00970144"/>
    <w:rsid w:val="0097026A"/>
    <w:rsid w:val="00970371"/>
    <w:rsid w:val="00970426"/>
    <w:rsid w:val="00970527"/>
    <w:rsid w:val="00970A7C"/>
    <w:rsid w:val="00971847"/>
    <w:rsid w:val="00971F17"/>
    <w:rsid w:val="0097218C"/>
    <w:rsid w:val="00972D32"/>
    <w:rsid w:val="00972E0A"/>
    <w:rsid w:val="00973FB1"/>
    <w:rsid w:val="009748DE"/>
    <w:rsid w:val="009755F3"/>
    <w:rsid w:val="00975C3B"/>
    <w:rsid w:val="00975FB0"/>
    <w:rsid w:val="00976175"/>
    <w:rsid w:val="00977BBF"/>
    <w:rsid w:val="00977CF4"/>
    <w:rsid w:val="009809B4"/>
    <w:rsid w:val="0098114F"/>
    <w:rsid w:val="00981682"/>
    <w:rsid w:val="00981D5F"/>
    <w:rsid w:val="009826CE"/>
    <w:rsid w:val="00982ECD"/>
    <w:rsid w:val="00983577"/>
    <w:rsid w:val="009841A9"/>
    <w:rsid w:val="00984E88"/>
    <w:rsid w:val="00984EB7"/>
    <w:rsid w:val="0098505E"/>
    <w:rsid w:val="00985063"/>
    <w:rsid w:val="009857A9"/>
    <w:rsid w:val="00985902"/>
    <w:rsid w:val="00985A59"/>
    <w:rsid w:val="00985C51"/>
    <w:rsid w:val="00985ED8"/>
    <w:rsid w:val="009867FA"/>
    <w:rsid w:val="00986B47"/>
    <w:rsid w:val="009874E7"/>
    <w:rsid w:val="00987829"/>
    <w:rsid w:val="00987ABC"/>
    <w:rsid w:val="0099053A"/>
    <w:rsid w:val="00991187"/>
    <w:rsid w:val="009928D9"/>
    <w:rsid w:val="009929A7"/>
    <w:rsid w:val="00992ECF"/>
    <w:rsid w:val="0099333F"/>
    <w:rsid w:val="00993382"/>
    <w:rsid w:val="0099341A"/>
    <w:rsid w:val="00993C62"/>
    <w:rsid w:val="00994273"/>
    <w:rsid w:val="009945EF"/>
    <w:rsid w:val="0099494C"/>
    <w:rsid w:val="00994AC0"/>
    <w:rsid w:val="00994EF6"/>
    <w:rsid w:val="0099530E"/>
    <w:rsid w:val="009953CE"/>
    <w:rsid w:val="00995527"/>
    <w:rsid w:val="0099581B"/>
    <w:rsid w:val="009972D9"/>
    <w:rsid w:val="009A03F5"/>
    <w:rsid w:val="009A142A"/>
    <w:rsid w:val="009A1A20"/>
    <w:rsid w:val="009A1E38"/>
    <w:rsid w:val="009A1E52"/>
    <w:rsid w:val="009A2A18"/>
    <w:rsid w:val="009A2AEE"/>
    <w:rsid w:val="009A2B7E"/>
    <w:rsid w:val="009A2D1F"/>
    <w:rsid w:val="009A4332"/>
    <w:rsid w:val="009A4575"/>
    <w:rsid w:val="009A5039"/>
    <w:rsid w:val="009A534E"/>
    <w:rsid w:val="009A5816"/>
    <w:rsid w:val="009A5DEE"/>
    <w:rsid w:val="009A6561"/>
    <w:rsid w:val="009A661F"/>
    <w:rsid w:val="009A685B"/>
    <w:rsid w:val="009A6F9B"/>
    <w:rsid w:val="009A736B"/>
    <w:rsid w:val="009A793B"/>
    <w:rsid w:val="009A79E1"/>
    <w:rsid w:val="009A7C99"/>
    <w:rsid w:val="009B079B"/>
    <w:rsid w:val="009B0868"/>
    <w:rsid w:val="009B0BDF"/>
    <w:rsid w:val="009B0F35"/>
    <w:rsid w:val="009B17C4"/>
    <w:rsid w:val="009B1B16"/>
    <w:rsid w:val="009B1C19"/>
    <w:rsid w:val="009B1EE1"/>
    <w:rsid w:val="009B2479"/>
    <w:rsid w:val="009B2CCC"/>
    <w:rsid w:val="009B3671"/>
    <w:rsid w:val="009B4553"/>
    <w:rsid w:val="009B4755"/>
    <w:rsid w:val="009B4AB2"/>
    <w:rsid w:val="009B4BA3"/>
    <w:rsid w:val="009B4F92"/>
    <w:rsid w:val="009B54FD"/>
    <w:rsid w:val="009B57C8"/>
    <w:rsid w:val="009B5C30"/>
    <w:rsid w:val="009B5D66"/>
    <w:rsid w:val="009B6027"/>
    <w:rsid w:val="009B612A"/>
    <w:rsid w:val="009B6140"/>
    <w:rsid w:val="009B6D7B"/>
    <w:rsid w:val="009B6E68"/>
    <w:rsid w:val="009B7625"/>
    <w:rsid w:val="009B76B9"/>
    <w:rsid w:val="009B7A21"/>
    <w:rsid w:val="009B7E6F"/>
    <w:rsid w:val="009B7F92"/>
    <w:rsid w:val="009C04A2"/>
    <w:rsid w:val="009C127E"/>
    <w:rsid w:val="009C1921"/>
    <w:rsid w:val="009C1A52"/>
    <w:rsid w:val="009C1CA2"/>
    <w:rsid w:val="009C2226"/>
    <w:rsid w:val="009C2EEC"/>
    <w:rsid w:val="009C3353"/>
    <w:rsid w:val="009C345A"/>
    <w:rsid w:val="009C35FE"/>
    <w:rsid w:val="009C459C"/>
    <w:rsid w:val="009C481A"/>
    <w:rsid w:val="009C4C63"/>
    <w:rsid w:val="009C4CDD"/>
    <w:rsid w:val="009C4F07"/>
    <w:rsid w:val="009C4FB1"/>
    <w:rsid w:val="009C54D0"/>
    <w:rsid w:val="009C5859"/>
    <w:rsid w:val="009C59D8"/>
    <w:rsid w:val="009C5CC1"/>
    <w:rsid w:val="009C660D"/>
    <w:rsid w:val="009C6638"/>
    <w:rsid w:val="009C6644"/>
    <w:rsid w:val="009C699C"/>
    <w:rsid w:val="009C6B29"/>
    <w:rsid w:val="009C6C18"/>
    <w:rsid w:val="009C7305"/>
    <w:rsid w:val="009C7712"/>
    <w:rsid w:val="009C775F"/>
    <w:rsid w:val="009C7B82"/>
    <w:rsid w:val="009C7C14"/>
    <w:rsid w:val="009D01C2"/>
    <w:rsid w:val="009D03A8"/>
    <w:rsid w:val="009D0901"/>
    <w:rsid w:val="009D0EAC"/>
    <w:rsid w:val="009D1CD4"/>
    <w:rsid w:val="009D2306"/>
    <w:rsid w:val="009D2604"/>
    <w:rsid w:val="009D260D"/>
    <w:rsid w:val="009D286A"/>
    <w:rsid w:val="009D288F"/>
    <w:rsid w:val="009D2B16"/>
    <w:rsid w:val="009D3195"/>
    <w:rsid w:val="009D398A"/>
    <w:rsid w:val="009D3B4C"/>
    <w:rsid w:val="009D3C8B"/>
    <w:rsid w:val="009D43C1"/>
    <w:rsid w:val="009D4611"/>
    <w:rsid w:val="009D4D29"/>
    <w:rsid w:val="009D61F6"/>
    <w:rsid w:val="009D6244"/>
    <w:rsid w:val="009D6256"/>
    <w:rsid w:val="009D661E"/>
    <w:rsid w:val="009D70A2"/>
    <w:rsid w:val="009D7383"/>
    <w:rsid w:val="009D7889"/>
    <w:rsid w:val="009D7C86"/>
    <w:rsid w:val="009E0256"/>
    <w:rsid w:val="009E0AAA"/>
    <w:rsid w:val="009E0E36"/>
    <w:rsid w:val="009E1527"/>
    <w:rsid w:val="009E19A3"/>
    <w:rsid w:val="009E1D7F"/>
    <w:rsid w:val="009E239D"/>
    <w:rsid w:val="009E2968"/>
    <w:rsid w:val="009E2D38"/>
    <w:rsid w:val="009E33AF"/>
    <w:rsid w:val="009E369E"/>
    <w:rsid w:val="009E37A6"/>
    <w:rsid w:val="009E3B79"/>
    <w:rsid w:val="009E3B87"/>
    <w:rsid w:val="009E43E5"/>
    <w:rsid w:val="009E4FDF"/>
    <w:rsid w:val="009E53F7"/>
    <w:rsid w:val="009E552F"/>
    <w:rsid w:val="009E5639"/>
    <w:rsid w:val="009E59CC"/>
    <w:rsid w:val="009E61FD"/>
    <w:rsid w:val="009E71F0"/>
    <w:rsid w:val="009E7478"/>
    <w:rsid w:val="009E7870"/>
    <w:rsid w:val="009E7E0E"/>
    <w:rsid w:val="009F0A06"/>
    <w:rsid w:val="009F1060"/>
    <w:rsid w:val="009F1CD9"/>
    <w:rsid w:val="009F2350"/>
    <w:rsid w:val="009F2B3B"/>
    <w:rsid w:val="009F30D4"/>
    <w:rsid w:val="009F3EA9"/>
    <w:rsid w:val="009F4108"/>
    <w:rsid w:val="009F4672"/>
    <w:rsid w:val="009F4721"/>
    <w:rsid w:val="009F4A8B"/>
    <w:rsid w:val="009F4F77"/>
    <w:rsid w:val="009F5479"/>
    <w:rsid w:val="009F599A"/>
    <w:rsid w:val="009F5C2A"/>
    <w:rsid w:val="009F6310"/>
    <w:rsid w:val="009F73F7"/>
    <w:rsid w:val="009F76FC"/>
    <w:rsid w:val="00A00045"/>
    <w:rsid w:val="00A006E0"/>
    <w:rsid w:val="00A00AE1"/>
    <w:rsid w:val="00A00CE0"/>
    <w:rsid w:val="00A01068"/>
    <w:rsid w:val="00A023B9"/>
    <w:rsid w:val="00A024D0"/>
    <w:rsid w:val="00A0285D"/>
    <w:rsid w:val="00A02899"/>
    <w:rsid w:val="00A02A68"/>
    <w:rsid w:val="00A02B25"/>
    <w:rsid w:val="00A02E68"/>
    <w:rsid w:val="00A02F00"/>
    <w:rsid w:val="00A02F04"/>
    <w:rsid w:val="00A04100"/>
    <w:rsid w:val="00A043B5"/>
    <w:rsid w:val="00A04C12"/>
    <w:rsid w:val="00A054A1"/>
    <w:rsid w:val="00A05E0D"/>
    <w:rsid w:val="00A06631"/>
    <w:rsid w:val="00A06CA6"/>
    <w:rsid w:val="00A06EFA"/>
    <w:rsid w:val="00A0704D"/>
    <w:rsid w:val="00A079C6"/>
    <w:rsid w:val="00A07E31"/>
    <w:rsid w:val="00A1045B"/>
    <w:rsid w:val="00A10826"/>
    <w:rsid w:val="00A10ED0"/>
    <w:rsid w:val="00A112B8"/>
    <w:rsid w:val="00A11365"/>
    <w:rsid w:val="00A1147D"/>
    <w:rsid w:val="00A1192E"/>
    <w:rsid w:val="00A11CA2"/>
    <w:rsid w:val="00A11E67"/>
    <w:rsid w:val="00A120DF"/>
    <w:rsid w:val="00A12970"/>
    <w:rsid w:val="00A13A36"/>
    <w:rsid w:val="00A145CB"/>
    <w:rsid w:val="00A1465B"/>
    <w:rsid w:val="00A14F68"/>
    <w:rsid w:val="00A155A7"/>
    <w:rsid w:val="00A15856"/>
    <w:rsid w:val="00A16B58"/>
    <w:rsid w:val="00A177B9"/>
    <w:rsid w:val="00A208BE"/>
    <w:rsid w:val="00A214D2"/>
    <w:rsid w:val="00A2182B"/>
    <w:rsid w:val="00A219FB"/>
    <w:rsid w:val="00A234DD"/>
    <w:rsid w:val="00A23A9D"/>
    <w:rsid w:val="00A23D6B"/>
    <w:rsid w:val="00A24205"/>
    <w:rsid w:val="00A24734"/>
    <w:rsid w:val="00A25C2E"/>
    <w:rsid w:val="00A265CF"/>
    <w:rsid w:val="00A2756A"/>
    <w:rsid w:val="00A27F8E"/>
    <w:rsid w:val="00A3042C"/>
    <w:rsid w:val="00A3069A"/>
    <w:rsid w:val="00A306CC"/>
    <w:rsid w:val="00A30E4D"/>
    <w:rsid w:val="00A31874"/>
    <w:rsid w:val="00A31C1D"/>
    <w:rsid w:val="00A3209B"/>
    <w:rsid w:val="00A320AF"/>
    <w:rsid w:val="00A323B9"/>
    <w:rsid w:val="00A3310D"/>
    <w:rsid w:val="00A33453"/>
    <w:rsid w:val="00A3347A"/>
    <w:rsid w:val="00A3356C"/>
    <w:rsid w:val="00A336EA"/>
    <w:rsid w:val="00A34D4A"/>
    <w:rsid w:val="00A3539E"/>
    <w:rsid w:val="00A357F6"/>
    <w:rsid w:val="00A35948"/>
    <w:rsid w:val="00A35A02"/>
    <w:rsid w:val="00A35AF4"/>
    <w:rsid w:val="00A35D66"/>
    <w:rsid w:val="00A36362"/>
    <w:rsid w:val="00A367C3"/>
    <w:rsid w:val="00A37143"/>
    <w:rsid w:val="00A37A14"/>
    <w:rsid w:val="00A40212"/>
    <w:rsid w:val="00A4038F"/>
    <w:rsid w:val="00A406C2"/>
    <w:rsid w:val="00A40973"/>
    <w:rsid w:val="00A4143E"/>
    <w:rsid w:val="00A41A55"/>
    <w:rsid w:val="00A41C33"/>
    <w:rsid w:val="00A42104"/>
    <w:rsid w:val="00A437FE"/>
    <w:rsid w:val="00A43E57"/>
    <w:rsid w:val="00A43E9B"/>
    <w:rsid w:val="00A44314"/>
    <w:rsid w:val="00A4565D"/>
    <w:rsid w:val="00A46C70"/>
    <w:rsid w:val="00A4775B"/>
    <w:rsid w:val="00A47B4E"/>
    <w:rsid w:val="00A47F91"/>
    <w:rsid w:val="00A50DFE"/>
    <w:rsid w:val="00A50E6B"/>
    <w:rsid w:val="00A51E21"/>
    <w:rsid w:val="00A525C4"/>
    <w:rsid w:val="00A52D34"/>
    <w:rsid w:val="00A55466"/>
    <w:rsid w:val="00A5610E"/>
    <w:rsid w:val="00A56696"/>
    <w:rsid w:val="00A569FE"/>
    <w:rsid w:val="00A56D37"/>
    <w:rsid w:val="00A56EF7"/>
    <w:rsid w:val="00A5774F"/>
    <w:rsid w:val="00A57A02"/>
    <w:rsid w:val="00A57EC3"/>
    <w:rsid w:val="00A609FD"/>
    <w:rsid w:val="00A60BB3"/>
    <w:rsid w:val="00A61249"/>
    <w:rsid w:val="00A62EE9"/>
    <w:rsid w:val="00A63E49"/>
    <w:rsid w:val="00A6407E"/>
    <w:rsid w:val="00A65B52"/>
    <w:rsid w:val="00A6636A"/>
    <w:rsid w:val="00A66A4D"/>
    <w:rsid w:val="00A66D9E"/>
    <w:rsid w:val="00A66FDB"/>
    <w:rsid w:val="00A6715F"/>
    <w:rsid w:val="00A674E7"/>
    <w:rsid w:val="00A67537"/>
    <w:rsid w:val="00A6794F"/>
    <w:rsid w:val="00A67EA2"/>
    <w:rsid w:val="00A7028D"/>
    <w:rsid w:val="00A70353"/>
    <w:rsid w:val="00A70B15"/>
    <w:rsid w:val="00A71107"/>
    <w:rsid w:val="00A7132D"/>
    <w:rsid w:val="00A717F8"/>
    <w:rsid w:val="00A718FC"/>
    <w:rsid w:val="00A71C66"/>
    <w:rsid w:val="00A72034"/>
    <w:rsid w:val="00A72EBE"/>
    <w:rsid w:val="00A72EE0"/>
    <w:rsid w:val="00A73B8A"/>
    <w:rsid w:val="00A74085"/>
    <w:rsid w:val="00A74498"/>
    <w:rsid w:val="00A747D4"/>
    <w:rsid w:val="00A749B2"/>
    <w:rsid w:val="00A74C55"/>
    <w:rsid w:val="00A74F68"/>
    <w:rsid w:val="00A755FE"/>
    <w:rsid w:val="00A760B4"/>
    <w:rsid w:val="00A76493"/>
    <w:rsid w:val="00A76503"/>
    <w:rsid w:val="00A76739"/>
    <w:rsid w:val="00A7789C"/>
    <w:rsid w:val="00A80E8D"/>
    <w:rsid w:val="00A81624"/>
    <w:rsid w:val="00A81ABE"/>
    <w:rsid w:val="00A820A8"/>
    <w:rsid w:val="00A82251"/>
    <w:rsid w:val="00A823A9"/>
    <w:rsid w:val="00A824E0"/>
    <w:rsid w:val="00A8309C"/>
    <w:rsid w:val="00A8346F"/>
    <w:rsid w:val="00A83E60"/>
    <w:rsid w:val="00A8411C"/>
    <w:rsid w:val="00A84386"/>
    <w:rsid w:val="00A84653"/>
    <w:rsid w:val="00A846FC"/>
    <w:rsid w:val="00A8526D"/>
    <w:rsid w:val="00A86DE0"/>
    <w:rsid w:val="00A86FC9"/>
    <w:rsid w:val="00A87188"/>
    <w:rsid w:val="00A871C4"/>
    <w:rsid w:val="00A879B8"/>
    <w:rsid w:val="00A9028A"/>
    <w:rsid w:val="00A90496"/>
    <w:rsid w:val="00A9052D"/>
    <w:rsid w:val="00A907D3"/>
    <w:rsid w:val="00A90993"/>
    <w:rsid w:val="00A912CC"/>
    <w:rsid w:val="00A929C4"/>
    <w:rsid w:val="00A92D03"/>
    <w:rsid w:val="00A92F2B"/>
    <w:rsid w:val="00A93C78"/>
    <w:rsid w:val="00A93CA2"/>
    <w:rsid w:val="00A94517"/>
    <w:rsid w:val="00A94D3E"/>
    <w:rsid w:val="00A953EB"/>
    <w:rsid w:val="00A95E54"/>
    <w:rsid w:val="00A9655F"/>
    <w:rsid w:val="00A978C3"/>
    <w:rsid w:val="00A97D8C"/>
    <w:rsid w:val="00AA0B54"/>
    <w:rsid w:val="00AA0D8A"/>
    <w:rsid w:val="00AA0DAD"/>
    <w:rsid w:val="00AA0F42"/>
    <w:rsid w:val="00AA1F7E"/>
    <w:rsid w:val="00AA21BF"/>
    <w:rsid w:val="00AA24C5"/>
    <w:rsid w:val="00AA3284"/>
    <w:rsid w:val="00AA34F6"/>
    <w:rsid w:val="00AA3BBC"/>
    <w:rsid w:val="00AA3DAA"/>
    <w:rsid w:val="00AA42EF"/>
    <w:rsid w:val="00AA42F8"/>
    <w:rsid w:val="00AA4310"/>
    <w:rsid w:val="00AA4A58"/>
    <w:rsid w:val="00AA5612"/>
    <w:rsid w:val="00AA5BE1"/>
    <w:rsid w:val="00AA5ED7"/>
    <w:rsid w:val="00AA6590"/>
    <w:rsid w:val="00AA68A9"/>
    <w:rsid w:val="00AA6B6C"/>
    <w:rsid w:val="00AA7E5F"/>
    <w:rsid w:val="00AA7FE0"/>
    <w:rsid w:val="00AB00A0"/>
    <w:rsid w:val="00AB0340"/>
    <w:rsid w:val="00AB0B43"/>
    <w:rsid w:val="00AB0EE1"/>
    <w:rsid w:val="00AB10A3"/>
    <w:rsid w:val="00AB12A2"/>
    <w:rsid w:val="00AB2A6D"/>
    <w:rsid w:val="00AB3336"/>
    <w:rsid w:val="00AB357C"/>
    <w:rsid w:val="00AB3D31"/>
    <w:rsid w:val="00AB3D49"/>
    <w:rsid w:val="00AB415A"/>
    <w:rsid w:val="00AB446E"/>
    <w:rsid w:val="00AB44A6"/>
    <w:rsid w:val="00AB4A96"/>
    <w:rsid w:val="00AB50E3"/>
    <w:rsid w:val="00AB537B"/>
    <w:rsid w:val="00AB5428"/>
    <w:rsid w:val="00AB583D"/>
    <w:rsid w:val="00AB5992"/>
    <w:rsid w:val="00AB59B8"/>
    <w:rsid w:val="00AB5F0F"/>
    <w:rsid w:val="00AB6534"/>
    <w:rsid w:val="00AB65B4"/>
    <w:rsid w:val="00AB6BC7"/>
    <w:rsid w:val="00AB6C12"/>
    <w:rsid w:val="00AB703F"/>
    <w:rsid w:val="00AB7392"/>
    <w:rsid w:val="00AB778E"/>
    <w:rsid w:val="00AB7B68"/>
    <w:rsid w:val="00AB7DD1"/>
    <w:rsid w:val="00AC02B7"/>
    <w:rsid w:val="00AC06EC"/>
    <w:rsid w:val="00AC1416"/>
    <w:rsid w:val="00AC1456"/>
    <w:rsid w:val="00AC1522"/>
    <w:rsid w:val="00AC17D4"/>
    <w:rsid w:val="00AC1BCF"/>
    <w:rsid w:val="00AC1F89"/>
    <w:rsid w:val="00AC23A7"/>
    <w:rsid w:val="00AC304F"/>
    <w:rsid w:val="00AC3C2C"/>
    <w:rsid w:val="00AC43CF"/>
    <w:rsid w:val="00AC446A"/>
    <w:rsid w:val="00AC47B4"/>
    <w:rsid w:val="00AC4F46"/>
    <w:rsid w:val="00AC5782"/>
    <w:rsid w:val="00AC5CF6"/>
    <w:rsid w:val="00AC6131"/>
    <w:rsid w:val="00AC684B"/>
    <w:rsid w:val="00AC697F"/>
    <w:rsid w:val="00AC6BE6"/>
    <w:rsid w:val="00AC6EA8"/>
    <w:rsid w:val="00AC72C4"/>
    <w:rsid w:val="00AC78C3"/>
    <w:rsid w:val="00AC7C78"/>
    <w:rsid w:val="00AC7F3C"/>
    <w:rsid w:val="00AD0257"/>
    <w:rsid w:val="00AD0600"/>
    <w:rsid w:val="00AD1B16"/>
    <w:rsid w:val="00AD1B93"/>
    <w:rsid w:val="00AD1DB3"/>
    <w:rsid w:val="00AD1DC6"/>
    <w:rsid w:val="00AD1F5A"/>
    <w:rsid w:val="00AD214B"/>
    <w:rsid w:val="00AD2179"/>
    <w:rsid w:val="00AD25D6"/>
    <w:rsid w:val="00AD291A"/>
    <w:rsid w:val="00AD33F0"/>
    <w:rsid w:val="00AD385E"/>
    <w:rsid w:val="00AD3A7D"/>
    <w:rsid w:val="00AD404F"/>
    <w:rsid w:val="00AD4071"/>
    <w:rsid w:val="00AD4264"/>
    <w:rsid w:val="00AD51ED"/>
    <w:rsid w:val="00AD6194"/>
    <w:rsid w:val="00AD6675"/>
    <w:rsid w:val="00AD70D2"/>
    <w:rsid w:val="00AD71AB"/>
    <w:rsid w:val="00AD73C8"/>
    <w:rsid w:val="00AD75FA"/>
    <w:rsid w:val="00AD76F2"/>
    <w:rsid w:val="00AE0555"/>
    <w:rsid w:val="00AE07BF"/>
    <w:rsid w:val="00AE0CBD"/>
    <w:rsid w:val="00AE19D7"/>
    <w:rsid w:val="00AE1A68"/>
    <w:rsid w:val="00AE1D1C"/>
    <w:rsid w:val="00AE1FD5"/>
    <w:rsid w:val="00AE1FE1"/>
    <w:rsid w:val="00AE252A"/>
    <w:rsid w:val="00AE2CA2"/>
    <w:rsid w:val="00AE2DFD"/>
    <w:rsid w:val="00AE3A65"/>
    <w:rsid w:val="00AE3FA3"/>
    <w:rsid w:val="00AE4178"/>
    <w:rsid w:val="00AE45FA"/>
    <w:rsid w:val="00AE4C9C"/>
    <w:rsid w:val="00AE6333"/>
    <w:rsid w:val="00AE6664"/>
    <w:rsid w:val="00AE6C41"/>
    <w:rsid w:val="00AE77BD"/>
    <w:rsid w:val="00AF03A7"/>
    <w:rsid w:val="00AF07B2"/>
    <w:rsid w:val="00AF0A42"/>
    <w:rsid w:val="00AF0EDF"/>
    <w:rsid w:val="00AF16EC"/>
    <w:rsid w:val="00AF1E4F"/>
    <w:rsid w:val="00AF1F58"/>
    <w:rsid w:val="00AF22C2"/>
    <w:rsid w:val="00AF3692"/>
    <w:rsid w:val="00AF373A"/>
    <w:rsid w:val="00AF3B51"/>
    <w:rsid w:val="00AF3BB9"/>
    <w:rsid w:val="00AF4121"/>
    <w:rsid w:val="00AF56A3"/>
    <w:rsid w:val="00AF579F"/>
    <w:rsid w:val="00AF59E0"/>
    <w:rsid w:val="00AF616B"/>
    <w:rsid w:val="00AF6D50"/>
    <w:rsid w:val="00AF7992"/>
    <w:rsid w:val="00AF7D3F"/>
    <w:rsid w:val="00AF7EED"/>
    <w:rsid w:val="00AF7EFC"/>
    <w:rsid w:val="00B000E8"/>
    <w:rsid w:val="00B004EF"/>
    <w:rsid w:val="00B00F88"/>
    <w:rsid w:val="00B01333"/>
    <w:rsid w:val="00B013B6"/>
    <w:rsid w:val="00B016BD"/>
    <w:rsid w:val="00B01F43"/>
    <w:rsid w:val="00B026C3"/>
    <w:rsid w:val="00B031D0"/>
    <w:rsid w:val="00B03E3C"/>
    <w:rsid w:val="00B03F8D"/>
    <w:rsid w:val="00B048CE"/>
    <w:rsid w:val="00B05100"/>
    <w:rsid w:val="00B05D9C"/>
    <w:rsid w:val="00B05EC6"/>
    <w:rsid w:val="00B063FC"/>
    <w:rsid w:val="00B0679C"/>
    <w:rsid w:val="00B07D4D"/>
    <w:rsid w:val="00B104AC"/>
    <w:rsid w:val="00B1067B"/>
    <w:rsid w:val="00B10874"/>
    <w:rsid w:val="00B10ACD"/>
    <w:rsid w:val="00B110A4"/>
    <w:rsid w:val="00B11995"/>
    <w:rsid w:val="00B11E16"/>
    <w:rsid w:val="00B12301"/>
    <w:rsid w:val="00B127DD"/>
    <w:rsid w:val="00B13B3A"/>
    <w:rsid w:val="00B14141"/>
    <w:rsid w:val="00B14168"/>
    <w:rsid w:val="00B14678"/>
    <w:rsid w:val="00B152CA"/>
    <w:rsid w:val="00B15DB5"/>
    <w:rsid w:val="00B177C2"/>
    <w:rsid w:val="00B20390"/>
    <w:rsid w:val="00B20504"/>
    <w:rsid w:val="00B205CD"/>
    <w:rsid w:val="00B20D28"/>
    <w:rsid w:val="00B222EB"/>
    <w:rsid w:val="00B22F3B"/>
    <w:rsid w:val="00B232C5"/>
    <w:rsid w:val="00B237D5"/>
    <w:rsid w:val="00B24992"/>
    <w:rsid w:val="00B24E06"/>
    <w:rsid w:val="00B25321"/>
    <w:rsid w:val="00B256A7"/>
    <w:rsid w:val="00B25B8E"/>
    <w:rsid w:val="00B25C65"/>
    <w:rsid w:val="00B25C6B"/>
    <w:rsid w:val="00B2692E"/>
    <w:rsid w:val="00B26ABC"/>
    <w:rsid w:val="00B26AE0"/>
    <w:rsid w:val="00B27469"/>
    <w:rsid w:val="00B27536"/>
    <w:rsid w:val="00B27545"/>
    <w:rsid w:val="00B30733"/>
    <w:rsid w:val="00B307BA"/>
    <w:rsid w:val="00B31BE2"/>
    <w:rsid w:val="00B32792"/>
    <w:rsid w:val="00B32B9A"/>
    <w:rsid w:val="00B32DDF"/>
    <w:rsid w:val="00B33719"/>
    <w:rsid w:val="00B33989"/>
    <w:rsid w:val="00B3462E"/>
    <w:rsid w:val="00B348EF"/>
    <w:rsid w:val="00B35149"/>
    <w:rsid w:val="00B35D95"/>
    <w:rsid w:val="00B36090"/>
    <w:rsid w:val="00B36A83"/>
    <w:rsid w:val="00B36FE1"/>
    <w:rsid w:val="00B370E3"/>
    <w:rsid w:val="00B37459"/>
    <w:rsid w:val="00B37AC0"/>
    <w:rsid w:val="00B401C7"/>
    <w:rsid w:val="00B4067C"/>
    <w:rsid w:val="00B40C75"/>
    <w:rsid w:val="00B40CEB"/>
    <w:rsid w:val="00B40EE7"/>
    <w:rsid w:val="00B41838"/>
    <w:rsid w:val="00B41C0C"/>
    <w:rsid w:val="00B4256C"/>
    <w:rsid w:val="00B42A8B"/>
    <w:rsid w:val="00B42F5F"/>
    <w:rsid w:val="00B43099"/>
    <w:rsid w:val="00B45147"/>
    <w:rsid w:val="00B45AE1"/>
    <w:rsid w:val="00B4685F"/>
    <w:rsid w:val="00B4703E"/>
    <w:rsid w:val="00B47393"/>
    <w:rsid w:val="00B476D3"/>
    <w:rsid w:val="00B4775E"/>
    <w:rsid w:val="00B47B09"/>
    <w:rsid w:val="00B47F2A"/>
    <w:rsid w:val="00B50007"/>
    <w:rsid w:val="00B50A4C"/>
    <w:rsid w:val="00B50BF1"/>
    <w:rsid w:val="00B50DE7"/>
    <w:rsid w:val="00B51D99"/>
    <w:rsid w:val="00B521EE"/>
    <w:rsid w:val="00B52360"/>
    <w:rsid w:val="00B527B6"/>
    <w:rsid w:val="00B52F27"/>
    <w:rsid w:val="00B5316B"/>
    <w:rsid w:val="00B53300"/>
    <w:rsid w:val="00B534C1"/>
    <w:rsid w:val="00B53A80"/>
    <w:rsid w:val="00B54378"/>
    <w:rsid w:val="00B54625"/>
    <w:rsid w:val="00B54BAA"/>
    <w:rsid w:val="00B55231"/>
    <w:rsid w:val="00B552AE"/>
    <w:rsid w:val="00B557E2"/>
    <w:rsid w:val="00B55A59"/>
    <w:rsid w:val="00B56209"/>
    <w:rsid w:val="00B5627B"/>
    <w:rsid w:val="00B5671E"/>
    <w:rsid w:val="00B5687A"/>
    <w:rsid w:val="00B578DB"/>
    <w:rsid w:val="00B57AEF"/>
    <w:rsid w:val="00B605DB"/>
    <w:rsid w:val="00B6100C"/>
    <w:rsid w:val="00B61725"/>
    <w:rsid w:val="00B61A58"/>
    <w:rsid w:val="00B61BAA"/>
    <w:rsid w:val="00B61D64"/>
    <w:rsid w:val="00B6201C"/>
    <w:rsid w:val="00B622F4"/>
    <w:rsid w:val="00B63156"/>
    <w:rsid w:val="00B63741"/>
    <w:rsid w:val="00B63815"/>
    <w:rsid w:val="00B63838"/>
    <w:rsid w:val="00B641C1"/>
    <w:rsid w:val="00B64441"/>
    <w:rsid w:val="00B6491E"/>
    <w:rsid w:val="00B64975"/>
    <w:rsid w:val="00B656D5"/>
    <w:rsid w:val="00B65EF5"/>
    <w:rsid w:val="00B65F1B"/>
    <w:rsid w:val="00B66373"/>
    <w:rsid w:val="00B66B38"/>
    <w:rsid w:val="00B66F59"/>
    <w:rsid w:val="00B66FEE"/>
    <w:rsid w:val="00B6709E"/>
    <w:rsid w:val="00B674E8"/>
    <w:rsid w:val="00B675B1"/>
    <w:rsid w:val="00B7059E"/>
    <w:rsid w:val="00B70F7F"/>
    <w:rsid w:val="00B71182"/>
    <w:rsid w:val="00B7143C"/>
    <w:rsid w:val="00B71791"/>
    <w:rsid w:val="00B71BF4"/>
    <w:rsid w:val="00B71C87"/>
    <w:rsid w:val="00B71E76"/>
    <w:rsid w:val="00B71E81"/>
    <w:rsid w:val="00B72E73"/>
    <w:rsid w:val="00B73E70"/>
    <w:rsid w:val="00B75801"/>
    <w:rsid w:val="00B758C0"/>
    <w:rsid w:val="00B75AC0"/>
    <w:rsid w:val="00B77172"/>
    <w:rsid w:val="00B776AD"/>
    <w:rsid w:val="00B777F9"/>
    <w:rsid w:val="00B80454"/>
    <w:rsid w:val="00B80B1E"/>
    <w:rsid w:val="00B8213E"/>
    <w:rsid w:val="00B8255E"/>
    <w:rsid w:val="00B82778"/>
    <w:rsid w:val="00B828A9"/>
    <w:rsid w:val="00B83033"/>
    <w:rsid w:val="00B8309C"/>
    <w:rsid w:val="00B831A6"/>
    <w:rsid w:val="00B8331B"/>
    <w:rsid w:val="00B833BE"/>
    <w:rsid w:val="00B836E2"/>
    <w:rsid w:val="00B8455D"/>
    <w:rsid w:val="00B84891"/>
    <w:rsid w:val="00B85717"/>
    <w:rsid w:val="00B8593F"/>
    <w:rsid w:val="00B85B11"/>
    <w:rsid w:val="00B85C9C"/>
    <w:rsid w:val="00B86017"/>
    <w:rsid w:val="00B86523"/>
    <w:rsid w:val="00B86532"/>
    <w:rsid w:val="00B8671A"/>
    <w:rsid w:val="00B86B08"/>
    <w:rsid w:val="00B87CAA"/>
    <w:rsid w:val="00B90292"/>
    <w:rsid w:val="00B90CCC"/>
    <w:rsid w:val="00B91975"/>
    <w:rsid w:val="00B9395C"/>
    <w:rsid w:val="00B9401F"/>
    <w:rsid w:val="00B94419"/>
    <w:rsid w:val="00B94892"/>
    <w:rsid w:val="00B94895"/>
    <w:rsid w:val="00B9490D"/>
    <w:rsid w:val="00B94DE1"/>
    <w:rsid w:val="00B94F0F"/>
    <w:rsid w:val="00B95B20"/>
    <w:rsid w:val="00B9670B"/>
    <w:rsid w:val="00B968BB"/>
    <w:rsid w:val="00B96BF6"/>
    <w:rsid w:val="00B96F32"/>
    <w:rsid w:val="00B96F92"/>
    <w:rsid w:val="00B97668"/>
    <w:rsid w:val="00B97C81"/>
    <w:rsid w:val="00B97E4D"/>
    <w:rsid w:val="00BA052D"/>
    <w:rsid w:val="00BA0E7E"/>
    <w:rsid w:val="00BA2852"/>
    <w:rsid w:val="00BA30D9"/>
    <w:rsid w:val="00BA3ABF"/>
    <w:rsid w:val="00BA3B8F"/>
    <w:rsid w:val="00BA40A6"/>
    <w:rsid w:val="00BA4B88"/>
    <w:rsid w:val="00BA5209"/>
    <w:rsid w:val="00BA5370"/>
    <w:rsid w:val="00BA5574"/>
    <w:rsid w:val="00BA60B7"/>
    <w:rsid w:val="00BA658D"/>
    <w:rsid w:val="00BA6933"/>
    <w:rsid w:val="00BA71E8"/>
    <w:rsid w:val="00BA723C"/>
    <w:rsid w:val="00BA757C"/>
    <w:rsid w:val="00BB000B"/>
    <w:rsid w:val="00BB005B"/>
    <w:rsid w:val="00BB07BF"/>
    <w:rsid w:val="00BB0897"/>
    <w:rsid w:val="00BB0F2A"/>
    <w:rsid w:val="00BB10CE"/>
    <w:rsid w:val="00BB1636"/>
    <w:rsid w:val="00BB177D"/>
    <w:rsid w:val="00BB232A"/>
    <w:rsid w:val="00BB25D1"/>
    <w:rsid w:val="00BB27D7"/>
    <w:rsid w:val="00BB2D18"/>
    <w:rsid w:val="00BB374A"/>
    <w:rsid w:val="00BB3B8E"/>
    <w:rsid w:val="00BB3D56"/>
    <w:rsid w:val="00BB42E7"/>
    <w:rsid w:val="00BB4BAE"/>
    <w:rsid w:val="00BB4DC2"/>
    <w:rsid w:val="00BB522C"/>
    <w:rsid w:val="00BB545A"/>
    <w:rsid w:val="00BB592B"/>
    <w:rsid w:val="00BB5931"/>
    <w:rsid w:val="00BB5F73"/>
    <w:rsid w:val="00BB6468"/>
    <w:rsid w:val="00BB722B"/>
    <w:rsid w:val="00BB767C"/>
    <w:rsid w:val="00BB76E6"/>
    <w:rsid w:val="00BB7C4E"/>
    <w:rsid w:val="00BB7D3E"/>
    <w:rsid w:val="00BC007D"/>
    <w:rsid w:val="00BC114F"/>
    <w:rsid w:val="00BC17F7"/>
    <w:rsid w:val="00BC1C46"/>
    <w:rsid w:val="00BC1DBC"/>
    <w:rsid w:val="00BC1FF2"/>
    <w:rsid w:val="00BC2027"/>
    <w:rsid w:val="00BC206F"/>
    <w:rsid w:val="00BC2233"/>
    <w:rsid w:val="00BC2311"/>
    <w:rsid w:val="00BC295C"/>
    <w:rsid w:val="00BC2A06"/>
    <w:rsid w:val="00BC306F"/>
    <w:rsid w:val="00BC32B7"/>
    <w:rsid w:val="00BC3BE0"/>
    <w:rsid w:val="00BC3DF6"/>
    <w:rsid w:val="00BC4C02"/>
    <w:rsid w:val="00BC5C79"/>
    <w:rsid w:val="00BC63EB"/>
    <w:rsid w:val="00BC744F"/>
    <w:rsid w:val="00BC75E3"/>
    <w:rsid w:val="00BC77F6"/>
    <w:rsid w:val="00BD0291"/>
    <w:rsid w:val="00BD0752"/>
    <w:rsid w:val="00BD09D5"/>
    <w:rsid w:val="00BD0B92"/>
    <w:rsid w:val="00BD0BF6"/>
    <w:rsid w:val="00BD1221"/>
    <w:rsid w:val="00BD1768"/>
    <w:rsid w:val="00BD23BA"/>
    <w:rsid w:val="00BD2CDF"/>
    <w:rsid w:val="00BD2F0C"/>
    <w:rsid w:val="00BD386E"/>
    <w:rsid w:val="00BD399D"/>
    <w:rsid w:val="00BD3D77"/>
    <w:rsid w:val="00BD44FA"/>
    <w:rsid w:val="00BD45D4"/>
    <w:rsid w:val="00BD4CCA"/>
    <w:rsid w:val="00BD5216"/>
    <w:rsid w:val="00BD5F24"/>
    <w:rsid w:val="00BD5FCF"/>
    <w:rsid w:val="00BD6282"/>
    <w:rsid w:val="00BD6A60"/>
    <w:rsid w:val="00BD6AF3"/>
    <w:rsid w:val="00BD6CCE"/>
    <w:rsid w:val="00BD6D38"/>
    <w:rsid w:val="00BD758B"/>
    <w:rsid w:val="00BD7F05"/>
    <w:rsid w:val="00BE0476"/>
    <w:rsid w:val="00BE06E9"/>
    <w:rsid w:val="00BE1024"/>
    <w:rsid w:val="00BE2334"/>
    <w:rsid w:val="00BE24AE"/>
    <w:rsid w:val="00BE4DCC"/>
    <w:rsid w:val="00BE4DCE"/>
    <w:rsid w:val="00BE4DDF"/>
    <w:rsid w:val="00BE534D"/>
    <w:rsid w:val="00BE548B"/>
    <w:rsid w:val="00BE5830"/>
    <w:rsid w:val="00BE6989"/>
    <w:rsid w:val="00BE7522"/>
    <w:rsid w:val="00BF083B"/>
    <w:rsid w:val="00BF09DB"/>
    <w:rsid w:val="00BF1E08"/>
    <w:rsid w:val="00BF295D"/>
    <w:rsid w:val="00BF297D"/>
    <w:rsid w:val="00BF2A4A"/>
    <w:rsid w:val="00BF2B5C"/>
    <w:rsid w:val="00BF3396"/>
    <w:rsid w:val="00BF3591"/>
    <w:rsid w:val="00BF38E2"/>
    <w:rsid w:val="00BF3B58"/>
    <w:rsid w:val="00BF3DFD"/>
    <w:rsid w:val="00BF471E"/>
    <w:rsid w:val="00BF4BB8"/>
    <w:rsid w:val="00BF53EB"/>
    <w:rsid w:val="00BF5782"/>
    <w:rsid w:val="00BF57B3"/>
    <w:rsid w:val="00BF5816"/>
    <w:rsid w:val="00BF59CF"/>
    <w:rsid w:val="00BF649A"/>
    <w:rsid w:val="00BF6529"/>
    <w:rsid w:val="00BF6809"/>
    <w:rsid w:val="00BF6A21"/>
    <w:rsid w:val="00BF70DD"/>
    <w:rsid w:val="00BF7642"/>
    <w:rsid w:val="00BF7C31"/>
    <w:rsid w:val="00BF7CB6"/>
    <w:rsid w:val="00C0059F"/>
    <w:rsid w:val="00C008B0"/>
    <w:rsid w:val="00C00CCC"/>
    <w:rsid w:val="00C00F2A"/>
    <w:rsid w:val="00C0110B"/>
    <w:rsid w:val="00C01CCC"/>
    <w:rsid w:val="00C01D2D"/>
    <w:rsid w:val="00C0232A"/>
    <w:rsid w:val="00C02629"/>
    <w:rsid w:val="00C02DE9"/>
    <w:rsid w:val="00C0354F"/>
    <w:rsid w:val="00C0368C"/>
    <w:rsid w:val="00C03AE1"/>
    <w:rsid w:val="00C03B5E"/>
    <w:rsid w:val="00C03C5B"/>
    <w:rsid w:val="00C0477A"/>
    <w:rsid w:val="00C04B58"/>
    <w:rsid w:val="00C052AB"/>
    <w:rsid w:val="00C0615F"/>
    <w:rsid w:val="00C0652C"/>
    <w:rsid w:val="00C07444"/>
    <w:rsid w:val="00C07AD7"/>
    <w:rsid w:val="00C1071A"/>
    <w:rsid w:val="00C120B2"/>
    <w:rsid w:val="00C122A9"/>
    <w:rsid w:val="00C13054"/>
    <w:rsid w:val="00C13A58"/>
    <w:rsid w:val="00C1412F"/>
    <w:rsid w:val="00C14399"/>
    <w:rsid w:val="00C143CD"/>
    <w:rsid w:val="00C14E45"/>
    <w:rsid w:val="00C150C0"/>
    <w:rsid w:val="00C1514E"/>
    <w:rsid w:val="00C155EE"/>
    <w:rsid w:val="00C16162"/>
    <w:rsid w:val="00C169EA"/>
    <w:rsid w:val="00C16A98"/>
    <w:rsid w:val="00C16EB9"/>
    <w:rsid w:val="00C17039"/>
    <w:rsid w:val="00C17703"/>
    <w:rsid w:val="00C17F82"/>
    <w:rsid w:val="00C2076A"/>
    <w:rsid w:val="00C20A48"/>
    <w:rsid w:val="00C20CC8"/>
    <w:rsid w:val="00C21778"/>
    <w:rsid w:val="00C21854"/>
    <w:rsid w:val="00C21AB1"/>
    <w:rsid w:val="00C21AFF"/>
    <w:rsid w:val="00C22535"/>
    <w:rsid w:val="00C2272A"/>
    <w:rsid w:val="00C2277F"/>
    <w:rsid w:val="00C24650"/>
    <w:rsid w:val="00C24A87"/>
    <w:rsid w:val="00C24BEE"/>
    <w:rsid w:val="00C24CD0"/>
    <w:rsid w:val="00C25323"/>
    <w:rsid w:val="00C2577A"/>
    <w:rsid w:val="00C25CF6"/>
    <w:rsid w:val="00C25D99"/>
    <w:rsid w:val="00C261C7"/>
    <w:rsid w:val="00C26457"/>
    <w:rsid w:val="00C26963"/>
    <w:rsid w:val="00C26BE4"/>
    <w:rsid w:val="00C26F40"/>
    <w:rsid w:val="00C2716D"/>
    <w:rsid w:val="00C27FA0"/>
    <w:rsid w:val="00C30883"/>
    <w:rsid w:val="00C30A6E"/>
    <w:rsid w:val="00C30C40"/>
    <w:rsid w:val="00C30C93"/>
    <w:rsid w:val="00C31333"/>
    <w:rsid w:val="00C31431"/>
    <w:rsid w:val="00C31DDE"/>
    <w:rsid w:val="00C32043"/>
    <w:rsid w:val="00C32095"/>
    <w:rsid w:val="00C326EB"/>
    <w:rsid w:val="00C32B43"/>
    <w:rsid w:val="00C32BC1"/>
    <w:rsid w:val="00C32E8D"/>
    <w:rsid w:val="00C331BF"/>
    <w:rsid w:val="00C33B5D"/>
    <w:rsid w:val="00C343DB"/>
    <w:rsid w:val="00C3451B"/>
    <w:rsid w:val="00C348F3"/>
    <w:rsid w:val="00C34CCD"/>
    <w:rsid w:val="00C34DE0"/>
    <w:rsid w:val="00C3545E"/>
    <w:rsid w:val="00C35902"/>
    <w:rsid w:val="00C36684"/>
    <w:rsid w:val="00C369DA"/>
    <w:rsid w:val="00C36A03"/>
    <w:rsid w:val="00C371E0"/>
    <w:rsid w:val="00C37578"/>
    <w:rsid w:val="00C37AC7"/>
    <w:rsid w:val="00C4021F"/>
    <w:rsid w:val="00C4063B"/>
    <w:rsid w:val="00C407D9"/>
    <w:rsid w:val="00C409BE"/>
    <w:rsid w:val="00C41424"/>
    <w:rsid w:val="00C41762"/>
    <w:rsid w:val="00C41A44"/>
    <w:rsid w:val="00C41DF6"/>
    <w:rsid w:val="00C420C5"/>
    <w:rsid w:val="00C423AA"/>
    <w:rsid w:val="00C437EA"/>
    <w:rsid w:val="00C43803"/>
    <w:rsid w:val="00C439FC"/>
    <w:rsid w:val="00C43EBB"/>
    <w:rsid w:val="00C43F30"/>
    <w:rsid w:val="00C4456D"/>
    <w:rsid w:val="00C4506F"/>
    <w:rsid w:val="00C463A1"/>
    <w:rsid w:val="00C4656A"/>
    <w:rsid w:val="00C4731D"/>
    <w:rsid w:val="00C476D5"/>
    <w:rsid w:val="00C479F5"/>
    <w:rsid w:val="00C50077"/>
    <w:rsid w:val="00C50236"/>
    <w:rsid w:val="00C50666"/>
    <w:rsid w:val="00C507F6"/>
    <w:rsid w:val="00C509FC"/>
    <w:rsid w:val="00C50CFB"/>
    <w:rsid w:val="00C51380"/>
    <w:rsid w:val="00C518DE"/>
    <w:rsid w:val="00C51C70"/>
    <w:rsid w:val="00C52584"/>
    <w:rsid w:val="00C5272A"/>
    <w:rsid w:val="00C528EF"/>
    <w:rsid w:val="00C52E13"/>
    <w:rsid w:val="00C532AD"/>
    <w:rsid w:val="00C53562"/>
    <w:rsid w:val="00C53786"/>
    <w:rsid w:val="00C53974"/>
    <w:rsid w:val="00C53B9F"/>
    <w:rsid w:val="00C54254"/>
    <w:rsid w:val="00C54B4D"/>
    <w:rsid w:val="00C5504E"/>
    <w:rsid w:val="00C5513B"/>
    <w:rsid w:val="00C5569D"/>
    <w:rsid w:val="00C56050"/>
    <w:rsid w:val="00C567CD"/>
    <w:rsid w:val="00C57D0A"/>
    <w:rsid w:val="00C57FC6"/>
    <w:rsid w:val="00C60310"/>
    <w:rsid w:val="00C61775"/>
    <w:rsid w:val="00C61825"/>
    <w:rsid w:val="00C61912"/>
    <w:rsid w:val="00C61DCF"/>
    <w:rsid w:val="00C61E38"/>
    <w:rsid w:val="00C6237C"/>
    <w:rsid w:val="00C6265B"/>
    <w:rsid w:val="00C62C31"/>
    <w:rsid w:val="00C62C8D"/>
    <w:rsid w:val="00C6337A"/>
    <w:rsid w:val="00C634E6"/>
    <w:rsid w:val="00C6395B"/>
    <w:rsid w:val="00C63ABC"/>
    <w:rsid w:val="00C63B9B"/>
    <w:rsid w:val="00C63E67"/>
    <w:rsid w:val="00C63FB7"/>
    <w:rsid w:val="00C6414F"/>
    <w:rsid w:val="00C6525B"/>
    <w:rsid w:val="00C65B88"/>
    <w:rsid w:val="00C65C45"/>
    <w:rsid w:val="00C65D7B"/>
    <w:rsid w:val="00C6680A"/>
    <w:rsid w:val="00C67284"/>
    <w:rsid w:val="00C677B2"/>
    <w:rsid w:val="00C678D4"/>
    <w:rsid w:val="00C700A4"/>
    <w:rsid w:val="00C703BF"/>
    <w:rsid w:val="00C70FB0"/>
    <w:rsid w:val="00C71332"/>
    <w:rsid w:val="00C71347"/>
    <w:rsid w:val="00C71785"/>
    <w:rsid w:val="00C72237"/>
    <w:rsid w:val="00C73574"/>
    <w:rsid w:val="00C736D2"/>
    <w:rsid w:val="00C73C26"/>
    <w:rsid w:val="00C73D2E"/>
    <w:rsid w:val="00C73D74"/>
    <w:rsid w:val="00C741C6"/>
    <w:rsid w:val="00C7420B"/>
    <w:rsid w:val="00C74294"/>
    <w:rsid w:val="00C7506A"/>
    <w:rsid w:val="00C75199"/>
    <w:rsid w:val="00C75BC2"/>
    <w:rsid w:val="00C7641C"/>
    <w:rsid w:val="00C765F4"/>
    <w:rsid w:val="00C767A3"/>
    <w:rsid w:val="00C76B7D"/>
    <w:rsid w:val="00C771EB"/>
    <w:rsid w:val="00C77BF7"/>
    <w:rsid w:val="00C803E6"/>
    <w:rsid w:val="00C808A8"/>
    <w:rsid w:val="00C81059"/>
    <w:rsid w:val="00C81ECD"/>
    <w:rsid w:val="00C82245"/>
    <w:rsid w:val="00C8232F"/>
    <w:rsid w:val="00C82484"/>
    <w:rsid w:val="00C827C4"/>
    <w:rsid w:val="00C83774"/>
    <w:rsid w:val="00C843D8"/>
    <w:rsid w:val="00C84455"/>
    <w:rsid w:val="00C846E8"/>
    <w:rsid w:val="00C8472F"/>
    <w:rsid w:val="00C85460"/>
    <w:rsid w:val="00C86165"/>
    <w:rsid w:val="00C86C3A"/>
    <w:rsid w:val="00C871EB"/>
    <w:rsid w:val="00C87517"/>
    <w:rsid w:val="00C8789B"/>
    <w:rsid w:val="00C87CC4"/>
    <w:rsid w:val="00C9064B"/>
    <w:rsid w:val="00C90D52"/>
    <w:rsid w:val="00C914D1"/>
    <w:rsid w:val="00C91AF5"/>
    <w:rsid w:val="00C921E9"/>
    <w:rsid w:val="00C92345"/>
    <w:rsid w:val="00C923F1"/>
    <w:rsid w:val="00C92DF5"/>
    <w:rsid w:val="00C93122"/>
    <w:rsid w:val="00C937B8"/>
    <w:rsid w:val="00C93D95"/>
    <w:rsid w:val="00C942F2"/>
    <w:rsid w:val="00C948D7"/>
    <w:rsid w:val="00C94DF2"/>
    <w:rsid w:val="00C95390"/>
    <w:rsid w:val="00C956F1"/>
    <w:rsid w:val="00C95E46"/>
    <w:rsid w:val="00C96A3B"/>
    <w:rsid w:val="00C96C08"/>
    <w:rsid w:val="00C9719E"/>
    <w:rsid w:val="00C971F8"/>
    <w:rsid w:val="00C976BA"/>
    <w:rsid w:val="00C97B16"/>
    <w:rsid w:val="00C97BFB"/>
    <w:rsid w:val="00CA06CB"/>
    <w:rsid w:val="00CA0857"/>
    <w:rsid w:val="00CA1B55"/>
    <w:rsid w:val="00CA1C19"/>
    <w:rsid w:val="00CA1ED5"/>
    <w:rsid w:val="00CA2120"/>
    <w:rsid w:val="00CA2D65"/>
    <w:rsid w:val="00CA32A4"/>
    <w:rsid w:val="00CA3E77"/>
    <w:rsid w:val="00CA47B3"/>
    <w:rsid w:val="00CA4A93"/>
    <w:rsid w:val="00CA4D7E"/>
    <w:rsid w:val="00CA5682"/>
    <w:rsid w:val="00CA607B"/>
    <w:rsid w:val="00CA6400"/>
    <w:rsid w:val="00CA65F7"/>
    <w:rsid w:val="00CA6B4D"/>
    <w:rsid w:val="00CA6C82"/>
    <w:rsid w:val="00CA70A2"/>
    <w:rsid w:val="00CA714E"/>
    <w:rsid w:val="00CA7754"/>
    <w:rsid w:val="00CA7C34"/>
    <w:rsid w:val="00CB0031"/>
    <w:rsid w:val="00CB0434"/>
    <w:rsid w:val="00CB0FB7"/>
    <w:rsid w:val="00CB10BD"/>
    <w:rsid w:val="00CB1A66"/>
    <w:rsid w:val="00CB1E7A"/>
    <w:rsid w:val="00CB24C6"/>
    <w:rsid w:val="00CB27DA"/>
    <w:rsid w:val="00CB2B6E"/>
    <w:rsid w:val="00CB2BA6"/>
    <w:rsid w:val="00CB2C16"/>
    <w:rsid w:val="00CB399C"/>
    <w:rsid w:val="00CB3AF6"/>
    <w:rsid w:val="00CB3EF2"/>
    <w:rsid w:val="00CB4022"/>
    <w:rsid w:val="00CB5559"/>
    <w:rsid w:val="00CB5963"/>
    <w:rsid w:val="00CB6838"/>
    <w:rsid w:val="00CB689C"/>
    <w:rsid w:val="00CB6F52"/>
    <w:rsid w:val="00CB74DD"/>
    <w:rsid w:val="00CB74EA"/>
    <w:rsid w:val="00CB751B"/>
    <w:rsid w:val="00CC018E"/>
    <w:rsid w:val="00CC022E"/>
    <w:rsid w:val="00CC08CF"/>
    <w:rsid w:val="00CC0A6A"/>
    <w:rsid w:val="00CC0F36"/>
    <w:rsid w:val="00CC0F94"/>
    <w:rsid w:val="00CC11D6"/>
    <w:rsid w:val="00CC1433"/>
    <w:rsid w:val="00CC17D0"/>
    <w:rsid w:val="00CC1AB6"/>
    <w:rsid w:val="00CC1BC9"/>
    <w:rsid w:val="00CC1E05"/>
    <w:rsid w:val="00CC208D"/>
    <w:rsid w:val="00CC2703"/>
    <w:rsid w:val="00CC2E89"/>
    <w:rsid w:val="00CC2F8E"/>
    <w:rsid w:val="00CC344F"/>
    <w:rsid w:val="00CC426A"/>
    <w:rsid w:val="00CC4829"/>
    <w:rsid w:val="00CC4ADA"/>
    <w:rsid w:val="00CC4C49"/>
    <w:rsid w:val="00CC5321"/>
    <w:rsid w:val="00CC54D7"/>
    <w:rsid w:val="00CC5CA0"/>
    <w:rsid w:val="00CC722F"/>
    <w:rsid w:val="00CD0E73"/>
    <w:rsid w:val="00CD0F40"/>
    <w:rsid w:val="00CD11A6"/>
    <w:rsid w:val="00CD18F7"/>
    <w:rsid w:val="00CD1F8F"/>
    <w:rsid w:val="00CD33E2"/>
    <w:rsid w:val="00CD44F7"/>
    <w:rsid w:val="00CD57C9"/>
    <w:rsid w:val="00CD5930"/>
    <w:rsid w:val="00CD5E14"/>
    <w:rsid w:val="00CD6418"/>
    <w:rsid w:val="00CD651C"/>
    <w:rsid w:val="00CD69D0"/>
    <w:rsid w:val="00CD6EB3"/>
    <w:rsid w:val="00CD7D27"/>
    <w:rsid w:val="00CD7E0A"/>
    <w:rsid w:val="00CE0012"/>
    <w:rsid w:val="00CE05E4"/>
    <w:rsid w:val="00CE09D7"/>
    <w:rsid w:val="00CE0BF8"/>
    <w:rsid w:val="00CE1CAE"/>
    <w:rsid w:val="00CE26FA"/>
    <w:rsid w:val="00CE287C"/>
    <w:rsid w:val="00CE3229"/>
    <w:rsid w:val="00CE3966"/>
    <w:rsid w:val="00CE3B79"/>
    <w:rsid w:val="00CE4782"/>
    <w:rsid w:val="00CE4EDB"/>
    <w:rsid w:val="00CE56A8"/>
    <w:rsid w:val="00CE571E"/>
    <w:rsid w:val="00CE5B20"/>
    <w:rsid w:val="00CE5E8F"/>
    <w:rsid w:val="00CE5F70"/>
    <w:rsid w:val="00CE6658"/>
    <w:rsid w:val="00CE6E82"/>
    <w:rsid w:val="00CE7E2F"/>
    <w:rsid w:val="00CF0969"/>
    <w:rsid w:val="00CF0CF2"/>
    <w:rsid w:val="00CF118D"/>
    <w:rsid w:val="00CF131F"/>
    <w:rsid w:val="00CF1469"/>
    <w:rsid w:val="00CF215A"/>
    <w:rsid w:val="00CF233C"/>
    <w:rsid w:val="00CF2688"/>
    <w:rsid w:val="00CF2FD8"/>
    <w:rsid w:val="00CF3723"/>
    <w:rsid w:val="00CF46FF"/>
    <w:rsid w:val="00CF4954"/>
    <w:rsid w:val="00CF6281"/>
    <w:rsid w:val="00CF6BDE"/>
    <w:rsid w:val="00D000CE"/>
    <w:rsid w:val="00D00683"/>
    <w:rsid w:val="00D0078A"/>
    <w:rsid w:val="00D00E86"/>
    <w:rsid w:val="00D01559"/>
    <w:rsid w:val="00D017C7"/>
    <w:rsid w:val="00D01EBD"/>
    <w:rsid w:val="00D02F52"/>
    <w:rsid w:val="00D054CD"/>
    <w:rsid w:val="00D05978"/>
    <w:rsid w:val="00D05B90"/>
    <w:rsid w:val="00D05C5E"/>
    <w:rsid w:val="00D061BE"/>
    <w:rsid w:val="00D063E4"/>
    <w:rsid w:val="00D06C5E"/>
    <w:rsid w:val="00D07054"/>
    <w:rsid w:val="00D07062"/>
    <w:rsid w:val="00D07152"/>
    <w:rsid w:val="00D07225"/>
    <w:rsid w:val="00D076EF"/>
    <w:rsid w:val="00D103C4"/>
    <w:rsid w:val="00D10960"/>
    <w:rsid w:val="00D11126"/>
    <w:rsid w:val="00D111A8"/>
    <w:rsid w:val="00D11319"/>
    <w:rsid w:val="00D114F1"/>
    <w:rsid w:val="00D11C0A"/>
    <w:rsid w:val="00D11C9C"/>
    <w:rsid w:val="00D1272E"/>
    <w:rsid w:val="00D12AB9"/>
    <w:rsid w:val="00D139E0"/>
    <w:rsid w:val="00D13A6B"/>
    <w:rsid w:val="00D13B25"/>
    <w:rsid w:val="00D141F9"/>
    <w:rsid w:val="00D148D9"/>
    <w:rsid w:val="00D14C72"/>
    <w:rsid w:val="00D1518E"/>
    <w:rsid w:val="00D15351"/>
    <w:rsid w:val="00D15FFD"/>
    <w:rsid w:val="00D1668B"/>
    <w:rsid w:val="00D1685F"/>
    <w:rsid w:val="00D169BA"/>
    <w:rsid w:val="00D16F0D"/>
    <w:rsid w:val="00D17591"/>
    <w:rsid w:val="00D17618"/>
    <w:rsid w:val="00D1762D"/>
    <w:rsid w:val="00D17A41"/>
    <w:rsid w:val="00D20570"/>
    <w:rsid w:val="00D20D3E"/>
    <w:rsid w:val="00D21124"/>
    <w:rsid w:val="00D21CA1"/>
    <w:rsid w:val="00D21FB2"/>
    <w:rsid w:val="00D2257D"/>
    <w:rsid w:val="00D226A6"/>
    <w:rsid w:val="00D23C69"/>
    <w:rsid w:val="00D2431E"/>
    <w:rsid w:val="00D24EE0"/>
    <w:rsid w:val="00D25B43"/>
    <w:rsid w:val="00D264E5"/>
    <w:rsid w:val="00D26D80"/>
    <w:rsid w:val="00D26F28"/>
    <w:rsid w:val="00D30EC2"/>
    <w:rsid w:val="00D30F0E"/>
    <w:rsid w:val="00D3153C"/>
    <w:rsid w:val="00D31A09"/>
    <w:rsid w:val="00D32556"/>
    <w:rsid w:val="00D32ACA"/>
    <w:rsid w:val="00D33298"/>
    <w:rsid w:val="00D33E72"/>
    <w:rsid w:val="00D33EF7"/>
    <w:rsid w:val="00D33F73"/>
    <w:rsid w:val="00D340E7"/>
    <w:rsid w:val="00D349BA"/>
    <w:rsid w:val="00D34B4B"/>
    <w:rsid w:val="00D34D44"/>
    <w:rsid w:val="00D352EB"/>
    <w:rsid w:val="00D35D34"/>
    <w:rsid w:val="00D364A6"/>
    <w:rsid w:val="00D36F31"/>
    <w:rsid w:val="00D3716C"/>
    <w:rsid w:val="00D37246"/>
    <w:rsid w:val="00D37F54"/>
    <w:rsid w:val="00D402D3"/>
    <w:rsid w:val="00D403AC"/>
    <w:rsid w:val="00D40C34"/>
    <w:rsid w:val="00D411B5"/>
    <w:rsid w:val="00D415D0"/>
    <w:rsid w:val="00D41645"/>
    <w:rsid w:val="00D41F08"/>
    <w:rsid w:val="00D41FD6"/>
    <w:rsid w:val="00D42573"/>
    <w:rsid w:val="00D42679"/>
    <w:rsid w:val="00D4270B"/>
    <w:rsid w:val="00D429FA"/>
    <w:rsid w:val="00D436DD"/>
    <w:rsid w:val="00D43ACC"/>
    <w:rsid w:val="00D43C5A"/>
    <w:rsid w:val="00D43EC9"/>
    <w:rsid w:val="00D445BC"/>
    <w:rsid w:val="00D44BCB"/>
    <w:rsid w:val="00D44E68"/>
    <w:rsid w:val="00D45035"/>
    <w:rsid w:val="00D459BD"/>
    <w:rsid w:val="00D466BB"/>
    <w:rsid w:val="00D46853"/>
    <w:rsid w:val="00D471DA"/>
    <w:rsid w:val="00D47ABD"/>
    <w:rsid w:val="00D50296"/>
    <w:rsid w:val="00D507F3"/>
    <w:rsid w:val="00D50F16"/>
    <w:rsid w:val="00D51723"/>
    <w:rsid w:val="00D5180D"/>
    <w:rsid w:val="00D51946"/>
    <w:rsid w:val="00D51B58"/>
    <w:rsid w:val="00D51C0B"/>
    <w:rsid w:val="00D52079"/>
    <w:rsid w:val="00D524A9"/>
    <w:rsid w:val="00D52537"/>
    <w:rsid w:val="00D52BFC"/>
    <w:rsid w:val="00D530FF"/>
    <w:rsid w:val="00D5378A"/>
    <w:rsid w:val="00D542CA"/>
    <w:rsid w:val="00D544CC"/>
    <w:rsid w:val="00D546AA"/>
    <w:rsid w:val="00D5495E"/>
    <w:rsid w:val="00D54ED0"/>
    <w:rsid w:val="00D56160"/>
    <w:rsid w:val="00D56F7E"/>
    <w:rsid w:val="00D57754"/>
    <w:rsid w:val="00D6002B"/>
    <w:rsid w:val="00D603F8"/>
    <w:rsid w:val="00D608A0"/>
    <w:rsid w:val="00D615CD"/>
    <w:rsid w:val="00D61F26"/>
    <w:rsid w:val="00D624DE"/>
    <w:rsid w:val="00D62CB1"/>
    <w:rsid w:val="00D62DD9"/>
    <w:rsid w:val="00D63312"/>
    <w:rsid w:val="00D635D7"/>
    <w:rsid w:val="00D63978"/>
    <w:rsid w:val="00D63B99"/>
    <w:rsid w:val="00D63F9E"/>
    <w:rsid w:val="00D644A7"/>
    <w:rsid w:val="00D645CD"/>
    <w:rsid w:val="00D646D7"/>
    <w:rsid w:val="00D64A83"/>
    <w:rsid w:val="00D64DB6"/>
    <w:rsid w:val="00D65181"/>
    <w:rsid w:val="00D665AF"/>
    <w:rsid w:val="00D669E0"/>
    <w:rsid w:val="00D66B69"/>
    <w:rsid w:val="00D66D01"/>
    <w:rsid w:val="00D66D9C"/>
    <w:rsid w:val="00D67F16"/>
    <w:rsid w:val="00D705CF"/>
    <w:rsid w:val="00D70D4D"/>
    <w:rsid w:val="00D710C8"/>
    <w:rsid w:val="00D710F4"/>
    <w:rsid w:val="00D7163F"/>
    <w:rsid w:val="00D71B04"/>
    <w:rsid w:val="00D7216D"/>
    <w:rsid w:val="00D726AD"/>
    <w:rsid w:val="00D731A9"/>
    <w:rsid w:val="00D73287"/>
    <w:rsid w:val="00D732E0"/>
    <w:rsid w:val="00D73740"/>
    <w:rsid w:val="00D73867"/>
    <w:rsid w:val="00D73C65"/>
    <w:rsid w:val="00D7440A"/>
    <w:rsid w:val="00D747FD"/>
    <w:rsid w:val="00D75111"/>
    <w:rsid w:val="00D754C8"/>
    <w:rsid w:val="00D75538"/>
    <w:rsid w:val="00D76897"/>
    <w:rsid w:val="00D76A09"/>
    <w:rsid w:val="00D76C30"/>
    <w:rsid w:val="00D7731B"/>
    <w:rsid w:val="00D77BE7"/>
    <w:rsid w:val="00D77DC5"/>
    <w:rsid w:val="00D77E1A"/>
    <w:rsid w:val="00D80256"/>
    <w:rsid w:val="00D80CE3"/>
    <w:rsid w:val="00D80E0E"/>
    <w:rsid w:val="00D813D8"/>
    <w:rsid w:val="00D81983"/>
    <w:rsid w:val="00D82525"/>
    <w:rsid w:val="00D833A3"/>
    <w:rsid w:val="00D8387B"/>
    <w:rsid w:val="00D840CC"/>
    <w:rsid w:val="00D844FB"/>
    <w:rsid w:val="00D84A3D"/>
    <w:rsid w:val="00D84A6C"/>
    <w:rsid w:val="00D84C15"/>
    <w:rsid w:val="00D84C43"/>
    <w:rsid w:val="00D8509F"/>
    <w:rsid w:val="00D8513B"/>
    <w:rsid w:val="00D860A1"/>
    <w:rsid w:val="00D865A1"/>
    <w:rsid w:val="00D872EF"/>
    <w:rsid w:val="00D877AF"/>
    <w:rsid w:val="00D87A16"/>
    <w:rsid w:val="00D909E1"/>
    <w:rsid w:val="00D90D4D"/>
    <w:rsid w:val="00D90D8F"/>
    <w:rsid w:val="00D91144"/>
    <w:rsid w:val="00D912DF"/>
    <w:rsid w:val="00D91C94"/>
    <w:rsid w:val="00D91EDC"/>
    <w:rsid w:val="00D920E3"/>
    <w:rsid w:val="00D9215D"/>
    <w:rsid w:val="00D923C6"/>
    <w:rsid w:val="00D929E6"/>
    <w:rsid w:val="00D9318C"/>
    <w:rsid w:val="00D932F7"/>
    <w:rsid w:val="00D935DD"/>
    <w:rsid w:val="00D93941"/>
    <w:rsid w:val="00D93B8E"/>
    <w:rsid w:val="00D946BF"/>
    <w:rsid w:val="00D94F62"/>
    <w:rsid w:val="00D95006"/>
    <w:rsid w:val="00D95151"/>
    <w:rsid w:val="00D9533F"/>
    <w:rsid w:val="00D956DD"/>
    <w:rsid w:val="00D95A6D"/>
    <w:rsid w:val="00D96941"/>
    <w:rsid w:val="00D96CEC"/>
    <w:rsid w:val="00DA0460"/>
    <w:rsid w:val="00DA11C5"/>
    <w:rsid w:val="00DA22D4"/>
    <w:rsid w:val="00DA2BB0"/>
    <w:rsid w:val="00DA2C8E"/>
    <w:rsid w:val="00DA3275"/>
    <w:rsid w:val="00DA5A48"/>
    <w:rsid w:val="00DA61BE"/>
    <w:rsid w:val="00DA6256"/>
    <w:rsid w:val="00DA636C"/>
    <w:rsid w:val="00DA67AB"/>
    <w:rsid w:val="00DA729D"/>
    <w:rsid w:val="00DA7606"/>
    <w:rsid w:val="00DA7615"/>
    <w:rsid w:val="00DA76F3"/>
    <w:rsid w:val="00DB00FC"/>
    <w:rsid w:val="00DB0689"/>
    <w:rsid w:val="00DB08C1"/>
    <w:rsid w:val="00DB0A37"/>
    <w:rsid w:val="00DB0A3D"/>
    <w:rsid w:val="00DB0DB8"/>
    <w:rsid w:val="00DB0ECF"/>
    <w:rsid w:val="00DB154D"/>
    <w:rsid w:val="00DB1BCA"/>
    <w:rsid w:val="00DB3102"/>
    <w:rsid w:val="00DB323A"/>
    <w:rsid w:val="00DB35B8"/>
    <w:rsid w:val="00DB362F"/>
    <w:rsid w:val="00DB45AA"/>
    <w:rsid w:val="00DB472A"/>
    <w:rsid w:val="00DB5AD2"/>
    <w:rsid w:val="00DB64F0"/>
    <w:rsid w:val="00DB6533"/>
    <w:rsid w:val="00DB663B"/>
    <w:rsid w:val="00DB67CF"/>
    <w:rsid w:val="00DB6A47"/>
    <w:rsid w:val="00DB6D88"/>
    <w:rsid w:val="00DB6EBD"/>
    <w:rsid w:val="00DB703C"/>
    <w:rsid w:val="00DB7665"/>
    <w:rsid w:val="00DC02E2"/>
    <w:rsid w:val="00DC056D"/>
    <w:rsid w:val="00DC076C"/>
    <w:rsid w:val="00DC11CE"/>
    <w:rsid w:val="00DC2765"/>
    <w:rsid w:val="00DC2DBC"/>
    <w:rsid w:val="00DC3662"/>
    <w:rsid w:val="00DC3844"/>
    <w:rsid w:val="00DC3B82"/>
    <w:rsid w:val="00DC3CFE"/>
    <w:rsid w:val="00DC41B2"/>
    <w:rsid w:val="00DC44A4"/>
    <w:rsid w:val="00DC4840"/>
    <w:rsid w:val="00DC4A3A"/>
    <w:rsid w:val="00DC4D3D"/>
    <w:rsid w:val="00DC51A0"/>
    <w:rsid w:val="00DC5985"/>
    <w:rsid w:val="00DC5C06"/>
    <w:rsid w:val="00DC66B0"/>
    <w:rsid w:val="00DC68F5"/>
    <w:rsid w:val="00DC6F14"/>
    <w:rsid w:val="00DC708E"/>
    <w:rsid w:val="00DC7323"/>
    <w:rsid w:val="00DC73BC"/>
    <w:rsid w:val="00DC73F8"/>
    <w:rsid w:val="00DC7ADC"/>
    <w:rsid w:val="00DC7E80"/>
    <w:rsid w:val="00DC7F16"/>
    <w:rsid w:val="00DD016F"/>
    <w:rsid w:val="00DD02C5"/>
    <w:rsid w:val="00DD0913"/>
    <w:rsid w:val="00DD0C88"/>
    <w:rsid w:val="00DD1899"/>
    <w:rsid w:val="00DD1EE7"/>
    <w:rsid w:val="00DD1FAC"/>
    <w:rsid w:val="00DD25F1"/>
    <w:rsid w:val="00DD272A"/>
    <w:rsid w:val="00DD29AB"/>
    <w:rsid w:val="00DD29DC"/>
    <w:rsid w:val="00DD2BCF"/>
    <w:rsid w:val="00DD30DD"/>
    <w:rsid w:val="00DD3D83"/>
    <w:rsid w:val="00DD3FD5"/>
    <w:rsid w:val="00DD489C"/>
    <w:rsid w:val="00DD4951"/>
    <w:rsid w:val="00DD5077"/>
    <w:rsid w:val="00DD5779"/>
    <w:rsid w:val="00DD5A97"/>
    <w:rsid w:val="00DD5B6A"/>
    <w:rsid w:val="00DD5FDF"/>
    <w:rsid w:val="00DD60F8"/>
    <w:rsid w:val="00DD6555"/>
    <w:rsid w:val="00DD686C"/>
    <w:rsid w:val="00DD6CF9"/>
    <w:rsid w:val="00DD6DC0"/>
    <w:rsid w:val="00DD7C08"/>
    <w:rsid w:val="00DD7F12"/>
    <w:rsid w:val="00DE0292"/>
    <w:rsid w:val="00DE12FC"/>
    <w:rsid w:val="00DE15A3"/>
    <w:rsid w:val="00DE1AAE"/>
    <w:rsid w:val="00DE1DC6"/>
    <w:rsid w:val="00DE2AA0"/>
    <w:rsid w:val="00DE2E48"/>
    <w:rsid w:val="00DE31F3"/>
    <w:rsid w:val="00DE396C"/>
    <w:rsid w:val="00DE4105"/>
    <w:rsid w:val="00DE4AAA"/>
    <w:rsid w:val="00DE4BF0"/>
    <w:rsid w:val="00DE58F6"/>
    <w:rsid w:val="00DE615B"/>
    <w:rsid w:val="00DE66EF"/>
    <w:rsid w:val="00DF0456"/>
    <w:rsid w:val="00DF04A9"/>
    <w:rsid w:val="00DF09C5"/>
    <w:rsid w:val="00DF2621"/>
    <w:rsid w:val="00DF28E6"/>
    <w:rsid w:val="00DF2990"/>
    <w:rsid w:val="00DF354D"/>
    <w:rsid w:val="00DF39CF"/>
    <w:rsid w:val="00DF4537"/>
    <w:rsid w:val="00DF4614"/>
    <w:rsid w:val="00DF5347"/>
    <w:rsid w:val="00DF5B3E"/>
    <w:rsid w:val="00DF61A0"/>
    <w:rsid w:val="00DF6BD0"/>
    <w:rsid w:val="00DF6E42"/>
    <w:rsid w:val="00DF73A1"/>
    <w:rsid w:val="00DF74F7"/>
    <w:rsid w:val="00DF7966"/>
    <w:rsid w:val="00DF7B2D"/>
    <w:rsid w:val="00DF7C53"/>
    <w:rsid w:val="00E004C3"/>
    <w:rsid w:val="00E005C4"/>
    <w:rsid w:val="00E017FE"/>
    <w:rsid w:val="00E01A0B"/>
    <w:rsid w:val="00E01C88"/>
    <w:rsid w:val="00E0203B"/>
    <w:rsid w:val="00E02111"/>
    <w:rsid w:val="00E0268C"/>
    <w:rsid w:val="00E032DB"/>
    <w:rsid w:val="00E03EAB"/>
    <w:rsid w:val="00E041D6"/>
    <w:rsid w:val="00E04B8A"/>
    <w:rsid w:val="00E04DCB"/>
    <w:rsid w:val="00E05193"/>
    <w:rsid w:val="00E05533"/>
    <w:rsid w:val="00E055B3"/>
    <w:rsid w:val="00E05667"/>
    <w:rsid w:val="00E05B26"/>
    <w:rsid w:val="00E060B7"/>
    <w:rsid w:val="00E063AD"/>
    <w:rsid w:val="00E065A0"/>
    <w:rsid w:val="00E06D8C"/>
    <w:rsid w:val="00E06EFC"/>
    <w:rsid w:val="00E073B5"/>
    <w:rsid w:val="00E077F7"/>
    <w:rsid w:val="00E11686"/>
    <w:rsid w:val="00E117F3"/>
    <w:rsid w:val="00E118F8"/>
    <w:rsid w:val="00E11DD9"/>
    <w:rsid w:val="00E11EE5"/>
    <w:rsid w:val="00E11EE7"/>
    <w:rsid w:val="00E11FB8"/>
    <w:rsid w:val="00E12301"/>
    <w:rsid w:val="00E12404"/>
    <w:rsid w:val="00E12E88"/>
    <w:rsid w:val="00E12F94"/>
    <w:rsid w:val="00E12F9D"/>
    <w:rsid w:val="00E13069"/>
    <w:rsid w:val="00E1334B"/>
    <w:rsid w:val="00E1368E"/>
    <w:rsid w:val="00E13779"/>
    <w:rsid w:val="00E145A3"/>
    <w:rsid w:val="00E15823"/>
    <w:rsid w:val="00E16CBA"/>
    <w:rsid w:val="00E16E09"/>
    <w:rsid w:val="00E20146"/>
    <w:rsid w:val="00E20E25"/>
    <w:rsid w:val="00E2112A"/>
    <w:rsid w:val="00E2133D"/>
    <w:rsid w:val="00E21D7D"/>
    <w:rsid w:val="00E21F01"/>
    <w:rsid w:val="00E22827"/>
    <w:rsid w:val="00E22BEE"/>
    <w:rsid w:val="00E23724"/>
    <w:rsid w:val="00E23E34"/>
    <w:rsid w:val="00E23F79"/>
    <w:rsid w:val="00E24690"/>
    <w:rsid w:val="00E24876"/>
    <w:rsid w:val="00E24878"/>
    <w:rsid w:val="00E248B0"/>
    <w:rsid w:val="00E24ECF"/>
    <w:rsid w:val="00E250D3"/>
    <w:rsid w:val="00E25528"/>
    <w:rsid w:val="00E26229"/>
    <w:rsid w:val="00E26F3A"/>
    <w:rsid w:val="00E271F1"/>
    <w:rsid w:val="00E2724B"/>
    <w:rsid w:val="00E2778F"/>
    <w:rsid w:val="00E27C00"/>
    <w:rsid w:val="00E3009E"/>
    <w:rsid w:val="00E30469"/>
    <w:rsid w:val="00E30704"/>
    <w:rsid w:val="00E30977"/>
    <w:rsid w:val="00E30C6D"/>
    <w:rsid w:val="00E30CFF"/>
    <w:rsid w:val="00E3178F"/>
    <w:rsid w:val="00E31D88"/>
    <w:rsid w:val="00E31E0C"/>
    <w:rsid w:val="00E32091"/>
    <w:rsid w:val="00E3279F"/>
    <w:rsid w:val="00E32F17"/>
    <w:rsid w:val="00E33215"/>
    <w:rsid w:val="00E33652"/>
    <w:rsid w:val="00E3371F"/>
    <w:rsid w:val="00E338D1"/>
    <w:rsid w:val="00E33949"/>
    <w:rsid w:val="00E345BD"/>
    <w:rsid w:val="00E35A57"/>
    <w:rsid w:val="00E35DA1"/>
    <w:rsid w:val="00E35F94"/>
    <w:rsid w:val="00E36AFA"/>
    <w:rsid w:val="00E37CE3"/>
    <w:rsid w:val="00E40149"/>
    <w:rsid w:val="00E40183"/>
    <w:rsid w:val="00E40F19"/>
    <w:rsid w:val="00E4108F"/>
    <w:rsid w:val="00E4137F"/>
    <w:rsid w:val="00E41497"/>
    <w:rsid w:val="00E4151B"/>
    <w:rsid w:val="00E416AE"/>
    <w:rsid w:val="00E417C0"/>
    <w:rsid w:val="00E41BC1"/>
    <w:rsid w:val="00E41E2E"/>
    <w:rsid w:val="00E426B3"/>
    <w:rsid w:val="00E4292C"/>
    <w:rsid w:val="00E42965"/>
    <w:rsid w:val="00E42EDA"/>
    <w:rsid w:val="00E4319E"/>
    <w:rsid w:val="00E43DC3"/>
    <w:rsid w:val="00E43E07"/>
    <w:rsid w:val="00E44880"/>
    <w:rsid w:val="00E44C1B"/>
    <w:rsid w:val="00E44DA6"/>
    <w:rsid w:val="00E45935"/>
    <w:rsid w:val="00E459BA"/>
    <w:rsid w:val="00E45AB8"/>
    <w:rsid w:val="00E45C25"/>
    <w:rsid w:val="00E45F82"/>
    <w:rsid w:val="00E46667"/>
    <w:rsid w:val="00E466BF"/>
    <w:rsid w:val="00E472CF"/>
    <w:rsid w:val="00E476CE"/>
    <w:rsid w:val="00E47B71"/>
    <w:rsid w:val="00E47BF0"/>
    <w:rsid w:val="00E47C15"/>
    <w:rsid w:val="00E500CB"/>
    <w:rsid w:val="00E51120"/>
    <w:rsid w:val="00E514DF"/>
    <w:rsid w:val="00E5285F"/>
    <w:rsid w:val="00E53441"/>
    <w:rsid w:val="00E54586"/>
    <w:rsid w:val="00E555C0"/>
    <w:rsid w:val="00E55873"/>
    <w:rsid w:val="00E5593C"/>
    <w:rsid w:val="00E55C4B"/>
    <w:rsid w:val="00E56525"/>
    <w:rsid w:val="00E569F4"/>
    <w:rsid w:val="00E577EB"/>
    <w:rsid w:val="00E57877"/>
    <w:rsid w:val="00E57A9E"/>
    <w:rsid w:val="00E57CBA"/>
    <w:rsid w:val="00E6014D"/>
    <w:rsid w:val="00E6061B"/>
    <w:rsid w:val="00E606CE"/>
    <w:rsid w:val="00E60C0A"/>
    <w:rsid w:val="00E60EC3"/>
    <w:rsid w:val="00E611A6"/>
    <w:rsid w:val="00E611EE"/>
    <w:rsid w:val="00E6208F"/>
    <w:rsid w:val="00E62D0B"/>
    <w:rsid w:val="00E63251"/>
    <w:rsid w:val="00E63550"/>
    <w:rsid w:val="00E635DB"/>
    <w:rsid w:val="00E63EE3"/>
    <w:rsid w:val="00E640BE"/>
    <w:rsid w:val="00E648F3"/>
    <w:rsid w:val="00E65074"/>
    <w:rsid w:val="00E65A85"/>
    <w:rsid w:val="00E65D1C"/>
    <w:rsid w:val="00E65F07"/>
    <w:rsid w:val="00E66182"/>
    <w:rsid w:val="00E665A6"/>
    <w:rsid w:val="00E671C8"/>
    <w:rsid w:val="00E675C7"/>
    <w:rsid w:val="00E67C1E"/>
    <w:rsid w:val="00E7004D"/>
    <w:rsid w:val="00E706F7"/>
    <w:rsid w:val="00E71222"/>
    <w:rsid w:val="00E71302"/>
    <w:rsid w:val="00E71614"/>
    <w:rsid w:val="00E718C1"/>
    <w:rsid w:val="00E7287D"/>
    <w:rsid w:val="00E72A91"/>
    <w:rsid w:val="00E72F9B"/>
    <w:rsid w:val="00E73204"/>
    <w:rsid w:val="00E73688"/>
    <w:rsid w:val="00E73857"/>
    <w:rsid w:val="00E73ACE"/>
    <w:rsid w:val="00E73FE4"/>
    <w:rsid w:val="00E7461E"/>
    <w:rsid w:val="00E7537E"/>
    <w:rsid w:val="00E755B8"/>
    <w:rsid w:val="00E75C9E"/>
    <w:rsid w:val="00E75E27"/>
    <w:rsid w:val="00E75F76"/>
    <w:rsid w:val="00E762FE"/>
    <w:rsid w:val="00E7648D"/>
    <w:rsid w:val="00E769A1"/>
    <w:rsid w:val="00E76E39"/>
    <w:rsid w:val="00E76E54"/>
    <w:rsid w:val="00E77467"/>
    <w:rsid w:val="00E77552"/>
    <w:rsid w:val="00E77834"/>
    <w:rsid w:val="00E7796F"/>
    <w:rsid w:val="00E80C88"/>
    <w:rsid w:val="00E80EA8"/>
    <w:rsid w:val="00E811F8"/>
    <w:rsid w:val="00E813CC"/>
    <w:rsid w:val="00E813F4"/>
    <w:rsid w:val="00E8142F"/>
    <w:rsid w:val="00E8171A"/>
    <w:rsid w:val="00E81A13"/>
    <w:rsid w:val="00E81A29"/>
    <w:rsid w:val="00E81C3B"/>
    <w:rsid w:val="00E823AE"/>
    <w:rsid w:val="00E82B52"/>
    <w:rsid w:val="00E82EEC"/>
    <w:rsid w:val="00E830E3"/>
    <w:rsid w:val="00E83933"/>
    <w:rsid w:val="00E84737"/>
    <w:rsid w:val="00E848EA"/>
    <w:rsid w:val="00E84B3E"/>
    <w:rsid w:val="00E84C09"/>
    <w:rsid w:val="00E84E5A"/>
    <w:rsid w:val="00E8597E"/>
    <w:rsid w:val="00E85ACE"/>
    <w:rsid w:val="00E85B2B"/>
    <w:rsid w:val="00E86934"/>
    <w:rsid w:val="00E87082"/>
    <w:rsid w:val="00E876EF"/>
    <w:rsid w:val="00E87C4D"/>
    <w:rsid w:val="00E87CF0"/>
    <w:rsid w:val="00E909AA"/>
    <w:rsid w:val="00E90AE2"/>
    <w:rsid w:val="00E90E3E"/>
    <w:rsid w:val="00E911E7"/>
    <w:rsid w:val="00E916AC"/>
    <w:rsid w:val="00E91FCC"/>
    <w:rsid w:val="00E925D9"/>
    <w:rsid w:val="00E92EDA"/>
    <w:rsid w:val="00E9312D"/>
    <w:rsid w:val="00E93193"/>
    <w:rsid w:val="00E93DAB"/>
    <w:rsid w:val="00E9433A"/>
    <w:rsid w:val="00E9448B"/>
    <w:rsid w:val="00E944EC"/>
    <w:rsid w:val="00E94697"/>
    <w:rsid w:val="00E949BE"/>
    <w:rsid w:val="00E94FD8"/>
    <w:rsid w:val="00E952DB"/>
    <w:rsid w:val="00E96277"/>
    <w:rsid w:val="00E9646F"/>
    <w:rsid w:val="00E96A2D"/>
    <w:rsid w:val="00E96C42"/>
    <w:rsid w:val="00E972B8"/>
    <w:rsid w:val="00EA022B"/>
    <w:rsid w:val="00EA1007"/>
    <w:rsid w:val="00EA1451"/>
    <w:rsid w:val="00EA19CB"/>
    <w:rsid w:val="00EA1BD8"/>
    <w:rsid w:val="00EA23AF"/>
    <w:rsid w:val="00EA273D"/>
    <w:rsid w:val="00EA2C3D"/>
    <w:rsid w:val="00EA3171"/>
    <w:rsid w:val="00EA3AD8"/>
    <w:rsid w:val="00EA4274"/>
    <w:rsid w:val="00EA44EA"/>
    <w:rsid w:val="00EA4DB6"/>
    <w:rsid w:val="00EA5A61"/>
    <w:rsid w:val="00EA5EA0"/>
    <w:rsid w:val="00EA65D8"/>
    <w:rsid w:val="00EA662E"/>
    <w:rsid w:val="00EA6F18"/>
    <w:rsid w:val="00EA7D93"/>
    <w:rsid w:val="00EA7FC3"/>
    <w:rsid w:val="00EB04B0"/>
    <w:rsid w:val="00EB098D"/>
    <w:rsid w:val="00EB0CC5"/>
    <w:rsid w:val="00EB0D5B"/>
    <w:rsid w:val="00EB12A3"/>
    <w:rsid w:val="00EB12FE"/>
    <w:rsid w:val="00EB1452"/>
    <w:rsid w:val="00EB1A2F"/>
    <w:rsid w:val="00EB1F79"/>
    <w:rsid w:val="00EB2BD0"/>
    <w:rsid w:val="00EB4158"/>
    <w:rsid w:val="00EB4265"/>
    <w:rsid w:val="00EB50F0"/>
    <w:rsid w:val="00EB53B6"/>
    <w:rsid w:val="00EB5855"/>
    <w:rsid w:val="00EB58F3"/>
    <w:rsid w:val="00EB62BA"/>
    <w:rsid w:val="00EB6665"/>
    <w:rsid w:val="00EB67D4"/>
    <w:rsid w:val="00EB699B"/>
    <w:rsid w:val="00EB6D2F"/>
    <w:rsid w:val="00EB7313"/>
    <w:rsid w:val="00EB77D5"/>
    <w:rsid w:val="00EC00CB"/>
    <w:rsid w:val="00EC01C8"/>
    <w:rsid w:val="00EC030E"/>
    <w:rsid w:val="00EC03C4"/>
    <w:rsid w:val="00EC05E9"/>
    <w:rsid w:val="00EC1157"/>
    <w:rsid w:val="00EC14E2"/>
    <w:rsid w:val="00EC1717"/>
    <w:rsid w:val="00EC1FF6"/>
    <w:rsid w:val="00EC2004"/>
    <w:rsid w:val="00EC2112"/>
    <w:rsid w:val="00EC2344"/>
    <w:rsid w:val="00EC39D9"/>
    <w:rsid w:val="00EC3EFD"/>
    <w:rsid w:val="00EC40EF"/>
    <w:rsid w:val="00EC45D8"/>
    <w:rsid w:val="00EC4745"/>
    <w:rsid w:val="00EC4D6A"/>
    <w:rsid w:val="00EC550E"/>
    <w:rsid w:val="00EC5AFD"/>
    <w:rsid w:val="00EC5C3C"/>
    <w:rsid w:val="00EC6557"/>
    <w:rsid w:val="00EC6896"/>
    <w:rsid w:val="00EC6D53"/>
    <w:rsid w:val="00EC73B4"/>
    <w:rsid w:val="00EC7C8C"/>
    <w:rsid w:val="00ED005A"/>
    <w:rsid w:val="00ED0529"/>
    <w:rsid w:val="00ED0BA0"/>
    <w:rsid w:val="00ED12B1"/>
    <w:rsid w:val="00ED1D8A"/>
    <w:rsid w:val="00ED28E2"/>
    <w:rsid w:val="00ED3DDA"/>
    <w:rsid w:val="00ED43CB"/>
    <w:rsid w:val="00ED5928"/>
    <w:rsid w:val="00ED59A8"/>
    <w:rsid w:val="00ED61A6"/>
    <w:rsid w:val="00ED6420"/>
    <w:rsid w:val="00ED6424"/>
    <w:rsid w:val="00ED6AF2"/>
    <w:rsid w:val="00ED6BBF"/>
    <w:rsid w:val="00ED6C52"/>
    <w:rsid w:val="00ED6E0B"/>
    <w:rsid w:val="00ED72C0"/>
    <w:rsid w:val="00ED7726"/>
    <w:rsid w:val="00ED79CD"/>
    <w:rsid w:val="00ED7BDF"/>
    <w:rsid w:val="00ED7E01"/>
    <w:rsid w:val="00EE0A3F"/>
    <w:rsid w:val="00EE0A80"/>
    <w:rsid w:val="00EE0E15"/>
    <w:rsid w:val="00EE271B"/>
    <w:rsid w:val="00EE2F10"/>
    <w:rsid w:val="00EE3072"/>
    <w:rsid w:val="00EE354B"/>
    <w:rsid w:val="00EE3A78"/>
    <w:rsid w:val="00EE4C4C"/>
    <w:rsid w:val="00EE52D0"/>
    <w:rsid w:val="00EE5572"/>
    <w:rsid w:val="00EE57A6"/>
    <w:rsid w:val="00EE6011"/>
    <w:rsid w:val="00EE64A8"/>
    <w:rsid w:val="00EE69F9"/>
    <w:rsid w:val="00EE7051"/>
    <w:rsid w:val="00EE7809"/>
    <w:rsid w:val="00EF05FB"/>
    <w:rsid w:val="00EF0DAC"/>
    <w:rsid w:val="00EF107B"/>
    <w:rsid w:val="00EF1A48"/>
    <w:rsid w:val="00EF1B66"/>
    <w:rsid w:val="00EF2D80"/>
    <w:rsid w:val="00EF3828"/>
    <w:rsid w:val="00EF43B7"/>
    <w:rsid w:val="00EF446E"/>
    <w:rsid w:val="00EF4563"/>
    <w:rsid w:val="00EF4C1A"/>
    <w:rsid w:val="00EF4DBA"/>
    <w:rsid w:val="00EF4E0A"/>
    <w:rsid w:val="00EF5421"/>
    <w:rsid w:val="00EF5908"/>
    <w:rsid w:val="00EF5A76"/>
    <w:rsid w:val="00EF609F"/>
    <w:rsid w:val="00EF6311"/>
    <w:rsid w:val="00EF6645"/>
    <w:rsid w:val="00EF69D0"/>
    <w:rsid w:val="00EF6E29"/>
    <w:rsid w:val="00EF6FFD"/>
    <w:rsid w:val="00EF7115"/>
    <w:rsid w:val="00F00452"/>
    <w:rsid w:val="00F0095D"/>
    <w:rsid w:val="00F00DE8"/>
    <w:rsid w:val="00F02821"/>
    <w:rsid w:val="00F02FF3"/>
    <w:rsid w:val="00F03115"/>
    <w:rsid w:val="00F0354A"/>
    <w:rsid w:val="00F037E0"/>
    <w:rsid w:val="00F03E10"/>
    <w:rsid w:val="00F04C42"/>
    <w:rsid w:val="00F04E15"/>
    <w:rsid w:val="00F055D2"/>
    <w:rsid w:val="00F062B8"/>
    <w:rsid w:val="00F063F4"/>
    <w:rsid w:val="00F06615"/>
    <w:rsid w:val="00F068A6"/>
    <w:rsid w:val="00F0699D"/>
    <w:rsid w:val="00F06AE9"/>
    <w:rsid w:val="00F06D44"/>
    <w:rsid w:val="00F06F67"/>
    <w:rsid w:val="00F06FEB"/>
    <w:rsid w:val="00F070EB"/>
    <w:rsid w:val="00F07891"/>
    <w:rsid w:val="00F079B7"/>
    <w:rsid w:val="00F07ABB"/>
    <w:rsid w:val="00F07C5C"/>
    <w:rsid w:val="00F07CA7"/>
    <w:rsid w:val="00F07CF4"/>
    <w:rsid w:val="00F10368"/>
    <w:rsid w:val="00F1053D"/>
    <w:rsid w:val="00F107DF"/>
    <w:rsid w:val="00F11252"/>
    <w:rsid w:val="00F122BC"/>
    <w:rsid w:val="00F1248A"/>
    <w:rsid w:val="00F12AD5"/>
    <w:rsid w:val="00F13121"/>
    <w:rsid w:val="00F1342F"/>
    <w:rsid w:val="00F1360C"/>
    <w:rsid w:val="00F13663"/>
    <w:rsid w:val="00F13B41"/>
    <w:rsid w:val="00F13E05"/>
    <w:rsid w:val="00F14575"/>
    <w:rsid w:val="00F14FF0"/>
    <w:rsid w:val="00F15091"/>
    <w:rsid w:val="00F1552B"/>
    <w:rsid w:val="00F15A3C"/>
    <w:rsid w:val="00F15BCB"/>
    <w:rsid w:val="00F162B8"/>
    <w:rsid w:val="00F16571"/>
    <w:rsid w:val="00F16951"/>
    <w:rsid w:val="00F171D9"/>
    <w:rsid w:val="00F202C0"/>
    <w:rsid w:val="00F2056D"/>
    <w:rsid w:val="00F205CA"/>
    <w:rsid w:val="00F2069B"/>
    <w:rsid w:val="00F211AE"/>
    <w:rsid w:val="00F21655"/>
    <w:rsid w:val="00F216DF"/>
    <w:rsid w:val="00F21BB3"/>
    <w:rsid w:val="00F21D6C"/>
    <w:rsid w:val="00F22387"/>
    <w:rsid w:val="00F22627"/>
    <w:rsid w:val="00F229CF"/>
    <w:rsid w:val="00F22D72"/>
    <w:rsid w:val="00F236A0"/>
    <w:rsid w:val="00F236ED"/>
    <w:rsid w:val="00F240E7"/>
    <w:rsid w:val="00F24117"/>
    <w:rsid w:val="00F24E98"/>
    <w:rsid w:val="00F24EAE"/>
    <w:rsid w:val="00F259F4"/>
    <w:rsid w:val="00F25BE5"/>
    <w:rsid w:val="00F26309"/>
    <w:rsid w:val="00F26ACF"/>
    <w:rsid w:val="00F26E44"/>
    <w:rsid w:val="00F277A1"/>
    <w:rsid w:val="00F27B46"/>
    <w:rsid w:val="00F27DDC"/>
    <w:rsid w:val="00F300DC"/>
    <w:rsid w:val="00F30D62"/>
    <w:rsid w:val="00F30E37"/>
    <w:rsid w:val="00F317C6"/>
    <w:rsid w:val="00F31C48"/>
    <w:rsid w:val="00F3219D"/>
    <w:rsid w:val="00F33548"/>
    <w:rsid w:val="00F336CA"/>
    <w:rsid w:val="00F34D27"/>
    <w:rsid w:val="00F353D1"/>
    <w:rsid w:val="00F356F5"/>
    <w:rsid w:val="00F35D6D"/>
    <w:rsid w:val="00F35E1B"/>
    <w:rsid w:val="00F3611A"/>
    <w:rsid w:val="00F36AEF"/>
    <w:rsid w:val="00F36B50"/>
    <w:rsid w:val="00F36B64"/>
    <w:rsid w:val="00F36C0A"/>
    <w:rsid w:val="00F36E8E"/>
    <w:rsid w:val="00F373A9"/>
    <w:rsid w:val="00F374C9"/>
    <w:rsid w:val="00F374CA"/>
    <w:rsid w:val="00F37537"/>
    <w:rsid w:val="00F375B0"/>
    <w:rsid w:val="00F4001B"/>
    <w:rsid w:val="00F403E7"/>
    <w:rsid w:val="00F406CE"/>
    <w:rsid w:val="00F40958"/>
    <w:rsid w:val="00F40E52"/>
    <w:rsid w:val="00F410D7"/>
    <w:rsid w:val="00F419FC"/>
    <w:rsid w:val="00F41B09"/>
    <w:rsid w:val="00F42B55"/>
    <w:rsid w:val="00F42C8B"/>
    <w:rsid w:val="00F4352D"/>
    <w:rsid w:val="00F4372B"/>
    <w:rsid w:val="00F4380A"/>
    <w:rsid w:val="00F43C19"/>
    <w:rsid w:val="00F457A7"/>
    <w:rsid w:val="00F45BFC"/>
    <w:rsid w:val="00F45DCB"/>
    <w:rsid w:val="00F45E1D"/>
    <w:rsid w:val="00F45F56"/>
    <w:rsid w:val="00F46810"/>
    <w:rsid w:val="00F47965"/>
    <w:rsid w:val="00F47A8F"/>
    <w:rsid w:val="00F5038B"/>
    <w:rsid w:val="00F50758"/>
    <w:rsid w:val="00F50F8E"/>
    <w:rsid w:val="00F51D21"/>
    <w:rsid w:val="00F51D26"/>
    <w:rsid w:val="00F530B3"/>
    <w:rsid w:val="00F539B3"/>
    <w:rsid w:val="00F539BB"/>
    <w:rsid w:val="00F53DEA"/>
    <w:rsid w:val="00F54055"/>
    <w:rsid w:val="00F54225"/>
    <w:rsid w:val="00F54829"/>
    <w:rsid w:val="00F56438"/>
    <w:rsid w:val="00F56C65"/>
    <w:rsid w:val="00F56FB4"/>
    <w:rsid w:val="00F572EB"/>
    <w:rsid w:val="00F5773F"/>
    <w:rsid w:val="00F57A01"/>
    <w:rsid w:val="00F60589"/>
    <w:rsid w:val="00F606D6"/>
    <w:rsid w:val="00F607B5"/>
    <w:rsid w:val="00F60830"/>
    <w:rsid w:val="00F60F5E"/>
    <w:rsid w:val="00F6103D"/>
    <w:rsid w:val="00F613BB"/>
    <w:rsid w:val="00F61553"/>
    <w:rsid w:val="00F61671"/>
    <w:rsid w:val="00F61B00"/>
    <w:rsid w:val="00F61F96"/>
    <w:rsid w:val="00F625B0"/>
    <w:rsid w:val="00F63047"/>
    <w:rsid w:val="00F630D6"/>
    <w:rsid w:val="00F635E7"/>
    <w:rsid w:val="00F63E48"/>
    <w:rsid w:val="00F645B4"/>
    <w:rsid w:val="00F64B46"/>
    <w:rsid w:val="00F6514E"/>
    <w:rsid w:val="00F65369"/>
    <w:rsid w:val="00F66125"/>
    <w:rsid w:val="00F6631B"/>
    <w:rsid w:val="00F66FB4"/>
    <w:rsid w:val="00F67331"/>
    <w:rsid w:val="00F673F1"/>
    <w:rsid w:val="00F7077B"/>
    <w:rsid w:val="00F7082C"/>
    <w:rsid w:val="00F70B86"/>
    <w:rsid w:val="00F70EE1"/>
    <w:rsid w:val="00F70FA4"/>
    <w:rsid w:val="00F7115C"/>
    <w:rsid w:val="00F719AC"/>
    <w:rsid w:val="00F72349"/>
    <w:rsid w:val="00F726F7"/>
    <w:rsid w:val="00F72964"/>
    <w:rsid w:val="00F7390A"/>
    <w:rsid w:val="00F7390E"/>
    <w:rsid w:val="00F73E4A"/>
    <w:rsid w:val="00F73F6D"/>
    <w:rsid w:val="00F74BCB"/>
    <w:rsid w:val="00F74CF4"/>
    <w:rsid w:val="00F74D33"/>
    <w:rsid w:val="00F74ECE"/>
    <w:rsid w:val="00F7526D"/>
    <w:rsid w:val="00F75673"/>
    <w:rsid w:val="00F75773"/>
    <w:rsid w:val="00F757C0"/>
    <w:rsid w:val="00F758EB"/>
    <w:rsid w:val="00F75C16"/>
    <w:rsid w:val="00F75E5D"/>
    <w:rsid w:val="00F7645C"/>
    <w:rsid w:val="00F769C9"/>
    <w:rsid w:val="00F77C73"/>
    <w:rsid w:val="00F80778"/>
    <w:rsid w:val="00F808C7"/>
    <w:rsid w:val="00F814D0"/>
    <w:rsid w:val="00F815AC"/>
    <w:rsid w:val="00F815CB"/>
    <w:rsid w:val="00F81ABF"/>
    <w:rsid w:val="00F8207B"/>
    <w:rsid w:val="00F82BE2"/>
    <w:rsid w:val="00F836F6"/>
    <w:rsid w:val="00F83D60"/>
    <w:rsid w:val="00F84D3C"/>
    <w:rsid w:val="00F85EE3"/>
    <w:rsid w:val="00F869E0"/>
    <w:rsid w:val="00F86B80"/>
    <w:rsid w:val="00F86C2F"/>
    <w:rsid w:val="00F86EB4"/>
    <w:rsid w:val="00F87108"/>
    <w:rsid w:val="00F876BB"/>
    <w:rsid w:val="00F87749"/>
    <w:rsid w:val="00F87E0A"/>
    <w:rsid w:val="00F9043D"/>
    <w:rsid w:val="00F91094"/>
    <w:rsid w:val="00F918CE"/>
    <w:rsid w:val="00F92326"/>
    <w:rsid w:val="00F92582"/>
    <w:rsid w:val="00F92752"/>
    <w:rsid w:val="00F9336D"/>
    <w:rsid w:val="00F93880"/>
    <w:rsid w:val="00F94553"/>
    <w:rsid w:val="00F9478E"/>
    <w:rsid w:val="00F9535C"/>
    <w:rsid w:val="00F96D9C"/>
    <w:rsid w:val="00F977F0"/>
    <w:rsid w:val="00FA07D9"/>
    <w:rsid w:val="00FA134C"/>
    <w:rsid w:val="00FA171A"/>
    <w:rsid w:val="00FA1E0B"/>
    <w:rsid w:val="00FA3227"/>
    <w:rsid w:val="00FA4493"/>
    <w:rsid w:val="00FA455B"/>
    <w:rsid w:val="00FA598C"/>
    <w:rsid w:val="00FA6506"/>
    <w:rsid w:val="00FA7360"/>
    <w:rsid w:val="00FA7511"/>
    <w:rsid w:val="00FA76B8"/>
    <w:rsid w:val="00FA7A92"/>
    <w:rsid w:val="00FA7E8D"/>
    <w:rsid w:val="00FB064A"/>
    <w:rsid w:val="00FB075B"/>
    <w:rsid w:val="00FB0A20"/>
    <w:rsid w:val="00FB0D4F"/>
    <w:rsid w:val="00FB117B"/>
    <w:rsid w:val="00FB1F35"/>
    <w:rsid w:val="00FB21C6"/>
    <w:rsid w:val="00FB25C4"/>
    <w:rsid w:val="00FB262A"/>
    <w:rsid w:val="00FB2802"/>
    <w:rsid w:val="00FB29FE"/>
    <w:rsid w:val="00FB2E48"/>
    <w:rsid w:val="00FB300B"/>
    <w:rsid w:val="00FB3092"/>
    <w:rsid w:val="00FB3229"/>
    <w:rsid w:val="00FB3BE4"/>
    <w:rsid w:val="00FB40DA"/>
    <w:rsid w:val="00FB42FE"/>
    <w:rsid w:val="00FB470C"/>
    <w:rsid w:val="00FB4C7D"/>
    <w:rsid w:val="00FB4DDB"/>
    <w:rsid w:val="00FB50B7"/>
    <w:rsid w:val="00FB51A4"/>
    <w:rsid w:val="00FB5815"/>
    <w:rsid w:val="00FB5F33"/>
    <w:rsid w:val="00FB616F"/>
    <w:rsid w:val="00FB6905"/>
    <w:rsid w:val="00FB7AA5"/>
    <w:rsid w:val="00FB7AC2"/>
    <w:rsid w:val="00FC0166"/>
    <w:rsid w:val="00FC02D9"/>
    <w:rsid w:val="00FC04E7"/>
    <w:rsid w:val="00FC0513"/>
    <w:rsid w:val="00FC0AAA"/>
    <w:rsid w:val="00FC1123"/>
    <w:rsid w:val="00FC1160"/>
    <w:rsid w:val="00FC131B"/>
    <w:rsid w:val="00FC1659"/>
    <w:rsid w:val="00FC1867"/>
    <w:rsid w:val="00FC1BC6"/>
    <w:rsid w:val="00FC1FEA"/>
    <w:rsid w:val="00FC20CE"/>
    <w:rsid w:val="00FC24ED"/>
    <w:rsid w:val="00FC3190"/>
    <w:rsid w:val="00FC3666"/>
    <w:rsid w:val="00FC3952"/>
    <w:rsid w:val="00FC396A"/>
    <w:rsid w:val="00FC3EB3"/>
    <w:rsid w:val="00FC3EE3"/>
    <w:rsid w:val="00FC45DF"/>
    <w:rsid w:val="00FC487E"/>
    <w:rsid w:val="00FC4953"/>
    <w:rsid w:val="00FC4E49"/>
    <w:rsid w:val="00FC5BE8"/>
    <w:rsid w:val="00FC5E5E"/>
    <w:rsid w:val="00FC5F41"/>
    <w:rsid w:val="00FC664F"/>
    <w:rsid w:val="00FC67B2"/>
    <w:rsid w:val="00FC77EA"/>
    <w:rsid w:val="00FC7BDC"/>
    <w:rsid w:val="00FC7C10"/>
    <w:rsid w:val="00FD01D7"/>
    <w:rsid w:val="00FD05A6"/>
    <w:rsid w:val="00FD0BD5"/>
    <w:rsid w:val="00FD1097"/>
    <w:rsid w:val="00FD124F"/>
    <w:rsid w:val="00FD1274"/>
    <w:rsid w:val="00FD1C99"/>
    <w:rsid w:val="00FD1D4D"/>
    <w:rsid w:val="00FD1DE1"/>
    <w:rsid w:val="00FD1E48"/>
    <w:rsid w:val="00FD1F39"/>
    <w:rsid w:val="00FD2201"/>
    <w:rsid w:val="00FD2715"/>
    <w:rsid w:val="00FD27C7"/>
    <w:rsid w:val="00FD2A0A"/>
    <w:rsid w:val="00FD2BB8"/>
    <w:rsid w:val="00FD2F1A"/>
    <w:rsid w:val="00FD351A"/>
    <w:rsid w:val="00FD39B6"/>
    <w:rsid w:val="00FD3B20"/>
    <w:rsid w:val="00FD4220"/>
    <w:rsid w:val="00FD5368"/>
    <w:rsid w:val="00FD561D"/>
    <w:rsid w:val="00FD6AB6"/>
    <w:rsid w:val="00FD6D5F"/>
    <w:rsid w:val="00FD71A7"/>
    <w:rsid w:val="00FD75FE"/>
    <w:rsid w:val="00FD7714"/>
    <w:rsid w:val="00FD77AE"/>
    <w:rsid w:val="00FD7CFD"/>
    <w:rsid w:val="00FE0189"/>
    <w:rsid w:val="00FE0286"/>
    <w:rsid w:val="00FE0362"/>
    <w:rsid w:val="00FE0FCC"/>
    <w:rsid w:val="00FE1B5E"/>
    <w:rsid w:val="00FE1BF2"/>
    <w:rsid w:val="00FE1C81"/>
    <w:rsid w:val="00FE24DE"/>
    <w:rsid w:val="00FE2697"/>
    <w:rsid w:val="00FE2A8D"/>
    <w:rsid w:val="00FE4441"/>
    <w:rsid w:val="00FE45D6"/>
    <w:rsid w:val="00FE512F"/>
    <w:rsid w:val="00FE58CE"/>
    <w:rsid w:val="00FE5D2F"/>
    <w:rsid w:val="00FE5E9D"/>
    <w:rsid w:val="00FE6A30"/>
    <w:rsid w:val="00FE6C5C"/>
    <w:rsid w:val="00FE705C"/>
    <w:rsid w:val="00FE7C00"/>
    <w:rsid w:val="00FF0264"/>
    <w:rsid w:val="00FF096D"/>
    <w:rsid w:val="00FF09E6"/>
    <w:rsid w:val="00FF0B58"/>
    <w:rsid w:val="00FF0B64"/>
    <w:rsid w:val="00FF14FD"/>
    <w:rsid w:val="00FF19B6"/>
    <w:rsid w:val="00FF1AF2"/>
    <w:rsid w:val="00FF1CD9"/>
    <w:rsid w:val="00FF1E38"/>
    <w:rsid w:val="00FF2BFC"/>
    <w:rsid w:val="00FF2DEC"/>
    <w:rsid w:val="00FF338A"/>
    <w:rsid w:val="00FF3E06"/>
    <w:rsid w:val="00FF4252"/>
    <w:rsid w:val="00FF48F0"/>
    <w:rsid w:val="00FF4B06"/>
    <w:rsid w:val="00FF4C7D"/>
    <w:rsid w:val="00FF5C48"/>
    <w:rsid w:val="00FF5DAC"/>
    <w:rsid w:val="00FF614F"/>
    <w:rsid w:val="00FF6D7E"/>
    <w:rsid w:val="00FF6EE9"/>
    <w:rsid w:val="00FF7BD3"/>
    <w:rsid w:val="010E7B40"/>
    <w:rsid w:val="016519C1"/>
    <w:rsid w:val="01BB5A85"/>
    <w:rsid w:val="025008C3"/>
    <w:rsid w:val="029055F2"/>
    <w:rsid w:val="029434E3"/>
    <w:rsid w:val="03192A63"/>
    <w:rsid w:val="03256A6C"/>
    <w:rsid w:val="03EC5263"/>
    <w:rsid w:val="045B52FD"/>
    <w:rsid w:val="04A455C9"/>
    <w:rsid w:val="04B6672C"/>
    <w:rsid w:val="04E723E0"/>
    <w:rsid w:val="04F55751"/>
    <w:rsid w:val="04F75026"/>
    <w:rsid w:val="050529E6"/>
    <w:rsid w:val="05CD107C"/>
    <w:rsid w:val="06074199"/>
    <w:rsid w:val="0627537E"/>
    <w:rsid w:val="06312DB5"/>
    <w:rsid w:val="06874187"/>
    <w:rsid w:val="072D61F6"/>
    <w:rsid w:val="07A56FBB"/>
    <w:rsid w:val="08311D88"/>
    <w:rsid w:val="083E11BD"/>
    <w:rsid w:val="08FF1C4F"/>
    <w:rsid w:val="09000221"/>
    <w:rsid w:val="09104FE4"/>
    <w:rsid w:val="09173EE8"/>
    <w:rsid w:val="093D28C9"/>
    <w:rsid w:val="09573962"/>
    <w:rsid w:val="09646C6D"/>
    <w:rsid w:val="096523A0"/>
    <w:rsid w:val="098D27B7"/>
    <w:rsid w:val="0992356F"/>
    <w:rsid w:val="099C4F73"/>
    <w:rsid w:val="09A45050"/>
    <w:rsid w:val="09FA536A"/>
    <w:rsid w:val="0A193C90"/>
    <w:rsid w:val="0A7A7C71"/>
    <w:rsid w:val="0AE87B11"/>
    <w:rsid w:val="0B9C7224"/>
    <w:rsid w:val="0BE573D0"/>
    <w:rsid w:val="0C32675C"/>
    <w:rsid w:val="0C7A175E"/>
    <w:rsid w:val="0CB37782"/>
    <w:rsid w:val="0CE17CCE"/>
    <w:rsid w:val="0D367139"/>
    <w:rsid w:val="0E2829DC"/>
    <w:rsid w:val="0E5A03D3"/>
    <w:rsid w:val="0E8F405B"/>
    <w:rsid w:val="0EE574A3"/>
    <w:rsid w:val="0F8C39A9"/>
    <w:rsid w:val="0F96368D"/>
    <w:rsid w:val="0FD14E12"/>
    <w:rsid w:val="0FDF3133"/>
    <w:rsid w:val="0FE866A7"/>
    <w:rsid w:val="107C3F10"/>
    <w:rsid w:val="11074842"/>
    <w:rsid w:val="113E0FB4"/>
    <w:rsid w:val="115D4462"/>
    <w:rsid w:val="117D7491"/>
    <w:rsid w:val="11B04EDA"/>
    <w:rsid w:val="11B371E3"/>
    <w:rsid w:val="124021EA"/>
    <w:rsid w:val="124107DE"/>
    <w:rsid w:val="134F56BC"/>
    <w:rsid w:val="13BB1603"/>
    <w:rsid w:val="13F910D3"/>
    <w:rsid w:val="142806DC"/>
    <w:rsid w:val="143D67CD"/>
    <w:rsid w:val="145A737F"/>
    <w:rsid w:val="14BA370F"/>
    <w:rsid w:val="14FC24B5"/>
    <w:rsid w:val="15035321"/>
    <w:rsid w:val="154B221B"/>
    <w:rsid w:val="159F6FD7"/>
    <w:rsid w:val="15B73C31"/>
    <w:rsid w:val="15C26F8A"/>
    <w:rsid w:val="15D14E87"/>
    <w:rsid w:val="1655529B"/>
    <w:rsid w:val="16F81353"/>
    <w:rsid w:val="17F024A2"/>
    <w:rsid w:val="183F48C2"/>
    <w:rsid w:val="184214C2"/>
    <w:rsid w:val="18535174"/>
    <w:rsid w:val="18876269"/>
    <w:rsid w:val="18AC17BB"/>
    <w:rsid w:val="19441EDF"/>
    <w:rsid w:val="198F32D7"/>
    <w:rsid w:val="19DD4C7B"/>
    <w:rsid w:val="1A0933D9"/>
    <w:rsid w:val="1A3650F2"/>
    <w:rsid w:val="1A3B14A8"/>
    <w:rsid w:val="1A3D7E38"/>
    <w:rsid w:val="1AC54F79"/>
    <w:rsid w:val="1ACE2778"/>
    <w:rsid w:val="1ADD2620"/>
    <w:rsid w:val="1AF27DCA"/>
    <w:rsid w:val="1B581F69"/>
    <w:rsid w:val="1B9458F7"/>
    <w:rsid w:val="1BE85270"/>
    <w:rsid w:val="1CA96AFA"/>
    <w:rsid w:val="1CD91843"/>
    <w:rsid w:val="1D102CD1"/>
    <w:rsid w:val="1D1A544D"/>
    <w:rsid w:val="1D460C4B"/>
    <w:rsid w:val="1EE937D9"/>
    <w:rsid w:val="1F114ADE"/>
    <w:rsid w:val="1F35399F"/>
    <w:rsid w:val="1F3E1D77"/>
    <w:rsid w:val="1FB61E20"/>
    <w:rsid w:val="1FFE0F53"/>
    <w:rsid w:val="201723F5"/>
    <w:rsid w:val="206E6A03"/>
    <w:rsid w:val="20B53DBB"/>
    <w:rsid w:val="21074368"/>
    <w:rsid w:val="2110234E"/>
    <w:rsid w:val="2137706C"/>
    <w:rsid w:val="21385284"/>
    <w:rsid w:val="21627FA8"/>
    <w:rsid w:val="21787096"/>
    <w:rsid w:val="21C52643"/>
    <w:rsid w:val="21D70261"/>
    <w:rsid w:val="21DE15EF"/>
    <w:rsid w:val="21FB5F9F"/>
    <w:rsid w:val="22C00CF5"/>
    <w:rsid w:val="22D447A0"/>
    <w:rsid w:val="22F65234"/>
    <w:rsid w:val="230177BD"/>
    <w:rsid w:val="231E0254"/>
    <w:rsid w:val="232C7925"/>
    <w:rsid w:val="233A68EF"/>
    <w:rsid w:val="23712CBB"/>
    <w:rsid w:val="237E2094"/>
    <w:rsid w:val="23E00233"/>
    <w:rsid w:val="23E0403A"/>
    <w:rsid w:val="24665071"/>
    <w:rsid w:val="24773635"/>
    <w:rsid w:val="249647E8"/>
    <w:rsid w:val="24C00F28"/>
    <w:rsid w:val="254A5A35"/>
    <w:rsid w:val="25581A1E"/>
    <w:rsid w:val="259D02A0"/>
    <w:rsid w:val="25BC39F6"/>
    <w:rsid w:val="25CE3729"/>
    <w:rsid w:val="25E16200"/>
    <w:rsid w:val="25EB42DB"/>
    <w:rsid w:val="25F92AD5"/>
    <w:rsid w:val="25FB01AB"/>
    <w:rsid w:val="2601616B"/>
    <w:rsid w:val="26215F4F"/>
    <w:rsid w:val="26325A66"/>
    <w:rsid w:val="2643631E"/>
    <w:rsid w:val="26AA7CF2"/>
    <w:rsid w:val="27280C17"/>
    <w:rsid w:val="27FA4469"/>
    <w:rsid w:val="28072F22"/>
    <w:rsid w:val="28100C39"/>
    <w:rsid w:val="28371EDF"/>
    <w:rsid w:val="28EB35C3"/>
    <w:rsid w:val="290D2836"/>
    <w:rsid w:val="29640D96"/>
    <w:rsid w:val="29657B02"/>
    <w:rsid w:val="29CD16A4"/>
    <w:rsid w:val="2A8C4F5A"/>
    <w:rsid w:val="2AF02E62"/>
    <w:rsid w:val="2AF31750"/>
    <w:rsid w:val="2B0D2AB0"/>
    <w:rsid w:val="2B2C358E"/>
    <w:rsid w:val="2B424B3A"/>
    <w:rsid w:val="2B634913"/>
    <w:rsid w:val="2B7E52A9"/>
    <w:rsid w:val="2BA04E22"/>
    <w:rsid w:val="2C7A7284"/>
    <w:rsid w:val="2D1D1E58"/>
    <w:rsid w:val="2D3D1581"/>
    <w:rsid w:val="2D43338B"/>
    <w:rsid w:val="2D5A64B8"/>
    <w:rsid w:val="2DA8684A"/>
    <w:rsid w:val="2DAA682A"/>
    <w:rsid w:val="2DD41AF8"/>
    <w:rsid w:val="2DE51610"/>
    <w:rsid w:val="2E906696"/>
    <w:rsid w:val="2F626818"/>
    <w:rsid w:val="2F9939F3"/>
    <w:rsid w:val="2FF81704"/>
    <w:rsid w:val="2FFA220B"/>
    <w:rsid w:val="30986E0D"/>
    <w:rsid w:val="30C45D3C"/>
    <w:rsid w:val="30D1104C"/>
    <w:rsid w:val="30D85106"/>
    <w:rsid w:val="316A0959"/>
    <w:rsid w:val="31877993"/>
    <w:rsid w:val="318D0AA4"/>
    <w:rsid w:val="3199108F"/>
    <w:rsid w:val="31BF4AB2"/>
    <w:rsid w:val="32163E9C"/>
    <w:rsid w:val="32236BAB"/>
    <w:rsid w:val="323239AB"/>
    <w:rsid w:val="32440E6A"/>
    <w:rsid w:val="32614A6C"/>
    <w:rsid w:val="32A71272"/>
    <w:rsid w:val="32B207D7"/>
    <w:rsid w:val="336851BD"/>
    <w:rsid w:val="33AC27B5"/>
    <w:rsid w:val="33DA2DBC"/>
    <w:rsid w:val="340842AA"/>
    <w:rsid w:val="340C2973"/>
    <w:rsid w:val="341B37F6"/>
    <w:rsid w:val="343F7577"/>
    <w:rsid w:val="346314E0"/>
    <w:rsid w:val="34692CF9"/>
    <w:rsid w:val="34A81418"/>
    <w:rsid w:val="34B31E4A"/>
    <w:rsid w:val="350D28DD"/>
    <w:rsid w:val="360016DD"/>
    <w:rsid w:val="363520D5"/>
    <w:rsid w:val="365F6866"/>
    <w:rsid w:val="36BD38F1"/>
    <w:rsid w:val="36C8510A"/>
    <w:rsid w:val="37691503"/>
    <w:rsid w:val="3779394E"/>
    <w:rsid w:val="37F72A64"/>
    <w:rsid w:val="382471D8"/>
    <w:rsid w:val="38593326"/>
    <w:rsid w:val="386701FE"/>
    <w:rsid w:val="386A1738"/>
    <w:rsid w:val="38B36EDA"/>
    <w:rsid w:val="38B77B2F"/>
    <w:rsid w:val="392D5FD4"/>
    <w:rsid w:val="397D514B"/>
    <w:rsid w:val="39AB2C49"/>
    <w:rsid w:val="39CC5CA5"/>
    <w:rsid w:val="3A3758E9"/>
    <w:rsid w:val="3AC14675"/>
    <w:rsid w:val="3AC9724E"/>
    <w:rsid w:val="3AD43138"/>
    <w:rsid w:val="3AE80991"/>
    <w:rsid w:val="3B4B54D3"/>
    <w:rsid w:val="3B514788"/>
    <w:rsid w:val="3B850AC5"/>
    <w:rsid w:val="3C0C59EA"/>
    <w:rsid w:val="3C652368"/>
    <w:rsid w:val="3CD90016"/>
    <w:rsid w:val="3D037D25"/>
    <w:rsid w:val="3D1D26A3"/>
    <w:rsid w:val="3D42231B"/>
    <w:rsid w:val="3D99367E"/>
    <w:rsid w:val="3DA474D0"/>
    <w:rsid w:val="3E081F58"/>
    <w:rsid w:val="3EA25C0B"/>
    <w:rsid w:val="3EA6303D"/>
    <w:rsid w:val="3ED82781"/>
    <w:rsid w:val="3EDA206A"/>
    <w:rsid w:val="3F47342D"/>
    <w:rsid w:val="408C6AF0"/>
    <w:rsid w:val="40B125C4"/>
    <w:rsid w:val="40E757E3"/>
    <w:rsid w:val="41862205"/>
    <w:rsid w:val="41EC6945"/>
    <w:rsid w:val="42193D47"/>
    <w:rsid w:val="4223659B"/>
    <w:rsid w:val="42EB7271"/>
    <w:rsid w:val="42ED4682"/>
    <w:rsid w:val="43544604"/>
    <w:rsid w:val="436B23A3"/>
    <w:rsid w:val="43B70AA5"/>
    <w:rsid w:val="43CC3F57"/>
    <w:rsid w:val="440A240B"/>
    <w:rsid w:val="44181DC4"/>
    <w:rsid w:val="44513A21"/>
    <w:rsid w:val="447A789B"/>
    <w:rsid w:val="44A771C7"/>
    <w:rsid w:val="45101210"/>
    <w:rsid w:val="45833790"/>
    <w:rsid w:val="458A2D71"/>
    <w:rsid w:val="45934B33"/>
    <w:rsid w:val="46A75BA4"/>
    <w:rsid w:val="46B5206F"/>
    <w:rsid w:val="46E6047B"/>
    <w:rsid w:val="476F4787"/>
    <w:rsid w:val="4800556C"/>
    <w:rsid w:val="483E6094"/>
    <w:rsid w:val="486C2C02"/>
    <w:rsid w:val="4936230A"/>
    <w:rsid w:val="4957740E"/>
    <w:rsid w:val="49C5081B"/>
    <w:rsid w:val="4A2E0EFD"/>
    <w:rsid w:val="4A7459B6"/>
    <w:rsid w:val="4AB10DA0"/>
    <w:rsid w:val="4B49547C"/>
    <w:rsid w:val="4B676243"/>
    <w:rsid w:val="4B8B397E"/>
    <w:rsid w:val="4BB23021"/>
    <w:rsid w:val="4BC36FDC"/>
    <w:rsid w:val="4C3B4DC5"/>
    <w:rsid w:val="4CBD5F40"/>
    <w:rsid w:val="4CCA7EF7"/>
    <w:rsid w:val="4CFB4554"/>
    <w:rsid w:val="4D0727D3"/>
    <w:rsid w:val="4D331604"/>
    <w:rsid w:val="4D426E48"/>
    <w:rsid w:val="4DDD3C5A"/>
    <w:rsid w:val="4DDF79D2"/>
    <w:rsid w:val="4E72713C"/>
    <w:rsid w:val="4E730BCD"/>
    <w:rsid w:val="4EC56BC8"/>
    <w:rsid w:val="4EEA3906"/>
    <w:rsid w:val="4EF70D4B"/>
    <w:rsid w:val="4F0679B3"/>
    <w:rsid w:val="4F1E1B73"/>
    <w:rsid w:val="4F897CB5"/>
    <w:rsid w:val="4FAB6DA2"/>
    <w:rsid w:val="4FCA31C3"/>
    <w:rsid w:val="4FD429BA"/>
    <w:rsid w:val="4FFDA268"/>
    <w:rsid w:val="50213559"/>
    <w:rsid w:val="507930D0"/>
    <w:rsid w:val="50F650E5"/>
    <w:rsid w:val="52020133"/>
    <w:rsid w:val="522A1875"/>
    <w:rsid w:val="523256A6"/>
    <w:rsid w:val="525A4C06"/>
    <w:rsid w:val="528608AB"/>
    <w:rsid w:val="52D01FDF"/>
    <w:rsid w:val="535B7040"/>
    <w:rsid w:val="53AF7AFD"/>
    <w:rsid w:val="53F50024"/>
    <w:rsid w:val="540C31EC"/>
    <w:rsid w:val="54603424"/>
    <w:rsid w:val="547277F2"/>
    <w:rsid w:val="54756B99"/>
    <w:rsid w:val="54B4562C"/>
    <w:rsid w:val="54DE4291"/>
    <w:rsid w:val="55300B30"/>
    <w:rsid w:val="5560764A"/>
    <w:rsid w:val="5563726C"/>
    <w:rsid w:val="55BC13B1"/>
    <w:rsid w:val="56F95FA8"/>
    <w:rsid w:val="57521214"/>
    <w:rsid w:val="57A04D4E"/>
    <w:rsid w:val="57F10A2D"/>
    <w:rsid w:val="5878627D"/>
    <w:rsid w:val="5933691A"/>
    <w:rsid w:val="593E4146"/>
    <w:rsid w:val="59CD78E2"/>
    <w:rsid w:val="59F91C8A"/>
    <w:rsid w:val="5A082F03"/>
    <w:rsid w:val="5A1D139E"/>
    <w:rsid w:val="5A432DA3"/>
    <w:rsid w:val="5A9658BC"/>
    <w:rsid w:val="5AB64552"/>
    <w:rsid w:val="5ACB19F9"/>
    <w:rsid w:val="5AD07E61"/>
    <w:rsid w:val="5B370E4D"/>
    <w:rsid w:val="5B3752F1"/>
    <w:rsid w:val="5B687259"/>
    <w:rsid w:val="5C4F54D6"/>
    <w:rsid w:val="5C526387"/>
    <w:rsid w:val="5C537D94"/>
    <w:rsid w:val="5CB3D28F"/>
    <w:rsid w:val="5CC04E72"/>
    <w:rsid w:val="5CD512A6"/>
    <w:rsid w:val="5D0019A2"/>
    <w:rsid w:val="5D4E06D0"/>
    <w:rsid w:val="5DC604EF"/>
    <w:rsid w:val="5DE66B5A"/>
    <w:rsid w:val="5E0A1E55"/>
    <w:rsid w:val="5E275C25"/>
    <w:rsid w:val="5EA467FA"/>
    <w:rsid w:val="5F3F507B"/>
    <w:rsid w:val="5F733E4F"/>
    <w:rsid w:val="605E35A7"/>
    <w:rsid w:val="60874625"/>
    <w:rsid w:val="60AD570E"/>
    <w:rsid w:val="60C35633"/>
    <w:rsid w:val="60D158A0"/>
    <w:rsid w:val="61180660"/>
    <w:rsid w:val="61D21020"/>
    <w:rsid w:val="620E3DBB"/>
    <w:rsid w:val="62F31AFE"/>
    <w:rsid w:val="63071A4D"/>
    <w:rsid w:val="632717A7"/>
    <w:rsid w:val="637D586B"/>
    <w:rsid w:val="63DE2FB6"/>
    <w:rsid w:val="64907C74"/>
    <w:rsid w:val="6541542A"/>
    <w:rsid w:val="656960A7"/>
    <w:rsid w:val="6579460B"/>
    <w:rsid w:val="65D33E68"/>
    <w:rsid w:val="65E67A0A"/>
    <w:rsid w:val="6634096A"/>
    <w:rsid w:val="66630D48"/>
    <w:rsid w:val="6696787D"/>
    <w:rsid w:val="66B617C0"/>
    <w:rsid w:val="67515435"/>
    <w:rsid w:val="685748DD"/>
    <w:rsid w:val="685968A7"/>
    <w:rsid w:val="68CD27E4"/>
    <w:rsid w:val="68D64B2D"/>
    <w:rsid w:val="692D6959"/>
    <w:rsid w:val="69347DA2"/>
    <w:rsid w:val="695157D0"/>
    <w:rsid w:val="697310E0"/>
    <w:rsid w:val="69DA6CBE"/>
    <w:rsid w:val="6A0942FC"/>
    <w:rsid w:val="6A815E34"/>
    <w:rsid w:val="6A904046"/>
    <w:rsid w:val="6A9E35F8"/>
    <w:rsid w:val="6AB9187F"/>
    <w:rsid w:val="6ACE4215"/>
    <w:rsid w:val="6B0D0B90"/>
    <w:rsid w:val="6B217FB4"/>
    <w:rsid w:val="6B3A0D16"/>
    <w:rsid w:val="6B965D8F"/>
    <w:rsid w:val="6B9CD141"/>
    <w:rsid w:val="6BCF0C2E"/>
    <w:rsid w:val="6BDB5825"/>
    <w:rsid w:val="6C1156D8"/>
    <w:rsid w:val="6C126BCF"/>
    <w:rsid w:val="6C663340"/>
    <w:rsid w:val="6C6B4DFB"/>
    <w:rsid w:val="6C776701"/>
    <w:rsid w:val="6C872B4F"/>
    <w:rsid w:val="6CAB7242"/>
    <w:rsid w:val="6CB467A2"/>
    <w:rsid w:val="6D3C22F3"/>
    <w:rsid w:val="6D7944C1"/>
    <w:rsid w:val="6E0B2D4C"/>
    <w:rsid w:val="6E2A4841"/>
    <w:rsid w:val="6E3B25AB"/>
    <w:rsid w:val="6E7100B0"/>
    <w:rsid w:val="6F0E50B8"/>
    <w:rsid w:val="6F3E310D"/>
    <w:rsid w:val="6F643D02"/>
    <w:rsid w:val="6FF680B4"/>
    <w:rsid w:val="709B37D5"/>
    <w:rsid w:val="70AE6D6B"/>
    <w:rsid w:val="70F263A1"/>
    <w:rsid w:val="71031003"/>
    <w:rsid w:val="711523CD"/>
    <w:rsid w:val="718D31B7"/>
    <w:rsid w:val="7197A731"/>
    <w:rsid w:val="71A4221A"/>
    <w:rsid w:val="71D77C34"/>
    <w:rsid w:val="722B38E9"/>
    <w:rsid w:val="724F27D3"/>
    <w:rsid w:val="727D58D8"/>
    <w:rsid w:val="72944988"/>
    <w:rsid w:val="72B62B48"/>
    <w:rsid w:val="72E871A5"/>
    <w:rsid w:val="735941EA"/>
    <w:rsid w:val="739B4841"/>
    <w:rsid w:val="73FC3121"/>
    <w:rsid w:val="74207BDF"/>
    <w:rsid w:val="7454060E"/>
    <w:rsid w:val="745E3FF9"/>
    <w:rsid w:val="74C46221"/>
    <w:rsid w:val="74D01C2F"/>
    <w:rsid w:val="74E62C58"/>
    <w:rsid w:val="755F3940"/>
    <w:rsid w:val="75933226"/>
    <w:rsid w:val="75BC74F0"/>
    <w:rsid w:val="75D837BA"/>
    <w:rsid w:val="7606432D"/>
    <w:rsid w:val="761E5F4F"/>
    <w:rsid w:val="76478A78"/>
    <w:rsid w:val="765C3E88"/>
    <w:rsid w:val="768F69E7"/>
    <w:rsid w:val="77123106"/>
    <w:rsid w:val="7776B942"/>
    <w:rsid w:val="77866F8C"/>
    <w:rsid w:val="778E1660"/>
    <w:rsid w:val="77DF2DCF"/>
    <w:rsid w:val="77ED278E"/>
    <w:rsid w:val="780A1F5A"/>
    <w:rsid w:val="788052B3"/>
    <w:rsid w:val="78A53442"/>
    <w:rsid w:val="78B56018"/>
    <w:rsid w:val="78E140BB"/>
    <w:rsid w:val="791B28EE"/>
    <w:rsid w:val="792C76C0"/>
    <w:rsid w:val="797A5F8B"/>
    <w:rsid w:val="799E7CBB"/>
    <w:rsid w:val="79B21A11"/>
    <w:rsid w:val="79D85F74"/>
    <w:rsid w:val="79FB073A"/>
    <w:rsid w:val="7A2478D5"/>
    <w:rsid w:val="7A5769BE"/>
    <w:rsid w:val="7AB805D5"/>
    <w:rsid w:val="7AFD57B8"/>
    <w:rsid w:val="7B045D1E"/>
    <w:rsid w:val="7B384E18"/>
    <w:rsid w:val="7B4B5C2E"/>
    <w:rsid w:val="7C390BEB"/>
    <w:rsid w:val="7C3A3938"/>
    <w:rsid w:val="7C546384"/>
    <w:rsid w:val="7C607F1C"/>
    <w:rsid w:val="7D8C2E23"/>
    <w:rsid w:val="7E7FD52D"/>
    <w:rsid w:val="7E9F4838"/>
    <w:rsid w:val="7EAB07F1"/>
    <w:rsid w:val="7EE94197"/>
    <w:rsid w:val="7F14453B"/>
    <w:rsid w:val="7F3C0728"/>
    <w:rsid w:val="7F4F1675"/>
    <w:rsid w:val="7F852D58"/>
    <w:rsid w:val="7F98382B"/>
    <w:rsid w:val="7FDE5C46"/>
    <w:rsid w:val="9BAE3224"/>
    <w:rsid w:val="9F7FDEC8"/>
    <w:rsid w:val="B7192216"/>
    <w:rsid w:val="DBDC3010"/>
    <w:rsid w:val="F7C239B6"/>
    <w:rsid w:val="F7E7E641"/>
    <w:rsid w:val="FCEF1DFB"/>
    <w:rsid w:val="FD5E60FC"/>
    <w:rsid w:val="FDFFE839"/>
    <w:rsid w:val="FEFE6BCD"/>
    <w:rsid w:val="FFB76554"/>
    <w:rsid w:val="FFFB29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qFormat="1" w:uiPriority="99"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iPriority="99" w:semiHidden="0" w:name="table of figures"/>
    <w:lsdException w:uiPriority="0" w:name="envelope address"/>
    <w:lsdException w:uiPriority="0" w:name="envelope return"/>
    <w:lsdException w:qFormat="1" w:unhideWhenUsed="0" w:uiPriority="0" w:semiHidden="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uiPriority="0" w:name="List Number"/>
    <w:lsdException w:qFormat="1" w:unhideWhenUsed="0" w:uiPriority="0" w:semiHidden="0" w:name="List 2"/>
    <w:lsdException w:qFormat="1" w:unhideWhenUsed="0" w:uiPriority="0" w:semiHidden="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99"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99" w:semiHidden="0" w:name="HTML Preformatted"/>
    <w:lsdException w:qFormat="1"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iPriority="39" w:semiHidden="0" w:name="Table Grid"/>
    <w:lsdException w:uiPriority="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67"/>
    <w:qFormat/>
    <w:uiPriority w:val="0"/>
    <w:pPr>
      <w:keepNext/>
      <w:keepLines/>
      <w:spacing w:before="120" w:after="120"/>
      <w:jc w:val="center"/>
      <w:outlineLvl w:val="0"/>
    </w:pPr>
    <w:rPr>
      <w:b/>
      <w:spacing w:val="20"/>
      <w:kern w:val="44"/>
      <w:sz w:val="32"/>
    </w:rPr>
  </w:style>
  <w:style w:type="paragraph" w:styleId="4">
    <w:name w:val="heading 2"/>
    <w:basedOn w:val="1"/>
    <w:next w:val="5"/>
    <w:link w:val="69"/>
    <w:qFormat/>
    <w:uiPriority w:val="0"/>
    <w:pPr>
      <w:keepNext/>
      <w:keepLines/>
      <w:spacing w:line="400" w:lineRule="exact"/>
      <w:jc w:val="center"/>
      <w:outlineLvl w:val="1"/>
    </w:pPr>
    <w:rPr>
      <w:rFonts w:ascii="Arial" w:hAnsi="Arial"/>
      <w:b/>
      <w:kern w:val="0"/>
      <w:sz w:val="30"/>
    </w:rPr>
  </w:style>
  <w:style w:type="paragraph" w:styleId="6">
    <w:name w:val="heading 3"/>
    <w:basedOn w:val="1"/>
    <w:next w:val="1"/>
    <w:link w:val="70"/>
    <w:qFormat/>
    <w:uiPriority w:val="0"/>
    <w:pPr>
      <w:keepNext/>
      <w:keepLines/>
      <w:spacing w:before="60" w:after="60" w:line="500" w:lineRule="exact"/>
      <w:ind w:firstLine="510"/>
      <w:outlineLvl w:val="2"/>
    </w:pPr>
    <w:rPr>
      <w:rFonts w:ascii="宋体"/>
      <w:b/>
      <w:sz w:val="24"/>
    </w:rPr>
  </w:style>
  <w:style w:type="paragraph" w:styleId="7">
    <w:name w:val="heading 4"/>
    <w:basedOn w:val="1"/>
    <w:next w:val="1"/>
    <w:link w:val="71"/>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link w:val="72"/>
    <w:qFormat/>
    <w:uiPriority w:val="0"/>
    <w:pPr>
      <w:keepNext/>
      <w:jc w:val="center"/>
      <w:outlineLvl w:val="4"/>
    </w:pPr>
    <w:rPr>
      <w:rFonts w:ascii="仿宋_GB2312" w:eastAsia="仿宋_GB2312"/>
      <w:b/>
      <w:bCs/>
      <w:sz w:val="24"/>
    </w:rPr>
  </w:style>
  <w:style w:type="paragraph" w:styleId="9">
    <w:name w:val="heading 6"/>
    <w:basedOn w:val="1"/>
    <w:next w:val="1"/>
    <w:link w:val="73"/>
    <w:qFormat/>
    <w:uiPriority w:val="0"/>
    <w:pPr>
      <w:keepNext/>
      <w:keepLines/>
      <w:widowControl/>
      <w:numPr>
        <w:ilvl w:val="5"/>
        <w:numId w:val="1"/>
      </w:numPr>
      <w:tabs>
        <w:tab w:val="left" w:pos="1440"/>
      </w:tabs>
      <w:spacing w:before="240" w:after="64" w:line="317" w:lineRule="auto"/>
      <w:jc w:val="left"/>
      <w:outlineLvl w:val="5"/>
    </w:pPr>
    <w:rPr>
      <w:rFonts w:ascii="Arial" w:hAnsi="Arial" w:eastAsia="黑体"/>
      <w:b/>
      <w:bCs/>
      <w:kern w:val="0"/>
      <w:sz w:val="24"/>
      <w:szCs w:val="24"/>
    </w:rPr>
  </w:style>
  <w:style w:type="paragraph" w:styleId="10">
    <w:name w:val="heading 7"/>
    <w:basedOn w:val="1"/>
    <w:next w:val="1"/>
    <w:link w:val="74"/>
    <w:qFormat/>
    <w:uiPriority w:val="0"/>
    <w:pPr>
      <w:keepNext/>
      <w:keepLines/>
      <w:widowControl/>
      <w:tabs>
        <w:tab w:val="left" w:pos="2520"/>
        <w:tab w:val="left" w:pos="3472"/>
      </w:tabs>
      <w:spacing w:before="240" w:after="64" w:line="317" w:lineRule="auto"/>
      <w:ind w:left="3472" w:hanging="420"/>
      <w:jc w:val="left"/>
      <w:outlineLvl w:val="6"/>
    </w:pPr>
    <w:rPr>
      <w:b/>
      <w:bCs/>
      <w:kern w:val="0"/>
      <w:sz w:val="24"/>
      <w:szCs w:val="24"/>
    </w:rPr>
  </w:style>
  <w:style w:type="paragraph" w:styleId="11">
    <w:name w:val="heading 8"/>
    <w:basedOn w:val="1"/>
    <w:next w:val="1"/>
    <w:link w:val="75"/>
    <w:qFormat/>
    <w:uiPriority w:val="0"/>
    <w:pPr>
      <w:keepNext/>
      <w:keepLines/>
      <w:widowControl/>
      <w:tabs>
        <w:tab w:val="left" w:pos="1440"/>
        <w:tab w:val="left" w:pos="3892"/>
      </w:tabs>
      <w:spacing w:before="240" w:after="64" w:line="317" w:lineRule="auto"/>
      <w:ind w:left="3892" w:hanging="420"/>
      <w:jc w:val="left"/>
      <w:outlineLvl w:val="7"/>
    </w:pPr>
    <w:rPr>
      <w:rFonts w:ascii="Arial" w:hAnsi="Arial" w:eastAsia="黑体"/>
      <w:kern w:val="0"/>
      <w:sz w:val="24"/>
      <w:szCs w:val="24"/>
    </w:rPr>
  </w:style>
  <w:style w:type="paragraph" w:styleId="12">
    <w:name w:val="heading 9"/>
    <w:basedOn w:val="1"/>
    <w:next w:val="1"/>
    <w:link w:val="76"/>
    <w:qFormat/>
    <w:uiPriority w:val="0"/>
    <w:pPr>
      <w:keepNext/>
      <w:keepLines/>
      <w:widowControl/>
      <w:tabs>
        <w:tab w:val="left" w:pos="1584"/>
        <w:tab w:val="left" w:pos="4312"/>
      </w:tabs>
      <w:spacing w:before="240" w:after="64" w:line="317" w:lineRule="auto"/>
      <w:ind w:left="4312" w:hanging="420"/>
      <w:jc w:val="left"/>
      <w:outlineLvl w:val="8"/>
    </w:pPr>
    <w:rPr>
      <w:rFonts w:ascii="Arial" w:hAnsi="Arial" w:eastAsia="黑体"/>
      <w:kern w:val="0"/>
      <w:szCs w:val="21"/>
    </w:rPr>
  </w:style>
  <w:style w:type="character" w:default="1" w:styleId="57">
    <w:name w:val="Default Paragraph Font"/>
    <w:semiHidden/>
    <w:unhideWhenUsed/>
    <w:qFormat/>
    <w:uiPriority w:val="1"/>
  </w:style>
  <w:style w:type="table" w:default="1" w:styleId="55">
    <w:name w:val="Normal Table"/>
    <w:semiHidden/>
    <w:unhideWhenUsed/>
    <w:qFormat/>
    <w:uiPriority w:val="99"/>
    <w:tblPr>
      <w:tblCellMar>
        <w:top w:w="0" w:type="dxa"/>
        <w:left w:w="108" w:type="dxa"/>
        <w:bottom w:w="0" w:type="dxa"/>
        <w:right w:w="108" w:type="dxa"/>
      </w:tblCellMar>
    </w:tblPr>
  </w:style>
  <w:style w:type="paragraph" w:styleId="2">
    <w:name w:val="macro"/>
    <w:link w:val="177"/>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sz w:val="24"/>
      <w:szCs w:val="24"/>
      <w:lang w:val="en-US" w:eastAsia="zh-CN" w:bidi="ar-SA"/>
    </w:rPr>
  </w:style>
  <w:style w:type="paragraph" w:styleId="5">
    <w:name w:val="Normal Indent"/>
    <w:basedOn w:val="1"/>
    <w:link w:val="68"/>
    <w:qFormat/>
    <w:uiPriority w:val="0"/>
    <w:pPr>
      <w:ind w:firstLine="420"/>
    </w:pPr>
  </w:style>
  <w:style w:type="paragraph" w:styleId="13">
    <w:name w:val="List 3"/>
    <w:basedOn w:val="1"/>
    <w:qFormat/>
    <w:uiPriority w:val="0"/>
    <w:pPr>
      <w:ind w:left="100" w:leftChars="400" w:hanging="200" w:hangingChars="200"/>
    </w:pPr>
    <w:rPr>
      <w:szCs w:val="24"/>
    </w:rPr>
  </w:style>
  <w:style w:type="paragraph" w:styleId="14">
    <w:name w:val="toc 7"/>
    <w:basedOn w:val="1"/>
    <w:next w:val="1"/>
    <w:qFormat/>
    <w:uiPriority w:val="39"/>
    <w:pPr>
      <w:ind w:left="1260"/>
      <w:jc w:val="left"/>
    </w:pPr>
    <w:rPr>
      <w:rFonts w:asciiTheme="minorHAnsi" w:hAnsiTheme="minorHAnsi" w:cstheme="minorHAnsi"/>
      <w:sz w:val="18"/>
      <w:szCs w:val="18"/>
    </w:rPr>
  </w:style>
  <w:style w:type="paragraph" w:styleId="15">
    <w:name w:val="Note Heading"/>
    <w:basedOn w:val="1"/>
    <w:next w:val="1"/>
    <w:qFormat/>
    <w:uiPriority w:val="0"/>
    <w:pPr>
      <w:jc w:val="center"/>
    </w:pPr>
  </w:style>
  <w:style w:type="paragraph" w:styleId="16">
    <w:name w:val="caption"/>
    <w:basedOn w:val="1"/>
    <w:next w:val="1"/>
    <w:link w:val="383"/>
    <w:qFormat/>
    <w:uiPriority w:val="0"/>
    <w:rPr>
      <w:rFonts w:ascii="Arial" w:hAnsi="Arial" w:eastAsia="黑体" w:cs="Arial"/>
      <w:sz w:val="20"/>
    </w:rPr>
  </w:style>
  <w:style w:type="paragraph" w:styleId="17">
    <w:name w:val="List Bullet"/>
    <w:basedOn w:val="1"/>
    <w:qFormat/>
    <w:uiPriority w:val="0"/>
    <w:pPr>
      <w:tabs>
        <w:tab w:val="left" w:pos="360"/>
        <w:tab w:val="left" w:pos="432"/>
      </w:tabs>
      <w:ind w:left="432" w:hanging="432"/>
    </w:pPr>
    <w:rPr>
      <w:szCs w:val="24"/>
    </w:rPr>
  </w:style>
  <w:style w:type="paragraph" w:styleId="18">
    <w:name w:val="Document Map"/>
    <w:basedOn w:val="1"/>
    <w:link w:val="117"/>
    <w:qFormat/>
    <w:uiPriority w:val="0"/>
    <w:pPr>
      <w:shd w:val="clear" w:color="auto" w:fill="000080"/>
    </w:pPr>
  </w:style>
  <w:style w:type="paragraph" w:styleId="19">
    <w:name w:val="toa heading"/>
    <w:basedOn w:val="1"/>
    <w:next w:val="1"/>
    <w:qFormat/>
    <w:uiPriority w:val="0"/>
    <w:pPr>
      <w:spacing w:before="120"/>
    </w:pPr>
    <w:rPr>
      <w:rFonts w:ascii="Arial" w:hAnsi="Arial" w:cs="Arial"/>
      <w:sz w:val="24"/>
      <w:szCs w:val="24"/>
    </w:rPr>
  </w:style>
  <w:style w:type="paragraph" w:styleId="20">
    <w:name w:val="annotation text"/>
    <w:basedOn w:val="1"/>
    <w:link w:val="143"/>
    <w:unhideWhenUsed/>
    <w:qFormat/>
    <w:uiPriority w:val="0"/>
    <w:pPr>
      <w:jc w:val="left"/>
    </w:pPr>
  </w:style>
  <w:style w:type="paragraph" w:styleId="21">
    <w:name w:val="Body Text 3"/>
    <w:basedOn w:val="1"/>
    <w:link w:val="176"/>
    <w:qFormat/>
    <w:uiPriority w:val="0"/>
    <w:pPr>
      <w:widowControl/>
      <w:spacing w:after="120"/>
      <w:jc w:val="left"/>
    </w:pPr>
    <w:rPr>
      <w:kern w:val="0"/>
      <w:sz w:val="16"/>
      <w:szCs w:val="16"/>
    </w:rPr>
  </w:style>
  <w:style w:type="paragraph" w:styleId="22">
    <w:name w:val="Body Text"/>
    <w:basedOn w:val="1"/>
    <w:next w:val="1"/>
    <w:link w:val="126"/>
    <w:qFormat/>
    <w:uiPriority w:val="0"/>
    <w:pPr>
      <w:adjustRightInd w:val="0"/>
      <w:spacing w:line="440" w:lineRule="exact"/>
    </w:pPr>
    <w:rPr>
      <w:rFonts w:ascii="宋体" w:hAnsi="宋体"/>
      <w:bCs/>
      <w:color w:val="000000"/>
      <w:sz w:val="24"/>
    </w:rPr>
  </w:style>
  <w:style w:type="paragraph" w:styleId="23">
    <w:name w:val="Body Text Indent"/>
    <w:basedOn w:val="1"/>
    <w:link w:val="128"/>
    <w:qFormat/>
    <w:uiPriority w:val="0"/>
    <w:pPr>
      <w:spacing w:line="460" w:lineRule="exact"/>
      <w:ind w:firstLine="510"/>
    </w:pPr>
  </w:style>
  <w:style w:type="paragraph" w:styleId="24">
    <w:name w:val="List 2"/>
    <w:basedOn w:val="1"/>
    <w:qFormat/>
    <w:uiPriority w:val="0"/>
    <w:pPr>
      <w:ind w:left="100" w:leftChars="200" w:hanging="200" w:hangingChars="200"/>
    </w:pPr>
    <w:rPr>
      <w:szCs w:val="24"/>
    </w:rPr>
  </w:style>
  <w:style w:type="paragraph" w:styleId="25">
    <w:name w:val="Block Text"/>
    <w:basedOn w:val="1"/>
    <w:qFormat/>
    <w:uiPriority w:val="0"/>
    <w:pPr>
      <w:widowControl/>
      <w:spacing w:after="120"/>
      <w:ind w:left="1440" w:leftChars="700" w:right="1440" w:rightChars="700"/>
      <w:jc w:val="left"/>
    </w:pPr>
    <w:rPr>
      <w:kern w:val="0"/>
      <w:sz w:val="20"/>
    </w:rPr>
  </w:style>
  <w:style w:type="paragraph" w:styleId="26">
    <w:name w:val="index 4"/>
    <w:basedOn w:val="1"/>
    <w:next w:val="1"/>
    <w:unhideWhenUsed/>
    <w:qFormat/>
    <w:uiPriority w:val="99"/>
    <w:pPr>
      <w:ind w:left="600" w:leftChars="600"/>
    </w:pPr>
    <w:rPr>
      <w:szCs w:val="24"/>
    </w:rPr>
  </w:style>
  <w:style w:type="paragraph" w:styleId="27">
    <w:name w:val="toc 5"/>
    <w:basedOn w:val="1"/>
    <w:next w:val="1"/>
    <w:qFormat/>
    <w:uiPriority w:val="39"/>
    <w:pPr>
      <w:ind w:left="840"/>
      <w:jc w:val="left"/>
    </w:pPr>
    <w:rPr>
      <w:rFonts w:asciiTheme="minorHAnsi" w:hAnsiTheme="minorHAnsi" w:cstheme="minorHAnsi"/>
      <w:sz w:val="18"/>
      <w:szCs w:val="18"/>
    </w:rPr>
  </w:style>
  <w:style w:type="paragraph" w:styleId="28">
    <w:name w:val="toc 3"/>
    <w:basedOn w:val="1"/>
    <w:next w:val="1"/>
    <w:qFormat/>
    <w:uiPriority w:val="39"/>
    <w:pPr>
      <w:ind w:left="420"/>
      <w:jc w:val="left"/>
    </w:pPr>
    <w:rPr>
      <w:rFonts w:asciiTheme="minorHAnsi" w:hAnsiTheme="minorHAnsi" w:cstheme="minorHAnsi"/>
      <w:i/>
      <w:iCs/>
      <w:sz w:val="20"/>
    </w:rPr>
  </w:style>
  <w:style w:type="paragraph" w:styleId="29">
    <w:name w:val="Plain Text"/>
    <w:basedOn w:val="1"/>
    <w:link w:val="77"/>
    <w:qFormat/>
    <w:uiPriority w:val="99"/>
    <w:rPr>
      <w:rFonts w:ascii="宋体" w:hAnsi="Courier New"/>
    </w:rPr>
  </w:style>
  <w:style w:type="paragraph" w:styleId="30">
    <w:name w:val="toc 8"/>
    <w:basedOn w:val="1"/>
    <w:next w:val="1"/>
    <w:qFormat/>
    <w:uiPriority w:val="39"/>
    <w:pPr>
      <w:ind w:left="1470"/>
      <w:jc w:val="left"/>
    </w:pPr>
    <w:rPr>
      <w:rFonts w:asciiTheme="minorHAnsi" w:hAnsiTheme="minorHAnsi" w:cstheme="minorHAnsi"/>
      <w:sz w:val="18"/>
      <w:szCs w:val="18"/>
    </w:rPr>
  </w:style>
  <w:style w:type="paragraph" w:styleId="31">
    <w:name w:val="Date"/>
    <w:basedOn w:val="1"/>
    <w:next w:val="1"/>
    <w:link w:val="80"/>
    <w:qFormat/>
    <w:uiPriority w:val="0"/>
    <w:pPr>
      <w:ind w:left="100" w:leftChars="2500"/>
    </w:pPr>
    <w:rPr>
      <w:rFonts w:eastAsia="楷体_GB2312"/>
      <w:sz w:val="48"/>
      <w:szCs w:val="24"/>
    </w:rPr>
  </w:style>
  <w:style w:type="paragraph" w:styleId="32">
    <w:name w:val="Body Text Indent 2"/>
    <w:basedOn w:val="1"/>
    <w:link w:val="101"/>
    <w:qFormat/>
    <w:uiPriority w:val="0"/>
    <w:pPr>
      <w:spacing w:line="500" w:lineRule="exact"/>
      <w:ind w:firstLine="510"/>
    </w:pPr>
    <w:rPr>
      <w:rFonts w:ascii="宋体"/>
      <w:sz w:val="24"/>
    </w:rPr>
  </w:style>
  <w:style w:type="paragraph" w:styleId="33">
    <w:name w:val="Balloon Text"/>
    <w:basedOn w:val="1"/>
    <w:link w:val="125"/>
    <w:qFormat/>
    <w:uiPriority w:val="99"/>
    <w:rPr>
      <w:sz w:val="18"/>
      <w:szCs w:val="18"/>
    </w:rPr>
  </w:style>
  <w:style w:type="paragraph" w:styleId="34">
    <w:name w:val="footer"/>
    <w:basedOn w:val="1"/>
    <w:link w:val="134"/>
    <w:qFormat/>
    <w:uiPriority w:val="0"/>
    <w:pPr>
      <w:tabs>
        <w:tab w:val="center" w:pos="4153"/>
        <w:tab w:val="right" w:pos="8306"/>
      </w:tabs>
      <w:snapToGrid w:val="0"/>
      <w:jc w:val="left"/>
    </w:pPr>
    <w:rPr>
      <w:sz w:val="18"/>
    </w:rPr>
  </w:style>
  <w:style w:type="paragraph" w:styleId="35">
    <w:name w:val="header"/>
    <w:basedOn w:val="1"/>
    <w:link w:val="116"/>
    <w:qFormat/>
    <w:uiPriority w:val="0"/>
    <w:pPr>
      <w:pBdr>
        <w:bottom w:val="single" w:color="auto" w:sz="6" w:space="1"/>
      </w:pBdr>
      <w:tabs>
        <w:tab w:val="center" w:pos="4153"/>
        <w:tab w:val="right" w:pos="8306"/>
      </w:tabs>
      <w:snapToGrid w:val="0"/>
      <w:jc w:val="center"/>
    </w:pPr>
    <w:rPr>
      <w:sz w:val="18"/>
    </w:rPr>
  </w:style>
  <w:style w:type="paragraph" w:styleId="36">
    <w:name w:val="toc 1"/>
    <w:basedOn w:val="1"/>
    <w:next w:val="1"/>
    <w:qFormat/>
    <w:uiPriority w:val="39"/>
    <w:pPr>
      <w:spacing w:before="120" w:after="120"/>
      <w:jc w:val="left"/>
    </w:pPr>
    <w:rPr>
      <w:rFonts w:asciiTheme="minorHAnsi" w:hAnsiTheme="minorHAnsi" w:cstheme="minorHAnsi"/>
      <w:b/>
      <w:bCs/>
      <w:caps/>
      <w:sz w:val="20"/>
    </w:rPr>
  </w:style>
  <w:style w:type="paragraph" w:styleId="37">
    <w:name w:val="toc 4"/>
    <w:basedOn w:val="1"/>
    <w:next w:val="1"/>
    <w:qFormat/>
    <w:uiPriority w:val="39"/>
    <w:pPr>
      <w:ind w:left="630"/>
      <w:jc w:val="left"/>
    </w:pPr>
    <w:rPr>
      <w:rFonts w:asciiTheme="minorHAnsi" w:hAnsiTheme="minorHAnsi" w:cstheme="minorHAnsi"/>
      <w:sz w:val="18"/>
      <w:szCs w:val="18"/>
    </w:rPr>
  </w:style>
  <w:style w:type="paragraph" w:styleId="38">
    <w:name w:val="Subtitle"/>
    <w:basedOn w:val="1"/>
    <w:next w:val="1"/>
    <w:link w:val="288"/>
    <w:qFormat/>
    <w:uiPriority w:val="99"/>
    <w:pPr>
      <w:spacing w:before="240" w:after="60" w:line="312" w:lineRule="auto"/>
      <w:jc w:val="center"/>
      <w:outlineLvl w:val="1"/>
    </w:pPr>
    <w:rPr>
      <w:rFonts w:ascii="Cambria" w:hAnsi="Cambria"/>
      <w:b/>
      <w:bCs/>
      <w:kern w:val="28"/>
      <w:sz w:val="32"/>
      <w:szCs w:val="32"/>
    </w:rPr>
  </w:style>
  <w:style w:type="paragraph" w:styleId="39">
    <w:name w:val="List"/>
    <w:basedOn w:val="1"/>
    <w:qFormat/>
    <w:uiPriority w:val="0"/>
    <w:pPr>
      <w:ind w:left="200" w:hanging="200" w:hangingChars="200"/>
    </w:pPr>
    <w:rPr>
      <w:szCs w:val="24"/>
    </w:rPr>
  </w:style>
  <w:style w:type="paragraph" w:styleId="40">
    <w:name w:val="footnote text"/>
    <w:basedOn w:val="1"/>
    <w:link w:val="250"/>
    <w:qFormat/>
    <w:uiPriority w:val="0"/>
    <w:pPr>
      <w:snapToGrid w:val="0"/>
      <w:jc w:val="left"/>
    </w:pPr>
    <w:rPr>
      <w:sz w:val="18"/>
      <w:szCs w:val="18"/>
    </w:rPr>
  </w:style>
  <w:style w:type="paragraph" w:styleId="41">
    <w:name w:val="toc 6"/>
    <w:basedOn w:val="1"/>
    <w:next w:val="1"/>
    <w:qFormat/>
    <w:uiPriority w:val="39"/>
    <w:pPr>
      <w:ind w:left="1050"/>
      <w:jc w:val="left"/>
    </w:pPr>
    <w:rPr>
      <w:rFonts w:asciiTheme="minorHAnsi" w:hAnsiTheme="minorHAnsi" w:cstheme="minorHAnsi"/>
      <w:sz w:val="18"/>
      <w:szCs w:val="18"/>
    </w:rPr>
  </w:style>
  <w:style w:type="paragraph" w:styleId="42">
    <w:name w:val="Body Text Indent 3"/>
    <w:basedOn w:val="1"/>
    <w:link w:val="111"/>
    <w:qFormat/>
    <w:uiPriority w:val="0"/>
    <w:pPr>
      <w:spacing w:line="360" w:lineRule="auto"/>
      <w:ind w:firstLine="480" w:firstLineChars="200"/>
    </w:pPr>
    <w:rPr>
      <w:sz w:val="24"/>
      <w:szCs w:val="24"/>
    </w:rPr>
  </w:style>
  <w:style w:type="paragraph" w:styleId="43">
    <w:name w:val="table of figures"/>
    <w:basedOn w:val="1"/>
    <w:next w:val="1"/>
    <w:unhideWhenUsed/>
    <w:qFormat/>
    <w:uiPriority w:val="99"/>
    <w:pPr>
      <w:ind w:left="200" w:leftChars="200" w:hanging="200" w:hangingChars="200"/>
    </w:pPr>
  </w:style>
  <w:style w:type="paragraph" w:styleId="44">
    <w:name w:val="toc 2"/>
    <w:basedOn w:val="1"/>
    <w:next w:val="1"/>
    <w:link w:val="115"/>
    <w:qFormat/>
    <w:uiPriority w:val="39"/>
    <w:pPr>
      <w:ind w:left="210"/>
      <w:jc w:val="left"/>
    </w:pPr>
    <w:rPr>
      <w:rFonts w:asciiTheme="minorHAnsi" w:hAnsiTheme="minorHAnsi" w:cstheme="minorHAnsi"/>
      <w:smallCaps/>
      <w:sz w:val="20"/>
    </w:rPr>
  </w:style>
  <w:style w:type="paragraph" w:styleId="45">
    <w:name w:val="toc 9"/>
    <w:basedOn w:val="1"/>
    <w:next w:val="1"/>
    <w:qFormat/>
    <w:uiPriority w:val="39"/>
    <w:pPr>
      <w:ind w:left="1680"/>
      <w:jc w:val="left"/>
    </w:pPr>
    <w:rPr>
      <w:rFonts w:asciiTheme="minorHAnsi" w:hAnsiTheme="minorHAnsi" w:cstheme="minorHAnsi"/>
      <w:sz w:val="18"/>
      <w:szCs w:val="18"/>
    </w:rPr>
  </w:style>
  <w:style w:type="paragraph" w:styleId="46">
    <w:name w:val="Body Text 2"/>
    <w:basedOn w:val="1"/>
    <w:link w:val="106"/>
    <w:qFormat/>
    <w:uiPriority w:val="0"/>
    <w:pPr>
      <w:spacing w:before="360"/>
    </w:pPr>
    <w:rPr>
      <w:rFonts w:ascii="仿宋_GB2312" w:eastAsia="仿宋_GB2312"/>
      <w:b/>
      <w:color w:val="000000"/>
      <w:kern w:val="0"/>
      <w:sz w:val="44"/>
    </w:rPr>
  </w:style>
  <w:style w:type="paragraph" w:styleId="47">
    <w:name w:val="List Continue 2"/>
    <w:basedOn w:val="1"/>
    <w:qFormat/>
    <w:uiPriority w:val="0"/>
    <w:pPr>
      <w:spacing w:after="120"/>
      <w:ind w:left="840" w:leftChars="400"/>
    </w:pPr>
    <w:rPr>
      <w:szCs w:val="24"/>
    </w:rPr>
  </w:style>
  <w:style w:type="paragraph" w:styleId="48">
    <w:name w:val="HTML Preformatted"/>
    <w:basedOn w:val="1"/>
    <w:link w:val="122"/>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49">
    <w:name w:val="Normal (Web)"/>
    <w:basedOn w:val="1"/>
    <w:qFormat/>
    <w:uiPriority w:val="99"/>
    <w:pPr>
      <w:widowControl/>
      <w:spacing w:before="100" w:beforeAutospacing="1" w:after="100" w:afterAutospacing="1" w:line="330" w:lineRule="atLeast"/>
      <w:jc w:val="left"/>
    </w:pPr>
    <w:rPr>
      <w:rFonts w:ascii="宋体" w:hAnsi="宋体" w:cs="宋体"/>
      <w:kern w:val="0"/>
      <w:sz w:val="18"/>
      <w:szCs w:val="18"/>
    </w:rPr>
  </w:style>
  <w:style w:type="paragraph" w:styleId="50">
    <w:name w:val="index 1"/>
    <w:basedOn w:val="1"/>
    <w:next w:val="1"/>
    <w:qFormat/>
    <w:uiPriority w:val="0"/>
    <w:rPr>
      <w:rFonts w:ascii="宋体" w:hAnsi="宋体"/>
      <w:sz w:val="24"/>
      <w:szCs w:val="24"/>
    </w:rPr>
  </w:style>
  <w:style w:type="paragraph" w:styleId="51">
    <w:name w:val="Title"/>
    <w:basedOn w:val="1"/>
    <w:link w:val="219"/>
    <w:qFormat/>
    <w:uiPriority w:val="99"/>
    <w:pPr>
      <w:adjustRightInd w:val="0"/>
      <w:spacing w:line="420" w:lineRule="atLeast"/>
      <w:jc w:val="center"/>
      <w:textAlignment w:val="baseline"/>
      <w:outlineLvl w:val="0"/>
    </w:pPr>
    <w:rPr>
      <w:rFonts w:ascii="Arial" w:hAnsi="Arial"/>
      <w:b/>
      <w:kern w:val="0"/>
      <w:sz w:val="32"/>
    </w:rPr>
  </w:style>
  <w:style w:type="paragraph" w:styleId="52">
    <w:name w:val="annotation subject"/>
    <w:basedOn w:val="20"/>
    <w:next w:val="20"/>
    <w:link w:val="144"/>
    <w:unhideWhenUsed/>
    <w:qFormat/>
    <w:uiPriority w:val="0"/>
    <w:rPr>
      <w:b/>
      <w:bCs/>
    </w:rPr>
  </w:style>
  <w:style w:type="paragraph" w:styleId="53">
    <w:name w:val="Body Text First Indent"/>
    <w:basedOn w:val="22"/>
    <w:link w:val="253"/>
    <w:qFormat/>
    <w:uiPriority w:val="0"/>
    <w:pPr>
      <w:adjustRightInd/>
      <w:spacing w:after="120" w:line="360" w:lineRule="auto"/>
      <w:ind w:firstLine="309" w:firstLineChars="100"/>
      <w:outlineLvl w:val="0"/>
    </w:pPr>
    <w:rPr>
      <w:rFonts w:ascii="Times New Roman" w:hAnsi="Times New Roman"/>
      <w:kern w:val="28"/>
      <w:sz w:val="21"/>
      <w:szCs w:val="21"/>
    </w:rPr>
  </w:style>
  <w:style w:type="paragraph" w:styleId="54">
    <w:name w:val="Body Text First Indent 2"/>
    <w:basedOn w:val="23"/>
    <w:link w:val="196"/>
    <w:qFormat/>
    <w:uiPriority w:val="0"/>
    <w:pPr>
      <w:widowControl/>
      <w:spacing w:line="240" w:lineRule="auto"/>
      <w:ind w:firstLine="200" w:firstLineChars="200"/>
      <w:jc w:val="left"/>
    </w:pPr>
    <w:rPr>
      <w:szCs w:val="24"/>
    </w:rPr>
  </w:style>
  <w:style w:type="table" w:styleId="56">
    <w:name w:val="Table Grid"/>
    <w:basedOn w:val="55"/>
    <w:unhideWhenUsed/>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8">
    <w:name w:val="Strong"/>
    <w:qFormat/>
    <w:uiPriority w:val="22"/>
    <w:rPr>
      <w:b/>
      <w:bCs/>
    </w:rPr>
  </w:style>
  <w:style w:type="character" w:styleId="59">
    <w:name w:val="page number"/>
    <w:basedOn w:val="57"/>
    <w:qFormat/>
    <w:uiPriority w:val="0"/>
  </w:style>
  <w:style w:type="character" w:styleId="60">
    <w:name w:val="FollowedHyperlink"/>
    <w:qFormat/>
    <w:uiPriority w:val="99"/>
    <w:rPr>
      <w:rFonts w:ascii="Arial" w:hAnsi="Arial" w:eastAsia="黑体"/>
      <w:color w:val="800080"/>
      <w:kern w:val="2"/>
      <w:sz w:val="21"/>
      <w:szCs w:val="21"/>
      <w:u w:val="single"/>
      <w:lang w:val="en-US" w:eastAsia="zh-CN" w:bidi="ar-SA"/>
    </w:rPr>
  </w:style>
  <w:style w:type="character" w:styleId="61">
    <w:name w:val="Emphasis"/>
    <w:qFormat/>
    <w:uiPriority w:val="0"/>
    <w:rPr>
      <w:i/>
      <w:iCs/>
    </w:rPr>
  </w:style>
  <w:style w:type="character" w:styleId="62">
    <w:name w:val="Hyperlink"/>
    <w:qFormat/>
    <w:uiPriority w:val="99"/>
    <w:rPr>
      <w:color w:val="0000FF"/>
      <w:u w:val="single"/>
    </w:rPr>
  </w:style>
  <w:style w:type="character" w:styleId="63">
    <w:name w:val="annotation reference"/>
    <w:basedOn w:val="57"/>
    <w:unhideWhenUsed/>
    <w:qFormat/>
    <w:uiPriority w:val="0"/>
    <w:rPr>
      <w:sz w:val="21"/>
      <w:szCs w:val="21"/>
    </w:rPr>
  </w:style>
  <w:style w:type="character" w:styleId="64">
    <w:name w:val="footnote reference"/>
    <w:qFormat/>
    <w:uiPriority w:val="0"/>
    <w:rPr>
      <w:vertAlign w:val="superscript"/>
    </w:rPr>
  </w:style>
  <w:style w:type="character" w:styleId="65">
    <w:name w:val="HTML Sample"/>
    <w:basedOn w:val="57"/>
    <w:semiHidden/>
    <w:unhideWhenUsed/>
    <w:qFormat/>
    <w:uiPriority w:val="0"/>
    <w:rPr>
      <w:rFonts w:ascii="Courier New" w:hAnsi="Courier New"/>
    </w:rPr>
  </w:style>
  <w:style w:type="paragraph" w:customStyle="1" w:styleId="66">
    <w:name w:val="列出段落1"/>
    <w:qFormat/>
    <w:uiPriority w:val="0"/>
    <w:pPr>
      <w:widowControl w:val="0"/>
      <w:ind w:left="720"/>
      <w:jc w:val="both"/>
    </w:pPr>
    <w:rPr>
      <w:rFonts w:ascii="Times New Roman" w:hAnsi="Times New Roman" w:eastAsia="Times New Roman" w:cs="Times New Roman"/>
      <w:color w:val="000000"/>
      <w:kern w:val="2"/>
      <w:sz w:val="21"/>
      <w:szCs w:val="21"/>
      <w:lang w:val="en-US" w:eastAsia="zh-CN" w:bidi="ar-SA"/>
    </w:rPr>
  </w:style>
  <w:style w:type="character" w:customStyle="1" w:styleId="67">
    <w:name w:val="标题 1 字符"/>
    <w:basedOn w:val="57"/>
    <w:link w:val="3"/>
    <w:qFormat/>
    <w:uiPriority w:val="0"/>
    <w:rPr>
      <w:b/>
      <w:spacing w:val="20"/>
      <w:kern w:val="44"/>
      <w:sz w:val="32"/>
    </w:rPr>
  </w:style>
  <w:style w:type="character" w:customStyle="1" w:styleId="68">
    <w:name w:val="正文缩进 字符"/>
    <w:link w:val="5"/>
    <w:qFormat/>
    <w:uiPriority w:val="0"/>
    <w:rPr>
      <w:rFonts w:eastAsia="宋体"/>
      <w:kern w:val="2"/>
      <w:sz w:val="21"/>
      <w:lang w:val="en-US" w:eastAsia="zh-CN" w:bidi="ar-SA"/>
    </w:rPr>
  </w:style>
  <w:style w:type="character" w:customStyle="1" w:styleId="69">
    <w:name w:val="标题 2 字符"/>
    <w:link w:val="4"/>
    <w:qFormat/>
    <w:uiPriority w:val="0"/>
    <w:rPr>
      <w:rFonts w:ascii="Arial" w:hAnsi="Arial"/>
      <w:b/>
      <w:sz w:val="30"/>
    </w:rPr>
  </w:style>
  <w:style w:type="character" w:customStyle="1" w:styleId="70">
    <w:name w:val="标题 3 字符"/>
    <w:link w:val="6"/>
    <w:qFormat/>
    <w:uiPriority w:val="0"/>
    <w:rPr>
      <w:rFonts w:ascii="宋体"/>
      <w:b/>
      <w:kern w:val="2"/>
      <w:sz w:val="24"/>
    </w:rPr>
  </w:style>
  <w:style w:type="character" w:customStyle="1" w:styleId="71">
    <w:name w:val="标题 4 字符"/>
    <w:link w:val="7"/>
    <w:qFormat/>
    <w:uiPriority w:val="0"/>
    <w:rPr>
      <w:rFonts w:ascii="Arial" w:hAnsi="Arial" w:eastAsia="黑体"/>
      <w:b/>
      <w:bCs/>
      <w:kern w:val="2"/>
      <w:sz w:val="28"/>
      <w:szCs w:val="28"/>
    </w:rPr>
  </w:style>
  <w:style w:type="character" w:customStyle="1" w:styleId="72">
    <w:name w:val="标题 5 字符"/>
    <w:link w:val="8"/>
    <w:qFormat/>
    <w:uiPriority w:val="0"/>
    <w:rPr>
      <w:rFonts w:ascii="仿宋_GB2312" w:eastAsia="仿宋_GB2312"/>
      <w:b/>
      <w:bCs/>
      <w:kern w:val="2"/>
      <w:sz w:val="24"/>
    </w:rPr>
  </w:style>
  <w:style w:type="character" w:customStyle="1" w:styleId="73">
    <w:name w:val="标题 6 字符"/>
    <w:basedOn w:val="57"/>
    <w:link w:val="9"/>
    <w:qFormat/>
    <w:uiPriority w:val="0"/>
    <w:rPr>
      <w:rFonts w:ascii="Arial" w:hAnsi="Arial" w:eastAsia="黑体"/>
      <w:b/>
      <w:bCs/>
      <w:sz w:val="24"/>
      <w:szCs w:val="24"/>
    </w:rPr>
  </w:style>
  <w:style w:type="character" w:customStyle="1" w:styleId="74">
    <w:name w:val="标题 7 字符"/>
    <w:basedOn w:val="57"/>
    <w:link w:val="10"/>
    <w:qFormat/>
    <w:uiPriority w:val="0"/>
    <w:rPr>
      <w:b/>
      <w:bCs/>
      <w:sz w:val="24"/>
      <w:szCs w:val="24"/>
    </w:rPr>
  </w:style>
  <w:style w:type="character" w:customStyle="1" w:styleId="75">
    <w:name w:val="标题 8 字符"/>
    <w:basedOn w:val="57"/>
    <w:link w:val="11"/>
    <w:qFormat/>
    <w:uiPriority w:val="0"/>
    <w:rPr>
      <w:rFonts w:ascii="Arial" w:hAnsi="Arial" w:eastAsia="黑体"/>
      <w:sz w:val="24"/>
      <w:szCs w:val="24"/>
    </w:rPr>
  </w:style>
  <w:style w:type="character" w:customStyle="1" w:styleId="76">
    <w:name w:val="标题 9 字符"/>
    <w:basedOn w:val="57"/>
    <w:link w:val="12"/>
    <w:qFormat/>
    <w:uiPriority w:val="0"/>
    <w:rPr>
      <w:rFonts w:ascii="Arial" w:hAnsi="Arial" w:eastAsia="黑体"/>
      <w:sz w:val="21"/>
      <w:szCs w:val="21"/>
    </w:rPr>
  </w:style>
  <w:style w:type="character" w:customStyle="1" w:styleId="77">
    <w:name w:val="纯文本 字符"/>
    <w:link w:val="29"/>
    <w:qFormat/>
    <w:uiPriority w:val="99"/>
    <w:rPr>
      <w:rFonts w:ascii="宋体" w:hAnsi="Courier New" w:eastAsia="宋体"/>
      <w:kern w:val="2"/>
      <w:sz w:val="21"/>
      <w:lang w:val="en-US" w:eastAsia="zh-CN" w:bidi="ar-SA"/>
    </w:rPr>
  </w:style>
  <w:style w:type="character" w:customStyle="1" w:styleId="78">
    <w:name w:val="ca-31"/>
    <w:qFormat/>
    <w:uiPriority w:val="99"/>
    <w:rPr>
      <w:rFonts w:ascii="宋体" w:hAnsi="宋体" w:eastAsia="宋体" w:cs="Times New Roman"/>
      <w:color w:val="000000"/>
      <w:sz w:val="28"/>
      <w:szCs w:val="28"/>
    </w:rPr>
  </w:style>
  <w:style w:type="character" w:customStyle="1" w:styleId="79">
    <w:name w:val="纯文本 Char1"/>
    <w:qFormat/>
    <w:uiPriority w:val="0"/>
    <w:rPr>
      <w:rFonts w:ascii="宋体" w:eastAsia="宋体"/>
      <w:szCs w:val="24"/>
      <w:lang w:val="en-US" w:eastAsia="zh-CN" w:bidi="ar-SA"/>
    </w:rPr>
  </w:style>
  <w:style w:type="character" w:customStyle="1" w:styleId="80">
    <w:name w:val="日期 字符"/>
    <w:link w:val="31"/>
    <w:qFormat/>
    <w:locked/>
    <w:uiPriority w:val="0"/>
    <w:rPr>
      <w:rFonts w:eastAsia="楷体_GB2312"/>
      <w:kern w:val="2"/>
      <w:sz w:val="48"/>
      <w:szCs w:val="24"/>
    </w:rPr>
  </w:style>
  <w:style w:type="character" w:customStyle="1" w:styleId="81">
    <w:name w:val="point_normal"/>
    <w:basedOn w:val="57"/>
    <w:qFormat/>
    <w:uiPriority w:val="0"/>
  </w:style>
  <w:style w:type="character" w:customStyle="1" w:styleId="82">
    <w:name w:val="style4 style5"/>
    <w:basedOn w:val="57"/>
    <w:qFormat/>
    <w:uiPriority w:val="0"/>
  </w:style>
  <w:style w:type="character" w:customStyle="1" w:styleId="83">
    <w:name w:val="规划正文 Char Char Char Char"/>
    <w:link w:val="84"/>
    <w:qFormat/>
    <w:uiPriority w:val="0"/>
    <w:rPr>
      <w:rFonts w:eastAsia="宋体"/>
      <w:kern w:val="2"/>
      <w:sz w:val="28"/>
      <w:szCs w:val="28"/>
      <w:lang w:val="en-US" w:eastAsia="zh-CN" w:bidi="ar-SA"/>
    </w:rPr>
  </w:style>
  <w:style w:type="paragraph" w:customStyle="1" w:styleId="84">
    <w:name w:val="规划正文 Char Char"/>
    <w:basedOn w:val="1"/>
    <w:link w:val="83"/>
    <w:qFormat/>
    <w:uiPriority w:val="0"/>
    <w:pPr>
      <w:widowControl/>
      <w:spacing w:line="360" w:lineRule="auto"/>
      <w:ind w:firstLine="200" w:firstLineChars="200"/>
      <w:jc w:val="left"/>
    </w:pPr>
    <w:rPr>
      <w:sz w:val="28"/>
      <w:szCs w:val="28"/>
    </w:rPr>
  </w:style>
  <w:style w:type="character" w:customStyle="1" w:styleId="85">
    <w:name w:val="标题 1 Char Char"/>
    <w:qFormat/>
    <w:uiPriority w:val="0"/>
    <w:rPr>
      <w:rFonts w:eastAsia="宋体"/>
      <w:b/>
      <w:bCs/>
      <w:kern w:val="44"/>
      <w:sz w:val="44"/>
      <w:lang w:val="en-US" w:eastAsia="zh-CN" w:bidi="ar-SA"/>
    </w:rPr>
  </w:style>
  <w:style w:type="character" w:customStyle="1" w:styleId="86">
    <w:name w:val="small1"/>
    <w:qFormat/>
    <w:uiPriority w:val="0"/>
    <w:rPr>
      <w:rFonts w:hint="default" w:ascii="Verdana" w:hAnsi="Verdana"/>
      <w:sz w:val="17"/>
      <w:szCs w:val="17"/>
    </w:rPr>
  </w:style>
  <w:style w:type="character" w:customStyle="1" w:styleId="87">
    <w:name w:val="正文段 Char Char"/>
    <w:link w:val="88"/>
    <w:qFormat/>
    <w:uiPriority w:val="0"/>
    <w:rPr>
      <w:rFonts w:ascii="宋体" w:eastAsia="宋体"/>
      <w:kern w:val="2"/>
      <w:sz w:val="24"/>
      <w:lang w:val="en-US" w:eastAsia="zh-CN" w:bidi="ar-SA"/>
    </w:rPr>
  </w:style>
  <w:style w:type="paragraph" w:customStyle="1" w:styleId="88">
    <w:name w:val="正文段"/>
    <w:basedOn w:val="1"/>
    <w:link w:val="87"/>
    <w:qFormat/>
    <w:uiPriority w:val="0"/>
    <w:pPr>
      <w:snapToGrid w:val="0"/>
      <w:spacing w:after="240" w:line="240" w:lineRule="atLeast"/>
      <w:ind w:firstLine="425"/>
    </w:pPr>
    <w:rPr>
      <w:rFonts w:ascii="宋体"/>
      <w:sz w:val="24"/>
    </w:rPr>
  </w:style>
  <w:style w:type="character" w:customStyle="1" w:styleId="89">
    <w:name w:val="样式 规划正文 Char + 宋体 Char Char"/>
    <w:link w:val="90"/>
    <w:qFormat/>
    <w:uiPriority w:val="0"/>
    <w:rPr>
      <w:rFonts w:ascii="宋体" w:hAnsi="宋体" w:eastAsia="宋体"/>
      <w:kern w:val="2"/>
      <w:sz w:val="28"/>
      <w:szCs w:val="28"/>
      <w:lang w:val="en-US" w:eastAsia="zh-CN" w:bidi="ar-SA"/>
    </w:rPr>
  </w:style>
  <w:style w:type="paragraph" w:customStyle="1" w:styleId="90">
    <w:name w:val="样式 规划正文 Char + 宋体"/>
    <w:basedOn w:val="84"/>
    <w:link w:val="89"/>
    <w:qFormat/>
    <w:uiPriority w:val="0"/>
    <w:rPr>
      <w:rFonts w:ascii="宋体" w:hAnsi="宋体"/>
    </w:rPr>
  </w:style>
  <w:style w:type="character" w:customStyle="1" w:styleId="91">
    <w:name w:val="访问过的超链接1"/>
    <w:qFormat/>
    <w:uiPriority w:val="0"/>
    <w:rPr>
      <w:color w:val="800080"/>
      <w:u w:val="single"/>
    </w:rPr>
  </w:style>
  <w:style w:type="character" w:customStyle="1" w:styleId="92">
    <w:name w:val="p41"/>
    <w:qFormat/>
    <w:uiPriority w:val="0"/>
    <w:rPr>
      <w:rFonts w:hint="eastAsia" w:ascii="宋体" w:hAnsi="宋体" w:eastAsia="宋体"/>
      <w:sz w:val="22"/>
      <w:szCs w:val="22"/>
    </w:rPr>
  </w:style>
  <w:style w:type="character" w:customStyle="1" w:styleId="93">
    <w:name w:val="para"/>
    <w:basedOn w:val="57"/>
    <w:qFormat/>
    <w:uiPriority w:val="0"/>
  </w:style>
  <w:style w:type="character" w:customStyle="1" w:styleId="94">
    <w:name w:val="title_emph"/>
    <w:basedOn w:val="57"/>
    <w:qFormat/>
    <w:uiPriority w:val="0"/>
  </w:style>
  <w:style w:type="character" w:customStyle="1" w:styleId="95">
    <w:name w:val="Char Char2"/>
    <w:qFormat/>
    <w:uiPriority w:val="0"/>
    <w:rPr>
      <w:rFonts w:ascii="宋体" w:eastAsia="宋体"/>
      <w:kern w:val="2"/>
      <w:sz w:val="21"/>
      <w:lang w:val="en-US" w:eastAsia="zh-CN" w:bidi="ar-SA"/>
    </w:rPr>
  </w:style>
  <w:style w:type="character" w:customStyle="1" w:styleId="96">
    <w:name w:val="v151"/>
    <w:qFormat/>
    <w:uiPriority w:val="0"/>
    <w:rPr>
      <w:sz w:val="18"/>
      <w:szCs w:val="18"/>
    </w:rPr>
  </w:style>
  <w:style w:type="paragraph" w:customStyle="1" w:styleId="97">
    <w:name w:val="并列项-点"/>
    <w:basedOn w:val="1"/>
    <w:qFormat/>
    <w:uiPriority w:val="0"/>
    <w:pPr>
      <w:tabs>
        <w:tab w:val="left" w:pos="840"/>
      </w:tabs>
      <w:adjustRightInd w:val="0"/>
      <w:snapToGrid w:val="0"/>
      <w:spacing w:after="120" w:line="360" w:lineRule="exact"/>
      <w:ind w:left="840" w:hanging="480"/>
    </w:pPr>
    <w:rPr>
      <w:rFonts w:eastAsia="仿宋_GB2312"/>
      <w:sz w:val="32"/>
    </w:rPr>
  </w:style>
  <w:style w:type="paragraph" w:customStyle="1" w:styleId="98">
    <w:name w:val="retrait3"/>
    <w:basedOn w:val="1"/>
    <w:qFormat/>
    <w:uiPriority w:val="99"/>
    <w:pPr>
      <w:widowControl/>
      <w:spacing w:before="20" w:after="20"/>
      <w:ind w:left="851"/>
      <w:jc w:val="left"/>
    </w:pPr>
    <w:rPr>
      <w:rFonts w:ascii="Arial" w:hAnsi="Arial"/>
      <w:kern w:val="0"/>
      <w:sz w:val="24"/>
      <w:lang w:val="en-GB"/>
    </w:rPr>
  </w:style>
  <w:style w:type="paragraph" w:customStyle="1" w:styleId="99">
    <w:name w:val="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00">
    <w:name w:val="正文 New New New New New New"/>
    <w:qFormat/>
    <w:uiPriority w:val="0"/>
    <w:pPr>
      <w:widowControl w:val="0"/>
      <w:jc w:val="both"/>
    </w:pPr>
    <w:rPr>
      <w:rFonts w:ascii="Calibri" w:hAnsi="Calibri" w:eastAsia="宋体" w:cs="Times New Roman"/>
      <w:kern w:val="2"/>
      <w:sz w:val="21"/>
      <w:szCs w:val="21"/>
      <w:lang w:val="en-US" w:eastAsia="zh-CN" w:bidi="ar-SA"/>
    </w:rPr>
  </w:style>
  <w:style w:type="character" w:customStyle="1" w:styleId="101">
    <w:name w:val="正文文本缩进 2 字符"/>
    <w:basedOn w:val="57"/>
    <w:link w:val="32"/>
    <w:qFormat/>
    <w:uiPriority w:val="0"/>
    <w:rPr>
      <w:rFonts w:ascii="宋体"/>
      <w:kern w:val="2"/>
      <w:sz w:val="24"/>
    </w:rPr>
  </w:style>
  <w:style w:type="paragraph" w:customStyle="1" w:styleId="102">
    <w:name w:val="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03">
    <w:name w:val="正文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04">
    <w:name w:val="p0"/>
    <w:basedOn w:val="1"/>
    <w:link w:val="327"/>
    <w:qFormat/>
    <w:uiPriority w:val="0"/>
    <w:pPr>
      <w:widowControl/>
    </w:pPr>
    <w:rPr>
      <w:kern w:val="0"/>
      <w:szCs w:val="21"/>
    </w:rPr>
  </w:style>
  <w:style w:type="paragraph" w:customStyle="1" w:styleId="105">
    <w:name w:val="NomDoc"/>
    <w:basedOn w:val="1"/>
    <w:qFormat/>
    <w:uiPriority w:val="99"/>
    <w:pPr>
      <w:widowControl/>
      <w:jc w:val="left"/>
    </w:pPr>
    <w:rPr>
      <w:rFonts w:ascii="Arial" w:hAnsi="Arial"/>
      <w:caps/>
      <w:kern w:val="0"/>
      <w:sz w:val="16"/>
      <w:lang w:val="en-GB"/>
    </w:rPr>
  </w:style>
  <w:style w:type="character" w:customStyle="1" w:styleId="106">
    <w:name w:val="正文文本 2 字符"/>
    <w:basedOn w:val="57"/>
    <w:link w:val="46"/>
    <w:qFormat/>
    <w:uiPriority w:val="0"/>
    <w:rPr>
      <w:rFonts w:ascii="仿宋_GB2312" w:eastAsia="仿宋_GB2312"/>
      <w:b/>
      <w:color w:val="000000"/>
      <w:sz w:val="44"/>
    </w:rPr>
  </w:style>
  <w:style w:type="paragraph" w:customStyle="1" w:styleId="107">
    <w:name w:val="Char111"/>
    <w:basedOn w:val="1"/>
    <w:link w:val="108"/>
    <w:qFormat/>
    <w:uiPriority w:val="0"/>
    <w:rPr>
      <w:rFonts w:ascii="仿宋_GB2312" w:eastAsia="仿宋_GB2312"/>
      <w:b/>
      <w:sz w:val="32"/>
      <w:szCs w:val="32"/>
    </w:rPr>
  </w:style>
  <w:style w:type="character" w:customStyle="1" w:styleId="108">
    <w:name w:val="Char Char Char"/>
    <w:link w:val="107"/>
    <w:qFormat/>
    <w:uiPriority w:val="0"/>
    <w:rPr>
      <w:rFonts w:ascii="仿宋_GB2312" w:eastAsia="仿宋_GB2312"/>
      <w:b/>
      <w:kern w:val="2"/>
      <w:sz w:val="32"/>
      <w:szCs w:val="32"/>
    </w:rPr>
  </w:style>
  <w:style w:type="paragraph" w:customStyle="1" w:styleId="109">
    <w:name w:val="Char Char5 Char Char"/>
    <w:basedOn w:val="1"/>
    <w:qFormat/>
    <w:uiPriority w:val="0"/>
    <w:pPr>
      <w:adjustRightInd w:val="0"/>
      <w:spacing w:line="360" w:lineRule="auto"/>
    </w:pPr>
    <w:rPr>
      <w:kern w:val="0"/>
      <w:sz w:val="24"/>
    </w:rPr>
  </w:style>
  <w:style w:type="paragraph" w:customStyle="1" w:styleId="110">
    <w:name w:val="字元 字元 字元 字元 字元"/>
    <w:basedOn w:val="1"/>
    <w:qFormat/>
    <w:uiPriority w:val="0"/>
  </w:style>
  <w:style w:type="character" w:customStyle="1" w:styleId="111">
    <w:name w:val="正文文本缩进 3 字符"/>
    <w:link w:val="42"/>
    <w:qFormat/>
    <w:uiPriority w:val="0"/>
    <w:rPr>
      <w:kern w:val="2"/>
      <w:sz w:val="24"/>
      <w:szCs w:val="24"/>
    </w:rPr>
  </w:style>
  <w:style w:type="paragraph" w:customStyle="1" w:styleId="112">
    <w:name w:val="Char Char Char Char Char Char Char Char Char Char1"/>
    <w:basedOn w:val="1"/>
    <w:qFormat/>
    <w:uiPriority w:val="99"/>
    <w:pPr>
      <w:tabs>
        <w:tab w:val="left" w:pos="425"/>
      </w:tabs>
      <w:ind w:left="425" w:hanging="425"/>
    </w:pPr>
  </w:style>
  <w:style w:type="paragraph" w:customStyle="1" w:styleId="113">
    <w:name w:val="规划正文"/>
    <w:basedOn w:val="1"/>
    <w:qFormat/>
    <w:uiPriority w:val="0"/>
    <w:pPr>
      <w:widowControl/>
      <w:spacing w:line="360" w:lineRule="auto"/>
      <w:ind w:firstLine="200" w:firstLineChars="200"/>
      <w:jc w:val="left"/>
    </w:pPr>
    <w:rPr>
      <w:kern w:val="0"/>
      <w:sz w:val="28"/>
      <w:szCs w:val="28"/>
    </w:rPr>
  </w:style>
  <w:style w:type="paragraph" w:customStyle="1" w:styleId="114">
    <w:name w:val="pa-5"/>
    <w:basedOn w:val="1"/>
    <w:qFormat/>
    <w:uiPriority w:val="99"/>
    <w:pPr>
      <w:widowControl/>
      <w:spacing w:line="360" w:lineRule="atLeast"/>
      <w:jc w:val="left"/>
    </w:pPr>
    <w:rPr>
      <w:rFonts w:ascii="宋体" w:hAnsi="宋体" w:cs="宋体"/>
      <w:kern w:val="0"/>
      <w:sz w:val="24"/>
      <w:szCs w:val="24"/>
    </w:rPr>
  </w:style>
  <w:style w:type="character" w:customStyle="1" w:styleId="115">
    <w:name w:val="TOC 2 字符"/>
    <w:link w:val="44"/>
    <w:qFormat/>
    <w:uiPriority w:val="39"/>
    <w:rPr>
      <w:rFonts w:asciiTheme="minorHAnsi" w:hAnsiTheme="minorHAnsi" w:cstheme="minorHAnsi"/>
      <w:smallCaps/>
      <w:kern w:val="2"/>
    </w:rPr>
  </w:style>
  <w:style w:type="character" w:customStyle="1" w:styleId="116">
    <w:name w:val="页眉 字符"/>
    <w:basedOn w:val="57"/>
    <w:link w:val="35"/>
    <w:qFormat/>
    <w:uiPriority w:val="0"/>
    <w:rPr>
      <w:kern w:val="2"/>
      <w:sz w:val="18"/>
    </w:rPr>
  </w:style>
  <w:style w:type="character" w:customStyle="1" w:styleId="117">
    <w:name w:val="文档结构图 字符"/>
    <w:link w:val="18"/>
    <w:qFormat/>
    <w:uiPriority w:val="0"/>
    <w:rPr>
      <w:kern w:val="2"/>
      <w:sz w:val="21"/>
      <w:shd w:val="clear" w:color="auto" w:fill="000080"/>
    </w:rPr>
  </w:style>
  <w:style w:type="paragraph" w:customStyle="1" w:styleId="118">
    <w:name w:val="ÕýÎÄ"/>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zh-CN" w:bidi="ar-SA"/>
    </w:rPr>
  </w:style>
  <w:style w:type="paragraph" w:customStyle="1" w:styleId="119">
    <w:name w:val="p15"/>
    <w:basedOn w:val="1"/>
    <w:qFormat/>
    <w:uiPriority w:val="0"/>
    <w:pPr>
      <w:widowControl/>
      <w:spacing w:before="100" w:after="100"/>
      <w:jc w:val="left"/>
    </w:pPr>
    <w:rPr>
      <w:rFonts w:ascii="宋体" w:hAnsi="宋体" w:cs="宋体"/>
      <w:kern w:val="0"/>
      <w:sz w:val="24"/>
      <w:szCs w:val="24"/>
    </w:rPr>
  </w:style>
  <w:style w:type="paragraph" w:customStyle="1" w:styleId="120">
    <w:name w:val="新编号"/>
    <w:basedOn w:val="121"/>
    <w:qFormat/>
    <w:uiPriority w:val="0"/>
    <w:pPr>
      <w:tabs>
        <w:tab w:val="left" w:pos="0"/>
        <w:tab w:val="left" w:pos="360"/>
      </w:tabs>
      <w:ind w:firstLine="400"/>
    </w:pPr>
    <w:rPr>
      <w:kern w:val="0"/>
    </w:rPr>
  </w:style>
  <w:style w:type="paragraph" w:customStyle="1" w:styleId="121">
    <w:name w:val="样式 规划正文 Char + 宋体 两端对齐 首行缩进:  2 字符 行距: 固定值 26 磅"/>
    <w:basedOn w:val="84"/>
    <w:qFormat/>
    <w:uiPriority w:val="0"/>
    <w:pPr>
      <w:tabs>
        <w:tab w:val="left" w:pos="360"/>
      </w:tabs>
      <w:spacing w:line="520" w:lineRule="exact"/>
      <w:ind w:firstLine="0" w:firstLineChars="0"/>
      <w:jc w:val="both"/>
    </w:pPr>
    <w:rPr>
      <w:rFonts w:ascii="宋体" w:hAnsi="宋体" w:cs="宋体"/>
      <w:szCs w:val="20"/>
    </w:rPr>
  </w:style>
  <w:style w:type="character" w:customStyle="1" w:styleId="122">
    <w:name w:val="HTML 预设格式 字符"/>
    <w:link w:val="48"/>
    <w:qFormat/>
    <w:uiPriority w:val="99"/>
    <w:rPr>
      <w:rFonts w:ascii="宋体" w:hAnsi="宋体" w:cs="宋体"/>
      <w:sz w:val="24"/>
      <w:szCs w:val="24"/>
    </w:rPr>
  </w:style>
  <w:style w:type="paragraph" w:customStyle="1" w:styleId="123">
    <w:name w:val="09正文_wh"/>
    <w:qFormat/>
    <w:uiPriority w:val="0"/>
    <w:pPr>
      <w:spacing w:line="300" w:lineRule="auto"/>
      <w:ind w:firstLine="200" w:firstLineChars="200"/>
      <w:jc w:val="both"/>
    </w:pPr>
    <w:rPr>
      <w:rFonts w:ascii="Times New Roman" w:hAnsi="Times New Roman" w:eastAsia="宋体" w:cs="Times New Roman"/>
      <w:sz w:val="28"/>
      <w:lang w:val="en-US" w:eastAsia="zh-CN" w:bidi="ar-SA"/>
    </w:rPr>
  </w:style>
  <w:style w:type="paragraph" w:customStyle="1" w:styleId="124">
    <w:name w:val="表格内字体"/>
    <w:basedOn w:val="1"/>
    <w:qFormat/>
    <w:uiPriority w:val="0"/>
    <w:pPr>
      <w:spacing w:before="360" w:line="360" w:lineRule="auto"/>
      <w:jc w:val="center"/>
    </w:pPr>
    <w:rPr>
      <w:rFonts w:ascii="宋体" w:eastAsia="仿宋_GB2312"/>
    </w:rPr>
  </w:style>
  <w:style w:type="character" w:customStyle="1" w:styleId="125">
    <w:name w:val="批注框文本 字符"/>
    <w:link w:val="33"/>
    <w:qFormat/>
    <w:uiPriority w:val="99"/>
    <w:rPr>
      <w:kern w:val="2"/>
      <w:sz w:val="18"/>
      <w:szCs w:val="18"/>
    </w:rPr>
  </w:style>
  <w:style w:type="character" w:customStyle="1" w:styleId="126">
    <w:name w:val="正文文本 字符"/>
    <w:link w:val="22"/>
    <w:qFormat/>
    <w:uiPriority w:val="0"/>
    <w:rPr>
      <w:rFonts w:ascii="宋体" w:hAnsi="宋体"/>
      <w:bCs/>
      <w:color w:val="000000"/>
      <w:kern w:val="2"/>
      <w:sz w:val="24"/>
    </w:rPr>
  </w:style>
  <w:style w:type="paragraph" w:styleId="127">
    <w:name w:val="List Paragraph"/>
    <w:basedOn w:val="1"/>
    <w:qFormat/>
    <w:uiPriority w:val="34"/>
    <w:pPr>
      <w:ind w:left="720"/>
      <w:contextualSpacing/>
    </w:pPr>
    <w:rPr>
      <w:sz w:val="28"/>
    </w:rPr>
  </w:style>
  <w:style w:type="character" w:customStyle="1" w:styleId="128">
    <w:name w:val="正文文本缩进 字符"/>
    <w:basedOn w:val="57"/>
    <w:link w:val="23"/>
    <w:qFormat/>
    <w:uiPriority w:val="99"/>
    <w:rPr>
      <w:kern w:val="2"/>
      <w:sz w:val="21"/>
    </w:rPr>
  </w:style>
  <w:style w:type="paragraph" w:customStyle="1" w:styleId="129">
    <w:name w:val="小标题"/>
    <w:basedOn w:val="121"/>
    <w:qFormat/>
    <w:uiPriority w:val="0"/>
    <w:pPr>
      <w:tabs>
        <w:tab w:val="left" w:pos="814"/>
        <w:tab w:val="clear" w:pos="360"/>
      </w:tabs>
      <w:ind w:left="737" w:hanging="283"/>
    </w:pPr>
  </w:style>
  <w:style w:type="paragraph" w:customStyle="1" w:styleId="130">
    <w:name w:val="要点1"/>
    <w:basedOn w:val="5"/>
    <w:qFormat/>
    <w:uiPriority w:val="0"/>
    <w:pPr>
      <w:tabs>
        <w:tab w:val="left" w:pos="960"/>
      </w:tabs>
      <w:spacing w:line="520" w:lineRule="exact"/>
      <w:ind w:firstLine="200" w:firstLineChars="200"/>
    </w:pPr>
    <w:rPr>
      <w:rFonts w:ascii="宋体" w:hAnsi="宋体"/>
      <w:sz w:val="28"/>
      <w:szCs w:val="28"/>
    </w:rPr>
  </w:style>
  <w:style w:type="paragraph" w:customStyle="1" w:styleId="131">
    <w:name w:val="图片"/>
    <w:basedOn w:val="1"/>
    <w:next w:val="16"/>
    <w:qFormat/>
    <w:uiPriority w:val="0"/>
    <w:pPr>
      <w:keepNext/>
      <w:widowControl/>
      <w:jc w:val="left"/>
    </w:pPr>
    <w:rPr>
      <w:rFonts w:ascii="Garamond" w:hAnsi="Garamond"/>
      <w:kern w:val="0"/>
    </w:rPr>
  </w:style>
  <w:style w:type="paragraph" w:customStyle="1" w:styleId="132">
    <w:name w:val="字元 字元"/>
    <w:basedOn w:val="1"/>
    <w:qFormat/>
    <w:uiPriority w:val="0"/>
  </w:style>
  <w:style w:type="paragraph" w:customStyle="1" w:styleId="133">
    <w:name w:val="Absatz2AL"/>
    <w:basedOn w:val="22"/>
    <w:next w:val="1"/>
    <w:qFormat/>
    <w:uiPriority w:val="0"/>
    <w:pPr>
      <w:widowControl/>
      <w:overflowPunct w:val="0"/>
      <w:autoSpaceDE w:val="0"/>
      <w:autoSpaceDN w:val="0"/>
      <w:spacing w:line="240" w:lineRule="auto"/>
    </w:pPr>
    <w:rPr>
      <w:rFonts w:ascii="Times New Roman" w:hAnsi="Times New Roman" w:eastAsia="楷体_GB2312"/>
      <w:bCs w:val="0"/>
      <w:color w:val="auto"/>
      <w:kern w:val="0"/>
      <w:lang w:val="de-DE"/>
    </w:rPr>
  </w:style>
  <w:style w:type="character" w:customStyle="1" w:styleId="134">
    <w:name w:val="页脚 字符"/>
    <w:basedOn w:val="57"/>
    <w:link w:val="34"/>
    <w:qFormat/>
    <w:uiPriority w:val="0"/>
    <w:rPr>
      <w:kern w:val="2"/>
      <w:sz w:val="18"/>
    </w:rPr>
  </w:style>
  <w:style w:type="paragraph" w:customStyle="1" w:styleId="135">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rPr>
  </w:style>
  <w:style w:type="paragraph" w:customStyle="1" w:styleId="136">
    <w:name w:val="默认段落字体 Para Char"/>
    <w:basedOn w:val="1"/>
    <w:qFormat/>
    <w:uiPriority w:val="0"/>
  </w:style>
  <w:style w:type="paragraph" w:customStyle="1" w:styleId="137">
    <w:name w:val="TOC 标题1"/>
    <w:basedOn w:val="3"/>
    <w:next w:val="1"/>
    <w:qFormat/>
    <w:uiPriority w:val="39"/>
    <w:pPr>
      <w:widowControl/>
      <w:spacing w:before="480" w:after="0" w:line="276" w:lineRule="auto"/>
      <w:jc w:val="left"/>
      <w:outlineLvl w:val="9"/>
    </w:pPr>
    <w:rPr>
      <w:rFonts w:ascii="Cambria" w:hAnsi="Cambria"/>
      <w:bCs/>
      <w:color w:val="365F91"/>
      <w:spacing w:val="0"/>
      <w:kern w:val="0"/>
      <w:sz w:val="28"/>
      <w:szCs w:val="28"/>
    </w:rPr>
  </w:style>
  <w:style w:type="paragraph" w:customStyle="1" w:styleId="138">
    <w:name w:val="正文_3"/>
    <w:qFormat/>
    <w:uiPriority w:val="99"/>
    <w:pPr>
      <w:widowControl w:val="0"/>
      <w:jc w:val="both"/>
    </w:pPr>
    <w:rPr>
      <w:rFonts w:ascii="Calibri" w:hAnsi="Calibri" w:eastAsia="宋体" w:cs="Times New Roman"/>
      <w:kern w:val="2"/>
      <w:sz w:val="21"/>
      <w:szCs w:val="22"/>
      <w:lang w:val="en-US" w:eastAsia="zh-CN" w:bidi="ar-SA"/>
    </w:rPr>
  </w:style>
  <w:style w:type="character" w:customStyle="1" w:styleId="139">
    <w:name w:val="正文文本缩进 2 Char1"/>
    <w:qFormat/>
    <w:uiPriority w:val="0"/>
    <w:rPr>
      <w:kern w:val="2"/>
      <w:sz w:val="21"/>
    </w:rPr>
  </w:style>
  <w:style w:type="paragraph" w:customStyle="1" w:styleId="140">
    <w:name w:val="正文_1"/>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41">
    <w:name w:val="纯文本 字符1"/>
    <w:qFormat/>
    <w:uiPriority w:val="99"/>
    <w:rPr>
      <w:rFonts w:ascii="宋体" w:hAnsi="Times New Roman" w:eastAsia="宋体" w:cs="Times New Roman"/>
      <w:kern w:val="0"/>
      <w:sz w:val="20"/>
      <w:szCs w:val="24"/>
    </w:rPr>
  </w:style>
  <w:style w:type="paragraph" w:customStyle="1" w:styleId="142">
    <w:name w:val="正文_2"/>
    <w:qFormat/>
    <w:uiPriority w:val="0"/>
    <w:pPr>
      <w:widowControl w:val="0"/>
      <w:jc w:val="both"/>
    </w:pPr>
    <w:rPr>
      <w:rFonts w:ascii="Calibri" w:hAnsi="Calibri" w:eastAsia="宋体" w:cs="Times New Roman"/>
      <w:kern w:val="2"/>
      <w:sz w:val="21"/>
      <w:szCs w:val="22"/>
      <w:lang w:val="en-US" w:eastAsia="zh-CN" w:bidi="ar-SA"/>
    </w:rPr>
  </w:style>
  <w:style w:type="character" w:customStyle="1" w:styleId="143">
    <w:name w:val="批注文字 字符"/>
    <w:basedOn w:val="57"/>
    <w:link w:val="20"/>
    <w:qFormat/>
    <w:uiPriority w:val="0"/>
    <w:rPr>
      <w:kern w:val="2"/>
      <w:sz w:val="21"/>
    </w:rPr>
  </w:style>
  <w:style w:type="character" w:customStyle="1" w:styleId="144">
    <w:name w:val="批注主题 字符"/>
    <w:basedOn w:val="143"/>
    <w:link w:val="52"/>
    <w:qFormat/>
    <w:uiPriority w:val="0"/>
    <w:rPr>
      <w:b/>
      <w:bCs/>
      <w:kern w:val="2"/>
      <w:sz w:val="21"/>
    </w:rPr>
  </w:style>
  <w:style w:type="paragraph" w:customStyle="1" w:styleId="145">
    <w:name w:val="Blockquote"/>
    <w:basedOn w:val="1"/>
    <w:link w:val="146"/>
    <w:qFormat/>
    <w:uiPriority w:val="0"/>
    <w:pPr>
      <w:autoSpaceDE w:val="0"/>
      <w:autoSpaceDN w:val="0"/>
      <w:adjustRightInd w:val="0"/>
      <w:spacing w:before="100" w:after="100"/>
      <w:ind w:left="360" w:right="360"/>
      <w:jc w:val="left"/>
    </w:pPr>
    <w:rPr>
      <w:kern w:val="0"/>
      <w:sz w:val="24"/>
    </w:rPr>
  </w:style>
  <w:style w:type="character" w:customStyle="1" w:styleId="146">
    <w:name w:val="Blockquote Char"/>
    <w:link w:val="145"/>
    <w:qFormat/>
    <w:uiPriority w:val="0"/>
    <w:rPr>
      <w:sz w:val="24"/>
    </w:rPr>
  </w:style>
  <w:style w:type="paragraph" w:customStyle="1" w:styleId="147">
    <w:name w:val="Normal_0"/>
    <w:qFormat/>
    <w:uiPriority w:val="0"/>
    <w:pPr>
      <w:widowControl w:val="0"/>
      <w:jc w:val="both"/>
    </w:pPr>
    <w:rPr>
      <w:rFonts w:ascii="Calibri" w:hAnsi="Calibri" w:eastAsia="宋体" w:cs="Times New Roman"/>
      <w:lang w:val="en-US" w:eastAsia="zh-CN" w:bidi="ar-SA"/>
    </w:rPr>
  </w:style>
  <w:style w:type="paragraph" w:customStyle="1" w:styleId="148">
    <w:name w:val="正文_0"/>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49">
    <w:name w:val="Normal_1"/>
    <w:qFormat/>
    <w:uiPriority w:val="99"/>
    <w:pPr>
      <w:widowControl w:val="0"/>
      <w:jc w:val="both"/>
    </w:pPr>
    <w:rPr>
      <w:rFonts w:ascii="Calibri" w:hAnsi="Calibri" w:eastAsia="宋体" w:cs="Times New Roman"/>
      <w:lang w:val="en-US" w:eastAsia="zh-CN" w:bidi="ar-SA"/>
    </w:rPr>
  </w:style>
  <w:style w:type="paragraph" w:customStyle="1" w:styleId="150">
    <w:name w:val="页脚1"/>
    <w:basedOn w:val="147"/>
    <w:link w:val="151"/>
    <w:unhideWhenUsed/>
    <w:qFormat/>
    <w:uiPriority w:val="0"/>
    <w:pPr>
      <w:tabs>
        <w:tab w:val="center" w:pos="4153"/>
        <w:tab w:val="right" w:pos="8306"/>
      </w:tabs>
      <w:snapToGrid w:val="0"/>
      <w:jc w:val="left"/>
    </w:pPr>
    <w:rPr>
      <w:sz w:val="18"/>
      <w:szCs w:val="18"/>
    </w:rPr>
  </w:style>
  <w:style w:type="character" w:customStyle="1" w:styleId="151">
    <w:name w:val="页脚 Char_0"/>
    <w:link w:val="150"/>
    <w:qFormat/>
    <w:uiPriority w:val="0"/>
    <w:rPr>
      <w:rFonts w:ascii="Calibri" w:hAnsi="Calibri"/>
      <w:sz w:val="18"/>
      <w:szCs w:val="18"/>
    </w:rPr>
  </w:style>
  <w:style w:type="paragraph" w:customStyle="1" w:styleId="152">
    <w:name w:val="正文_3_0"/>
    <w:qFormat/>
    <w:uiPriority w:val="0"/>
    <w:pPr>
      <w:widowControl w:val="0"/>
      <w:jc w:val="both"/>
    </w:pPr>
    <w:rPr>
      <w:rFonts w:ascii="Calibri" w:hAnsi="Calibri" w:eastAsia="宋体" w:cs="Times New Roman"/>
      <w:lang w:val="en-US" w:eastAsia="zh-CN" w:bidi="ar-SA"/>
    </w:rPr>
  </w:style>
  <w:style w:type="character" w:customStyle="1" w:styleId="153">
    <w:name w:val="Char Char19"/>
    <w:qFormat/>
    <w:uiPriority w:val="0"/>
    <w:rPr>
      <w:rFonts w:ascii="Arial" w:hAnsi="Arial" w:eastAsia="黑体"/>
      <w:b/>
      <w:bCs/>
      <w:sz w:val="32"/>
      <w:szCs w:val="32"/>
    </w:rPr>
  </w:style>
  <w:style w:type="paragraph" w:customStyle="1" w:styleId="154">
    <w:name w:val="Normal_2"/>
    <w:qFormat/>
    <w:uiPriority w:val="0"/>
    <w:pPr>
      <w:widowControl w:val="0"/>
      <w:jc w:val="both"/>
    </w:pPr>
    <w:rPr>
      <w:rFonts w:ascii="Calibri" w:hAnsi="Calibri" w:eastAsia="宋体" w:cs="Times New Roman"/>
      <w:lang w:val="en-US" w:eastAsia="zh-CN" w:bidi="ar-SA"/>
    </w:rPr>
  </w:style>
  <w:style w:type="paragraph" w:customStyle="1" w:styleId="155">
    <w:name w:val="Normal_1_0"/>
    <w:qFormat/>
    <w:uiPriority w:val="0"/>
    <w:pPr>
      <w:widowControl w:val="0"/>
      <w:jc w:val="both"/>
    </w:pPr>
    <w:rPr>
      <w:rFonts w:ascii="Calibri" w:hAnsi="Calibri" w:eastAsia="宋体" w:cs="Times New Roman"/>
      <w:lang w:val="en-US" w:eastAsia="zh-CN" w:bidi="ar-SA"/>
    </w:rPr>
  </w:style>
  <w:style w:type="paragraph" w:customStyle="1" w:styleId="156">
    <w:name w:val="Normal_3"/>
    <w:qFormat/>
    <w:uiPriority w:val="0"/>
    <w:pPr>
      <w:widowControl w:val="0"/>
      <w:jc w:val="both"/>
    </w:pPr>
    <w:rPr>
      <w:rFonts w:ascii="Calibri" w:hAnsi="Calibri" w:eastAsia="宋体" w:cs="Times New Roman"/>
      <w:lang w:val="en-US" w:eastAsia="zh-CN" w:bidi="ar-SA"/>
    </w:rPr>
  </w:style>
  <w:style w:type="paragraph" w:customStyle="1" w:styleId="157">
    <w:name w:val="样式1"/>
    <w:basedOn w:val="7"/>
    <w:qFormat/>
    <w:uiPriority w:val="0"/>
    <w:pPr>
      <w:widowControl/>
      <w:jc w:val="left"/>
    </w:pPr>
    <w:rPr>
      <w:rFonts w:ascii="黑体"/>
      <w:kern w:val="0"/>
      <w:sz w:val="24"/>
      <w:szCs w:val="30"/>
    </w:rPr>
  </w:style>
  <w:style w:type="paragraph" w:customStyle="1" w:styleId="158">
    <w:name w:val="标题4"/>
    <w:basedOn w:val="1"/>
    <w:next w:val="7"/>
    <w:link w:val="159"/>
    <w:qFormat/>
    <w:uiPriority w:val="0"/>
    <w:pPr>
      <w:widowControl/>
      <w:jc w:val="left"/>
    </w:pPr>
    <w:rPr>
      <w:rFonts w:ascii="黑体" w:eastAsia="黑体"/>
      <w:kern w:val="0"/>
      <w:sz w:val="24"/>
      <w:szCs w:val="30"/>
    </w:rPr>
  </w:style>
  <w:style w:type="character" w:customStyle="1" w:styleId="159">
    <w:name w:val="标题4 Char Char"/>
    <w:link w:val="158"/>
    <w:qFormat/>
    <w:uiPriority w:val="0"/>
    <w:rPr>
      <w:rFonts w:ascii="黑体" w:eastAsia="黑体"/>
      <w:sz w:val="24"/>
      <w:szCs w:val="30"/>
    </w:rPr>
  </w:style>
  <w:style w:type="paragraph" w:customStyle="1" w:styleId="160">
    <w:name w:val="样式2"/>
    <w:basedOn w:val="7"/>
    <w:next w:val="7"/>
    <w:qFormat/>
    <w:uiPriority w:val="0"/>
    <w:pPr>
      <w:widowControl/>
      <w:jc w:val="left"/>
    </w:pPr>
    <w:rPr>
      <w:rFonts w:ascii="黑体"/>
      <w:kern w:val="0"/>
      <w:sz w:val="24"/>
      <w:szCs w:val="30"/>
    </w:rPr>
  </w:style>
  <w:style w:type="character" w:customStyle="1" w:styleId="161">
    <w:name w:val="正文文本缩进 Char1"/>
    <w:basedOn w:val="57"/>
    <w:qFormat/>
    <w:uiPriority w:val="0"/>
  </w:style>
  <w:style w:type="paragraph" w:customStyle="1" w:styleId="162">
    <w:name w:val="Char3"/>
    <w:basedOn w:val="1"/>
    <w:qFormat/>
    <w:uiPriority w:val="0"/>
    <w:pPr>
      <w:tabs>
        <w:tab w:val="left" w:pos="794"/>
        <w:tab w:val="left" w:pos="1191"/>
        <w:tab w:val="left" w:pos="1588"/>
        <w:tab w:val="left" w:pos="1985"/>
      </w:tabs>
      <w:autoSpaceDE w:val="0"/>
      <w:autoSpaceDN w:val="0"/>
      <w:adjustRightInd w:val="0"/>
      <w:spacing w:before="136"/>
    </w:pPr>
    <w:rPr>
      <w:rFonts w:ascii="Tahoma" w:hAnsi="Tahoma"/>
      <w:kern w:val="0"/>
      <w:sz w:val="24"/>
      <w:lang w:val="en-GB"/>
    </w:rPr>
  </w:style>
  <w:style w:type="character" w:customStyle="1" w:styleId="163">
    <w:name w:val="zbggmain style9"/>
    <w:basedOn w:val="57"/>
    <w:qFormat/>
    <w:uiPriority w:val="0"/>
  </w:style>
  <w:style w:type="paragraph" w:customStyle="1" w:styleId="164">
    <w:name w:val="样式 标题 3 + (中文) 黑体 小四 非加粗 段前: 7.8 磅 段后: 0 磅 行距: 固定值 20 磅"/>
    <w:basedOn w:val="6"/>
    <w:qFormat/>
    <w:uiPriority w:val="0"/>
    <w:pPr>
      <w:spacing w:before="0" w:after="0" w:line="400" w:lineRule="exact"/>
      <w:ind w:firstLine="0"/>
    </w:pPr>
    <w:rPr>
      <w:rFonts w:ascii="Times New Roman" w:eastAsia="黑体" w:cs="宋体"/>
      <w:b w:val="0"/>
    </w:rPr>
  </w:style>
  <w:style w:type="paragraph" w:customStyle="1" w:styleId="165">
    <w:name w:val="样式 标题 2 + Times New Roman 四号 非加粗 段前: 5 磅 段后: 0 磅 行距: 固定值 20..."/>
    <w:basedOn w:val="4"/>
    <w:link w:val="166"/>
    <w:qFormat/>
    <w:uiPriority w:val="0"/>
    <w:pPr>
      <w:spacing w:before="100"/>
      <w:jc w:val="both"/>
    </w:pPr>
    <w:rPr>
      <w:rFonts w:ascii="Times New Roman" w:hAnsi="Times New Roman" w:eastAsia="黑体" w:cs="宋体"/>
      <w:b w:val="0"/>
      <w:kern w:val="2"/>
      <w:sz w:val="28"/>
    </w:rPr>
  </w:style>
  <w:style w:type="character" w:customStyle="1" w:styleId="166">
    <w:name w:val="样式 标题 2 + Times New Roman 四号 非加粗 段前: 5 磅 段后: 0 磅 行距: 固定值 20... Char Char"/>
    <w:basedOn w:val="57"/>
    <w:link w:val="165"/>
    <w:qFormat/>
    <w:uiPriority w:val="0"/>
    <w:rPr>
      <w:rFonts w:eastAsia="黑体" w:cs="宋体"/>
      <w:kern w:val="2"/>
      <w:sz w:val="28"/>
    </w:rPr>
  </w:style>
  <w:style w:type="paragraph" w:customStyle="1" w:styleId="167">
    <w:name w:val="Char6 Char Char Char"/>
    <w:basedOn w:val="1"/>
    <w:qFormat/>
    <w:uiPriority w:val="0"/>
    <w:pPr>
      <w:tabs>
        <w:tab w:val="left" w:pos="794"/>
        <w:tab w:val="left" w:pos="1191"/>
        <w:tab w:val="left" w:pos="1588"/>
        <w:tab w:val="left" w:pos="1985"/>
      </w:tabs>
      <w:autoSpaceDE w:val="0"/>
      <w:autoSpaceDN w:val="0"/>
      <w:adjustRightInd w:val="0"/>
      <w:spacing w:before="136"/>
    </w:pPr>
    <w:rPr>
      <w:rFonts w:ascii="Tahoma" w:hAnsi="Tahoma"/>
      <w:kern w:val="0"/>
      <w:sz w:val="24"/>
      <w:lang w:val="en-GB"/>
    </w:rPr>
  </w:style>
  <w:style w:type="paragraph" w:customStyle="1" w:styleId="168">
    <w:name w:val="opening2"/>
    <w:basedOn w:val="1"/>
    <w:qFormat/>
    <w:uiPriority w:val="0"/>
    <w:pPr>
      <w:widowControl/>
      <w:spacing w:before="100" w:beforeAutospacing="1" w:after="100" w:afterAutospacing="1"/>
      <w:jc w:val="left"/>
    </w:pPr>
    <w:rPr>
      <w:rFonts w:ascii="宋体" w:hAnsi="宋体" w:cs="宋体"/>
      <w:color w:val="000000"/>
      <w:kern w:val="0"/>
      <w:sz w:val="23"/>
      <w:szCs w:val="23"/>
    </w:rPr>
  </w:style>
  <w:style w:type="paragraph" w:customStyle="1" w:styleId="169">
    <w:name w:val="7"/>
    <w:basedOn w:val="1"/>
    <w:qFormat/>
    <w:uiPriority w:val="0"/>
    <w:pPr>
      <w:widowControl/>
      <w:tabs>
        <w:tab w:val="left" w:pos="425"/>
      </w:tabs>
      <w:spacing w:beforeLines="100" w:after="160" w:line="240" w:lineRule="exact"/>
      <w:ind w:left="425" w:hanging="425"/>
      <w:jc w:val="left"/>
    </w:pPr>
    <w:rPr>
      <w:rFonts w:ascii="Verdana" w:hAnsi="Verdana" w:eastAsia="黑体"/>
      <w:kern w:val="0"/>
      <w:sz w:val="20"/>
      <w:lang w:eastAsia="en-US"/>
    </w:rPr>
  </w:style>
  <w:style w:type="character" w:customStyle="1" w:styleId="170">
    <w:name w:val="javascript"/>
    <w:basedOn w:val="57"/>
    <w:qFormat/>
    <w:uiPriority w:val="0"/>
  </w:style>
  <w:style w:type="character" w:customStyle="1" w:styleId="171">
    <w:name w:val="style11"/>
    <w:qFormat/>
    <w:uiPriority w:val="0"/>
    <w:rPr>
      <w:b/>
      <w:bCs/>
    </w:rPr>
  </w:style>
  <w:style w:type="paragraph" w:customStyle="1" w:styleId="172">
    <w:name w:val="1"/>
    <w:basedOn w:val="1"/>
    <w:next w:val="25"/>
    <w:qFormat/>
    <w:uiPriority w:val="0"/>
    <w:pPr>
      <w:adjustRightInd w:val="0"/>
      <w:ind w:left="420" w:right="33"/>
      <w:jc w:val="left"/>
      <w:textAlignment w:val="baseline"/>
    </w:pPr>
    <w:rPr>
      <w:kern w:val="0"/>
      <w:sz w:val="24"/>
    </w:rPr>
  </w:style>
  <w:style w:type="paragraph" w:customStyle="1" w:styleId="173">
    <w:name w:val="样式 样式 样式 宋体 小四 黑色 两端对齐 + 首行缩进:  2 字符 + 五号 首行缩进:  2 字符"/>
    <w:basedOn w:val="1"/>
    <w:qFormat/>
    <w:uiPriority w:val="0"/>
    <w:pPr>
      <w:widowControl/>
      <w:spacing w:line="340" w:lineRule="exact"/>
      <w:ind w:firstLine="200" w:firstLineChars="200"/>
    </w:pPr>
    <w:rPr>
      <w:rFonts w:ascii="宋体" w:hAnsi="宋体"/>
      <w:color w:val="000000"/>
      <w:kern w:val="0"/>
    </w:rPr>
  </w:style>
  <w:style w:type="paragraph" w:customStyle="1" w:styleId="174">
    <w:name w:val="目录文字"/>
    <w:basedOn w:val="1"/>
    <w:qFormat/>
    <w:uiPriority w:val="0"/>
    <w:pPr>
      <w:widowControl/>
      <w:spacing w:line="480" w:lineRule="auto"/>
      <w:jc w:val="left"/>
    </w:pPr>
    <w:rPr>
      <w:rFonts w:ascii="宋体" w:hAnsi="宋体"/>
      <w:kern w:val="0"/>
      <w:sz w:val="24"/>
    </w:rPr>
  </w:style>
  <w:style w:type="paragraph" w:customStyle="1" w:styleId="175">
    <w:name w:val="xl51"/>
    <w:basedOn w:val="1"/>
    <w:qFormat/>
    <w:uiPriority w:val="0"/>
    <w:pPr>
      <w:widowControl/>
      <w:pBdr>
        <w:bottom w:val="single" w:color="auto" w:sz="4" w:space="0"/>
      </w:pBdr>
      <w:spacing w:before="100" w:beforeAutospacing="1" w:after="100" w:afterAutospacing="1"/>
      <w:jc w:val="center"/>
      <w:textAlignment w:val="center"/>
    </w:pPr>
    <w:rPr>
      <w:rFonts w:ascii="宋体" w:hAnsi="宋体"/>
      <w:b/>
      <w:bCs/>
      <w:kern w:val="0"/>
      <w:sz w:val="32"/>
      <w:szCs w:val="32"/>
    </w:rPr>
  </w:style>
  <w:style w:type="character" w:customStyle="1" w:styleId="176">
    <w:name w:val="正文文本 3 字符"/>
    <w:basedOn w:val="57"/>
    <w:link w:val="21"/>
    <w:qFormat/>
    <w:uiPriority w:val="0"/>
    <w:rPr>
      <w:sz w:val="16"/>
      <w:szCs w:val="16"/>
    </w:rPr>
  </w:style>
  <w:style w:type="character" w:customStyle="1" w:styleId="177">
    <w:name w:val="宏文本 字符"/>
    <w:link w:val="2"/>
    <w:qFormat/>
    <w:uiPriority w:val="0"/>
    <w:rPr>
      <w:rFonts w:ascii="Courier New" w:hAnsi="Courier New"/>
      <w:sz w:val="24"/>
      <w:szCs w:val="24"/>
    </w:rPr>
  </w:style>
  <w:style w:type="character" w:customStyle="1" w:styleId="178">
    <w:name w:val="宏文本 Char1"/>
    <w:basedOn w:val="57"/>
    <w:qFormat/>
    <w:uiPriority w:val="0"/>
    <w:rPr>
      <w:rFonts w:ascii="Courier New" w:hAnsi="Courier New" w:cs="Courier New"/>
      <w:kern w:val="2"/>
      <w:sz w:val="24"/>
      <w:szCs w:val="24"/>
    </w:rPr>
  </w:style>
  <w:style w:type="character" w:customStyle="1" w:styleId="179">
    <w:name w:val="15"/>
    <w:qFormat/>
    <w:uiPriority w:val="0"/>
    <w:rPr>
      <w:rFonts w:hint="eastAsia" w:ascii="MingLiU" w:hAnsi="MingLiU" w:eastAsia="MingLiU"/>
      <w:sz w:val="22"/>
      <w:szCs w:val="22"/>
    </w:rPr>
  </w:style>
  <w:style w:type="character" w:customStyle="1" w:styleId="180">
    <w:name w:val="font51"/>
    <w:qFormat/>
    <w:uiPriority w:val="0"/>
    <w:rPr>
      <w:rFonts w:hint="eastAsia" w:ascii="宋体" w:hAnsi="宋体" w:eastAsia="宋体" w:cs="宋体"/>
      <w:b/>
      <w:color w:val="000000"/>
      <w:sz w:val="21"/>
      <w:szCs w:val="21"/>
      <w:u w:val="none"/>
    </w:rPr>
  </w:style>
  <w:style w:type="character" w:customStyle="1" w:styleId="181">
    <w:name w:val="正文文本 (2)_"/>
    <w:link w:val="182"/>
    <w:qFormat/>
    <w:uiPriority w:val="0"/>
    <w:rPr>
      <w:rFonts w:ascii="MingLiU" w:hAnsi="MingLiU" w:eastAsia="MingLiU" w:cs="MingLiU"/>
      <w:spacing w:val="4"/>
      <w:sz w:val="22"/>
      <w:szCs w:val="22"/>
    </w:rPr>
  </w:style>
  <w:style w:type="paragraph" w:customStyle="1" w:styleId="182">
    <w:name w:val="正文文本 (2)"/>
    <w:basedOn w:val="1"/>
    <w:link w:val="181"/>
    <w:qFormat/>
    <w:uiPriority w:val="0"/>
    <w:pPr>
      <w:spacing w:after="120" w:line="458" w:lineRule="exact"/>
      <w:jc w:val="distribute"/>
    </w:pPr>
    <w:rPr>
      <w:rFonts w:ascii="MingLiU" w:hAnsi="MingLiU" w:eastAsia="MingLiU" w:cs="MingLiU"/>
      <w:spacing w:val="4"/>
      <w:kern w:val="0"/>
      <w:sz w:val="22"/>
      <w:szCs w:val="22"/>
    </w:rPr>
  </w:style>
  <w:style w:type="character" w:customStyle="1" w:styleId="183">
    <w:name w:val="font61"/>
    <w:qFormat/>
    <w:uiPriority w:val="0"/>
    <w:rPr>
      <w:rFonts w:hint="default" w:ascii="Times New Roman" w:hAnsi="Times New Roman" w:cs="Times New Roman"/>
      <w:b/>
      <w:color w:val="000000"/>
      <w:sz w:val="21"/>
      <w:szCs w:val="21"/>
      <w:u w:val="none"/>
    </w:rPr>
  </w:style>
  <w:style w:type="character" w:customStyle="1" w:styleId="184">
    <w:name w:val="my Char Char"/>
    <w:link w:val="185"/>
    <w:qFormat/>
    <w:uiPriority w:val="0"/>
    <w:rPr>
      <w:color w:val="000000"/>
      <w:kern w:val="2"/>
      <w:sz w:val="24"/>
      <w:szCs w:val="24"/>
    </w:rPr>
  </w:style>
  <w:style w:type="paragraph" w:customStyle="1" w:styleId="185">
    <w:name w:val="my"/>
    <w:basedOn w:val="42"/>
    <w:link w:val="184"/>
    <w:qFormat/>
    <w:uiPriority w:val="0"/>
    <w:rPr>
      <w:color w:val="000000"/>
    </w:rPr>
  </w:style>
  <w:style w:type="character" w:customStyle="1" w:styleId="186">
    <w:name w:val="样式 标题 2 + 二号 Char"/>
    <w:qFormat/>
    <w:uiPriority w:val="0"/>
    <w:rPr>
      <w:rFonts w:ascii="Arial" w:hAnsi="Arial" w:eastAsia="宋体"/>
      <w:b/>
      <w:color w:val="FF0000"/>
      <w:sz w:val="32"/>
      <w:lang w:val="en-US" w:eastAsia="zh-CN"/>
    </w:rPr>
  </w:style>
  <w:style w:type="character" w:customStyle="1" w:styleId="187">
    <w:name w:val="font161"/>
    <w:qFormat/>
    <w:uiPriority w:val="0"/>
    <w:rPr>
      <w:rFonts w:ascii="Arial" w:hAnsi="Arial" w:eastAsia="黑体"/>
      <w:b/>
      <w:bCs/>
      <w:kern w:val="2"/>
      <w:sz w:val="32"/>
      <w:szCs w:val="32"/>
      <w:lang w:val="en-US" w:eastAsia="zh-CN" w:bidi="ar-SA"/>
    </w:rPr>
  </w:style>
  <w:style w:type="character" w:customStyle="1" w:styleId="188">
    <w:name w:val="表一 Char Char"/>
    <w:link w:val="189"/>
    <w:qFormat/>
    <w:uiPriority w:val="0"/>
    <w:rPr>
      <w:snapToGrid w:val="0"/>
      <w:sz w:val="24"/>
    </w:rPr>
  </w:style>
  <w:style w:type="paragraph" w:customStyle="1" w:styleId="189">
    <w:name w:val="表一"/>
    <w:basedOn w:val="1"/>
    <w:link w:val="188"/>
    <w:qFormat/>
    <w:uiPriority w:val="0"/>
    <w:pPr>
      <w:adjustRightInd w:val="0"/>
      <w:snapToGrid w:val="0"/>
      <w:ind w:right="-71"/>
      <w:jc w:val="center"/>
    </w:pPr>
    <w:rPr>
      <w:snapToGrid w:val="0"/>
      <w:kern w:val="0"/>
      <w:sz w:val="24"/>
    </w:rPr>
  </w:style>
  <w:style w:type="character" w:customStyle="1" w:styleId="190">
    <w:name w:val="段落 Char"/>
    <w:link w:val="191"/>
    <w:qFormat/>
    <w:uiPriority w:val="0"/>
    <w:rPr>
      <w:rFonts w:ascii="宋体" w:hAnsi="宋体"/>
      <w:kern w:val="2"/>
      <w:sz w:val="24"/>
      <w:szCs w:val="24"/>
    </w:rPr>
  </w:style>
  <w:style w:type="paragraph" w:customStyle="1" w:styleId="191">
    <w:name w:val="段落"/>
    <w:basedOn w:val="1"/>
    <w:link w:val="190"/>
    <w:qFormat/>
    <w:uiPriority w:val="0"/>
    <w:pPr>
      <w:spacing w:line="440" w:lineRule="exact"/>
      <w:ind w:firstLine="200" w:firstLineChars="200"/>
    </w:pPr>
    <w:rPr>
      <w:rFonts w:ascii="宋体" w:hAnsi="宋体"/>
      <w:sz w:val="24"/>
      <w:szCs w:val="24"/>
    </w:rPr>
  </w:style>
  <w:style w:type="character" w:customStyle="1" w:styleId="192">
    <w:name w:val="Char Char1"/>
    <w:qFormat/>
    <w:uiPriority w:val="0"/>
    <w:rPr>
      <w:rFonts w:eastAsia="宋体"/>
      <w:b/>
      <w:kern w:val="2"/>
      <w:sz w:val="32"/>
      <w:lang w:val="en-US" w:eastAsia="zh-CN"/>
    </w:rPr>
  </w:style>
  <w:style w:type="character" w:customStyle="1" w:styleId="193">
    <w:name w:val="正文文本_"/>
    <w:link w:val="194"/>
    <w:qFormat/>
    <w:uiPriority w:val="0"/>
    <w:rPr>
      <w:rFonts w:ascii="MingLiU" w:hAnsi="MingLiU" w:eastAsia="MingLiU" w:cs="MingLiU"/>
      <w:spacing w:val="9"/>
      <w:sz w:val="21"/>
      <w:szCs w:val="21"/>
    </w:rPr>
  </w:style>
  <w:style w:type="paragraph" w:customStyle="1" w:styleId="194">
    <w:name w:val="正文文本1"/>
    <w:basedOn w:val="1"/>
    <w:link w:val="193"/>
    <w:qFormat/>
    <w:uiPriority w:val="0"/>
    <w:pPr>
      <w:spacing w:after="60" w:line="463" w:lineRule="exact"/>
      <w:jc w:val="distribute"/>
    </w:pPr>
    <w:rPr>
      <w:rFonts w:ascii="MingLiU" w:hAnsi="MingLiU" w:eastAsia="MingLiU" w:cs="MingLiU"/>
      <w:spacing w:val="9"/>
      <w:kern w:val="0"/>
      <w:szCs w:val="21"/>
    </w:rPr>
  </w:style>
  <w:style w:type="character" w:customStyle="1" w:styleId="195">
    <w:name w:val="font31"/>
    <w:qFormat/>
    <w:uiPriority w:val="0"/>
    <w:rPr>
      <w:rFonts w:hint="default" w:ascii="Times New Roman" w:hAnsi="Times New Roman" w:cs="Times New Roman"/>
      <w:color w:val="000000"/>
      <w:sz w:val="21"/>
      <w:szCs w:val="21"/>
      <w:u w:val="none"/>
    </w:rPr>
  </w:style>
  <w:style w:type="character" w:customStyle="1" w:styleId="196">
    <w:name w:val="正文文本首行缩进 2 字符"/>
    <w:basedOn w:val="197"/>
    <w:link w:val="54"/>
    <w:qFormat/>
    <w:uiPriority w:val="0"/>
    <w:rPr>
      <w:kern w:val="2"/>
      <w:sz w:val="21"/>
      <w:szCs w:val="24"/>
    </w:rPr>
  </w:style>
  <w:style w:type="character" w:customStyle="1" w:styleId="197">
    <w:name w:val="正文文本缩进 Char"/>
    <w:qFormat/>
    <w:uiPriority w:val="0"/>
    <w:rPr>
      <w:kern w:val="2"/>
      <w:sz w:val="21"/>
      <w:szCs w:val="24"/>
    </w:rPr>
  </w:style>
  <w:style w:type="character" w:customStyle="1" w:styleId="198">
    <w:name w:val="正文首行缩进 2 Char1"/>
    <w:basedOn w:val="128"/>
    <w:qFormat/>
    <w:uiPriority w:val="0"/>
    <w:rPr>
      <w:kern w:val="2"/>
      <w:sz w:val="21"/>
    </w:rPr>
  </w:style>
  <w:style w:type="character" w:customStyle="1" w:styleId="199">
    <w:name w:val="HTML 预设格式 Char1"/>
    <w:qFormat/>
    <w:uiPriority w:val="0"/>
    <w:rPr>
      <w:rFonts w:ascii="Courier New" w:hAnsi="Courier New" w:cs="Courier New"/>
    </w:rPr>
  </w:style>
  <w:style w:type="character" w:customStyle="1" w:styleId="200">
    <w:name w:val="正正正文 Char1"/>
    <w:link w:val="201"/>
    <w:qFormat/>
    <w:uiPriority w:val="0"/>
    <w:rPr>
      <w:color w:val="000000"/>
      <w:kern w:val="2"/>
      <w:sz w:val="21"/>
    </w:rPr>
  </w:style>
  <w:style w:type="paragraph" w:customStyle="1" w:styleId="201">
    <w:name w:val="正正正文"/>
    <w:basedOn w:val="1"/>
    <w:link w:val="200"/>
    <w:qFormat/>
    <w:uiPriority w:val="0"/>
    <w:pPr>
      <w:snapToGrid w:val="0"/>
      <w:spacing w:line="460" w:lineRule="exact"/>
      <w:ind w:firstLine="420" w:firstLineChars="200"/>
    </w:pPr>
    <w:rPr>
      <w:color w:val="000000"/>
    </w:rPr>
  </w:style>
  <w:style w:type="character" w:customStyle="1" w:styleId="202">
    <w:name w:val="Char Char3"/>
    <w:qFormat/>
    <w:uiPriority w:val="0"/>
    <w:rPr>
      <w:rFonts w:eastAsia="宋体"/>
      <w:b/>
      <w:kern w:val="44"/>
      <w:sz w:val="44"/>
      <w:lang w:val="en-US" w:eastAsia="zh-CN"/>
    </w:rPr>
  </w:style>
  <w:style w:type="character" w:customStyle="1" w:styleId="203">
    <w:name w:val="font21"/>
    <w:qFormat/>
    <w:uiPriority w:val="0"/>
    <w:rPr>
      <w:rFonts w:hint="eastAsia" w:ascii="宋体" w:hAnsi="宋体" w:eastAsia="宋体" w:cs="宋体"/>
      <w:color w:val="FF0000"/>
      <w:sz w:val="21"/>
      <w:szCs w:val="21"/>
      <w:u w:val="none"/>
    </w:rPr>
  </w:style>
  <w:style w:type="character" w:customStyle="1" w:styleId="204">
    <w:name w:val="p21"/>
    <w:qFormat/>
    <w:uiPriority w:val="0"/>
    <w:rPr>
      <w:sz w:val="9"/>
      <w:szCs w:val="9"/>
    </w:rPr>
  </w:style>
  <w:style w:type="character" w:customStyle="1" w:styleId="205">
    <w:name w:val="正文文本 + Tahoma"/>
    <w:qFormat/>
    <w:uiPriority w:val="0"/>
    <w:rPr>
      <w:rFonts w:ascii="Tahoma" w:hAnsi="Tahoma" w:eastAsia="Tahoma" w:cs="Tahoma"/>
      <w:color w:val="000000"/>
      <w:spacing w:val="23"/>
      <w:w w:val="100"/>
      <w:position w:val="0"/>
      <w:sz w:val="19"/>
      <w:szCs w:val="19"/>
      <w:u w:val="none"/>
      <w:lang w:val="zh-CN"/>
    </w:rPr>
  </w:style>
  <w:style w:type="character" w:customStyle="1" w:styleId="206">
    <w:name w:val="正文文本 (2) + 间距 3 pt"/>
    <w:qFormat/>
    <w:uiPriority w:val="0"/>
    <w:rPr>
      <w:rFonts w:ascii="MingLiU" w:hAnsi="MingLiU" w:eastAsia="MingLiU" w:cs="MingLiU"/>
      <w:color w:val="000000"/>
      <w:spacing w:val="73"/>
      <w:w w:val="100"/>
      <w:position w:val="0"/>
      <w:sz w:val="22"/>
      <w:szCs w:val="22"/>
      <w:u w:val="none"/>
      <w:lang w:val="zh-CN"/>
    </w:rPr>
  </w:style>
  <w:style w:type="character" w:customStyle="1" w:styleId="207">
    <w:name w:val="font5 Char"/>
    <w:link w:val="208"/>
    <w:qFormat/>
    <w:uiPriority w:val="0"/>
    <w:rPr>
      <w:rFonts w:ascii="宋体" w:hAnsi="宋体"/>
      <w:sz w:val="24"/>
      <w:szCs w:val="24"/>
    </w:rPr>
  </w:style>
  <w:style w:type="paragraph" w:customStyle="1" w:styleId="208">
    <w:name w:val="font5"/>
    <w:basedOn w:val="1"/>
    <w:link w:val="207"/>
    <w:qFormat/>
    <w:uiPriority w:val="0"/>
    <w:pPr>
      <w:widowControl/>
      <w:spacing w:before="100" w:beforeAutospacing="1" w:after="100" w:afterAutospacing="1"/>
      <w:jc w:val="left"/>
    </w:pPr>
    <w:rPr>
      <w:rFonts w:ascii="宋体" w:hAnsi="宋体"/>
      <w:kern w:val="0"/>
      <w:sz w:val="24"/>
      <w:szCs w:val="24"/>
    </w:rPr>
  </w:style>
  <w:style w:type="character" w:customStyle="1" w:styleId="209">
    <w:name w:val="标题 3 Char Char"/>
    <w:qFormat/>
    <w:uiPriority w:val="0"/>
    <w:rPr>
      <w:rFonts w:eastAsia="宋体"/>
      <w:b/>
      <w:kern w:val="2"/>
      <w:sz w:val="32"/>
      <w:lang w:val="en-US" w:eastAsia="zh-CN"/>
    </w:rPr>
  </w:style>
  <w:style w:type="character" w:customStyle="1" w:styleId="210">
    <w:name w:val="正文缩进 Char1 Char"/>
    <w:qFormat/>
    <w:uiPriority w:val="0"/>
    <w:rPr>
      <w:rFonts w:eastAsia="宋体"/>
      <w:kern w:val="2"/>
      <w:sz w:val="24"/>
      <w:szCs w:val="24"/>
      <w:lang w:val="en-US" w:eastAsia="zh-CN" w:bidi="ar-SA"/>
    </w:rPr>
  </w:style>
  <w:style w:type="character" w:customStyle="1" w:styleId="211">
    <w:name w:val="font01"/>
    <w:qFormat/>
    <w:uiPriority w:val="0"/>
    <w:rPr>
      <w:rFonts w:hint="eastAsia" w:ascii="宋体" w:hAnsi="宋体" w:eastAsia="宋体" w:cs="宋体"/>
      <w:color w:val="000000"/>
      <w:sz w:val="21"/>
      <w:szCs w:val="21"/>
      <w:u w:val="none"/>
    </w:rPr>
  </w:style>
  <w:style w:type="character" w:customStyle="1" w:styleId="212">
    <w:name w:val="font11"/>
    <w:qFormat/>
    <w:uiPriority w:val="0"/>
    <w:rPr>
      <w:rFonts w:hint="default" w:ascii="Times New Roman" w:hAnsi="Times New Roman" w:cs="Times New Roman"/>
      <w:color w:val="FF0000"/>
      <w:sz w:val="21"/>
      <w:szCs w:val="21"/>
      <w:u w:val="none"/>
    </w:rPr>
  </w:style>
  <w:style w:type="paragraph" w:customStyle="1" w:styleId="213">
    <w:name w:val="样式 样式 样式 公正文 + 首行缩进:  2 字符2 + 首行缩进:  2 字符 + 首行缩进:  2 字符"/>
    <w:basedOn w:val="214"/>
    <w:qFormat/>
    <w:uiPriority w:val="0"/>
  </w:style>
  <w:style w:type="paragraph" w:customStyle="1" w:styleId="214">
    <w:name w:val="样式 样式 公正文 + 首行缩进:  2 字符2 + 首行缩进:  2 字符"/>
    <w:basedOn w:val="215"/>
    <w:qFormat/>
    <w:uiPriority w:val="0"/>
  </w:style>
  <w:style w:type="paragraph" w:customStyle="1" w:styleId="215">
    <w:name w:val="样式 公正文 + 首行缩进:  2 字符2"/>
    <w:basedOn w:val="216"/>
    <w:qFormat/>
    <w:uiPriority w:val="0"/>
    <w:rPr>
      <w:rFonts w:cs="宋体"/>
    </w:rPr>
  </w:style>
  <w:style w:type="paragraph" w:customStyle="1" w:styleId="216">
    <w:name w:val="公正文"/>
    <w:basedOn w:val="5"/>
    <w:qFormat/>
    <w:uiPriority w:val="0"/>
    <w:pPr>
      <w:adjustRightInd w:val="0"/>
      <w:snapToGrid w:val="0"/>
      <w:spacing w:line="560" w:lineRule="exact"/>
      <w:ind w:firstLine="200"/>
    </w:pPr>
    <w:rPr>
      <w:rFonts w:ascii="仿宋_GB2312" w:hAnsi="宋体" w:eastAsia="仿宋_GB2312"/>
      <w:sz w:val="28"/>
    </w:rPr>
  </w:style>
  <w:style w:type="paragraph" w:customStyle="1" w:styleId="217">
    <w:name w:val="样式 样式 样式 样式 公正文 + 首行缩进:  2 字符2 + 首行缩进:  2 字符 + 首行缩进:  2 字符 + 首行缩...1"/>
    <w:basedOn w:val="213"/>
    <w:qFormat/>
    <w:uiPriority w:val="0"/>
    <w:pPr>
      <w:adjustRightInd/>
      <w:snapToGrid/>
    </w:pPr>
  </w:style>
  <w:style w:type="paragraph" w:customStyle="1" w:styleId="218">
    <w:name w:val="表二"/>
    <w:basedOn w:val="1"/>
    <w:qFormat/>
    <w:uiPriority w:val="0"/>
    <w:pPr>
      <w:adjustRightInd w:val="0"/>
      <w:snapToGrid w:val="0"/>
    </w:pPr>
    <w:rPr>
      <w:snapToGrid w:val="0"/>
      <w:kern w:val="0"/>
    </w:rPr>
  </w:style>
  <w:style w:type="character" w:customStyle="1" w:styleId="219">
    <w:name w:val="标题 字符"/>
    <w:basedOn w:val="57"/>
    <w:link w:val="51"/>
    <w:qFormat/>
    <w:uiPriority w:val="99"/>
    <w:rPr>
      <w:rFonts w:ascii="Arial" w:hAnsi="Arial"/>
      <w:b/>
      <w:sz w:val="32"/>
    </w:rPr>
  </w:style>
  <w:style w:type="paragraph" w:customStyle="1" w:styleId="220">
    <w:name w:val="表三"/>
    <w:basedOn w:val="218"/>
    <w:qFormat/>
    <w:uiPriority w:val="0"/>
    <w:pPr>
      <w:ind w:right="-34" w:rightChars="-34"/>
      <w:jc w:val="right"/>
    </w:pPr>
  </w:style>
  <w:style w:type="paragraph" w:customStyle="1" w:styleId="221">
    <w:name w:val="样式 样式 样式 样式 样式 公正文 + 首行缩进:  2 字符2 + 首行缩进:  2 字符 + 首行缩进:  2 字符 + ..."/>
    <w:basedOn w:val="217"/>
    <w:qFormat/>
    <w:uiPriority w:val="0"/>
  </w:style>
  <w:style w:type="paragraph" w:customStyle="1" w:styleId="222">
    <w:name w:val="contentarticl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3">
    <w:name w:val="样式 标题 2标题 2 Char章章1章2章3章11章21章4章12章22章5章6章7章8章9章..."/>
    <w:basedOn w:val="4"/>
    <w:qFormat/>
    <w:uiPriority w:val="0"/>
    <w:pPr>
      <w:spacing w:line="360" w:lineRule="auto"/>
      <w:jc w:val="left"/>
    </w:pPr>
    <w:rPr>
      <w:rFonts w:ascii="宋体" w:hAnsi="宋体" w:cs="宋体"/>
      <w:bCs/>
      <w:color w:val="FF0000"/>
      <w:sz w:val="21"/>
    </w:rPr>
  </w:style>
  <w:style w:type="paragraph" w:customStyle="1" w:styleId="224">
    <w:name w:val="样式 样式 样式 样式 样式 样式 公正文 + 首行缩进:  2 字符2 + 首行缩进:  2 字符 + 首行缩进:  2 字符..."/>
    <w:basedOn w:val="221"/>
    <w:qFormat/>
    <w:uiPriority w:val="0"/>
  </w:style>
  <w:style w:type="paragraph" w:customStyle="1" w:styleId="225">
    <w:name w:val="样式 标题 1 + 黑体 三号 非加粗 居中 段前: 6 磅 段后: 6 磅 行距: 固定值 20 磅"/>
    <w:basedOn w:val="3"/>
    <w:qFormat/>
    <w:uiPriority w:val="0"/>
    <w:pPr>
      <w:spacing w:line="400" w:lineRule="exact"/>
    </w:pPr>
    <w:rPr>
      <w:rFonts w:ascii="黑体" w:hAnsi="黑体" w:eastAsia="黑体" w:cs="宋体"/>
      <w:b w:val="0"/>
      <w:spacing w:val="0"/>
    </w:rPr>
  </w:style>
  <w:style w:type="paragraph" w:customStyle="1" w:styleId="226">
    <w:name w:val="xl31"/>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227">
    <w:name w:val="表格文字"/>
    <w:basedOn w:val="1"/>
    <w:qFormat/>
    <w:uiPriority w:val="0"/>
    <w:pPr>
      <w:adjustRightInd w:val="0"/>
      <w:spacing w:line="420" w:lineRule="atLeast"/>
      <w:jc w:val="left"/>
      <w:textAlignment w:val="baseline"/>
    </w:pPr>
    <w:rPr>
      <w:kern w:val="0"/>
    </w:rPr>
  </w:style>
  <w:style w:type="paragraph" w:customStyle="1" w:styleId="228">
    <w:name w:val="样式 首行缩进:  2 字符"/>
    <w:basedOn w:val="1"/>
    <w:qFormat/>
    <w:uiPriority w:val="0"/>
    <w:pPr>
      <w:widowControl/>
      <w:spacing w:line="400" w:lineRule="exact"/>
      <w:ind w:firstLine="200" w:firstLineChars="200"/>
      <w:jc w:val="left"/>
    </w:pPr>
    <w:rPr>
      <w:rFonts w:cs="宋体"/>
      <w:kern w:val="0"/>
    </w:rPr>
  </w:style>
  <w:style w:type="paragraph" w:customStyle="1" w:styleId="229">
    <w:name w:val="Char1"/>
    <w:basedOn w:val="1"/>
    <w:qFormat/>
    <w:uiPriority w:val="0"/>
    <w:pPr>
      <w:pageBreakBefore/>
      <w:spacing w:line="360" w:lineRule="auto"/>
    </w:pPr>
    <w:rPr>
      <w:sz w:val="28"/>
    </w:rPr>
  </w:style>
  <w:style w:type="paragraph" w:customStyle="1" w:styleId="230">
    <w:name w:val="标题2"/>
    <w:basedOn w:val="4"/>
    <w:next w:val="1"/>
    <w:qFormat/>
    <w:uiPriority w:val="0"/>
    <w:pPr>
      <w:snapToGrid w:val="0"/>
      <w:spacing w:before="120" w:after="120" w:line="240" w:lineRule="auto"/>
      <w:jc w:val="left"/>
    </w:pPr>
    <w:rPr>
      <w:rFonts w:ascii="Times New Roman" w:hAnsi="Times New Roman"/>
      <w:b w:val="0"/>
      <w:sz w:val="21"/>
      <w:szCs w:val="21"/>
    </w:rPr>
  </w:style>
  <w:style w:type="paragraph" w:customStyle="1" w:styleId="231">
    <w:name w:val="表格2"/>
    <w:basedOn w:val="1"/>
    <w:qFormat/>
    <w:uiPriority w:val="0"/>
    <w:pPr>
      <w:adjustRightInd w:val="0"/>
      <w:spacing w:before="60" w:after="60"/>
      <w:jc w:val="center"/>
    </w:pPr>
    <w:rPr>
      <w:rFonts w:ascii="宋体"/>
      <w:color w:val="000000"/>
      <w:kern w:val="0"/>
      <w:sz w:val="24"/>
    </w:rPr>
  </w:style>
  <w:style w:type="paragraph" w:customStyle="1" w:styleId="232">
    <w:name w:val="font7"/>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233">
    <w:name w:val="XW正文"/>
    <w:basedOn w:val="23"/>
    <w:qFormat/>
    <w:uiPriority w:val="0"/>
    <w:pPr>
      <w:adjustRightInd w:val="0"/>
      <w:snapToGrid w:val="0"/>
      <w:spacing w:line="300" w:lineRule="auto"/>
      <w:ind w:firstLine="520" w:firstLineChars="200"/>
      <w:jc w:val="left"/>
    </w:pPr>
    <w:rPr>
      <w:kern w:val="0"/>
      <w:szCs w:val="24"/>
    </w:rPr>
  </w:style>
  <w:style w:type="paragraph" w:customStyle="1" w:styleId="234">
    <w:name w:val="样式 样式 标题 3小标题 1一、标题 3XW标题 3 Char Char Char Char Char Char Char....."/>
    <w:basedOn w:val="1"/>
    <w:qFormat/>
    <w:uiPriority w:val="0"/>
    <w:pPr>
      <w:keepNext/>
      <w:keepLines/>
      <w:spacing w:line="360" w:lineRule="auto"/>
      <w:jc w:val="left"/>
      <w:outlineLvl w:val="2"/>
    </w:pPr>
    <w:rPr>
      <w:rFonts w:ascii="宋体" w:hAnsi="宋体" w:cs="宋体"/>
      <w:b/>
      <w:bCs/>
      <w:color w:val="0000FF"/>
    </w:rPr>
  </w:style>
  <w:style w:type="paragraph" w:customStyle="1" w:styleId="235">
    <w:name w:val="xl47"/>
    <w:basedOn w:val="1"/>
    <w:qFormat/>
    <w:uiPriority w:val="0"/>
    <w:pPr>
      <w:widowControl/>
      <w:spacing w:before="100" w:beforeAutospacing="1" w:after="100" w:afterAutospacing="1"/>
      <w:jc w:val="center"/>
    </w:pPr>
    <w:rPr>
      <w:rFonts w:ascii="宋体" w:hAnsi="宋体"/>
      <w:kern w:val="0"/>
      <w:sz w:val="28"/>
      <w:szCs w:val="28"/>
    </w:rPr>
  </w:style>
  <w:style w:type="paragraph" w:customStyle="1" w:styleId="236">
    <w:name w:val="xl27"/>
    <w:basedOn w:val="1"/>
    <w:qFormat/>
    <w:uiPriority w:val="0"/>
    <w:pPr>
      <w:widowControl/>
      <w:pBdr>
        <w:bottom w:val="single" w:color="auto" w:sz="4" w:space="0"/>
        <w:right w:val="single" w:color="auto" w:sz="4" w:space="0"/>
      </w:pBdr>
      <w:spacing w:before="100" w:beforeAutospacing="1" w:after="100" w:afterAutospacing="1"/>
      <w:jc w:val="center"/>
    </w:pPr>
    <w:rPr>
      <w:kern w:val="0"/>
      <w:sz w:val="24"/>
      <w:szCs w:val="24"/>
    </w:rPr>
  </w:style>
  <w:style w:type="paragraph" w:customStyle="1" w:styleId="237">
    <w:name w:val="表格"/>
    <w:basedOn w:val="1"/>
    <w:qFormat/>
    <w:uiPriority w:val="0"/>
    <w:pPr>
      <w:jc w:val="center"/>
      <w:textAlignment w:val="center"/>
    </w:pPr>
    <w:rPr>
      <w:rFonts w:ascii="华文细黑" w:hAnsi="华文细黑"/>
      <w:kern w:val="0"/>
    </w:rPr>
  </w:style>
  <w:style w:type="paragraph" w:customStyle="1" w:styleId="238">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239">
    <w:name w:val="_Style 12"/>
    <w:basedOn w:val="1"/>
    <w:qFormat/>
    <w:uiPriority w:val="0"/>
    <w:rPr>
      <w:sz w:val="28"/>
      <w:szCs w:val="28"/>
    </w:rPr>
  </w:style>
  <w:style w:type="paragraph" w:customStyle="1" w:styleId="240">
    <w:name w:val="样式"/>
    <w:qFormat/>
    <w:uiPriority w:val="0"/>
    <w:pPr>
      <w:widowControl w:val="0"/>
      <w:autoSpaceDE w:val="0"/>
      <w:autoSpaceDN w:val="0"/>
      <w:adjustRightInd w:val="0"/>
    </w:pPr>
    <w:rPr>
      <w:rFonts w:ascii="宋体" w:hAnsi="宋体" w:eastAsia="宋体" w:cs="Times New Roman"/>
      <w:sz w:val="24"/>
      <w:lang w:val="en-US" w:eastAsia="zh-CN" w:bidi="ar-SA"/>
    </w:rPr>
  </w:style>
  <w:style w:type="paragraph" w:customStyle="1" w:styleId="241">
    <w:name w:val="Char2"/>
    <w:basedOn w:val="1"/>
    <w:qFormat/>
    <w:uiPriority w:val="0"/>
    <w:pPr>
      <w:ind w:left="432" w:hanging="432"/>
    </w:pPr>
    <w:rPr>
      <w:sz w:val="24"/>
    </w:rPr>
  </w:style>
  <w:style w:type="paragraph" w:customStyle="1" w:styleId="242">
    <w:name w:val="样式 标题 1 + 首行缩进:  2 字符"/>
    <w:basedOn w:val="3"/>
    <w:qFormat/>
    <w:uiPriority w:val="0"/>
    <w:pPr>
      <w:spacing w:before="0" w:after="0" w:line="576" w:lineRule="auto"/>
      <w:jc w:val="left"/>
    </w:pPr>
    <w:rPr>
      <w:rFonts w:cs="宋体"/>
      <w:spacing w:val="0"/>
      <w:sz w:val="44"/>
    </w:rPr>
  </w:style>
  <w:style w:type="paragraph" w:customStyle="1" w:styleId="243">
    <w:name w:val="_Style 7"/>
    <w:basedOn w:val="1"/>
    <w:qFormat/>
    <w:uiPriority w:val="0"/>
    <w:pPr>
      <w:pageBreakBefore/>
      <w:spacing w:line="360" w:lineRule="auto"/>
    </w:pPr>
  </w:style>
  <w:style w:type="paragraph" w:customStyle="1" w:styleId="244">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245">
    <w:name w:val="Char Char Char Char Char Char Char Char Char Char"/>
    <w:basedOn w:val="1"/>
    <w:qFormat/>
    <w:uiPriority w:val="0"/>
  </w:style>
  <w:style w:type="paragraph" w:customStyle="1" w:styleId="246">
    <w:name w:val="t_black_12_b"/>
    <w:basedOn w:val="1"/>
    <w:qFormat/>
    <w:uiPriority w:val="0"/>
    <w:pPr>
      <w:widowControl/>
      <w:jc w:val="left"/>
    </w:pPr>
    <w:rPr>
      <w:rFonts w:ascii="宋体" w:hAnsi="宋体" w:cs="宋体"/>
      <w:b/>
      <w:bCs/>
      <w:color w:val="212121"/>
      <w:kern w:val="0"/>
      <w:sz w:val="9"/>
      <w:szCs w:val="9"/>
    </w:rPr>
  </w:style>
  <w:style w:type="paragraph" w:customStyle="1" w:styleId="247">
    <w:name w:val="4 Char Char Char Char Char Char Char Char Char Char Char Char Char Char Char Char Char Char Char Char Char Char"/>
    <w:basedOn w:val="1"/>
    <w:qFormat/>
    <w:uiPriority w:val="0"/>
  </w:style>
  <w:style w:type="paragraph" w:customStyle="1" w:styleId="248">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249">
    <w:name w:val="Char Char Char Char Char Char Char Char Char Char Char Char Char"/>
    <w:basedOn w:val="1"/>
    <w:qFormat/>
    <w:uiPriority w:val="0"/>
    <w:rPr>
      <w:szCs w:val="24"/>
    </w:rPr>
  </w:style>
  <w:style w:type="character" w:customStyle="1" w:styleId="250">
    <w:name w:val="脚注文本 字符"/>
    <w:basedOn w:val="57"/>
    <w:link w:val="40"/>
    <w:qFormat/>
    <w:uiPriority w:val="0"/>
    <w:rPr>
      <w:kern w:val="2"/>
      <w:sz w:val="18"/>
      <w:szCs w:val="18"/>
    </w:rPr>
  </w:style>
  <w:style w:type="character" w:customStyle="1" w:styleId="251">
    <w:name w:val="样式 粉红 下划线"/>
    <w:qFormat/>
    <w:uiPriority w:val="0"/>
    <w:rPr>
      <w:color w:val="auto"/>
      <w:u w:val="none"/>
    </w:rPr>
  </w:style>
  <w:style w:type="character" w:customStyle="1" w:styleId="252">
    <w:name w:val="样式 粉红"/>
    <w:qFormat/>
    <w:uiPriority w:val="0"/>
    <w:rPr>
      <w:color w:val="auto"/>
      <w:u w:val="none"/>
    </w:rPr>
  </w:style>
  <w:style w:type="character" w:customStyle="1" w:styleId="253">
    <w:name w:val="正文文本首行缩进 字符"/>
    <w:basedOn w:val="126"/>
    <w:link w:val="53"/>
    <w:qFormat/>
    <w:uiPriority w:val="0"/>
    <w:rPr>
      <w:rFonts w:ascii="宋体" w:hAnsi="宋体"/>
      <w:color w:val="000000"/>
      <w:kern w:val="28"/>
      <w:sz w:val="21"/>
      <w:szCs w:val="21"/>
    </w:rPr>
  </w:style>
  <w:style w:type="paragraph" w:customStyle="1" w:styleId="254">
    <w:name w:val="范本-正文"/>
    <w:qFormat/>
    <w:uiPriority w:val="0"/>
    <w:pPr>
      <w:spacing w:line="360" w:lineRule="auto"/>
      <w:ind w:firstLine="420"/>
    </w:pPr>
    <w:rPr>
      <w:rFonts w:ascii="Times New Roman" w:hAnsi="Times New Roman" w:eastAsia="宋体" w:cs="Times New Roman"/>
      <w:iCs/>
      <w:kern w:val="2"/>
      <w:sz w:val="24"/>
      <w:szCs w:val="21"/>
      <w:lang w:val="en-US" w:eastAsia="zh-CN" w:bidi="ar-SA"/>
    </w:rPr>
  </w:style>
  <w:style w:type="paragraph" w:customStyle="1" w:styleId="255">
    <w:name w:val="金安桥正文"/>
    <w:basedOn w:val="23"/>
    <w:qFormat/>
    <w:uiPriority w:val="0"/>
    <w:pPr>
      <w:adjustRightInd w:val="0"/>
      <w:spacing w:line="300" w:lineRule="auto"/>
      <w:ind w:firstLine="200" w:firstLineChars="200"/>
      <w:jc w:val="left"/>
    </w:pPr>
    <w:rPr>
      <w:kern w:val="0"/>
      <w:sz w:val="24"/>
    </w:rPr>
  </w:style>
  <w:style w:type="paragraph" w:customStyle="1" w:styleId="256">
    <w:name w:val="正  文"/>
    <w:basedOn w:val="1"/>
    <w:qFormat/>
    <w:uiPriority w:val="0"/>
    <w:pPr>
      <w:spacing w:line="360" w:lineRule="auto"/>
      <w:ind w:firstLine="200" w:firstLineChars="200"/>
    </w:pPr>
    <w:rPr>
      <w:rFonts w:ascii="宋体"/>
      <w:sz w:val="24"/>
      <w:szCs w:val="24"/>
    </w:rPr>
  </w:style>
  <w:style w:type="paragraph" w:customStyle="1" w:styleId="257">
    <w:name w:val="XW标题3"/>
    <w:basedOn w:val="233"/>
    <w:next w:val="233"/>
    <w:qFormat/>
    <w:uiPriority w:val="0"/>
    <w:pPr>
      <w:snapToGrid/>
      <w:spacing w:before="200" w:line="360" w:lineRule="auto"/>
      <w:ind w:firstLine="0" w:firstLineChars="0"/>
      <w:outlineLvl w:val="2"/>
    </w:pPr>
    <w:rPr>
      <w:rFonts w:ascii="Arial" w:hAnsi="Arial" w:eastAsia="黑体"/>
      <w:sz w:val="30"/>
      <w:szCs w:val="20"/>
    </w:rPr>
  </w:style>
  <w:style w:type="paragraph" w:customStyle="1" w:styleId="258">
    <w:name w:val="XW悬挂正文"/>
    <w:basedOn w:val="233"/>
    <w:qFormat/>
    <w:uiPriority w:val="0"/>
    <w:pPr>
      <w:snapToGrid/>
      <w:spacing w:line="360" w:lineRule="auto"/>
      <w:ind w:left="1474" w:hanging="340" w:firstLineChars="0"/>
    </w:pPr>
    <w:rPr>
      <w:rFonts w:hAnsi="宋体"/>
      <w:sz w:val="24"/>
      <w:szCs w:val="20"/>
    </w:rPr>
  </w:style>
  <w:style w:type="paragraph" w:customStyle="1" w:styleId="259">
    <w:name w:val="XW标题1"/>
    <w:basedOn w:val="233"/>
    <w:next w:val="233"/>
    <w:qFormat/>
    <w:uiPriority w:val="0"/>
    <w:pPr>
      <w:snapToGrid/>
      <w:spacing w:before="5000" w:line="360" w:lineRule="auto"/>
      <w:ind w:left="425" w:hanging="425" w:firstLineChars="0"/>
      <w:jc w:val="center"/>
      <w:outlineLvl w:val="0"/>
    </w:pPr>
    <w:rPr>
      <w:rFonts w:ascii="Arial" w:hAnsi="Arial" w:eastAsia="黑体"/>
      <w:sz w:val="44"/>
      <w:szCs w:val="20"/>
    </w:rPr>
  </w:style>
  <w:style w:type="paragraph" w:customStyle="1" w:styleId="260">
    <w:name w:val="首页脚样式"/>
    <w:basedOn w:val="34"/>
    <w:qFormat/>
    <w:uiPriority w:val="0"/>
    <w:pPr>
      <w:keepLines/>
      <w:widowControl/>
      <w:tabs>
        <w:tab w:val="right" w:pos="-18551"/>
        <w:tab w:val="right" w:pos="4320"/>
        <w:tab w:val="clear" w:pos="4153"/>
        <w:tab w:val="clear" w:pos="8306"/>
      </w:tabs>
      <w:snapToGrid/>
      <w:spacing w:before="600" w:line="240" w:lineRule="atLeast"/>
      <w:ind w:left="-840" w:right="-840"/>
      <w:jc w:val="center"/>
    </w:pPr>
    <w:rPr>
      <w:rFonts w:ascii="Garamond" w:hAnsi="Garamond"/>
      <w:smallCaps/>
      <w:spacing w:val="15"/>
      <w:kern w:val="0"/>
      <w:sz w:val="24"/>
    </w:rPr>
  </w:style>
  <w:style w:type="paragraph" w:customStyle="1" w:styleId="261">
    <w:name w:val="标题3"/>
    <w:basedOn w:val="230"/>
    <w:qFormat/>
    <w:uiPriority w:val="0"/>
    <w:pPr>
      <w:snapToGrid/>
      <w:spacing w:before="0" w:after="0" w:line="360" w:lineRule="auto"/>
      <w:jc w:val="both"/>
      <w:outlineLvl w:val="0"/>
    </w:pPr>
    <w:rPr>
      <w:b/>
      <w:kern w:val="44"/>
    </w:rPr>
  </w:style>
  <w:style w:type="paragraph" w:customStyle="1" w:styleId="262">
    <w:name w:val="正文小标题"/>
    <w:basedOn w:val="1"/>
    <w:next w:val="22"/>
    <w:qFormat/>
    <w:uiPriority w:val="0"/>
    <w:pPr>
      <w:tabs>
        <w:tab w:val="left" w:pos="735"/>
        <w:tab w:val="left" w:pos="780"/>
      </w:tabs>
      <w:overflowPunct w:val="0"/>
      <w:autoSpaceDE w:val="0"/>
      <w:autoSpaceDN w:val="0"/>
      <w:adjustRightInd w:val="0"/>
      <w:ind w:firstLine="420" w:firstLineChars="200"/>
    </w:pPr>
    <w:rPr>
      <w:rFonts w:hAnsi="宋体"/>
      <w:kern w:val="0"/>
    </w:rPr>
  </w:style>
  <w:style w:type="paragraph" w:customStyle="1" w:styleId="263">
    <w:name w:val="基准标题"/>
    <w:basedOn w:val="22"/>
    <w:next w:val="22"/>
    <w:qFormat/>
    <w:uiPriority w:val="0"/>
    <w:pPr>
      <w:widowControl/>
      <w:tabs>
        <w:tab w:val="left" w:pos="6000"/>
        <w:tab w:val="left" w:pos="7680"/>
      </w:tabs>
      <w:adjustRightInd/>
      <w:spacing w:line="360" w:lineRule="auto"/>
      <w:ind w:firstLine="422" w:firstLineChars="200"/>
      <w:jc w:val="left"/>
    </w:pPr>
    <w:rPr>
      <w:rFonts w:ascii="Garamond" w:hAnsi="Garamond"/>
      <w:bCs w:val="0"/>
      <w:color w:val="auto"/>
      <w:kern w:val="0"/>
      <w:sz w:val="21"/>
    </w:rPr>
  </w:style>
  <w:style w:type="paragraph" w:customStyle="1" w:styleId="264">
    <w:name w:val="XW标题2"/>
    <w:basedOn w:val="233"/>
    <w:next w:val="233"/>
    <w:qFormat/>
    <w:uiPriority w:val="0"/>
    <w:pPr>
      <w:snapToGrid/>
      <w:spacing w:before="300" w:line="360" w:lineRule="auto"/>
      <w:ind w:firstLine="0" w:firstLineChars="0"/>
      <w:outlineLvl w:val="1"/>
    </w:pPr>
    <w:rPr>
      <w:rFonts w:ascii="Arial" w:hAnsi="Arial" w:eastAsia="黑体"/>
      <w:sz w:val="32"/>
      <w:szCs w:val="20"/>
    </w:rPr>
  </w:style>
  <w:style w:type="paragraph" w:customStyle="1" w:styleId="265">
    <w:name w:val="奇页脚样式"/>
    <w:basedOn w:val="34"/>
    <w:qFormat/>
    <w:uiPriority w:val="0"/>
    <w:pPr>
      <w:keepLines/>
      <w:widowControl/>
      <w:tabs>
        <w:tab w:val="right" w:pos="-18551"/>
        <w:tab w:val="right" w:pos="4320"/>
        <w:tab w:val="clear" w:pos="4153"/>
        <w:tab w:val="clear" w:pos="8306"/>
      </w:tabs>
      <w:snapToGrid/>
      <w:spacing w:before="600" w:line="240" w:lineRule="atLeast"/>
      <w:ind w:left="-840" w:right="-840"/>
      <w:jc w:val="center"/>
    </w:pPr>
    <w:rPr>
      <w:rFonts w:ascii="Garamond" w:hAnsi="Garamond"/>
      <w:smallCaps/>
      <w:spacing w:val="15"/>
      <w:kern w:val="0"/>
      <w:sz w:val="24"/>
    </w:rPr>
  </w:style>
  <w:style w:type="paragraph" w:customStyle="1" w:styleId="266">
    <w:name w:val="XW标题4"/>
    <w:basedOn w:val="233"/>
    <w:next w:val="233"/>
    <w:qFormat/>
    <w:uiPriority w:val="0"/>
    <w:pPr>
      <w:snapToGrid/>
      <w:spacing w:before="200" w:line="360" w:lineRule="auto"/>
      <w:ind w:firstLine="0" w:firstLineChars="0"/>
      <w:outlineLvl w:val="3"/>
    </w:pPr>
    <w:rPr>
      <w:rFonts w:hAnsi="宋体" w:eastAsia="仿宋_GB2312"/>
      <w:b/>
      <w:sz w:val="28"/>
      <w:szCs w:val="20"/>
    </w:rPr>
  </w:style>
  <w:style w:type="paragraph" w:customStyle="1" w:styleId="267">
    <w:name w:val="XW表名"/>
    <w:basedOn w:val="3"/>
    <w:qFormat/>
    <w:uiPriority w:val="0"/>
    <w:pPr>
      <w:keepNext w:val="0"/>
      <w:keepLines w:val="0"/>
      <w:adjustRightInd w:val="0"/>
      <w:spacing w:before="300" w:after="80"/>
      <w:outlineLvl w:val="9"/>
    </w:pPr>
    <w:rPr>
      <w:rFonts w:eastAsia="黑体"/>
      <w:b w:val="0"/>
      <w:spacing w:val="0"/>
      <w:sz w:val="24"/>
    </w:rPr>
  </w:style>
  <w:style w:type="paragraph" w:customStyle="1" w:styleId="268">
    <w:name w:val="XW表内文字"/>
    <w:basedOn w:val="1"/>
    <w:qFormat/>
    <w:uiPriority w:val="0"/>
    <w:pPr>
      <w:adjustRightInd w:val="0"/>
      <w:spacing w:before="60" w:after="60" w:line="300" w:lineRule="exact"/>
      <w:ind w:firstLine="422" w:firstLineChars="200"/>
      <w:jc w:val="center"/>
    </w:pPr>
    <w:rPr>
      <w:rFonts w:hAnsi="宋体"/>
      <w:kern w:val="0"/>
    </w:rPr>
  </w:style>
  <w:style w:type="paragraph" w:customStyle="1" w:styleId="269">
    <w:name w:val="XW图名表名"/>
    <w:basedOn w:val="1"/>
    <w:qFormat/>
    <w:uiPriority w:val="0"/>
    <w:pPr>
      <w:adjustRightInd w:val="0"/>
      <w:spacing w:before="120" w:after="60"/>
      <w:ind w:firstLine="422" w:firstLineChars="200"/>
      <w:jc w:val="center"/>
    </w:pPr>
    <w:rPr>
      <w:rFonts w:hAnsi="宋体" w:eastAsia="黑体"/>
      <w:kern w:val="0"/>
      <w:sz w:val="24"/>
    </w:rPr>
  </w:style>
  <w:style w:type="paragraph" w:customStyle="1" w:styleId="270">
    <w:name w:val="正文2"/>
    <w:basedOn w:val="1"/>
    <w:next w:val="1"/>
    <w:qFormat/>
    <w:uiPriority w:val="0"/>
    <w:pPr>
      <w:tabs>
        <w:tab w:val="left" w:pos="4025"/>
      </w:tabs>
      <w:spacing w:line="360" w:lineRule="auto"/>
      <w:ind w:left="4025" w:hanging="425" w:firstLineChars="200"/>
    </w:pPr>
    <w:rPr>
      <w:rFonts w:hAnsi="宋体"/>
      <w:sz w:val="24"/>
    </w:rPr>
  </w:style>
  <w:style w:type="paragraph" w:customStyle="1" w:styleId="271">
    <w:name w:val="目录"/>
    <w:basedOn w:val="1"/>
    <w:qFormat/>
    <w:uiPriority w:val="0"/>
    <w:pPr>
      <w:spacing w:before="240" w:after="600" w:line="560" w:lineRule="exact"/>
      <w:jc w:val="center"/>
    </w:pPr>
    <w:rPr>
      <w:rFonts w:eastAsia="黑体"/>
      <w:sz w:val="32"/>
      <w:szCs w:val="32"/>
    </w:rPr>
  </w:style>
  <w:style w:type="paragraph" w:customStyle="1" w:styleId="272">
    <w:name w:val="简单回函地址"/>
    <w:basedOn w:val="1"/>
    <w:qFormat/>
    <w:uiPriority w:val="0"/>
    <w:rPr>
      <w:szCs w:val="24"/>
    </w:rPr>
  </w:style>
  <w:style w:type="paragraph" w:customStyle="1" w:styleId="273">
    <w:name w:val="条款正文（三级标题）"/>
    <w:basedOn w:val="6"/>
    <w:qFormat/>
    <w:uiPriority w:val="0"/>
    <w:pPr>
      <w:keepNext w:val="0"/>
      <w:keepLines w:val="0"/>
      <w:tabs>
        <w:tab w:val="left" w:pos="720"/>
      </w:tabs>
      <w:autoSpaceDE w:val="0"/>
      <w:autoSpaceDN w:val="0"/>
      <w:adjustRightInd w:val="0"/>
      <w:spacing w:before="0" w:after="0" w:line="360" w:lineRule="auto"/>
      <w:ind w:firstLine="416" w:firstLineChars="198"/>
    </w:pPr>
    <w:rPr>
      <w:rFonts w:ascii="Times New Roman"/>
      <w:b w:val="0"/>
      <w:color w:val="000000"/>
      <w:kern w:val="24"/>
      <w:sz w:val="21"/>
    </w:rPr>
  </w:style>
  <w:style w:type="paragraph" w:customStyle="1" w:styleId="274">
    <w:name w:val="正文3"/>
    <w:basedOn w:val="1"/>
    <w:next w:val="1"/>
    <w:qFormat/>
    <w:uiPriority w:val="0"/>
    <w:pPr>
      <w:tabs>
        <w:tab w:val="left" w:pos="1276"/>
      </w:tabs>
      <w:autoSpaceDE w:val="0"/>
      <w:autoSpaceDN w:val="0"/>
      <w:adjustRightInd w:val="0"/>
      <w:spacing w:line="360" w:lineRule="auto"/>
      <w:ind w:left="1276" w:hanging="425" w:firstLineChars="200"/>
    </w:pPr>
    <w:rPr>
      <w:rFonts w:hAnsi="宋体"/>
      <w:spacing w:val="4"/>
      <w:sz w:val="24"/>
    </w:rPr>
  </w:style>
  <w:style w:type="paragraph" w:customStyle="1" w:styleId="275">
    <w:name w:val="标题一"/>
    <w:basedOn w:val="1"/>
    <w:qFormat/>
    <w:uiPriority w:val="0"/>
    <w:rPr>
      <w:b/>
      <w:sz w:val="30"/>
      <w:szCs w:val="24"/>
    </w:rPr>
  </w:style>
  <w:style w:type="character" w:customStyle="1" w:styleId="276">
    <w:name w:val="标题 1 Char1"/>
    <w:qFormat/>
    <w:uiPriority w:val="0"/>
    <w:rPr>
      <w:rFonts w:eastAsia="宋体"/>
      <w:b/>
      <w:bCs/>
      <w:kern w:val="44"/>
      <w:sz w:val="44"/>
      <w:szCs w:val="44"/>
      <w:lang w:val="en-US" w:eastAsia="zh-CN" w:bidi="ar-SA"/>
    </w:rPr>
  </w:style>
  <w:style w:type="character" w:customStyle="1" w:styleId="277">
    <w:name w:val="question-title2"/>
    <w:basedOn w:val="57"/>
    <w:qFormat/>
    <w:uiPriority w:val="0"/>
  </w:style>
  <w:style w:type="paragraph" w:customStyle="1" w:styleId="278">
    <w:name w:val="Char Char Char Char Char Char1 Char1"/>
    <w:basedOn w:val="1"/>
    <w:qFormat/>
    <w:uiPriority w:val="0"/>
    <w:pPr>
      <w:ind w:left="510"/>
    </w:pPr>
    <w:rPr>
      <w:szCs w:val="24"/>
    </w:rPr>
  </w:style>
  <w:style w:type="paragraph" w:customStyle="1" w:styleId="279">
    <w:name w:val="Char Char Char Char Char Char Char"/>
    <w:basedOn w:val="1"/>
    <w:next w:val="2"/>
    <w:qFormat/>
    <w:uiPriority w:val="0"/>
    <w:rPr>
      <w:sz w:val="28"/>
      <w:szCs w:val="28"/>
    </w:rPr>
  </w:style>
  <w:style w:type="paragraph" w:customStyle="1" w:styleId="280">
    <w:name w:val="Char Char Char Char Char Char"/>
    <w:basedOn w:val="1"/>
    <w:next w:val="2"/>
    <w:qFormat/>
    <w:uiPriority w:val="0"/>
    <w:rPr>
      <w:szCs w:val="24"/>
    </w:rPr>
  </w:style>
  <w:style w:type="paragraph" w:customStyle="1" w:styleId="281">
    <w:name w:val="正文4"/>
    <w:qFormat/>
    <w:uiPriority w:val="99"/>
    <w:pPr>
      <w:jc w:val="both"/>
    </w:pPr>
    <w:rPr>
      <w:rFonts w:ascii="Times New Roman" w:hAnsi="Times New Roman" w:eastAsia="宋体" w:cs="Times New Roman"/>
      <w:kern w:val="2"/>
      <w:sz w:val="21"/>
      <w:szCs w:val="21"/>
      <w:lang w:val="en-US" w:eastAsia="zh-CN" w:bidi="ar-SA"/>
    </w:rPr>
  </w:style>
  <w:style w:type="paragraph" w:customStyle="1" w:styleId="282">
    <w:name w:val="Char Char Char Char Char Char1 Char Char Char Char Char Char Char Char Char Char Char Char Char"/>
    <w:basedOn w:val="1"/>
    <w:qFormat/>
    <w:uiPriority w:val="99"/>
    <w:rPr>
      <w:szCs w:val="24"/>
    </w:rPr>
  </w:style>
  <w:style w:type="character" w:customStyle="1" w:styleId="283">
    <w:name w:val="正文文本 Char1"/>
    <w:qFormat/>
    <w:uiPriority w:val="0"/>
    <w:rPr>
      <w:kern w:val="2"/>
      <w:sz w:val="21"/>
      <w:szCs w:val="22"/>
    </w:rPr>
  </w:style>
  <w:style w:type="character" w:customStyle="1" w:styleId="284">
    <w:name w:val="明显强调1"/>
    <w:qFormat/>
    <w:uiPriority w:val="0"/>
    <w:rPr>
      <w:b/>
      <w:bCs/>
      <w:i/>
      <w:iCs/>
      <w:color w:val="4F81BD"/>
    </w:rPr>
  </w:style>
  <w:style w:type="character" w:customStyle="1" w:styleId="285">
    <w:name w:val="批注主题 Char1"/>
    <w:qFormat/>
    <w:uiPriority w:val="0"/>
    <w:rPr>
      <w:b/>
      <w:bCs/>
      <w:kern w:val="2"/>
      <w:sz w:val="21"/>
      <w:szCs w:val="22"/>
    </w:rPr>
  </w:style>
  <w:style w:type="character" w:customStyle="1" w:styleId="286">
    <w:name w:val="批注框文本 Char1"/>
    <w:qFormat/>
    <w:uiPriority w:val="0"/>
    <w:rPr>
      <w:kern w:val="2"/>
      <w:sz w:val="18"/>
      <w:szCs w:val="18"/>
    </w:rPr>
  </w:style>
  <w:style w:type="character" w:customStyle="1" w:styleId="287">
    <w:name w:val="书籍标题1"/>
    <w:qFormat/>
    <w:uiPriority w:val="0"/>
    <w:rPr>
      <w:b/>
      <w:bCs/>
      <w:smallCaps/>
      <w:spacing w:val="5"/>
    </w:rPr>
  </w:style>
  <w:style w:type="character" w:customStyle="1" w:styleId="288">
    <w:name w:val="副标题 字符"/>
    <w:link w:val="38"/>
    <w:qFormat/>
    <w:uiPriority w:val="99"/>
    <w:rPr>
      <w:rFonts w:ascii="Cambria" w:hAnsi="Cambria"/>
      <w:b/>
      <w:bCs/>
      <w:kern w:val="28"/>
      <w:sz w:val="32"/>
      <w:szCs w:val="32"/>
    </w:rPr>
  </w:style>
  <w:style w:type="character" w:customStyle="1" w:styleId="289">
    <w:name w:val="副标题 Char1"/>
    <w:basedOn w:val="57"/>
    <w:qFormat/>
    <w:uiPriority w:val="0"/>
    <w:rPr>
      <w:rFonts w:asciiTheme="majorHAnsi" w:hAnsiTheme="majorHAnsi" w:cstheme="majorBidi"/>
      <w:b/>
      <w:bCs/>
      <w:kern w:val="28"/>
      <w:sz w:val="32"/>
      <w:szCs w:val="32"/>
    </w:rPr>
  </w:style>
  <w:style w:type="character" w:customStyle="1" w:styleId="290">
    <w:name w:val="批注文字 Char Char"/>
    <w:qFormat/>
    <w:uiPriority w:val="0"/>
    <w:rPr>
      <w:rFonts w:ascii="宋体" w:hAnsi="Times New Roman" w:eastAsia="宋体" w:cs="Times New Roman"/>
      <w:sz w:val="28"/>
      <w:szCs w:val="20"/>
    </w:rPr>
  </w:style>
  <w:style w:type="character" w:customStyle="1" w:styleId="291">
    <w:name w:val="不明显强调1"/>
    <w:qFormat/>
    <w:uiPriority w:val="0"/>
    <w:rPr>
      <w:i/>
      <w:iCs/>
      <w:color w:val="808080"/>
    </w:rPr>
  </w:style>
  <w:style w:type="character" w:customStyle="1" w:styleId="292">
    <w:name w:val="不明显参考1"/>
    <w:qFormat/>
    <w:uiPriority w:val="0"/>
    <w:rPr>
      <w:smallCaps/>
      <w:color w:val="C0504D"/>
      <w:u w:val="single"/>
    </w:rPr>
  </w:style>
  <w:style w:type="character" w:customStyle="1" w:styleId="293">
    <w:name w:val="明显参考1"/>
    <w:qFormat/>
    <w:uiPriority w:val="0"/>
    <w:rPr>
      <w:b/>
      <w:bCs/>
      <w:smallCaps/>
      <w:color w:val="C0504D"/>
      <w:spacing w:val="5"/>
      <w:u w:val="single"/>
    </w:rPr>
  </w:style>
  <w:style w:type="character" w:customStyle="1" w:styleId="294">
    <w:name w:val="标题5 Char Char"/>
    <w:link w:val="295"/>
    <w:qFormat/>
    <w:uiPriority w:val="0"/>
    <w:rPr>
      <w:rFonts w:ascii="Arial" w:hAnsi="Arial"/>
      <w:b/>
      <w:bCs/>
      <w:sz w:val="24"/>
      <w:szCs w:val="32"/>
    </w:rPr>
  </w:style>
  <w:style w:type="paragraph" w:customStyle="1" w:styleId="295">
    <w:name w:val="标题5"/>
    <w:basedOn w:val="6"/>
    <w:link w:val="294"/>
    <w:qFormat/>
    <w:uiPriority w:val="0"/>
    <w:pPr>
      <w:spacing w:before="260" w:after="260" w:line="413" w:lineRule="auto"/>
      <w:ind w:firstLine="0"/>
    </w:pPr>
    <w:rPr>
      <w:rFonts w:ascii="Arial" w:hAnsi="Arial"/>
      <w:bCs/>
      <w:kern w:val="0"/>
      <w:szCs w:val="32"/>
    </w:rPr>
  </w:style>
  <w:style w:type="character" w:customStyle="1" w:styleId="296">
    <w:name w:val="明显引用 字符"/>
    <w:link w:val="297"/>
    <w:qFormat/>
    <w:uiPriority w:val="99"/>
    <w:rPr>
      <w:b/>
      <w:bCs/>
      <w:i/>
      <w:iCs/>
      <w:color w:val="4F81BD"/>
    </w:rPr>
  </w:style>
  <w:style w:type="paragraph" w:styleId="297">
    <w:name w:val="Intense Quote"/>
    <w:basedOn w:val="1"/>
    <w:next w:val="1"/>
    <w:link w:val="296"/>
    <w:qFormat/>
    <w:uiPriority w:val="99"/>
    <w:pPr>
      <w:pBdr>
        <w:bottom w:val="single" w:color="4F81BD" w:sz="4" w:space="4"/>
      </w:pBdr>
      <w:spacing w:before="200" w:after="280"/>
      <w:ind w:left="936" w:right="936"/>
    </w:pPr>
    <w:rPr>
      <w:b/>
      <w:bCs/>
      <w:i/>
      <w:iCs/>
      <w:color w:val="4F81BD"/>
      <w:kern w:val="0"/>
      <w:sz w:val="20"/>
    </w:rPr>
  </w:style>
  <w:style w:type="character" w:customStyle="1" w:styleId="298">
    <w:name w:val="明显引用 Char1"/>
    <w:basedOn w:val="57"/>
    <w:qFormat/>
    <w:uiPriority w:val="0"/>
    <w:rPr>
      <w:b/>
      <w:bCs/>
      <w:i/>
      <w:iCs/>
      <w:color w:val="4F81BD" w:themeColor="accent1"/>
      <w:kern w:val="2"/>
      <w:sz w:val="21"/>
      <w14:textFill>
        <w14:solidFill>
          <w14:schemeClr w14:val="accent1"/>
        </w14:solidFill>
      </w14:textFill>
    </w:rPr>
  </w:style>
  <w:style w:type="character" w:customStyle="1" w:styleId="299">
    <w:name w:val="日期 Char1"/>
    <w:qFormat/>
    <w:uiPriority w:val="0"/>
    <w:rPr>
      <w:kern w:val="2"/>
      <w:sz w:val="21"/>
      <w:szCs w:val="22"/>
    </w:rPr>
  </w:style>
  <w:style w:type="character" w:customStyle="1" w:styleId="300">
    <w:name w:val="文档结构图 Char1"/>
    <w:qFormat/>
    <w:uiPriority w:val="0"/>
    <w:rPr>
      <w:rFonts w:ascii="宋体"/>
      <w:kern w:val="2"/>
      <w:sz w:val="18"/>
      <w:szCs w:val="18"/>
    </w:rPr>
  </w:style>
  <w:style w:type="character" w:customStyle="1" w:styleId="301">
    <w:name w:val="textcontents"/>
    <w:qFormat/>
    <w:uiPriority w:val="0"/>
    <w:rPr>
      <w:rFonts w:cs="Times New Roman"/>
    </w:rPr>
  </w:style>
  <w:style w:type="character" w:customStyle="1" w:styleId="302">
    <w:name w:val="引用 字符"/>
    <w:link w:val="303"/>
    <w:qFormat/>
    <w:uiPriority w:val="99"/>
    <w:rPr>
      <w:i/>
      <w:iCs/>
      <w:color w:val="000000"/>
    </w:rPr>
  </w:style>
  <w:style w:type="paragraph" w:styleId="303">
    <w:name w:val="Quote"/>
    <w:basedOn w:val="1"/>
    <w:next w:val="1"/>
    <w:link w:val="302"/>
    <w:qFormat/>
    <w:uiPriority w:val="99"/>
    <w:rPr>
      <w:i/>
      <w:iCs/>
      <w:color w:val="000000"/>
      <w:kern w:val="0"/>
      <w:sz w:val="20"/>
    </w:rPr>
  </w:style>
  <w:style w:type="character" w:customStyle="1" w:styleId="304">
    <w:name w:val="引用 Char1"/>
    <w:basedOn w:val="57"/>
    <w:qFormat/>
    <w:uiPriority w:val="0"/>
    <w:rPr>
      <w:i/>
      <w:iCs/>
      <w:color w:val="000000" w:themeColor="text1"/>
      <w:kern w:val="2"/>
      <w:sz w:val="21"/>
      <w14:textFill>
        <w14:solidFill>
          <w14:schemeClr w14:val="tx1"/>
        </w14:solidFill>
      </w14:textFill>
    </w:rPr>
  </w:style>
  <w:style w:type="character" w:customStyle="1" w:styleId="305">
    <w:name w:val="Char Char Char1"/>
    <w:qFormat/>
    <w:uiPriority w:val="0"/>
    <w:rPr>
      <w:rFonts w:ascii="Verdana" w:hAnsi="Verdana" w:eastAsia="黑体"/>
      <w:lang w:eastAsia="en-US"/>
    </w:rPr>
  </w:style>
  <w:style w:type="character" w:customStyle="1" w:styleId="306">
    <w:name w:val="副标题 Char2"/>
    <w:basedOn w:val="57"/>
    <w:qFormat/>
    <w:uiPriority w:val="0"/>
    <w:rPr>
      <w:rFonts w:ascii="Cambria" w:hAnsi="Cambria" w:cs="Times New Roman"/>
      <w:b/>
      <w:bCs/>
      <w:kern w:val="28"/>
      <w:sz w:val="32"/>
      <w:szCs w:val="32"/>
    </w:rPr>
  </w:style>
  <w:style w:type="character" w:customStyle="1" w:styleId="307">
    <w:name w:val="明显引用 Char2"/>
    <w:basedOn w:val="57"/>
    <w:qFormat/>
    <w:uiPriority w:val="30"/>
    <w:rPr>
      <w:b/>
      <w:bCs/>
      <w:i/>
      <w:iCs/>
      <w:color w:val="4F81BD"/>
    </w:rPr>
  </w:style>
  <w:style w:type="paragraph" w:styleId="308">
    <w:name w:val="No Spacing"/>
    <w:qFormat/>
    <w:uiPriority w:val="99"/>
    <w:pPr>
      <w:widowControl w:val="0"/>
      <w:jc w:val="both"/>
    </w:pPr>
    <w:rPr>
      <w:rFonts w:ascii="Calibri" w:hAnsi="Calibri" w:eastAsia="宋体" w:cs="Times New Roman"/>
      <w:kern w:val="2"/>
      <w:sz w:val="21"/>
      <w:szCs w:val="22"/>
      <w:lang w:val="en-US" w:eastAsia="zh-CN" w:bidi="ar-SA"/>
    </w:rPr>
  </w:style>
  <w:style w:type="paragraph" w:customStyle="1" w:styleId="309">
    <w:name w:val="Char Char Char Char Char Char Char1"/>
    <w:basedOn w:val="1"/>
    <w:qFormat/>
    <w:uiPriority w:val="99"/>
    <w:pPr>
      <w:jc w:val="left"/>
    </w:pPr>
    <w:rPr>
      <w:rFonts w:ascii="宋体" w:hAnsi="宋体" w:cs="宋体"/>
      <w:kern w:val="0"/>
      <w:sz w:val="24"/>
      <w:szCs w:val="24"/>
    </w:rPr>
  </w:style>
  <w:style w:type="character" w:customStyle="1" w:styleId="310">
    <w:name w:val="引用 Char2"/>
    <w:basedOn w:val="57"/>
    <w:qFormat/>
    <w:uiPriority w:val="29"/>
    <w:rPr>
      <w:i/>
      <w:iCs/>
      <w:color w:val="000000"/>
    </w:rPr>
  </w:style>
  <w:style w:type="paragraph" w:customStyle="1" w:styleId="311">
    <w:name w:val="Char11"/>
    <w:basedOn w:val="1"/>
    <w:qFormat/>
    <w:uiPriority w:val="99"/>
    <w:rPr>
      <w:rFonts w:ascii="仿宋_GB2312" w:eastAsia="仿宋_GB2312"/>
      <w:b/>
      <w:sz w:val="32"/>
      <w:szCs w:val="32"/>
    </w:rPr>
  </w:style>
  <w:style w:type="paragraph" w:customStyle="1" w:styleId="312">
    <w:name w:val="Char12"/>
    <w:basedOn w:val="1"/>
    <w:qFormat/>
    <w:uiPriority w:val="99"/>
    <w:pPr>
      <w:pageBreakBefore/>
      <w:spacing w:line="360" w:lineRule="auto"/>
    </w:pPr>
    <w:rPr>
      <w:sz w:val="28"/>
    </w:rPr>
  </w:style>
  <w:style w:type="paragraph" w:customStyle="1" w:styleId="313">
    <w:name w:val="flNote"/>
    <w:basedOn w:val="1"/>
    <w:qFormat/>
    <w:uiPriority w:val="99"/>
    <w:pPr>
      <w:adjustRightInd w:val="0"/>
      <w:spacing w:before="320" w:after="160" w:line="360" w:lineRule="atLeast"/>
      <w:jc w:val="center"/>
    </w:pPr>
    <w:rPr>
      <w:rFonts w:ascii="Arial" w:eastAsia="黑体"/>
      <w:kern w:val="0"/>
      <w:sz w:val="30"/>
    </w:rPr>
  </w:style>
  <w:style w:type="paragraph" w:customStyle="1" w:styleId="314">
    <w:name w:val="空半行"/>
    <w:basedOn w:val="1"/>
    <w:qFormat/>
    <w:uiPriority w:val="99"/>
    <w:pPr>
      <w:adjustRightInd w:val="0"/>
      <w:spacing w:line="120" w:lineRule="exact"/>
    </w:pPr>
    <w:rPr>
      <w:rFonts w:eastAsia="仿宋_GB2312"/>
      <w:color w:val="FFFFFF"/>
      <w:kern w:val="0"/>
      <w:sz w:val="30"/>
    </w:rPr>
  </w:style>
  <w:style w:type="character" w:customStyle="1" w:styleId="315">
    <w:name w:val="标题 Char1"/>
    <w:basedOn w:val="57"/>
    <w:qFormat/>
    <w:locked/>
    <w:uiPriority w:val="0"/>
    <w:rPr>
      <w:rFonts w:ascii="Cambria" w:hAnsi="Cambria"/>
      <w:b/>
      <w:bCs/>
      <w:kern w:val="2"/>
      <w:sz w:val="32"/>
      <w:szCs w:val="32"/>
    </w:rPr>
  </w:style>
  <w:style w:type="character" w:customStyle="1" w:styleId="316">
    <w:name w:val="正文文本 Char2"/>
    <w:basedOn w:val="57"/>
    <w:qFormat/>
    <w:locked/>
    <w:uiPriority w:val="0"/>
  </w:style>
  <w:style w:type="paragraph" w:customStyle="1" w:styleId="317">
    <w:name w:val="Normal_5"/>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customStyle="1" w:styleId="318">
    <w:name w:val="标题 1 字符1"/>
    <w:basedOn w:val="57"/>
    <w:qFormat/>
    <w:uiPriority w:val="0"/>
    <w:rPr>
      <w:b/>
      <w:bCs/>
      <w:kern w:val="44"/>
      <w:sz w:val="44"/>
      <w:szCs w:val="44"/>
    </w:rPr>
  </w:style>
  <w:style w:type="paragraph" w:customStyle="1" w:styleId="319">
    <w:name w:val="msonormal"/>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320">
    <w:name w:val="副标题 字符1"/>
    <w:basedOn w:val="57"/>
    <w:qFormat/>
    <w:uiPriority w:val="11"/>
    <w:rPr>
      <w:rFonts w:hint="default" w:asciiTheme="minorHAnsi" w:hAnsiTheme="minorHAnsi" w:eastAsiaTheme="minorEastAsia" w:cstheme="minorBidi"/>
      <w:b/>
      <w:bCs/>
      <w:kern w:val="28"/>
      <w:sz w:val="32"/>
      <w:szCs w:val="32"/>
    </w:rPr>
  </w:style>
  <w:style w:type="character" w:customStyle="1" w:styleId="321">
    <w:name w:val="明显引用 字符1"/>
    <w:basedOn w:val="57"/>
    <w:qFormat/>
    <w:uiPriority w:val="30"/>
    <w:rPr>
      <w:i/>
      <w:iCs/>
      <w:color w:val="4F81BD" w:themeColor="accent1"/>
      <w14:textFill>
        <w14:solidFill>
          <w14:schemeClr w14:val="accent1"/>
        </w14:solidFill>
      </w14:textFill>
    </w:rPr>
  </w:style>
  <w:style w:type="character" w:customStyle="1" w:styleId="322">
    <w:name w:val="引用 字符1"/>
    <w:basedOn w:val="57"/>
    <w:qFormat/>
    <w:uiPriority w:val="29"/>
    <w:rPr>
      <w:i/>
      <w:iCs/>
      <w:color w:val="404040" w:themeColor="text1" w:themeTint="BF"/>
      <w14:textFill>
        <w14:solidFill>
          <w14:schemeClr w14:val="tx1">
            <w14:lumMod w14:val="75000"/>
            <w14:lumOff w14:val="25000"/>
          </w14:schemeClr>
        </w14:solidFill>
      </w14:textFill>
    </w:rPr>
  </w:style>
  <w:style w:type="paragraph" w:customStyle="1" w:styleId="323">
    <w:name w:val="正文_5_0"/>
    <w:qFormat/>
    <w:uiPriority w:val="0"/>
    <w:pPr>
      <w:widowControl w:val="0"/>
      <w:spacing w:after="200" w:line="276" w:lineRule="auto"/>
      <w:jc w:val="both"/>
    </w:pPr>
    <w:rPr>
      <w:rFonts w:ascii="Times New Roman" w:hAnsi="Times New Roman" w:eastAsia="宋体" w:cs="Times New Roman"/>
      <w:kern w:val="2"/>
      <w:sz w:val="21"/>
      <w:szCs w:val="24"/>
      <w:lang w:val="en-US" w:eastAsia="zh-CN" w:bidi="ar-SA"/>
    </w:rPr>
  </w:style>
  <w:style w:type="paragraph" w:customStyle="1" w:styleId="324">
    <w:name w:val="Normal_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5">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326">
    <w:name w:val="10"/>
    <w:basedOn w:val="57"/>
    <w:qFormat/>
    <w:uiPriority w:val="0"/>
    <w:rPr>
      <w:rFonts w:hint="default" w:ascii="Times New Roman" w:hAnsi="Times New Roman" w:cs="Times New Roman"/>
    </w:rPr>
  </w:style>
  <w:style w:type="character" w:customStyle="1" w:styleId="327">
    <w:name w:val="p0 Char"/>
    <w:link w:val="104"/>
    <w:qFormat/>
    <w:uiPriority w:val="0"/>
    <w:rPr>
      <w:sz w:val="21"/>
      <w:szCs w:val="21"/>
    </w:rPr>
  </w:style>
  <w:style w:type="character" w:customStyle="1" w:styleId="328">
    <w:name w:val="未处理的提及1"/>
    <w:basedOn w:val="57"/>
    <w:semiHidden/>
    <w:unhideWhenUsed/>
    <w:qFormat/>
    <w:uiPriority w:val="99"/>
    <w:rPr>
      <w:color w:val="605E5C"/>
      <w:shd w:val="clear" w:color="auto" w:fill="E1DFDD"/>
    </w:rPr>
  </w:style>
  <w:style w:type="character" w:customStyle="1" w:styleId="329">
    <w:name w:val="Char Char8"/>
    <w:qFormat/>
    <w:uiPriority w:val="0"/>
    <w:rPr>
      <w:rFonts w:hint="default" w:ascii="Arial" w:hAnsi="Arial" w:eastAsia="黑体" w:cs="Arial"/>
      <w:b/>
      <w:bCs/>
      <w:kern w:val="2"/>
      <w:sz w:val="32"/>
      <w:szCs w:val="32"/>
      <w:lang w:val="en-US" w:eastAsia="zh-CN" w:bidi="ar-SA"/>
    </w:rPr>
  </w:style>
  <w:style w:type="paragraph" w:customStyle="1" w:styleId="330">
    <w:name w:val="Table Paragraph"/>
    <w:basedOn w:val="1"/>
    <w:qFormat/>
    <w:uiPriority w:val="1"/>
    <w:pPr>
      <w:autoSpaceDE w:val="0"/>
      <w:autoSpaceDN w:val="0"/>
      <w:spacing w:before="2"/>
      <w:jc w:val="left"/>
    </w:pPr>
    <w:rPr>
      <w:rFonts w:ascii="宋体" w:hAnsi="宋体" w:cs="宋体"/>
      <w:kern w:val="0"/>
      <w:sz w:val="22"/>
      <w:szCs w:val="22"/>
      <w:lang w:eastAsia="en-US"/>
    </w:rPr>
  </w:style>
  <w:style w:type="character" w:customStyle="1" w:styleId="331">
    <w:name w:val="日期 字符1"/>
    <w:basedOn w:val="57"/>
    <w:qFormat/>
    <w:uiPriority w:val="0"/>
    <w:rPr>
      <w:rFonts w:ascii="Times New Roman" w:hAnsi="Times New Roman" w:eastAsia="宋体" w:cs="Times New Roman"/>
      <w:szCs w:val="20"/>
    </w:rPr>
  </w:style>
  <w:style w:type="character" w:customStyle="1" w:styleId="332">
    <w:name w:val="宏文本 字符1"/>
    <w:basedOn w:val="57"/>
    <w:semiHidden/>
    <w:qFormat/>
    <w:uiPriority w:val="99"/>
    <w:rPr>
      <w:rFonts w:ascii="Courier New" w:hAnsi="Courier New" w:eastAsia="宋体" w:cs="Courier New"/>
      <w:sz w:val="24"/>
      <w:szCs w:val="24"/>
    </w:rPr>
  </w:style>
  <w:style w:type="character" w:customStyle="1" w:styleId="333">
    <w:name w:val="正文文本首行缩进 2 字符1"/>
    <w:basedOn w:val="128"/>
    <w:semiHidden/>
    <w:qFormat/>
    <w:uiPriority w:val="99"/>
    <w:rPr>
      <w:rFonts w:ascii="Times New Roman" w:hAnsi="Times New Roman" w:eastAsia="宋体" w:cs="Times New Roman"/>
      <w:kern w:val="2"/>
      <w:sz w:val="21"/>
      <w:szCs w:val="20"/>
    </w:rPr>
  </w:style>
  <w:style w:type="character" w:customStyle="1" w:styleId="334">
    <w:name w:val="未处理的提及2"/>
    <w:basedOn w:val="57"/>
    <w:semiHidden/>
    <w:unhideWhenUsed/>
    <w:qFormat/>
    <w:uiPriority w:val="99"/>
    <w:rPr>
      <w:color w:val="605E5C"/>
      <w:shd w:val="clear" w:color="auto" w:fill="E1DFDD"/>
    </w:rPr>
  </w:style>
  <w:style w:type="table" w:customStyle="1" w:styleId="335">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336">
    <w:name w:val="p16"/>
    <w:basedOn w:val="1"/>
    <w:qFormat/>
    <w:uiPriority w:val="0"/>
    <w:pPr>
      <w:widowControl/>
    </w:pPr>
    <w:rPr>
      <w:rFonts w:ascii="Calibri" w:hAnsi="Calibri" w:cs="宋体"/>
      <w:kern w:val="0"/>
      <w:szCs w:val="21"/>
    </w:rPr>
  </w:style>
  <w:style w:type="character" w:customStyle="1" w:styleId="337">
    <w:name w:val="正文文本缩进 字符1"/>
    <w:basedOn w:val="57"/>
    <w:qFormat/>
    <w:uiPriority w:val="99"/>
  </w:style>
  <w:style w:type="character" w:customStyle="1" w:styleId="338">
    <w:name w:val="未处理的提及3"/>
    <w:basedOn w:val="57"/>
    <w:semiHidden/>
    <w:unhideWhenUsed/>
    <w:qFormat/>
    <w:uiPriority w:val="99"/>
    <w:rPr>
      <w:color w:val="605E5C"/>
      <w:shd w:val="clear" w:color="auto" w:fill="E1DFDD"/>
    </w:rPr>
  </w:style>
  <w:style w:type="paragraph" w:customStyle="1" w:styleId="339">
    <w:name w:val="tiaonoa"/>
    <w:basedOn w:val="1"/>
    <w:qFormat/>
    <w:uiPriority w:val="0"/>
    <w:pPr>
      <w:widowControl/>
      <w:spacing w:before="100" w:beforeAutospacing="1" w:after="100" w:afterAutospacing="1"/>
      <w:jc w:val="left"/>
    </w:pPr>
    <w:rPr>
      <w:rFonts w:ascii="宋体" w:hAnsi="宋体" w:cs="宋体"/>
      <w:b/>
      <w:bCs/>
      <w:smallCaps/>
      <w:color w:val="000000"/>
      <w:kern w:val="0"/>
      <w:sz w:val="18"/>
      <w:szCs w:val="18"/>
    </w:rPr>
  </w:style>
  <w:style w:type="character" w:customStyle="1" w:styleId="340">
    <w:name w:val="gyy正文 Char2"/>
    <w:link w:val="341"/>
    <w:qFormat/>
    <w:uiPriority w:val="0"/>
    <w:rPr>
      <w:rFonts w:cs="宋体"/>
      <w:snapToGrid w:val="0"/>
      <w:sz w:val="28"/>
    </w:rPr>
  </w:style>
  <w:style w:type="paragraph" w:customStyle="1" w:styleId="341">
    <w:name w:val="gyy正文"/>
    <w:basedOn w:val="1"/>
    <w:link w:val="340"/>
    <w:qFormat/>
    <w:uiPriority w:val="0"/>
    <w:pPr>
      <w:snapToGrid w:val="0"/>
      <w:spacing w:line="360" w:lineRule="auto"/>
      <w:ind w:firstLine="200" w:firstLineChars="200"/>
    </w:pPr>
    <w:rPr>
      <w:rFonts w:cs="宋体"/>
      <w:snapToGrid w:val="0"/>
      <w:kern w:val="0"/>
      <w:sz w:val="28"/>
    </w:rPr>
  </w:style>
  <w:style w:type="character" w:customStyle="1" w:styleId="342">
    <w:name w:val="font41"/>
    <w:qFormat/>
    <w:uiPriority w:val="0"/>
    <w:rPr>
      <w:rFonts w:hint="eastAsia" w:ascii="宋体" w:hAnsi="宋体" w:eastAsia="宋体" w:cs="宋体"/>
      <w:color w:val="000000"/>
      <w:sz w:val="32"/>
      <w:szCs w:val="32"/>
      <w:u w:val="none"/>
    </w:rPr>
  </w:style>
  <w:style w:type="character" w:customStyle="1" w:styleId="343">
    <w:name w:val="16"/>
    <w:qFormat/>
    <w:uiPriority w:val="0"/>
    <w:rPr>
      <w:rFonts w:hint="eastAsia" w:ascii="仿宋_GB2312" w:eastAsia="仿宋_GB2312"/>
      <w:color w:val="000000"/>
      <w:sz w:val="24"/>
      <w:szCs w:val="24"/>
      <w:vertAlign w:val="superscript"/>
    </w:rPr>
  </w:style>
  <w:style w:type="character" w:customStyle="1" w:styleId="344">
    <w:name w:val="4号字26磅sd Char"/>
    <w:link w:val="345"/>
    <w:qFormat/>
    <w:uiPriority w:val="0"/>
    <w:rPr>
      <w:rFonts w:ascii="宋体" w:hAnsi="宋体" w:cs="宋体"/>
      <w:color w:val="000000"/>
      <w:sz w:val="28"/>
      <w:szCs w:val="28"/>
    </w:rPr>
  </w:style>
  <w:style w:type="paragraph" w:customStyle="1" w:styleId="345">
    <w:name w:val="4号字26磅sd"/>
    <w:link w:val="344"/>
    <w:qFormat/>
    <w:uiPriority w:val="0"/>
    <w:pPr>
      <w:spacing w:line="520" w:lineRule="exact"/>
      <w:ind w:firstLine="200" w:firstLineChars="200"/>
    </w:pPr>
    <w:rPr>
      <w:rFonts w:ascii="宋体" w:hAnsi="宋体" w:eastAsia="宋体" w:cs="宋体"/>
      <w:color w:val="000000"/>
      <w:sz w:val="28"/>
      <w:szCs w:val="28"/>
      <w:lang w:val="en-US" w:eastAsia="zh-CN" w:bidi="ar-SA"/>
    </w:rPr>
  </w:style>
  <w:style w:type="character" w:customStyle="1" w:styleId="346">
    <w:name w:val="font101"/>
    <w:qFormat/>
    <w:uiPriority w:val="0"/>
    <w:rPr>
      <w:rFonts w:hint="default" w:ascii="Times New Roman" w:hAnsi="Times New Roman" w:cs="Times New Roman"/>
      <w:color w:val="000000"/>
      <w:sz w:val="20"/>
      <w:szCs w:val="20"/>
      <w:u w:val="none"/>
    </w:rPr>
  </w:style>
  <w:style w:type="character" w:customStyle="1" w:styleId="347">
    <w:name w:val="font71"/>
    <w:qFormat/>
    <w:uiPriority w:val="0"/>
    <w:rPr>
      <w:rFonts w:hint="eastAsia" w:ascii="宋体" w:hAnsi="宋体" w:eastAsia="宋体" w:cs="宋体"/>
      <w:color w:val="000000"/>
      <w:sz w:val="20"/>
      <w:szCs w:val="20"/>
      <w:u w:val="none"/>
    </w:rPr>
  </w:style>
  <w:style w:type="character" w:customStyle="1" w:styleId="348">
    <w:name w:val="font91"/>
    <w:qFormat/>
    <w:uiPriority w:val="0"/>
    <w:rPr>
      <w:rFonts w:hint="default" w:ascii="Times New Roman" w:hAnsi="Times New Roman" w:cs="Times New Roman"/>
      <w:color w:val="000000"/>
      <w:sz w:val="20"/>
      <w:szCs w:val="20"/>
      <w:u w:val="none"/>
    </w:rPr>
  </w:style>
  <w:style w:type="character" w:customStyle="1" w:styleId="349">
    <w:name w:val="font112"/>
    <w:qFormat/>
    <w:uiPriority w:val="0"/>
    <w:rPr>
      <w:rFonts w:hint="default" w:ascii="Times New Roman" w:hAnsi="Times New Roman" w:cs="Times New Roman"/>
      <w:color w:val="000000"/>
      <w:sz w:val="20"/>
      <w:szCs w:val="20"/>
      <w:u w:val="none"/>
    </w:rPr>
  </w:style>
  <w:style w:type="character" w:customStyle="1" w:styleId="350">
    <w:name w:val="font81"/>
    <w:qFormat/>
    <w:uiPriority w:val="0"/>
    <w:rPr>
      <w:rFonts w:hint="eastAsia" w:ascii="宋体" w:hAnsi="宋体" w:eastAsia="宋体" w:cs="宋体"/>
      <w:b/>
      <w:bCs/>
      <w:color w:val="000000"/>
      <w:sz w:val="18"/>
      <w:szCs w:val="18"/>
      <w:u w:val="none"/>
    </w:rPr>
  </w:style>
  <w:style w:type="character" w:customStyle="1" w:styleId="351">
    <w:name w:val="正文文本 字符1"/>
    <w:basedOn w:val="57"/>
    <w:semiHidden/>
    <w:qFormat/>
    <w:uiPriority w:val="99"/>
  </w:style>
  <w:style w:type="character" w:customStyle="1" w:styleId="352">
    <w:name w:val="文档结构图 字符1"/>
    <w:basedOn w:val="57"/>
    <w:semiHidden/>
    <w:qFormat/>
    <w:uiPriority w:val="99"/>
    <w:rPr>
      <w:rFonts w:ascii="Microsoft YaHei UI" w:eastAsia="Microsoft YaHei UI"/>
      <w:sz w:val="18"/>
      <w:szCs w:val="18"/>
    </w:rPr>
  </w:style>
  <w:style w:type="character" w:customStyle="1" w:styleId="353">
    <w:name w:val="标题 字符1"/>
    <w:basedOn w:val="57"/>
    <w:qFormat/>
    <w:uiPriority w:val="10"/>
    <w:rPr>
      <w:rFonts w:asciiTheme="majorHAnsi" w:hAnsiTheme="majorHAnsi" w:eastAsiaTheme="majorEastAsia" w:cstheme="majorBidi"/>
      <w:b/>
      <w:bCs/>
      <w:sz w:val="32"/>
      <w:szCs w:val="32"/>
    </w:rPr>
  </w:style>
  <w:style w:type="paragraph" w:customStyle="1" w:styleId="354">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355">
    <w:name w:val="TOC 标题2"/>
    <w:basedOn w:val="3"/>
    <w:next w:val="1"/>
    <w:qFormat/>
    <w:uiPriority w:val="39"/>
    <w:pPr>
      <w:widowControl/>
      <w:spacing w:before="480" w:after="0" w:line="276" w:lineRule="auto"/>
      <w:jc w:val="left"/>
      <w:outlineLvl w:val="9"/>
    </w:pPr>
    <w:rPr>
      <w:rFonts w:ascii="Cambria" w:hAnsi="Cambria"/>
      <w:bCs/>
      <w:color w:val="365F91"/>
      <w:spacing w:val="0"/>
      <w:kern w:val="0"/>
      <w:sz w:val="28"/>
      <w:szCs w:val="28"/>
    </w:rPr>
  </w:style>
  <w:style w:type="paragraph" w:customStyle="1" w:styleId="356">
    <w:name w:val="DD五号字"/>
    <w:basedOn w:val="357"/>
    <w:qFormat/>
    <w:uiPriority w:val="0"/>
    <w:pPr>
      <w:spacing w:line="400" w:lineRule="exact"/>
      <w:ind w:firstLine="397"/>
    </w:pPr>
    <w:rPr>
      <w:sz w:val="21"/>
      <w:szCs w:val="21"/>
    </w:rPr>
  </w:style>
  <w:style w:type="paragraph" w:customStyle="1" w:styleId="357">
    <w:name w:val="样式 宋体 四号 黑色 首行缩进:  1.06 厘米 行距: 固定值 27 磅"/>
    <w:basedOn w:val="1"/>
    <w:qFormat/>
    <w:uiPriority w:val="0"/>
    <w:pPr>
      <w:spacing w:line="520" w:lineRule="exact"/>
      <w:ind w:firstLine="601"/>
    </w:pPr>
    <w:rPr>
      <w:rFonts w:ascii="宋体" w:hAnsi="宋体" w:cs="宋体"/>
      <w:color w:val="000000"/>
      <w:sz w:val="28"/>
    </w:rPr>
  </w:style>
  <w:style w:type="paragraph" w:customStyle="1" w:styleId="358">
    <w:name w:val="DD正文"/>
    <w:basedOn w:val="357"/>
    <w:qFormat/>
    <w:uiPriority w:val="0"/>
    <w:pPr>
      <w:overflowPunct w:val="0"/>
      <w:spacing w:line="520" w:lineRule="atLeast"/>
      <w:ind w:firstLine="560" w:firstLineChars="200"/>
    </w:pPr>
    <w:rPr>
      <w:rFonts w:cs="Times New Roman"/>
      <w:color w:val="auto"/>
      <w:szCs w:val="28"/>
    </w:rPr>
  </w:style>
  <w:style w:type="paragraph" w:customStyle="1" w:styleId="359">
    <w:name w:val="gyy正文文字"/>
    <w:basedOn w:val="1"/>
    <w:qFormat/>
    <w:uiPriority w:val="0"/>
    <w:pPr>
      <w:spacing w:line="360" w:lineRule="auto"/>
      <w:ind w:firstLine="471"/>
    </w:pPr>
    <w:rPr>
      <w:rFonts w:cs="宋体"/>
      <w:color w:val="000000"/>
      <w:sz w:val="24"/>
      <w:szCs w:val="24"/>
    </w:rPr>
  </w:style>
  <w:style w:type="paragraph" w:customStyle="1" w:styleId="360">
    <w:name w:val="Char Char Char Char1"/>
    <w:basedOn w:val="1"/>
    <w:qFormat/>
    <w:uiPriority w:val="0"/>
    <w:rPr>
      <w:szCs w:val="24"/>
    </w:rPr>
  </w:style>
  <w:style w:type="paragraph" w:customStyle="1" w:styleId="361">
    <w:name w:val="W报告正文"/>
    <w:basedOn w:val="1"/>
    <w:qFormat/>
    <w:uiPriority w:val="0"/>
    <w:pPr>
      <w:ind w:firstLine="480"/>
    </w:pPr>
    <w:rPr>
      <w:szCs w:val="24"/>
    </w:rPr>
  </w:style>
  <w:style w:type="paragraph" w:customStyle="1" w:styleId="362">
    <w:name w:val="默认段落字体 Para Char Char Char Char Char Char Char"/>
    <w:basedOn w:val="1"/>
    <w:qFormat/>
    <w:uiPriority w:val="0"/>
    <w:pPr>
      <w:tabs>
        <w:tab w:val="left" w:pos="4665"/>
        <w:tab w:val="left" w:pos="8970"/>
      </w:tabs>
      <w:ind w:firstLine="400"/>
    </w:pPr>
  </w:style>
  <w:style w:type="paragraph" w:customStyle="1" w:styleId="363">
    <w:name w:val="DD 2级标题"/>
    <w:basedOn w:val="1"/>
    <w:qFormat/>
    <w:uiPriority w:val="0"/>
    <w:pPr>
      <w:spacing w:beforeLines="50" w:afterLines="50"/>
      <w:jc w:val="left"/>
      <w:outlineLvl w:val="1"/>
    </w:pPr>
    <w:rPr>
      <w:b/>
      <w:sz w:val="30"/>
      <w:szCs w:val="28"/>
    </w:rPr>
  </w:style>
  <w:style w:type="paragraph" w:customStyle="1" w:styleId="364">
    <w:name w:val="DD 正文"/>
    <w:basedOn w:val="365"/>
    <w:qFormat/>
    <w:uiPriority w:val="0"/>
    <w:pPr>
      <w:spacing w:line="500" w:lineRule="exact"/>
      <w:ind w:firstLine="200" w:firstLineChars="200"/>
    </w:pPr>
    <w:rPr>
      <w:szCs w:val="28"/>
    </w:rPr>
  </w:style>
  <w:style w:type="paragraph" w:customStyle="1" w:styleId="365">
    <w:name w:val="样式 宋体 四号 黑色 首行缩进:  1.13 厘米 行距: 固定值 26 磅"/>
    <w:basedOn w:val="1"/>
    <w:qFormat/>
    <w:uiPriority w:val="0"/>
    <w:pPr>
      <w:spacing w:line="540" w:lineRule="exact"/>
      <w:ind w:firstLine="641"/>
    </w:pPr>
    <w:rPr>
      <w:rFonts w:ascii="宋体" w:hAnsi="宋体" w:cs="宋体"/>
      <w:color w:val="000000"/>
    </w:rPr>
  </w:style>
  <w:style w:type="paragraph" w:customStyle="1" w:styleId="366">
    <w:name w:val="a报告正文文本"/>
    <w:basedOn w:val="365"/>
    <w:qFormat/>
    <w:uiPriority w:val="0"/>
    <w:pPr>
      <w:spacing w:line="520" w:lineRule="exact"/>
      <w:ind w:firstLine="200" w:firstLineChars="200"/>
    </w:pPr>
    <w:rPr>
      <w:rFonts w:ascii="Times New Roman" w:hAnsi="Times New Roman"/>
      <w:color w:val="auto"/>
      <w:szCs w:val="24"/>
    </w:rPr>
  </w:style>
  <w:style w:type="paragraph" w:customStyle="1" w:styleId="367">
    <w:name w:val="Char4"/>
    <w:basedOn w:val="1"/>
    <w:qFormat/>
    <w:uiPriority w:val="0"/>
    <w:rPr>
      <w:rFonts w:ascii="Tahoma" w:hAnsi="Tahoma"/>
      <w:sz w:val="24"/>
    </w:rPr>
  </w:style>
  <w:style w:type="paragraph" w:customStyle="1" w:styleId="368">
    <w:name w:val="4 Char Char Char Char Char Char Char Char Char Char Char Char Char Char Char Char1 Char"/>
    <w:basedOn w:val="1"/>
    <w:qFormat/>
    <w:uiPriority w:val="0"/>
    <w:rPr>
      <w:szCs w:val="24"/>
    </w:rPr>
  </w:style>
  <w:style w:type="paragraph" w:customStyle="1" w:styleId="369">
    <w:name w:val="1报告正文文本"/>
    <w:basedOn w:val="365"/>
    <w:qFormat/>
    <w:uiPriority w:val="0"/>
    <w:pPr>
      <w:spacing w:line="360" w:lineRule="auto"/>
      <w:ind w:firstLine="200" w:firstLineChars="200"/>
      <w:jc w:val="left"/>
    </w:pPr>
    <w:rPr>
      <w:rFonts w:ascii="Times New Roman" w:hAnsi="Times New Roman"/>
      <w:color w:val="auto"/>
      <w:sz w:val="24"/>
      <w:szCs w:val="24"/>
    </w:rPr>
  </w:style>
  <w:style w:type="paragraph" w:customStyle="1" w:styleId="370">
    <w:name w:val="gyy表名图名"/>
    <w:basedOn w:val="1"/>
    <w:qFormat/>
    <w:uiPriority w:val="0"/>
    <w:pPr>
      <w:spacing w:before="120"/>
      <w:jc w:val="center"/>
    </w:pPr>
    <w:rPr>
      <w:rFonts w:eastAsia="黑体" w:cs="宋体"/>
      <w:kern w:val="0"/>
      <w:sz w:val="24"/>
    </w:rPr>
  </w:style>
  <w:style w:type="paragraph" w:customStyle="1" w:styleId="371">
    <w:name w:val="WPSOffice手动目录 1"/>
    <w:qFormat/>
    <w:uiPriority w:val="0"/>
    <w:rPr>
      <w:rFonts w:ascii="Times New Roman" w:hAnsi="Times New Roman" w:eastAsia="宋体" w:cs="Times New Roman"/>
      <w:lang w:val="en-US" w:eastAsia="zh-CN" w:bidi="ar-SA"/>
    </w:rPr>
  </w:style>
  <w:style w:type="paragraph" w:customStyle="1" w:styleId="37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73">
    <w:name w:val="Q表头"/>
    <w:basedOn w:val="1"/>
    <w:next w:val="1"/>
    <w:qFormat/>
    <w:uiPriority w:val="0"/>
    <w:pPr>
      <w:adjustRightInd w:val="0"/>
      <w:snapToGrid w:val="0"/>
      <w:spacing w:beforeLines="50" w:afterLines="50"/>
      <w:jc w:val="center"/>
    </w:pPr>
    <w:rPr>
      <w:b/>
      <w:szCs w:val="24"/>
    </w:rPr>
  </w:style>
  <w:style w:type="paragraph" w:customStyle="1" w:styleId="374">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75">
    <w:name w:val="标题 1 字符2"/>
    <w:basedOn w:val="57"/>
    <w:qFormat/>
    <w:uiPriority w:val="0"/>
    <w:rPr>
      <w:b/>
      <w:spacing w:val="20"/>
      <w:kern w:val="44"/>
      <w:sz w:val="32"/>
    </w:rPr>
  </w:style>
  <w:style w:type="character" w:customStyle="1" w:styleId="376">
    <w:name w:val="纯文本 字符2"/>
    <w:qFormat/>
    <w:uiPriority w:val="0"/>
    <w:rPr>
      <w:rFonts w:ascii="宋体" w:hAnsi="Courier New" w:eastAsia="宋体"/>
      <w:kern w:val="2"/>
      <w:sz w:val="21"/>
      <w:lang w:val="en-US" w:eastAsia="zh-CN" w:bidi="ar-SA"/>
    </w:rPr>
  </w:style>
  <w:style w:type="paragraph" w:customStyle="1" w:styleId="377">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378">
    <w:name w:val="2"/>
    <w:qFormat/>
    <w:uiPriority w:val="0"/>
    <w:rPr>
      <w:rFonts w:ascii="Times New Roman" w:hAnsi="Times New Roman" w:eastAsia="宋体" w:cs="Times New Roman"/>
      <w:lang w:val="en-US" w:eastAsia="zh-CN" w:bidi="ar-SA"/>
    </w:rPr>
  </w:style>
  <w:style w:type="character" w:customStyle="1" w:styleId="379">
    <w:name w:val="grame"/>
    <w:basedOn w:val="57"/>
    <w:qFormat/>
    <w:uiPriority w:val="0"/>
  </w:style>
  <w:style w:type="paragraph" w:customStyle="1" w:styleId="380">
    <w:name w:val="Char31"/>
    <w:basedOn w:val="1"/>
    <w:qFormat/>
    <w:uiPriority w:val="0"/>
    <w:pPr>
      <w:tabs>
        <w:tab w:val="left" w:pos="794"/>
        <w:tab w:val="left" w:pos="1191"/>
        <w:tab w:val="left" w:pos="1588"/>
        <w:tab w:val="left" w:pos="1985"/>
      </w:tabs>
      <w:autoSpaceDE w:val="0"/>
      <w:autoSpaceDN w:val="0"/>
      <w:adjustRightInd w:val="0"/>
      <w:spacing w:before="136"/>
    </w:pPr>
    <w:rPr>
      <w:rFonts w:ascii="Tahoma" w:hAnsi="Tahoma"/>
      <w:kern w:val="0"/>
      <w:sz w:val="24"/>
      <w:lang w:val="en-GB"/>
    </w:rPr>
  </w:style>
  <w:style w:type="paragraph" w:customStyle="1" w:styleId="381">
    <w:name w:val="Char6 Char Char Char1"/>
    <w:basedOn w:val="1"/>
    <w:qFormat/>
    <w:uiPriority w:val="0"/>
    <w:pPr>
      <w:tabs>
        <w:tab w:val="left" w:pos="794"/>
        <w:tab w:val="left" w:pos="1191"/>
        <w:tab w:val="left" w:pos="1588"/>
        <w:tab w:val="left" w:pos="1985"/>
      </w:tabs>
      <w:autoSpaceDE w:val="0"/>
      <w:autoSpaceDN w:val="0"/>
      <w:adjustRightInd w:val="0"/>
      <w:spacing w:before="136"/>
    </w:pPr>
    <w:rPr>
      <w:rFonts w:ascii="Tahoma" w:hAnsi="Tahoma"/>
      <w:kern w:val="0"/>
      <w:sz w:val="24"/>
      <w:lang w:val="en-GB"/>
    </w:rPr>
  </w:style>
  <w:style w:type="character" w:customStyle="1" w:styleId="382">
    <w:name w:val="已访问的超链接1"/>
    <w:qFormat/>
    <w:uiPriority w:val="0"/>
    <w:rPr>
      <w:color w:val="800080"/>
      <w:u w:val="single"/>
    </w:rPr>
  </w:style>
  <w:style w:type="character" w:customStyle="1" w:styleId="383">
    <w:name w:val="题注 字符"/>
    <w:link w:val="16"/>
    <w:qFormat/>
    <w:uiPriority w:val="0"/>
    <w:rPr>
      <w:rFonts w:ascii="Arial" w:hAnsi="Arial" w:eastAsia="黑体" w:cs="Arial"/>
      <w:kern w:val="2"/>
    </w:rPr>
  </w:style>
  <w:style w:type="paragraph" w:customStyle="1" w:styleId="384">
    <w:name w:val="单位"/>
    <w:next w:val="54"/>
    <w:link w:val="385"/>
    <w:qFormat/>
    <w:uiPriority w:val="0"/>
    <w:pPr>
      <w:keepNext/>
      <w:adjustRightInd w:val="0"/>
      <w:snapToGrid w:val="0"/>
      <w:spacing w:line="360" w:lineRule="auto"/>
      <w:ind w:right="50" w:rightChars="50"/>
      <w:jc w:val="right"/>
    </w:pPr>
    <w:rPr>
      <w:rFonts w:ascii="Cambria" w:hAnsi="Cambria" w:eastAsia="宋体" w:cs="Times New Roman"/>
      <w:kern w:val="2"/>
      <w:sz w:val="21"/>
      <w:szCs w:val="24"/>
      <w:lang w:val="en-US" w:eastAsia="zh-CN" w:bidi="ar-SA"/>
    </w:rPr>
  </w:style>
  <w:style w:type="character" w:customStyle="1" w:styleId="385">
    <w:name w:val="单位 Char"/>
    <w:link w:val="384"/>
    <w:qFormat/>
    <w:uiPriority w:val="0"/>
    <w:rPr>
      <w:rFonts w:ascii="Cambria" w:hAnsi="Cambria"/>
      <w:kern w:val="2"/>
      <w:sz w:val="21"/>
      <w:szCs w:val="24"/>
    </w:rPr>
  </w:style>
  <w:style w:type="paragraph" w:customStyle="1" w:styleId="386">
    <w:name w:val="表中文字－ld"/>
    <w:next w:val="1"/>
    <w:qFormat/>
    <w:uiPriority w:val="0"/>
    <w:pPr>
      <w:widowControl w:val="0"/>
      <w:adjustRightInd w:val="0"/>
      <w:snapToGrid w:val="0"/>
      <w:spacing w:before="40" w:after="40"/>
      <w:jc w:val="center"/>
    </w:pPr>
    <w:rPr>
      <w:rFonts w:ascii="Cambria" w:hAnsi="Cambria" w:eastAsia="宋体" w:cs="方正综艺简体"/>
      <w:sz w:val="21"/>
      <w:szCs w:val="21"/>
      <w:lang w:val="en-US" w:eastAsia="zh-CN" w:bidi="ar-SA"/>
    </w:rPr>
  </w:style>
  <w:style w:type="paragraph" w:customStyle="1" w:styleId="387">
    <w:name w:val="正文1111"/>
    <w:basedOn w:val="1"/>
    <w:next w:val="42"/>
    <w:qFormat/>
    <w:uiPriority w:val="0"/>
    <w:pPr>
      <w:spacing w:line="360" w:lineRule="auto"/>
      <w:ind w:firstLine="200" w:firstLineChars="200"/>
    </w:pPr>
    <w:rPr>
      <w:rFonts w:ascii="Cambria" w:hAnsi="Cambria" w:cs="Cambria"/>
      <w:spacing w:val="10"/>
      <w:kern w:val="0"/>
      <w:sz w:val="24"/>
      <w:szCs w:val="24"/>
    </w:rPr>
  </w:style>
  <w:style w:type="paragraph" w:customStyle="1" w:styleId="388">
    <w:name w:val="正文文本8"/>
    <w:basedOn w:val="1"/>
    <w:qFormat/>
    <w:uiPriority w:val="0"/>
    <w:pPr>
      <w:shd w:val="clear" w:color="auto" w:fill="FFFFFF"/>
      <w:spacing w:line="461" w:lineRule="exact"/>
      <w:jc w:val="left"/>
    </w:pPr>
    <w:rPr>
      <w:rFonts w:ascii="Tahoma" w:hAnsi="Tahoma" w:eastAsia="Tahoma"/>
      <w:spacing w:val="30"/>
      <w:kern w:val="0"/>
      <w:sz w:val="23"/>
      <w:szCs w:val="23"/>
      <w:shd w:val="clear" w:color="auto" w:fill="FFFFFF"/>
    </w:rPr>
  </w:style>
  <w:style w:type="paragraph" w:customStyle="1" w:styleId="389">
    <w:name w:val="表名"/>
    <w:basedOn w:val="1"/>
    <w:link w:val="390"/>
    <w:qFormat/>
    <w:uiPriority w:val="0"/>
    <w:pPr>
      <w:spacing w:line="360" w:lineRule="auto"/>
      <w:jc w:val="center"/>
    </w:pPr>
    <w:rPr>
      <w:rFonts w:ascii="Cambria" w:hAnsi="Cambria" w:eastAsia="Calibri"/>
      <w:bCs/>
      <w:sz w:val="24"/>
      <w:szCs w:val="24"/>
    </w:rPr>
  </w:style>
  <w:style w:type="character" w:customStyle="1" w:styleId="390">
    <w:name w:val="表名 Char"/>
    <w:link w:val="389"/>
    <w:qFormat/>
    <w:uiPriority w:val="0"/>
    <w:rPr>
      <w:rFonts w:ascii="Cambria" w:hAnsi="Cambria" w:eastAsia="Calibri"/>
      <w:bCs/>
      <w:kern w:val="2"/>
      <w:sz w:val="24"/>
      <w:szCs w:val="24"/>
    </w:rPr>
  </w:style>
  <w:style w:type="paragraph" w:customStyle="1" w:styleId="391">
    <w:name w:val="表格标题"/>
    <w:basedOn w:val="1"/>
    <w:link w:val="392"/>
    <w:qFormat/>
    <w:uiPriority w:val="0"/>
    <w:pPr>
      <w:spacing w:line="360" w:lineRule="auto"/>
      <w:ind w:firstLine="454"/>
      <w:jc w:val="center"/>
    </w:pPr>
    <w:rPr>
      <w:rFonts w:ascii="Calibri" w:hAnsi="Cambria" w:eastAsia="Calibri"/>
      <w:spacing w:val="5"/>
      <w:sz w:val="24"/>
    </w:rPr>
  </w:style>
  <w:style w:type="character" w:customStyle="1" w:styleId="392">
    <w:name w:val="表格标题 Char"/>
    <w:link w:val="391"/>
    <w:qFormat/>
    <w:uiPriority w:val="0"/>
    <w:rPr>
      <w:rFonts w:ascii="Calibri" w:hAnsi="Cambria" w:eastAsia="Calibri"/>
      <w:spacing w:val="5"/>
      <w:kern w:val="2"/>
      <w:sz w:val="24"/>
    </w:rPr>
  </w:style>
  <w:style w:type="paragraph" w:customStyle="1" w:styleId="393">
    <w:name w:val="报告正文"/>
    <w:basedOn w:val="54"/>
    <w:link w:val="394"/>
    <w:qFormat/>
    <w:uiPriority w:val="0"/>
    <w:pPr>
      <w:widowControl w:val="0"/>
      <w:spacing w:line="360" w:lineRule="auto"/>
      <w:jc w:val="both"/>
    </w:pPr>
    <w:rPr>
      <w:rFonts w:ascii="Cambria" w:hAnsi="Cambria"/>
      <w:spacing w:val="4"/>
      <w:sz w:val="24"/>
      <w:szCs w:val="20"/>
    </w:rPr>
  </w:style>
  <w:style w:type="character" w:customStyle="1" w:styleId="394">
    <w:name w:val="报告正文 Char"/>
    <w:link w:val="393"/>
    <w:qFormat/>
    <w:uiPriority w:val="0"/>
    <w:rPr>
      <w:rFonts w:ascii="Cambria" w:hAnsi="Cambria"/>
      <w:spacing w:val="4"/>
      <w:kern w:val="2"/>
      <w:sz w:val="24"/>
    </w:rPr>
  </w:style>
  <w:style w:type="paragraph" w:customStyle="1" w:styleId="395">
    <w:name w:val="无间隔1"/>
    <w:qFormat/>
    <w:uiPriority w:val="0"/>
    <w:pPr>
      <w:widowControl w:val="0"/>
      <w:snapToGrid w:val="0"/>
      <w:jc w:val="both"/>
    </w:pPr>
    <w:rPr>
      <w:rFonts w:ascii="MSung Light SC" w:hAnsi="MSung Light SC" w:eastAsia="宋体" w:cs="Cambria"/>
      <w:color w:val="000000"/>
      <w:kern w:val="2"/>
      <w:sz w:val="21"/>
      <w:szCs w:val="21"/>
      <w:lang w:val="en-US" w:eastAsia="zh-CN" w:bidi="ar-SA"/>
    </w:rPr>
  </w:style>
  <w:style w:type="paragraph" w:customStyle="1" w:styleId="396">
    <w:name w:val="p2"/>
    <w:basedOn w:val="1"/>
    <w:qFormat/>
    <w:uiPriority w:val="0"/>
    <w:pPr>
      <w:widowControl/>
      <w:spacing w:line="480" w:lineRule="auto"/>
      <w:ind w:firstLine="420"/>
      <w:jc w:val="left"/>
    </w:pPr>
    <w:rPr>
      <w:rFonts w:ascii="宋体" w:hAnsi="宋体" w:cs="宋体"/>
      <w:kern w:val="0"/>
      <w:szCs w:val="21"/>
    </w:rPr>
  </w:style>
  <w:style w:type="character" w:customStyle="1" w:styleId="397">
    <w:name w:val="ca-11"/>
    <w:qFormat/>
    <w:uiPriority w:val="0"/>
    <w:rPr>
      <w:rFonts w:hint="default" w:ascii="Times New Roman" w:hAnsi="Times New Roman" w:cs="Times New Roman"/>
      <w:sz w:val="28"/>
      <w:szCs w:val="28"/>
    </w:rPr>
  </w:style>
  <w:style w:type="character" w:customStyle="1" w:styleId="398">
    <w:name w:val="已访问的超链接2"/>
    <w:qFormat/>
    <w:uiPriority w:val="0"/>
    <w:rPr>
      <w:rFonts w:ascii="Arial" w:hAnsi="Arial" w:eastAsia="黑体"/>
      <w:color w:val="800080"/>
      <w:kern w:val="2"/>
      <w:sz w:val="21"/>
      <w:szCs w:val="21"/>
      <w:u w:val="single"/>
      <w:lang w:val="en-US" w:eastAsia="zh-CN" w:bidi="ar-SA"/>
    </w:rPr>
  </w:style>
  <w:style w:type="paragraph" w:customStyle="1" w:styleId="399">
    <w:name w:val="日期1"/>
    <w:basedOn w:val="244"/>
    <w:next w:val="244"/>
    <w:link w:val="400"/>
    <w:qFormat/>
    <w:uiPriority w:val="0"/>
    <w:pPr>
      <w:widowControl w:val="0"/>
      <w:ind w:left="100" w:leftChars="2500"/>
    </w:pPr>
    <w:rPr>
      <w:szCs w:val="24"/>
      <w:lang w:val="zh-CN"/>
    </w:rPr>
  </w:style>
  <w:style w:type="character" w:customStyle="1" w:styleId="400">
    <w:name w:val="日期 Char_0"/>
    <w:link w:val="399"/>
    <w:qFormat/>
    <w:uiPriority w:val="0"/>
    <w:rPr>
      <w:kern w:val="2"/>
      <w:sz w:val="21"/>
      <w:szCs w:val="24"/>
      <w:lang w:val="zh-CN"/>
    </w:rPr>
  </w:style>
  <w:style w:type="paragraph" w:customStyle="1" w:styleId="401">
    <w:name w:val="cjk"/>
    <w:basedOn w:val="1"/>
    <w:qFormat/>
    <w:uiPriority w:val="0"/>
    <w:pPr>
      <w:widowControl/>
      <w:spacing w:before="100" w:beforeAutospacing="1" w:after="142"/>
    </w:pPr>
    <w:rPr>
      <w:rFonts w:ascii="宋体" w:hAnsi="宋体" w:cs="宋体"/>
      <w:color w:val="000000"/>
      <w:kern w:val="0"/>
      <w:sz w:val="20"/>
    </w:rPr>
  </w:style>
  <w:style w:type="paragraph" w:customStyle="1" w:styleId="402">
    <w:name w:val="paragraph"/>
    <w:basedOn w:val="1"/>
    <w:semiHidden/>
    <w:qFormat/>
    <w:uiPriority w:val="0"/>
    <w:pPr>
      <w:widowControl/>
      <w:spacing w:before="100" w:beforeAutospacing="1" w:after="100" w:afterAutospacing="1"/>
      <w:jc w:val="left"/>
    </w:pPr>
    <w:rPr>
      <w:rFonts w:ascii="等线" w:hAnsi="宋体" w:eastAsia="等线"/>
      <w:kern w:val="0"/>
      <w:sz w:val="24"/>
      <w:szCs w:val="24"/>
    </w:rPr>
  </w:style>
  <w:style w:type="character" w:customStyle="1" w:styleId="403">
    <w:name w:val="未处理的提及4"/>
    <w:basedOn w:val="5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E969F-F02D-4E57-932F-97EA4045111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60</Pages>
  <Words>16432</Words>
  <Characters>18174</Characters>
  <Lines>1215</Lines>
  <Paragraphs>1381</Paragraphs>
  <TotalTime>6</TotalTime>
  <ScaleCrop>false</ScaleCrop>
  <LinksUpToDate>false</LinksUpToDate>
  <CharactersWithSpaces>19673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2024-06-25T08:52:00Z</dcterms:created>
  <dc:creator>云南铭漾</dc:creator>
  <cp:lastModifiedBy>云南铭漾工程技术咨询有限公司</cp:lastModifiedBy>
  <cp:lastPrinted>2023-05-02T02:44:00Z</cp:lastPrinted>
  <dcterms:modified xsi:type="dcterms:W3CDTF">2026-06-05T08:35:17Z</dcterms:modified>
  <dc:title>安宁市公共就业和人才服务中心</dc:title>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FA8F4484C0A4F5BC547A226AFAB74197_43</vt:lpwstr>
  </property>
  <property fmtid="{D5CDD505-2E9C-101B-9397-08002B2CF9AE}" pid="4" name="KSOTemplateDocerSaveRecord">
    <vt:lpwstr>eyJoZGlkIjoiMTEyYzdmMTcwMDBmZWQyMTIwZTU0OWExYWRjNjFlZWUiLCJ1c2VySWQiOiIxNzA4OTU2ODYwIn0=</vt:lpwstr>
  </property>
</Properties>
</file>