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FEF7">
      <w:pPr>
        <w:pStyle w:val="24"/>
        <w:jc w:val="center"/>
        <w:rPr>
          <w:rFonts w:hint="eastAsia" w:ascii="宋体" w:hAnsi="宋体" w:eastAsia="宋体" w:cs="宋体"/>
          <w:color w:val="auto"/>
          <w:sz w:val="44"/>
          <w:szCs w:val="48"/>
          <w:highlight w:val="none"/>
        </w:rPr>
      </w:pPr>
    </w:p>
    <w:p w14:paraId="22FB1E8D">
      <w:pPr>
        <w:pStyle w:val="11"/>
        <w:spacing w:line="600" w:lineRule="auto"/>
        <w:jc w:val="center"/>
        <w:rPr>
          <w:rFonts w:hint="eastAsia" w:ascii="宋体" w:hAnsi="宋体" w:eastAsia="宋体" w:cs="宋体"/>
          <w:b/>
          <w:color w:val="auto"/>
          <w:sz w:val="48"/>
          <w:szCs w:val="36"/>
          <w:highlight w:val="none"/>
          <w:lang w:eastAsia="zh-CN"/>
        </w:rPr>
      </w:pPr>
      <w:r>
        <w:rPr>
          <w:rFonts w:hint="eastAsia" w:ascii="宋体" w:hAnsi="宋体" w:eastAsia="宋体" w:cs="宋体"/>
          <w:b/>
          <w:color w:val="auto"/>
          <w:sz w:val="48"/>
          <w:szCs w:val="36"/>
          <w:highlight w:val="none"/>
          <w:lang w:eastAsia="zh-CN"/>
        </w:rPr>
        <w:t>长治市疾病预防控制中心（长治市卫生监督所）监测检验设备采购项目</w:t>
      </w:r>
    </w:p>
    <w:p w14:paraId="16CFD261">
      <w:pPr>
        <w:pStyle w:val="24"/>
        <w:rPr>
          <w:rFonts w:hint="eastAsia" w:ascii="宋体" w:hAnsi="宋体" w:eastAsia="宋体" w:cs="宋体"/>
          <w:color w:val="auto"/>
          <w:highlight w:val="none"/>
        </w:rPr>
      </w:pPr>
    </w:p>
    <w:p w14:paraId="3DC68DD5">
      <w:pPr>
        <w:rPr>
          <w:rFonts w:hint="eastAsia" w:ascii="宋体" w:hAnsi="宋体" w:eastAsia="宋体" w:cs="宋体"/>
          <w:color w:val="auto"/>
          <w:highlight w:val="none"/>
        </w:rPr>
      </w:pPr>
    </w:p>
    <w:p w14:paraId="053BFFDF">
      <w:pPr>
        <w:pStyle w:val="24"/>
        <w:rPr>
          <w:rFonts w:hint="eastAsia" w:ascii="宋体" w:hAnsi="宋体" w:eastAsia="宋体" w:cs="宋体"/>
          <w:color w:val="auto"/>
          <w:highlight w:val="none"/>
        </w:rPr>
      </w:pPr>
    </w:p>
    <w:p w14:paraId="5E07939F">
      <w:pPr>
        <w:jc w:val="center"/>
        <w:rPr>
          <w:rFonts w:hint="eastAsia" w:ascii="宋体" w:hAnsi="宋体" w:eastAsia="宋体" w:cs="宋体"/>
          <w:b/>
          <w:color w:val="auto"/>
          <w:sz w:val="32"/>
          <w:szCs w:val="48"/>
          <w:highlight w:val="none"/>
          <w:lang w:eastAsia="zh-CN"/>
        </w:rPr>
      </w:pPr>
      <w:r>
        <w:rPr>
          <w:rFonts w:hint="eastAsia" w:ascii="宋体" w:hAnsi="宋体" w:eastAsia="宋体" w:cs="宋体"/>
          <w:b/>
          <w:color w:val="auto"/>
          <w:sz w:val="32"/>
          <w:szCs w:val="48"/>
          <w:highlight w:val="none"/>
        </w:rPr>
        <w:t>项目编号：1404992026AGK00195</w:t>
      </w:r>
    </w:p>
    <w:p w14:paraId="69D3B92B">
      <w:pPr>
        <w:jc w:val="center"/>
        <w:rPr>
          <w:rFonts w:hint="eastAsia" w:ascii="宋体" w:hAnsi="宋体" w:eastAsia="宋体" w:cs="宋体"/>
          <w:b/>
          <w:color w:val="auto"/>
          <w:sz w:val="32"/>
          <w:szCs w:val="48"/>
          <w:highlight w:val="none"/>
        </w:rPr>
      </w:pPr>
    </w:p>
    <w:p w14:paraId="7A73986F">
      <w:pPr>
        <w:pStyle w:val="24"/>
        <w:rPr>
          <w:rFonts w:hint="eastAsia" w:ascii="宋体" w:hAnsi="宋体" w:eastAsia="宋体" w:cs="宋体"/>
          <w:color w:val="auto"/>
          <w:highlight w:val="none"/>
        </w:rPr>
      </w:pPr>
    </w:p>
    <w:p w14:paraId="3FABD728">
      <w:pPr>
        <w:pStyle w:val="24"/>
        <w:rPr>
          <w:rFonts w:hint="eastAsia" w:ascii="宋体" w:hAnsi="宋体" w:eastAsia="宋体" w:cs="宋体"/>
          <w:color w:val="auto"/>
          <w:highlight w:val="none"/>
        </w:rPr>
      </w:pPr>
    </w:p>
    <w:p w14:paraId="3E69E4AF">
      <w:pPr>
        <w:pStyle w:val="24"/>
        <w:rPr>
          <w:rFonts w:hint="eastAsia" w:ascii="宋体" w:hAnsi="宋体" w:eastAsia="宋体" w:cs="宋体"/>
          <w:color w:val="auto"/>
          <w:highlight w:val="none"/>
        </w:rPr>
      </w:pPr>
    </w:p>
    <w:p w14:paraId="7F76EE87">
      <w:pPr>
        <w:rPr>
          <w:rFonts w:hint="eastAsia" w:ascii="宋体" w:hAnsi="宋体" w:eastAsia="宋体" w:cs="宋体"/>
          <w:color w:val="auto"/>
          <w:highlight w:val="none"/>
        </w:rPr>
      </w:pPr>
    </w:p>
    <w:p w14:paraId="10A9B2E6">
      <w:pPr>
        <w:pStyle w:val="36"/>
        <w:ind w:firstLine="210"/>
        <w:rPr>
          <w:rFonts w:hint="eastAsia" w:ascii="宋体" w:hAnsi="宋体" w:eastAsia="宋体" w:cs="宋体"/>
          <w:color w:val="auto"/>
          <w:highlight w:val="none"/>
        </w:rPr>
      </w:pPr>
    </w:p>
    <w:p w14:paraId="5940CCC9">
      <w:pPr>
        <w:pStyle w:val="37"/>
        <w:rPr>
          <w:rFonts w:hint="eastAsia" w:ascii="宋体" w:hAnsi="宋体" w:eastAsia="宋体" w:cs="宋体"/>
          <w:color w:val="auto"/>
          <w:highlight w:val="none"/>
        </w:rPr>
      </w:pPr>
    </w:p>
    <w:p w14:paraId="25FD33CE">
      <w:pPr>
        <w:pStyle w:val="24"/>
        <w:rPr>
          <w:rFonts w:hint="eastAsia" w:ascii="宋体" w:hAnsi="宋体" w:eastAsia="宋体" w:cs="宋体"/>
          <w:color w:val="auto"/>
          <w:highlight w:val="none"/>
        </w:rPr>
      </w:pPr>
    </w:p>
    <w:p w14:paraId="7DB9382E">
      <w:pPr>
        <w:jc w:val="center"/>
        <w:rPr>
          <w:rFonts w:hint="eastAsia" w:ascii="宋体" w:hAnsi="宋体" w:eastAsia="宋体" w:cs="宋体"/>
          <w:color w:val="auto"/>
          <w:sz w:val="100"/>
          <w:szCs w:val="100"/>
          <w:highlight w:val="none"/>
        </w:rPr>
      </w:pPr>
      <w:r>
        <w:rPr>
          <w:rFonts w:hint="eastAsia" w:ascii="宋体" w:hAnsi="宋体" w:eastAsia="宋体" w:cs="宋体"/>
          <w:color w:val="auto"/>
          <w:sz w:val="100"/>
          <w:szCs w:val="100"/>
          <w:highlight w:val="none"/>
        </w:rPr>
        <w:t xml:space="preserve">招 标 文 件  </w:t>
      </w:r>
    </w:p>
    <w:p w14:paraId="45AD2E74">
      <w:pPr>
        <w:jc w:val="center"/>
        <w:rPr>
          <w:rFonts w:hint="eastAsia" w:ascii="宋体" w:hAnsi="宋体" w:eastAsia="宋体" w:cs="宋体"/>
          <w:b/>
          <w:color w:val="auto"/>
          <w:sz w:val="32"/>
          <w:szCs w:val="48"/>
          <w:highlight w:val="none"/>
        </w:rPr>
      </w:pPr>
    </w:p>
    <w:p w14:paraId="1FDBE7CB">
      <w:pPr>
        <w:jc w:val="center"/>
        <w:rPr>
          <w:rFonts w:hint="eastAsia" w:ascii="宋体" w:hAnsi="宋体" w:eastAsia="宋体" w:cs="宋体"/>
          <w:b/>
          <w:color w:val="auto"/>
          <w:sz w:val="32"/>
          <w:szCs w:val="48"/>
          <w:highlight w:val="none"/>
        </w:rPr>
      </w:pPr>
    </w:p>
    <w:p w14:paraId="52580D71">
      <w:pPr>
        <w:rPr>
          <w:rFonts w:hint="eastAsia" w:ascii="宋体" w:hAnsi="宋体" w:eastAsia="宋体" w:cs="宋体"/>
          <w:b/>
          <w:color w:val="auto"/>
          <w:sz w:val="32"/>
          <w:szCs w:val="36"/>
          <w:highlight w:val="none"/>
        </w:rPr>
      </w:pPr>
    </w:p>
    <w:p w14:paraId="170898D2">
      <w:pPr>
        <w:pStyle w:val="24"/>
        <w:rPr>
          <w:rFonts w:hint="eastAsia" w:ascii="宋体" w:hAnsi="宋体" w:eastAsia="宋体" w:cs="宋体"/>
          <w:b/>
          <w:color w:val="auto"/>
          <w:sz w:val="32"/>
          <w:szCs w:val="36"/>
          <w:highlight w:val="none"/>
        </w:rPr>
      </w:pPr>
    </w:p>
    <w:p w14:paraId="3FDB71ED">
      <w:pPr>
        <w:rPr>
          <w:rFonts w:hint="eastAsia" w:ascii="宋体" w:hAnsi="宋体" w:eastAsia="宋体" w:cs="宋体"/>
          <w:color w:val="auto"/>
          <w:highlight w:val="none"/>
        </w:rPr>
      </w:pPr>
    </w:p>
    <w:p w14:paraId="60AE6F6E">
      <w:pPr>
        <w:rPr>
          <w:rFonts w:hint="eastAsia" w:ascii="宋体" w:hAnsi="宋体" w:eastAsia="宋体" w:cs="宋体"/>
          <w:b/>
          <w:color w:val="auto"/>
          <w:sz w:val="32"/>
          <w:szCs w:val="36"/>
          <w:highlight w:val="none"/>
        </w:rPr>
      </w:pPr>
    </w:p>
    <w:p w14:paraId="1EF5C31A">
      <w:pPr>
        <w:pStyle w:val="24"/>
        <w:rPr>
          <w:rFonts w:hint="eastAsia" w:ascii="宋体" w:hAnsi="宋体" w:eastAsia="宋体" w:cs="宋体"/>
          <w:b/>
          <w:color w:val="auto"/>
          <w:sz w:val="32"/>
          <w:szCs w:val="36"/>
          <w:highlight w:val="none"/>
        </w:rPr>
      </w:pPr>
    </w:p>
    <w:p w14:paraId="554A84C0">
      <w:pPr>
        <w:ind w:firstLine="630" w:firstLineChars="196"/>
        <w:rPr>
          <w:rFonts w:hint="eastAsia" w:ascii="宋体" w:hAnsi="宋体" w:eastAsia="宋体" w:cs="宋体"/>
          <w:b/>
          <w:color w:val="auto"/>
          <w:sz w:val="32"/>
          <w:szCs w:val="36"/>
          <w:highlight w:val="none"/>
          <w:lang w:eastAsia="zh-CN"/>
        </w:rPr>
      </w:pPr>
      <w:r>
        <w:rPr>
          <w:rFonts w:hint="eastAsia" w:ascii="宋体" w:hAnsi="宋体" w:eastAsia="宋体" w:cs="宋体"/>
          <w:b/>
          <w:color w:val="auto"/>
          <w:sz w:val="32"/>
          <w:szCs w:val="36"/>
          <w:highlight w:val="none"/>
        </w:rPr>
        <w:t>采购人：</w:t>
      </w:r>
      <w:r>
        <w:rPr>
          <w:rFonts w:hint="eastAsia" w:ascii="宋体" w:hAnsi="宋体" w:eastAsia="宋体" w:cs="宋体"/>
          <w:b/>
          <w:color w:val="auto"/>
          <w:sz w:val="32"/>
          <w:szCs w:val="36"/>
          <w:highlight w:val="none"/>
          <w:lang w:eastAsia="zh-CN"/>
        </w:rPr>
        <w:t>长治市疾病预防控制中心（长治市卫生监督所）</w:t>
      </w:r>
    </w:p>
    <w:p w14:paraId="26D39E75">
      <w:pPr>
        <w:ind w:firstLine="630" w:firstLineChars="196"/>
        <w:rPr>
          <w:rFonts w:hint="eastAsia" w:ascii="宋体" w:hAnsi="宋体" w:eastAsia="宋体" w:cs="宋体"/>
          <w:b/>
          <w:color w:val="auto"/>
          <w:sz w:val="32"/>
          <w:szCs w:val="36"/>
          <w:highlight w:val="none"/>
        </w:rPr>
      </w:pPr>
      <w:r>
        <w:rPr>
          <w:rFonts w:hint="eastAsia" w:ascii="宋体" w:hAnsi="宋体" w:eastAsia="宋体" w:cs="宋体"/>
          <w:b/>
          <w:color w:val="auto"/>
          <w:sz w:val="32"/>
          <w:szCs w:val="36"/>
          <w:highlight w:val="none"/>
        </w:rPr>
        <w:t>代理机构：山西德成项目管理有限公司</w:t>
      </w:r>
    </w:p>
    <w:p w14:paraId="1F72A6C7">
      <w:pPr>
        <w:ind w:firstLine="606" w:firstLineChars="196"/>
        <w:rPr>
          <w:rFonts w:hint="eastAsia" w:ascii="宋体" w:hAnsi="宋体" w:eastAsia="宋体" w:cs="宋体"/>
          <w:b/>
          <w:color w:val="auto"/>
          <w:sz w:val="32"/>
          <w:szCs w:val="36"/>
          <w:highlight w:val="none"/>
        </w:rPr>
      </w:pPr>
      <w:r>
        <w:rPr>
          <w:rFonts w:hint="eastAsia" w:ascii="宋体" w:hAnsi="宋体" w:eastAsia="宋体" w:cs="宋体"/>
          <w:b/>
          <w:bCs/>
          <w:color w:val="auto"/>
          <w:spacing w:val="-6"/>
          <w:sz w:val="32"/>
          <w:szCs w:val="32"/>
          <w:highlight w:val="none"/>
        </w:rPr>
        <w:t>日     期：二○二</w:t>
      </w:r>
      <w:r>
        <w:rPr>
          <w:rFonts w:hint="eastAsia" w:ascii="宋体" w:hAnsi="宋体" w:eastAsia="宋体" w:cs="宋体"/>
          <w:b/>
          <w:bCs/>
          <w:color w:val="auto"/>
          <w:spacing w:val="-6"/>
          <w:sz w:val="32"/>
          <w:szCs w:val="32"/>
          <w:highlight w:val="none"/>
          <w:lang w:val="en-US" w:eastAsia="zh-CN"/>
        </w:rPr>
        <w:t>六</w:t>
      </w:r>
      <w:r>
        <w:rPr>
          <w:rFonts w:hint="eastAsia" w:ascii="宋体" w:hAnsi="宋体" w:eastAsia="宋体" w:cs="宋体"/>
          <w:b/>
          <w:bCs/>
          <w:color w:val="auto"/>
          <w:spacing w:val="-6"/>
          <w:sz w:val="32"/>
          <w:szCs w:val="32"/>
          <w:highlight w:val="none"/>
        </w:rPr>
        <w:t>年</w:t>
      </w:r>
      <w:r>
        <w:rPr>
          <w:rFonts w:hint="eastAsia" w:ascii="宋体" w:hAnsi="宋体" w:eastAsia="宋体" w:cs="宋体"/>
          <w:b/>
          <w:bCs/>
          <w:color w:val="auto"/>
          <w:spacing w:val="-6"/>
          <w:sz w:val="32"/>
          <w:szCs w:val="32"/>
          <w:highlight w:val="none"/>
          <w:lang w:val="en-US" w:eastAsia="zh-CN"/>
        </w:rPr>
        <w:t>六</w:t>
      </w:r>
      <w:r>
        <w:rPr>
          <w:rFonts w:hint="eastAsia" w:ascii="宋体" w:hAnsi="宋体" w:eastAsia="宋体" w:cs="宋体"/>
          <w:b/>
          <w:color w:val="auto"/>
          <w:sz w:val="32"/>
          <w:szCs w:val="36"/>
          <w:highlight w:val="none"/>
        </w:rPr>
        <w:t>月</w:t>
      </w:r>
    </w:p>
    <w:p w14:paraId="0C74E395">
      <w:pPr>
        <w:rPr>
          <w:rFonts w:hint="eastAsia" w:ascii="宋体" w:hAnsi="宋体" w:eastAsia="宋体" w:cs="宋体"/>
          <w:b/>
          <w:bCs/>
          <w:color w:val="auto"/>
          <w:sz w:val="36"/>
          <w:szCs w:val="36"/>
          <w:highlight w:val="none"/>
        </w:rPr>
      </w:pPr>
    </w:p>
    <w:p w14:paraId="7B4B82F2">
      <w:pPr>
        <w:pStyle w:val="24"/>
        <w:rPr>
          <w:rFonts w:hint="eastAsia" w:ascii="宋体" w:hAnsi="宋体" w:eastAsia="宋体" w:cs="宋体"/>
          <w:color w:val="auto"/>
          <w:highlight w:val="none"/>
        </w:rPr>
      </w:pPr>
    </w:p>
    <w:p w14:paraId="1AEB8A7B">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28"/>
          <w:szCs w:val="28"/>
          <w:highlight w:val="none"/>
        </w:rPr>
        <w:t>目 录</w:t>
      </w:r>
    </w:p>
    <w:p w14:paraId="592C613B">
      <w:pPr>
        <w:pStyle w:val="109"/>
        <w:tabs>
          <w:tab w:val="right" w:leader="dot" w:pos="9070"/>
        </w:tabs>
        <w:rPr>
          <w:rFonts w:hint="eastAsia" w:ascii="宋体" w:hAnsi="宋体" w:eastAsia="宋体" w:cs="宋体"/>
          <w:color w:val="auto"/>
          <w:highlight w:val="none"/>
        </w:rPr>
      </w:pPr>
    </w:p>
    <w:sdt>
      <w:sdtPr>
        <w:rPr>
          <w:rFonts w:hint="eastAsia" w:ascii="宋体" w:hAnsi="宋体" w:eastAsia="宋体" w:cs="宋体"/>
          <w:color w:val="auto"/>
          <w:highlight w:val="none"/>
        </w:rPr>
        <w:id w:val="147456469"/>
        <w:docPartObj>
          <w:docPartGallery w:val="Table of Contents"/>
          <w:docPartUnique/>
        </w:docPartObj>
      </w:sdtPr>
      <w:sdtEndPr>
        <w:rPr>
          <w:rFonts w:hint="eastAsia" w:ascii="宋体" w:hAnsi="宋体" w:eastAsia="宋体" w:cs="宋体"/>
          <w:bCs/>
          <w:color w:val="auto"/>
          <w:kern w:val="0"/>
          <w:szCs w:val="36"/>
          <w:highlight w:val="none"/>
          <w:lang w:val="zh-CN"/>
        </w:rPr>
      </w:sdtEndPr>
      <w:sdtContent>
        <w:p w14:paraId="169AF864">
          <w:pPr>
            <w:jc w:val="center"/>
            <w:rPr>
              <w:rFonts w:hint="eastAsia" w:ascii="宋体" w:hAnsi="宋体" w:eastAsia="宋体" w:cs="宋体"/>
              <w:color w:val="auto"/>
              <w:highlight w:val="none"/>
            </w:rPr>
          </w:pPr>
        </w:p>
        <w:p w14:paraId="5237D3A4">
          <w:pPr>
            <w:pStyle w:val="109"/>
            <w:tabs>
              <w:tab w:val="right" w:leader="dot" w:pos="9070"/>
            </w:tabs>
            <w:spacing w:line="480" w:lineRule="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zh-CN"/>
            </w:rPr>
            <w:fldChar w:fldCharType="begin"/>
          </w:r>
          <w:r>
            <w:rPr>
              <w:rFonts w:hint="eastAsia" w:ascii="宋体" w:hAnsi="宋体" w:eastAsia="宋体" w:cs="宋体"/>
              <w:b/>
              <w:bCs/>
              <w:color w:val="auto"/>
              <w:sz w:val="30"/>
              <w:szCs w:val="30"/>
              <w:highlight w:val="none"/>
              <w:lang w:val="zh-CN"/>
            </w:rPr>
            <w:instrText xml:space="preserve">TOC \o "1-1" \h \u </w:instrText>
          </w:r>
          <w:r>
            <w:rPr>
              <w:rFonts w:hint="eastAsia" w:ascii="宋体" w:hAnsi="宋体" w:eastAsia="宋体" w:cs="宋体"/>
              <w:b/>
              <w:bCs/>
              <w:color w:val="auto"/>
              <w:sz w:val="30"/>
              <w:szCs w:val="30"/>
              <w:highlight w:val="none"/>
              <w:lang w:val="zh-CN"/>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"_Toc24438"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第一部分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_Toc24438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BF2713">
          <w:pPr>
            <w:pStyle w:val="109"/>
            <w:tabs>
              <w:tab w:val="right" w:leader="dot" w:pos="907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"_Toc3923"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第二部分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p>
        <w:p w14:paraId="3A4ADE57">
          <w:pPr>
            <w:pStyle w:val="109"/>
            <w:tabs>
              <w:tab w:val="right" w:leader="dot" w:pos="907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"_Toc24942"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第三部分  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4092A9">
          <w:pPr>
            <w:pStyle w:val="109"/>
            <w:tabs>
              <w:tab w:val="right" w:leader="dot" w:pos="907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"_Toc18995"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第四部分  商务及技术要求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73C2D">
          <w:pPr>
            <w:pStyle w:val="109"/>
            <w:tabs>
              <w:tab w:val="right" w:leader="dot" w:pos="907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"_Toc27271"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第五部分  政府采购合同（范本）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_Toc27271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DC81EF">
          <w:pPr>
            <w:pStyle w:val="109"/>
            <w:tabs>
              <w:tab w:val="right" w:leader="dot" w:pos="9070"/>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"_Toc20139"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第六部分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_Toc20139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7183C4">
          <w:pPr>
            <w:spacing w:line="480" w:lineRule="auto"/>
            <w:rPr>
              <w:rFonts w:hint="eastAsia" w:ascii="宋体" w:hAnsi="宋体" w:eastAsia="宋体" w:cs="宋体"/>
              <w:b/>
              <w:bCs/>
              <w:color w:val="auto"/>
              <w:kern w:val="0"/>
              <w:sz w:val="36"/>
              <w:szCs w:val="36"/>
              <w:highlight w:val="none"/>
              <w:lang w:val="zh-CN"/>
            </w:rPr>
          </w:pPr>
          <w:r>
            <w:rPr>
              <w:rFonts w:hint="eastAsia" w:ascii="宋体" w:hAnsi="宋体" w:eastAsia="宋体" w:cs="宋体"/>
              <w:bCs/>
              <w:color w:val="auto"/>
              <w:kern w:val="0"/>
              <w:sz w:val="30"/>
              <w:szCs w:val="30"/>
              <w:highlight w:val="none"/>
              <w:lang w:val="zh-CN"/>
            </w:rPr>
            <w:fldChar w:fldCharType="end"/>
          </w:r>
        </w:p>
      </w:sdtContent>
    </w:sdt>
    <w:p w14:paraId="07D8DD29">
      <w:pPr>
        <w:rPr>
          <w:rFonts w:hint="eastAsia" w:ascii="宋体" w:hAnsi="宋体" w:eastAsia="宋体" w:cs="宋体"/>
          <w:b/>
          <w:bCs/>
          <w:color w:val="auto"/>
          <w:kern w:val="0"/>
          <w:sz w:val="36"/>
          <w:szCs w:val="36"/>
          <w:highlight w:val="none"/>
          <w:lang w:val="zh-CN"/>
        </w:rPr>
      </w:pPr>
    </w:p>
    <w:p w14:paraId="25A91130">
      <w:pPr>
        <w:rPr>
          <w:rFonts w:hint="eastAsia" w:ascii="宋体" w:hAnsi="宋体" w:eastAsia="宋体" w:cs="宋体"/>
          <w:b/>
          <w:bCs/>
          <w:color w:val="auto"/>
          <w:kern w:val="0"/>
          <w:sz w:val="36"/>
          <w:szCs w:val="36"/>
          <w:highlight w:val="none"/>
          <w:lang w:val="zh-CN"/>
        </w:rPr>
      </w:pPr>
    </w:p>
    <w:p w14:paraId="6205271E">
      <w:pPr>
        <w:rPr>
          <w:rFonts w:hint="eastAsia" w:ascii="宋体" w:hAnsi="宋体" w:eastAsia="宋体" w:cs="宋体"/>
          <w:b/>
          <w:bCs/>
          <w:color w:val="auto"/>
          <w:kern w:val="0"/>
          <w:sz w:val="36"/>
          <w:szCs w:val="36"/>
          <w:highlight w:val="none"/>
          <w:lang w:val="zh-CN"/>
        </w:rPr>
      </w:pPr>
      <w:bookmarkStart w:id="55" w:name="_GoBack"/>
      <w:bookmarkEnd w:id="55"/>
    </w:p>
    <w:p w14:paraId="7ABA8B14">
      <w:pPr>
        <w:rPr>
          <w:rFonts w:hint="eastAsia" w:ascii="宋体" w:hAnsi="宋体" w:eastAsia="宋体" w:cs="宋体"/>
          <w:b/>
          <w:bCs/>
          <w:color w:val="auto"/>
          <w:kern w:val="0"/>
          <w:sz w:val="36"/>
          <w:szCs w:val="36"/>
          <w:highlight w:val="none"/>
          <w:lang w:val="zh-CN"/>
        </w:rPr>
      </w:pPr>
    </w:p>
    <w:p w14:paraId="61766EA8">
      <w:pPr>
        <w:rPr>
          <w:rFonts w:hint="eastAsia" w:ascii="宋体" w:hAnsi="宋体" w:eastAsia="宋体" w:cs="宋体"/>
          <w:b/>
          <w:bCs/>
          <w:color w:val="auto"/>
          <w:kern w:val="0"/>
          <w:sz w:val="36"/>
          <w:szCs w:val="36"/>
          <w:highlight w:val="none"/>
          <w:lang w:val="zh-CN"/>
        </w:rPr>
      </w:pPr>
    </w:p>
    <w:p w14:paraId="17800E8E">
      <w:pPr>
        <w:rPr>
          <w:rFonts w:hint="eastAsia" w:ascii="宋体" w:hAnsi="宋体" w:eastAsia="宋体" w:cs="宋体"/>
          <w:b/>
          <w:bCs/>
          <w:color w:val="auto"/>
          <w:kern w:val="0"/>
          <w:sz w:val="36"/>
          <w:szCs w:val="36"/>
          <w:highlight w:val="none"/>
          <w:lang w:val="zh-CN"/>
        </w:rPr>
      </w:pPr>
    </w:p>
    <w:p w14:paraId="26BB2A2A">
      <w:pPr>
        <w:rPr>
          <w:rFonts w:hint="eastAsia" w:ascii="宋体" w:hAnsi="宋体" w:eastAsia="宋体" w:cs="宋体"/>
          <w:b/>
          <w:bCs/>
          <w:color w:val="auto"/>
          <w:kern w:val="0"/>
          <w:sz w:val="36"/>
          <w:szCs w:val="36"/>
          <w:highlight w:val="none"/>
          <w:lang w:val="zh-CN"/>
        </w:rPr>
      </w:pPr>
    </w:p>
    <w:p w14:paraId="754D5928">
      <w:pPr>
        <w:rPr>
          <w:rFonts w:hint="eastAsia" w:ascii="宋体" w:hAnsi="宋体" w:eastAsia="宋体" w:cs="宋体"/>
          <w:b/>
          <w:bCs/>
          <w:color w:val="auto"/>
          <w:kern w:val="0"/>
          <w:sz w:val="36"/>
          <w:szCs w:val="36"/>
          <w:highlight w:val="none"/>
          <w:lang w:val="zh-CN"/>
        </w:rPr>
      </w:pPr>
    </w:p>
    <w:p w14:paraId="336253CF">
      <w:pPr>
        <w:rPr>
          <w:rFonts w:hint="eastAsia" w:ascii="宋体" w:hAnsi="宋体" w:eastAsia="宋体" w:cs="宋体"/>
          <w:b/>
          <w:bCs/>
          <w:color w:val="auto"/>
          <w:kern w:val="0"/>
          <w:sz w:val="36"/>
          <w:szCs w:val="36"/>
          <w:highlight w:val="none"/>
          <w:lang w:val="zh-CN"/>
        </w:rPr>
      </w:pPr>
    </w:p>
    <w:p w14:paraId="5E3604D6">
      <w:pPr>
        <w:rPr>
          <w:rFonts w:hint="eastAsia" w:ascii="宋体" w:hAnsi="宋体" w:eastAsia="宋体" w:cs="宋体"/>
          <w:b/>
          <w:bCs/>
          <w:color w:val="auto"/>
          <w:kern w:val="0"/>
          <w:sz w:val="36"/>
          <w:szCs w:val="36"/>
          <w:highlight w:val="none"/>
          <w:lang w:val="zh-CN"/>
        </w:rPr>
      </w:pPr>
    </w:p>
    <w:p w14:paraId="5964815F">
      <w:pPr>
        <w:rPr>
          <w:rFonts w:hint="eastAsia" w:ascii="宋体" w:hAnsi="宋体" w:eastAsia="宋体" w:cs="宋体"/>
          <w:b/>
          <w:bCs/>
          <w:color w:val="auto"/>
          <w:kern w:val="0"/>
          <w:sz w:val="36"/>
          <w:szCs w:val="36"/>
          <w:highlight w:val="none"/>
          <w:lang w:val="zh-CN"/>
        </w:rPr>
      </w:pPr>
    </w:p>
    <w:p w14:paraId="7FC40E79">
      <w:pPr>
        <w:widowControl/>
        <w:spacing w:beforeAutospacing="1" w:afterAutospacing="1"/>
        <w:jc w:val="left"/>
        <w:rPr>
          <w:rFonts w:hint="eastAsia" w:ascii="宋体" w:hAnsi="宋体" w:eastAsia="宋体" w:cs="宋体"/>
          <w:b/>
          <w:bCs/>
          <w:color w:val="auto"/>
          <w:kern w:val="0"/>
          <w:sz w:val="36"/>
          <w:szCs w:val="36"/>
          <w:highlight w:val="none"/>
          <w:lang w:val="zh-CN"/>
        </w:rPr>
        <w:sectPr>
          <w:footerReference r:id="rId3" w:type="default"/>
          <w:pgSz w:w="11906" w:h="16838"/>
          <w:pgMar w:top="1440" w:right="1800" w:bottom="1440" w:left="1800" w:header="851" w:footer="992" w:gutter="0"/>
          <w:pgNumType w:start="1"/>
          <w:cols w:space="720" w:num="1"/>
          <w:docGrid w:type="lines" w:linePitch="312" w:charSpace="0"/>
        </w:sectPr>
      </w:pPr>
    </w:p>
    <w:p w14:paraId="1F6C268E">
      <w:pPr>
        <w:spacing w:line="460" w:lineRule="exact"/>
        <w:jc w:val="center"/>
        <w:outlineLvl w:val="0"/>
        <w:rPr>
          <w:rFonts w:hint="eastAsia" w:ascii="宋体" w:hAnsi="宋体" w:eastAsia="宋体" w:cs="宋体"/>
          <w:b/>
          <w:color w:val="auto"/>
          <w:sz w:val="36"/>
          <w:szCs w:val="36"/>
          <w:highlight w:val="none"/>
        </w:rPr>
      </w:pPr>
      <w:bookmarkStart w:id="0" w:name="_Toc35393789"/>
      <w:bookmarkStart w:id="1" w:name="_Toc28359001"/>
      <w:bookmarkStart w:id="2" w:name="_Toc24438"/>
      <w:bookmarkStart w:id="3" w:name="_Toc24258"/>
      <w:r>
        <w:rPr>
          <w:rFonts w:hint="eastAsia" w:ascii="宋体" w:hAnsi="宋体" w:eastAsia="宋体" w:cs="宋体"/>
          <w:b/>
          <w:color w:val="auto"/>
          <w:sz w:val="36"/>
          <w:szCs w:val="36"/>
          <w:highlight w:val="none"/>
        </w:rPr>
        <w:t xml:space="preserve">第一部分 </w:t>
      </w:r>
      <w:bookmarkEnd w:id="0"/>
      <w:bookmarkEnd w:id="1"/>
      <w:r>
        <w:rPr>
          <w:rFonts w:hint="eastAsia" w:ascii="宋体" w:hAnsi="宋体" w:eastAsia="宋体" w:cs="宋体"/>
          <w:b/>
          <w:color w:val="auto"/>
          <w:sz w:val="36"/>
          <w:szCs w:val="36"/>
          <w:highlight w:val="none"/>
        </w:rPr>
        <w:t>招标公告</w:t>
      </w:r>
      <w:bookmarkEnd w:id="2"/>
    </w:p>
    <w:p w14:paraId="130FCCF6">
      <w:pPr>
        <w:spacing w:line="460" w:lineRule="exact"/>
        <w:jc w:val="center"/>
        <w:outlineLvl w:val="0"/>
        <w:rPr>
          <w:rFonts w:hint="eastAsia" w:ascii="宋体" w:hAnsi="宋体" w:eastAsia="宋体" w:cs="宋体"/>
          <w:b/>
          <w:color w:val="auto"/>
          <w:sz w:val="36"/>
          <w:szCs w:val="36"/>
          <w:highlight w:val="none"/>
        </w:rPr>
      </w:pPr>
    </w:p>
    <w:p w14:paraId="6036B5C2">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DE7BCC1">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宋体" w:hAnsi="宋体" w:eastAsia="宋体" w:cs="宋体"/>
          <w:color w:val="auto"/>
          <w:sz w:val="24"/>
          <w:highlight w:val="none"/>
        </w:rPr>
      </w:pPr>
      <w:bookmarkStart w:id="4" w:name="_Toc35393790"/>
      <w:bookmarkStart w:id="5" w:name="_Toc28359002"/>
      <w:bookmarkStart w:id="6" w:name="_Toc35393621"/>
      <w:bookmarkStart w:id="7" w:name="_Hlk24379207"/>
      <w:bookmarkStart w:id="8" w:name="_Toc28359079"/>
      <w:r>
        <w:rPr>
          <w:rFonts w:hint="eastAsia" w:ascii="宋体" w:hAnsi="宋体" w:eastAsia="宋体" w:cs="宋体"/>
          <w:bCs/>
          <w:color w:val="auto"/>
          <w:sz w:val="24"/>
          <w:highlight w:val="none"/>
          <w:lang w:eastAsia="zh-CN"/>
        </w:rPr>
        <w:t>长治市疾病预防控制中心（长治市卫生监督所）监测检验设备采购项目</w:t>
      </w:r>
      <w:r>
        <w:rPr>
          <w:rFonts w:hint="eastAsia" w:ascii="宋体" w:hAnsi="宋体" w:eastAsia="宋体" w:cs="宋体"/>
          <w:bCs/>
          <w:color w:val="auto"/>
          <w:sz w:val="24"/>
          <w:highlight w:val="none"/>
        </w:rPr>
        <w:t>的潜在投标人应在政采云平台线上获取招标文件，并于</w:t>
      </w:r>
      <w:r>
        <w:rPr>
          <w:rFonts w:hint="eastAsia" w:ascii="宋体" w:hAnsi="宋体" w:eastAsia="宋体" w:cs="宋体"/>
          <w:bCs/>
          <w:color w:val="auto"/>
          <w:sz w:val="24"/>
          <w:highlight w:val="none"/>
          <w:lang w:eastAsia="zh-CN"/>
        </w:rPr>
        <w:t>2026年06月30日</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0（</w:t>
      </w:r>
      <w:r>
        <w:rPr>
          <w:rFonts w:hint="eastAsia" w:ascii="宋体" w:hAnsi="宋体" w:eastAsia="宋体" w:cs="宋体"/>
          <w:bCs/>
          <w:color w:val="auto"/>
          <w:sz w:val="24"/>
          <w:highlight w:val="none"/>
        </w:rPr>
        <w:t>北京时间）前提交投标文件</w:t>
      </w:r>
      <w:r>
        <w:rPr>
          <w:rFonts w:hint="eastAsia" w:ascii="宋体" w:hAnsi="宋体" w:eastAsia="宋体" w:cs="宋体"/>
          <w:color w:val="auto"/>
          <w:sz w:val="24"/>
          <w:highlight w:val="none"/>
        </w:rPr>
        <w:t>。</w:t>
      </w:r>
    </w:p>
    <w:bookmarkEnd w:id="4"/>
    <w:bookmarkEnd w:id="5"/>
    <w:bookmarkEnd w:id="6"/>
    <w:bookmarkEnd w:id="7"/>
    <w:bookmarkEnd w:id="8"/>
    <w:p w14:paraId="2E40F375">
      <w:pPr>
        <w:pStyle w:val="33"/>
        <w:wordWrap w:val="0"/>
        <w:spacing w:before="0" w:beforeAutospacing="0" w:after="0" w:afterAutospacing="0" w:line="500" w:lineRule="exact"/>
        <w:jc w:val="both"/>
        <w:rPr>
          <w:rFonts w:hint="eastAsia" w:ascii="宋体" w:hAnsi="宋体" w:eastAsia="宋体" w:cs="宋体"/>
          <w:color w:val="auto"/>
          <w:kern w:val="2"/>
          <w:highlight w:val="none"/>
        </w:rPr>
      </w:pPr>
      <w:bookmarkStart w:id="9" w:name="_Toc3923"/>
      <w:r>
        <w:rPr>
          <w:rFonts w:hint="eastAsia" w:ascii="宋体" w:hAnsi="宋体" w:eastAsia="宋体" w:cs="宋体"/>
          <w:color w:val="auto"/>
          <w:kern w:val="2"/>
          <w:highlight w:val="none"/>
        </w:rPr>
        <w:t>一、项目基本情况 </w:t>
      </w:r>
    </w:p>
    <w:p w14:paraId="0CC8A3F4">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项目编号：1404992026AGK00195</w:t>
      </w:r>
    </w:p>
    <w:p w14:paraId="08466FF5">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项目名称：</w:t>
      </w:r>
      <w:r>
        <w:rPr>
          <w:rFonts w:hint="eastAsia" w:ascii="宋体" w:hAnsi="宋体" w:eastAsia="宋体" w:cs="宋体"/>
          <w:color w:val="auto"/>
          <w:kern w:val="2"/>
          <w:highlight w:val="none"/>
          <w:lang w:eastAsia="zh-CN"/>
        </w:rPr>
        <w:t>长治市疾病预防控制中心（长治市卫生监督所）监测检验设备采购项目</w:t>
      </w:r>
    </w:p>
    <w:p w14:paraId="1141B2D8">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预算金额（元）：</w:t>
      </w:r>
      <w:r>
        <w:rPr>
          <w:rFonts w:hint="eastAsia" w:ascii="宋体" w:hAnsi="宋体" w:eastAsia="宋体" w:cs="宋体"/>
          <w:color w:val="auto"/>
          <w:kern w:val="2"/>
          <w:highlight w:val="none"/>
          <w:lang w:eastAsia="zh-CN"/>
        </w:rPr>
        <w:t>707500</w:t>
      </w:r>
    </w:p>
    <w:p w14:paraId="2076BBB9">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最高限价（元）：</w:t>
      </w:r>
      <w:r>
        <w:rPr>
          <w:rFonts w:hint="eastAsia" w:ascii="宋体" w:hAnsi="宋体" w:eastAsia="宋体" w:cs="宋体"/>
          <w:color w:val="auto"/>
          <w:kern w:val="2"/>
          <w:highlight w:val="none"/>
          <w:lang w:eastAsia="zh-CN"/>
        </w:rPr>
        <w:t>707500</w:t>
      </w:r>
    </w:p>
    <w:p w14:paraId="060C64FA">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采购需求：        </w:t>
      </w:r>
    </w:p>
    <w:p w14:paraId="248A8A36">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标项名称:</w:t>
      </w:r>
      <w:r>
        <w:rPr>
          <w:rFonts w:hint="eastAsia" w:ascii="宋体" w:hAnsi="宋体" w:eastAsia="宋体" w:cs="宋体"/>
          <w:color w:val="auto"/>
          <w:kern w:val="2"/>
          <w:highlight w:val="none"/>
          <w:lang w:eastAsia="zh-CN"/>
        </w:rPr>
        <w:t>长治市疾病预防控制中心（长治市卫生监督所）监测检验设备采购项目</w:t>
      </w:r>
      <w:r>
        <w:rPr>
          <w:rFonts w:hint="eastAsia" w:ascii="宋体" w:hAnsi="宋体" w:eastAsia="宋体" w:cs="宋体"/>
          <w:color w:val="auto"/>
          <w:kern w:val="2"/>
          <w:highlight w:val="none"/>
        </w:rPr>
        <w:t> </w:t>
      </w:r>
      <w:r>
        <w:rPr>
          <w:rFonts w:hint="eastAsia" w:ascii="宋体" w:hAnsi="宋体" w:eastAsia="宋体" w:cs="宋体"/>
          <w:color w:val="auto"/>
          <w:kern w:val="2"/>
          <w:highlight w:val="none"/>
        </w:rPr>
        <w:br w:type="textWrapping"/>
      </w:r>
      <w:r>
        <w:rPr>
          <w:rFonts w:hint="eastAsia" w:ascii="宋体" w:hAnsi="宋体" w:eastAsia="宋体" w:cs="宋体"/>
          <w:color w:val="auto"/>
          <w:kern w:val="2"/>
          <w:highlight w:val="none"/>
        </w:rPr>
        <w:t xml:space="preserve">    数量:/  </w:t>
      </w:r>
      <w:r>
        <w:rPr>
          <w:rFonts w:hint="eastAsia" w:ascii="宋体" w:hAnsi="宋体" w:eastAsia="宋体" w:cs="宋体"/>
          <w:color w:val="auto"/>
          <w:kern w:val="2"/>
          <w:highlight w:val="none"/>
        </w:rPr>
        <w:br w:type="textWrapping"/>
      </w:r>
      <w:r>
        <w:rPr>
          <w:rFonts w:hint="eastAsia" w:ascii="宋体" w:hAnsi="宋体" w:eastAsia="宋体" w:cs="宋体"/>
          <w:color w:val="auto"/>
          <w:kern w:val="2"/>
          <w:highlight w:val="none"/>
        </w:rPr>
        <w:t xml:space="preserve"> </w:t>
      </w:r>
      <w:r>
        <w:rPr>
          <w:rFonts w:hint="eastAsia" w:ascii="宋体" w:hAnsi="宋体" w:eastAsia="宋体" w:cs="宋体"/>
          <w:color w:val="auto"/>
          <w:kern w:val="2"/>
          <w:highlight w:val="none"/>
        </w:rPr>
        <w:t xml:space="preserve">  </w:t>
      </w:r>
      <w:r>
        <w:rPr>
          <w:rFonts w:hint="eastAsia" w:ascii="宋体" w:hAnsi="宋体" w:eastAsia="宋体" w:cs="宋体"/>
          <w:color w:val="auto"/>
          <w:kern w:val="2"/>
          <w:highlight w:val="none"/>
        </w:rPr>
        <w:t xml:space="preserve"> 预算金额（元）：</w:t>
      </w:r>
      <w:r>
        <w:rPr>
          <w:rFonts w:hint="eastAsia" w:ascii="宋体" w:hAnsi="宋体" w:eastAsia="宋体" w:cs="宋体"/>
          <w:color w:val="auto"/>
          <w:kern w:val="2"/>
          <w:highlight w:val="none"/>
          <w:lang w:eastAsia="zh-CN"/>
        </w:rPr>
        <w:t>707500</w:t>
      </w:r>
      <w:r>
        <w:rPr>
          <w:rFonts w:hint="eastAsia" w:ascii="宋体" w:hAnsi="宋体" w:eastAsia="宋体" w:cs="宋体"/>
          <w:color w:val="auto"/>
          <w:kern w:val="2"/>
          <w:highlight w:val="none"/>
        </w:rPr>
        <w:br w:type="textWrapping"/>
      </w:r>
      <w:r>
        <w:rPr>
          <w:rFonts w:hint="eastAsia" w:ascii="宋体" w:hAnsi="宋体" w:eastAsia="宋体" w:cs="宋体"/>
          <w:color w:val="auto"/>
          <w:kern w:val="2"/>
          <w:highlight w:val="none"/>
        </w:rPr>
        <w:t xml:space="preserve">    简要规格描述或项目基本概况介绍、用途：本次招标共1包，详见招标文件。   </w:t>
      </w:r>
      <w:r>
        <w:rPr>
          <w:rFonts w:hint="eastAsia" w:ascii="宋体" w:hAnsi="宋体" w:eastAsia="宋体" w:cs="宋体"/>
          <w:color w:val="auto"/>
          <w:kern w:val="2"/>
          <w:highlight w:val="none"/>
        </w:rPr>
        <w:br w:type="textWrapping"/>
      </w:r>
      <w:r>
        <w:rPr>
          <w:rFonts w:hint="eastAsia" w:ascii="宋体" w:hAnsi="宋体" w:eastAsia="宋体" w:cs="宋体"/>
          <w:color w:val="auto"/>
          <w:kern w:val="2"/>
          <w:highlight w:val="none"/>
        </w:rPr>
        <w:t xml:space="preserve">    备注：/           </w:t>
      </w:r>
    </w:p>
    <w:p w14:paraId="71E506B7">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合同履约期限：</w:t>
      </w:r>
      <w:r>
        <w:rPr>
          <w:rFonts w:hint="eastAsia" w:ascii="宋体" w:hAnsi="宋体" w:eastAsia="宋体" w:cs="宋体"/>
          <w:color w:val="auto"/>
          <w:highlight w:val="none"/>
          <w:lang w:eastAsia="zh-CN"/>
        </w:rPr>
        <w:t>自合同签订之日起 30 日内完成</w:t>
      </w:r>
    </w:p>
    <w:p w14:paraId="7A3F9728">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本项目（否）接受联合体投标。        </w:t>
      </w:r>
    </w:p>
    <w:p w14:paraId="7496E352">
      <w:pPr>
        <w:pStyle w:val="33"/>
        <w:wordWrap w:val="0"/>
        <w:spacing w:before="0" w:beforeAutospacing="0" w:after="0" w:afterAutospacing="0" w:line="500" w:lineRule="exact"/>
        <w:jc w:val="both"/>
        <w:rPr>
          <w:rFonts w:hint="eastAsia" w:ascii="宋体" w:hAnsi="宋体" w:eastAsia="宋体" w:cs="宋体"/>
          <w:color w:val="auto"/>
          <w:kern w:val="2"/>
          <w:highlight w:val="none"/>
        </w:rPr>
      </w:pPr>
      <w:r>
        <w:rPr>
          <w:rFonts w:hint="eastAsia" w:ascii="宋体" w:hAnsi="宋体" w:eastAsia="宋体" w:cs="宋体"/>
          <w:color w:val="auto"/>
          <w:kern w:val="2"/>
          <w:highlight w:val="none"/>
        </w:rPr>
        <w:t>二、申请人的资格要求     </w:t>
      </w:r>
    </w:p>
    <w:p w14:paraId="5B9BC27D">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1.满足《中华人民共和国政府采购法》第二十二条规定；    </w:t>
      </w:r>
    </w:p>
    <w:p w14:paraId="01811F70">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 xml:space="preserve">2.落实政府采购政策需满足的资格要求：无  </w:t>
      </w:r>
      <w:r>
        <w:rPr>
          <w:rFonts w:hint="eastAsia" w:ascii="宋体" w:hAnsi="宋体" w:eastAsia="宋体" w:cs="宋体"/>
          <w:color w:val="auto"/>
          <w:kern w:val="2"/>
          <w:highlight w:val="none"/>
        </w:rPr>
        <w:t> </w:t>
      </w:r>
    </w:p>
    <w:p w14:paraId="1A58F8B9">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3.本项目的特定资格要求：</w:t>
      </w:r>
    </w:p>
    <w:p w14:paraId="282F09C3">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 投标产品若为医疗器械，投标人须具有经营医疗器械的相关资格，满足《医疗器械监督管理条例》的资格要求：</w:t>
      </w:r>
    </w:p>
    <w:p w14:paraId="5D08C55D">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（1）投标产品为第三类医疗器械的需提供医疗器械经营许可证，并提供医疗器械产品注册证；</w:t>
      </w:r>
    </w:p>
    <w:p w14:paraId="2BBF7C5D">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（2）投标产品为第二类医疗器械的需提供第二类医疗器械经营备案凭证，并提供医疗器械产品注册证；</w:t>
      </w:r>
    </w:p>
    <w:p w14:paraId="16078B42">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（3）投标产品为第一类医疗器械的需提供产品第一类医疗器械备案凭证，并提供第一类医疗器械备案信息表；</w:t>
      </w:r>
    </w:p>
    <w:p w14:paraId="085E6CCB">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（4）所投产品为国产的提供医疗器械生产企业许可证；</w:t>
      </w:r>
    </w:p>
    <w:p w14:paraId="46808F8F">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（以上投标产品仅指设备清单所列明的标的物且属于医疗器械管理范畴的产品）</w:t>
      </w:r>
    </w:p>
    <w:p w14:paraId="28130D17">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（5）所投产品如涉及辐射产品，需提供辐射安全许可证（如所投产品已办理豁免备案，仅需提供备案证明）；</w:t>
      </w:r>
    </w:p>
    <w:p w14:paraId="519FBFFD">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（6）所投产品需符合国家其他相关行业等相关法律法规要求。</w:t>
      </w:r>
    </w:p>
    <w:p w14:paraId="78951E81">
      <w:pPr>
        <w:pStyle w:val="33"/>
        <w:wordWrap w:val="0"/>
        <w:spacing w:before="0" w:beforeAutospacing="0" w:after="0" w:afterAutospacing="0" w:line="500" w:lineRule="exact"/>
        <w:jc w:val="both"/>
        <w:rPr>
          <w:rFonts w:hint="eastAsia" w:ascii="宋体" w:hAnsi="宋体" w:eastAsia="宋体" w:cs="宋体"/>
          <w:color w:val="auto"/>
          <w:kern w:val="2"/>
          <w:highlight w:val="none"/>
        </w:rPr>
      </w:pPr>
      <w:r>
        <w:rPr>
          <w:rFonts w:hint="eastAsia" w:ascii="宋体" w:hAnsi="宋体" w:eastAsia="宋体" w:cs="宋体"/>
          <w:color w:val="auto"/>
          <w:kern w:val="2"/>
          <w:highlight w:val="none"/>
        </w:rPr>
        <w:t>三、获取招标文件    </w:t>
      </w:r>
    </w:p>
    <w:p w14:paraId="0BC03F1D">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时间：</w:t>
      </w:r>
      <w:r>
        <w:rPr>
          <w:rFonts w:hint="eastAsia" w:ascii="宋体" w:hAnsi="宋体" w:eastAsia="宋体" w:cs="宋体"/>
          <w:color w:val="auto"/>
          <w:kern w:val="2"/>
          <w:highlight w:val="none"/>
        </w:rPr>
        <w:t>202</w:t>
      </w:r>
      <w:r>
        <w:rPr>
          <w:rFonts w:hint="eastAsia" w:ascii="宋体" w:hAnsi="宋体" w:eastAsia="宋体" w:cs="宋体"/>
          <w:color w:val="auto"/>
          <w:kern w:val="2"/>
          <w:highlight w:val="none"/>
          <w:lang w:val="en-US" w:eastAsia="zh-CN"/>
        </w:rPr>
        <w:t>6</w:t>
      </w:r>
      <w:r>
        <w:rPr>
          <w:rFonts w:hint="eastAsia" w:ascii="宋体" w:hAnsi="宋体" w:eastAsia="宋体" w:cs="宋体"/>
          <w:color w:val="auto"/>
          <w:kern w:val="2"/>
          <w:highlight w:val="none"/>
        </w:rPr>
        <w:t>年</w:t>
      </w:r>
      <w:r>
        <w:rPr>
          <w:rFonts w:hint="eastAsia" w:ascii="宋体" w:hAnsi="宋体" w:eastAsia="宋体" w:cs="宋体"/>
          <w:color w:val="auto"/>
          <w:kern w:val="2"/>
          <w:highlight w:val="none"/>
          <w:lang w:val="en-US" w:eastAsia="zh-CN"/>
        </w:rPr>
        <w:t>06</w:t>
      </w:r>
      <w:r>
        <w:rPr>
          <w:rFonts w:hint="eastAsia" w:ascii="宋体" w:hAnsi="宋体" w:eastAsia="宋体" w:cs="宋体"/>
          <w:color w:val="auto"/>
          <w:kern w:val="2"/>
          <w:highlight w:val="none"/>
        </w:rPr>
        <w:t>月</w:t>
      </w:r>
      <w:r>
        <w:rPr>
          <w:rFonts w:hint="eastAsia" w:ascii="宋体" w:hAnsi="宋体" w:eastAsia="宋体" w:cs="宋体"/>
          <w:color w:val="auto"/>
          <w:kern w:val="2"/>
          <w:highlight w:val="none"/>
          <w:lang w:val="en-US" w:eastAsia="zh-CN"/>
        </w:rPr>
        <w:t>09</w:t>
      </w:r>
      <w:r>
        <w:rPr>
          <w:rFonts w:hint="eastAsia" w:ascii="宋体" w:hAnsi="宋体" w:eastAsia="宋体" w:cs="宋体"/>
          <w:color w:val="auto"/>
          <w:kern w:val="2"/>
          <w:highlight w:val="none"/>
        </w:rPr>
        <w:t>日至202</w:t>
      </w:r>
      <w:r>
        <w:rPr>
          <w:rFonts w:hint="eastAsia" w:ascii="宋体" w:hAnsi="宋体" w:eastAsia="宋体" w:cs="宋体"/>
          <w:color w:val="auto"/>
          <w:kern w:val="2"/>
          <w:highlight w:val="none"/>
          <w:lang w:val="en-US" w:eastAsia="zh-CN"/>
        </w:rPr>
        <w:t>6</w:t>
      </w:r>
      <w:r>
        <w:rPr>
          <w:rFonts w:hint="eastAsia" w:ascii="宋体" w:hAnsi="宋体" w:eastAsia="宋体" w:cs="宋体"/>
          <w:color w:val="auto"/>
          <w:kern w:val="2"/>
          <w:highlight w:val="none"/>
        </w:rPr>
        <w:t>年</w:t>
      </w:r>
      <w:r>
        <w:rPr>
          <w:rFonts w:hint="eastAsia" w:ascii="宋体" w:hAnsi="宋体" w:eastAsia="宋体" w:cs="宋体"/>
          <w:color w:val="auto"/>
          <w:kern w:val="2"/>
          <w:highlight w:val="none"/>
          <w:lang w:val="en-US" w:eastAsia="zh-CN"/>
        </w:rPr>
        <w:t>06</w:t>
      </w:r>
      <w:r>
        <w:rPr>
          <w:rFonts w:hint="eastAsia" w:ascii="宋体" w:hAnsi="宋体" w:eastAsia="宋体" w:cs="宋体"/>
          <w:color w:val="auto"/>
          <w:kern w:val="2"/>
          <w:highlight w:val="none"/>
        </w:rPr>
        <w:t>月</w:t>
      </w:r>
      <w:r>
        <w:rPr>
          <w:rFonts w:hint="eastAsia" w:ascii="宋体" w:hAnsi="宋体" w:eastAsia="宋体" w:cs="宋体"/>
          <w:color w:val="auto"/>
          <w:kern w:val="2"/>
          <w:highlight w:val="none"/>
          <w:lang w:val="en-US" w:eastAsia="zh-CN"/>
        </w:rPr>
        <w:t>16</w:t>
      </w:r>
      <w:r>
        <w:rPr>
          <w:rFonts w:hint="eastAsia" w:ascii="宋体" w:hAnsi="宋体" w:eastAsia="宋体" w:cs="宋体"/>
          <w:color w:val="auto"/>
          <w:kern w:val="2"/>
          <w:highlight w:val="none"/>
        </w:rPr>
        <w:t>日</w:t>
      </w:r>
      <w:r>
        <w:rPr>
          <w:rFonts w:hint="eastAsia" w:ascii="宋体" w:hAnsi="宋体" w:eastAsia="宋体" w:cs="宋体"/>
          <w:color w:val="auto"/>
          <w:kern w:val="2"/>
          <w:highlight w:val="none"/>
        </w:rPr>
        <w:t>，每天上午00:00至12:00，下午12:00至23:59（北京时间，法定节假日除外）        </w:t>
      </w:r>
    </w:p>
    <w:p w14:paraId="694205F0">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地点：政采云平台线上获取</w:t>
      </w:r>
    </w:p>
    <w:p w14:paraId="24EAB031">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方式：在线获取       </w:t>
      </w:r>
    </w:p>
    <w:p w14:paraId="5A75FFC5">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售价（元）：0       </w:t>
      </w:r>
    </w:p>
    <w:p w14:paraId="7BE21CB4">
      <w:pPr>
        <w:pStyle w:val="33"/>
        <w:wordWrap w:val="0"/>
        <w:spacing w:before="0" w:beforeAutospacing="0" w:after="0" w:afterAutospacing="0" w:line="500" w:lineRule="exact"/>
        <w:jc w:val="both"/>
        <w:rPr>
          <w:rFonts w:hint="eastAsia" w:ascii="宋体" w:hAnsi="宋体" w:eastAsia="宋体" w:cs="宋体"/>
          <w:color w:val="auto"/>
          <w:kern w:val="2"/>
          <w:highlight w:val="none"/>
        </w:rPr>
      </w:pPr>
      <w:r>
        <w:rPr>
          <w:rFonts w:hint="eastAsia" w:ascii="宋体" w:hAnsi="宋体" w:eastAsia="宋体" w:cs="宋体"/>
          <w:color w:val="auto"/>
          <w:kern w:val="2"/>
          <w:highlight w:val="none"/>
        </w:rPr>
        <w:t>四、提交投标文件截止时间、开标时间和地点    </w:t>
      </w:r>
    </w:p>
    <w:p w14:paraId="2C741410">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提交投标文件截止时间：</w:t>
      </w:r>
      <w:r>
        <w:rPr>
          <w:rFonts w:hint="eastAsia" w:ascii="宋体" w:hAnsi="宋体" w:eastAsia="宋体" w:cs="宋体"/>
          <w:color w:val="auto"/>
          <w:kern w:val="2"/>
          <w:highlight w:val="none"/>
          <w:lang w:eastAsia="zh-CN"/>
        </w:rPr>
        <w:t>2026年06月30日 8:30</w:t>
      </w:r>
      <w:r>
        <w:rPr>
          <w:rFonts w:hint="eastAsia" w:ascii="宋体" w:hAnsi="宋体" w:eastAsia="宋体" w:cs="宋体"/>
          <w:color w:val="auto"/>
          <w:kern w:val="2"/>
          <w:highlight w:val="none"/>
        </w:rPr>
        <w:t xml:space="preserve">（北京时间）     </w:t>
      </w:r>
      <w:r>
        <w:rPr>
          <w:rFonts w:hint="eastAsia" w:ascii="宋体" w:hAnsi="宋体" w:eastAsia="宋体" w:cs="宋体"/>
          <w:color w:val="auto"/>
          <w:kern w:val="2"/>
          <w:highlight w:val="none"/>
        </w:rPr>
        <w:t>   </w:t>
      </w:r>
    </w:p>
    <w:p w14:paraId="7C326839">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投标地点（网址）：请登录政采云投标客户端投标     </w:t>
      </w:r>
    </w:p>
    <w:p w14:paraId="34D55EAD">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开标时间：</w:t>
      </w:r>
      <w:r>
        <w:rPr>
          <w:rFonts w:hint="eastAsia" w:ascii="宋体" w:hAnsi="宋体" w:eastAsia="宋体" w:cs="宋体"/>
          <w:color w:val="auto"/>
          <w:kern w:val="2"/>
          <w:highlight w:val="none"/>
          <w:lang w:eastAsia="zh-CN"/>
        </w:rPr>
        <w:t>2026年06月30日 8:30</w:t>
      </w:r>
      <w:r>
        <w:rPr>
          <w:rFonts w:hint="eastAsia" w:ascii="宋体" w:hAnsi="宋体" w:eastAsia="宋体" w:cs="宋体"/>
          <w:color w:val="auto"/>
          <w:kern w:val="2"/>
          <w:highlight w:val="none"/>
        </w:rPr>
        <w:t>        </w:t>
      </w:r>
    </w:p>
    <w:p w14:paraId="789DD202">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开标地点：长治市潞州区南环东街178号（唯美诺中小企业园二期）9#楼4层     </w:t>
      </w:r>
    </w:p>
    <w:p w14:paraId="598E9BA6">
      <w:pPr>
        <w:pStyle w:val="33"/>
        <w:wordWrap w:val="0"/>
        <w:spacing w:before="0" w:beforeAutospacing="0" w:after="0" w:afterAutospacing="0" w:line="500" w:lineRule="exact"/>
        <w:jc w:val="both"/>
        <w:rPr>
          <w:rFonts w:hint="eastAsia" w:ascii="宋体" w:hAnsi="宋体" w:eastAsia="宋体" w:cs="宋体"/>
          <w:color w:val="auto"/>
          <w:kern w:val="2"/>
          <w:highlight w:val="none"/>
        </w:rPr>
      </w:pPr>
      <w:r>
        <w:rPr>
          <w:rFonts w:hint="eastAsia" w:ascii="宋体" w:hAnsi="宋体" w:eastAsia="宋体" w:cs="宋体"/>
          <w:color w:val="auto"/>
          <w:kern w:val="2"/>
          <w:highlight w:val="none"/>
        </w:rPr>
        <w:t>五、公告期限     </w:t>
      </w:r>
    </w:p>
    <w:p w14:paraId="4EF61222">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自本公告发布之日起5个工作日。    </w:t>
      </w:r>
    </w:p>
    <w:p w14:paraId="51229298">
      <w:pPr>
        <w:pStyle w:val="33"/>
        <w:wordWrap w:val="0"/>
        <w:spacing w:before="0" w:beforeAutospacing="0" w:after="0" w:afterAutospacing="0" w:line="500" w:lineRule="exact"/>
        <w:jc w:val="both"/>
        <w:rPr>
          <w:rFonts w:hint="eastAsia" w:ascii="宋体" w:hAnsi="宋体" w:eastAsia="宋体" w:cs="宋体"/>
          <w:color w:val="auto"/>
          <w:kern w:val="2"/>
          <w:highlight w:val="none"/>
        </w:rPr>
      </w:pPr>
      <w:r>
        <w:rPr>
          <w:rFonts w:hint="eastAsia" w:ascii="宋体" w:hAnsi="宋体" w:eastAsia="宋体" w:cs="宋体"/>
          <w:color w:val="auto"/>
          <w:kern w:val="2"/>
          <w:highlight w:val="none"/>
        </w:rPr>
        <w:t>六、其他补充事宜    </w:t>
      </w:r>
    </w:p>
    <w:p w14:paraId="365EAECE">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针对本项目的质疑需一次性提出，多次提出将不予受理。投标人参与山西省政府采购项目时，符合法定质疑条件的，通过政府采购平台进入“项目质疑管理”栏目向采购人、采购代理机构在线提起质疑。      </w:t>
      </w:r>
    </w:p>
    <w:p w14:paraId="6964E9A7">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代理费支付方式：中标人支付 </w:t>
      </w:r>
    </w:p>
    <w:p w14:paraId="5F649D2F">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代理费收费标准：</w:t>
      </w:r>
      <w:r>
        <w:rPr>
          <w:rFonts w:hint="eastAsia" w:ascii="宋体" w:hAnsi="宋体" w:eastAsia="宋体" w:cs="宋体"/>
          <w:color w:val="auto"/>
          <w:kern w:val="2"/>
          <w:highlight w:val="none"/>
          <w:lang w:eastAsia="zh-CN"/>
        </w:rPr>
        <w:t>按中标金额的1.5%收取</w:t>
      </w:r>
      <w:r>
        <w:rPr>
          <w:rFonts w:hint="eastAsia" w:ascii="宋体" w:hAnsi="宋体" w:eastAsia="宋体" w:cs="宋体"/>
          <w:color w:val="auto"/>
          <w:kern w:val="2"/>
          <w:highlight w:val="none"/>
        </w:rPr>
        <w:t>。</w:t>
      </w:r>
      <w:r>
        <w:rPr>
          <w:rFonts w:hint="eastAsia" w:ascii="宋体" w:hAnsi="宋体" w:eastAsia="宋体" w:cs="宋体"/>
          <w:color w:val="auto"/>
          <w:kern w:val="2"/>
          <w:highlight w:val="none"/>
        </w:rPr>
        <w:t> </w:t>
      </w:r>
    </w:p>
    <w:p w14:paraId="31EEF508">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代理费收费金额（元）： / </w:t>
      </w:r>
    </w:p>
    <w:p w14:paraId="373B0F65">
      <w:pPr>
        <w:pStyle w:val="33"/>
        <w:wordWrap w:val="0"/>
        <w:spacing w:before="0" w:beforeAutospacing="0" w:after="0" w:afterAutospacing="0" w:line="500" w:lineRule="exact"/>
        <w:jc w:val="both"/>
        <w:rPr>
          <w:rFonts w:hint="eastAsia" w:ascii="宋体" w:hAnsi="宋体" w:eastAsia="宋体" w:cs="宋体"/>
          <w:color w:val="auto"/>
          <w:kern w:val="2"/>
          <w:highlight w:val="none"/>
        </w:rPr>
      </w:pPr>
      <w:r>
        <w:rPr>
          <w:rFonts w:hint="eastAsia" w:ascii="宋体" w:hAnsi="宋体" w:eastAsia="宋体" w:cs="宋体"/>
          <w:color w:val="auto"/>
          <w:kern w:val="2"/>
          <w:highlight w:val="none"/>
        </w:rPr>
        <w:t>七、对本次采购提出询问，请按以下方式联系    </w:t>
      </w:r>
    </w:p>
    <w:p w14:paraId="6FCA6736">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42E6746F">
      <w:pPr>
        <w:spacing w:line="50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长治市疾病预防控制中心（长治市卫生监督所）</w:t>
      </w:r>
    </w:p>
    <w:p w14:paraId="1E0D9CDE">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长治市</w:t>
      </w:r>
      <w:r>
        <w:rPr>
          <w:rFonts w:hint="eastAsia" w:ascii="宋体" w:hAnsi="宋体" w:eastAsia="宋体" w:cs="宋体"/>
          <w:color w:val="auto"/>
          <w:sz w:val="24"/>
          <w:highlight w:val="none"/>
          <w:lang w:val="en-US" w:eastAsia="zh-CN"/>
        </w:rPr>
        <w:t>潞州区</w:t>
      </w:r>
      <w:r>
        <w:rPr>
          <w:rFonts w:hint="eastAsia" w:ascii="宋体" w:hAnsi="宋体" w:eastAsia="宋体" w:cs="宋体"/>
          <w:color w:val="auto"/>
          <w:sz w:val="24"/>
          <w:highlight w:val="none"/>
          <w:lang w:eastAsia="zh-CN"/>
        </w:rPr>
        <w:t>长邯南路91号</w:t>
      </w:r>
      <w:r>
        <w:rPr>
          <w:rFonts w:hint="eastAsia" w:ascii="宋体" w:hAnsi="宋体" w:eastAsia="宋体" w:cs="宋体"/>
          <w:color w:val="auto"/>
          <w:sz w:val="24"/>
          <w:highlight w:val="none"/>
        </w:rPr>
        <w:t>　　　　　　　　　　　　</w:t>
      </w:r>
    </w:p>
    <w:p w14:paraId="0B47C2A0">
      <w:pPr>
        <w:spacing w:line="50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联系方式：0355-3559991</w:t>
      </w:r>
    </w:p>
    <w:p w14:paraId="5B021CA9">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7B12637F">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称：山西德成项目管理有限公司</w:t>
      </w:r>
    </w:p>
    <w:p w14:paraId="0B7FF2C1">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zh-CN"/>
        </w:rPr>
        <w:t>长治市潞州区南环东街178号（唯美诺中小企业园二期）9#楼4层</w:t>
      </w:r>
    </w:p>
    <w:p w14:paraId="46909414">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联系方式：0355-3553933</w:t>
      </w:r>
    </w:p>
    <w:p w14:paraId="338DA56C">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5C0FF820">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项目联系人：王女士</w:t>
      </w:r>
    </w:p>
    <w:p w14:paraId="6BAEBFEF">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话：0355-3553933</w:t>
      </w:r>
    </w:p>
    <w:p w14:paraId="2A062BA3">
      <w:pPr>
        <w:spacing w:line="400" w:lineRule="exact"/>
        <w:ind w:firstLine="420" w:firstLineChars="200"/>
        <w:rPr>
          <w:rFonts w:hint="eastAsia" w:ascii="宋体" w:hAnsi="宋体" w:eastAsia="宋体" w:cs="宋体"/>
          <w:color w:val="auto"/>
          <w:szCs w:val="21"/>
          <w:highlight w:val="none"/>
        </w:rPr>
      </w:pPr>
    </w:p>
    <w:p w14:paraId="49C4D0C6">
      <w:pPr>
        <w:spacing w:line="460" w:lineRule="exact"/>
        <w:jc w:val="center"/>
        <w:outlineLvl w:val="0"/>
        <w:rPr>
          <w:rFonts w:hint="eastAsia" w:ascii="宋体" w:hAnsi="宋体" w:eastAsia="宋体" w:cs="宋体"/>
          <w:b/>
          <w:color w:val="auto"/>
          <w:sz w:val="36"/>
          <w:szCs w:val="36"/>
          <w:highlight w:val="none"/>
        </w:rPr>
      </w:pPr>
    </w:p>
    <w:p w14:paraId="1E8A1D7D">
      <w:pPr>
        <w:spacing w:line="460" w:lineRule="exact"/>
        <w:jc w:val="center"/>
        <w:outlineLvl w:val="0"/>
        <w:rPr>
          <w:rFonts w:hint="eastAsia" w:ascii="宋体" w:hAnsi="宋体" w:eastAsia="宋体" w:cs="宋体"/>
          <w:b/>
          <w:color w:val="auto"/>
          <w:sz w:val="36"/>
          <w:szCs w:val="36"/>
          <w:highlight w:val="none"/>
        </w:rPr>
      </w:pPr>
    </w:p>
    <w:p w14:paraId="339A0AEB">
      <w:pPr>
        <w:spacing w:line="460" w:lineRule="exact"/>
        <w:jc w:val="center"/>
        <w:outlineLvl w:val="0"/>
        <w:rPr>
          <w:rFonts w:hint="eastAsia" w:ascii="宋体" w:hAnsi="宋体" w:eastAsia="宋体" w:cs="宋体"/>
          <w:b/>
          <w:color w:val="auto"/>
          <w:sz w:val="36"/>
          <w:szCs w:val="36"/>
          <w:highlight w:val="none"/>
        </w:rPr>
      </w:pPr>
    </w:p>
    <w:p w14:paraId="37A1B04A">
      <w:pPr>
        <w:spacing w:line="460" w:lineRule="exact"/>
        <w:jc w:val="center"/>
        <w:outlineLvl w:val="0"/>
        <w:rPr>
          <w:rFonts w:hint="eastAsia" w:ascii="宋体" w:hAnsi="宋体" w:eastAsia="宋体" w:cs="宋体"/>
          <w:b/>
          <w:color w:val="auto"/>
          <w:sz w:val="36"/>
          <w:szCs w:val="36"/>
          <w:highlight w:val="none"/>
        </w:rPr>
      </w:pPr>
    </w:p>
    <w:p w14:paraId="50F4D555">
      <w:pPr>
        <w:spacing w:line="460" w:lineRule="exact"/>
        <w:jc w:val="center"/>
        <w:outlineLvl w:val="0"/>
        <w:rPr>
          <w:rFonts w:hint="eastAsia" w:ascii="宋体" w:hAnsi="宋体" w:eastAsia="宋体" w:cs="宋体"/>
          <w:b/>
          <w:color w:val="auto"/>
          <w:sz w:val="36"/>
          <w:szCs w:val="36"/>
          <w:highlight w:val="none"/>
        </w:rPr>
      </w:pPr>
    </w:p>
    <w:p w14:paraId="5BA8FE89">
      <w:pPr>
        <w:spacing w:line="460" w:lineRule="exact"/>
        <w:jc w:val="center"/>
        <w:outlineLvl w:val="0"/>
        <w:rPr>
          <w:rFonts w:hint="eastAsia" w:ascii="宋体" w:hAnsi="宋体" w:eastAsia="宋体" w:cs="宋体"/>
          <w:b/>
          <w:color w:val="auto"/>
          <w:sz w:val="36"/>
          <w:szCs w:val="36"/>
          <w:highlight w:val="none"/>
        </w:rPr>
      </w:pPr>
    </w:p>
    <w:p w14:paraId="7D39B3BE">
      <w:pPr>
        <w:rPr>
          <w:rFonts w:hint="eastAsia" w:ascii="宋体" w:hAnsi="宋体" w:eastAsia="宋体" w:cs="宋体"/>
          <w:color w:val="auto"/>
          <w:highlight w:val="none"/>
        </w:rPr>
        <w:sectPr>
          <w:footerReference r:id="rId4" w:type="default"/>
          <w:pgSz w:w="11906" w:h="16838"/>
          <w:pgMar w:top="1440" w:right="1800" w:bottom="1440" w:left="1800" w:header="851" w:footer="992" w:gutter="0"/>
          <w:pgNumType w:start="1"/>
          <w:cols w:space="720" w:num="1"/>
          <w:docGrid w:type="lines" w:linePitch="312" w:charSpace="0"/>
        </w:sectPr>
      </w:pPr>
    </w:p>
    <w:p w14:paraId="29B18865">
      <w:pPr>
        <w:spacing w:line="460" w:lineRule="exact"/>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第二部分  投标人须知</w:t>
      </w:r>
      <w:bookmarkEnd w:id="3"/>
      <w:bookmarkEnd w:id="9"/>
    </w:p>
    <w:p w14:paraId="1ACA54A6">
      <w:pPr>
        <w:spacing w:line="460" w:lineRule="exact"/>
        <w:rPr>
          <w:rFonts w:hint="eastAsia" w:ascii="宋体" w:hAnsi="宋体" w:eastAsia="宋体" w:cs="宋体"/>
          <w:b/>
          <w:color w:val="auto"/>
          <w:sz w:val="28"/>
          <w:szCs w:val="28"/>
          <w:highlight w:val="none"/>
        </w:rPr>
      </w:pPr>
    </w:p>
    <w:p w14:paraId="5F1E227E">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一、投标人须知前附表</w:t>
      </w:r>
    </w:p>
    <w:tbl>
      <w:tblPr>
        <w:tblStyle w:val="3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432"/>
        <w:gridCol w:w="5749"/>
      </w:tblGrid>
      <w:tr w14:paraId="344F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21E32D6">
            <w:pPr>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432" w:type="dxa"/>
            <w:tcBorders>
              <w:top w:val="single" w:color="auto" w:sz="4" w:space="0"/>
              <w:left w:val="single" w:color="auto" w:sz="4" w:space="0"/>
              <w:bottom w:val="single" w:color="auto" w:sz="4" w:space="0"/>
              <w:right w:val="single" w:color="auto" w:sz="4" w:space="0"/>
            </w:tcBorders>
            <w:vAlign w:val="center"/>
          </w:tcPr>
          <w:p w14:paraId="7B910744">
            <w:pPr>
              <w:snapToGri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c>
          <w:tcPr>
            <w:tcW w:w="5749" w:type="dxa"/>
            <w:tcBorders>
              <w:top w:val="single" w:color="auto" w:sz="4" w:space="0"/>
              <w:left w:val="single" w:color="auto" w:sz="4" w:space="0"/>
              <w:bottom w:val="single" w:color="auto" w:sz="4" w:space="0"/>
              <w:right w:val="single" w:color="auto" w:sz="4" w:space="0"/>
            </w:tcBorders>
            <w:vAlign w:val="center"/>
          </w:tcPr>
          <w:p w14:paraId="05D0BF82">
            <w:pPr>
              <w:snapToGri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说明与要求</w:t>
            </w:r>
          </w:p>
        </w:tc>
      </w:tr>
      <w:tr w14:paraId="4315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8C118A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432" w:type="dxa"/>
            <w:tcBorders>
              <w:top w:val="single" w:color="auto" w:sz="4" w:space="0"/>
              <w:left w:val="single" w:color="auto" w:sz="4" w:space="0"/>
              <w:bottom w:val="single" w:color="auto" w:sz="4" w:space="0"/>
              <w:right w:val="single" w:color="auto" w:sz="4" w:space="0"/>
            </w:tcBorders>
            <w:vAlign w:val="center"/>
          </w:tcPr>
          <w:p w14:paraId="52DB9AC1">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749" w:type="dxa"/>
            <w:tcBorders>
              <w:top w:val="single" w:color="auto" w:sz="4" w:space="0"/>
              <w:left w:val="single" w:color="auto" w:sz="4" w:space="0"/>
              <w:bottom w:val="single" w:color="auto" w:sz="4" w:space="0"/>
              <w:right w:val="single" w:color="auto" w:sz="4" w:space="0"/>
            </w:tcBorders>
            <w:vAlign w:val="center"/>
          </w:tcPr>
          <w:p w14:paraId="4DCCC105">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长治市疾病预防控制中心（长治市卫生监督所）</w:t>
            </w:r>
          </w:p>
        </w:tc>
      </w:tr>
      <w:tr w14:paraId="6F27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1B42C3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432" w:type="dxa"/>
            <w:tcBorders>
              <w:top w:val="single" w:color="auto" w:sz="4" w:space="0"/>
              <w:left w:val="single" w:color="auto" w:sz="4" w:space="0"/>
              <w:bottom w:val="single" w:color="auto" w:sz="4" w:space="0"/>
              <w:right w:val="single" w:color="auto" w:sz="4" w:space="0"/>
            </w:tcBorders>
            <w:vAlign w:val="center"/>
          </w:tcPr>
          <w:p w14:paraId="68115BE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5749" w:type="dxa"/>
            <w:tcBorders>
              <w:top w:val="single" w:color="auto" w:sz="4" w:space="0"/>
              <w:left w:val="single" w:color="auto" w:sz="4" w:space="0"/>
              <w:bottom w:val="single" w:color="auto" w:sz="4" w:space="0"/>
              <w:right w:val="single" w:color="auto" w:sz="4" w:space="0"/>
            </w:tcBorders>
            <w:vAlign w:val="center"/>
          </w:tcPr>
          <w:p w14:paraId="7CFF748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山西德成项目管理有限公司 </w:t>
            </w:r>
          </w:p>
        </w:tc>
      </w:tr>
      <w:tr w14:paraId="4F3F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8DA11D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432" w:type="dxa"/>
            <w:tcBorders>
              <w:top w:val="single" w:color="auto" w:sz="4" w:space="0"/>
              <w:left w:val="single" w:color="auto" w:sz="4" w:space="0"/>
              <w:bottom w:val="single" w:color="auto" w:sz="4" w:space="0"/>
              <w:right w:val="single" w:color="auto" w:sz="4" w:space="0"/>
            </w:tcBorders>
            <w:vAlign w:val="center"/>
          </w:tcPr>
          <w:p w14:paraId="70EB2C0F">
            <w:pPr>
              <w:spacing w:line="440" w:lineRule="exact"/>
              <w:rPr>
                <w:rFonts w:hint="eastAsia" w:ascii="宋体" w:hAnsi="宋体" w:eastAsia="宋体" w:cs="宋体"/>
                <w:color w:val="auto"/>
                <w:sz w:val="24"/>
                <w:highlight w:val="none"/>
              </w:rPr>
            </w:pPr>
            <w:r>
              <w:rPr>
                <w:rFonts w:hint="eastAsia" w:ascii="宋体" w:hAnsi="宋体" w:eastAsia="宋体" w:cs="宋体"/>
                <w:bCs/>
                <w:color w:val="auto"/>
                <w:sz w:val="24"/>
                <w:highlight w:val="none"/>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09063C2E">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长治市疾病预防控制中心（长治市卫生监督所）监测检验设备采购项目</w:t>
            </w:r>
          </w:p>
        </w:tc>
      </w:tr>
      <w:tr w14:paraId="467F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E4F52F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432" w:type="dxa"/>
            <w:tcBorders>
              <w:top w:val="single" w:color="auto" w:sz="4" w:space="0"/>
              <w:left w:val="single" w:color="auto" w:sz="4" w:space="0"/>
              <w:bottom w:val="single" w:color="auto" w:sz="4" w:space="0"/>
              <w:right w:val="single" w:color="auto" w:sz="4" w:space="0"/>
            </w:tcBorders>
            <w:vAlign w:val="center"/>
          </w:tcPr>
          <w:p w14:paraId="542EE31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合同履约期限</w:t>
            </w:r>
          </w:p>
        </w:tc>
        <w:tc>
          <w:tcPr>
            <w:tcW w:w="5749" w:type="dxa"/>
            <w:tcBorders>
              <w:top w:val="single" w:color="auto" w:sz="4" w:space="0"/>
              <w:left w:val="single" w:color="auto" w:sz="4" w:space="0"/>
              <w:bottom w:val="single" w:color="auto" w:sz="4" w:space="0"/>
              <w:right w:val="single" w:color="auto" w:sz="4" w:space="0"/>
            </w:tcBorders>
            <w:vAlign w:val="center"/>
          </w:tcPr>
          <w:p w14:paraId="25C9B707">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自合同签订之日起 30 日内完成</w:t>
            </w:r>
          </w:p>
        </w:tc>
      </w:tr>
      <w:tr w14:paraId="71BE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1E07527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432" w:type="dxa"/>
            <w:tcBorders>
              <w:top w:val="single" w:color="auto" w:sz="4" w:space="0"/>
              <w:left w:val="single" w:color="auto" w:sz="4" w:space="0"/>
              <w:bottom w:val="single" w:color="auto" w:sz="4" w:space="0"/>
              <w:right w:val="single" w:color="auto" w:sz="4" w:space="0"/>
            </w:tcBorders>
            <w:vAlign w:val="center"/>
          </w:tcPr>
          <w:p w14:paraId="19F2D5E1">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5749" w:type="dxa"/>
            <w:tcBorders>
              <w:top w:val="single" w:color="auto" w:sz="4" w:space="0"/>
              <w:left w:val="single" w:color="auto" w:sz="4" w:space="0"/>
              <w:bottom w:val="single" w:color="auto" w:sz="4" w:space="0"/>
              <w:right w:val="single" w:color="auto" w:sz="4" w:space="0"/>
            </w:tcBorders>
            <w:vAlign w:val="center"/>
          </w:tcPr>
          <w:p w14:paraId="57A38D9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最终验收合格双方签字之日起≥3 年，在设备质保期间严格按照国家三包标准执行。</w:t>
            </w:r>
          </w:p>
        </w:tc>
      </w:tr>
      <w:tr w14:paraId="7B54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1184F5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432" w:type="dxa"/>
            <w:tcBorders>
              <w:top w:val="single" w:color="auto" w:sz="4" w:space="0"/>
              <w:left w:val="single" w:color="auto" w:sz="4" w:space="0"/>
              <w:bottom w:val="single" w:color="auto" w:sz="4" w:space="0"/>
              <w:right w:val="single" w:color="auto" w:sz="4" w:space="0"/>
            </w:tcBorders>
            <w:vAlign w:val="center"/>
          </w:tcPr>
          <w:p w14:paraId="3CA812D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5749" w:type="dxa"/>
            <w:tcBorders>
              <w:top w:val="single" w:color="auto" w:sz="4" w:space="0"/>
              <w:left w:val="single" w:color="auto" w:sz="4" w:space="0"/>
              <w:bottom w:val="single" w:color="auto" w:sz="4" w:space="0"/>
              <w:right w:val="single" w:color="auto" w:sz="4" w:space="0"/>
            </w:tcBorders>
            <w:vAlign w:val="center"/>
          </w:tcPr>
          <w:p w14:paraId="16E8C82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516D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38117C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432" w:type="dxa"/>
            <w:tcBorders>
              <w:top w:val="single" w:color="auto" w:sz="4" w:space="0"/>
              <w:left w:val="single" w:color="auto" w:sz="4" w:space="0"/>
              <w:bottom w:val="single" w:color="auto" w:sz="4" w:space="0"/>
              <w:right w:val="single" w:color="auto" w:sz="4" w:space="0"/>
            </w:tcBorders>
            <w:vAlign w:val="center"/>
          </w:tcPr>
          <w:p w14:paraId="3A79B3D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供货地点</w:t>
            </w:r>
          </w:p>
        </w:tc>
        <w:tc>
          <w:tcPr>
            <w:tcW w:w="5749" w:type="dxa"/>
            <w:tcBorders>
              <w:top w:val="single" w:color="auto" w:sz="4" w:space="0"/>
              <w:left w:val="single" w:color="auto" w:sz="4" w:space="0"/>
              <w:bottom w:val="single" w:color="auto" w:sz="4" w:space="0"/>
              <w:right w:val="single" w:color="auto" w:sz="4" w:space="0"/>
            </w:tcBorders>
            <w:vAlign w:val="center"/>
          </w:tcPr>
          <w:p w14:paraId="69F404E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采购人指定地点</w:t>
            </w:r>
          </w:p>
        </w:tc>
      </w:tr>
      <w:tr w14:paraId="7A76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3F1F7A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432" w:type="dxa"/>
            <w:tcBorders>
              <w:top w:val="single" w:color="auto" w:sz="4" w:space="0"/>
              <w:left w:val="single" w:color="auto" w:sz="4" w:space="0"/>
              <w:bottom w:val="single" w:color="auto" w:sz="4" w:space="0"/>
              <w:right w:val="single" w:color="auto" w:sz="4" w:space="0"/>
            </w:tcBorders>
            <w:vAlign w:val="center"/>
          </w:tcPr>
          <w:p w14:paraId="54B79D5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5749" w:type="dxa"/>
            <w:tcBorders>
              <w:top w:val="single" w:color="auto" w:sz="4" w:space="0"/>
              <w:left w:val="single" w:color="auto" w:sz="4" w:space="0"/>
              <w:bottom w:val="single" w:color="auto" w:sz="4" w:space="0"/>
              <w:right w:val="single" w:color="auto" w:sz="4" w:space="0"/>
            </w:tcBorders>
            <w:vAlign w:val="center"/>
          </w:tcPr>
          <w:p w14:paraId="231BBEE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财政资金</w:t>
            </w:r>
          </w:p>
        </w:tc>
      </w:tr>
      <w:tr w14:paraId="02BD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023DED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432" w:type="dxa"/>
            <w:tcBorders>
              <w:top w:val="single" w:color="auto" w:sz="4" w:space="0"/>
              <w:left w:val="single" w:color="auto" w:sz="4" w:space="0"/>
              <w:bottom w:val="single" w:color="auto" w:sz="4" w:space="0"/>
              <w:right w:val="single" w:color="auto" w:sz="4" w:space="0"/>
            </w:tcBorders>
            <w:vAlign w:val="center"/>
          </w:tcPr>
          <w:p w14:paraId="3B296E9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出资比例</w:t>
            </w:r>
          </w:p>
        </w:tc>
        <w:tc>
          <w:tcPr>
            <w:tcW w:w="5749" w:type="dxa"/>
            <w:tcBorders>
              <w:top w:val="single" w:color="auto" w:sz="4" w:space="0"/>
              <w:left w:val="single" w:color="auto" w:sz="4" w:space="0"/>
              <w:bottom w:val="single" w:color="auto" w:sz="4" w:space="0"/>
              <w:right w:val="single" w:color="auto" w:sz="4" w:space="0"/>
            </w:tcBorders>
            <w:vAlign w:val="center"/>
          </w:tcPr>
          <w:p w14:paraId="3F85954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r w14:paraId="1C0C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AE7B1A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432" w:type="dxa"/>
            <w:tcBorders>
              <w:top w:val="single" w:color="auto" w:sz="4" w:space="0"/>
              <w:left w:val="single" w:color="auto" w:sz="4" w:space="0"/>
              <w:bottom w:val="single" w:color="auto" w:sz="4" w:space="0"/>
              <w:right w:val="single" w:color="auto" w:sz="4" w:space="0"/>
            </w:tcBorders>
            <w:vAlign w:val="center"/>
          </w:tcPr>
          <w:p w14:paraId="1597E6E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5749" w:type="dxa"/>
            <w:tcBorders>
              <w:top w:val="single" w:color="auto" w:sz="4" w:space="0"/>
              <w:left w:val="single" w:color="auto" w:sz="4" w:space="0"/>
              <w:bottom w:val="single" w:color="auto" w:sz="4" w:space="0"/>
              <w:right w:val="single" w:color="auto" w:sz="4" w:space="0"/>
            </w:tcBorders>
            <w:vAlign w:val="center"/>
          </w:tcPr>
          <w:p w14:paraId="7F813CF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已落实</w:t>
            </w:r>
          </w:p>
        </w:tc>
      </w:tr>
      <w:tr w14:paraId="3BC1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15C4C15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432" w:type="dxa"/>
            <w:tcBorders>
              <w:top w:val="single" w:color="auto" w:sz="4" w:space="0"/>
              <w:left w:val="single" w:color="auto" w:sz="4" w:space="0"/>
              <w:bottom w:val="single" w:color="auto" w:sz="4" w:space="0"/>
              <w:right w:val="single" w:color="auto" w:sz="4" w:space="0"/>
            </w:tcBorders>
            <w:vAlign w:val="center"/>
          </w:tcPr>
          <w:p w14:paraId="383B08B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投标人资格要求</w:t>
            </w:r>
          </w:p>
        </w:tc>
        <w:tc>
          <w:tcPr>
            <w:tcW w:w="5749" w:type="dxa"/>
            <w:tcBorders>
              <w:top w:val="single" w:color="auto" w:sz="4" w:space="0"/>
              <w:left w:val="single" w:color="auto" w:sz="4" w:space="0"/>
              <w:bottom w:val="single" w:color="auto" w:sz="4" w:space="0"/>
              <w:right w:val="single" w:color="auto" w:sz="4" w:space="0"/>
            </w:tcBorders>
            <w:vAlign w:val="center"/>
          </w:tcPr>
          <w:p w14:paraId="4BCA3EF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28DDF4C1">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2.落实政府采购政策需满足的资格要求：无；</w:t>
            </w:r>
          </w:p>
          <w:p w14:paraId="102C6980">
            <w:pPr>
              <w:pStyle w:val="33"/>
              <w:wordWrap w:val="0"/>
              <w:spacing w:before="0" w:beforeAutospacing="0" w:after="0" w:afterAutospacing="0" w:line="500" w:lineRule="exact"/>
              <w:rPr>
                <w:rFonts w:hint="eastAsia" w:ascii="宋体" w:hAnsi="宋体" w:eastAsia="宋体" w:cs="宋体"/>
                <w:color w:val="auto"/>
                <w:kern w:val="2"/>
                <w:highlight w:val="none"/>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kern w:val="2"/>
                <w:highlight w:val="none"/>
              </w:rPr>
              <w:t>投标产品若为医疗器械，投标人须具有经营医疗器械的相关资格，满足《医疗器械监督管理条例》的资格要求：</w:t>
            </w:r>
          </w:p>
          <w:p w14:paraId="734514D8">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（1）投标产品为第三类医疗器械的需提供医疗器械经营许可证，并提供医疗器械产品注册证；</w:t>
            </w:r>
          </w:p>
          <w:p w14:paraId="71DE23E7">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（2）投标产品为第二类医疗器械的需提供第二类医疗器械经营备案凭证，并提供医疗器械产品注册证；</w:t>
            </w:r>
          </w:p>
          <w:p w14:paraId="56331338">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（3）投标产品为第一类医疗器械的需提供产品第一类医疗器械备案凭证，并提供第一类医疗器械备案信息表；</w:t>
            </w:r>
          </w:p>
          <w:p w14:paraId="2336DE16">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（4）所投产品为国产的提供医疗器械生产企业许可证；</w:t>
            </w:r>
          </w:p>
          <w:p w14:paraId="29F6B14D">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（以上投标产品仅指设备清单所列明的标的物且属于医疗器械管理范畴的产品）</w:t>
            </w:r>
          </w:p>
          <w:p w14:paraId="24B611EE">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（5）所投产品如涉及辐射产品，需提供辐射安全许可证（如所投产品已办理豁免备案，仅需提供备案证明）；</w:t>
            </w:r>
          </w:p>
          <w:p w14:paraId="6CD3EE23">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（6）所投产品需符合国家其他相关行业等相关法律法规要求。</w:t>
            </w:r>
          </w:p>
          <w:p w14:paraId="2713C038">
            <w:pPr>
              <w:pStyle w:val="50"/>
              <w:spacing w:line="440" w:lineRule="exact"/>
              <w:rPr>
                <w:rFonts w:hint="eastAsia" w:ascii="宋体" w:hAnsi="宋体" w:eastAsia="宋体" w:cs="宋体"/>
                <w:color w:val="auto"/>
                <w:highlight w:val="none"/>
              </w:rPr>
            </w:pPr>
            <w:r>
              <w:rPr>
                <w:rFonts w:hint="eastAsia" w:ascii="宋体" w:hAnsi="宋体" w:eastAsia="宋体" w:cs="宋体"/>
                <w:color w:val="auto"/>
                <w:kern w:val="2"/>
                <w:highlight w:val="none"/>
              </w:rPr>
              <w:t>4.单位负责人为同一人或者存在直接控股、管理关系的不同投标人，不得参加同一合同项下的政府采购活动。</w:t>
            </w:r>
          </w:p>
        </w:tc>
      </w:tr>
      <w:tr w14:paraId="5858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2" w:type="dxa"/>
            <w:tcBorders>
              <w:top w:val="single" w:color="auto" w:sz="4" w:space="0"/>
              <w:left w:val="single" w:color="auto" w:sz="4" w:space="0"/>
              <w:right w:val="single" w:color="auto" w:sz="4" w:space="0"/>
            </w:tcBorders>
            <w:vAlign w:val="center"/>
          </w:tcPr>
          <w:p w14:paraId="17F7142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432" w:type="dxa"/>
            <w:tcBorders>
              <w:top w:val="single" w:color="auto" w:sz="4" w:space="0"/>
              <w:left w:val="single" w:color="auto" w:sz="4" w:space="0"/>
              <w:right w:val="single" w:color="auto" w:sz="4" w:space="0"/>
            </w:tcBorders>
            <w:vAlign w:val="center"/>
          </w:tcPr>
          <w:p w14:paraId="7CCCD08A">
            <w:pPr>
              <w:spacing w:line="440" w:lineRule="exact"/>
              <w:rPr>
                <w:rFonts w:hint="eastAsia" w:ascii="宋体" w:hAnsi="宋体" w:eastAsia="宋体" w:cs="宋体"/>
                <w:color w:val="auto"/>
                <w:sz w:val="24"/>
                <w:highlight w:val="none"/>
              </w:rPr>
            </w:pPr>
            <w:r>
              <w:rPr>
                <w:rFonts w:hint="eastAsia" w:ascii="宋体" w:hAnsi="宋体" w:eastAsia="宋体" w:cs="宋体"/>
                <w:bCs/>
                <w:color w:val="auto"/>
                <w:sz w:val="24"/>
                <w:highlight w:val="none"/>
              </w:rPr>
              <w:t>预算金额</w:t>
            </w:r>
            <w:r>
              <w:rPr>
                <w:rFonts w:hint="eastAsia" w:ascii="宋体" w:hAnsi="宋体" w:eastAsia="宋体" w:cs="宋体"/>
                <w:color w:val="auto"/>
                <w:sz w:val="24"/>
                <w:highlight w:val="none"/>
              </w:rPr>
              <w:t>及最高限价</w:t>
            </w:r>
          </w:p>
        </w:tc>
        <w:tc>
          <w:tcPr>
            <w:tcW w:w="5749" w:type="dxa"/>
            <w:tcBorders>
              <w:top w:val="single" w:color="auto" w:sz="4" w:space="0"/>
              <w:left w:val="single" w:color="auto" w:sz="4" w:space="0"/>
              <w:bottom w:val="single" w:color="auto" w:sz="4" w:space="0"/>
              <w:right w:val="single" w:color="auto" w:sz="4" w:space="0"/>
            </w:tcBorders>
            <w:vAlign w:val="center"/>
          </w:tcPr>
          <w:p w14:paraId="58693D0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707500</w:t>
            </w:r>
            <w:r>
              <w:rPr>
                <w:rFonts w:hint="eastAsia" w:ascii="宋体" w:hAnsi="宋体" w:eastAsia="宋体" w:cs="宋体"/>
                <w:color w:val="auto"/>
                <w:sz w:val="24"/>
                <w:highlight w:val="none"/>
              </w:rPr>
              <w:t>元</w:t>
            </w:r>
          </w:p>
        </w:tc>
      </w:tr>
      <w:tr w14:paraId="36B6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tcBorders>
              <w:left w:val="single" w:color="auto" w:sz="4" w:space="0"/>
              <w:bottom w:val="single" w:color="auto" w:sz="4" w:space="0"/>
              <w:right w:val="single" w:color="auto" w:sz="4" w:space="0"/>
            </w:tcBorders>
            <w:vAlign w:val="center"/>
          </w:tcPr>
          <w:p w14:paraId="50FEB3F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432" w:type="dxa"/>
            <w:tcBorders>
              <w:left w:val="single" w:color="auto" w:sz="4" w:space="0"/>
              <w:bottom w:val="single" w:color="auto" w:sz="4" w:space="0"/>
              <w:right w:val="single" w:color="auto" w:sz="4" w:space="0"/>
            </w:tcBorders>
            <w:vAlign w:val="center"/>
          </w:tcPr>
          <w:p w14:paraId="564C239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5749" w:type="dxa"/>
            <w:tcBorders>
              <w:top w:val="single" w:color="auto" w:sz="4" w:space="0"/>
              <w:left w:val="single" w:color="auto" w:sz="4" w:space="0"/>
              <w:bottom w:val="single" w:color="auto" w:sz="4" w:space="0"/>
              <w:right w:val="single" w:color="auto" w:sz="4" w:space="0"/>
            </w:tcBorders>
            <w:vAlign w:val="center"/>
          </w:tcPr>
          <w:p w14:paraId="41FF200B">
            <w:pPr>
              <w:snapToGrid w:val="0"/>
              <w:spacing w:line="440" w:lineRule="exact"/>
              <w:rPr>
                <w:rFonts w:hint="eastAsia" w:ascii="宋体" w:hAnsi="宋体" w:eastAsia="宋体" w:cs="宋体"/>
                <w:bCs/>
                <w:color w:val="auto"/>
                <w:spacing w:val="-16"/>
                <w:sz w:val="24"/>
                <w:highlight w:val="none"/>
              </w:rPr>
            </w:pPr>
            <w:r>
              <w:rPr>
                <w:rFonts w:hint="eastAsia" w:ascii="宋体" w:hAnsi="宋体" w:eastAsia="宋体" w:cs="宋体"/>
                <w:bCs/>
                <w:color w:val="auto"/>
                <w:sz w:val="24"/>
                <w:highlight w:val="none"/>
              </w:rPr>
              <w:t>投标保证金的形式：转账、支票、汇票、本票或者金融机构、担保机构出具的保函等非现金形式</w:t>
            </w:r>
          </w:p>
          <w:p w14:paraId="737D0FF3">
            <w:pPr>
              <w:snapToGrid w:val="0"/>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投标保证金的金额：</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000元</w:t>
            </w:r>
          </w:p>
          <w:p w14:paraId="1FD9C1D5">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提交方式：通过本单位基本账户转出。</w:t>
            </w:r>
          </w:p>
          <w:p w14:paraId="7FEDD939">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投标人须在投标文件提交截止时间前将投标保证金由投标人的基本账户一次性汇入下列指定账户，否则视为无效投标。（以实际到账为准）</w:t>
            </w:r>
          </w:p>
          <w:p w14:paraId="62B35F88">
            <w:pPr>
              <w:spacing w:line="440" w:lineRule="exac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投标人提交的保函必须与招标投标项目一致，其有效期应当与投标有效期一致且真实有效。投标人在电子投标文件中需附保函的扫描件并加盖电子公章。</w:t>
            </w:r>
          </w:p>
          <w:p w14:paraId="1664E01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开户名称：山西德成项目管理有限公司</w:t>
            </w:r>
          </w:p>
          <w:p w14:paraId="36F68E1B">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开户银行：山西银行股份有限公司长治解放东街支行</w:t>
            </w:r>
          </w:p>
          <w:p w14:paraId="2BB665EC">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号：5030209000019</w:t>
            </w:r>
          </w:p>
          <w:p w14:paraId="0F70C67C">
            <w:pPr>
              <w:pStyle w:val="24"/>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    号：313164000119</w:t>
            </w:r>
          </w:p>
          <w:p w14:paraId="747B3BE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注：转账时注明项目名称（可简写）</w:t>
            </w:r>
          </w:p>
        </w:tc>
      </w:tr>
      <w:tr w14:paraId="27E7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119B125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2432" w:type="dxa"/>
            <w:tcBorders>
              <w:top w:val="single" w:color="auto" w:sz="4" w:space="0"/>
              <w:left w:val="single" w:color="auto" w:sz="4" w:space="0"/>
              <w:bottom w:val="single" w:color="auto" w:sz="4" w:space="0"/>
              <w:right w:val="single" w:color="auto" w:sz="4" w:space="0"/>
            </w:tcBorders>
            <w:vAlign w:val="center"/>
          </w:tcPr>
          <w:p w14:paraId="051C4A9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749" w:type="dxa"/>
            <w:tcBorders>
              <w:top w:val="single" w:color="auto" w:sz="4" w:space="0"/>
              <w:left w:val="single" w:color="auto" w:sz="4" w:space="0"/>
              <w:bottom w:val="single" w:color="auto" w:sz="4" w:space="0"/>
              <w:right w:val="single" w:color="auto" w:sz="4" w:space="0"/>
            </w:tcBorders>
            <w:vAlign w:val="center"/>
          </w:tcPr>
          <w:p w14:paraId="2965227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天</w:t>
            </w:r>
          </w:p>
        </w:tc>
      </w:tr>
      <w:tr w14:paraId="5535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EDDF53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432" w:type="dxa"/>
            <w:tcBorders>
              <w:top w:val="single" w:color="auto" w:sz="4" w:space="0"/>
              <w:left w:val="single" w:color="auto" w:sz="4" w:space="0"/>
              <w:bottom w:val="single" w:color="auto" w:sz="4" w:space="0"/>
              <w:right w:val="single" w:color="auto" w:sz="4" w:space="0"/>
            </w:tcBorders>
            <w:vAlign w:val="center"/>
          </w:tcPr>
          <w:p w14:paraId="541428A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是否接受联合体投标</w:t>
            </w:r>
          </w:p>
        </w:tc>
        <w:tc>
          <w:tcPr>
            <w:tcW w:w="5749" w:type="dxa"/>
            <w:tcBorders>
              <w:top w:val="single" w:color="auto" w:sz="4" w:space="0"/>
              <w:left w:val="single" w:color="auto" w:sz="4" w:space="0"/>
              <w:bottom w:val="single" w:color="auto" w:sz="4" w:space="0"/>
              <w:right w:val="single" w:color="auto" w:sz="4" w:space="0"/>
            </w:tcBorders>
            <w:vAlign w:val="center"/>
          </w:tcPr>
          <w:p w14:paraId="2469409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position w:val="-4"/>
                <w:sz w:val="36"/>
                <w:highlight w:val="none"/>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 xml:space="preserve">不接受  </w:t>
            </w:r>
          </w:p>
          <w:p w14:paraId="74E01FE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□接受，应满足下列要求：</w:t>
            </w:r>
          </w:p>
        </w:tc>
      </w:tr>
      <w:tr w14:paraId="46B3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0BA5EF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2432" w:type="dxa"/>
            <w:tcBorders>
              <w:top w:val="single" w:color="auto" w:sz="4" w:space="0"/>
              <w:left w:val="single" w:color="auto" w:sz="4" w:space="0"/>
              <w:bottom w:val="single" w:color="auto" w:sz="4" w:space="0"/>
              <w:right w:val="single" w:color="auto" w:sz="4" w:space="0"/>
            </w:tcBorders>
            <w:vAlign w:val="center"/>
          </w:tcPr>
          <w:p w14:paraId="08DB12E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5749" w:type="dxa"/>
            <w:tcBorders>
              <w:top w:val="single" w:color="auto" w:sz="4" w:space="0"/>
              <w:left w:val="single" w:color="auto" w:sz="4" w:space="0"/>
              <w:bottom w:val="single" w:color="auto" w:sz="4" w:space="0"/>
              <w:right w:val="single" w:color="auto" w:sz="4" w:space="0"/>
            </w:tcBorders>
            <w:vAlign w:val="center"/>
          </w:tcPr>
          <w:p w14:paraId="5770556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position w:val="-4"/>
                <w:sz w:val="36"/>
                <w:highlight w:val="none"/>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不组织</w:t>
            </w:r>
          </w:p>
          <w:p w14:paraId="0B89F61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□组织，自行踏勘</w:t>
            </w:r>
          </w:p>
        </w:tc>
      </w:tr>
      <w:tr w14:paraId="20A8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5D3E504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2432" w:type="dxa"/>
            <w:tcBorders>
              <w:top w:val="single" w:color="auto" w:sz="4" w:space="0"/>
              <w:left w:val="single" w:color="auto" w:sz="4" w:space="0"/>
              <w:bottom w:val="single" w:color="auto" w:sz="4" w:space="0"/>
              <w:right w:val="single" w:color="auto" w:sz="4" w:space="0"/>
            </w:tcBorders>
            <w:vAlign w:val="center"/>
          </w:tcPr>
          <w:p w14:paraId="3A9BB992">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5749" w:type="dxa"/>
            <w:tcBorders>
              <w:top w:val="single" w:color="auto" w:sz="4" w:space="0"/>
              <w:left w:val="single" w:color="auto" w:sz="4" w:space="0"/>
              <w:bottom w:val="single" w:color="auto" w:sz="4" w:space="0"/>
              <w:right w:val="single" w:color="auto" w:sz="4" w:space="0"/>
            </w:tcBorders>
            <w:vAlign w:val="center"/>
          </w:tcPr>
          <w:p w14:paraId="032AEBD6">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position w:val="-4"/>
                <w:sz w:val="36"/>
                <w:highlight w:val="none"/>
              </w:rPr>
              <w:instrText xml:space="preserve">□</w:instrText>
            </w:r>
            <w:r>
              <w:rPr>
                <w:rFonts w:hint="eastAsia" w:ascii="宋体" w:hAnsi="宋体" w:eastAsia="宋体" w:cs="宋体"/>
                <w:color w:val="auto"/>
                <w:sz w:val="24"/>
                <w:highlight w:val="none"/>
              </w:rPr>
              <w:instrText xml:space="preserve">,√)</w:instrTex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不组织</w:t>
            </w:r>
          </w:p>
          <w:p w14:paraId="20A62365">
            <w:pPr>
              <w:pStyle w:val="24"/>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w:t>
            </w:r>
          </w:p>
        </w:tc>
      </w:tr>
      <w:tr w14:paraId="7702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1C5DF0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2432" w:type="dxa"/>
            <w:tcBorders>
              <w:top w:val="single" w:color="auto" w:sz="4" w:space="0"/>
              <w:left w:val="single" w:color="auto" w:sz="4" w:space="0"/>
              <w:bottom w:val="single" w:color="auto" w:sz="4" w:space="0"/>
              <w:right w:val="single" w:color="auto" w:sz="4" w:space="0"/>
            </w:tcBorders>
            <w:vAlign w:val="center"/>
          </w:tcPr>
          <w:p w14:paraId="1F0AB6C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投标截止时间及递交投标文件地点</w:t>
            </w:r>
          </w:p>
        </w:tc>
        <w:tc>
          <w:tcPr>
            <w:tcW w:w="5749" w:type="dxa"/>
            <w:tcBorders>
              <w:top w:val="single" w:color="auto" w:sz="4" w:space="0"/>
              <w:left w:val="single" w:color="auto" w:sz="4" w:space="0"/>
              <w:bottom w:val="single" w:color="auto" w:sz="4" w:space="0"/>
              <w:right w:val="single" w:color="auto" w:sz="4" w:space="0"/>
            </w:tcBorders>
            <w:vAlign w:val="center"/>
          </w:tcPr>
          <w:p w14:paraId="791223CA">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递交截止时间：</w:t>
            </w:r>
            <w:r>
              <w:rPr>
                <w:rFonts w:hint="eastAsia" w:ascii="宋体" w:hAnsi="宋体" w:eastAsia="宋体" w:cs="宋体"/>
                <w:color w:val="auto"/>
                <w:sz w:val="24"/>
                <w:highlight w:val="none"/>
                <w:lang w:eastAsia="zh-CN"/>
              </w:rPr>
              <w:t>2026年06月30日 8:30</w:t>
            </w:r>
          </w:p>
          <w:p w14:paraId="47F40221">
            <w:pPr>
              <w:pStyle w:val="24"/>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电子标书递交地点：通过山西省政府采购网政采云平台完成递交（上传），递交截止时间前未完成投标文件上传的，视为撤回投标文件，投标人自行承担责任。</w:t>
            </w:r>
          </w:p>
        </w:tc>
      </w:tr>
      <w:tr w14:paraId="670F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828186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2432" w:type="dxa"/>
            <w:tcBorders>
              <w:top w:val="single" w:color="auto" w:sz="4" w:space="0"/>
              <w:left w:val="single" w:color="auto" w:sz="4" w:space="0"/>
              <w:bottom w:val="single" w:color="auto" w:sz="4" w:space="0"/>
              <w:right w:val="single" w:color="auto" w:sz="4" w:space="0"/>
            </w:tcBorders>
            <w:vAlign w:val="center"/>
          </w:tcPr>
          <w:p w14:paraId="753DF36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5749" w:type="dxa"/>
            <w:tcBorders>
              <w:top w:val="single" w:color="auto" w:sz="4" w:space="0"/>
              <w:left w:val="single" w:color="auto" w:sz="4" w:space="0"/>
              <w:bottom w:val="single" w:color="auto" w:sz="4" w:space="0"/>
              <w:right w:val="single" w:color="auto" w:sz="4" w:space="0"/>
            </w:tcBorders>
            <w:vAlign w:val="center"/>
          </w:tcPr>
          <w:p w14:paraId="64B070AA">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开标时间：同投标截止时间</w:t>
            </w:r>
          </w:p>
          <w:p w14:paraId="5FDF2277">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开标地点：山西省政府采购网（http∶//www.ccgp-shanxi.gov.cn/home.html</w:t>
            </w:r>
          </w:p>
          <w:p w14:paraId="0E3A20FA">
            <w:pPr>
              <w:spacing w:line="440" w:lineRule="exac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评标地点：长治市潞州区南环东街178号（唯美诺中小企业园二期）9#楼4层</w:t>
            </w:r>
          </w:p>
        </w:tc>
      </w:tr>
      <w:tr w14:paraId="2411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243E92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2432" w:type="dxa"/>
            <w:tcBorders>
              <w:top w:val="single" w:color="auto" w:sz="4" w:space="0"/>
              <w:left w:val="single" w:color="auto" w:sz="4" w:space="0"/>
              <w:bottom w:val="single" w:color="auto" w:sz="4" w:space="0"/>
              <w:right w:val="single" w:color="auto" w:sz="4" w:space="0"/>
            </w:tcBorders>
            <w:vAlign w:val="center"/>
          </w:tcPr>
          <w:p w14:paraId="625369A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w:t>
            </w:r>
          </w:p>
        </w:tc>
        <w:tc>
          <w:tcPr>
            <w:tcW w:w="5749" w:type="dxa"/>
            <w:tcBorders>
              <w:top w:val="single" w:color="auto" w:sz="4" w:space="0"/>
              <w:left w:val="single" w:color="auto" w:sz="4" w:space="0"/>
              <w:bottom w:val="single" w:color="auto" w:sz="4" w:space="0"/>
              <w:right w:val="single" w:color="auto" w:sz="4" w:space="0"/>
            </w:tcBorders>
            <w:vAlign w:val="center"/>
          </w:tcPr>
          <w:p w14:paraId="3508531B">
            <w:pPr>
              <w:snapToGrid w:val="0"/>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评标委员会的构成：5人</w:t>
            </w:r>
          </w:p>
          <w:p w14:paraId="1B68F1D3">
            <w:pPr>
              <w:snapToGrid w:val="0"/>
              <w:spacing w:line="440" w:lineRule="exac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评标专家确定方式：山西省政府采购专家库中随机抽取5名组成。</w:t>
            </w:r>
          </w:p>
        </w:tc>
      </w:tr>
      <w:tr w14:paraId="6E95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107F45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432" w:type="dxa"/>
            <w:tcBorders>
              <w:top w:val="single" w:color="auto" w:sz="4" w:space="0"/>
              <w:left w:val="single" w:color="auto" w:sz="4" w:space="0"/>
              <w:bottom w:val="single" w:color="auto" w:sz="4" w:space="0"/>
              <w:right w:val="single" w:color="auto" w:sz="4" w:space="0"/>
            </w:tcBorders>
          </w:tcPr>
          <w:p w14:paraId="09360241">
            <w:pPr>
              <w:adjustRightInd w:val="0"/>
              <w:snapToGrid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是否授权评审小组直接确定成交投标人</w:t>
            </w:r>
          </w:p>
        </w:tc>
        <w:tc>
          <w:tcPr>
            <w:tcW w:w="5749" w:type="dxa"/>
            <w:tcBorders>
              <w:top w:val="single" w:color="auto" w:sz="4" w:space="0"/>
              <w:left w:val="single" w:color="auto" w:sz="4" w:space="0"/>
              <w:bottom w:val="single" w:color="auto" w:sz="4" w:space="0"/>
              <w:right w:val="single" w:color="auto" w:sz="4" w:space="0"/>
            </w:tcBorders>
          </w:tcPr>
          <w:p w14:paraId="78013E1E">
            <w:pPr>
              <w:autoSpaceDE w:val="0"/>
              <w:autoSpaceDN w:val="0"/>
              <w:adjustRightInd w:val="0"/>
              <w:snapToGrid w:val="0"/>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rPr>
              <w:t>是</w:t>
            </w:r>
          </w:p>
          <w:p w14:paraId="62B9022D">
            <w:pPr>
              <w:adjustRightInd w:val="0"/>
              <w:snapToGrid w:val="0"/>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否，推荐成交候选人：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名</w:t>
            </w:r>
          </w:p>
        </w:tc>
      </w:tr>
      <w:tr w14:paraId="090C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5899E8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2432" w:type="dxa"/>
            <w:tcBorders>
              <w:top w:val="single" w:color="auto" w:sz="4" w:space="0"/>
              <w:left w:val="single" w:color="auto" w:sz="4" w:space="0"/>
              <w:bottom w:val="single" w:color="auto" w:sz="4" w:space="0"/>
              <w:right w:val="single" w:color="auto" w:sz="4" w:space="0"/>
            </w:tcBorders>
            <w:vAlign w:val="center"/>
          </w:tcPr>
          <w:p w14:paraId="3B946D5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签字和（或）盖章要求</w:t>
            </w:r>
          </w:p>
        </w:tc>
        <w:tc>
          <w:tcPr>
            <w:tcW w:w="5749" w:type="dxa"/>
            <w:tcBorders>
              <w:top w:val="single" w:color="auto" w:sz="4" w:space="0"/>
              <w:left w:val="single" w:color="auto" w:sz="4" w:space="0"/>
              <w:bottom w:val="single" w:color="auto" w:sz="4" w:space="0"/>
              <w:right w:val="single" w:color="auto" w:sz="4" w:space="0"/>
            </w:tcBorders>
            <w:vAlign w:val="center"/>
          </w:tcPr>
          <w:p w14:paraId="4833DF5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按照招标文件中要求在相应位置签章（盖章、签字），确保投标文件合法有效</w:t>
            </w:r>
          </w:p>
        </w:tc>
      </w:tr>
      <w:tr w14:paraId="5B2E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7416C0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2432" w:type="dxa"/>
            <w:tcBorders>
              <w:top w:val="single" w:color="auto" w:sz="4" w:space="0"/>
              <w:left w:val="single" w:color="auto" w:sz="4" w:space="0"/>
              <w:bottom w:val="single" w:color="auto" w:sz="4" w:space="0"/>
              <w:right w:val="single" w:color="auto" w:sz="4" w:space="0"/>
            </w:tcBorders>
            <w:vAlign w:val="center"/>
          </w:tcPr>
          <w:p w14:paraId="63DB457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投标文件加密要求</w:t>
            </w:r>
          </w:p>
        </w:tc>
        <w:tc>
          <w:tcPr>
            <w:tcW w:w="5749" w:type="dxa"/>
            <w:tcBorders>
              <w:top w:val="single" w:color="auto" w:sz="4" w:space="0"/>
              <w:left w:val="single" w:color="auto" w:sz="4" w:space="0"/>
              <w:bottom w:val="single" w:color="auto" w:sz="4" w:space="0"/>
              <w:right w:val="single" w:color="auto" w:sz="4" w:space="0"/>
            </w:tcBorders>
            <w:vAlign w:val="center"/>
          </w:tcPr>
          <w:p w14:paraId="6E0544D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用投标文件编写工具进行加密</w:t>
            </w:r>
          </w:p>
        </w:tc>
      </w:tr>
      <w:tr w14:paraId="7D7A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02F9B6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2432" w:type="dxa"/>
            <w:tcBorders>
              <w:top w:val="single" w:color="auto" w:sz="4" w:space="0"/>
              <w:left w:val="single" w:color="auto" w:sz="4" w:space="0"/>
              <w:bottom w:val="single" w:color="auto" w:sz="4" w:space="0"/>
              <w:right w:val="single" w:color="auto" w:sz="4" w:space="0"/>
            </w:tcBorders>
            <w:vAlign w:val="center"/>
          </w:tcPr>
          <w:p w14:paraId="2D69F2F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投标文件电子版</w:t>
            </w:r>
          </w:p>
        </w:tc>
        <w:tc>
          <w:tcPr>
            <w:tcW w:w="5749" w:type="dxa"/>
            <w:tcBorders>
              <w:top w:val="single" w:color="auto" w:sz="4" w:space="0"/>
              <w:left w:val="single" w:color="auto" w:sz="4" w:space="0"/>
              <w:bottom w:val="single" w:color="auto" w:sz="4" w:space="0"/>
              <w:right w:val="single" w:color="auto" w:sz="4" w:space="0"/>
            </w:tcBorders>
            <w:vAlign w:val="center"/>
          </w:tcPr>
          <w:p w14:paraId="549BF10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凡采用电子招投标的项目，按照本招标文件关于电子招投标的具体要求制作投标文件</w:t>
            </w:r>
          </w:p>
        </w:tc>
      </w:tr>
      <w:tr w14:paraId="429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8962A7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2432" w:type="dxa"/>
            <w:tcBorders>
              <w:top w:val="single" w:color="auto" w:sz="4" w:space="0"/>
              <w:left w:val="single" w:color="auto" w:sz="4" w:space="0"/>
              <w:bottom w:val="single" w:color="auto" w:sz="4" w:space="0"/>
              <w:right w:val="single" w:color="auto" w:sz="4" w:space="0"/>
            </w:tcBorders>
            <w:vAlign w:val="center"/>
          </w:tcPr>
          <w:p w14:paraId="63E6F68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5749" w:type="dxa"/>
            <w:tcBorders>
              <w:top w:val="single" w:color="auto" w:sz="4" w:space="0"/>
              <w:left w:val="single" w:color="auto" w:sz="4" w:space="0"/>
              <w:bottom w:val="single" w:color="auto" w:sz="4" w:space="0"/>
              <w:right w:val="single" w:color="auto" w:sz="4" w:space="0"/>
            </w:tcBorders>
            <w:vAlign w:val="center"/>
          </w:tcPr>
          <w:p w14:paraId="2E8BC1AE">
            <w:pPr>
              <w:pStyle w:val="129"/>
              <w:tabs>
                <w:tab w:val="left" w:pos="737"/>
              </w:tabs>
              <w:snapToGrid w:val="0"/>
              <w:spacing w:line="440" w:lineRule="exac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由中标人向采购代理机构支付，</w:t>
            </w:r>
            <w:r>
              <w:rPr>
                <w:rFonts w:hint="eastAsia" w:ascii="宋体" w:hAnsi="宋体" w:eastAsia="宋体" w:cs="宋体"/>
                <w:color w:val="auto"/>
                <w:kern w:val="2"/>
                <w:sz w:val="24"/>
                <w:szCs w:val="24"/>
                <w:highlight w:val="none"/>
                <w:lang w:eastAsia="zh-CN"/>
              </w:rPr>
              <w:t>按中标金额的1.5%收取。</w:t>
            </w:r>
          </w:p>
        </w:tc>
      </w:tr>
      <w:tr w14:paraId="38A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3095AE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p>
        </w:tc>
        <w:tc>
          <w:tcPr>
            <w:tcW w:w="2432" w:type="dxa"/>
            <w:tcBorders>
              <w:top w:val="single" w:color="auto" w:sz="4" w:space="0"/>
              <w:left w:val="single" w:color="auto" w:sz="4" w:space="0"/>
              <w:bottom w:val="single" w:color="auto" w:sz="4" w:space="0"/>
              <w:right w:val="single" w:color="auto" w:sz="4" w:space="0"/>
            </w:tcBorders>
            <w:vAlign w:val="center"/>
          </w:tcPr>
          <w:p w14:paraId="48F11A79">
            <w:pPr>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中小企业划分标准所属行业</w:t>
            </w:r>
          </w:p>
        </w:tc>
        <w:tc>
          <w:tcPr>
            <w:tcW w:w="5749" w:type="dxa"/>
            <w:tcBorders>
              <w:top w:val="single" w:color="auto" w:sz="4" w:space="0"/>
              <w:left w:val="single" w:color="auto" w:sz="4" w:space="0"/>
              <w:bottom w:val="single" w:color="auto" w:sz="4" w:space="0"/>
              <w:right w:val="single" w:color="auto" w:sz="4" w:space="0"/>
            </w:tcBorders>
            <w:vAlign w:val="center"/>
          </w:tcPr>
          <w:p w14:paraId="6491639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Hans"/>
              </w:rPr>
              <w:t>本项目属于</w:t>
            </w:r>
            <w:r>
              <w:rPr>
                <w:rFonts w:hint="eastAsia" w:ascii="宋体" w:hAnsi="宋体" w:eastAsia="宋体" w:cs="宋体"/>
                <w:color w:val="auto"/>
                <w:sz w:val="24"/>
                <w:highlight w:val="none"/>
                <w:lang w:eastAsia="zh-Hans"/>
              </w:rPr>
              <w:sym w:font="Wingdings" w:char="00FE"/>
            </w:r>
            <w:r>
              <w:rPr>
                <w:rFonts w:hint="eastAsia" w:ascii="宋体" w:hAnsi="宋体" w:eastAsia="宋体" w:cs="宋体"/>
                <w:color w:val="auto"/>
                <w:sz w:val="24"/>
                <w:highlight w:val="none"/>
                <w:lang w:eastAsia="zh-Hans"/>
              </w:rPr>
              <w:t>工业</w:t>
            </w:r>
          </w:p>
        </w:tc>
      </w:tr>
      <w:tr w14:paraId="5F32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BDF1CE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2432" w:type="dxa"/>
            <w:tcBorders>
              <w:top w:val="single" w:color="auto" w:sz="4" w:space="0"/>
              <w:left w:val="single" w:color="auto" w:sz="4" w:space="0"/>
              <w:bottom w:val="single" w:color="auto" w:sz="4" w:space="0"/>
              <w:right w:val="single" w:color="auto" w:sz="4" w:space="0"/>
            </w:tcBorders>
            <w:vAlign w:val="center"/>
          </w:tcPr>
          <w:p w14:paraId="39652502">
            <w:pPr>
              <w:pStyle w:val="24"/>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“政采智贷”告知事项</w:t>
            </w:r>
          </w:p>
          <w:p w14:paraId="78499C0F">
            <w:pPr>
              <w:adjustRightInd w:val="0"/>
              <w:snapToGrid w:val="0"/>
              <w:spacing w:line="440" w:lineRule="exact"/>
              <w:jc w:val="left"/>
              <w:rPr>
                <w:rFonts w:hint="eastAsia" w:ascii="宋体" w:hAnsi="宋体" w:eastAsia="宋体" w:cs="宋体"/>
                <w:color w:val="auto"/>
                <w:sz w:val="24"/>
                <w:highlight w:val="none"/>
              </w:rPr>
            </w:pPr>
          </w:p>
        </w:tc>
        <w:tc>
          <w:tcPr>
            <w:tcW w:w="5749" w:type="dxa"/>
            <w:tcBorders>
              <w:top w:val="single" w:color="auto" w:sz="4" w:space="0"/>
              <w:left w:val="single" w:color="auto" w:sz="4" w:space="0"/>
              <w:bottom w:val="single" w:color="auto" w:sz="4" w:space="0"/>
              <w:right w:val="single" w:color="auto" w:sz="4" w:space="0"/>
            </w:tcBorders>
            <w:vAlign w:val="center"/>
          </w:tcPr>
          <w:p w14:paraId="3AF4DF97">
            <w:pPr>
              <w:widowControl/>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符合要求且自愿选择“政采智贷”的中标投标人，可在“中国政府采购网山西分网（山西省政府采购网，http://www.ccgp-shanxi.gov.cn/）”，点击“政采智贷”，进入“山西政府采购信用融资平台”页面，按照《山西省“政采智贷”业务操作指南》办理该项业务。同时，参与“政采智贷”的投标人，应严格按照政府采购合同履约，严格按照信贷合同偿还债务。</w:t>
            </w:r>
          </w:p>
        </w:tc>
      </w:tr>
      <w:tr w14:paraId="43FC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C72055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432" w:type="dxa"/>
            <w:tcBorders>
              <w:top w:val="single" w:color="auto" w:sz="4" w:space="0"/>
              <w:left w:val="single" w:color="auto" w:sz="4" w:space="0"/>
              <w:bottom w:val="single" w:color="auto" w:sz="4" w:space="0"/>
              <w:right w:val="single" w:color="auto" w:sz="4" w:space="0"/>
            </w:tcBorders>
            <w:vAlign w:val="center"/>
          </w:tcPr>
          <w:p w14:paraId="2D43B100">
            <w:pPr>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政府采购相关政策</w:t>
            </w:r>
          </w:p>
          <w:p w14:paraId="18EA110A">
            <w:pPr>
              <w:spacing w:line="44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要求（如涉及的话）</w:t>
            </w:r>
          </w:p>
        </w:tc>
        <w:tc>
          <w:tcPr>
            <w:tcW w:w="5749" w:type="dxa"/>
            <w:tcBorders>
              <w:top w:val="single" w:color="auto" w:sz="4" w:space="0"/>
              <w:left w:val="single" w:color="auto" w:sz="4" w:space="0"/>
              <w:bottom w:val="single" w:color="auto" w:sz="4" w:space="0"/>
              <w:right w:val="single" w:color="auto" w:sz="4" w:space="0"/>
            </w:tcBorders>
            <w:vAlign w:val="center"/>
          </w:tcPr>
          <w:p w14:paraId="4D39B059">
            <w:pPr>
              <w:pStyle w:val="156"/>
              <w:keepNext w:val="0"/>
              <w:keepLines w:val="0"/>
              <w:pageBreakBefore w:val="0"/>
              <w:widowControl w:val="0"/>
              <w:kinsoku/>
              <w:wordWrap/>
              <w:overflowPunct/>
              <w:topLinePunct w:val="0"/>
              <w:autoSpaceDN/>
              <w:bidi w:val="0"/>
              <w:spacing w:line="278" w:lineRule="auto"/>
              <w:ind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1．采购货物未特别注明“进口产品</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pacing w:val="-4"/>
                <w:sz w:val="24"/>
                <w:szCs w:val="24"/>
                <w:highlight w:val="none"/>
              </w:rPr>
              <w:t>”字样的，均必须</w:t>
            </w:r>
            <w:r>
              <w:rPr>
                <w:rFonts w:hint="eastAsia" w:ascii="宋体" w:hAnsi="宋体" w:eastAsia="宋体" w:cs="宋体"/>
                <w:color w:val="auto"/>
                <w:spacing w:val="3"/>
                <w:sz w:val="24"/>
                <w:szCs w:val="24"/>
                <w:highlight w:val="none"/>
              </w:rPr>
              <w:t>采购国产产品，即非“通过中国海关报关验放进入中国</w:t>
            </w:r>
            <w:r>
              <w:rPr>
                <w:rFonts w:hint="eastAsia" w:ascii="宋体" w:hAnsi="宋体" w:eastAsia="宋体" w:cs="宋体"/>
                <w:color w:val="auto"/>
                <w:spacing w:val="-1"/>
                <w:sz w:val="24"/>
                <w:szCs w:val="24"/>
                <w:highlight w:val="none"/>
              </w:rPr>
              <w:t>境内且产自关境外的产品</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pacing w:val="-1"/>
                <w:sz w:val="24"/>
                <w:szCs w:val="24"/>
                <w:highlight w:val="none"/>
              </w:rPr>
              <w:t>”。</w:t>
            </w:r>
          </w:p>
          <w:p w14:paraId="74DA5147">
            <w:pPr>
              <w:pStyle w:val="156"/>
              <w:keepNext w:val="0"/>
              <w:keepLines w:val="0"/>
              <w:pageBreakBefore w:val="0"/>
              <w:widowControl w:val="0"/>
              <w:kinsoku/>
              <w:wordWrap/>
              <w:overflowPunct/>
              <w:topLinePunct w:val="0"/>
              <w:autoSpaceDN/>
              <w:bidi w:val="0"/>
              <w:spacing w:line="307"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2．采购货物中如含“</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3"/>
                <w:sz w:val="24"/>
                <w:szCs w:val="24"/>
                <w:highlight w:val="none"/>
              </w:rPr>
              <w:t>台式计算机、便携式计算机和平</w:t>
            </w:r>
            <w:r>
              <w:rPr>
                <w:rFonts w:hint="eastAsia" w:ascii="宋体" w:hAnsi="宋体" w:eastAsia="宋体" w:cs="宋体"/>
                <w:color w:val="auto"/>
                <w:spacing w:val="3"/>
                <w:sz w:val="24"/>
                <w:szCs w:val="24"/>
                <w:highlight w:val="none"/>
              </w:rPr>
              <w:t>板式微型计算机、激光打印机、针式打印机、液晶显示器、制冷压缩机、空调机组、专用制冷空调设备、镇流器、空调机、电热水器、普通照明用双端荧光灯、电视</w:t>
            </w:r>
            <w:r>
              <w:rPr>
                <w:rFonts w:hint="eastAsia" w:ascii="宋体" w:hAnsi="宋体" w:eastAsia="宋体" w:cs="宋体"/>
                <w:color w:val="auto"/>
                <w:spacing w:val="2"/>
                <w:sz w:val="24"/>
                <w:szCs w:val="24"/>
                <w:highlight w:val="none"/>
              </w:rPr>
              <w:t>设备、视频设备以及便器、水嘴等</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”，属于《节能产品</w:t>
            </w:r>
            <w:r>
              <w:rPr>
                <w:rFonts w:hint="eastAsia" w:ascii="宋体" w:hAnsi="宋体" w:eastAsia="宋体" w:cs="宋体"/>
                <w:color w:val="auto"/>
                <w:spacing w:val="3"/>
                <w:sz w:val="24"/>
                <w:szCs w:val="24"/>
                <w:highlight w:val="none"/>
              </w:rPr>
              <w:t>政府采购品目清单》中政府强制采购产品的，必须提供所投产品获得国家确定的认证机构出具的、处于有效期之内的节能产品认证证书。其他列入《节能产品政府采</w:t>
            </w:r>
            <w:r>
              <w:rPr>
                <w:rFonts w:hint="eastAsia" w:ascii="宋体" w:hAnsi="宋体" w:eastAsia="宋体" w:cs="宋体"/>
                <w:color w:val="auto"/>
                <w:spacing w:val="-1"/>
                <w:sz w:val="24"/>
                <w:szCs w:val="24"/>
                <w:highlight w:val="none"/>
              </w:rPr>
              <w:t>购品目清单》的产品，可享受优先采购政策。</w:t>
            </w:r>
          </w:p>
          <w:p w14:paraId="507EC2FF">
            <w:pPr>
              <w:pStyle w:val="156"/>
              <w:keepNext w:val="0"/>
              <w:keepLines w:val="0"/>
              <w:pageBreakBefore w:val="0"/>
              <w:widowControl w:val="0"/>
              <w:kinsoku/>
              <w:wordWrap/>
              <w:overflowPunct/>
              <w:topLinePunct w:val="0"/>
              <w:autoSpaceDN/>
              <w:bidi w:val="0"/>
              <w:spacing w:line="308" w:lineRule="auto"/>
              <w:ind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3．采购项目中如含有计算机，必须预装正版操作系统</w:t>
            </w:r>
            <w:r>
              <w:rPr>
                <w:rFonts w:hint="eastAsia" w:ascii="宋体" w:hAnsi="宋体" w:eastAsia="宋体" w:cs="宋体"/>
                <w:color w:val="auto"/>
                <w:spacing w:val="-1"/>
                <w:sz w:val="24"/>
                <w:szCs w:val="24"/>
                <w:highlight w:val="none"/>
              </w:rPr>
              <w:t>软件产品；项目中所采购的其它软件必须为正版软件。</w:t>
            </w:r>
          </w:p>
          <w:p w14:paraId="1472DD22">
            <w:pPr>
              <w:keepNext w:val="0"/>
              <w:keepLines w:val="0"/>
              <w:pageBreakBefore w:val="0"/>
              <w:widowControl w:val="0"/>
              <w:kinsoku/>
              <w:wordWrap/>
              <w:overflowPunct/>
              <w:topLinePunct w:val="0"/>
              <w:autoSpaceDN/>
              <w:bidi w:val="0"/>
              <w:spacing w:line="304"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投标人参加本次采购活动，如涉及上述</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z w:val="24"/>
                <w:szCs w:val="24"/>
                <w:highlight w:val="none"/>
              </w:rPr>
              <w:t>1-3项要求，</w:t>
            </w:r>
            <w:r>
              <w:rPr>
                <w:rFonts w:hint="eastAsia" w:ascii="宋体" w:hAnsi="宋体" w:eastAsia="宋体" w:cs="宋体"/>
                <w:b/>
                <w:bCs/>
                <w:color w:val="auto"/>
                <w:spacing w:val="-3"/>
                <w:sz w:val="24"/>
                <w:szCs w:val="24"/>
                <w:highlight w:val="none"/>
              </w:rPr>
              <w:t>均应作出实质性响应，否则将导致投标无效。</w:t>
            </w:r>
          </w:p>
          <w:p w14:paraId="7F903AC6">
            <w:pPr>
              <w:pStyle w:val="156"/>
              <w:keepNext w:val="0"/>
              <w:keepLines w:val="0"/>
              <w:pageBreakBefore w:val="0"/>
              <w:widowControl w:val="0"/>
              <w:kinsoku/>
              <w:wordWrap/>
              <w:overflowPunct/>
              <w:topLinePunct w:val="0"/>
              <w:autoSpaceDN/>
              <w:bidi w:val="0"/>
              <w:spacing w:line="263" w:lineRule="auto"/>
              <w:ind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4．采购货物中有属于《环境标志产品政府采购品目清</w:t>
            </w:r>
            <w:r>
              <w:rPr>
                <w:rFonts w:hint="eastAsia" w:ascii="宋体" w:hAnsi="宋体" w:eastAsia="宋体" w:cs="宋体"/>
                <w:color w:val="auto"/>
                <w:spacing w:val="-1"/>
                <w:sz w:val="24"/>
                <w:szCs w:val="24"/>
                <w:highlight w:val="none"/>
              </w:rPr>
              <w:t>单》内容的，可享受优先采购政策。</w:t>
            </w:r>
          </w:p>
          <w:p w14:paraId="1F7AADBD">
            <w:pPr>
              <w:spacing w:line="44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5．中小微企业参加本项目投标：</w:t>
            </w:r>
          </w:p>
          <w:p w14:paraId="3824E3F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按照《山西省财政厅关于进一步加大政府采购支持中小企业力度助力扎实稳住经济的通知》</w:t>
            </w:r>
          </w:p>
          <w:p w14:paraId="0CB1971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按照工信部联【2011】300号《中小企业划型标准规定》的标准如实填写《中小企业声明函》（格式见附件），监狱企业参加投标视同小微企业，提供由省级以上监狱管理局、戒毒管理局出具的属于监狱企业的证明文件。</w:t>
            </w:r>
          </w:p>
          <w:p w14:paraId="7EC6CB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微企业只有提供本企业制造的货物或者服务，或者提供其他中小企业制造的货物，才享受投标货物的价格折扣，用扣除后的价格参与评审；享受价格折扣的货物不包括使用大型企业注册商标的货物，小型、微型企业提供中型企业制造的货物的，视同为中型企业；若有的话，如实填写《中小企业货物/承担的工程/服务明细表》</w:t>
            </w:r>
          </w:p>
          <w:p w14:paraId="37DB7DBC">
            <w:pPr>
              <w:pStyle w:val="156"/>
              <w:keepNext w:val="0"/>
              <w:keepLines w:val="0"/>
              <w:pageBreakBefore w:val="0"/>
              <w:widowControl w:val="0"/>
              <w:kinsoku/>
              <w:wordWrap/>
              <w:overflowPunct/>
              <w:topLinePunct w:val="0"/>
              <w:autoSpaceDN/>
              <w:bidi w:val="0"/>
              <w:spacing w:line="308" w:lineRule="auto"/>
              <w:ind w:left="0" w:right="0" w:firstLine="0" w:firstLineChars="0"/>
              <w:jc w:val="left"/>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小微企业具体折扣如下：对符合规定的小微企业报价给予一定比例的扣除，用扣除后的价格参加评审。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具体的评审优惠幅度在采购需求环节明确后体现在采购文件及评审标准中和落实在采购评审、合同条款和履约验收等环节过程中。</w:t>
            </w:r>
          </w:p>
          <w:p w14:paraId="33743C8C">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6．残疾人福利单位参加本项目投标：依据《三部门联</w:t>
            </w:r>
            <w:r>
              <w:rPr>
                <w:rFonts w:hint="eastAsia" w:ascii="宋体" w:hAnsi="宋体" w:eastAsia="宋体" w:cs="宋体"/>
                <w:color w:val="auto"/>
                <w:spacing w:val="3"/>
                <w:sz w:val="24"/>
                <w:szCs w:val="24"/>
                <w:highlight w:val="none"/>
              </w:rPr>
              <w:t>合发布关于促进残疾人就业政府采购政策的通知》（财</w:t>
            </w:r>
            <w:r>
              <w:rPr>
                <w:rFonts w:hint="eastAsia" w:ascii="宋体" w:hAnsi="宋体" w:eastAsia="宋体" w:cs="宋体"/>
                <w:color w:val="auto"/>
                <w:spacing w:val="-4"/>
                <w:sz w:val="24"/>
                <w:szCs w:val="24"/>
                <w:highlight w:val="none"/>
              </w:rPr>
              <w:t>库[2017]141</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4"/>
                <w:sz w:val="24"/>
                <w:szCs w:val="24"/>
                <w:highlight w:val="none"/>
              </w:rPr>
              <w:t>号）第三条规定，在政府采购活动中，残疾</w:t>
            </w:r>
            <w:r>
              <w:rPr>
                <w:rFonts w:hint="eastAsia" w:ascii="宋体" w:hAnsi="宋体" w:eastAsia="宋体" w:cs="宋体"/>
                <w:color w:val="auto"/>
                <w:spacing w:val="3"/>
                <w:sz w:val="24"/>
                <w:szCs w:val="24"/>
                <w:highlight w:val="none"/>
              </w:rPr>
              <w:t>人福利性单位视同小型、微型企业，享受预留份额、评</w:t>
            </w:r>
            <w:r>
              <w:rPr>
                <w:rFonts w:hint="eastAsia" w:ascii="宋体" w:hAnsi="宋体" w:eastAsia="宋体" w:cs="宋体"/>
                <w:color w:val="auto"/>
                <w:spacing w:val="-1"/>
                <w:sz w:val="24"/>
                <w:szCs w:val="24"/>
                <w:highlight w:val="none"/>
              </w:rPr>
              <w:t>审中价格扣除等促进中小企业发展的政府采购政策。</w:t>
            </w:r>
            <w:r>
              <w:rPr>
                <w:rFonts w:hint="eastAsia" w:ascii="宋体" w:hAnsi="宋体" w:eastAsia="宋体" w:cs="宋体"/>
                <w:color w:val="auto"/>
                <w:sz w:val="24"/>
                <w:szCs w:val="24"/>
                <w:highlight w:val="none"/>
              </w:rPr>
              <w:t>对属于残疾人福利性单位的价格给予扣除，用扣除后的价格参与评审；</w:t>
            </w:r>
          </w:p>
          <w:p w14:paraId="1F20769B">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注：残疾人福利性单位属于小型、微型企业的，不重复享受政策。</w:t>
            </w:r>
          </w:p>
          <w:p w14:paraId="0CE7C559">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享受政府采购支持政策的残疾人福利性单位应当同时满足以下条件：</w:t>
            </w:r>
          </w:p>
          <w:p w14:paraId="4F96E027">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A.安置的残疾人占本单位在职职工人数的比例不低于25%（含25%），并且安置的残疾人人数不少于10人（含10人）；</w:t>
            </w:r>
          </w:p>
          <w:p w14:paraId="1E5BBC5D">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B.依法与安置的每位残疾人签订了一年以上（含一年）的劳动合同或服务协议；</w:t>
            </w:r>
          </w:p>
          <w:p w14:paraId="13C493B8">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C.为安置的每位残疾人按月足额缴纳了基本养老保险、基本医疗保险、失业保险、工伤保险和生育保险等社会保险费；</w:t>
            </w:r>
          </w:p>
          <w:p w14:paraId="71EA01E9">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D.通过银行等金融机构向安置的每位残疾人，按月支付了不低于单位所在区县适用的经省级人民政府批准的月最低工资标准的工资；</w:t>
            </w:r>
          </w:p>
          <w:p w14:paraId="4F3E0632">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36F59DA7">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B993195">
            <w:pPr>
              <w:pStyle w:val="156"/>
              <w:keepNext w:val="0"/>
              <w:keepLines w:val="0"/>
              <w:pageBreakBefore w:val="0"/>
              <w:widowControl w:val="0"/>
              <w:numPr>
                <w:ilvl w:val="0"/>
                <w:numId w:val="1"/>
              </w:numPr>
              <w:kinsoku/>
              <w:wordWrap/>
              <w:overflowPunct/>
              <w:topLinePunct w:val="0"/>
              <w:autoSpaceDN/>
              <w:bidi w:val="0"/>
              <w:spacing w:line="290" w:lineRule="auto"/>
              <w:ind w:left="0" w:right="0" w:firstLine="0" w:firstLineChars="0"/>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监狱企业参加本项目投标：依据《财政部司法部关</w:t>
            </w:r>
            <w:r>
              <w:rPr>
                <w:rFonts w:hint="eastAsia" w:ascii="宋体" w:hAnsi="宋体" w:eastAsia="宋体" w:cs="宋体"/>
                <w:color w:val="auto"/>
                <w:spacing w:val="5"/>
                <w:sz w:val="24"/>
                <w:szCs w:val="24"/>
                <w:highlight w:val="none"/>
              </w:rPr>
              <w:t>于政府采购支持监狱企业发展有关问题的通知》</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pacing w:val="-4"/>
                <w:sz w:val="24"/>
                <w:szCs w:val="24"/>
                <w:highlight w:val="none"/>
              </w:rPr>
              <w:t>〔2014〕68</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4"/>
                <w:sz w:val="24"/>
                <w:szCs w:val="24"/>
                <w:highlight w:val="none"/>
              </w:rPr>
              <w:t>号)规定，监狱企业视同小型、微型企业，享</w:t>
            </w:r>
            <w:r>
              <w:rPr>
                <w:rFonts w:hint="eastAsia" w:ascii="宋体" w:hAnsi="宋体" w:eastAsia="宋体" w:cs="宋体"/>
                <w:color w:val="auto"/>
                <w:spacing w:val="3"/>
                <w:sz w:val="24"/>
                <w:szCs w:val="24"/>
                <w:highlight w:val="none"/>
              </w:rPr>
              <w:t>受预留份额、评审中价格扣除等政府采购促进中小企业</w:t>
            </w:r>
            <w:r>
              <w:rPr>
                <w:rFonts w:hint="eastAsia" w:ascii="宋体" w:hAnsi="宋体" w:eastAsia="宋体" w:cs="宋体"/>
                <w:color w:val="auto"/>
                <w:spacing w:val="-2"/>
                <w:sz w:val="24"/>
                <w:szCs w:val="24"/>
                <w:highlight w:val="none"/>
              </w:rPr>
              <w:t>发展的政府采购政策。</w:t>
            </w:r>
          </w:p>
          <w:p w14:paraId="74DEE099">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对属于监狱企业的价格给予扣除，用扣除后的价格参与评审。</w:t>
            </w:r>
          </w:p>
          <w:p w14:paraId="67DDA28D">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注：（1）监狱企业又属于小型、微型企业的，不重复享受政策。</w:t>
            </w:r>
          </w:p>
          <w:p w14:paraId="5BA4885D">
            <w:pPr>
              <w:keepNext w:val="0"/>
              <w:keepLines w:val="0"/>
              <w:pageBreakBefore w:val="0"/>
              <w:widowControl w:val="0"/>
              <w:kinsoku/>
              <w:wordWrap/>
              <w:overflowPunct/>
              <w:topLinePunct w:val="0"/>
              <w:autoSpaceDN/>
              <w:bidi w:val="0"/>
              <w:spacing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B5B28F7">
            <w:pPr>
              <w:pStyle w:val="156"/>
              <w:keepNext w:val="0"/>
              <w:keepLines w:val="0"/>
              <w:pageBreakBefore w:val="0"/>
              <w:widowControl w:val="0"/>
              <w:kinsoku/>
              <w:wordWrap/>
              <w:overflowPunct/>
              <w:topLinePunct w:val="0"/>
              <w:autoSpaceDN/>
              <w:bidi w:val="0"/>
              <w:spacing w:line="278" w:lineRule="auto"/>
              <w:ind w:right="0" w:firstLine="0" w:firstLineChars="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8.涉及信息安全产品的</w:t>
            </w:r>
          </w:p>
          <w:p w14:paraId="1523E4FB">
            <w:pPr>
              <w:pStyle w:val="156"/>
              <w:keepNext w:val="0"/>
              <w:keepLines w:val="0"/>
              <w:pageBreakBefore w:val="0"/>
              <w:widowControl w:val="0"/>
              <w:kinsoku/>
              <w:wordWrap/>
              <w:overflowPunct/>
              <w:topLinePunct w:val="0"/>
              <w:autoSpaceDN/>
              <w:bidi w:val="0"/>
              <w:spacing w:line="278" w:lineRule="auto"/>
              <w:ind w:right="0" w:firstLine="0" w:firstLineChars="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供应商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65AFE46B">
            <w:pPr>
              <w:pStyle w:val="156"/>
              <w:keepNext w:val="0"/>
              <w:keepLines w:val="0"/>
              <w:pageBreakBefore w:val="0"/>
              <w:widowControl w:val="0"/>
              <w:kinsoku/>
              <w:wordWrap/>
              <w:overflowPunct/>
              <w:topLinePunct w:val="0"/>
              <w:autoSpaceDN/>
              <w:bidi w:val="0"/>
              <w:spacing w:line="278" w:lineRule="auto"/>
              <w:ind w:right="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9.本项目涉及创新产品、创新服务的要求：投标产品或服务属于《山西省创新产品和服务推荐清单》中创新产品或创新服务的，享受投报产品6%的价格折扣。</w:t>
            </w:r>
          </w:p>
          <w:p w14:paraId="50017A84">
            <w:pPr>
              <w:pStyle w:val="156"/>
              <w:keepNext w:val="0"/>
              <w:keepLines w:val="0"/>
              <w:pageBreakBefore w:val="0"/>
              <w:widowControl w:val="0"/>
              <w:kinsoku/>
              <w:wordWrap/>
              <w:overflowPunct/>
              <w:topLinePunct w:val="0"/>
              <w:autoSpaceDN/>
              <w:bidi w:val="0"/>
              <w:spacing w:line="298" w:lineRule="auto"/>
              <w:ind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10.如涉及网络安全专用产品：根据《关于调整网络安</w:t>
            </w:r>
            <w:r>
              <w:rPr>
                <w:rFonts w:hint="eastAsia" w:ascii="宋体" w:hAnsi="宋体" w:eastAsia="宋体" w:cs="宋体"/>
                <w:color w:val="auto"/>
                <w:spacing w:val="-10"/>
                <w:sz w:val="24"/>
                <w:szCs w:val="24"/>
                <w:highlight w:val="none"/>
              </w:rPr>
              <w:t>全专用产品安全管理有关事项的公告》（2023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sz w:val="24"/>
                <w:szCs w:val="24"/>
                <w:highlight w:val="none"/>
              </w:rPr>
              <w:t>年第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1"/>
                <w:sz w:val="24"/>
                <w:szCs w:val="24"/>
                <w:highlight w:val="none"/>
              </w:rPr>
              <w:t>1</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sz w:val="24"/>
                <w:szCs w:val="24"/>
                <w:highlight w:val="none"/>
              </w:rPr>
              <w:t>号</w:t>
            </w:r>
            <w:r>
              <w:rPr>
                <w:rFonts w:hint="eastAsia" w:ascii="宋体" w:hAnsi="宋体" w:eastAsia="宋体" w:cs="宋体"/>
                <w:color w:val="auto"/>
                <w:spacing w:val="-53"/>
                <w:w w:val="84"/>
                <w:sz w:val="24"/>
                <w:szCs w:val="24"/>
                <w:highlight w:val="none"/>
              </w:rPr>
              <w:t>），</w:t>
            </w:r>
            <w:r>
              <w:rPr>
                <w:rFonts w:hint="eastAsia" w:ascii="宋体" w:hAnsi="宋体" w:eastAsia="宋体" w:cs="宋体"/>
                <w:color w:val="auto"/>
                <w:spacing w:val="3"/>
                <w:sz w:val="24"/>
                <w:szCs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具备资格的机构是指列入《承担网络关键设备和网络安全专用产品安全认证和安全检测任务机</w:t>
            </w:r>
            <w:r>
              <w:rPr>
                <w:rFonts w:hint="eastAsia" w:ascii="宋体" w:hAnsi="宋体" w:eastAsia="宋体" w:cs="宋体"/>
                <w:color w:val="auto"/>
                <w:spacing w:val="-1"/>
                <w:sz w:val="24"/>
                <w:szCs w:val="24"/>
                <w:highlight w:val="none"/>
              </w:rPr>
              <w:t>构名录》的机构）。</w:t>
            </w:r>
          </w:p>
          <w:p w14:paraId="12EEC2DB">
            <w:pPr>
              <w:pStyle w:val="156"/>
              <w:keepNext w:val="0"/>
              <w:keepLines w:val="0"/>
              <w:pageBreakBefore w:val="0"/>
              <w:widowControl w:val="0"/>
              <w:kinsoku/>
              <w:wordWrap/>
              <w:overflowPunct/>
              <w:topLinePunct w:val="0"/>
              <w:autoSpaceDN/>
              <w:bidi w:val="0"/>
              <w:spacing w:line="278" w:lineRule="auto"/>
              <w:ind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11.本项目如涉及商品包装和快递包装的，应符合《商</w:t>
            </w:r>
            <w:r>
              <w:rPr>
                <w:rFonts w:hint="eastAsia" w:ascii="宋体" w:hAnsi="宋体" w:eastAsia="宋体" w:cs="宋体"/>
                <w:color w:val="auto"/>
                <w:spacing w:val="3"/>
                <w:sz w:val="24"/>
                <w:szCs w:val="24"/>
                <w:highlight w:val="none"/>
              </w:rPr>
              <w:t>品包装政府采购需求标准（试行）》、《快递包装政府</w:t>
            </w:r>
            <w:r>
              <w:rPr>
                <w:rFonts w:hint="eastAsia" w:ascii="宋体" w:hAnsi="宋体" w:eastAsia="宋体" w:cs="宋体"/>
                <w:color w:val="auto"/>
                <w:spacing w:val="-1"/>
                <w:sz w:val="24"/>
                <w:szCs w:val="24"/>
                <w:highlight w:val="none"/>
              </w:rPr>
              <w:t>采购需求标准（试行）》的规定。</w:t>
            </w:r>
          </w:p>
          <w:p w14:paraId="09370E03">
            <w:pPr>
              <w:pStyle w:val="156"/>
              <w:keepNext w:val="0"/>
              <w:keepLines w:val="0"/>
              <w:pageBreakBefore w:val="0"/>
              <w:widowControl w:val="0"/>
              <w:kinsoku/>
              <w:wordWrap/>
              <w:overflowPunct/>
              <w:topLinePunct w:val="0"/>
              <w:autoSpaceDN/>
              <w:bidi w:val="0"/>
              <w:spacing w:line="295" w:lineRule="auto"/>
              <w:ind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12.若本项目属于数据中心建设项目时，招标人应按照</w:t>
            </w:r>
            <w:r>
              <w:rPr>
                <w:rFonts w:hint="eastAsia" w:ascii="宋体" w:hAnsi="宋体" w:eastAsia="宋体" w:cs="宋体"/>
                <w:color w:val="auto"/>
                <w:spacing w:val="3"/>
                <w:sz w:val="24"/>
                <w:szCs w:val="24"/>
                <w:highlight w:val="none"/>
              </w:rPr>
              <w:t>《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w:t>
            </w:r>
            <w:r>
              <w:rPr>
                <w:rFonts w:hint="eastAsia" w:ascii="宋体" w:hAnsi="宋体" w:eastAsia="宋体" w:cs="宋体"/>
                <w:color w:val="auto"/>
                <w:spacing w:val="-3"/>
                <w:sz w:val="24"/>
                <w:szCs w:val="24"/>
                <w:highlight w:val="none"/>
              </w:rPr>
              <w:t>诺书》。</w:t>
            </w:r>
          </w:p>
          <w:p w14:paraId="05018EB6">
            <w:pPr>
              <w:pStyle w:val="156"/>
              <w:keepNext w:val="0"/>
              <w:keepLines w:val="0"/>
              <w:pageBreakBefore w:val="0"/>
              <w:widowControl w:val="0"/>
              <w:kinsoku/>
              <w:wordWrap/>
              <w:overflowPunct/>
              <w:topLinePunct w:val="0"/>
              <w:autoSpaceDN/>
              <w:bidi w:val="0"/>
              <w:spacing w:line="278" w:lineRule="auto"/>
              <w:ind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13.若所投产品涉及自欧盟进口产品的，按《财政部关</w:t>
            </w:r>
            <w:r>
              <w:rPr>
                <w:rFonts w:hint="eastAsia" w:ascii="宋体" w:hAnsi="宋体" w:eastAsia="宋体" w:cs="宋体"/>
                <w:color w:val="auto"/>
                <w:spacing w:val="3"/>
                <w:sz w:val="24"/>
                <w:szCs w:val="24"/>
                <w:highlight w:val="none"/>
              </w:rPr>
              <w:t>于在政府采购活动中对自欧盟进口的医疗器械采取相关</w:t>
            </w:r>
            <w:r>
              <w:rPr>
                <w:rFonts w:hint="eastAsia" w:ascii="宋体" w:hAnsi="宋体" w:eastAsia="宋体" w:cs="宋体"/>
                <w:color w:val="auto"/>
                <w:spacing w:val="-2"/>
                <w:sz w:val="24"/>
                <w:szCs w:val="24"/>
                <w:highlight w:val="none"/>
              </w:rPr>
              <w:t>措施的通知（财库〔2025〕19</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号）》执行。</w:t>
            </w:r>
          </w:p>
          <w:p w14:paraId="14C87283">
            <w:pPr>
              <w:pStyle w:val="156"/>
              <w:keepNext w:val="0"/>
              <w:keepLines w:val="0"/>
              <w:pageBreakBefore w:val="0"/>
              <w:widowControl w:val="0"/>
              <w:kinsoku/>
              <w:wordWrap/>
              <w:overflowPunct/>
              <w:topLinePunct w:val="0"/>
              <w:autoSpaceDN/>
              <w:bidi w:val="0"/>
              <w:spacing w:line="308"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14.⑴按照《国务院办公厅关于在政府采购中实施本国</w:t>
            </w:r>
            <w:r>
              <w:rPr>
                <w:rFonts w:hint="eastAsia" w:ascii="宋体" w:hAnsi="宋体" w:eastAsia="宋体" w:cs="宋体"/>
                <w:color w:val="auto"/>
                <w:spacing w:val="-1"/>
                <w:sz w:val="24"/>
                <w:szCs w:val="24"/>
                <w:highlight w:val="none"/>
              </w:rPr>
              <w:t>产品标准及相关政策的通知》（国办发〔2025〕34</w:t>
            </w:r>
            <w:r>
              <w:rPr>
                <w:rFonts w:hint="eastAsia" w:ascii="宋体" w:hAnsi="宋体" w:eastAsia="宋体" w:cs="宋体"/>
                <w:color w:val="auto"/>
                <w:spacing w:val="-2"/>
                <w:sz w:val="24"/>
                <w:szCs w:val="24"/>
                <w:highlight w:val="none"/>
              </w:rPr>
              <w:t xml:space="preserve"> 号）</w:t>
            </w:r>
            <w:r>
              <w:rPr>
                <w:rFonts w:hint="eastAsia" w:ascii="宋体" w:hAnsi="宋体" w:eastAsia="宋体" w:cs="宋体"/>
                <w:color w:val="auto"/>
                <w:spacing w:val="3"/>
                <w:sz w:val="24"/>
                <w:szCs w:val="24"/>
                <w:highlight w:val="none"/>
              </w:rPr>
              <w:t>要求，在接受进口产品投标的采购项目或采购包中，提供本国生产的货物的供应商，应当对其提供的产品出具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w:t>
            </w:r>
            <w:r>
              <w:rPr>
                <w:rFonts w:hint="eastAsia" w:ascii="宋体" w:hAnsi="宋体" w:eastAsia="宋体" w:cs="宋体"/>
                <w:color w:val="auto"/>
                <w:spacing w:val="-1"/>
                <w:sz w:val="24"/>
                <w:szCs w:val="24"/>
                <w:highlight w:val="none"/>
              </w:rPr>
              <w:t>规定追究相应责任。</w:t>
            </w:r>
          </w:p>
          <w:p w14:paraId="3011504B">
            <w:pPr>
              <w:pStyle w:val="156"/>
              <w:keepNext w:val="0"/>
              <w:keepLines w:val="0"/>
              <w:pageBreakBefore w:val="0"/>
              <w:widowControl w:val="0"/>
              <w:kinsoku/>
              <w:wordWrap/>
              <w:overflowPunct/>
              <w:topLinePunct w:val="0"/>
              <w:autoSpaceDN/>
              <w:bidi w:val="0"/>
              <w:spacing w:line="218"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⑵对本国产品的支持政策的相关要求</w:t>
            </w:r>
          </w:p>
          <w:p w14:paraId="0D177E11">
            <w:pPr>
              <w:pStyle w:val="156"/>
              <w:keepNext w:val="0"/>
              <w:keepLines w:val="0"/>
              <w:pageBreakBefore w:val="0"/>
              <w:widowControl w:val="0"/>
              <w:kinsoku/>
              <w:wordWrap/>
              <w:overflowPunct/>
              <w:topLinePunct w:val="0"/>
              <w:autoSpaceDN/>
              <w:bidi w:val="0"/>
              <w:spacing w:line="286"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①政府采购活动中既有本国产品又有非本国产品参与竞争的，依法对本国产品给予价格评审优惠，对本国产品的报价给予 20%的价格扣除，用扣除后的价格参与评</w:t>
            </w:r>
            <w:r>
              <w:rPr>
                <w:rFonts w:hint="eastAsia" w:ascii="宋体" w:hAnsi="宋体" w:eastAsia="宋体" w:cs="宋体"/>
                <w:color w:val="auto"/>
                <w:spacing w:val="-7"/>
                <w:sz w:val="24"/>
                <w:szCs w:val="24"/>
                <w:highlight w:val="none"/>
              </w:rPr>
              <w:t>审。</w:t>
            </w:r>
          </w:p>
          <w:p w14:paraId="14F4A6F6">
            <w:pPr>
              <w:pStyle w:val="156"/>
              <w:keepNext w:val="0"/>
              <w:keepLines w:val="0"/>
              <w:pageBreakBefore w:val="0"/>
              <w:widowControl w:val="0"/>
              <w:kinsoku/>
              <w:wordWrap/>
              <w:overflowPunct/>
              <w:topLinePunct w:val="0"/>
              <w:autoSpaceDN/>
              <w:bidi w:val="0"/>
              <w:spacing w:line="293"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②当采购项目或者采购包中含有多种产品，供应商为该采购项目或者采购包提供的符合本国产品标准的产品成本之和占该供应商提供的全部产品成本之和的比例达到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w:t>
            </w:r>
            <w:r>
              <w:rPr>
                <w:rFonts w:hint="eastAsia" w:ascii="宋体" w:hAnsi="宋体" w:eastAsia="宋体" w:cs="宋体"/>
                <w:color w:val="auto"/>
                <w:spacing w:val="-1"/>
                <w:sz w:val="24"/>
                <w:szCs w:val="24"/>
                <w:highlight w:val="none"/>
              </w:rPr>
              <w:t>予 20%的价格扣除，用扣除后的价格参与评审。</w:t>
            </w:r>
          </w:p>
          <w:p w14:paraId="65132259">
            <w:pPr>
              <w:keepNext w:val="0"/>
              <w:keepLines w:val="0"/>
              <w:pageBreakBefore w:val="0"/>
              <w:widowControl w:val="0"/>
              <w:kinsoku/>
              <w:wordWrap/>
              <w:overflowPunct/>
              <w:topLinePunct w:val="0"/>
              <w:autoSpaceDE w:val="0"/>
              <w:autoSpaceDN/>
              <w:bidi w:val="0"/>
              <w:adjustRightInd w:val="0"/>
              <w:snapToGrid w:val="0"/>
              <w:spacing w:line="440" w:lineRule="exact"/>
              <w:ind w:left="0" w:right="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pacing w:val="-3"/>
                <w:sz w:val="24"/>
                <w:szCs w:val="24"/>
                <w:highlight w:val="none"/>
              </w:rPr>
              <w:t>具体政府采购政策评审标准以评审办法规定为准。</w:t>
            </w:r>
          </w:p>
        </w:tc>
      </w:tr>
    </w:tbl>
    <w:p w14:paraId="5197E38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注：本表内容与投标人须知内容不一致的，以本表内容为准。</w:t>
      </w:r>
    </w:p>
    <w:p w14:paraId="4B0098B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4"/>
          <w:highlight w:val="none"/>
        </w:rPr>
        <w:t xml:space="preserve">二、投标人须知总则     </w:t>
      </w:r>
    </w:p>
    <w:p w14:paraId="70EEB8A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适用范围：本招标文件适用于本次招标活动的全过程。</w:t>
      </w:r>
    </w:p>
    <w:p w14:paraId="112EF6A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定义</w:t>
      </w:r>
    </w:p>
    <w:p w14:paraId="51B819B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货物”指本招标文件中所述所有货物。按照财政部《政府采购进口产品管理办法》（财库[2007]119号）有关规定，本招标文件涉及的所有采购内容除特别标注为“进口产品”外，均必须采购国产产品。进口产品特指“通过中国海关报关验放进入中国境内且产自关境外的产品”。</w:t>
      </w:r>
    </w:p>
    <w:p w14:paraId="1EBE4C4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2.2“服务”指除货物以外规定由投标人承担的与货物有关的辅助服务，比如运输、保险以及其他的伴随服务，比如安装、调试、技术援助和合同中规定由投标人承担的其他义务。</w:t>
      </w:r>
    </w:p>
    <w:p w14:paraId="05821E3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2.3“采购人”指</w:t>
      </w:r>
      <w:r>
        <w:rPr>
          <w:rFonts w:hint="eastAsia" w:ascii="宋体" w:hAnsi="宋体" w:eastAsia="宋体" w:cs="宋体"/>
          <w:bCs/>
          <w:color w:val="auto"/>
          <w:sz w:val="24"/>
          <w:highlight w:val="none"/>
          <w:lang w:eastAsia="zh-CN"/>
        </w:rPr>
        <w:t>长治市疾病预防控制中心（长治市卫生监督所）</w:t>
      </w:r>
      <w:r>
        <w:rPr>
          <w:rFonts w:hint="eastAsia" w:ascii="宋体" w:hAnsi="宋体" w:eastAsia="宋体" w:cs="宋体"/>
          <w:color w:val="auto"/>
          <w:sz w:val="24"/>
          <w:highlight w:val="none"/>
        </w:rPr>
        <w:t>。</w:t>
      </w:r>
    </w:p>
    <w:p w14:paraId="6BCEABB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2.4“潜在投标人”指符合本招标文件各项规定的合格投标人。</w:t>
      </w:r>
    </w:p>
    <w:p w14:paraId="729EE6C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2.5“投标人”指符合本招标文件规定并参加投标的投标人。</w:t>
      </w:r>
    </w:p>
    <w:p w14:paraId="5508ED0F">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3.合格投标人的条件</w:t>
      </w:r>
    </w:p>
    <w:p w14:paraId="527B474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3.1具有本项目实施及服务能力，符合、承认并承诺履行本招标文件各项规定的国内投标人。</w:t>
      </w:r>
    </w:p>
    <w:p w14:paraId="5E69EE5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3.2投标人必须是已在中国境内依法登记注册的并具有独立法人资格、根据商业法规运营的企业，且其所持有的由相关行政管理部门所核发的有效的营业执照。</w:t>
      </w:r>
    </w:p>
    <w:p w14:paraId="20E97C5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3.3依法注册的投标人注册资金应足以保证本项目实施过程中的风险承担和赔付能力。</w:t>
      </w:r>
    </w:p>
    <w:p w14:paraId="3854BFD2">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3.4满足《中华人民共和国政府采购法》第二十二条规定:</w:t>
      </w:r>
    </w:p>
    <w:p w14:paraId="264FB26F">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（一）具有独立承担民事责任的能力。</w:t>
      </w:r>
    </w:p>
    <w:p w14:paraId="5A7D0951">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（二）具有良好的商业信誉和健全的财务会计制度。</w:t>
      </w:r>
    </w:p>
    <w:p w14:paraId="09DB3CB9">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（三）具有履行合同所必需的设备和专业技术能力。</w:t>
      </w:r>
    </w:p>
    <w:p w14:paraId="3AB545F2">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（四）有依法缴纳税收和社会保障资金的良好记录。</w:t>
      </w:r>
    </w:p>
    <w:p w14:paraId="57492C5B">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（五）参加政府采购活动前三年内，在经营活动中没有重大违法记录。</w:t>
      </w:r>
    </w:p>
    <w:p w14:paraId="2D3777ED">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（六）法律、行政法规规定的其他条件。</w:t>
      </w:r>
    </w:p>
    <w:p w14:paraId="440082E8">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3.5落实政府采购政策需满足的资格要求：无；</w:t>
      </w:r>
    </w:p>
    <w:p w14:paraId="020C1A36">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bCs/>
          <w:color w:val="auto"/>
          <w:sz w:val="24"/>
          <w:highlight w:val="none"/>
        </w:rPr>
        <w:t>3.6本项目的特定资格要求：</w:t>
      </w:r>
      <w:r>
        <w:rPr>
          <w:rFonts w:hint="eastAsia" w:ascii="宋体" w:hAnsi="宋体" w:eastAsia="宋体" w:cs="宋体"/>
          <w:color w:val="auto"/>
          <w:kern w:val="2"/>
          <w:highlight w:val="none"/>
        </w:rPr>
        <w:t>投标产品若为医疗器械，投标人须具有经营医疗器械的相关资格，满足《医疗器械监督管理条例》的资格要求：</w:t>
      </w:r>
    </w:p>
    <w:p w14:paraId="28C72E0B">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（1）投标产品为第三类医疗器械的需提供医疗器械经营许可证，并提供医疗器械产品注册证；</w:t>
      </w:r>
    </w:p>
    <w:p w14:paraId="66571B85">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（2）投标产品为第二类医疗器械的需提供第二类医疗器械经营备案凭证，并提供医疗器械产品注册证；</w:t>
      </w:r>
    </w:p>
    <w:p w14:paraId="29F427CA">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（3）投标产品为第一类医疗器械的需提供产品第一类医疗器械备案凭证，并提供第一类医疗器械备案信息表；</w:t>
      </w:r>
    </w:p>
    <w:p w14:paraId="6CB8D1AB">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（4）所投产品为国产的提供医疗器械生产企业许可证；</w:t>
      </w:r>
    </w:p>
    <w:p w14:paraId="2A3F4EB1">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（以上投标产品仅指设备清单所列明的标的物且属于医疗器械管理范畴的产品）</w:t>
      </w:r>
    </w:p>
    <w:p w14:paraId="447A28BE">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（5）所投产品如涉及辐射产品，需提供辐射安全许可证（如所投产品已办理豁免备案，仅需提供备案证明）；</w:t>
      </w:r>
    </w:p>
    <w:p w14:paraId="2A3B2EA6">
      <w:pPr>
        <w:pStyle w:val="33"/>
        <w:wordWrap w:val="0"/>
        <w:spacing w:before="0" w:beforeAutospacing="0" w:after="0" w:afterAutospacing="0" w:line="500" w:lineRule="exact"/>
        <w:ind w:firstLine="420"/>
        <w:rPr>
          <w:rFonts w:hint="eastAsia" w:ascii="宋体" w:hAnsi="宋体" w:eastAsia="宋体" w:cs="宋体"/>
          <w:color w:val="auto"/>
          <w:kern w:val="2"/>
          <w:highlight w:val="none"/>
        </w:rPr>
      </w:pPr>
      <w:r>
        <w:rPr>
          <w:rFonts w:hint="eastAsia" w:ascii="宋体" w:hAnsi="宋体" w:eastAsia="宋体" w:cs="宋体"/>
          <w:color w:val="auto"/>
          <w:kern w:val="2"/>
          <w:highlight w:val="none"/>
        </w:rPr>
        <w:t>（6）所投产品需符合国家其他相关行业等相关法律法规要求。</w:t>
      </w:r>
    </w:p>
    <w:p w14:paraId="51683575">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3.7本项目不接受联合体投标。</w:t>
      </w:r>
    </w:p>
    <w:p w14:paraId="25D79CAD">
      <w:pPr>
        <w:snapToGrid w:val="0"/>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 投标费用</w:t>
      </w:r>
    </w:p>
    <w:p w14:paraId="5BA2642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4.1投标人应当承担参与本次投标活动发生的相关费用，采购代理机构和采购人在任何情况下均无义务和责任承担这些费用。</w:t>
      </w:r>
    </w:p>
    <w:p w14:paraId="7FE8F4B2">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三、招标文件</w:t>
      </w:r>
    </w:p>
    <w:p w14:paraId="27004A46">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招标文件的构成</w:t>
      </w:r>
    </w:p>
    <w:p w14:paraId="512E31C6">
      <w:pPr>
        <w:tabs>
          <w:tab w:val="left" w:pos="525"/>
        </w:tabs>
        <w:adjustRightInd w:val="0"/>
        <w:snapToGrid w:val="0"/>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 招标文件由下列六部分内容组成：</w:t>
      </w:r>
    </w:p>
    <w:p w14:paraId="74386AA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招标公告；</w:t>
      </w:r>
    </w:p>
    <w:p w14:paraId="336117F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w:t>
      </w:r>
    </w:p>
    <w:p w14:paraId="2EE1EDB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评标标准和评标方法；</w:t>
      </w:r>
    </w:p>
    <w:p w14:paraId="2C6A920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商务及技术要求；</w:t>
      </w:r>
    </w:p>
    <w:p w14:paraId="0F6FED2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政府采购合同；</w:t>
      </w:r>
    </w:p>
    <w:p w14:paraId="53E8F0B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2A68762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  招标文件中落实政府采购政策的相关要求详见前附表的规定。</w:t>
      </w:r>
    </w:p>
    <w:p w14:paraId="04887FF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03A123FC">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招标文件的澄清和修改</w:t>
      </w:r>
    </w:p>
    <w:p w14:paraId="57EE2F7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6.1 代理机构可以对已发出的招标文件进行必要的澄清或者修改，澄清或者修改在原公告发布媒体上发布澄清公告。澄清或者修改的内容为招标文件的组成部分，对所有投标人均具有约束作用。 </w:t>
      </w:r>
    </w:p>
    <w:p w14:paraId="679F0B6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6.2 澄清或者修改的内容可能影响投标文件编制的，代理机构在投标截止时间至少15 日前，以电子形式通知潜在投标人；不足15日的，顺延提交投标文件的截止时间。 </w:t>
      </w:r>
    </w:p>
    <w:p w14:paraId="5B84F98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投标人澄清要求的提交：任何已领取了招标文件的潜在投标人，均可以在 “山西省政府采购网”以电子形式在投标文件递交截止时间 15 日以前要求对招标文件进行澄清，采购代理机构对规定时间内收到的澄清要求以电子形式予以答复，答复包括所有问题，但不包括问题的来源。</w:t>
      </w:r>
    </w:p>
    <w:p w14:paraId="1764C59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在不改变招标文件实质内容前提下，代理公司和招标人在开标现场可对投标情况做进一步的澄清和说明，并经委托代理人远程签字确认。</w:t>
      </w:r>
    </w:p>
    <w:p w14:paraId="0FFC479C">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四、投标文件 </w:t>
      </w:r>
    </w:p>
    <w:p w14:paraId="5C53EFC8">
      <w:pPr>
        <w:spacing w:line="46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投标文件的语言和计量单位</w:t>
      </w:r>
    </w:p>
    <w:p w14:paraId="1B22A9C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投标人提交的投标文件（包括商务文件、技术文件和资料）以及投标人与采购代理机构就有关投标的所有来往函电均应使用中文简体字。</w:t>
      </w:r>
    </w:p>
    <w:p w14:paraId="1BD7A37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投标文件所使用的计量单位，应使用国家法定计量单位。</w:t>
      </w:r>
    </w:p>
    <w:p w14:paraId="3AA5D45B">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投标文件的组成及相关要求</w:t>
      </w:r>
    </w:p>
    <w:p w14:paraId="06D08AA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投标文件分为资格证明文件和商务/技术文件两部分。</w:t>
      </w:r>
    </w:p>
    <w:p w14:paraId="0963786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本次招标，投标人应按本招标文件要求提交商务、技术部分内容和需要投标人自行编写的其他文件，若有缺失或无效，将作无效投标处理。（具体填写要求及格式详见招标文件</w:t>
      </w:r>
      <w:r>
        <w:rPr>
          <w:rFonts w:hint="eastAsia" w:ascii="宋体" w:hAnsi="宋体" w:eastAsia="宋体" w:cs="宋体"/>
          <w:b/>
          <w:color w:val="auto"/>
          <w:sz w:val="24"/>
          <w:highlight w:val="none"/>
        </w:rPr>
        <w:t>第六部分</w:t>
      </w:r>
      <w:r>
        <w:rPr>
          <w:rFonts w:hint="eastAsia" w:ascii="宋体" w:hAnsi="宋体" w:eastAsia="宋体" w:cs="宋体"/>
          <w:color w:val="auto"/>
          <w:sz w:val="24"/>
          <w:highlight w:val="none"/>
        </w:rPr>
        <w:t>）。</w:t>
      </w:r>
    </w:p>
    <w:p w14:paraId="480F553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8.2为方便评标，技术文件中的各项表格必须按照招标文件第六部分格式要求制作。</w:t>
      </w:r>
    </w:p>
    <w:p w14:paraId="0F462A75">
      <w:pPr>
        <w:tabs>
          <w:tab w:val="left" w:pos="602"/>
        </w:tabs>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投标人必须保证投标文件所提供的全部资料真实可靠，并接受评标委员会对其中任何资料进一步审查的要求。</w:t>
      </w:r>
    </w:p>
    <w:p w14:paraId="11D77272">
      <w:pPr>
        <w:tabs>
          <w:tab w:val="left" w:pos="602"/>
        </w:tabs>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投标文件及其附件的编制、编目、编页要求如下：</w:t>
      </w:r>
    </w:p>
    <w:p w14:paraId="114E2BC6">
      <w:pPr>
        <w:tabs>
          <w:tab w:val="left" w:pos="602"/>
        </w:tabs>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（1）投标文件所有内容按照招标文件所规定的内容顺序</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统一编目、编页码（投标文件中复印件及彩色宣传资料、说明等附件均须与投标文件正文一起逐页编排页码</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由于编排混乱导致投标文件被误读或难以查找，其责任应当由投标人承担；</w:t>
      </w:r>
    </w:p>
    <w:p w14:paraId="7EF212C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w:t>
      </w:r>
      <w:r>
        <w:rPr>
          <w:rFonts w:hint="eastAsia" w:ascii="宋体" w:hAnsi="宋体" w:eastAsia="宋体" w:cs="宋体"/>
          <w:b/>
          <w:color w:val="auto"/>
          <w:sz w:val="24"/>
          <w:highlight w:val="none"/>
        </w:rPr>
        <w:t>投标文件编排顺序及内容要求</w:t>
      </w:r>
      <w:r>
        <w:rPr>
          <w:rFonts w:hint="eastAsia" w:ascii="宋体" w:hAnsi="宋体" w:eastAsia="宋体" w:cs="宋体"/>
          <w:color w:val="auto"/>
          <w:sz w:val="24"/>
          <w:highlight w:val="none"/>
        </w:rPr>
        <w:t>（请投标人务必按此顺序做目录或表，并标明页码，其中应提交的其他资料应写清具体内容、编排页码，以利于评委评标）。</w:t>
      </w:r>
    </w:p>
    <w:p w14:paraId="27C78A47">
      <w:pPr>
        <w:pBdr>
          <w:top w:val="none" w:color="auto" w:sz="0" w:space="1"/>
          <w:left w:val="none" w:color="auto" w:sz="0" w:space="4"/>
          <w:bottom w:val="none" w:color="auto" w:sz="0" w:space="1"/>
          <w:right w:val="none" w:color="auto" w:sz="0" w:space="4"/>
        </w:pBdr>
        <w:snapToGrid w:val="0"/>
        <w:spacing w:line="560" w:lineRule="exact"/>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8.3.1商务部分</w:t>
      </w:r>
      <w:r>
        <w:rPr>
          <w:rFonts w:hint="eastAsia" w:ascii="宋体" w:hAnsi="宋体" w:eastAsia="宋体" w:cs="宋体"/>
          <w:color w:val="auto"/>
          <w:kern w:val="0"/>
          <w:sz w:val="24"/>
          <w:highlight w:val="none"/>
        </w:rPr>
        <w:t xml:space="preserve"> </w:t>
      </w:r>
    </w:p>
    <w:p w14:paraId="2D1096F1">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（1）投标函(见‘投标文件格式’)； </w:t>
      </w:r>
    </w:p>
    <w:p w14:paraId="707B6A86">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（2）法定代表人身份证明书(见‘投标文件格式’)；</w:t>
      </w:r>
    </w:p>
    <w:p w14:paraId="49B281C1">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（3）法定代表人授权委托书 (见‘投标文件格式’)；</w:t>
      </w:r>
    </w:p>
    <w:p w14:paraId="60289251">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（4）营业执照副本（扫描件须加盖投标人公章）；</w:t>
      </w:r>
    </w:p>
    <w:p w14:paraId="0F821907">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（5）银行基本账户开户许可证或基本存款账户信息（扫描件须加盖投标人公章）；</w:t>
      </w:r>
    </w:p>
    <w:p w14:paraId="0D06CEBA">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（6）投标保证金缴纳凭证（扫描件须加盖投标人公章）；</w:t>
      </w:r>
    </w:p>
    <w:p w14:paraId="59357D5A">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（7）长治市政府采购供应商信用承诺函(见‘投标文件格式’)；</w:t>
      </w:r>
    </w:p>
    <w:p w14:paraId="7416BFFB">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（8）商务偏离表(见‘投标文件格式’)；</w:t>
      </w:r>
    </w:p>
    <w:p w14:paraId="27CFFBAB">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（9）投标人认为需要提供的其他商务材料（包括评分标准里要求提供的材料）（须加盖投标人公章）。</w:t>
      </w:r>
    </w:p>
    <w:p w14:paraId="70F68FC8">
      <w:pPr>
        <w:pBdr>
          <w:top w:val="none" w:color="auto" w:sz="0" w:space="1"/>
          <w:left w:val="none" w:color="auto" w:sz="0" w:space="4"/>
          <w:bottom w:val="none" w:color="auto" w:sz="0" w:space="1"/>
          <w:right w:val="none" w:color="auto" w:sz="0" w:space="4"/>
        </w:pBdr>
        <w:snapToGrid w:val="0"/>
        <w:spacing w:line="560" w:lineRule="exact"/>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8.3.2技术部分</w:t>
      </w:r>
    </w:p>
    <w:p w14:paraId="3DF6E27E">
      <w:pPr>
        <w:numPr>
          <w:ilvl w:val="0"/>
          <w:numId w:val="2"/>
        </w:num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开标一览表(见‘投标文件格式’)；</w:t>
      </w:r>
    </w:p>
    <w:p w14:paraId="435BD8E9">
      <w:pPr>
        <w:numPr>
          <w:ilvl w:val="0"/>
          <w:numId w:val="2"/>
        </w:num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技术偏离表（见‘投标文件格式’）；</w:t>
      </w:r>
    </w:p>
    <w:p w14:paraId="359D3405">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（3）项目实施方案（须加盖投标人公章）；</w:t>
      </w:r>
    </w:p>
    <w:p w14:paraId="6AE16155">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（4）售后服务承诺（须加盖投标人公章）；</w:t>
      </w:r>
    </w:p>
    <w:p w14:paraId="635FD896">
      <w:pPr>
        <w:spacing w:line="500" w:lineRule="exact"/>
        <w:ind w:firstLine="480" w:firstLineChars="200"/>
        <w:rPr>
          <w:rFonts w:hint="eastAsia" w:ascii="宋体" w:hAnsi="宋体" w:eastAsia="宋体" w:cs="宋体"/>
          <w:color w:val="auto"/>
          <w:kern w:val="0"/>
          <w:sz w:val="24"/>
          <w:highlight w:val="none"/>
        </w:rPr>
      </w:pPr>
      <w:bookmarkStart w:id="10" w:name="_Toc261618232"/>
      <w:bookmarkStart w:id="11" w:name="_Toc43885684"/>
      <w:r>
        <w:rPr>
          <w:rFonts w:hint="eastAsia" w:ascii="宋体" w:hAnsi="宋体" w:eastAsia="宋体" w:cs="宋体"/>
          <w:color w:val="auto"/>
          <w:kern w:val="0"/>
          <w:sz w:val="24"/>
          <w:highlight w:val="none"/>
        </w:rPr>
        <w:t>（5）投标人认为必要的其它技术资料</w:t>
      </w:r>
      <w:bookmarkEnd w:id="10"/>
      <w:bookmarkEnd w:id="11"/>
      <w:r>
        <w:rPr>
          <w:rFonts w:hint="eastAsia" w:ascii="宋体" w:hAnsi="宋体" w:eastAsia="宋体" w:cs="宋体"/>
          <w:color w:val="auto"/>
          <w:kern w:val="0"/>
          <w:sz w:val="24"/>
          <w:highlight w:val="none"/>
        </w:rPr>
        <w:t>（包括评分标准里要求提供的材料）（须加盖投标人公章）。</w:t>
      </w:r>
    </w:p>
    <w:p w14:paraId="6F04E31B">
      <w:pPr>
        <w:pBdr>
          <w:top w:val="none" w:color="auto" w:sz="0" w:space="1"/>
          <w:left w:val="none" w:color="auto" w:sz="0" w:space="4"/>
          <w:bottom w:val="none" w:color="auto" w:sz="0" w:space="1"/>
          <w:right w:val="none" w:color="auto" w:sz="0" w:space="4"/>
        </w:pBdr>
        <w:snapToGrid w:val="0"/>
        <w:spacing w:line="56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8.3.3政府采购政策性要求部分（如适用）：</w:t>
      </w:r>
    </w:p>
    <w:p w14:paraId="2989833D">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（1）环保节能产品证明（如适用）（见“投标文件格式”）</w:t>
      </w:r>
    </w:p>
    <w:p w14:paraId="1B7C7B87">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（2）创新产品或创新服务证明（如适用）（见“投标文件格式”）</w:t>
      </w:r>
    </w:p>
    <w:p w14:paraId="119B9EA5">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（3）正版软件承诺格式（如适用）（见“投标文件格式”）</w:t>
      </w:r>
    </w:p>
    <w:p w14:paraId="1A21E70D">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（4）中小企业声明（如适用）（见“投标文件格式”）</w:t>
      </w:r>
    </w:p>
    <w:p w14:paraId="21A99FA9">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（5）监狱企业声明（如适用）（见“投标文件格式”）；</w:t>
      </w:r>
    </w:p>
    <w:p w14:paraId="035EEA3E">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（6）残疾人福利性单位声明函（如适用）(见‘投标文件格式’)；</w:t>
      </w:r>
    </w:p>
    <w:p w14:paraId="6B4D09D0">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（7）商品包装和快递包装承诺格式（如适用）(见‘投标文件格式’)；</w:t>
      </w:r>
    </w:p>
    <w:p w14:paraId="057E60BC">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（8）符合绿色数据中心建设要求承诺书格式（如适用）(见‘投标文件格式’)；</w:t>
      </w:r>
    </w:p>
    <w:p w14:paraId="5C51BCA0">
      <w:pPr>
        <w:pBdr>
          <w:top w:val="none" w:color="auto" w:sz="0" w:space="1"/>
          <w:left w:val="none" w:color="auto" w:sz="0" w:space="4"/>
          <w:bottom w:val="none" w:color="auto" w:sz="0" w:space="1"/>
          <w:right w:val="none" w:color="auto" w:sz="0" w:space="4"/>
        </w:pBdr>
        <w:snapToGrid w:val="0"/>
        <w:spacing w:line="5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（9）关于符合本国产品标准的声明函（如适用）(见‘投标文件格式’)；</w:t>
      </w:r>
    </w:p>
    <w:p w14:paraId="46BE2608">
      <w:pPr>
        <w:adjustRightInd w:val="0"/>
        <w:snapToGrid w:val="0"/>
        <w:spacing w:line="400" w:lineRule="exact"/>
        <w:ind w:firstLine="482" w:firstLineChars="200"/>
        <w:jc w:val="left"/>
        <w:rPr>
          <w:rFonts w:hint="eastAsia" w:ascii="宋体" w:hAnsi="宋体" w:eastAsia="宋体" w:cs="宋体"/>
          <w:b/>
          <w:bCs/>
          <w:color w:val="auto"/>
          <w:kern w:val="0"/>
          <w:sz w:val="24"/>
          <w:highlight w:val="none"/>
          <w:lang w:bidi="ar"/>
        </w:rPr>
      </w:pPr>
    </w:p>
    <w:p w14:paraId="07C5EDEE">
      <w:pPr>
        <w:adjustRightInd w:val="0"/>
        <w:snapToGrid w:val="0"/>
        <w:spacing w:line="40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bidi="ar"/>
        </w:rPr>
        <w:t>注：1、</w:t>
      </w:r>
      <w:r>
        <w:rPr>
          <w:rFonts w:hint="eastAsia" w:ascii="宋体" w:hAnsi="宋体" w:eastAsia="宋体" w:cs="宋体"/>
          <w:b/>
          <w:bCs/>
          <w:color w:val="auto"/>
          <w:kern w:val="0"/>
          <w:sz w:val="24"/>
          <w:highlight w:val="none"/>
        </w:rPr>
        <w:t>投标人应随时关注山西省政府采购网（http://www.ccgp-shanxi.gov.cn/home.html）关于本项目的一切信息，由投标人的疏忽，造成投标文件编写错误，后果由投标人承担。</w:t>
      </w:r>
    </w:p>
    <w:p w14:paraId="4F4581F3">
      <w:pPr>
        <w:spacing w:line="46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2、投标人在投标（响应）时，按照规定提供长治市政府采购</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信用承诺函(见‘投标文件格式’)，无需再提交相关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未被列入失信被执行人、重大税收违法失信主体名单、政府采购严重违法失信行为记录名单的证明材料）。</w:t>
      </w:r>
    </w:p>
    <w:p w14:paraId="389733D9">
      <w:pPr>
        <w:spacing w:line="46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3、采购人有权在签订合同前要求中标投标人提供相关证明材料以核实中标投标人承诺事项的真实性。</w:t>
      </w:r>
    </w:p>
    <w:p w14:paraId="1BACED3E">
      <w:pPr>
        <w:spacing w:line="46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投标人对信用承诺内容的真实性、合法性、有效性负责。如作出虚假信用承诺，视同为“提供虚假材料谋取中标、成交”的违法行为。经调查核实后，按照《中华人民共和国政府采购法》第七十七条规定进行相应处罚。</w:t>
      </w:r>
    </w:p>
    <w:p w14:paraId="54161C1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8.4投标保证金</w:t>
      </w:r>
    </w:p>
    <w:p w14:paraId="6F40A3E0">
      <w:pPr>
        <w:snapToGrid w:val="0"/>
        <w:spacing w:line="440" w:lineRule="exact"/>
        <w:ind w:firstLine="480" w:firstLineChars="200"/>
        <w:rPr>
          <w:rFonts w:hint="eastAsia" w:ascii="宋体" w:hAnsi="宋体" w:eastAsia="宋体" w:cs="宋体"/>
          <w:bCs/>
          <w:color w:val="auto"/>
          <w:kern w:val="0"/>
          <w:sz w:val="24"/>
          <w:szCs w:val="22"/>
          <w:highlight w:val="none"/>
        </w:rPr>
      </w:pPr>
      <w:r>
        <w:rPr>
          <w:rFonts w:hint="eastAsia" w:ascii="宋体" w:hAnsi="宋体" w:eastAsia="宋体" w:cs="宋体"/>
          <w:color w:val="auto"/>
          <w:kern w:val="0"/>
          <w:sz w:val="24"/>
          <w:highlight w:val="none"/>
        </w:rPr>
        <w:t>8.4.1投标人应提交的投标保证金金额和提交方式详见投标人须知前附表第11条。</w:t>
      </w:r>
      <w:r>
        <w:rPr>
          <w:rFonts w:hint="eastAsia" w:ascii="宋体" w:hAnsi="宋体" w:eastAsia="宋体" w:cs="宋体"/>
          <w:bCs/>
          <w:color w:val="auto"/>
          <w:kern w:val="0"/>
          <w:sz w:val="24"/>
          <w:highlight w:val="none"/>
        </w:rPr>
        <w:t>未按要求提交投标保证金的，投标无效。</w:t>
      </w:r>
    </w:p>
    <w:p w14:paraId="1DDBBC71">
      <w:pPr>
        <w:snapToGrid w:val="0"/>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8.4</w:t>
      </w:r>
      <w:r>
        <w:rPr>
          <w:rFonts w:hint="eastAsia" w:ascii="宋体" w:hAnsi="宋体" w:eastAsia="宋体" w:cs="宋体"/>
          <w:bCs/>
          <w:color w:val="auto"/>
          <w:kern w:val="0"/>
          <w:sz w:val="24"/>
          <w:highlight w:val="none"/>
        </w:rPr>
        <w:t>.2投标人在投标截止时间前撤回已提交的投标文件的，采购代理机构应当自收到投标人书面撤回通知之日起5个工作日内，退还已收取的投标保证金，但因投标人自身原因导致无法及时退还的除外。</w:t>
      </w:r>
    </w:p>
    <w:p w14:paraId="11D8FC77">
      <w:pPr>
        <w:snapToGrid w:val="0"/>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8.4.3采购</w:t>
      </w:r>
      <w:r>
        <w:rPr>
          <w:rFonts w:hint="eastAsia" w:ascii="宋体" w:hAnsi="宋体" w:eastAsia="宋体" w:cs="宋体"/>
          <w:bCs/>
          <w:color w:val="auto"/>
          <w:kern w:val="0"/>
          <w:sz w:val="24"/>
          <w:highlight w:val="none"/>
        </w:rPr>
        <w:t>代理机构</w:t>
      </w:r>
      <w:r>
        <w:rPr>
          <w:rFonts w:hint="eastAsia" w:ascii="宋体" w:hAnsi="宋体" w:eastAsia="宋体" w:cs="宋体"/>
          <w:color w:val="auto"/>
          <w:kern w:val="0"/>
          <w:sz w:val="24"/>
          <w:highlight w:val="none"/>
        </w:rPr>
        <w:t>应当自中标通知书发出</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w:t>
      </w:r>
      <w:r>
        <w:rPr>
          <w:rFonts w:hint="eastAsia" w:ascii="宋体" w:hAnsi="宋体" w:eastAsia="宋体" w:cs="宋体"/>
          <w:color w:val="auto"/>
          <w:kern w:val="0"/>
          <w:sz w:val="24"/>
          <w:highlight w:val="none"/>
          <w:lang w:val="en-US" w:eastAsia="zh-CN"/>
        </w:rPr>
        <w:t>原路</w:t>
      </w:r>
      <w:r>
        <w:rPr>
          <w:rFonts w:hint="eastAsia" w:ascii="宋体" w:hAnsi="宋体" w:eastAsia="宋体" w:cs="宋体"/>
          <w:color w:val="auto"/>
          <w:kern w:val="0"/>
          <w:sz w:val="24"/>
          <w:highlight w:val="none"/>
        </w:rPr>
        <w:t>退还未中标人的投标保证金，自采购合同签订</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w:t>
      </w:r>
      <w:r>
        <w:rPr>
          <w:rFonts w:hint="eastAsia" w:ascii="宋体" w:hAnsi="宋体" w:eastAsia="宋体" w:cs="宋体"/>
          <w:color w:val="auto"/>
          <w:kern w:val="0"/>
          <w:sz w:val="24"/>
          <w:highlight w:val="none"/>
          <w:lang w:val="en-US" w:eastAsia="zh-CN"/>
        </w:rPr>
        <w:t>原路</w:t>
      </w:r>
      <w:r>
        <w:rPr>
          <w:rFonts w:hint="eastAsia" w:ascii="宋体" w:hAnsi="宋体" w:eastAsia="宋体" w:cs="宋体"/>
          <w:color w:val="auto"/>
          <w:kern w:val="0"/>
          <w:sz w:val="24"/>
          <w:highlight w:val="none"/>
        </w:rPr>
        <w:t>退还中标人的投标保证金</w:t>
      </w:r>
      <w:r>
        <w:rPr>
          <w:rFonts w:hint="eastAsia" w:ascii="宋体" w:hAnsi="宋体" w:eastAsia="宋体" w:cs="宋体"/>
          <w:bCs/>
          <w:color w:val="auto"/>
          <w:kern w:val="0"/>
          <w:sz w:val="24"/>
          <w:highlight w:val="none"/>
        </w:rPr>
        <w:t>，但因投标人自身原因导致无法及时退还的除外。</w:t>
      </w:r>
    </w:p>
    <w:p w14:paraId="4C5A2AA9">
      <w:pPr>
        <w:snapToGrid w:val="0"/>
        <w:spacing w:line="440" w:lineRule="exact"/>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8.4.4</w:t>
      </w:r>
      <w:r>
        <w:rPr>
          <w:rFonts w:hint="eastAsia" w:ascii="宋体" w:hAnsi="宋体" w:eastAsia="宋体" w:cs="宋体"/>
          <w:bCs/>
          <w:color w:val="auto"/>
          <w:kern w:val="0"/>
          <w:sz w:val="24"/>
          <w:highlight w:val="none"/>
        </w:rPr>
        <w:t>有下列情形之一的，投标保证金不予退还：</w:t>
      </w:r>
    </w:p>
    <w:p w14:paraId="3A236F89">
      <w:pPr>
        <w:snapToGrid w:val="0"/>
        <w:spacing w:line="440" w:lineRule="exact"/>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（1）投标人在提交投标文件截止时间后撤回投标文件的；</w:t>
      </w:r>
    </w:p>
    <w:p w14:paraId="7C7AA1F3">
      <w:pPr>
        <w:snapToGrid w:val="0"/>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（2）投标人在投标文件中提供虚假材料的；</w:t>
      </w:r>
    </w:p>
    <w:p w14:paraId="07A3D68D">
      <w:pPr>
        <w:snapToGrid w:val="0"/>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（3）除因不可抗力或招标文件认可的情形外，中标人不与采购人签订合同的；</w:t>
      </w:r>
    </w:p>
    <w:p w14:paraId="336A88A9">
      <w:pPr>
        <w:snapToGrid w:val="0"/>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（4）投标人与采购人、其他投标人或者采购代理机构恶意串通的；</w:t>
      </w:r>
    </w:p>
    <w:p w14:paraId="19098008">
      <w:pPr>
        <w:snapToGrid w:val="0"/>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（5）招标文件规定的其他情形。</w:t>
      </w:r>
    </w:p>
    <w:p w14:paraId="6068927D">
      <w:pPr>
        <w:spacing w:line="46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8.5  投标报价</w:t>
      </w:r>
    </w:p>
    <w:p w14:paraId="48460762">
      <w:pPr>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投标人投标报价单价和总价均不可超各规定的最高限价。</w:t>
      </w:r>
    </w:p>
    <w:p w14:paraId="2D74F5E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报价均以人民币元为计算单位。只要投报了一个确定数额的总价，无论分项价格是否全部填报了相应的金额或免费字样，报价应被视为已经包含了但并不限于各项购买货物及其运送、安装、调试、验收和相关服务等的费用。在其它情况下，由于分项报价填报不完整、不清楚或存在其它任何失误，所导致的任何不利后果均应当由投标人自行承担。</w:t>
      </w:r>
    </w:p>
    <w:p w14:paraId="7B0B5C6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）投标人投报多包的，应对每包分别报价并分别填报开标一览表。</w:t>
      </w:r>
    </w:p>
    <w:p w14:paraId="7DE4334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）本次招标只接受投标文件内的报价，不接受可选择或可调整的投标报价。</w:t>
      </w:r>
    </w:p>
    <w:p w14:paraId="368F3708">
      <w:pPr>
        <w:tabs>
          <w:tab w:val="left" w:pos="5040"/>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）投标人要按投标货物数量、价格表(统一格式)的内容填写货物单价（包括货物报价、装箱、包装、包装物料、送货）、总价及其他事项，并由法定代表人或投标人代表签署。</w:t>
      </w:r>
    </w:p>
    <w:p w14:paraId="2F3EEF7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）投标人对投标报价若有说明，应在开标一览表显著位置注明，开标时只有唱出的报价优惠承诺才会在评标时予以考虑。</w:t>
      </w:r>
    </w:p>
    <w:p w14:paraId="1C75A5F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采用综合评分法的，最低有效报价不能作为中标的保证。</w:t>
      </w:r>
    </w:p>
    <w:p w14:paraId="686CA043">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9.投标内容填写说明</w:t>
      </w:r>
    </w:p>
    <w:p w14:paraId="2A4D18A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 投标人应详细阅读招标文件的全部内容。投标文件须对招标文件中的内容做出实质性和完整性的响应。</w:t>
      </w:r>
    </w:p>
    <w:p w14:paraId="6AB6E71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bCs/>
          <w:color w:val="auto"/>
          <w:sz w:val="24"/>
          <w:highlight w:val="none"/>
        </w:rPr>
        <w:t xml:space="preserve"> 投标文件应严格按照招标文件第六部分的要求提交，并按规定的统一格式逐项填写，不准有空项；无相应内容可填的项应填写“无”、“未测试”、“没有相应指标”等明确的回答文字。</w:t>
      </w:r>
    </w:p>
    <w:p w14:paraId="05CBB725">
      <w:pPr>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9.3</w:t>
      </w:r>
      <w:r>
        <w:rPr>
          <w:rFonts w:hint="eastAsia" w:ascii="宋体" w:hAnsi="宋体" w:eastAsia="宋体" w:cs="宋体"/>
          <w:bCs/>
          <w:color w:val="auto"/>
          <w:sz w:val="24"/>
          <w:highlight w:val="none"/>
        </w:rPr>
        <w:t>开标一览表所载信息是开标仪式上唱标的内容，要求按格式统一填写，不得自行增减内容。</w:t>
      </w:r>
    </w:p>
    <w:p w14:paraId="733DC7D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 投标人必须保证投标文件所提供的全部资料真实可靠，并接受评标委员会对其中任何资料进一步审查的要求。</w:t>
      </w:r>
    </w:p>
    <w:p w14:paraId="2428E5FE">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 投标文件的有效期</w:t>
      </w:r>
    </w:p>
    <w:p w14:paraId="500BF50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10.1本项目投标文件的有效期为90天，从开标当日开始计算。投标有效期不满足要求的投标将被视为非实质性响应，其投标文件无效。</w:t>
      </w:r>
    </w:p>
    <w:p w14:paraId="75C4BAE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7431F3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在特殊情况下，采购人在原定投标文件有效期内可以根据需要向投标人提出延长投标文件有效期的要求，投标人应立即以传真等书面形式对此要求向采购人作出答复；投标人可以拒绝采购人的要求而不会因此被没收投标保证金。同意延期的投标人应相应地延长投标保证金的有效期，但不得因此而提出修改投标文件的要求。在延长期内，本须知关于投标保证金的退还与没收的规定仍然适用。</w:t>
      </w:r>
    </w:p>
    <w:p w14:paraId="0510443D">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投标文件的签署及规定</w:t>
      </w:r>
    </w:p>
    <w:p w14:paraId="5C169CC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组成投标文件的各项文件均应遵守本条规定。</w:t>
      </w:r>
    </w:p>
    <w:p w14:paraId="6A8A0045">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11.2投标人在投标文件及相关文件的签订、履行、通知等事项的书面文件中的“单位盖章”、“印章”、“公章”等处均仅指与投标人名称全称相一致的标准公章，不得使用其它（如带有“专用章”等字样）的印章。</w:t>
      </w:r>
    </w:p>
    <w:p w14:paraId="4B393FD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投标人应按照招标文件要求，逐页加盖公章。</w:t>
      </w:r>
    </w:p>
    <w:p w14:paraId="6E520C37">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投标文件中所有提交的复印件、影印件等必须加盖投标人公章，以证明其真实、有效。</w:t>
      </w:r>
    </w:p>
    <w:p w14:paraId="5CAB8B45">
      <w:pPr>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11.4 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w:t>
      </w:r>
      <w:r>
        <w:rPr>
          <w:rFonts w:hint="eastAsia" w:ascii="宋体" w:hAnsi="宋体" w:eastAsia="宋体" w:cs="宋体"/>
          <w:bCs/>
          <w:color w:val="auto"/>
          <w:sz w:val="24"/>
          <w:highlight w:val="none"/>
        </w:rPr>
        <w:t>则评委会有权视该条款是否为主要技术、商务条款而有权作无效投标处理。</w:t>
      </w:r>
    </w:p>
    <w:p w14:paraId="3C0AC87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投标人应按本招标文件所要求提交投标文件。</w:t>
      </w:r>
    </w:p>
    <w:p w14:paraId="04B9FE8A">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投标人对本招标文件第六部分“投标文件格式”中提供格式的资料，必须按照样表格式要求在指定位置加盖与投标人全称相一致的行政公章，并经法定代表人或投标人代表签字</w:t>
      </w:r>
      <w:r>
        <w:rPr>
          <w:rFonts w:hint="eastAsia" w:ascii="宋体" w:hAnsi="宋体" w:eastAsia="宋体" w:cs="宋体"/>
          <w:color w:val="auto"/>
          <w:sz w:val="24"/>
          <w:highlight w:val="none"/>
          <w:lang w:val="en-US" w:eastAsia="zh-CN"/>
        </w:rPr>
        <w:t>或盖章</w:t>
      </w:r>
      <w:r>
        <w:rPr>
          <w:rFonts w:hint="eastAsia" w:ascii="宋体" w:hAnsi="宋体" w:eastAsia="宋体" w:cs="宋体"/>
          <w:b/>
          <w:color w:val="auto"/>
          <w:sz w:val="24"/>
          <w:highlight w:val="none"/>
        </w:rPr>
        <w:t>。</w:t>
      </w:r>
    </w:p>
    <w:p w14:paraId="3D2D0C28">
      <w:pPr>
        <w:spacing w:line="460" w:lineRule="exact"/>
        <w:ind w:firstLine="482" w:firstLineChars="200"/>
        <w:rPr>
          <w:rFonts w:hint="eastAsia" w:ascii="宋体" w:hAnsi="宋体" w:eastAsia="宋体" w:cs="宋体"/>
          <w:b/>
          <w:color w:val="auto"/>
          <w:sz w:val="24"/>
          <w:highlight w:val="none"/>
        </w:rPr>
      </w:pPr>
    </w:p>
    <w:p w14:paraId="6E669E2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  投标文件应字迹清楚、内容齐全、不得涂改或增删。如有修改和增删，必须有投标人公章及法定代表人或其授权的委托代理人签字，投标文件中所有提交的证明材料必须加盖投标人电子公章，以证明其真实、有效。</w:t>
      </w:r>
    </w:p>
    <w:p w14:paraId="71CEADA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11.7  因投标文件字迹潦草或表达不清所引起的不利后果由投标人承担。</w:t>
      </w:r>
    </w:p>
    <w:p w14:paraId="20E8342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11.8  因未按照招标文件要求编制而导致的投标文件被误读或被视为无效投标等不利后果由投标人承担。</w:t>
      </w:r>
    </w:p>
    <w:p w14:paraId="0724E82D">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五、投标文件的递交</w:t>
      </w:r>
    </w:p>
    <w:p w14:paraId="2DEBC870">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投标文件的加密及上传</w:t>
      </w:r>
    </w:p>
    <w:p w14:paraId="49752C1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12.1投标人须在投标文件上传截止时间前，登录“山西省政府采购网”在线提交加密后的电子投标文件，投标截止时间后将无法上传投标文件。</w:t>
      </w:r>
    </w:p>
    <w:p w14:paraId="2F29E339">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13.投标文件解密验证</w:t>
      </w:r>
    </w:p>
    <w:p w14:paraId="74FECC4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投标投标人在“山西省政府采购网”上传加密投标文件后，上传的加密投标文件须自行下载解密验证。</w:t>
      </w:r>
    </w:p>
    <w:p w14:paraId="6DEEF5E9">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投标截止时间</w:t>
      </w:r>
    </w:p>
    <w:p w14:paraId="035CE84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投标文件须按照招标文件规定的投标时间、地点递交。在投标截止时间以后递交的投标文件，</w:t>
      </w:r>
      <w:r>
        <w:rPr>
          <w:rFonts w:hint="eastAsia" w:ascii="宋体" w:hAnsi="宋体" w:eastAsia="宋体" w:cs="宋体"/>
          <w:b/>
          <w:color w:val="auto"/>
          <w:sz w:val="24"/>
          <w:highlight w:val="none"/>
        </w:rPr>
        <w:t>采购代理机构拒绝接受。</w:t>
      </w:r>
    </w:p>
    <w:p w14:paraId="1E46BBCA">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投标文件的补充、修改和撤回</w:t>
      </w:r>
    </w:p>
    <w:p w14:paraId="1A9EF46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15.1投标人撤回投标的要求，应由投标人法定代表人或投标人代表签署，补充、修改投标文件的书面材料，应当按照招标文件要求签署、盖章，并作为投标文件的组成部分一并上传。</w:t>
      </w:r>
    </w:p>
    <w:p w14:paraId="5F11BEF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投标文件如有修改、错、漏处，必须由法定代表人或被授权人在修改处签字或盖章。</w:t>
      </w:r>
    </w:p>
    <w:p w14:paraId="46D91859">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15.2在投标截止时间之后，投标人不得对其投标文件进行补充、修改或撤回。</w:t>
      </w:r>
    </w:p>
    <w:p w14:paraId="1187F4C3">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六、开标</w:t>
      </w:r>
    </w:p>
    <w:p w14:paraId="27C59BEE">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开标及其有关事项</w:t>
      </w:r>
    </w:p>
    <w:p w14:paraId="62FBD10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采购代理机构按招标文件规定的时间、地点主持进行公开开标，采购人代表及有关工作人员参加。</w:t>
      </w:r>
    </w:p>
    <w:p w14:paraId="718FC68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参加开标的投标人代表在开标前半小时，利用CA锁在线进行签到。</w:t>
      </w:r>
    </w:p>
    <w:p w14:paraId="33BFE49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投标文件审查合格后由采购代理机构主持人当众宣读投标人名称、金额、合同履行期限、质量承诺等，以及采购代理机构认为适当的其他内容。投标人若有报价和优惠未被唱出，应在主持人征求澄清说明时及时声明或提请注意，否则采购代理机构对此不承担任何责任。</w:t>
      </w:r>
    </w:p>
    <w:p w14:paraId="63B21E1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采购代理机构将做唱标记录，并在开标后要求法定代表人或授权投标人代表签字确认。</w:t>
      </w:r>
    </w:p>
    <w:p w14:paraId="43396E5D">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七、评标程序和要求</w:t>
      </w:r>
    </w:p>
    <w:p w14:paraId="0D4BB1FE">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组建评标委员会</w:t>
      </w:r>
    </w:p>
    <w:p w14:paraId="2BF8065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采购代理机构根据有关法律法规和本招标文件的规定，结合本招标项目的特点提出组成申请，按规定程序组建评标委员会。评标委员会由五人及以上单数组成，其中经济、技术等方面的专家不少于三分之二。</w:t>
      </w:r>
    </w:p>
    <w:p w14:paraId="6517D96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采购代理机构工作人员，以及就招标文件征询过意见的专家,不作为评标专家参加评标，评审专家对本单位的采购项目只能作为采购人代表参与评标。</w:t>
      </w:r>
      <w:bookmarkStart w:id="12" w:name="_Toc266452728"/>
      <w:r>
        <w:rPr>
          <w:rFonts w:hint="eastAsia" w:ascii="宋体" w:hAnsi="宋体" w:eastAsia="宋体" w:cs="宋体"/>
          <w:color w:val="auto"/>
          <w:sz w:val="24"/>
          <w:highlight w:val="none"/>
        </w:rPr>
        <w:t>采购代理机构工作人员不得参加由本机构代理的政府采购项目的评标。</w:t>
      </w:r>
    </w:p>
    <w:p w14:paraId="5EFBF4D2">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18.投标文件初审</w:t>
      </w:r>
    </w:p>
    <w:p w14:paraId="02EC032B">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18.1</w:t>
      </w:r>
      <w:r>
        <w:rPr>
          <w:rFonts w:hint="eastAsia" w:ascii="宋体" w:hAnsi="宋体" w:eastAsia="宋体" w:cs="宋体"/>
          <w:b/>
          <w:color w:val="auto"/>
          <w:sz w:val="24"/>
          <w:highlight w:val="none"/>
        </w:rPr>
        <w:t>投标文件初审包括资格性审查和符合性审查。</w:t>
      </w:r>
    </w:p>
    <w:p w14:paraId="33424B29">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18.2由采购人或代理机构根据法律法规和招标文件的规定，对各投标人投标文件中资格证明等进行审查，以确定投标人是否具备投标资格。经审查如果投标人投标文件中资格不符合招标文件要求的资格条件的，将作无效投标处理。</w:t>
      </w:r>
      <w:r>
        <w:rPr>
          <w:rFonts w:hint="eastAsia" w:ascii="宋体" w:hAnsi="宋体" w:eastAsia="宋体" w:cs="宋体"/>
          <w:b/>
          <w:color w:val="auto"/>
          <w:sz w:val="24"/>
          <w:highlight w:val="none"/>
        </w:rPr>
        <w:t>资格性审查</w:t>
      </w:r>
      <w:r>
        <w:rPr>
          <w:rFonts w:hint="eastAsia" w:ascii="宋体" w:hAnsi="宋体" w:eastAsia="宋体" w:cs="宋体"/>
          <w:b/>
          <w:bCs/>
          <w:color w:val="auto"/>
          <w:sz w:val="24"/>
          <w:highlight w:val="none"/>
        </w:rPr>
        <w:t>合格的投标人不足3家的，不得进行进入符合性评审环节。</w:t>
      </w:r>
    </w:p>
    <w:p w14:paraId="114A22C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18.3符合性审查：由评标委员会依据招标文件的规定，从投标文件的有效性、完整性和对招标文件的响应程度进行审查，以确定是否对招标文件的实质性要求作出响应。</w:t>
      </w:r>
    </w:p>
    <w:p w14:paraId="64246C87">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18.4 </w:t>
      </w:r>
      <w:r>
        <w:rPr>
          <w:rFonts w:hint="eastAsia" w:ascii="宋体" w:hAnsi="宋体" w:eastAsia="宋体" w:cs="宋体"/>
          <w:b/>
          <w:color w:val="auto"/>
          <w:sz w:val="24"/>
          <w:highlight w:val="none"/>
        </w:rPr>
        <w:t>实质上响应的投标是指与招标文件的主要条款、条件和规格等相符</w:t>
      </w:r>
      <w:r>
        <w:rPr>
          <w:rFonts w:hint="eastAsia" w:ascii="宋体" w:hAnsi="宋体" w:eastAsia="宋体" w:cs="宋体"/>
          <w:color w:val="auto"/>
          <w:sz w:val="24"/>
          <w:highlight w:val="none"/>
        </w:rPr>
        <w:t>。未实质上响应（主要技术、商务要求）系指投标货物的质量、数量和合同履行期限等明显不能满足招标文件的要求，或者实质要求与招标文件不一致，限制了采购人的权利或投标人的义务，纠正这些偏离将对其他实质上响应要求的投标人的竞争地位产生不公正的影响。包括但不限于：</w:t>
      </w:r>
    </w:p>
    <w:p w14:paraId="64646124">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1）未按照招标文件规定报价的；</w:t>
      </w:r>
    </w:p>
    <w:p w14:paraId="79EF83B5">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2）投标文件未按招标文件的规定签署、盖章的；</w:t>
      </w:r>
    </w:p>
    <w:p w14:paraId="749CAA97">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3）投标人未按照招标文件规定的要求递交投标保证金的；</w:t>
      </w:r>
    </w:p>
    <w:p w14:paraId="39495C2A">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4）投标文件中提供的法定代表人授权书不满足招标文件要求的；</w:t>
      </w:r>
    </w:p>
    <w:p w14:paraId="4E619418">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5）投标有效期不足的；</w:t>
      </w:r>
    </w:p>
    <w:p w14:paraId="107B3896">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6）投标货物性能、规格、数量、交货时间、售后服务承诺等不满足招标文件中的相关要求和超出采购人可接受的偏差范围的；</w:t>
      </w:r>
    </w:p>
    <w:p w14:paraId="62367A21">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7）不符合招标文件中有关分包、转包规定的；</w:t>
      </w:r>
    </w:p>
    <w:p w14:paraId="5EF82133">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8）投标文件附有采购人不能接受条件的；</w:t>
      </w:r>
    </w:p>
    <w:p w14:paraId="701E79DD">
      <w:pPr>
        <w:spacing w:line="46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9）不符合招标文件中规定的其他实质性要求的。</w:t>
      </w:r>
    </w:p>
    <w:p w14:paraId="5C361968">
      <w:pPr>
        <w:snapToGrid w:val="0"/>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18.5 未实质上响应的条款不允许在开标后修正，但评标委员会将允许修正投标中不构成重大偏离的地方，且修正不会对其他实质上响应招标文件要求的投标人的竞争产生不当的影响。</w:t>
      </w:r>
    </w:p>
    <w:p w14:paraId="22798A04">
      <w:pPr>
        <w:snapToGrid w:val="0"/>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18.6 如果投标文件没有实质上响应招标文件的要求，</w:t>
      </w:r>
      <w:r>
        <w:rPr>
          <w:rFonts w:hint="eastAsia" w:ascii="宋体" w:hAnsi="宋体" w:eastAsia="宋体" w:cs="宋体"/>
          <w:b/>
          <w:color w:val="auto"/>
          <w:spacing w:val="10"/>
          <w:sz w:val="24"/>
          <w:highlight w:val="none"/>
        </w:rPr>
        <w:t>评标委员会将作无效投标处理，</w:t>
      </w:r>
      <w:r>
        <w:rPr>
          <w:rFonts w:hint="eastAsia" w:ascii="宋体" w:hAnsi="宋体" w:eastAsia="宋体" w:cs="宋体"/>
          <w:color w:val="auto"/>
          <w:spacing w:val="10"/>
          <w:sz w:val="24"/>
          <w:highlight w:val="none"/>
        </w:rPr>
        <w:t>投标人不得再对投标文件进行任何修正从而使其投标成为实质上响应的投标。</w:t>
      </w:r>
    </w:p>
    <w:p w14:paraId="2BB09020">
      <w:pPr>
        <w:pStyle w:val="129"/>
        <w:snapToGrid w:val="0"/>
        <w:spacing w:line="460" w:lineRule="exact"/>
        <w:ind w:firstLine="520" w:firstLineChars="20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kern w:val="2"/>
          <w:sz w:val="24"/>
          <w:szCs w:val="24"/>
          <w:highlight w:val="none"/>
        </w:rPr>
        <w:t xml:space="preserve">18.7 </w:t>
      </w:r>
      <w:r>
        <w:rPr>
          <w:rFonts w:hint="eastAsia" w:ascii="宋体" w:hAnsi="宋体" w:eastAsia="宋体" w:cs="宋体"/>
          <w:b/>
          <w:color w:val="auto"/>
          <w:spacing w:val="10"/>
          <w:kern w:val="2"/>
          <w:sz w:val="24"/>
          <w:szCs w:val="24"/>
          <w:highlight w:val="none"/>
        </w:rPr>
        <w:t>投标文件的细微偏差</w:t>
      </w:r>
      <w:r>
        <w:rPr>
          <w:rFonts w:hint="eastAsia" w:ascii="宋体" w:hAnsi="宋体" w:eastAsia="宋体" w:cs="宋体"/>
          <w:color w:val="auto"/>
          <w:spacing w:val="10"/>
          <w:kern w:val="2"/>
          <w:sz w:val="24"/>
          <w:szCs w:val="24"/>
          <w:highlight w:val="none"/>
        </w:rPr>
        <w:t>（一般技术、商务要求）是指在实质上响应招标文件</w:t>
      </w:r>
      <w:r>
        <w:rPr>
          <w:rFonts w:hint="eastAsia" w:ascii="宋体" w:hAnsi="宋体" w:eastAsia="宋体" w:cs="宋体"/>
          <w:color w:val="auto"/>
          <w:spacing w:val="10"/>
          <w:sz w:val="24"/>
          <w:szCs w:val="24"/>
          <w:highlight w:val="none"/>
        </w:rPr>
        <w:t>的要求，但在个别地方存在漏项或者提供了不完整的技术信息和数据等情况，并且补正这些遗漏或者不完整不会对其他投标人造成不公平的结果。</w:t>
      </w:r>
      <w:r>
        <w:rPr>
          <w:rFonts w:hint="eastAsia" w:ascii="宋体" w:hAnsi="宋体" w:eastAsia="宋体" w:cs="宋体"/>
          <w:color w:val="auto"/>
          <w:spacing w:val="10"/>
          <w:kern w:val="2"/>
          <w:sz w:val="24"/>
          <w:szCs w:val="24"/>
          <w:highlight w:val="none"/>
        </w:rPr>
        <w:t>细微</w:t>
      </w:r>
      <w:r>
        <w:rPr>
          <w:rFonts w:hint="eastAsia" w:ascii="宋体" w:hAnsi="宋体" w:eastAsia="宋体" w:cs="宋体"/>
          <w:color w:val="auto"/>
          <w:spacing w:val="10"/>
          <w:sz w:val="24"/>
          <w:szCs w:val="24"/>
          <w:highlight w:val="none"/>
        </w:rPr>
        <w:t>偏差不影响投标文件的有效性。</w:t>
      </w:r>
    </w:p>
    <w:p w14:paraId="2F95D8D8">
      <w:pPr>
        <w:pStyle w:val="129"/>
        <w:snapToGrid w:val="0"/>
        <w:spacing w:line="460" w:lineRule="exact"/>
        <w:ind w:firstLine="520" w:firstLineChars="20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10"/>
          <w:sz w:val="24"/>
          <w:szCs w:val="24"/>
          <w:highlight w:val="none"/>
          <w:lang w:val="en-US" w:eastAsia="zh-CN"/>
        </w:rPr>
        <w:t>8</w:t>
      </w:r>
      <w:r>
        <w:rPr>
          <w:rFonts w:hint="eastAsia" w:ascii="宋体" w:hAnsi="宋体" w:eastAsia="宋体" w:cs="宋体"/>
          <w:color w:val="auto"/>
          <w:spacing w:val="10"/>
          <w:sz w:val="24"/>
          <w:szCs w:val="24"/>
          <w:highlight w:val="none"/>
        </w:rPr>
        <w:t>.8 审查中，对明显的文字和计算错误按下述原则处理：</w:t>
      </w:r>
    </w:p>
    <w:p w14:paraId="22AC994F">
      <w:pPr>
        <w:snapToGrid w:val="0"/>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（1）如果开标报价一览表内容与投标文件中明细表内容不一致的,以开标报价一览表为准；</w:t>
      </w:r>
    </w:p>
    <w:p w14:paraId="52822013">
      <w:pPr>
        <w:snapToGrid w:val="0"/>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（2）如果大写金额和小写金额不一致的，以大写金额为准；</w:t>
      </w:r>
    </w:p>
    <w:p w14:paraId="65155177">
      <w:pPr>
        <w:snapToGrid w:val="0"/>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（3）单价金额小数点或者百分比有明显错位的，以开标一览表的总价为准，并修改单价；</w:t>
      </w:r>
    </w:p>
    <w:p w14:paraId="7DE336E4">
      <w:pPr>
        <w:snapToGrid w:val="0"/>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（4）总价金额与按单价汇总金额不一致的，以单价金额计算结果为准。</w:t>
      </w:r>
    </w:p>
    <w:p w14:paraId="10BDC1EA">
      <w:pPr>
        <w:pStyle w:val="129"/>
        <w:snapToGrid w:val="0"/>
        <w:spacing w:line="460" w:lineRule="exact"/>
        <w:ind w:firstLine="520" w:firstLineChars="200"/>
        <w:rPr>
          <w:rFonts w:hint="eastAsia" w:ascii="宋体" w:hAnsi="宋体" w:eastAsia="宋体" w:cs="宋体"/>
          <w:color w:val="auto"/>
          <w:spacing w:val="10"/>
          <w:kern w:val="2"/>
          <w:sz w:val="24"/>
          <w:szCs w:val="24"/>
          <w:highlight w:val="none"/>
        </w:rPr>
      </w:pPr>
      <w:r>
        <w:rPr>
          <w:rFonts w:hint="eastAsia" w:ascii="宋体" w:hAnsi="宋体" w:eastAsia="宋体" w:cs="宋体"/>
          <w:color w:val="auto"/>
          <w:spacing w:val="10"/>
          <w:kern w:val="2"/>
          <w:sz w:val="24"/>
          <w:szCs w:val="24"/>
          <w:highlight w:val="none"/>
        </w:rPr>
        <w:t>1</w:t>
      </w:r>
      <w:r>
        <w:rPr>
          <w:rFonts w:hint="eastAsia" w:ascii="宋体" w:hAnsi="宋体" w:eastAsia="宋体" w:cs="宋体"/>
          <w:color w:val="auto"/>
          <w:spacing w:val="10"/>
          <w:kern w:val="2"/>
          <w:sz w:val="24"/>
          <w:szCs w:val="24"/>
          <w:highlight w:val="none"/>
          <w:lang w:val="en-US" w:eastAsia="zh-CN"/>
        </w:rPr>
        <w:t>8</w:t>
      </w:r>
      <w:r>
        <w:rPr>
          <w:rFonts w:hint="eastAsia" w:ascii="宋体" w:hAnsi="宋体" w:eastAsia="宋体" w:cs="宋体"/>
          <w:color w:val="auto"/>
          <w:spacing w:val="10"/>
          <w:kern w:val="2"/>
          <w:sz w:val="24"/>
          <w:szCs w:val="24"/>
          <w:highlight w:val="none"/>
        </w:rPr>
        <w:t>.9评标委员会对投标文件的判定,只依据投标文件内容本身,不依据任何外来证明。</w:t>
      </w:r>
    </w:p>
    <w:bookmarkEnd w:id="12"/>
    <w:p w14:paraId="5AC4F5DD">
      <w:pPr>
        <w:spacing w:line="46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19.投标的澄清</w:t>
      </w:r>
    </w:p>
    <w:p w14:paraId="5119008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评标委员会有权要求投标人对投标文件中含义不明确、对同类问题表述不一致或者有明显文字和计算错误等内容作必要的澄清、说明或者补正。</w:t>
      </w:r>
    </w:p>
    <w:p w14:paraId="4736A57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  投标人必须按照评标委员会通知的内容和时间做出书面答复，该答复经法定代表人或投标人代表签字认可后，将作为投标文件内容的一部分。澄清、说明或者补正不得超出投标文件的范围或者改变投标文件的实质性内容。投标人拒不按照要求对投标文件进行澄清、说明或者补正的，评标委员会可拒绝该投标。</w:t>
      </w:r>
    </w:p>
    <w:p w14:paraId="1677BA2D">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19.3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r>
        <w:rPr>
          <w:rFonts w:hint="eastAsia" w:ascii="宋体" w:hAnsi="宋体" w:eastAsia="宋体" w:cs="宋体"/>
          <w:b/>
          <w:color w:val="auto"/>
          <w:sz w:val="24"/>
          <w:highlight w:val="none"/>
        </w:rPr>
        <w:t>。</w:t>
      </w:r>
    </w:p>
    <w:p w14:paraId="0A2E1D4D">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20.比较与评价</w:t>
      </w:r>
    </w:p>
    <w:p w14:paraId="2626DB5B">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评标委员会只对实质上响应招标文件的投标进行评价和比较；评审将严格按照招标文件</w:t>
      </w:r>
      <w:r>
        <w:rPr>
          <w:rFonts w:hint="eastAsia" w:ascii="宋体" w:hAnsi="宋体" w:eastAsia="宋体" w:cs="宋体"/>
          <w:b/>
          <w:color w:val="auto"/>
          <w:sz w:val="24"/>
          <w:highlight w:val="none"/>
        </w:rPr>
        <w:t>的要求和条件</w:t>
      </w:r>
      <w:r>
        <w:rPr>
          <w:rFonts w:hint="eastAsia" w:ascii="宋体" w:hAnsi="宋体" w:eastAsia="宋体" w:cs="宋体"/>
          <w:color w:val="auto"/>
          <w:sz w:val="24"/>
          <w:highlight w:val="none"/>
        </w:rPr>
        <w:t>进行；</w:t>
      </w:r>
      <w:r>
        <w:rPr>
          <w:rFonts w:hint="eastAsia" w:ascii="宋体" w:hAnsi="宋体" w:eastAsia="宋体" w:cs="宋体"/>
          <w:b/>
          <w:color w:val="auto"/>
          <w:sz w:val="24"/>
          <w:highlight w:val="none"/>
        </w:rPr>
        <w:t>在评标中，不得改变招标文件中规定的评标标准、方法和中标条件。</w:t>
      </w:r>
      <w:r>
        <w:rPr>
          <w:rFonts w:hint="eastAsia" w:ascii="宋体" w:hAnsi="宋体" w:eastAsia="宋体" w:cs="宋体"/>
          <w:color w:val="auto"/>
          <w:sz w:val="24"/>
          <w:highlight w:val="none"/>
        </w:rPr>
        <w:t>具体评审原则、方法和中标条件详见招标文件</w:t>
      </w:r>
      <w:r>
        <w:rPr>
          <w:rFonts w:hint="eastAsia" w:ascii="宋体" w:hAnsi="宋体" w:eastAsia="宋体" w:cs="宋体"/>
          <w:b/>
          <w:color w:val="auto"/>
          <w:sz w:val="24"/>
          <w:highlight w:val="none"/>
        </w:rPr>
        <w:t>第三部分“评标标准和评标方法”。</w:t>
      </w:r>
    </w:p>
    <w:p w14:paraId="3BB9F75E">
      <w:pPr>
        <w:tabs>
          <w:tab w:val="left" w:pos="315"/>
        </w:tabs>
        <w:adjustRightInd w:val="0"/>
        <w:snapToGrid w:val="0"/>
        <w:spacing w:line="460" w:lineRule="exact"/>
        <w:ind w:firstLine="477" w:firstLineChars="1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确定中标人</w:t>
      </w:r>
    </w:p>
    <w:p w14:paraId="6853ABA9">
      <w:pPr>
        <w:tabs>
          <w:tab w:val="left" w:pos="630"/>
        </w:tabs>
        <w:adjustRightInd w:val="0"/>
        <w:snapToGrid w:val="0"/>
        <w:spacing w:line="460" w:lineRule="exact"/>
        <w:ind w:left="120" w:leftChars="57" w:firstLine="408" w:firstLineChars="170"/>
        <w:rPr>
          <w:rFonts w:hint="eastAsia" w:ascii="宋体" w:hAnsi="宋体" w:eastAsia="宋体" w:cs="宋体"/>
          <w:color w:val="auto"/>
          <w:sz w:val="24"/>
          <w:highlight w:val="none"/>
        </w:rPr>
      </w:pPr>
      <w:r>
        <w:rPr>
          <w:rFonts w:hint="eastAsia" w:ascii="宋体" w:hAnsi="宋体" w:eastAsia="宋体" w:cs="宋体"/>
          <w:color w:val="auto"/>
          <w:sz w:val="24"/>
          <w:highlight w:val="none"/>
        </w:rPr>
        <w:t>21.1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ED5C6A">
      <w:pPr>
        <w:tabs>
          <w:tab w:val="left" w:pos="315"/>
        </w:tabs>
        <w:adjustRightInd w:val="0"/>
        <w:snapToGrid w:val="0"/>
        <w:spacing w:line="460" w:lineRule="exact"/>
        <w:ind w:firstLine="477" w:firstLineChars="1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68FF4F88">
      <w:pPr>
        <w:tabs>
          <w:tab w:val="left" w:pos="630"/>
        </w:tabs>
        <w:adjustRightInd w:val="0"/>
        <w:snapToGrid w:val="0"/>
        <w:spacing w:line="460" w:lineRule="exact"/>
        <w:ind w:left="120" w:leftChars="57" w:firstLine="408" w:firstLineChars="170"/>
        <w:rPr>
          <w:rFonts w:hint="eastAsia" w:ascii="宋体" w:hAnsi="宋体" w:eastAsia="宋体" w:cs="宋体"/>
          <w:color w:val="auto"/>
          <w:sz w:val="24"/>
          <w:highlight w:val="none"/>
        </w:rPr>
      </w:pPr>
      <w:r>
        <w:rPr>
          <w:rFonts w:hint="eastAsia" w:ascii="宋体" w:hAnsi="宋体" w:eastAsia="宋体" w:cs="宋体"/>
          <w:color w:val="auto"/>
          <w:sz w:val="24"/>
          <w:highlight w:val="none"/>
        </w:rPr>
        <w:t>22.1评标委员会根据全体评标成员签字的原始记录和评标结果编写评标报告，并由全体评标成员签字确认。</w:t>
      </w:r>
    </w:p>
    <w:p w14:paraId="259B0C85">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评标过程保密</w:t>
      </w:r>
    </w:p>
    <w:p w14:paraId="483C045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开标之后，直到授予中标人合同止，凡是属于审查、澄清、评价和比较投标的有关资料以及授标意向等，均不得向投标人或其他与评标无关的人员透露。</w:t>
      </w:r>
    </w:p>
    <w:p w14:paraId="417E3B2B">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关于投标人瑕疵滞后发现的处理规则</w:t>
      </w:r>
    </w:p>
    <w:p w14:paraId="22B0ACC0">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eastAsia="宋体" w:cs="宋体"/>
          <w:b/>
          <w:color w:val="auto"/>
          <w:sz w:val="24"/>
          <w:highlight w:val="none"/>
        </w:rPr>
        <w:t>采购代理机构有权决定取消该投标人的此前评议结果，或决定对该投标予以拒绝，并有权采取相应的补救及纠正措施。</w:t>
      </w:r>
    </w:p>
    <w:p w14:paraId="6EE00A34">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25.无效投标的情形</w:t>
      </w:r>
    </w:p>
    <w:p w14:paraId="23F45F8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  投标人存在下列情况之一的，投标无效:</w:t>
      </w:r>
    </w:p>
    <w:p w14:paraId="7101BAF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（一）未按照招标文件的规定提交投标保证金的；</w:t>
      </w:r>
    </w:p>
    <w:p w14:paraId="6A6DCE3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（二）投标文件未按招标文件要求签署、盖章的；</w:t>
      </w:r>
    </w:p>
    <w:p w14:paraId="118E3C4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（三）不具备招标文件中规定的资格要求的；</w:t>
      </w:r>
    </w:p>
    <w:p w14:paraId="18AC21A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（四）报价超过招标文件中规定的预算金额或者最高限价的；</w:t>
      </w:r>
    </w:p>
    <w:p w14:paraId="1E93C8A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（五）投标文件含有采购人不能接受的附加条件的；</w:t>
      </w:r>
    </w:p>
    <w:p w14:paraId="268679D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（六）法律、法规和招标文件规定的其他无效情形。</w:t>
      </w:r>
    </w:p>
    <w:p w14:paraId="0FFD745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采购项目废标后，评标委员会应做出书面报告。</w:t>
      </w:r>
    </w:p>
    <w:p w14:paraId="096506C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25.2废标后，采购代理机构将通知所有投标人废标原因，并依法重新组织采购活动。</w:t>
      </w:r>
    </w:p>
    <w:p w14:paraId="03C19341">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八、签订合同</w:t>
      </w:r>
    </w:p>
    <w:p w14:paraId="343AD65E">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26.中标通知</w:t>
      </w:r>
    </w:p>
    <w:p w14:paraId="503E9F0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中标投标人确定后,采购代理机构将在刊登本次招标公告的媒体上发布中标公告，并以书面形式向中标投标人发出中标通知书。中标通知书对采购人和中标人具有同等法律效力。中标通知书发出以后，采购人改变中标结果或者中标投标人放弃中标，应当承担相应的法律责任。</w:t>
      </w:r>
    </w:p>
    <w:p w14:paraId="0D66AE7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26.2在公告中标结果的同时，采购人或者采购代理机构应当向中标人发出中标通知书;对未通过资格审查的投标人，应当告知其未通过的原因;采用综合评分法评审的，还应当告知未中标人本人的评审得分与排序。</w:t>
      </w:r>
    </w:p>
    <w:p w14:paraId="373F376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26.3中标通知书是合同的组成部分。</w:t>
      </w:r>
    </w:p>
    <w:p w14:paraId="0F3CA0FE">
      <w:pPr>
        <w:pStyle w:val="129"/>
        <w:snapToGrid w:val="0"/>
        <w:spacing w:line="460" w:lineRule="exact"/>
        <w:ind w:firstLine="517" w:firstLineChars="198"/>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27.中标服务费</w:t>
      </w:r>
    </w:p>
    <w:p w14:paraId="23F8E374">
      <w:pPr>
        <w:pStyle w:val="129"/>
        <w:tabs>
          <w:tab w:val="left" w:pos="737"/>
        </w:tabs>
        <w:snapToGrid w:val="0"/>
        <w:spacing w:line="46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rPr>
        <w:t>由中标人向采购代理机构支付，</w:t>
      </w:r>
      <w:r>
        <w:rPr>
          <w:rFonts w:hint="eastAsia" w:ascii="宋体" w:hAnsi="宋体" w:eastAsia="宋体" w:cs="宋体"/>
          <w:color w:val="auto"/>
          <w:spacing w:val="10"/>
          <w:sz w:val="24"/>
          <w:szCs w:val="24"/>
          <w:highlight w:val="none"/>
          <w:lang w:eastAsia="zh-CN"/>
        </w:rPr>
        <w:t>按中标金额的1.5%收取。</w:t>
      </w:r>
    </w:p>
    <w:p w14:paraId="1E3A8EF1">
      <w:pPr>
        <w:pStyle w:val="129"/>
        <w:tabs>
          <w:tab w:val="left" w:pos="737"/>
        </w:tabs>
        <w:snapToGrid w:val="0"/>
        <w:spacing w:line="460" w:lineRule="exact"/>
        <w:ind w:firstLine="480" w:firstLineChars="20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2"/>
          <w:highlight w:val="none"/>
        </w:rPr>
        <w:t xml:space="preserve">中标人在收到中标通知书的同时，向招标代理机构一次性付清中标服务费。 </w:t>
      </w:r>
    </w:p>
    <w:p w14:paraId="478A7710">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  签订合同</w:t>
      </w:r>
    </w:p>
    <w:p w14:paraId="26066D8A">
      <w:pPr>
        <w:spacing w:line="500" w:lineRule="exact"/>
        <w:ind w:firstLine="5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28.1 中标人应在接到中标通知书10日内（最长不超30日）与采购人签订政府采购合同。</w:t>
      </w:r>
    </w:p>
    <w:p w14:paraId="5FA520F8">
      <w:pPr>
        <w:spacing w:line="500" w:lineRule="exact"/>
        <w:ind w:firstLine="5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28.2中标人应按照招标文件、投标文件及评审过程中的有关澄清、说明或者补正文件的内容与采购人签订合同。中标人不得再与采购人签订背离合同实质性内容的其它协议或声明。</w:t>
      </w:r>
    </w:p>
    <w:p w14:paraId="5CEEC221">
      <w:pPr>
        <w:spacing w:line="500" w:lineRule="exact"/>
        <w:ind w:firstLine="5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28.3在合同履行中，采购人如需追加工程内容，在不改变合同其他条款的前提下，中标人可与采购人协商签订补充合同，但所有补充合同的采购金额不得超过原合同金额的百分之十。</w:t>
      </w:r>
    </w:p>
    <w:p w14:paraId="4E9A4561">
      <w:pPr>
        <w:spacing w:line="500" w:lineRule="exact"/>
        <w:ind w:firstLine="5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28.4 中标人一旦中标，未经招标人事先给予书面同意不得转包、分包，亦不得将合同全部及任何权利、义务向第三方转让，否则将被视为严重违约，采购人有权决定按照中标人中标后毁标、终止或解除合同等依约处理。</w:t>
      </w:r>
    </w:p>
    <w:p w14:paraId="0CA4BD9D">
      <w:pPr>
        <w:spacing w:line="500" w:lineRule="exact"/>
        <w:ind w:firstLine="5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28.5供应商严格落实相关开放性、兼容性标准和规范要求，按合同约定提供服务；在系统运行过程中，供应商不得在国家规定和合同约定之外以任何名义向相关服务对象收取费用。</w:t>
      </w:r>
    </w:p>
    <w:p w14:paraId="0F646877">
      <w:pPr>
        <w:spacing w:line="500" w:lineRule="exact"/>
        <w:ind w:firstLine="525"/>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28.6</w:t>
      </w:r>
      <w:r>
        <w:rPr>
          <w:rFonts w:hint="eastAsia" w:ascii="宋体" w:hAnsi="宋体" w:eastAsia="宋体" w:cs="宋体"/>
          <w:bCs/>
          <w:color w:val="auto"/>
          <w:sz w:val="24"/>
          <w:highlight w:val="none"/>
        </w:rPr>
        <w:t>违反2</w:t>
      </w: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条的规定，给对方造成损失的，应承担赔偿责任。</w:t>
      </w:r>
    </w:p>
    <w:p w14:paraId="1A0868FC">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 保密和披露</w:t>
      </w:r>
    </w:p>
    <w:p w14:paraId="4FB05786">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  保密</w:t>
      </w:r>
    </w:p>
    <w:p w14:paraId="3B1A909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投标人自领取招标文件之日起，须承诺承担本招标项目保密义务，不得将因本次招标获得的信息向第三方外传。</w:t>
      </w:r>
    </w:p>
    <w:p w14:paraId="0528B8D6">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30.披露</w:t>
      </w:r>
    </w:p>
    <w:p w14:paraId="0647990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30.1采购代理机构有权将投标人提供的所有资料向有关政府部门或评审标书的有关人员披露。</w:t>
      </w:r>
    </w:p>
    <w:p w14:paraId="03C6464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30.2采购代理机构认为适当时，或在国家机关调查、审查、审计时以及在其他符合法律规定的情形下，无须事先征求投标人（中标人）同意而可以披露关于采购过程、合同文本、签署情况的资料、投标人（中标人）的名称及地址、投标文件的有关信息以及补充条款等，但应当在合理的必要范围内。对任何已经公布过的内容或与之相同的资料，以及投标人（中标人）已经泄露或公开的资料，无须再承担保密责任。</w:t>
      </w:r>
    </w:p>
    <w:p w14:paraId="68822BF7">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十、质疑</w:t>
      </w:r>
    </w:p>
    <w:p w14:paraId="64DD825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31.1 投标人认为招标文件、招标过程或中标结果使自己的合法权益受到损害的，应当在法定质疑期限内，以书面形式向采购人 （采购代理机构）一次性提出针对同一采购程序环节的质疑。 </w:t>
      </w:r>
    </w:p>
    <w:p w14:paraId="20DE14C1">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31.2 对可以质疑的招标文件提出质疑的，应在收到招标文件之日或者采购文件公告期限届满之日起7 个工作日内提出； </w:t>
      </w:r>
    </w:p>
    <w:p w14:paraId="02CEFF17">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31.3对招标过程提出质疑的，在各采购程序环节结束之日起7 个工作日内提出；</w:t>
      </w:r>
    </w:p>
    <w:p w14:paraId="5A1CDA10">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31.4对中标结果提出质疑的，应在中标结果公告期限届满之日起 7 个工作日内提出。 </w:t>
      </w:r>
    </w:p>
    <w:p w14:paraId="1FE6874F">
      <w:pPr>
        <w:spacing w:line="50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未参与上述所质疑项目采购活动的投标人不得提出质疑。</w:t>
      </w:r>
      <w:r>
        <w:rPr>
          <w:rFonts w:hint="eastAsia" w:ascii="宋体" w:hAnsi="宋体" w:eastAsia="宋体" w:cs="宋体"/>
          <w:color w:val="auto"/>
          <w:kern w:val="0"/>
          <w:sz w:val="24"/>
          <w:highlight w:val="none"/>
        </w:rPr>
        <w:t xml:space="preserve">  </w:t>
      </w:r>
    </w:p>
    <w:p w14:paraId="69E1B6F7">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31.5质疑应当以书面形式提出。格式见《政府采购质疑和投诉办法》（财政部令第 94 号）附件范本，可在山西政府采购平台下载。投标人提出质疑应当提交质疑函和必要的证明材料。质疑函应当包括下列内容： </w:t>
      </w:r>
    </w:p>
    <w:p w14:paraId="133516B2">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31.5.1投标人的姓名或者名称、地址、邮编、联系人及联系电话； </w:t>
      </w:r>
    </w:p>
    <w:p w14:paraId="76B472E4">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31.5.2 质疑项目的名称、编号； </w:t>
      </w:r>
    </w:p>
    <w:p w14:paraId="03A898EE">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31.5.3 具体、明确的质疑事项和与质疑事项相关的请求； </w:t>
      </w:r>
    </w:p>
    <w:p w14:paraId="75FF9EED">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31.5.4 事实依据； </w:t>
      </w:r>
    </w:p>
    <w:p w14:paraId="6A80DA57">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31.5.5 必要的法律依据； </w:t>
      </w:r>
    </w:p>
    <w:p w14:paraId="6C451957">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31.5.6 提出质疑的日期。 </w:t>
      </w:r>
    </w:p>
    <w:p w14:paraId="31EA015D">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 相关规定的，应在规定期限内补齐的，采购人（采购代理机构）自收到补齐材料之日起受理；逾期未补齐的，按自动撤回质疑处理。</w:t>
      </w:r>
    </w:p>
    <w:p w14:paraId="79430FD8">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十一、纪律及处罚</w:t>
      </w:r>
    </w:p>
    <w:p w14:paraId="1CC3C11D">
      <w:pPr>
        <w:tabs>
          <w:tab w:val="left" w:pos="630"/>
        </w:tabs>
        <w:adjustRightInd w:val="0"/>
        <w:snapToGrid w:val="0"/>
        <w:spacing w:line="460" w:lineRule="exact"/>
        <w:ind w:left="12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 不得泄漏招标投标活动中应当保密的情况和资料，不得与投标人串通损害国家利益、社会公共利益或者他人合法权益。</w:t>
      </w:r>
    </w:p>
    <w:p w14:paraId="1CD441E4">
      <w:pPr>
        <w:tabs>
          <w:tab w:val="left" w:pos="630"/>
        </w:tabs>
        <w:adjustRightInd w:val="0"/>
        <w:snapToGrid w:val="0"/>
        <w:spacing w:line="460" w:lineRule="exact"/>
        <w:ind w:left="12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33. 投标人不得相互串通投标或者与采购人串通投标，不得向采购人或者评标委员会成员行贿谋取中标，不得以他人名义投标或者以其他方式弄虚作假骗取中标；投标人不得以任何方式干扰、影响评标工作。</w:t>
      </w:r>
    </w:p>
    <w:p w14:paraId="15F07ED4">
      <w:pPr>
        <w:tabs>
          <w:tab w:val="left" w:pos="630"/>
        </w:tabs>
        <w:adjustRightInd w:val="0"/>
        <w:snapToGrid w:val="0"/>
        <w:spacing w:line="460" w:lineRule="exact"/>
        <w:ind w:left="12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34.评标委员会不得收受他人的财物或者其他好处，不得向他人透漏对投标文件的评审和比较、中标候选人的推荐情况以及评标有关的其他情况。在评标活动中，评标委员会成员不得擅离职守，影响评标程序正常进行。</w:t>
      </w:r>
    </w:p>
    <w:p w14:paraId="463E4AEE">
      <w:pPr>
        <w:tabs>
          <w:tab w:val="left" w:pos="630"/>
        </w:tabs>
        <w:adjustRightInd w:val="0"/>
        <w:snapToGrid w:val="0"/>
        <w:spacing w:line="460" w:lineRule="exact"/>
        <w:ind w:left="12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35.与评标活动有关的工作人员不得收受他人的财物或其他好处，不得向他人透漏对投标文件的评审和比较、中标候选人的推荐情况。在评标活动中，与评标活动有关的工作人员不得擅离职守，影响评标程序正常进行。</w:t>
      </w:r>
    </w:p>
    <w:p w14:paraId="5ECD63F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 投标人有下列情形之一的，成交无效，同时集采机构将提请政府采购监管部门，依据政府采购法律法规的规定作出处理：</w:t>
      </w:r>
    </w:p>
    <w:p w14:paraId="08814DA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（1）开标后在投标有效期内，投标人撤回其投标；</w:t>
      </w:r>
    </w:p>
    <w:p w14:paraId="638CE5B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（2）在投标文件中提供虚假材料谋取中标的，报市财政局采购办核实后列入不良行为记录名单；</w:t>
      </w:r>
    </w:p>
    <w:p w14:paraId="2F55ACD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（3）在评标期间，投标人企图影响采购机构或评标委员会的任何活动，将导致投标被拒绝，并由其承担相应的法律责任；</w:t>
      </w:r>
    </w:p>
    <w:p w14:paraId="04D3BA2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（4）除不可抗力或招标文件认可的情形以外，中标人未按本招标文件规定签约； </w:t>
      </w:r>
    </w:p>
    <w:p w14:paraId="49981C3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（5）与采购人、其他投标人或采购代理机构恶意串通的；</w:t>
      </w:r>
    </w:p>
    <w:p w14:paraId="6B7E50F9">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（6）中标人与采购人订立背离合同实质性内容的其它协议； </w:t>
      </w:r>
    </w:p>
    <w:p w14:paraId="67F5641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（7）投标人未按招标文件规定和合同约定履行义务的；</w:t>
      </w:r>
    </w:p>
    <w:p w14:paraId="4C0E3F31">
      <w:pPr>
        <w:tabs>
          <w:tab w:val="left" w:pos="3823"/>
        </w:tabs>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十二、政策性因素</w:t>
      </w:r>
      <w:r>
        <w:rPr>
          <w:rFonts w:hint="eastAsia" w:ascii="宋体" w:hAnsi="宋体" w:eastAsia="宋体" w:cs="宋体"/>
          <w:b/>
          <w:color w:val="auto"/>
          <w:sz w:val="24"/>
          <w:highlight w:val="none"/>
        </w:rPr>
        <w:tab/>
      </w:r>
    </w:p>
    <w:p w14:paraId="6070C69A">
      <w:pPr>
        <w:spacing w:line="460" w:lineRule="exact"/>
        <w:ind w:firstLine="480" w:firstLineChars="200"/>
        <w:rPr>
          <w:rFonts w:hint="eastAsia" w:ascii="宋体" w:hAnsi="宋体" w:eastAsia="宋体" w:cs="宋体"/>
          <w:color w:val="auto"/>
          <w:spacing w:val="10"/>
          <w:sz w:val="24"/>
          <w:highlight w:val="none"/>
        </w:rPr>
      </w:pPr>
      <w:r>
        <w:rPr>
          <w:rFonts w:hint="eastAsia" w:ascii="宋体" w:hAnsi="宋体" w:eastAsia="宋体" w:cs="宋体"/>
          <w:color w:val="auto"/>
          <w:sz w:val="24"/>
          <w:highlight w:val="none"/>
        </w:rPr>
        <w:t>详见投标人须知前附表。</w:t>
      </w:r>
      <w:r>
        <w:rPr>
          <w:rFonts w:hint="eastAsia" w:ascii="宋体" w:hAnsi="宋体" w:eastAsia="宋体" w:cs="宋体"/>
          <w:color w:val="auto"/>
          <w:spacing w:val="10"/>
          <w:sz w:val="24"/>
          <w:highlight w:val="none"/>
        </w:rPr>
        <w:br w:type="page"/>
      </w:r>
    </w:p>
    <w:p w14:paraId="617FDC75">
      <w:pPr>
        <w:numPr>
          <w:ilvl w:val="0"/>
          <w:numId w:val="3"/>
        </w:numPr>
        <w:spacing w:line="460" w:lineRule="exact"/>
        <w:jc w:val="center"/>
        <w:outlineLvl w:val="0"/>
        <w:rPr>
          <w:rFonts w:hint="eastAsia" w:ascii="宋体" w:hAnsi="宋体" w:eastAsia="宋体" w:cs="宋体"/>
          <w:b/>
          <w:color w:val="auto"/>
          <w:sz w:val="36"/>
          <w:szCs w:val="36"/>
          <w:highlight w:val="none"/>
        </w:rPr>
      </w:pPr>
      <w:bookmarkStart w:id="13" w:name="_Toc8703"/>
      <w:r>
        <w:rPr>
          <w:rFonts w:hint="eastAsia" w:ascii="宋体" w:hAnsi="宋体" w:eastAsia="宋体" w:cs="宋体"/>
          <w:b/>
          <w:color w:val="auto"/>
          <w:sz w:val="36"/>
          <w:szCs w:val="36"/>
          <w:highlight w:val="none"/>
        </w:rPr>
        <w:t xml:space="preserve"> </w:t>
      </w:r>
      <w:bookmarkStart w:id="14" w:name="_Toc24942"/>
      <w:r>
        <w:rPr>
          <w:rFonts w:hint="eastAsia" w:ascii="宋体" w:hAnsi="宋体" w:eastAsia="宋体" w:cs="宋体"/>
          <w:b/>
          <w:color w:val="auto"/>
          <w:sz w:val="36"/>
          <w:szCs w:val="36"/>
          <w:highlight w:val="none"/>
        </w:rPr>
        <w:t>评标方法</w:t>
      </w:r>
      <w:bookmarkEnd w:id="13"/>
      <w:bookmarkEnd w:id="14"/>
    </w:p>
    <w:p w14:paraId="01395E88">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评标方法及中标条件</w:t>
      </w:r>
    </w:p>
    <w:p w14:paraId="10EC3BB6">
      <w:pPr>
        <w:pStyle w:val="129"/>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本次评标采用综合评分法，投标文件满足招标文件全部实质性要求，且按照评审因素的量化指标进行评审（具体评分见综合评分法评分细则），得分最高的投标人为中标人。</w:t>
      </w:r>
    </w:p>
    <w:p w14:paraId="51BB605A">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一、投标文件初审</w:t>
      </w:r>
    </w:p>
    <w:tbl>
      <w:tblPr>
        <w:tblStyle w:val="39"/>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017"/>
        <w:gridCol w:w="4593"/>
      </w:tblGrid>
      <w:tr w14:paraId="0A6C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68" w:type="dxa"/>
            <w:vAlign w:val="center"/>
          </w:tcPr>
          <w:p w14:paraId="1C6C3A9F">
            <w:pPr>
              <w:autoSpaceDE w:val="0"/>
              <w:autoSpaceDN w:val="0"/>
              <w:adjustRightInd w:val="0"/>
              <w:snapToGrid w:val="0"/>
              <w:spacing w:before="62" w:beforeLines="20" w:after="62" w:afterLines="2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条款号</w:t>
            </w:r>
          </w:p>
        </w:tc>
        <w:tc>
          <w:tcPr>
            <w:tcW w:w="3017" w:type="dxa"/>
            <w:vAlign w:val="center"/>
          </w:tcPr>
          <w:p w14:paraId="7F11A05A">
            <w:pPr>
              <w:autoSpaceDE w:val="0"/>
              <w:autoSpaceDN w:val="0"/>
              <w:adjustRightInd w:val="0"/>
              <w:snapToGrid w:val="0"/>
              <w:spacing w:before="62" w:beforeLines="20" w:after="62" w:afterLines="2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评审因素</w:t>
            </w:r>
          </w:p>
        </w:tc>
        <w:tc>
          <w:tcPr>
            <w:tcW w:w="4593" w:type="dxa"/>
            <w:vAlign w:val="center"/>
          </w:tcPr>
          <w:p w14:paraId="62419E8B">
            <w:pPr>
              <w:autoSpaceDE w:val="0"/>
              <w:autoSpaceDN w:val="0"/>
              <w:adjustRightInd w:val="0"/>
              <w:snapToGrid w:val="0"/>
              <w:spacing w:before="62" w:beforeLines="20" w:after="62" w:afterLines="2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w:t>
            </w:r>
          </w:p>
        </w:tc>
      </w:tr>
      <w:tr w14:paraId="29A9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68" w:type="dxa"/>
            <w:vMerge w:val="restart"/>
            <w:vAlign w:val="center"/>
          </w:tcPr>
          <w:p w14:paraId="73D884EC">
            <w:pPr>
              <w:adjustRightInd w:val="0"/>
              <w:snapToGrid w:val="0"/>
              <w:spacing w:before="62" w:beforeLines="20" w:after="62" w:afterLines="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w:t>
            </w:r>
          </w:p>
          <w:p w14:paraId="54704A71">
            <w:pPr>
              <w:autoSpaceDE w:val="0"/>
              <w:autoSpaceDN w:val="0"/>
              <w:adjustRightInd w:val="0"/>
              <w:snapToGrid w:val="0"/>
              <w:spacing w:before="62" w:beforeLines="20" w:after="62" w:afterLines="2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审查标准</w:t>
            </w:r>
          </w:p>
        </w:tc>
        <w:tc>
          <w:tcPr>
            <w:tcW w:w="3017" w:type="dxa"/>
            <w:vAlign w:val="center"/>
          </w:tcPr>
          <w:p w14:paraId="72E4C2DD">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有效的营业执照副本</w:t>
            </w:r>
          </w:p>
        </w:tc>
        <w:tc>
          <w:tcPr>
            <w:tcW w:w="4593" w:type="dxa"/>
            <w:vAlign w:val="center"/>
          </w:tcPr>
          <w:p w14:paraId="4D14951D">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扫描件加盖</w:t>
            </w:r>
            <w:r>
              <w:rPr>
                <w:rFonts w:hint="eastAsia" w:ascii="宋体" w:hAnsi="宋体" w:eastAsia="宋体" w:cs="宋体"/>
                <w:snapToGrid w:val="0"/>
                <w:color w:val="auto"/>
                <w:kern w:val="0"/>
                <w:sz w:val="24"/>
                <w:highlight w:val="none"/>
              </w:rPr>
              <w:t>投标人</w:t>
            </w:r>
            <w:r>
              <w:rPr>
                <w:rFonts w:hint="eastAsia" w:ascii="宋体" w:hAnsi="宋体" w:eastAsia="宋体" w:cs="宋体"/>
                <w:color w:val="auto"/>
                <w:sz w:val="24"/>
                <w:highlight w:val="none"/>
              </w:rPr>
              <w:t>电子公章。</w:t>
            </w:r>
          </w:p>
        </w:tc>
      </w:tr>
      <w:tr w14:paraId="0EA6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268" w:type="dxa"/>
            <w:vMerge w:val="continue"/>
            <w:tcBorders/>
            <w:vAlign w:val="center"/>
          </w:tcPr>
          <w:p w14:paraId="637CB2AE">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41DF98B3">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基本开户许可证或基本存款账户信息</w:t>
            </w:r>
          </w:p>
        </w:tc>
        <w:tc>
          <w:tcPr>
            <w:tcW w:w="4593" w:type="dxa"/>
            <w:vAlign w:val="center"/>
          </w:tcPr>
          <w:p w14:paraId="39F1DC8D">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扫描件加盖</w:t>
            </w:r>
            <w:r>
              <w:rPr>
                <w:rFonts w:hint="eastAsia" w:ascii="宋体" w:hAnsi="宋体" w:eastAsia="宋体" w:cs="宋体"/>
                <w:snapToGrid w:val="0"/>
                <w:color w:val="auto"/>
                <w:kern w:val="0"/>
                <w:sz w:val="24"/>
                <w:highlight w:val="none"/>
              </w:rPr>
              <w:t>投标人</w:t>
            </w:r>
            <w:r>
              <w:rPr>
                <w:rFonts w:hint="eastAsia" w:ascii="宋体" w:hAnsi="宋体" w:eastAsia="宋体" w:cs="宋体"/>
                <w:color w:val="auto"/>
                <w:sz w:val="24"/>
                <w:highlight w:val="none"/>
              </w:rPr>
              <w:t>电子公章。</w:t>
            </w:r>
          </w:p>
        </w:tc>
      </w:tr>
      <w:tr w14:paraId="53A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exact"/>
          <w:jc w:val="center"/>
        </w:trPr>
        <w:tc>
          <w:tcPr>
            <w:tcW w:w="1268" w:type="dxa"/>
            <w:vMerge w:val="continue"/>
            <w:tcBorders/>
            <w:vAlign w:val="center"/>
          </w:tcPr>
          <w:p w14:paraId="31D33B51">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0F975D6F">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1.具有履行合同所必需的设备和专业技术能力</w:t>
            </w:r>
          </w:p>
          <w:p w14:paraId="3CE817FB">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EECDBEA">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4FBD70C8">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4.参加政府采购活动前三年内，在经营活动中没有重大违法记录；</w:t>
            </w:r>
          </w:p>
          <w:p w14:paraId="319C7B27">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5.具有独立承担民事责任的能力。</w:t>
            </w:r>
          </w:p>
        </w:tc>
        <w:tc>
          <w:tcPr>
            <w:tcW w:w="4593" w:type="dxa"/>
            <w:vAlign w:val="center"/>
          </w:tcPr>
          <w:p w14:paraId="5B2D607B">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提供长治市政府采购供应商信用承诺函</w:t>
            </w:r>
          </w:p>
          <w:p w14:paraId="76DB3C4D">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3577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268" w:type="dxa"/>
            <w:vMerge w:val="continue"/>
            <w:tcBorders/>
            <w:vAlign w:val="center"/>
          </w:tcPr>
          <w:p w14:paraId="085A8DCC">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64C9B57E">
            <w:pPr>
              <w:adjustRightInd w:val="0"/>
              <w:snapToGrid w:val="0"/>
              <w:spacing w:before="62" w:beforeLines="20" w:after="62" w:afterLines="2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特定资格</w:t>
            </w:r>
          </w:p>
        </w:tc>
        <w:tc>
          <w:tcPr>
            <w:tcW w:w="4593" w:type="dxa"/>
            <w:vAlign w:val="center"/>
          </w:tcPr>
          <w:p w14:paraId="2F1CDAD1">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286F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268" w:type="dxa"/>
            <w:vMerge w:val="restart"/>
            <w:vAlign w:val="center"/>
          </w:tcPr>
          <w:p w14:paraId="07697F60">
            <w:pPr>
              <w:adjustRightInd w:val="0"/>
              <w:snapToGrid w:val="0"/>
              <w:spacing w:before="62" w:beforeLines="20" w:after="62" w:afterLines="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w:t>
            </w:r>
          </w:p>
          <w:p w14:paraId="75482B7C">
            <w:pPr>
              <w:adjustRightInd w:val="0"/>
              <w:snapToGrid w:val="0"/>
              <w:spacing w:before="62" w:beforeLines="20" w:after="62" w:afterLines="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3017" w:type="dxa"/>
            <w:vAlign w:val="center"/>
          </w:tcPr>
          <w:p w14:paraId="6CB93B4A">
            <w:pPr>
              <w:adjustRightInd w:val="0"/>
              <w:snapToGrid w:val="0"/>
              <w:spacing w:before="62" w:beforeLines="20" w:after="62" w:afterLines="2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投标函</w:t>
            </w:r>
          </w:p>
        </w:tc>
        <w:tc>
          <w:tcPr>
            <w:tcW w:w="4593" w:type="dxa"/>
            <w:vAlign w:val="center"/>
          </w:tcPr>
          <w:p w14:paraId="192480D8">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6A4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268" w:type="dxa"/>
            <w:vMerge w:val="continue"/>
            <w:vAlign w:val="center"/>
          </w:tcPr>
          <w:p w14:paraId="5BABFDAC">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702F85B9">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投标人代表的证明</w:t>
            </w:r>
          </w:p>
        </w:tc>
        <w:tc>
          <w:tcPr>
            <w:tcW w:w="4593" w:type="dxa"/>
            <w:vAlign w:val="center"/>
          </w:tcPr>
          <w:p w14:paraId="6A2A0D08">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法定代表人身份证明书、法定代表人授权委托书，符合招标文件要求。</w:t>
            </w:r>
          </w:p>
        </w:tc>
      </w:tr>
      <w:tr w14:paraId="3587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68" w:type="dxa"/>
            <w:vMerge w:val="continue"/>
            <w:vAlign w:val="center"/>
          </w:tcPr>
          <w:p w14:paraId="1F83783B">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11A84288">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4593" w:type="dxa"/>
            <w:vAlign w:val="center"/>
          </w:tcPr>
          <w:p w14:paraId="7F0D1FBD">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3829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268" w:type="dxa"/>
            <w:vMerge w:val="continue"/>
            <w:vAlign w:val="center"/>
          </w:tcPr>
          <w:p w14:paraId="2B9327CB">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476A7382">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4593" w:type="dxa"/>
            <w:vAlign w:val="center"/>
          </w:tcPr>
          <w:p w14:paraId="59DE171E">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报价唯一且不得超出预算价，报价超出预算价的按无效标处理。</w:t>
            </w:r>
          </w:p>
        </w:tc>
      </w:tr>
      <w:tr w14:paraId="66C9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268" w:type="dxa"/>
            <w:vMerge w:val="continue"/>
            <w:vAlign w:val="center"/>
          </w:tcPr>
          <w:p w14:paraId="3778D670">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31C7628D">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投标文件签字、盖章</w:t>
            </w:r>
          </w:p>
        </w:tc>
        <w:tc>
          <w:tcPr>
            <w:tcW w:w="4593" w:type="dxa"/>
            <w:vAlign w:val="center"/>
          </w:tcPr>
          <w:p w14:paraId="491C8939">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3C0C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268" w:type="dxa"/>
            <w:vMerge w:val="continue"/>
            <w:vAlign w:val="center"/>
          </w:tcPr>
          <w:p w14:paraId="4ECD0BB6">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2B4724E1">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合同履约期限、质保期、质量要求</w:t>
            </w:r>
          </w:p>
        </w:tc>
        <w:tc>
          <w:tcPr>
            <w:tcW w:w="4593" w:type="dxa"/>
            <w:vAlign w:val="center"/>
          </w:tcPr>
          <w:p w14:paraId="635E8475">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7B9C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268" w:type="dxa"/>
            <w:vMerge w:val="continue"/>
            <w:vAlign w:val="center"/>
          </w:tcPr>
          <w:p w14:paraId="433BFE67">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6F9B9DDE">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593" w:type="dxa"/>
            <w:vAlign w:val="center"/>
          </w:tcPr>
          <w:p w14:paraId="40042F6E">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4322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268" w:type="dxa"/>
            <w:vMerge w:val="continue"/>
            <w:vAlign w:val="center"/>
          </w:tcPr>
          <w:p w14:paraId="3AAC8F4D">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0902486E">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投标内容、数量</w:t>
            </w:r>
          </w:p>
        </w:tc>
        <w:tc>
          <w:tcPr>
            <w:tcW w:w="4593" w:type="dxa"/>
            <w:vAlign w:val="center"/>
          </w:tcPr>
          <w:p w14:paraId="37A15411">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r w14:paraId="5FC3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268" w:type="dxa"/>
            <w:vAlign w:val="center"/>
          </w:tcPr>
          <w:p w14:paraId="323E0DC7">
            <w:pPr>
              <w:adjustRightInd w:val="0"/>
              <w:snapToGrid w:val="0"/>
              <w:spacing w:before="62" w:beforeLines="20" w:after="62" w:afterLines="20"/>
              <w:jc w:val="center"/>
              <w:rPr>
                <w:rFonts w:hint="eastAsia" w:ascii="宋体" w:hAnsi="宋体" w:eastAsia="宋体" w:cs="宋体"/>
                <w:color w:val="auto"/>
                <w:sz w:val="24"/>
                <w:highlight w:val="none"/>
              </w:rPr>
            </w:pPr>
          </w:p>
        </w:tc>
        <w:tc>
          <w:tcPr>
            <w:tcW w:w="3017" w:type="dxa"/>
            <w:vAlign w:val="center"/>
          </w:tcPr>
          <w:p w14:paraId="6A97B606">
            <w:pPr>
              <w:adjustRightInd w:val="0"/>
              <w:snapToGrid w:val="0"/>
              <w:spacing w:before="62" w:beforeLines="20" w:after="62" w:afterLines="2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其他要求</w:t>
            </w:r>
          </w:p>
        </w:tc>
        <w:tc>
          <w:tcPr>
            <w:tcW w:w="4593" w:type="dxa"/>
            <w:vAlign w:val="center"/>
          </w:tcPr>
          <w:p w14:paraId="2E6EFA3B">
            <w:pPr>
              <w:adjustRightInd w:val="0"/>
              <w:snapToGrid w:val="0"/>
              <w:spacing w:before="62" w:beforeLines="20" w:after="62" w:afterLines="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符合招标文件要求。</w:t>
            </w:r>
          </w:p>
        </w:tc>
      </w:tr>
    </w:tbl>
    <w:p w14:paraId="402369FB">
      <w:pPr>
        <w:spacing w:line="400" w:lineRule="exact"/>
        <w:ind w:firstLine="482" w:firstLineChars="200"/>
        <w:rPr>
          <w:rFonts w:hint="eastAsia" w:ascii="宋体" w:hAnsi="宋体" w:eastAsia="宋体" w:cs="宋体"/>
          <w:b/>
          <w:color w:val="auto"/>
          <w:sz w:val="24"/>
          <w:highlight w:val="none"/>
        </w:rPr>
      </w:pPr>
    </w:p>
    <w:p w14:paraId="358957AA">
      <w:pPr>
        <w:keepNext w:val="0"/>
        <w:keepLines w:val="0"/>
        <w:pageBreakBefore w:val="0"/>
        <w:widowControl w:val="0"/>
        <w:kinsoku/>
        <w:wordWrap/>
        <w:overflowPunct/>
        <w:topLinePunct w:val="0"/>
        <w:autoSpaceDE/>
        <w:autoSpaceDN/>
        <w:bidi w:val="0"/>
        <w:spacing w:line="48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特别说明：</w:t>
      </w:r>
    </w:p>
    <w:p w14:paraId="70F4E587">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1、招标文件要求投标人提供的其他材料，不作为资格性审查的内容。</w:t>
      </w:r>
    </w:p>
    <w:p w14:paraId="7E1664E6">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2、投标人应按招标文件要求“格式”提供的材料，如有调整，内容及签署必须完整、有效，且没有本文件不可接受的条件。</w:t>
      </w:r>
    </w:p>
    <w:p w14:paraId="3C29CB4F">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3、若评标委员会各成员在评审现场意见发生分歧，服从少数服从多数的原则举手表决。</w:t>
      </w:r>
    </w:p>
    <w:p w14:paraId="2A696400">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4、资格性审查、符合性审查和详细评审以招标文件规定的评标办法为准。</w:t>
      </w:r>
    </w:p>
    <w:p w14:paraId="021863DF">
      <w:pPr>
        <w:keepNext w:val="0"/>
        <w:keepLines w:val="0"/>
        <w:pageBreakBefore w:val="0"/>
        <w:widowControl w:val="0"/>
        <w:kinsoku/>
        <w:wordWrap/>
        <w:overflowPunct/>
        <w:topLinePunct w:val="0"/>
        <w:autoSpaceDE/>
        <w:autoSpaceDN/>
        <w:bidi w:val="0"/>
        <w:adjustRightInd w:val="0"/>
        <w:snapToGrid w:val="0"/>
        <w:spacing w:line="480" w:lineRule="exact"/>
        <w:ind w:firstLine="360" w:firstLineChars="150"/>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三</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关于推动解决政府采购异常低价问题的通知： </w:t>
      </w:r>
    </w:p>
    <w:p w14:paraId="5738409E">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根据财政部（关于推动解决政府采购异常低价问题的通知财库〔2026〕2 号）强化政府采购异常低价审查： </w:t>
      </w:r>
    </w:p>
    <w:p w14:paraId="7D59C2D2">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（1）采购人应当在采购文件中明确，政府采购评审中出现下列情形之一的，评审委员会应当启动异常低价投标（响应）审查程序： </w:t>
      </w:r>
    </w:p>
    <w:p w14:paraId="4FEA9D79">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1.投标（响应）报价低于全部通过符合性审查供应商投标（响应）报价平均值</w:t>
      </w:r>
      <w:r>
        <w:rPr>
          <w:rFonts w:hint="eastAsia" w:ascii="宋体" w:hAnsi="宋体" w:eastAsia="宋体" w:cs="宋体"/>
          <w:b w:val="0"/>
          <w:bCs/>
          <w:color w:val="auto"/>
          <w:sz w:val="24"/>
          <w:szCs w:val="24"/>
          <w:highlight w:val="none"/>
          <w:lang w:val="en-US" w:eastAsia="zh-CN"/>
        </w:rPr>
        <w:t>65</w:t>
      </w:r>
      <w:r>
        <w:rPr>
          <w:rFonts w:hint="eastAsia" w:ascii="宋体" w:hAnsi="宋体" w:eastAsia="宋体" w:cs="宋体"/>
          <w:b w:val="0"/>
          <w:bCs/>
          <w:color w:val="auto"/>
          <w:sz w:val="24"/>
          <w:szCs w:val="24"/>
          <w:highlight w:val="none"/>
          <w:lang w:val="en-US" w:eastAsia="zh-CN"/>
        </w:rPr>
        <w:t>%的，即投标（响应）报价&lt;全部通过符合性审查供应商投标（响应）报价平均值×</w:t>
      </w:r>
      <w:r>
        <w:rPr>
          <w:rFonts w:hint="eastAsia" w:ascii="宋体" w:hAnsi="宋体" w:eastAsia="宋体" w:cs="宋体"/>
          <w:b w:val="0"/>
          <w:bCs/>
          <w:color w:val="auto"/>
          <w:sz w:val="24"/>
          <w:szCs w:val="24"/>
          <w:highlight w:val="none"/>
          <w:lang w:val="en-US" w:eastAsia="zh-CN"/>
        </w:rPr>
        <w:t>65</w:t>
      </w:r>
      <w:r>
        <w:rPr>
          <w:rFonts w:hint="eastAsia" w:ascii="宋体" w:hAnsi="宋体" w:eastAsia="宋体" w:cs="宋体"/>
          <w:b w:val="0"/>
          <w:bCs/>
          <w:color w:val="auto"/>
          <w:sz w:val="24"/>
          <w:szCs w:val="24"/>
          <w:highlight w:val="none"/>
          <w:lang w:val="en-US" w:eastAsia="zh-CN"/>
        </w:rPr>
        <w:t xml:space="preserve">%； </w:t>
      </w:r>
    </w:p>
    <w:p w14:paraId="555FAA39">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2.投标（响应）报价低于通过符合性审查的次低报价供应商投标（响应）报价</w:t>
      </w:r>
      <w:r>
        <w:rPr>
          <w:rFonts w:hint="eastAsia" w:ascii="宋体" w:hAnsi="宋体" w:eastAsia="宋体" w:cs="宋体"/>
          <w:b w:val="0"/>
          <w:bCs/>
          <w:color w:val="auto"/>
          <w:sz w:val="24"/>
          <w:szCs w:val="24"/>
          <w:highlight w:val="none"/>
          <w:lang w:val="en-US" w:eastAsia="zh-CN"/>
        </w:rPr>
        <w:t>65</w:t>
      </w:r>
      <w:r>
        <w:rPr>
          <w:rFonts w:hint="eastAsia" w:ascii="宋体" w:hAnsi="宋体" w:eastAsia="宋体" w:cs="宋体"/>
          <w:b w:val="0"/>
          <w:bCs/>
          <w:color w:val="auto"/>
          <w:sz w:val="24"/>
          <w:szCs w:val="24"/>
          <w:highlight w:val="none"/>
          <w:lang w:val="en-US" w:eastAsia="zh-CN"/>
        </w:rPr>
        <w:t>%的，即投标（响应）报价&lt;通过符合性审查的次低报价供应商投标（响应）报价×</w:t>
      </w:r>
      <w:r>
        <w:rPr>
          <w:rFonts w:hint="eastAsia" w:ascii="宋体" w:hAnsi="宋体" w:eastAsia="宋体" w:cs="宋体"/>
          <w:b w:val="0"/>
          <w:bCs/>
          <w:color w:val="auto"/>
          <w:sz w:val="24"/>
          <w:szCs w:val="24"/>
          <w:highlight w:val="none"/>
          <w:lang w:val="en-US" w:eastAsia="zh-CN"/>
        </w:rPr>
        <w:t>65</w:t>
      </w:r>
      <w:r>
        <w:rPr>
          <w:rFonts w:hint="eastAsia" w:ascii="宋体" w:hAnsi="宋体" w:eastAsia="宋体" w:cs="宋体"/>
          <w:b w:val="0"/>
          <w:bCs/>
          <w:color w:val="auto"/>
          <w:sz w:val="24"/>
          <w:szCs w:val="24"/>
          <w:highlight w:val="none"/>
          <w:lang w:val="en-US" w:eastAsia="zh-CN"/>
        </w:rPr>
        <w:t xml:space="preserve">%； </w:t>
      </w:r>
    </w:p>
    <w:p w14:paraId="48026290">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3.投标（响应）报价低于采购项目最高限价</w:t>
      </w:r>
      <w:r>
        <w:rPr>
          <w:rFonts w:hint="eastAsia" w:ascii="宋体" w:hAnsi="宋体" w:eastAsia="宋体" w:cs="宋体"/>
          <w:b w:val="0"/>
          <w:bCs/>
          <w:color w:val="auto"/>
          <w:sz w:val="24"/>
          <w:szCs w:val="24"/>
          <w:highlight w:val="none"/>
          <w:lang w:val="en-US" w:eastAsia="zh-CN"/>
        </w:rPr>
        <w:t>65</w:t>
      </w:r>
      <w:r>
        <w:rPr>
          <w:rFonts w:hint="eastAsia" w:ascii="宋体" w:hAnsi="宋体" w:eastAsia="宋体" w:cs="宋体"/>
          <w:b w:val="0"/>
          <w:bCs/>
          <w:color w:val="auto"/>
          <w:sz w:val="24"/>
          <w:szCs w:val="24"/>
          <w:highlight w:val="none"/>
          <w:lang w:val="en-US" w:eastAsia="zh-CN"/>
        </w:rPr>
        <w:t>%的，即投标（响应）报价&lt;采购项目最高限价×</w:t>
      </w:r>
      <w:r>
        <w:rPr>
          <w:rFonts w:hint="eastAsia" w:ascii="宋体" w:hAnsi="宋体" w:eastAsia="宋体" w:cs="宋体"/>
          <w:b w:val="0"/>
          <w:bCs/>
          <w:color w:val="auto"/>
          <w:sz w:val="24"/>
          <w:szCs w:val="24"/>
          <w:highlight w:val="none"/>
          <w:lang w:val="en-US" w:eastAsia="zh-CN"/>
        </w:rPr>
        <w:t>65</w:t>
      </w:r>
      <w:r>
        <w:rPr>
          <w:rFonts w:hint="eastAsia" w:ascii="宋体" w:hAnsi="宋体" w:eastAsia="宋体" w:cs="宋体"/>
          <w:b w:val="0"/>
          <w:bCs/>
          <w:color w:val="auto"/>
          <w:sz w:val="24"/>
          <w:szCs w:val="24"/>
          <w:highlight w:val="none"/>
          <w:lang w:val="en-US" w:eastAsia="zh-CN"/>
        </w:rPr>
        <w:t xml:space="preserve">%； </w:t>
      </w:r>
    </w:p>
    <w:p w14:paraId="637DD5CA">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4.评审委员会基于专业判断，认为供应商报价过低，有可能影响产品质量或者不能诚信履约的其他情形。 </w:t>
      </w:r>
    </w:p>
    <w:p w14:paraId="7253734B">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相关法律法规对供应商报价有规定的，从其规定。 </w:t>
      </w:r>
    </w:p>
    <w:p w14:paraId="261A5DFB">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（2）评审委员会启动异常低价投标（响应）审查后，属于前述第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 </w:t>
      </w:r>
    </w:p>
    <w:p w14:paraId="1E04A0EC">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其中，属于第 3 项情形，供应商已随投标（响应）文件一并提交相关书面说明及必要的证明材料的，在评审现场可不再重复提交。 </w:t>
      </w:r>
    </w:p>
    <w:p w14:paraId="6DA50E3A">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23B3258">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AA1E115">
      <w:pPr>
        <w:pStyle w:val="129"/>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82E26B9">
      <w:pPr>
        <w:keepNext w:val="0"/>
        <w:keepLines w:val="0"/>
        <w:pageBreakBefore w:val="0"/>
        <w:widowControl w:val="0"/>
        <w:kinsoku/>
        <w:wordWrap/>
        <w:overflowPunct/>
        <w:topLinePunct w:val="0"/>
        <w:autoSpaceDE/>
        <w:autoSpaceDN/>
        <w:bidi w:val="0"/>
        <w:adjustRightInd w:val="0"/>
        <w:snapToGrid w:val="0"/>
        <w:spacing w:line="480" w:lineRule="exact"/>
        <w:ind w:firstLine="361" w:firstLineChars="15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、无效投标的情形</w:t>
      </w:r>
    </w:p>
    <w:p w14:paraId="0D904F11">
      <w:pPr>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未通过资格性审查、符合性审查的投标文件为无效投标。</w:t>
      </w:r>
    </w:p>
    <w:p w14:paraId="7435FA11">
      <w:pPr>
        <w:keepNext w:val="0"/>
        <w:keepLines w:val="0"/>
        <w:pageBreakBefore w:val="0"/>
        <w:widowControl w:val="0"/>
        <w:kinsoku/>
        <w:wordWrap/>
        <w:overflowPunct/>
        <w:topLinePunct w:val="0"/>
        <w:autoSpaceDE/>
        <w:autoSpaceDN/>
        <w:bidi w:val="0"/>
        <w:adjustRightInd w:val="0"/>
        <w:snapToGrid w:val="0"/>
        <w:spacing w:line="480" w:lineRule="exact"/>
        <w:ind w:firstLine="361" w:firstLineChars="15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评标方法及中标条件</w:t>
      </w:r>
    </w:p>
    <w:p w14:paraId="55C75589">
      <w:pPr>
        <w:keepNext w:val="0"/>
        <w:keepLines w:val="0"/>
        <w:pageBreakBefore w:val="0"/>
        <w:widowControl w:val="0"/>
        <w:kinsoku/>
        <w:wordWrap/>
        <w:overflowPunct/>
        <w:topLinePunct w:val="0"/>
        <w:autoSpaceDE/>
        <w:autoSpaceDN/>
        <w:bidi w:val="0"/>
        <w:snapToGrid w:val="0"/>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01529C2">
      <w:pPr>
        <w:snapToGrid w:val="0"/>
        <w:spacing w:line="400" w:lineRule="exact"/>
        <w:ind w:firstLine="480" w:firstLineChars="200"/>
        <w:rPr>
          <w:rFonts w:hint="eastAsia" w:ascii="宋体" w:hAnsi="宋体" w:eastAsia="宋体" w:cs="宋体"/>
          <w:color w:val="auto"/>
          <w:kern w:val="0"/>
          <w:sz w:val="24"/>
          <w:highlight w:val="none"/>
        </w:rPr>
      </w:pPr>
    </w:p>
    <w:p w14:paraId="48740EC3">
      <w:pPr>
        <w:snapToGrid w:val="0"/>
        <w:spacing w:line="400" w:lineRule="exact"/>
        <w:ind w:firstLine="480" w:firstLineChars="200"/>
        <w:rPr>
          <w:rFonts w:hint="eastAsia" w:ascii="宋体" w:hAnsi="宋体" w:eastAsia="宋体" w:cs="宋体"/>
          <w:color w:val="auto"/>
          <w:kern w:val="0"/>
          <w:sz w:val="24"/>
          <w:highlight w:val="none"/>
        </w:rPr>
      </w:pPr>
    </w:p>
    <w:p w14:paraId="5B29503F">
      <w:pPr>
        <w:pStyle w:val="24"/>
        <w:jc w:val="center"/>
        <w:rPr>
          <w:rFonts w:hint="eastAsia" w:ascii="宋体" w:hAnsi="宋体" w:eastAsia="宋体" w:cs="宋体"/>
          <w:color w:val="auto"/>
          <w:highlight w:val="none"/>
        </w:rPr>
      </w:pPr>
      <w:bookmarkStart w:id="15" w:name="_Toc25668"/>
      <w:r>
        <w:rPr>
          <w:rFonts w:hint="eastAsia" w:ascii="宋体" w:hAnsi="宋体" w:eastAsia="宋体" w:cs="宋体"/>
          <w:b/>
          <w:color w:val="auto"/>
          <w:sz w:val="28"/>
          <w:szCs w:val="28"/>
          <w:highlight w:val="none"/>
        </w:rPr>
        <w:t>详细评审标准</w:t>
      </w:r>
    </w:p>
    <w:tbl>
      <w:tblPr>
        <w:tblStyle w:val="38"/>
        <w:tblpPr w:leftFromText="180" w:rightFromText="180" w:vertAnchor="page" w:horzAnchor="margin" w:tblpXSpec="center" w:tblpY="1798"/>
        <w:tblW w:w="89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562"/>
        <w:gridCol w:w="6640"/>
      </w:tblGrid>
      <w:tr w14:paraId="03DA4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922" w:type="dxa"/>
            <w:gridSpan w:val="3"/>
            <w:vAlign w:val="center"/>
          </w:tcPr>
          <w:p w14:paraId="5AF854CE">
            <w:pPr>
              <w:spacing w:line="440" w:lineRule="exact"/>
              <w:textAlignment w:val="baseline"/>
              <w:rPr>
                <w:rFonts w:hint="eastAsia" w:ascii="宋体" w:hAnsi="宋体" w:eastAsia="宋体" w:cs="宋体"/>
                <w:bCs/>
                <w:color w:val="auto"/>
                <w:sz w:val="24"/>
                <w:highlight w:val="none"/>
                <w:lang w:val="zh-CN"/>
              </w:rPr>
            </w:pPr>
            <w:r>
              <w:rPr>
                <w:rFonts w:hint="eastAsia" w:ascii="宋体" w:hAnsi="宋体" w:eastAsia="宋体" w:cs="宋体"/>
                <w:color w:val="auto"/>
                <w:sz w:val="24"/>
                <w:highlight w:val="none"/>
              </w:rPr>
              <w:t>一、商务部分（分值</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tc>
      </w:tr>
      <w:tr w14:paraId="04C5E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20" w:type="dxa"/>
            <w:vAlign w:val="center"/>
          </w:tcPr>
          <w:p w14:paraId="68DA6D8C">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62" w:type="dxa"/>
            <w:vAlign w:val="center"/>
          </w:tcPr>
          <w:p w14:paraId="1EA99137">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评审项目</w:t>
            </w:r>
          </w:p>
        </w:tc>
        <w:tc>
          <w:tcPr>
            <w:tcW w:w="6640" w:type="dxa"/>
            <w:vAlign w:val="center"/>
          </w:tcPr>
          <w:p w14:paraId="6A34C065">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r>
      <w:tr w14:paraId="7CE4C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6" w:hRule="atLeast"/>
        </w:trPr>
        <w:tc>
          <w:tcPr>
            <w:tcW w:w="720" w:type="dxa"/>
            <w:tcBorders/>
            <w:vAlign w:val="center"/>
          </w:tcPr>
          <w:p w14:paraId="3705B835">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62" w:type="dxa"/>
            <w:vAlign w:val="center"/>
          </w:tcPr>
          <w:p w14:paraId="7178A7BC">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同类型业绩</w:t>
            </w:r>
          </w:p>
          <w:p w14:paraId="3CC7D95F">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tc>
        <w:tc>
          <w:tcPr>
            <w:tcW w:w="6640" w:type="dxa"/>
            <w:vAlign w:val="center"/>
          </w:tcPr>
          <w:p w14:paraId="59EAF7F0">
            <w:pPr>
              <w:spacing w:line="4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投标人提供</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月承担过的类似项目业绩，每有一个项目案例，得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分，最高得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p w14:paraId="1764462C">
            <w:pPr>
              <w:spacing w:line="4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提供合同</w:t>
            </w:r>
            <w:r>
              <w:rPr>
                <w:rFonts w:hint="eastAsia" w:ascii="宋体" w:hAnsi="宋体" w:eastAsia="宋体" w:cs="宋体"/>
                <w:color w:val="auto"/>
                <w:kern w:val="0"/>
                <w:sz w:val="24"/>
                <w:highlight w:val="none"/>
                <w:lang w:bidi="ar"/>
              </w:rPr>
              <w:t>扫描件</w:t>
            </w:r>
            <w:r>
              <w:rPr>
                <w:rFonts w:hint="eastAsia" w:ascii="宋体" w:hAnsi="宋体" w:eastAsia="宋体" w:cs="宋体"/>
                <w:color w:val="auto"/>
                <w:sz w:val="24"/>
                <w:highlight w:val="none"/>
              </w:rPr>
              <w:t>（含合同首页、合同金额所在页、签字盖章页）。</w:t>
            </w:r>
          </w:p>
        </w:tc>
      </w:tr>
      <w:tr w14:paraId="74F5D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922" w:type="dxa"/>
            <w:gridSpan w:val="3"/>
            <w:vAlign w:val="center"/>
          </w:tcPr>
          <w:p w14:paraId="6F9CFF2A">
            <w:pPr>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二、技术服务部分（分值</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分）</w:t>
            </w:r>
          </w:p>
        </w:tc>
      </w:tr>
      <w:tr w14:paraId="3C607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16601DEF">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62" w:type="dxa"/>
            <w:vAlign w:val="center"/>
          </w:tcPr>
          <w:p w14:paraId="006906B6">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评审项目</w:t>
            </w:r>
          </w:p>
        </w:tc>
        <w:tc>
          <w:tcPr>
            <w:tcW w:w="6640" w:type="dxa"/>
            <w:vAlign w:val="center"/>
          </w:tcPr>
          <w:p w14:paraId="58332006">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r>
      <w:tr w14:paraId="551F6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65E5C033">
            <w:pPr>
              <w:spacing w:line="440" w:lineRule="exact"/>
              <w:jc w:val="center"/>
              <w:textAlignment w:val="baseline"/>
              <w:rPr>
                <w:rFonts w:hint="eastAsia" w:ascii="宋体" w:hAnsi="宋体" w:eastAsia="宋体" w:cs="宋体"/>
                <w:color w:val="auto"/>
                <w:sz w:val="24"/>
                <w:highlight w:val="none"/>
              </w:rPr>
            </w:pPr>
          </w:p>
        </w:tc>
        <w:tc>
          <w:tcPr>
            <w:tcW w:w="1562" w:type="dxa"/>
            <w:vAlign w:val="center"/>
          </w:tcPr>
          <w:p w14:paraId="51292CA5">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产品技术参数（1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tc>
        <w:tc>
          <w:tcPr>
            <w:tcW w:w="6640" w:type="dxa"/>
            <w:vAlign w:val="center"/>
          </w:tcPr>
          <w:p w14:paraId="606DDB5B">
            <w:pPr>
              <w:pStyle w:val="26"/>
              <w:spacing w:line="440" w:lineRule="exact"/>
              <w:ind w:left="0"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依据各投标人所投产品的主要技术指标参数等情况，以及与招标文件技术要求的响应程度，投标人所投产品技术要求完全满足或优于招标文件要求的得 16分； 每有一项负偏离扣 2分，扣完为止，不计负分。</w:t>
            </w:r>
          </w:p>
          <w:p w14:paraId="607908EA">
            <w:pPr>
              <w:pStyle w:val="26"/>
              <w:spacing w:line="440" w:lineRule="exact"/>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标注“★”的技术参数，投标文件中须提供能体现该参数要求的证明材料，包括但不限于检测报告、技术白皮书、医疗器械注册证、说明书、彩页、官网链接及截图、产品功能界面截图（图片）、学术论文证明等，提供其中之一的证明材料即可，未提供视为负偏离（为便于评审，建议投标人对证明材料中标注“★”的关键条款参数进行标注）。</w:t>
            </w:r>
          </w:p>
        </w:tc>
      </w:tr>
      <w:tr w14:paraId="0F6A1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5ADA22A5">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62" w:type="dxa"/>
            <w:vAlign w:val="center"/>
          </w:tcPr>
          <w:p w14:paraId="7D700441">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供货方案</w:t>
            </w:r>
          </w:p>
          <w:p w14:paraId="4D603C88">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tc>
        <w:tc>
          <w:tcPr>
            <w:tcW w:w="6640" w:type="dxa"/>
            <w:vAlign w:val="center"/>
          </w:tcPr>
          <w:p w14:paraId="7FFEFE40">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①项目整体部署；②设备出厂检验方案；③设备的供应及运输方案；④进度保障措施方案；⑤安装调试方案；⑥验收与交付方案；</w:t>
            </w:r>
          </w:p>
          <w:p w14:paraId="746CDD13">
            <w:pPr>
              <w:pStyle w:val="26"/>
              <w:spacing w:line="440" w:lineRule="exact"/>
              <w:ind w:left="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以上方案内容全面、针对性强、符合本项目特点的得满分1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分，以上每缺少一项内容或内容非针对于本项目扣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083C3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74FEBF50">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62" w:type="dxa"/>
            <w:vAlign w:val="center"/>
          </w:tcPr>
          <w:p w14:paraId="6BFE5180">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质量保障体系及措施（</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6640" w:type="dxa"/>
            <w:vAlign w:val="center"/>
          </w:tcPr>
          <w:p w14:paraId="16899C01">
            <w:pPr>
              <w:pStyle w:val="12"/>
              <w:spacing w:line="44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①质量保证体系；②零配件供应情况；③质保期的内外维修及服务时间；④货物的来源、包装、保存、运输各环节的质量保障</w:t>
            </w:r>
            <w:r>
              <w:rPr>
                <w:rFonts w:hint="eastAsia" w:ascii="宋体" w:hAnsi="宋体" w:eastAsia="宋体" w:cs="宋体"/>
                <w:color w:val="auto"/>
                <w:sz w:val="24"/>
                <w:highlight w:val="none"/>
                <w:lang w:val="zh-CN"/>
              </w:rPr>
              <w:t>；</w:t>
            </w:r>
          </w:p>
          <w:p w14:paraId="3832999F">
            <w:pPr>
              <w:pStyle w:val="12"/>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以上方案内容全面、针对性强、符合本项目特点的得满分</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分，以上每缺少一项内容或内容非针对于本项目扣</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7F99F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095590D2">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62" w:type="dxa"/>
            <w:vAlign w:val="center"/>
          </w:tcPr>
          <w:p w14:paraId="32A18655">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安全保障措施及应急预案</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zh-CN"/>
              </w:rPr>
              <w:t>）</w:t>
            </w:r>
          </w:p>
        </w:tc>
        <w:tc>
          <w:tcPr>
            <w:tcW w:w="6640" w:type="dxa"/>
            <w:vAlign w:val="center"/>
          </w:tcPr>
          <w:p w14:paraId="79AB2DA3">
            <w:pPr>
              <w:pStyle w:val="12"/>
              <w:spacing w:line="440" w:lineRule="exact"/>
              <w:ind w:firstLine="0"/>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rPr>
              <w:t>①安全保障体系及措施；②</w:t>
            </w:r>
            <w:r>
              <w:rPr>
                <w:rFonts w:hint="eastAsia" w:ascii="宋体" w:hAnsi="宋体" w:eastAsia="宋体" w:cs="宋体"/>
                <w:color w:val="auto"/>
                <w:sz w:val="24"/>
                <w:highlight w:val="none"/>
              </w:rPr>
              <w:t>对</w:t>
            </w:r>
            <w:r>
              <w:rPr>
                <w:rFonts w:hint="eastAsia" w:ascii="宋体" w:hAnsi="宋体" w:eastAsia="宋体" w:cs="宋体"/>
                <w:color w:val="auto"/>
                <w:kern w:val="2"/>
                <w:sz w:val="24"/>
                <w:highlight w:val="none"/>
              </w:rPr>
              <w:t>实施过程中</w:t>
            </w:r>
            <w:r>
              <w:rPr>
                <w:rFonts w:hint="eastAsia" w:ascii="宋体" w:hAnsi="宋体" w:eastAsia="宋体" w:cs="宋体"/>
                <w:color w:val="auto"/>
                <w:sz w:val="24"/>
                <w:highlight w:val="none"/>
              </w:rPr>
              <w:t>出现严重影响系统运行和数据质量重大问题时</w:t>
            </w:r>
            <w:r>
              <w:rPr>
                <w:rFonts w:hint="eastAsia" w:ascii="宋体" w:hAnsi="宋体" w:eastAsia="宋体" w:cs="宋体"/>
                <w:color w:val="auto"/>
                <w:kern w:val="2"/>
                <w:sz w:val="24"/>
                <w:highlight w:val="none"/>
              </w:rPr>
              <w:t>的应急预案以及应对措施</w:t>
            </w:r>
            <w:r>
              <w:rPr>
                <w:rFonts w:hint="eastAsia" w:ascii="宋体" w:hAnsi="宋体" w:eastAsia="宋体" w:cs="宋体"/>
                <w:color w:val="auto"/>
                <w:kern w:val="2"/>
                <w:sz w:val="24"/>
                <w:highlight w:val="none"/>
                <w:lang w:val="zh-CN"/>
              </w:rPr>
              <w:t>；</w:t>
            </w:r>
          </w:p>
          <w:p w14:paraId="3702C059">
            <w:pPr>
              <w:pStyle w:val="12"/>
              <w:spacing w:line="440" w:lineRule="exact"/>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sz w:val="24"/>
                <w:highlight w:val="none"/>
              </w:rPr>
              <w:t>以上方案内容全面、针对性强、符合本项目特点的得满分</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分，以上每缺少一项内容或内容非针对于本项目扣</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30E7C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5012947C">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62" w:type="dxa"/>
            <w:vAlign w:val="center"/>
          </w:tcPr>
          <w:p w14:paraId="73D72732">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培训方案</w:t>
            </w:r>
          </w:p>
          <w:p w14:paraId="20079450">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tc>
        <w:tc>
          <w:tcPr>
            <w:tcW w:w="6640" w:type="dxa"/>
            <w:vAlign w:val="center"/>
          </w:tcPr>
          <w:p w14:paraId="5DD1914F">
            <w:pPr>
              <w:spacing w:line="4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①培训目标②培训内容③时间安排④培训方式等进行评价。</w:t>
            </w:r>
          </w:p>
          <w:p w14:paraId="4BC07225">
            <w:pPr>
              <w:spacing w:line="44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以上方案内容全面、针对性强、符合本项目特点的得满分</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分，以上每缺少一项内容或内容非针对于本项目扣</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分；每小项有一处缺陷扣</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6E6C3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4686A028">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562" w:type="dxa"/>
            <w:vAlign w:val="center"/>
          </w:tcPr>
          <w:p w14:paraId="35BB070F">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项目机构配备情况</w:t>
            </w:r>
          </w:p>
          <w:p w14:paraId="630A8CD5">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6640" w:type="dxa"/>
            <w:vAlign w:val="center"/>
          </w:tcPr>
          <w:p w14:paraId="26C9C509">
            <w:pPr>
              <w:spacing w:line="4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①技术管理措施；②组织机构；③项目经理、技术负责人等有关人员的职责与权限；④有详细的、工种配置合理齐全的用工和人员使用计划；</w:t>
            </w:r>
          </w:p>
          <w:p w14:paraId="2598B533">
            <w:pPr>
              <w:spacing w:line="44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以上方案内容全面、针对性强、符合本项目特点的得满分</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以上每缺少一项内容或内容非针对于本项目扣2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520F2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47B6E29E">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562" w:type="dxa"/>
            <w:vAlign w:val="center"/>
          </w:tcPr>
          <w:p w14:paraId="4E2097F2">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14:paraId="537202DE">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（8分）</w:t>
            </w:r>
          </w:p>
        </w:tc>
        <w:tc>
          <w:tcPr>
            <w:tcW w:w="6640" w:type="dxa"/>
            <w:vAlign w:val="center"/>
          </w:tcPr>
          <w:p w14:paraId="57E4E453">
            <w:pPr>
              <w:spacing w:line="440" w:lineRule="exact"/>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①售后服务体系；②售后服务响应时间；③售后服务流程；④售后服务承诺；</w:t>
            </w:r>
          </w:p>
          <w:p w14:paraId="031830A7">
            <w:pPr>
              <w:spacing w:line="44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方案内容全面、针对性强、符合本项目特点的得满分8分，以上每缺少一项内容或内容非针对于本项目扣2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12A85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922" w:type="dxa"/>
            <w:gridSpan w:val="3"/>
            <w:vAlign w:val="center"/>
          </w:tcPr>
          <w:p w14:paraId="2AE79E15">
            <w:pPr>
              <w:spacing w:line="4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三、价格部分（30分）</w:t>
            </w:r>
          </w:p>
        </w:tc>
      </w:tr>
      <w:tr w14:paraId="2E4D7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5FB9F03E">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62" w:type="dxa"/>
            <w:vAlign w:val="center"/>
          </w:tcPr>
          <w:p w14:paraId="7B425149">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评审项目</w:t>
            </w:r>
          </w:p>
        </w:tc>
        <w:tc>
          <w:tcPr>
            <w:tcW w:w="6640" w:type="dxa"/>
            <w:vAlign w:val="center"/>
          </w:tcPr>
          <w:p w14:paraId="3A356AC3">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r>
      <w:tr w14:paraId="0CAE1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720" w:type="dxa"/>
            <w:vAlign w:val="center"/>
          </w:tcPr>
          <w:p w14:paraId="6DD290F9">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62" w:type="dxa"/>
            <w:vAlign w:val="center"/>
          </w:tcPr>
          <w:p w14:paraId="42108563">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价格部分</w:t>
            </w:r>
          </w:p>
          <w:p w14:paraId="0ED9F438">
            <w:pPr>
              <w:spacing w:line="4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（30分）</w:t>
            </w:r>
          </w:p>
        </w:tc>
        <w:tc>
          <w:tcPr>
            <w:tcW w:w="6640" w:type="dxa"/>
            <w:vAlign w:val="center"/>
          </w:tcPr>
          <w:p w14:paraId="5A7AC63C">
            <w:pPr>
              <w:spacing w:line="44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满足招标文件要求且投标价格最低的投标报价为评标基准价，其价格分为满分30分。其他投标人的价格分统一按照下列公式计算：</w:t>
            </w:r>
          </w:p>
          <w:p w14:paraId="3313C6FC">
            <w:pPr>
              <w:spacing w:line="44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投标报价得分=（评标基准价／投标报价）×30%×100</w:t>
            </w:r>
          </w:p>
          <w:p w14:paraId="18C58D90">
            <w:pPr>
              <w:spacing w:line="44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政策加分：</w:t>
            </w:r>
          </w:p>
          <w:p w14:paraId="6DD482E2">
            <w:pPr>
              <w:spacing w:line="440" w:lineRule="exact"/>
              <w:rPr>
                <w:rFonts w:hint="eastAsia" w:ascii="宋体" w:hAnsi="宋体" w:eastAsia="宋体" w:cs="宋体"/>
                <w:color w:val="auto"/>
                <w:sz w:val="24"/>
                <w:highlight w:val="none"/>
              </w:rPr>
            </w:pPr>
            <w:r>
              <w:rPr>
                <w:rFonts w:hint="eastAsia" w:ascii="宋体" w:hAnsi="宋体" w:eastAsia="宋体" w:cs="宋体"/>
                <w:bCs/>
                <w:color w:val="auto"/>
                <w:sz w:val="24"/>
                <w:highlight w:val="none"/>
              </w:rPr>
              <w:t>给予小型和微型企业、监狱企业、残疾人企业的价格扣除优惠为15%。</w:t>
            </w:r>
            <w:r>
              <w:rPr>
                <w:rFonts w:hint="eastAsia" w:ascii="宋体" w:hAnsi="宋体" w:eastAsia="宋体" w:cs="宋体"/>
                <w:color w:val="auto"/>
                <w:sz w:val="24"/>
                <w:highlight w:val="none"/>
              </w:rPr>
              <w:t xml:space="preserve">  </w:t>
            </w:r>
          </w:p>
        </w:tc>
      </w:tr>
    </w:tbl>
    <w:p w14:paraId="0D2C6291">
      <w:pPr>
        <w:rPr>
          <w:rFonts w:hint="eastAsia" w:ascii="宋体" w:hAnsi="宋体" w:eastAsia="宋体" w:cs="宋体"/>
          <w:b/>
          <w:bCs/>
          <w:color w:val="auto"/>
          <w:sz w:val="24"/>
          <w:highlight w:val="none"/>
          <w:lang w:val="zh-CN"/>
        </w:rPr>
      </w:pPr>
    </w:p>
    <w:p w14:paraId="7ACE14F6">
      <w:pPr>
        <w:pStyle w:val="37"/>
        <w:ind w:firstLine="482"/>
        <w:rPr>
          <w:rFonts w:hint="eastAsia" w:ascii="宋体" w:hAnsi="宋体" w:eastAsia="宋体" w:cs="宋体"/>
          <w:b/>
          <w:bCs/>
          <w:color w:val="auto"/>
          <w:sz w:val="24"/>
          <w:highlight w:val="none"/>
          <w:lang w:val="zh-CN"/>
        </w:rPr>
      </w:pPr>
    </w:p>
    <w:p w14:paraId="4F071BB9">
      <w:pPr>
        <w:rPr>
          <w:rFonts w:hint="eastAsia" w:ascii="宋体" w:hAnsi="宋体" w:eastAsia="宋体" w:cs="宋体"/>
          <w:color w:val="auto"/>
          <w:highlight w:val="none"/>
          <w:lang w:val="zh-CN"/>
        </w:rPr>
      </w:pPr>
    </w:p>
    <w:p w14:paraId="5EBF79DF">
      <w:pPr>
        <w:pStyle w:val="24"/>
        <w:rPr>
          <w:rFonts w:hint="eastAsia" w:ascii="宋体" w:hAnsi="宋体" w:eastAsia="宋体" w:cs="宋体"/>
          <w:b/>
          <w:bCs/>
          <w:color w:val="auto"/>
          <w:sz w:val="24"/>
          <w:szCs w:val="24"/>
          <w:highlight w:val="none"/>
          <w:lang w:val="zh-CN"/>
        </w:rPr>
        <w:sectPr>
          <w:pgSz w:w="11906" w:h="16838"/>
          <w:pgMar w:top="1440" w:right="1800" w:bottom="1440" w:left="1800" w:header="851" w:footer="992" w:gutter="0"/>
          <w:cols w:space="720" w:num="1"/>
          <w:docGrid w:type="lines" w:linePitch="312" w:charSpace="0"/>
        </w:sectPr>
      </w:pPr>
    </w:p>
    <w:p w14:paraId="72B34EE7">
      <w:pPr>
        <w:pStyle w:val="11"/>
        <w:numPr>
          <w:ilvl w:val="0"/>
          <w:numId w:val="4"/>
        </w:numPr>
        <w:ind w:leftChars="0" w:firstLine="72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bookmarkStart w:id="16" w:name="_Toc18995"/>
      <w:r>
        <w:rPr>
          <w:rFonts w:hint="eastAsia" w:ascii="宋体" w:hAnsi="宋体" w:eastAsia="宋体" w:cs="宋体"/>
          <w:b/>
          <w:color w:val="auto"/>
          <w:sz w:val="36"/>
          <w:szCs w:val="36"/>
          <w:highlight w:val="none"/>
        </w:rPr>
        <w:t>商务及技术要求</w:t>
      </w:r>
      <w:bookmarkEnd w:id="16"/>
    </w:p>
    <w:bookmarkEnd w:id="15"/>
    <w:p w14:paraId="63E6ED86">
      <w:pPr>
        <w:kinsoku w:val="0"/>
        <w:overflowPunct w:val="0"/>
        <w:autoSpaceDE w:val="0"/>
        <w:autoSpaceDN w:val="0"/>
        <w:adjustRightInd w:val="0"/>
        <w:snapToGrid w:val="0"/>
        <w:spacing w:line="360" w:lineRule="auto"/>
        <w:rPr>
          <w:rFonts w:hint="eastAsia" w:ascii="宋体" w:hAnsi="宋体" w:eastAsia="宋体" w:cs="宋体"/>
          <w:b/>
          <w:color w:val="auto"/>
          <w:sz w:val="24"/>
          <w:highlight w:val="none"/>
        </w:rPr>
      </w:pPr>
      <w:bookmarkStart w:id="17" w:name="_Toc20384570"/>
      <w:bookmarkStart w:id="18" w:name="_Toc2930"/>
    </w:p>
    <w:p w14:paraId="2D332664">
      <w:pPr>
        <w:kinsoku w:val="0"/>
        <w:overflowPunct w:val="0"/>
        <w:autoSpaceDE w:val="0"/>
        <w:autoSpaceDN w:val="0"/>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22BF48BB">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项目名称：</w:t>
      </w:r>
      <w:r>
        <w:rPr>
          <w:rFonts w:hint="eastAsia" w:ascii="宋体" w:hAnsi="宋体" w:eastAsia="宋体" w:cs="宋体"/>
          <w:color w:val="auto"/>
          <w:kern w:val="2"/>
          <w:highlight w:val="none"/>
          <w:lang w:eastAsia="zh-CN"/>
        </w:rPr>
        <w:t>长治市疾病预防控制中心（长治市卫生监督所）监测检验设备采购项目</w:t>
      </w:r>
    </w:p>
    <w:p w14:paraId="307044BD">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预算金额（元）：</w:t>
      </w:r>
      <w:r>
        <w:rPr>
          <w:rFonts w:hint="eastAsia" w:ascii="宋体" w:hAnsi="宋体" w:eastAsia="宋体" w:cs="宋体"/>
          <w:color w:val="auto"/>
          <w:kern w:val="2"/>
          <w:highlight w:val="none"/>
          <w:lang w:eastAsia="zh-CN"/>
        </w:rPr>
        <w:t>707500</w:t>
      </w:r>
    </w:p>
    <w:p w14:paraId="0E402E24">
      <w:pPr>
        <w:pStyle w:val="33"/>
        <w:wordWrap w:val="0"/>
        <w:spacing w:before="0" w:beforeAutospacing="0" w:after="0" w:afterAutospacing="0" w:line="500" w:lineRule="exact"/>
        <w:ind w:firstLine="480" w:firstLineChars="2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最高限价（元）：</w:t>
      </w:r>
      <w:r>
        <w:rPr>
          <w:rFonts w:hint="eastAsia" w:ascii="宋体" w:hAnsi="宋体" w:eastAsia="宋体" w:cs="宋体"/>
          <w:color w:val="auto"/>
          <w:kern w:val="2"/>
          <w:highlight w:val="none"/>
          <w:lang w:eastAsia="zh-CN"/>
        </w:rPr>
        <w:t>707500</w:t>
      </w:r>
    </w:p>
    <w:p w14:paraId="2B045C4D">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质量要求：合格</w:t>
      </w:r>
    </w:p>
    <w:p w14:paraId="7A28C093">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采购方式：公开招标</w:t>
      </w:r>
    </w:p>
    <w:p w14:paraId="7D562018">
      <w:pPr>
        <w:kinsoku w:val="0"/>
        <w:overflowPunct w:val="0"/>
        <w:autoSpaceDE w:val="0"/>
        <w:autoSpaceDN w:val="0"/>
        <w:adjustRightInd w:val="0"/>
        <w:snapToGrid w:val="0"/>
        <w:spacing w:line="360" w:lineRule="auto"/>
        <w:rPr>
          <w:rFonts w:hint="eastAsia" w:ascii="宋体" w:hAnsi="宋体" w:eastAsia="宋体" w:cs="宋体"/>
          <w:b/>
          <w:color w:val="auto"/>
          <w:sz w:val="24"/>
          <w:highlight w:val="none"/>
          <w:lang w:val="en-US" w:eastAsia="zh-CN"/>
        </w:rPr>
      </w:pPr>
    </w:p>
    <w:p w14:paraId="043D9C44">
      <w:pPr>
        <w:kinsoku w:val="0"/>
        <w:overflowPunct w:val="0"/>
        <w:autoSpaceDE w:val="0"/>
        <w:autoSpaceDN w:val="0"/>
        <w:adjustRightInd w:val="0"/>
        <w:snapToGrid w:val="0"/>
        <w:spacing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二、商务要求：</w:t>
      </w:r>
    </w:p>
    <w:p w14:paraId="1F2A9634">
      <w:pPr>
        <w:pStyle w:val="37"/>
        <w:tabs>
          <w:tab w:val="left" w:pos="945"/>
          <w:tab w:val="left" w:pos="1155"/>
        </w:tabs>
        <w:spacing w:after="0" w:line="360" w:lineRule="auto"/>
        <w:ind w:left="0" w:leftChars="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供货要求</w:t>
      </w:r>
    </w:p>
    <w:p w14:paraId="5B455BA1">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合同履约期限：</w:t>
      </w:r>
      <w:r>
        <w:rPr>
          <w:rFonts w:hint="eastAsia" w:ascii="宋体" w:hAnsi="宋体" w:eastAsia="宋体" w:cs="宋体"/>
          <w:color w:val="auto"/>
          <w:sz w:val="24"/>
          <w:highlight w:val="none"/>
          <w:lang w:eastAsia="zh-CN"/>
        </w:rPr>
        <w:t>自合同签订之日起 30 日内完成</w:t>
      </w:r>
    </w:p>
    <w:p w14:paraId="1E5495B5">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供货地点：</w:t>
      </w:r>
      <w:r>
        <w:rPr>
          <w:rFonts w:hint="eastAsia" w:ascii="宋体" w:hAnsi="宋体" w:eastAsia="宋体" w:cs="宋体"/>
          <w:color w:val="auto"/>
          <w:sz w:val="24"/>
          <w:highlight w:val="none"/>
          <w:lang w:eastAsia="zh-CN"/>
        </w:rPr>
        <w:t>长治市疾病预防控制中心（长治市卫生监督所）</w:t>
      </w:r>
      <w:r>
        <w:rPr>
          <w:rFonts w:hint="eastAsia" w:ascii="宋体" w:hAnsi="宋体" w:eastAsia="宋体" w:cs="宋体"/>
          <w:color w:val="auto"/>
          <w:sz w:val="24"/>
          <w:highlight w:val="none"/>
        </w:rPr>
        <w:t xml:space="preserve"> </w:t>
      </w:r>
    </w:p>
    <w:p w14:paraId="57DFA1F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TW" w:bidi="ar-SA"/>
        </w:rPr>
        <w:t>中标人须对</w:t>
      </w:r>
      <w:r>
        <w:rPr>
          <w:rFonts w:hint="eastAsia" w:ascii="宋体" w:hAnsi="宋体" w:eastAsia="宋体" w:cs="宋体"/>
          <w:color w:val="auto"/>
          <w:kern w:val="2"/>
          <w:sz w:val="24"/>
          <w:szCs w:val="24"/>
          <w:highlight w:val="none"/>
          <w:lang w:val="en-US" w:eastAsia="zh-CN" w:bidi="ar-SA"/>
        </w:rPr>
        <w:t>交货</w:t>
      </w:r>
      <w:r>
        <w:rPr>
          <w:rFonts w:hint="eastAsia" w:ascii="宋体" w:hAnsi="宋体" w:eastAsia="宋体" w:cs="宋体"/>
          <w:color w:val="auto"/>
          <w:kern w:val="2"/>
          <w:sz w:val="24"/>
          <w:szCs w:val="24"/>
          <w:highlight w:val="none"/>
          <w:lang w:val="zh-CN" w:eastAsia="zh-TW" w:bidi="ar-SA"/>
        </w:rPr>
        <w:t>地点现场勘查，制定详细的</w:t>
      </w:r>
      <w:r>
        <w:rPr>
          <w:rFonts w:hint="eastAsia" w:ascii="宋体" w:hAnsi="宋体" w:eastAsia="宋体" w:cs="宋体"/>
          <w:color w:val="auto"/>
          <w:kern w:val="2"/>
          <w:sz w:val="24"/>
          <w:szCs w:val="24"/>
          <w:highlight w:val="none"/>
          <w:lang w:val="en-US" w:eastAsia="zh-CN" w:bidi="ar-SA"/>
        </w:rPr>
        <w:t>运输</w:t>
      </w:r>
      <w:r>
        <w:rPr>
          <w:rFonts w:hint="eastAsia" w:ascii="宋体" w:hAnsi="宋体" w:eastAsia="宋体" w:cs="宋体"/>
          <w:color w:val="auto"/>
          <w:kern w:val="2"/>
          <w:sz w:val="24"/>
          <w:szCs w:val="24"/>
          <w:highlight w:val="none"/>
          <w:lang w:val="zh-CN" w:eastAsia="zh-TW" w:bidi="ar-SA"/>
        </w:rPr>
        <w:t>方案；</w:t>
      </w:r>
    </w:p>
    <w:p w14:paraId="477A74E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TW" w:bidi="ar-SA"/>
        </w:rPr>
        <w:t>中标人必须对所有的</w:t>
      </w:r>
      <w:r>
        <w:rPr>
          <w:rFonts w:hint="eastAsia" w:ascii="宋体" w:hAnsi="宋体" w:eastAsia="宋体" w:cs="宋体"/>
          <w:color w:val="auto"/>
          <w:kern w:val="2"/>
          <w:sz w:val="24"/>
          <w:szCs w:val="24"/>
          <w:highlight w:val="none"/>
          <w:lang w:val="en-US" w:eastAsia="zh-CN" w:bidi="ar-SA"/>
        </w:rPr>
        <w:t>运输</w:t>
      </w:r>
      <w:r>
        <w:rPr>
          <w:rFonts w:hint="eastAsia" w:ascii="宋体" w:hAnsi="宋体" w:eastAsia="宋体" w:cs="宋体"/>
          <w:color w:val="auto"/>
          <w:kern w:val="2"/>
          <w:sz w:val="24"/>
          <w:szCs w:val="24"/>
          <w:highlight w:val="none"/>
          <w:lang w:val="zh-CN" w:eastAsia="zh-TW" w:bidi="ar-SA"/>
        </w:rPr>
        <w:t>工人进行技术培训，确保工人熟悉现场情况；</w:t>
      </w:r>
    </w:p>
    <w:p w14:paraId="7DB413C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TW" w:bidi="ar-SA"/>
        </w:rPr>
        <w:t>在搬运、</w:t>
      </w:r>
      <w:r>
        <w:rPr>
          <w:rFonts w:hint="eastAsia" w:ascii="宋体" w:hAnsi="宋体" w:eastAsia="宋体" w:cs="宋体"/>
          <w:color w:val="auto"/>
          <w:kern w:val="2"/>
          <w:sz w:val="24"/>
          <w:szCs w:val="24"/>
          <w:highlight w:val="none"/>
          <w:lang w:val="en-US" w:eastAsia="zh-CN" w:bidi="ar-SA"/>
        </w:rPr>
        <w:t>运输</w:t>
      </w:r>
      <w:r>
        <w:rPr>
          <w:rFonts w:hint="eastAsia" w:ascii="宋体" w:hAnsi="宋体" w:eastAsia="宋体" w:cs="宋体"/>
          <w:color w:val="auto"/>
          <w:kern w:val="2"/>
          <w:sz w:val="24"/>
          <w:szCs w:val="24"/>
          <w:highlight w:val="none"/>
          <w:lang w:val="zh-CN" w:eastAsia="zh-TW" w:bidi="ar-SA"/>
        </w:rPr>
        <w:t>时必须做好货物的标记和保护措施，以防货物损坏；</w:t>
      </w:r>
    </w:p>
    <w:p w14:paraId="2E71FDA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TW" w:bidi="ar-SA"/>
        </w:rPr>
        <w:t>运输中要避免破坏性拆装，保证货物完整和人员安全；</w:t>
      </w:r>
    </w:p>
    <w:p w14:paraId="10828E6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TW" w:bidi="ar-SA"/>
        </w:rPr>
        <w:t>所有用于本项目的搬运货车须符合当地运输车辆管理条例的要求；</w:t>
      </w:r>
    </w:p>
    <w:p w14:paraId="4DD109E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TW" w:bidi="ar-SA"/>
        </w:rPr>
        <w:t>中标人须在交货前24小时通知招标人，以便及时安排工作人员进行接收，中标人负责将货物搬运至指定地点并完成卸货，一切运输事项由中标人负责；</w:t>
      </w:r>
    </w:p>
    <w:p w14:paraId="4B40249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zh-CN" w:eastAsia="zh-TW" w:bidi="ar-SA"/>
        </w:rPr>
        <w:t>本项目搬运过程中所发生的安全责任事故，由中标人负责；</w:t>
      </w:r>
    </w:p>
    <w:p w14:paraId="13D4DB2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.8中标人</w:t>
      </w:r>
      <w:r>
        <w:rPr>
          <w:rFonts w:hint="eastAsia" w:ascii="宋体" w:hAnsi="宋体" w:eastAsia="宋体" w:cs="宋体"/>
          <w:color w:val="auto"/>
          <w:kern w:val="2"/>
          <w:sz w:val="24"/>
          <w:szCs w:val="24"/>
          <w:highlight w:val="none"/>
          <w:lang w:val="zh-CN" w:eastAsia="zh-TW" w:bidi="ar-SA"/>
        </w:rPr>
        <w:t>交付时，应提供相应合格证；</w:t>
      </w:r>
    </w:p>
    <w:p w14:paraId="2FCDFD8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zh-CN" w:eastAsia="zh-TW" w:bidi="ar-SA"/>
        </w:rPr>
        <w:t>所有配置和技术资料等都必须随</w:t>
      </w:r>
      <w:r>
        <w:rPr>
          <w:rFonts w:hint="eastAsia" w:ascii="宋体" w:hAnsi="宋体" w:eastAsia="宋体" w:cs="宋体"/>
          <w:color w:val="auto"/>
          <w:kern w:val="2"/>
          <w:sz w:val="24"/>
          <w:szCs w:val="24"/>
          <w:highlight w:val="none"/>
          <w:lang w:val="en-US" w:eastAsia="zh-CN" w:bidi="ar-SA"/>
        </w:rPr>
        <w:t>货物</w:t>
      </w:r>
      <w:r>
        <w:rPr>
          <w:rFonts w:hint="eastAsia" w:ascii="宋体" w:hAnsi="宋体" w:eastAsia="宋体" w:cs="宋体"/>
          <w:color w:val="auto"/>
          <w:kern w:val="2"/>
          <w:sz w:val="24"/>
          <w:szCs w:val="24"/>
          <w:highlight w:val="none"/>
          <w:lang w:val="zh-CN" w:eastAsia="zh-TW" w:bidi="ar-SA"/>
        </w:rPr>
        <w:t>同时到达。</w:t>
      </w:r>
    </w:p>
    <w:p w14:paraId="76E7EDDC">
      <w:pPr>
        <w:pStyle w:val="37"/>
        <w:tabs>
          <w:tab w:val="left" w:pos="945"/>
          <w:tab w:val="left" w:pos="1155"/>
        </w:tabs>
        <w:spacing w:after="0" w:line="360" w:lineRule="auto"/>
        <w:ind w:left="0" w:leftChars="0" w:firstLine="48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2、质保期：</w:t>
      </w:r>
      <w:r>
        <w:rPr>
          <w:rFonts w:hint="eastAsia" w:ascii="宋体" w:hAnsi="宋体" w:eastAsia="宋体" w:cs="宋体"/>
          <w:b/>
          <w:bCs/>
          <w:color w:val="auto"/>
          <w:sz w:val="24"/>
          <w:highlight w:val="none"/>
          <w:lang w:val="en-US" w:eastAsia="zh-CN"/>
        </w:rPr>
        <w:t>最终验收合格双方签字之日起≥3 年，在设备质保期间严格按照国家</w:t>
      </w:r>
    </w:p>
    <w:p w14:paraId="2E001041">
      <w:pPr>
        <w:pStyle w:val="37"/>
        <w:tabs>
          <w:tab w:val="left" w:pos="945"/>
          <w:tab w:val="left" w:pos="1155"/>
        </w:tabs>
        <w:spacing w:after="0" w:line="360" w:lineRule="auto"/>
        <w:ind w:left="0" w:leftChars="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三包标准执行。</w:t>
      </w:r>
    </w:p>
    <w:p w14:paraId="537C5CBD">
      <w:pPr>
        <w:spacing w:line="360" w:lineRule="auto"/>
        <w:ind w:firstLine="482" w:firstLineChars="200"/>
        <w:rPr>
          <w:rFonts w:hint="eastAsia" w:ascii="宋体" w:hAnsi="宋体" w:eastAsia="宋体" w:cs="宋体"/>
          <w:b/>
          <w:bCs/>
          <w:color w:val="auto"/>
          <w:sz w:val="24"/>
          <w:highlight w:val="none"/>
        </w:rPr>
      </w:pPr>
      <w:bookmarkStart w:id="19" w:name="_Toc326247990"/>
      <w:r>
        <w:rPr>
          <w:rFonts w:hint="eastAsia" w:ascii="宋体" w:hAnsi="宋体" w:eastAsia="宋体" w:cs="宋体"/>
          <w:b/>
          <w:bCs/>
          <w:color w:val="auto"/>
          <w:sz w:val="24"/>
          <w:highlight w:val="none"/>
        </w:rPr>
        <w:t>3、</w:t>
      </w:r>
      <w:bookmarkEnd w:id="19"/>
      <w:r>
        <w:rPr>
          <w:rFonts w:hint="eastAsia" w:ascii="宋体" w:hAnsi="宋体" w:eastAsia="宋体" w:cs="宋体"/>
          <w:b/>
          <w:bCs/>
          <w:color w:val="auto"/>
          <w:sz w:val="24"/>
          <w:highlight w:val="none"/>
        </w:rPr>
        <w:t>付款</w:t>
      </w:r>
      <w:r>
        <w:rPr>
          <w:rFonts w:hint="eastAsia" w:ascii="宋体" w:hAnsi="宋体" w:eastAsia="宋体" w:cs="宋体"/>
          <w:b/>
          <w:bCs/>
          <w:color w:val="auto"/>
          <w:sz w:val="24"/>
          <w:highlight w:val="none"/>
          <w:lang w:val="en-US" w:eastAsia="zh-CN"/>
        </w:rPr>
        <w:t>条件（进度和方式）</w:t>
      </w:r>
      <w:r>
        <w:rPr>
          <w:rFonts w:hint="eastAsia" w:ascii="宋体" w:hAnsi="宋体" w:eastAsia="宋体" w:cs="宋体"/>
          <w:b/>
          <w:bCs/>
          <w:color w:val="auto"/>
          <w:sz w:val="24"/>
          <w:highlight w:val="none"/>
        </w:rPr>
        <w:t>：</w:t>
      </w:r>
    </w:p>
    <w:p w14:paraId="64FE914E">
      <w:pPr>
        <w:spacing w:line="360" w:lineRule="auto"/>
        <w:ind w:firstLine="480" w:firstLineChars="200"/>
        <w:rPr>
          <w:rFonts w:hint="eastAsia" w:ascii="宋体" w:hAnsi="宋体" w:eastAsia="宋体" w:cs="宋体"/>
          <w:color w:val="auto"/>
          <w:sz w:val="24"/>
          <w:highlight w:val="none"/>
          <w:lang w:eastAsia="zh-CN"/>
        </w:rPr>
      </w:pPr>
      <w:bookmarkStart w:id="20" w:name="_Toc326247992"/>
      <w:r>
        <w:rPr>
          <w:rFonts w:hint="eastAsia" w:ascii="宋体" w:hAnsi="宋体" w:eastAsia="宋体" w:cs="宋体"/>
          <w:color w:val="auto"/>
          <w:sz w:val="24"/>
          <w:highlight w:val="none"/>
          <w:lang w:eastAsia="zh-CN"/>
        </w:rPr>
        <w:t>合同签订后7日内，预付合同总金额的30%，验收合格后7日内支付合同总金额的70%。</w:t>
      </w:r>
    </w:p>
    <w:bookmarkEnd w:id="20"/>
    <w:p w14:paraId="697E1DC1">
      <w:pPr>
        <w:pStyle w:val="37"/>
        <w:tabs>
          <w:tab w:val="left" w:pos="945"/>
          <w:tab w:val="left" w:pos="1155"/>
        </w:tabs>
        <w:spacing w:after="0" w:line="360" w:lineRule="auto"/>
        <w:ind w:left="0" w:leftChars="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运输要求：</w:t>
      </w:r>
    </w:p>
    <w:p w14:paraId="7B0008BD">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保证货物及时无误运输至交货地点，货物到达指定地点，招标人确认无误后，运输结束。</w:t>
      </w:r>
    </w:p>
    <w:p w14:paraId="479591DD">
      <w:pPr>
        <w:pStyle w:val="37"/>
        <w:tabs>
          <w:tab w:val="left" w:pos="945"/>
          <w:tab w:val="left" w:pos="1155"/>
        </w:tabs>
        <w:spacing w:after="0" w:line="360" w:lineRule="auto"/>
        <w:ind w:left="0" w:leftChars="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保险要求：</w:t>
      </w:r>
    </w:p>
    <w:p w14:paraId="7A24C38E">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报价中包含所有货物的保险费用，不再另外收费。</w:t>
      </w:r>
    </w:p>
    <w:p w14:paraId="59EF5F28">
      <w:pPr>
        <w:pStyle w:val="37"/>
        <w:tabs>
          <w:tab w:val="left" w:pos="945"/>
          <w:tab w:val="left" w:pos="1155"/>
        </w:tabs>
        <w:spacing w:after="0" w:line="360" w:lineRule="auto"/>
        <w:ind w:left="0" w:leftChars="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商品包装和快递包装要求：</w:t>
      </w:r>
    </w:p>
    <w:p w14:paraId="42FBCEF6">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 直接使用商品包装作为快递包装的商品，其商品包装满足《商品包装政府采购需求标准（试行）》即可。</w:t>
      </w:r>
    </w:p>
    <w:p w14:paraId="0ED8E94B">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 快递包装产品质量和封装方式应符合相关国家或行业标准技术指标要求。</w:t>
      </w:r>
    </w:p>
    <w:p w14:paraId="2650CEA7">
      <w:pPr>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7、售后服务</w:t>
      </w:r>
    </w:p>
    <w:p w14:paraId="72FC0F3E">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7.1投标人应有完善的供货渠道和售后服务且具有较强的专业服务水平，能提供快速的售后服务响应；</w:t>
      </w:r>
    </w:p>
    <w:p w14:paraId="0FC45AFF">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7.2投标人须提供售后服务响应，及时答复招标人疑问。在招标人发出售后通知4小时内做出响应，24小时内排除故障。</w:t>
      </w:r>
    </w:p>
    <w:p w14:paraId="4EE83381">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7.3售后服务按国家“三包”规定执行，投标人应提供安装服务，并承诺采取提供备品等措施，以保证招标人的正常使用。</w:t>
      </w:r>
    </w:p>
    <w:p w14:paraId="233165AB">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p>
    <w:p w14:paraId="120C5451">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三、技术要求</w:t>
      </w:r>
    </w:p>
    <w:p w14:paraId="3A94D741">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lang w:val="en-US" w:eastAsia="zh-CN"/>
        </w:rPr>
      </w:pPr>
    </w:p>
    <w:p w14:paraId="75F135DE">
      <w:pPr>
        <w:spacing w:line="600" w:lineRule="auto"/>
        <w:jc w:val="center"/>
        <w:rPr>
          <w:rFonts w:hint="eastAsia"/>
          <w:b/>
          <w:bCs/>
          <w:color w:val="auto"/>
          <w:sz w:val="28"/>
          <w:szCs w:val="28"/>
          <w:highlight w:val="none"/>
          <w:lang w:val="en-US" w:eastAsia="zh-CN"/>
        </w:rPr>
      </w:pPr>
    </w:p>
    <w:p w14:paraId="46298143">
      <w:pPr>
        <w:spacing w:line="600" w:lineRule="auto"/>
        <w:jc w:val="center"/>
        <w:rPr>
          <w:rFonts w:hint="eastAsia"/>
          <w:b/>
          <w:bCs/>
          <w:color w:val="auto"/>
          <w:sz w:val="28"/>
          <w:szCs w:val="28"/>
          <w:highlight w:val="none"/>
          <w:lang w:val="en-US" w:eastAsia="zh-CN"/>
        </w:rPr>
      </w:pPr>
    </w:p>
    <w:p w14:paraId="473F38B8">
      <w:pPr>
        <w:spacing w:line="600" w:lineRule="auto"/>
        <w:jc w:val="center"/>
        <w:rPr>
          <w:rFonts w:hint="eastAsia"/>
          <w:b/>
          <w:bCs/>
          <w:color w:val="auto"/>
          <w:sz w:val="28"/>
          <w:szCs w:val="28"/>
          <w:highlight w:val="none"/>
          <w:lang w:val="en-US" w:eastAsia="zh-CN"/>
        </w:rPr>
      </w:pPr>
    </w:p>
    <w:p w14:paraId="30B561A1">
      <w:pPr>
        <w:spacing w:line="600" w:lineRule="auto"/>
        <w:jc w:val="center"/>
        <w:rPr>
          <w:rFonts w:hint="eastAsia"/>
          <w:b/>
          <w:bCs/>
          <w:color w:val="auto"/>
          <w:sz w:val="28"/>
          <w:szCs w:val="28"/>
          <w:highlight w:val="none"/>
          <w:lang w:val="en-US" w:eastAsia="zh-CN"/>
        </w:rPr>
      </w:pPr>
    </w:p>
    <w:p w14:paraId="44034949">
      <w:pPr>
        <w:spacing w:line="600" w:lineRule="auto"/>
        <w:jc w:val="center"/>
        <w:rPr>
          <w:rFonts w:hint="eastAsia"/>
          <w:b/>
          <w:bCs/>
          <w:color w:val="auto"/>
          <w:sz w:val="28"/>
          <w:szCs w:val="28"/>
          <w:highlight w:val="none"/>
          <w:lang w:val="en-US" w:eastAsia="zh-CN"/>
        </w:rPr>
      </w:pPr>
    </w:p>
    <w:p w14:paraId="6D9845A1">
      <w:pPr>
        <w:spacing w:line="600" w:lineRule="auto"/>
        <w:jc w:val="center"/>
        <w:rPr>
          <w:rFonts w:hint="eastAsia"/>
          <w:b/>
          <w:bCs/>
          <w:color w:val="auto"/>
          <w:sz w:val="28"/>
          <w:szCs w:val="28"/>
          <w:highlight w:val="none"/>
          <w:lang w:val="en-US" w:eastAsia="zh-CN"/>
        </w:rPr>
      </w:pPr>
      <w:r>
        <w:rPr>
          <w:rFonts w:hint="eastAsia"/>
          <w:b/>
          <w:bCs/>
          <w:color w:val="auto"/>
          <w:sz w:val="28"/>
          <w:szCs w:val="28"/>
          <w:highlight w:val="none"/>
          <w:lang w:val="en-US" w:eastAsia="zh-CN"/>
        </w:rPr>
        <w:t>长治市疾病预防控制中心（长治市卫生监督所）监测检验设备采购项目</w:t>
      </w:r>
    </w:p>
    <w:p w14:paraId="002911B9">
      <w:pPr>
        <w:spacing w:line="600" w:lineRule="auto"/>
        <w:jc w:val="center"/>
        <w:rPr>
          <w:rFonts w:hint="eastAsia"/>
          <w:b/>
          <w:bCs/>
          <w:color w:val="auto"/>
          <w:sz w:val="28"/>
          <w:szCs w:val="28"/>
          <w:highlight w:val="none"/>
          <w:lang w:val="en-US" w:eastAsia="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378"/>
        <w:gridCol w:w="1996"/>
        <w:gridCol w:w="1564"/>
        <w:gridCol w:w="1564"/>
      </w:tblGrid>
      <w:tr w14:paraId="1468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6C74B084">
            <w:pPr>
              <w:widowControl w:val="0"/>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378" w:type="dxa"/>
          </w:tcPr>
          <w:p w14:paraId="20F71B23">
            <w:pPr>
              <w:widowControl w:val="0"/>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设备名称</w:t>
            </w:r>
          </w:p>
        </w:tc>
        <w:tc>
          <w:tcPr>
            <w:tcW w:w="1996" w:type="dxa"/>
          </w:tcPr>
          <w:p w14:paraId="6233E8AE">
            <w:pPr>
              <w:widowControl w:val="0"/>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单位（台/套）</w:t>
            </w:r>
          </w:p>
        </w:tc>
        <w:tc>
          <w:tcPr>
            <w:tcW w:w="1564" w:type="dxa"/>
          </w:tcPr>
          <w:p w14:paraId="4E6B14ED">
            <w:pPr>
              <w:widowControl w:val="0"/>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564" w:type="dxa"/>
          </w:tcPr>
          <w:p w14:paraId="0621A716">
            <w:pPr>
              <w:widowControl w:val="0"/>
              <w:numPr>
                <w:ilvl w:val="0"/>
                <w:numId w:val="0"/>
              </w:num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单价限价（</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val="en-US" w:eastAsia="zh-CN"/>
              </w:rPr>
              <w:t>）</w:t>
            </w:r>
          </w:p>
        </w:tc>
      </w:tr>
      <w:tr w14:paraId="2C8D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36C09AE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378" w:type="dxa"/>
          </w:tcPr>
          <w:p w14:paraId="60257694">
            <w:pPr>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电导率仪</w:t>
            </w:r>
          </w:p>
        </w:tc>
        <w:tc>
          <w:tcPr>
            <w:tcW w:w="1996" w:type="dxa"/>
            <w:vAlign w:val="center"/>
          </w:tcPr>
          <w:p w14:paraId="29ED4C0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4546664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058D6C1E">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7500</w:t>
            </w:r>
          </w:p>
        </w:tc>
      </w:tr>
      <w:tr w14:paraId="3947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405080EA">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3378" w:type="dxa"/>
          </w:tcPr>
          <w:p w14:paraId="0C65FFDD">
            <w:pPr>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浊度仪</w:t>
            </w:r>
          </w:p>
        </w:tc>
        <w:tc>
          <w:tcPr>
            <w:tcW w:w="1996" w:type="dxa"/>
            <w:vAlign w:val="center"/>
          </w:tcPr>
          <w:p w14:paraId="5BAF4893">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697BBB5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69FA735C">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10000</w:t>
            </w:r>
          </w:p>
        </w:tc>
      </w:tr>
      <w:tr w14:paraId="3275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7BAD01B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3378" w:type="dxa"/>
          </w:tcPr>
          <w:p w14:paraId="4CDC5AC3">
            <w:pPr>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全自动高锰酸盐指数分析仪</w:t>
            </w:r>
            <w:r>
              <w:rPr>
                <w:rFonts w:hint="eastAsia" w:ascii="宋体" w:hAnsi="宋体" w:eastAsia="宋体" w:cs="宋体"/>
                <w:b w:val="0"/>
                <w:bCs w:val="0"/>
                <w:color w:val="auto"/>
                <w:sz w:val="24"/>
                <w:szCs w:val="24"/>
                <w:highlight w:val="none"/>
                <w:lang w:val="en-US" w:eastAsia="zh-CN"/>
              </w:rPr>
              <w:t>※</w:t>
            </w:r>
          </w:p>
        </w:tc>
        <w:tc>
          <w:tcPr>
            <w:tcW w:w="1996" w:type="dxa"/>
            <w:vAlign w:val="center"/>
          </w:tcPr>
          <w:p w14:paraId="3A278454">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6B87E15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63C581A7">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280000</w:t>
            </w:r>
          </w:p>
        </w:tc>
      </w:tr>
      <w:tr w14:paraId="6702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41D7D21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3378" w:type="dxa"/>
          </w:tcPr>
          <w:p w14:paraId="561558BE">
            <w:pPr>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2D视频一体显微镜</w:t>
            </w:r>
          </w:p>
        </w:tc>
        <w:tc>
          <w:tcPr>
            <w:tcW w:w="1996" w:type="dxa"/>
            <w:vAlign w:val="center"/>
          </w:tcPr>
          <w:p w14:paraId="459DA185">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4DB4C1C8">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761AC3AC">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8200</w:t>
            </w:r>
          </w:p>
        </w:tc>
      </w:tr>
      <w:tr w14:paraId="20B8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494D71F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3378" w:type="dxa"/>
          </w:tcPr>
          <w:p w14:paraId="548655AB">
            <w:pPr>
              <w:widowControl w:val="0"/>
              <w:numPr>
                <w:ilvl w:val="0"/>
                <w:numId w:val="0"/>
              </w:num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烘箱</w:t>
            </w:r>
          </w:p>
        </w:tc>
        <w:tc>
          <w:tcPr>
            <w:tcW w:w="1996" w:type="dxa"/>
            <w:vAlign w:val="center"/>
          </w:tcPr>
          <w:p w14:paraId="166987EE">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672A5D6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0224C5B1">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3800</w:t>
            </w:r>
          </w:p>
        </w:tc>
      </w:tr>
      <w:tr w14:paraId="537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7205F40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3378" w:type="dxa"/>
          </w:tcPr>
          <w:p w14:paraId="3F2CFA81">
            <w:pPr>
              <w:widowControl w:val="0"/>
              <w:numPr>
                <w:ilvl w:val="0"/>
                <w:numId w:val="0"/>
              </w:numPr>
              <w:spacing w:line="360" w:lineRule="auto"/>
              <w:ind w:leftChars="0"/>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电子天平</w:t>
            </w:r>
          </w:p>
        </w:tc>
        <w:tc>
          <w:tcPr>
            <w:tcW w:w="1996" w:type="dxa"/>
            <w:vAlign w:val="center"/>
          </w:tcPr>
          <w:p w14:paraId="29C459E2">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4389B20F">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73A824AC">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r>
      <w:tr w14:paraId="6CC7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38F6D47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3378" w:type="dxa"/>
          </w:tcPr>
          <w:p w14:paraId="3C78A60B">
            <w:pPr>
              <w:widowControl w:val="0"/>
              <w:numPr>
                <w:ilvl w:val="0"/>
                <w:numId w:val="0"/>
              </w:num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X、γ个人剂量热释光测量系统</w:t>
            </w:r>
          </w:p>
        </w:tc>
        <w:tc>
          <w:tcPr>
            <w:tcW w:w="1996" w:type="dxa"/>
            <w:vAlign w:val="center"/>
          </w:tcPr>
          <w:p w14:paraId="7917F61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1564" w:type="dxa"/>
            <w:vAlign w:val="center"/>
          </w:tcPr>
          <w:p w14:paraId="0A75F74D">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0CBFF54F">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120000</w:t>
            </w:r>
          </w:p>
        </w:tc>
      </w:tr>
      <w:tr w14:paraId="59C5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6DE8D81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3378" w:type="dxa"/>
          </w:tcPr>
          <w:p w14:paraId="58820420">
            <w:pPr>
              <w:widowControl w:val="0"/>
              <w:numPr>
                <w:ilvl w:val="0"/>
                <w:numId w:val="0"/>
              </w:num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便携式大流量生物气溶胶采样器</w:t>
            </w:r>
          </w:p>
        </w:tc>
        <w:tc>
          <w:tcPr>
            <w:tcW w:w="1996" w:type="dxa"/>
            <w:vAlign w:val="center"/>
          </w:tcPr>
          <w:p w14:paraId="2DA1AB14">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0283CDEA">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564" w:type="dxa"/>
            <w:vAlign w:val="center"/>
          </w:tcPr>
          <w:p w14:paraId="0ED425BC">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90000</w:t>
            </w:r>
          </w:p>
        </w:tc>
      </w:tr>
      <w:tr w14:paraId="21E6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4D672BD7">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3378" w:type="dxa"/>
          </w:tcPr>
          <w:p w14:paraId="65FECD3C">
            <w:pPr>
              <w:widowControl w:val="0"/>
              <w:numPr>
                <w:ilvl w:val="0"/>
                <w:numId w:val="0"/>
              </w:num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安全套、HIV试剂自助发放机</w:t>
            </w:r>
          </w:p>
        </w:tc>
        <w:tc>
          <w:tcPr>
            <w:tcW w:w="1996" w:type="dxa"/>
            <w:vAlign w:val="center"/>
          </w:tcPr>
          <w:p w14:paraId="3B9A677C">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5453086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23F23D44">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6000</w:t>
            </w:r>
          </w:p>
        </w:tc>
      </w:tr>
      <w:tr w14:paraId="231E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5509ECF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3378" w:type="dxa"/>
          </w:tcPr>
          <w:p w14:paraId="7839E984">
            <w:pPr>
              <w:widowControl w:val="0"/>
              <w:numPr>
                <w:ilvl w:val="0"/>
                <w:numId w:val="0"/>
              </w:num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核辐射检测仪</w:t>
            </w:r>
          </w:p>
        </w:tc>
        <w:tc>
          <w:tcPr>
            <w:tcW w:w="1996" w:type="dxa"/>
            <w:vAlign w:val="center"/>
          </w:tcPr>
          <w:p w14:paraId="095787DE">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台</w:t>
            </w:r>
          </w:p>
        </w:tc>
        <w:tc>
          <w:tcPr>
            <w:tcW w:w="1564" w:type="dxa"/>
            <w:vAlign w:val="center"/>
          </w:tcPr>
          <w:p w14:paraId="2FAE94B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64" w:type="dxa"/>
            <w:vAlign w:val="center"/>
          </w:tcPr>
          <w:p w14:paraId="59A342A8">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90000</w:t>
            </w:r>
          </w:p>
        </w:tc>
      </w:tr>
    </w:tbl>
    <w:p w14:paraId="6E637DB4">
      <w:pPr>
        <w:jc w:val="left"/>
        <w:rPr>
          <w:rFonts w:hint="eastAsia" w:ascii="宋体" w:hAnsi="宋体" w:eastAsia="宋体" w:cs="宋体"/>
          <w:b/>
          <w:bCs/>
          <w:color w:val="auto"/>
          <w:sz w:val="32"/>
          <w:szCs w:val="32"/>
          <w:highlight w:val="none"/>
          <w:lang w:val="en-US" w:eastAsia="zh-CN"/>
        </w:rPr>
      </w:pPr>
    </w:p>
    <w:p w14:paraId="27F21B20">
      <w:pPr>
        <w:numPr>
          <w:ilvl w:val="0"/>
          <w:numId w:val="0"/>
        </w:num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lang w:val="en-US" w:eastAsia="zh-CN"/>
        </w:rPr>
        <w:t>电导率仪</w:t>
      </w:r>
    </w:p>
    <w:p w14:paraId="0B2207A6">
      <w:p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技术参数：</w:t>
      </w:r>
    </w:p>
    <w:p w14:paraId="2C960EF9">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1.高清液晶显示，按键操作</w:t>
      </w:r>
    </w:p>
    <w:p w14:paraId="0EC4A509">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2.支持自动关机、断电保护和恢复出厂设置等功能</w:t>
      </w:r>
    </w:p>
    <w:p w14:paraId="15888475">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3.支持IP54防护等级</w:t>
      </w:r>
    </w:p>
    <w:p w14:paraId="1D8E337A">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4.标配电导电极、电极支架、防尘罩</w:t>
      </w:r>
    </w:p>
    <w:p w14:paraId="6D283398">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5.具有读数稳定标志，智能提醒</w:t>
      </w:r>
    </w:p>
    <w:p w14:paraId="04778E23">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6.支持手动温度补偿</w:t>
      </w:r>
    </w:p>
    <w:p w14:paraId="7931D63D">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7.支持自动频率切换，配套1.0常数电极可覆盖全量程测量</w:t>
      </w:r>
    </w:p>
    <w:p w14:paraId="7C1D0399">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8.支持直接输入电极常数</w:t>
      </w:r>
    </w:p>
    <w:p w14:paraId="7360436A">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9.电导率级别:1.5级</w:t>
      </w:r>
    </w:p>
    <w:p w14:paraId="6CD939EA">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10.范围:0.00uS/cm到100.0mS/cm</w:t>
      </w:r>
    </w:p>
    <w:p w14:paraId="546F8DDB">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11.最小分辨率:0.01uS/cm，根据量程自动切换</w:t>
      </w:r>
    </w:p>
    <w:p w14:paraId="70881E1E">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12.电子单元引用误差:±1.5%F.S.</w:t>
      </w:r>
    </w:p>
    <w:p w14:paraId="7D72B7F3">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13.电子单元稳定性:±1.0%  FS/3h</w:t>
      </w:r>
    </w:p>
    <w:p w14:paraId="440C3747">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14.仪器配套误差:±2.0%FS</w:t>
      </w:r>
    </w:p>
    <w:p w14:paraId="100C3BC7">
      <w:p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二、浊度仪</w:t>
      </w:r>
    </w:p>
    <w:p w14:paraId="6A77240B">
      <w:pPr>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b w:val="0"/>
          <w:bCs w:val="0"/>
          <w:color w:val="auto"/>
          <w:sz w:val="24"/>
          <w:szCs w:val="24"/>
          <w:highlight w:val="none"/>
          <w:lang w:val="en-US" w:eastAsia="zh-CN"/>
        </w:rPr>
        <w:t>技术参数：</w:t>
      </w:r>
    </w:p>
    <w:p w14:paraId="2F915D6D">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1.LED光源，满足ISO7027标准</w:t>
      </w:r>
    </w:p>
    <w:p w14:paraId="7E00B907">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2.采用散射-透射光测量原理，自动色度补偿</w:t>
      </w:r>
    </w:p>
    <w:p w14:paraId="324E1654">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3.自动切换量程</w:t>
      </w:r>
    </w:p>
    <w:p w14:paraId="3BB34593">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4.支持零点和最多4点校准</w:t>
      </w:r>
    </w:p>
    <w:p w14:paraId="1FB2DEEB">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5.具有断电保护功能</w:t>
      </w:r>
    </w:p>
    <w:p w14:paraId="50B3F3F9">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6.测量范围:(0~20.00)NTU，(20.0~200.0)NTU</w:t>
      </w:r>
    </w:p>
    <w:p w14:paraId="5F06AB51">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7.示值误差:不超过±8%</w:t>
      </w:r>
    </w:p>
    <w:p w14:paraId="6F87BEE6">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8.重复性:不大于1.0%</w:t>
      </w:r>
    </w:p>
    <w:p w14:paraId="69AF9108">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9.稳定性:不超过±1.0%FS/30分钟</w:t>
      </w:r>
    </w:p>
    <w:p w14:paraId="0C2E5AEC">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10.电源:AC(220±22)V，(50±1)Hz</w:t>
      </w:r>
    </w:p>
    <w:p w14:paraId="736E0D5E">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三、全自动高锰酸盐指数分析仪</w:t>
      </w:r>
      <w:r>
        <w:rPr>
          <w:rFonts w:hint="eastAsia" w:ascii="宋体" w:hAnsi="宋体" w:eastAsia="宋体" w:cs="宋体"/>
          <w:b w:val="0"/>
          <w:bCs w:val="0"/>
          <w:color w:val="auto"/>
          <w:sz w:val="24"/>
          <w:szCs w:val="24"/>
          <w:highlight w:val="none"/>
          <w:lang w:val="en-US" w:eastAsia="zh-CN"/>
        </w:rPr>
        <w:t>※</w:t>
      </w:r>
    </w:p>
    <w:p w14:paraId="2A05FF43">
      <w:pPr>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b w:val="0"/>
          <w:bCs w:val="0"/>
          <w:color w:val="auto"/>
          <w:sz w:val="24"/>
          <w:szCs w:val="24"/>
          <w:highlight w:val="none"/>
          <w:lang w:val="en-US" w:eastAsia="zh-CN"/>
        </w:rPr>
        <w:t>技术参数：</w:t>
      </w:r>
    </w:p>
    <w:p w14:paraId="30315434">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符合GB11892及GB5750.7等国标方法，恒温沸水浴加热，人机对话，一键启动，各类酸性、碱性样品无需人员值守状态自动测定分析</w:t>
      </w:r>
    </w:p>
    <w:p w14:paraId="252CA1DA">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2、须具备高锰酸盐指数、总硬度，盐碘，氯离子等项目检测功能</w:t>
      </w:r>
    </w:p>
    <w:p w14:paraId="7927EB81">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3、检测范围:取样量100mL时，(0-5.0)mg/L</w:t>
      </w:r>
    </w:p>
    <w:p w14:paraId="55E87FFB">
      <w:pPr>
        <w:spacing w:line="360" w:lineRule="auto"/>
        <w:ind w:firstLine="480" w:firstLineChars="200"/>
        <w:jc w:val="left"/>
        <w:rPr>
          <w:rFonts w:hint="eastAsia"/>
          <w:b w:val="0"/>
          <w:bCs w:val="0"/>
          <w:color w:val="auto"/>
          <w:sz w:val="24"/>
          <w:szCs w:val="24"/>
          <w:highlight w:val="none"/>
          <w:lang w:val="en-US" w:eastAsia="zh-CN"/>
        </w:rPr>
      </w:pPr>
      <w:r>
        <w:rPr>
          <w:rFonts w:hint="default"/>
          <w:b w:val="0"/>
          <w:bCs w:val="0"/>
          <w:color w:val="auto"/>
          <w:sz w:val="24"/>
          <w:szCs w:val="24"/>
          <w:highlight w:val="none"/>
          <w:lang w:val="en-US" w:eastAsia="zh-CN"/>
        </w:rPr>
        <w:t>4、重复性要求:COD(Mn)浓度为2mg/L(采用葡萄糖配制的标准溶液)，n=6，RSD≤3.0%</w:t>
      </w:r>
    </w:p>
    <w:p w14:paraId="39C2D932">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5、仪器指标:</w:t>
      </w:r>
    </w:p>
    <w:p w14:paraId="536BAC8C">
      <w:p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5.1样品盘样品位数不少于60位，样品消解位不少于12位支持循环加样，一次性可以完成60个样品的检测(提供实物图片)</w:t>
      </w:r>
      <w:r>
        <w:rPr>
          <w:rFonts w:hint="eastAsia"/>
          <w:b w:val="0"/>
          <w:bCs w:val="0"/>
          <w:color w:val="auto"/>
          <w:sz w:val="24"/>
          <w:szCs w:val="24"/>
          <w:highlight w:val="none"/>
          <w:lang w:val="en-US" w:eastAsia="zh-CN"/>
        </w:rPr>
        <w:t>;</w:t>
      </w:r>
    </w:p>
    <w:p w14:paraId="01B90146">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5.2全自动消解水样，自动分析COD(Mn)值，实现“消解-分析"一体化，从样品添加消解试剂、放入沸水浴，完成消解到出具最终结果，无人工干预，由仪器全自动完成</w:t>
      </w:r>
      <w:r>
        <w:rPr>
          <w:rFonts w:hint="eastAsia"/>
          <w:b w:val="0"/>
          <w:bCs w:val="0"/>
          <w:color w:val="auto"/>
          <w:sz w:val="24"/>
          <w:szCs w:val="24"/>
          <w:highlight w:val="none"/>
          <w:lang w:val="en-US" w:eastAsia="zh-CN"/>
        </w:rPr>
        <w:t>;</w:t>
      </w:r>
    </w:p>
    <w:p w14:paraId="08B6D8E5">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5.3消解位自动开合封盖，减少蒸发，节水并减少水蒸气</w:t>
      </w:r>
      <w:r>
        <w:rPr>
          <w:rFonts w:hint="eastAsia"/>
          <w:b w:val="0"/>
          <w:bCs w:val="0"/>
          <w:color w:val="auto"/>
          <w:sz w:val="24"/>
          <w:szCs w:val="24"/>
          <w:highlight w:val="none"/>
          <w:lang w:val="en-US" w:eastAsia="zh-CN"/>
        </w:rPr>
        <w:t>;</w:t>
      </w:r>
    </w:p>
    <w:p w14:paraId="5366B669">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5.4样品滴定全过程视频录像，方便用户调取回放溯源</w:t>
      </w:r>
      <w:r>
        <w:rPr>
          <w:rFonts w:hint="eastAsia"/>
          <w:b w:val="0"/>
          <w:bCs w:val="0"/>
          <w:color w:val="auto"/>
          <w:sz w:val="24"/>
          <w:szCs w:val="24"/>
          <w:highlight w:val="none"/>
          <w:lang w:val="en-US" w:eastAsia="zh-CN"/>
        </w:rPr>
        <w:t>;</w:t>
      </w:r>
    </w:p>
    <w:p w14:paraId="72FFBDDD">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5.5滴定终点判断:滴定终点判断检测器，模拟人眼识别，通过颜色变化来自动判断终点</w:t>
      </w:r>
      <w:r>
        <w:rPr>
          <w:rFonts w:hint="eastAsia"/>
          <w:b w:val="0"/>
          <w:bCs w:val="0"/>
          <w:color w:val="auto"/>
          <w:sz w:val="24"/>
          <w:szCs w:val="24"/>
          <w:highlight w:val="none"/>
          <w:lang w:val="en-US" w:eastAsia="zh-CN"/>
        </w:rPr>
        <w:t>;</w:t>
      </w:r>
    </w:p>
    <w:p w14:paraId="3623091B">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5.6测试速度:双通道同时滴定，单个样品分析时间≤2.5min/样</w:t>
      </w:r>
      <w:r>
        <w:rPr>
          <w:rFonts w:hint="eastAsia"/>
          <w:b w:val="0"/>
          <w:bCs w:val="0"/>
          <w:color w:val="auto"/>
          <w:sz w:val="24"/>
          <w:szCs w:val="24"/>
          <w:highlight w:val="none"/>
          <w:lang w:val="en-US" w:eastAsia="zh-CN"/>
        </w:rPr>
        <w:t>;</w:t>
      </w:r>
    </w:p>
    <w:p w14:paraId="32C4A578">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5.7泵精度</w:t>
      </w:r>
      <w:r>
        <w:rPr>
          <w:rFonts w:hint="eastAsia"/>
          <w:b w:val="0"/>
          <w:bCs w:val="0"/>
          <w:color w:val="auto"/>
          <w:sz w:val="24"/>
          <w:szCs w:val="24"/>
          <w:highlight w:val="none"/>
          <w:lang w:val="en-US" w:eastAsia="zh-CN"/>
        </w:rPr>
        <w:t>;</w:t>
      </w:r>
    </w:p>
    <w:p w14:paraId="58B8DC95">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5.7.1高锰酸钾泵，2个高精度注射泵，泵精度:≤0.05ml;</w:t>
      </w:r>
    </w:p>
    <w:p w14:paraId="64AF4318">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5.7.2草酸钠泵精度:≤0.05ml ;</w:t>
      </w:r>
    </w:p>
    <w:p w14:paraId="1183B5A5">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5.7.3滴定最小体积:≤0.02ml;</w:t>
      </w:r>
    </w:p>
    <w:p w14:paraId="737D5BB9">
      <w:p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5.8仪器能自动实现试剂量监控，实时显示试剂液位，当试剂消耗达到报警值时能自动停止检测并报警;</w:t>
      </w:r>
    </w:p>
    <w:p w14:paraId="28869BCE">
      <w:p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★5.9具备高浊度复杂水样检测功能(提供证明材料)。</w:t>
      </w:r>
    </w:p>
    <w:p w14:paraId="0E28664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asciiTheme="minorHAnsi" w:hAnsiTheme="minorHAnsi" w:eastAsiaTheme="minorEastAsia" w:cstheme="minorBidi"/>
          <w:b w:val="0"/>
          <w:bCs w:val="0"/>
          <w:color w:val="auto"/>
          <w:kern w:val="2"/>
          <w:sz w:val="24"/>
          <w:szCs w:val="24"/>
          <w:highlight w:val="none"/>
          <w:lang w:val="en-US" w:eastAsia="zh-CN" w:bidi="ar-SA"/>
        </w:rPr>
        <w:t>6、</w:t>
      </w:r>
      <w:r>
        <w:rPr>
          <w:rFonts w:hint="default"/>
          <w:b w:val="0"/>
          <w:bCs w:val="0"/>
          <w:color w:val="auto"/>
          <w:sz w:val="24"/>
          <w:szCs w:val="24"/>
          <w:highlight w:val="none"/>
          <w:lang w:val="en-US" w:eastAsia="zh-CN"/>
        </w:rPr>
        <w:t>内置高性能工业计算机，无需外接电脑主机。中文操作界面。用户可利用拷贝粘贴等功能方便实现工作列表的编制，可方便插入紧急加样，数据可输出至LIMS系统</w:t>
      </w:r>
    </w:p>
    <w:p w14:paraId="26089BD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7、</w:t>
      </w:r>
      <w:r>
        <w:rPr>
          <w:rFonts w:hint="default"/>
          <w:b w:val="0"/>
          <w:bCs w:val="0"/>
          <w:color w:val="auto"/>
          <w:sz w:val="24"/>
          <w:szCs w:val="24"/>
          <w:highlight w:val="none"/>
          <w:lang w:val="en-US" w:eastAsia="zh-CN"/>
        </w:rPr>
        <w:t>配置清单</w:t>
      </w:r>
    </w:p>
    <w:p w14:paraId="1D79FFAD">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7.1主机机准套(干扰消除模块，含水浴模块、加液模块，仿生视觉滴定模块)</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1套</w:t>
      </w:r>
    </w:p>
    <w:p w14:paraId="0FBA069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7.2样品架</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 xml:space="preserve"> 61位</w:t>
      </w:r>
    </w:p>
    <w:p w14:paraId="76AD0EDB">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7.3石英消解杯</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61个</w:t>
      </w:r>
    </w:p>
    <w:p w14:paraId="22F83C3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7.4磁力搅拌子</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61个</w:t>
      </w:r>
    </w:p>
    <w:p w14:paraId="217D28F6">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7.5配套试剂瓶架及试剂瓶</w:t>
      </w:r>
      <w:r>
        <w:rPr>
          <w:rFonts w:hint="eastAsia"/>
          <w:b w:val="0"/>
          <w:bCs w:val="0"/>
          <w:color w:val="auto"/>
          <w:sz w:val="24"/>
          <w:szCs w:val="24"/>
          <w:highlight w:val="none"/>
          <w:lang w:val="en-US" w:eastAsia="zh-CN"/>
        </w:rPr>
        <w:t xml:space="preserve"> 一套</w:t>
      </w:r>
    </w:p>
    <w:p w14:paraId="0077AA3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7.6</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COD(Mn)标样溶液 1支</w:t>
      </w:r>
    </w:p>
    <w:p w14:paraId="2FD24CB7">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w:t>
      </w:r>
      <w:r>
        <w:rPr>
          <w:rFonts w:hint="eastAsia"/>
          <w:b w:val="0"/>
          <w:bCs w:val="0"/>
          <w:color w:val="auto"/>
          <w:sz w:val="24"/>
          <w:szCs w:val="24"/>
          <w:highlight w:val="none"/>
          <w:lang w:val="en-US" w:eastAsia="zh-CN"/>
        </w:rPr>
        <w:t xml:space="preserve">7 </w:t>
      </w:r>
      <w:r>
        <w:rPr>
          <w:rFonts w:hint="default"/>
          <w:b w:val="0"/>
          <w:bCs w:val="0"/>
          <w:color w:val="auto"/>
          <w:sz w:val="24"/>
          <w:szCs w:val="24"/>
          <w:highlight w:val="none"/>
          <w:lang w:val="en-US" w:eastAsia="zh-CN"/>
        </w:rPr>
        <w:t>数据处理系统1套</w:t>
      </w:r>
    </w:p>
    <w:p w14:paraId="2378BBB4">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四、2D视频一体显微镜</w:t>
      </w:r>
    </w:p>
    <w:p w14:paraId="4875CD4E">
      <w:pPr>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b w:val="0"/>
          <w:bCs w:val="0"/>
          <w:color w:val="auto"/>
          <w:sz w:val="24"/>
          <w:szCs w:val="24"/>
          <w:highlight w:val="none"/>
          <w:lang w:val="en-US" w:eastAsia="zh-CN"/>
        </w:rPr>
        <w:t>技术参数：</w:t>
      </w:r>
    </w:p>
    <w:p w14:paraId="344791A6">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w:t>
      </w:r>
      <w:r>
        <w:rPr>
          <w:rFonts w:hint="default"/>
          <w:b w:val="0"/>
          <w:bCs w:val="0"/>
          <w:color w:val="auto"/>
          <w:sz w:val="24"/>
          <w:szCs w:val="24"/>
          <w:highlight w:val="none"/>
          <w:lang w:val="en-US" w:eastAsia="zh-CN"/>
        </w:rPr>
        <w:t>数码显微镜无需电脑，独立操作，内置测量系统，可将实时图像与参考图像或自定义图像进行比对，检查部件轻松对比，可直观看出是否在公差范围内</w:t>
      </w:r>
      <w:r>
        <w:rPr>
          <w:rFonts w:hint="eastAsia"/>
          <w:b w:val="0"/>
          <w:bCs w:val="0"/>
          <w:color w:val="auto"/>
          <w:sz w:val="24"/>
          <w:szCs w:val="24"/>
          <w:highlight w:val="none"/>
          <w:lang w:val="en-US" w:eastAsia="zh-CN"/>
        </w:rPr>
        <w:t>;</w:t>
      </w:r>
    </w:p>
    <w:p w14:paraId="53E500E1">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2、</w:t>
      </w:r>
      <w:r>
        <w:rPr>
          <w:rFonts w:hint="default"/>
          <w:b w:val="0"/>
          <w:bCs w:val="0"/>
          <w:color w:val="auto"/>
          <w:sz w:val="24"/>
          <w:szCs w:val="24"/>
          <w:highlight w:val="none"/>
          <w:lang w:val="en-US" w:eastAsia="zh-CN"/>
        </w:rPr>
        <w:t>LED透反射光源照明确保任何工作环境呈现清晰的图片质量，色温5500K</w:t>
      </w:r>
      <w:r>
        <w:rPr>
          <w:rFonts w:hint="eastAsia"/>
          <w:b w:val="0"/>
          <w:bCs w:val="0"/>
          <w:color w:val="auto"/>
          <w:sz w:val="24"/>
          <w:szCs w:val="24"/>
          <w:highlight w:val="none"/>
          <w:lang w:val="en-US" w:eastAsia="zh-CN"/>
        </w:rPr>
        <w:t>;</w:t>
      </w:r>
    </w:p>
    <w:p w14:paraId="6701873F">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3、</w:t>
      </w:r>
      <w:r>
        <w:rPr>
          <w:rFonts w:hint="default"/>
          <w:b w:val="0"/>
          <w:bCs w:val="0"/>
          <w:color w:val="auto"/>
          <w:sz w:val="24"/>
          <w:szCs w:val="24"/>
          <w:highlight w:val="none"/>
          <w:lang w:val="en-US" w:eastAsia="zh-CN"/>
        </w:rPr>
        <w:t>60fps实时帧率输出成像，无延迟，针对电子元器件的缺陷在线检测提高效率</w:t>
      </w:r>
    </w:p>
    <w:p w14:paraId="24691F0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4、</w:t>
      </w:r>
      <w:r>
        <w:rPr>
          <w:rFonts w:hint="default"/>
          <w:b w:val="0"/>
          <w:bCs w:val="0"/>
          <w:color w:val="auto"/>
          <w:sz w:val="24"/>
          <w:szCs w:val="24"/>
          <w:highlight w:val="none"/>
          <w:lang w:val="en-US" w:eastAsia="zh-CN"/>
        </w:rPr>
        <w:t>光学放大倍率7-45X，电子放大17-110X(11.6英寸显示器下)</w:t>
      </w:r>
    </w:p>
    <w:p w14:paraId="1CE46529">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5、</w:t>
      </w:r>
      <w:r>
        <w:rPr>
          <w:rFonts w:hint="default"/>
          <w:b w:val="0"/>
          <w:bCs w:val="0"/>
          <w:color w:val="auto"/>
          <w:sz w:val="24"/>
          <w:szCs w:val="24"/>
          <w:highlight w:val="none"/>
          <w:lang w:val="en-US" w:eastAsia="zh-CN"/>
        </w:rPr>
        <w:t>显微镜成像视野2-29mm</w:t>
      </w:r>
    </w:p>
    <w:p w14:paraId="051EC2F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6、</w:t>
      </w:r>
      <w:r>
        <w:rPr>
          <w:rFonts w:hint="default"/>
          <w:b w:val="0"/>
          <w:bCs w:val="0"/>
          <w:color w:val="auto"/>
          <w:sz w:val="24"/>
          <w:szCs w:val="24"/>
          <w:highlight w:val="none"/>
          <w:lang w:val="en-US" w:eastAsia="zh-CN"/>
        </w:rPr>
        <w:t>铝合金阳极氧化材质耐用</w:t>
      </w:r>
    </w:p>
    <w:p w14:paraId="5375E9DF">
      <w:pPr>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7、</w:t>
      </w:r>
      <w:r>
        <w:rPr>
          <w:rFonts w:hint="default"/>
          <w:b w:val="0"/>
          <w:bCs w:val="0"/>
          <w:color w:val="auto"/>
          <w:sz w:val="24"/>
          <w:szCs w:val="24"/>
          <w:highlight w:val="none"/>
          <w:lang w:val="en-US" w:eastAsia="zh-CN"/>
        </w:rPr>
        <w:t>最亮的地方和最暗的地方都能看得清。针对反光的产品，在外观光源调节比较弱的情况下软件可调</w:t>
      </w:r>
    </w:p>
    <w:p w14:paraId="43FF2B04">
      <w:pPr>
        <w:widowControl w:val="0"/>
        <w:numPr>
          <w:ilvl w:val="0"/>
          <w:numId w:val="5"/>
        </w:num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烘箱</w:t>
      </w:r>
    </w:p>
    <w:p w14:paraId="40B46C68">
      <w:pPr>
        <w:spacing w:line="360" w:lineRule="auto"/>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技术参数：0-300摄氏度，130L</w:t>
      </w:r>
    </w:p>
    <w:p w14:paraId="030BFCA8">
      <w:pPr>
        <w:widowControl w:val="0"/>
        <w:numPr>
          <w:ilvl w:val="0"/>
          <w:numId w:val="5"/>
        </w:numPr>
        <w:spacing w:line="360" w:lineRule="auto"/>
        <w:ind w:left="0" w:leftChars="0" w:firstLine="0" w:firstLineChars="0"/>
        <w:jc w:val="lef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电子天平</w:t>
      </w:r>
    </w:p>
    <w:p w14:paraId="6CD6C432">
      <w:pPr>
        <w:widowControl w:val="0"/>
        <w:numPr>
          <w:ilvl w:val="0"/>
          <w:numId w:val="0"/>
        </w:numPr>
        <w:spacing w:line="360" w:lineRule="auto"/>
        <w:ind w:leftChars="0"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技术参数：</w:t>
      </w:r>
      <w:r>
        <w:rPr>
          <w:rFonts w:hint="default"/>
          <w:b w:val="0"/>
          <w:bCs w:val="0"/>
          <w:color w:val="auto"/>
          <w:sz w:val="24"/>
          <w:szCs w:val="24"/>
          <w:highlight w:val="none"/>
          <w:lang w:val="en-US" w:eastAsia="zh-CN"/>
        </w:rPr>
        <w:t>感量为0.1mg</w:t>
      </w:r>
    </w:p>
    <w:p w14:paraId="1760F705">
      <w:pPr>
        <w:widowControl w:val="0"/>
        <w:numPr>
          <w:ilvl w:val="0"/>
          <w:numId w:val="5"/>
        </w:num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X、γ个人剂量热释光测量系统</w:t>
      </w:r>
    </w:p>
    <w:p w14:paraId="00184C2C">
      <w:pPr>
        <w:widowControl w:val="0"/>
        <w:numPr>
          <w:ilvl w:val="0"/>
          <w:numId w:val="6"/>
        </w:num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热释光读数器</w:t>
      </w:r>
    </w:p>
    <w:p w14:paraId="02E0864A">
      <w:pPr>
        <w:widowControl w:val="0"/>
        <w:numPr>
          <w:ilvl w:val="0"/>
          <w:numId w:val="0"/>
        </w:numPr>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b w:val="0"/>
          <w:bCs w:val="0"/>
          <w:color w:val="auto"/>
          <w:sz w:val="24"/>
          <w:szCs w:val="24"/>
          <w:highlight w:val="none"/>
          <w:lang w:val="en-US" w:eastAsia="zh-CN"/>
        </w:rPr>
        <w:t>技术参数：</w:t>
      </w:r>
    </w:p>
    <w:p w14:paraId="0174926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w:t>
      </w:r>
      <w:r>
        <w:rPr>
          <w:rFonts w:hint="default"/>
          <w:b w:val="0"/>
          <w:bCs w:val="0"/>
          <w:color w:val="auto"/>
          <w:sz w:val="24"/>
          <w:szCs w:val="24"/>
          <w:highlight w:val="none"/>
          <w:lang w:val="en-US" w:eastAsia="zh-CN"/>
        </w:rPr>
        <w:t>运行温度:0°C~50°C;储存温度:-20°C~60°C;</w:t>
      </w:r>
    </w:p>
    <w:p w14:paraId="74A560A3">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2、</w:t>
      </w:r>
      <w:r>
        <w:rPr>
          <w:rFonts w:hint="default"/>
          <w:b w:val="0"/>
          <w:bCs w:val="0"/>
          <w:color w:val="auto"/>
          <w:sz w:val="24"/>
          <w:szCs w:val="24"/>
          <w:highlight w:val="none"/>
          <w:lang w:val="en-US" w:eastAsia="zh-CN"/>
        </w:rPr>
        <w:t xml:space="preserve">整体机箱抗1000 </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1ux环境光照射;</w:t>
      </w:r>
    </w:p>
    <w:p w14:paraId="526EB486">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3、可测读剂量元件种类:方片、圆片、粉末状及玻璃管状样品等;</w:t>
      </w:r>
    </w:p>
    <w:p w14:paraId="079D0A4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4、加热温度:室温~500°C任意设置;</w:t>
      </w:r>
    </w:p>
    <w:p w14:paraId="76B60A7D">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5、升温速率:0°C/s~50°C/s;</w:t>
      </w:r>
    </w:p>
    <w:p w14:paraId="456938E6">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6</w:t>
      </w:r>
      <w:r>
        <w:rPr>
          <w:rFonts w:hint="default"/>
          <w:b w:val="0"/>
          <w:bCs w:val="0"/>
          <w:color w:val="auto"/>
          <w:sz w:val="24"/>
          <w:szCs w:val="24"/>
          <w:highlight w:val="none"/>
          <w:lang w:val="en-US" w:eastAsia="zh-CN"/>
        </w:rPr>
        <w:t>、测量量程:0.1μSv~10Sv;</w:t>
      </w:r>
    </w:p>
    <w:p w14:paraId="6D6A642E">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7、加热温度稳定性(控制精度):</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1%;</w:t>
      </w:r>
    </w:p>
    <w:p w14:paraId="00E3B133">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8、灵敏度重复性的变化系数:≤0.1%</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0.05%/°C;</w:t>
      </w:r>
    </w:p>
    <w:p w14:paraId="5CC11CB4">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9、可测试项目:</w:t>
      </w:r>
      <w:r>
        <w:rPr>
          <w:rFonts w:hint="eastAsia" w:ascii="宋体" w:hAnsi="宋体" w:eastAsia="宋体" w:cs="宋体"/>
          <w:b/>
          <w:bCs/>
          <w:color w:val="auto"/>
          <w:sz w:val="24"/>
          <w:szCs w:val="24"/>
          <w:highlight w:val="none"/>
        </w:rPr>
        <w:t>γ</w:t>
      </w:r>
      <w:r>
        <w:rPr>
          <w:rFonts w:hint="default"/>
          <w:b w:val="0"/>
          <w:bCs w:val="0"/>
          <w:color w:val="auto"/>
          <w:sz w:val="24"/>
          <w:szCs w:val="24"/>
          <w:highlight w:val="none"/>
          <w:lang w:val="en-US" w:eastAsia="zh-CN"/>
        </w:rPr>
        <w:t>，β，X,中子;</w:t>
      </w:r>
    </w:p>
    <w:p w14:paraId="1FBC5C7B">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10、</w:t>
      </w:r>
      <w:r>
        <w:rPr>
          <w:rFonts w:hint="default"/>
          <w:b w:val="0"/>
          <w:bCs w:val="0"/>
          <w:color w:val="auto"/>
          <w:sz w:val="24"/>
          <w:szCs w:val="24"/>
          <w:highlight w:val="none"/>
          <w:lang w:val="en-US" w:eastAsia="zh-CN"/>
        </w:rPr>
        <w:t>稳定性:连续10次测量，RSD≤1%;</w:t>
      </w:r>
    </w:p>
    <w:p w14:paraId="4EAA16C7">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11、</w:t>
      </w:r>
      <w:r>
        <w:rPr>
          <w:rFonts w:hint="default"/>
          <w:b w:val="0"/>
          <w:bCs w:val="0"/>
          <w:color w:val="auto"/>
          <w:sz w:val="24"/>
          <w:szCs w:val="24"/>
          <w:highlight w:val="none"/>
          <w:lang w:val="en-US" w:eastAsia="zh-CN"/>
        </w:rPr>
        <w:t>暗电流:RSD≤1%，参考光:RSD≤1%;</w:t>
      </w:r>
    </w:p>
    <w:p w14:paraId="786640F4">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12、制冷:半导体控制制冷，可设置制冷温度(提供设置界面证明)</w:t>
      </w:r>
      <w:r>
        <w:rPr>
          <w:rFonts w:hint="eastAsia"/>
          <w:b w:val="0"/>
          <w:bCs w:val="0"/>
          <w:color w:val="auto"/>
          <w:sz w:val="24"/>
          <w:szCs w:val="24"/>
          <w:highlight w:val="none"/>
          <w:lang w:val="en-US" w:eastAsia="zh-CN"/>
        </w:rPr>
        <w:t>;</w:t>
      </w:r>
    </w:p>
    <w:p w14:paraId="69A5F04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13、多层级管理密码保护模式、可设置管理员、操作员权限(提供软件设置界面证明)</w:t>
      </w:r>
      <w:r>
        <w:rPr>
          <w:rFonts w:hint="eastAsia"/>
          <w:b w:val="0"/>
          <w:bCs w:val="0"/>
          <w:color w:val="auto"/>
          <w:sz w:val="24"/>
          <w:szCs w:val="24"/>
          <w:highlight w:val="none"/>
          <w:lang w:val="en-US" w:eastAsia="zh-CN"/>
        </w:rPr>
        <w:t>;</w:t>
      </w:r>
    </w:p>
    <w:p w14:paraId="6ACF439B">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14、读数器触摸屏/上位机可同时控制，读数器触摸屏/上位机软件界面具有状态显示和报警功能，可</w:t>
      </w:r>
      <w:r>
        <w:rPr>
          <w:rFonts w:hint="eastAsia"/>
          <w:b w:val="0"/>
          <w:bCs w:val="0"/>
          <w:color w:val="auto"/>
          <w:sz w:val="24"/>
          <w:szCs w:val="24"/>
          <w:highlight w:val="none"/>
          <w:lang w:val="en-US" w:eastAsia="zh-CN"/>
        </w:rPr>
        <w:t>同</w:t>
      </w:r>
      <w:r>
        <w:rPr>
          <w:rFonts w:hint="default"/>
          <w:b w:val="0"/>
          <w:bCs w:val="0"/>
          <w:color w:val="auto"/>
          <w:sz w:val="24"/>
          <w:szCs w:val="24"/>
          <w:highlight w:val="none"/>
          <w:lang w:val="en-US" w:eastAsia="zh-CN"/>
        </w:rPr>
        <w:t>步显示测量图谱和测量进程;</w:t>
      </w:r>
    </w:p>
    <w:p w14:paraId="32B3E1F4">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15、读数器</w:t>
      </w:r>
      <w:r>
        <w:rPr>
          <w:rFonts w:hint="eastAsia"/>
          <w:b w:val="0"/>
          <w:bCs w:val="0"/>
          <w:color w:val="auto"/>
          <w:sz w:val="24"/>
          <w:szCs w:val="24"/>
          <w:highlight w:val="none"/>
          <w:lang w:val="en-US" w:eastAsia="zh-CN"/>
        </w:rPr>
        <w:t>自</w:t>
      </w:r>
      <w:r>
        <w:rPr>
          <w:rFonts w:hint="default"/>
          <w:b w:val="0"/>
          <w:bCs w:val="0"/>
          <w:color w:val="auto"/>
          <w:sz w:val="24"/>
          <w:szCs w:val="24"/>
          <w:highlight w:val="none"/>
          <w:lang w:val="en-US" w:eastAsia="zh-CN"/>
        </w:rPr>
        <w:t>带诊断功能，带有设备容错和报错机制，以及语音提示;</w:t>
      </w:r>
    </w:p>
    <w:p w14:paraId="124F5F4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16、数据库可与Excel兼容;</w:t>
      </w:r>
    </w:p>
    <w:p w14:paraId="4A41A50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17、可实现数据、统计、分析、报告、报表功能;</w:t>
      </w:r>
    </w:p>
    <w:p w14:paraId="655EF2C3">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18、数据库可以批量录入并导出环境/个人剂量监测所有信息，包括测量点位、经纬度、配置剂量计</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监测周期、剂量等信息(环境剂量版)或个人剂量监测所有信息，如二维码、人员编号、姓名、单位、剂</w:t>
      </w:r>
      <w:r>
        <w:rPr>
          <w:rFonts w:hint="eastAsia"/>
          <w:b w:val="0"/>
          <w:bCs w:val="0"/>
          <w:color w:val="auto"/>
          <w:sz w:val="24"/>
          <w:szCs w:val="24"/>
          <w:highlight w:val="none"/>
          <w:lang w:val="en-US" w:eastAsia="zh-CN"/>
        </w:rPr>
        <w:t>量</w:t>
      </w:r>
      <w:r>
        <w:rPr>
          <w:rFonts w:hint="default"/>
          <w:b w:val="0"/>
          <w:bCs w:val="0"/>
          <w:color w:val="auto"/>
          <w:sz w:val="24"/>
          <w:szCs w:val="24"/>
          <w:highlight w:val="none"/>
          <w:lang w:val="en-US" w:eastAsia="zh-CN"/>
        </w:rPr>
        <w:t>、佩戴日期等信息(个人剂量版);</w:t>
      </w:r>
    </w:p>
    <w:p w14:paraId="672AD36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19、仪器配套数据处理系统</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可提供与中华人民共和国卫生部放射工作人员职业健康管理系统软件数据的导入，实现对接;</w:t>
      </w:r>
    </w:p>
    <w:p w14:paraId="0B4A7CB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20、该系列产品具备计量器具型式批准证书(需提供复印件加盖公章)</w:t>
      </w:r>
      <w:r>
        <w:rPr>
          <w:rFonts w:hint="eastAsia"/>
          <w:b w:val="0"/>
          <w:bCs w:val="0"/>
          <w:color w:val="auto"/>
          <w:sz w:val="24"/>
          <w:szCs w:val="24"/>
          <w:highlight w:val="none"/>
          <w:lang w:val="en-US" w:eastAsia="zh-CN"/>
        </w:rPr>
        <w:t>。</w:t>
      </w:r>
    </w:p>
    <w:p w14:paraId="24A9D208">
      <w:pPr>
        <w:widowControl w:val="0"/>
        <w:numPr>
          <w:ilvl w:val="0"/>
          <w:numId w:val="6"/>
        </w:num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热释光退火炉</w:t>
      </w:r>
    </w:p>
    <w:p w14:paraId="5286BD02">
      <w:pPr>
        <w:widowControl w:val="0"/>
        <w:numPr>
          <w:ilvl w:val="0"/>
          <w:numId w:val="0"/>
        </w:numPr>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b w:val="0"/>
          <w:bCs w:val="0"/>
          <w:color w:val="auto"/>
          <w:sz w:val="24"/>
          <w:szCs w:val="24"/>
          <w:highlight w:val="none"/>
          <w:lang w:val="en-US" w:eastAsia="zh-CN"/>
        </w:rPr>
        <w:t>技术参数：</w:t>
      </w:r>
    </w:p>
    <w:p w14:paraId="1153A6E7">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w:t>
      </w:r>
      <w:r>
        <w:rPr>
          <w:rFonts w:hint="default"/>
          <w:b w:val="0"/>
          <w:bCs w:val="0"/>
          <w:color w:val="auto"/>
          <w:sz w:val="24"/>
          <w:szCs w:val="24"/>
          <w:highlight w:val="none"/>
          <w:lang w:val="en-US" w:eastAsia="zh-CN"/>
        </w:rPr>
        <w:t>温度范围:0~500°C连续可设;</w:t>
      </w:r>
    </w:p>
    <w:p w14:paraId="37F27243">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2、</w:t>
      </w:r>
      <w:r>
        <w:rPr>
          <w:rFonts w:hint="default"/>
          <w:b w:val="0"/>
          <w:bCs w:val="0"/>
          <w:color w:val="auto"/>
          <w:sz w:val="24"/>
          <w:szCs w:val="24"/>
          <w:highlight w:val="none"/>
          <w:lang w:val="en-US" w:eastAsia="zh-CN"/>
        </w:rPr>
        <w:t>升温时间:室温至设定值≤1小时;</w:t>
      </w:r>
    </w:p>
    <w:p w14:paraId="29DDD19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3、温度过冲:最大不超过设定值2°C;</w:t>
      </w:r>
    </w:p>
    <w:p w14:paraId="1CA1596F">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4、退火时间:100分钟任意设置，带报警;</w:t>
      </w:r>
    </w:p>
    <w:p w14:paraId="38410E2D">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5、控制方式:触摸屏控制、显示升温曲线和退火进程、带有语音提示。</w:t>
      </w:r>
    </w:p>
    <w:p w14:paraId="5CE7FC2F">
      <w:pPr>
        <w:widowControl w:val="0"/>
        <w:numPr>
          <w:ilvl w:val="0"/>
          <w:numId w:val="6"/>
        </w:num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配置</w:t>
      </w:r>
    </w:p>
    <w:p w14:paraId="375B9D01">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w:t>
      </w:r>
      <w:r>
        <w:rPr>
          <w:rFonts w:hint="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热释光剂量仪1台</w:t>
      </w:r>
    </w:p>
    <w:p w14:paraId="2F454DB7">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2</w:t>
      </w:r>
      <w:r>
        <w:rPr>
          <w:rFonts w:hint="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退火炉1台</w:t>
      </w:r>
    </w:p>
    <w:p w14:paraId="1AFBB234">
      <w:pPr>
        <w:numPr>
          <w:ilvl w:val="0"/>
          <w:numId w:val="0"/>
        </w:numPr>
        <w:spacing w:line="360" w:lineRule="auto"/>
        <w:ind w:left="0" w:leftChars="0"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3</w:t>
      </w:r>
      <w:r>
        <w:rPr>
          <w:rFonts w:hint="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散热装置1个</w:t>
      </w:r>
    </w:p>
    <w:p w14:paraId="5B5115E7">
      <w:pPr>
        <w:numPr>
          <w:ilvl w:val="0"/>
          <w:numId w:val="0"/>
        </w:numPr>
        <w:spacing w:line="360" w:lineRule="auto"/>
        <w:ind w:leftChars="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4</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IDMS人员剂量管理软件 1套</w:t>
      </w:r>
    </w:p>
    <w:p w14:paraId="5DD8A9E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5</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热释光剂量盒 200个</w:t>
      </w:r>
    </w:p>
    <w:p w14:paraId="1D39FBE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6</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热释光剂量片 500片</w:t>
      </w:r>
    </w:p>
    <w:p w14:paraId="393B19C5">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7</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能量鉴别盒30个</w:t>
      </w:r>
    </w:p>
    <w:p w14:paraId="3CF73FC5">
      <w:pPr>
        <w:widowControl w:val="0"/>
        <w:numPr>
          <w:ilvl w:val="0"/>
          <w:numId w:val="5"/>
        </w:num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便携式大流量生物气溶胶采样器</w:t>
      </w:r>
    </w:p>
    <w:p w14:paraId="7E4FF959">
      <w:pPr>
        <w:widowControl w:val="0"/>
        <w:numPr>
          <w:ilvl w:val="0"/>
          <w:numId w:val="0"/>
        </w:numPr>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b w:val="0"/>
          <w:bCs w:val="0"/>
          <w:color w:val="auto"/>
          <w:sz w:val="24"/>
          <w:szCs w:val="24"/>
          <w:highlight w:val="none"/>
          <w:lang w:val="en-US" w:eastAsia="zh-CN"/>
        </w:rPr>
        <w:t>技术参数：</w:t>
      </w:r>
    </w:p>
    <w:p w14:paraId="34FEB65F">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w:t>
      </w:r>
      <w:r>
        <w:rPr>
          <w:rFonts w:hint="default"/>
          <w:b w:val="0"/>
          <w:bCs w:val="0"/>
          <w:color w:val="auto"/>
          <w:sz w:val="24"/>
          <w:szCs w:val="24"/>
          <w:highlight w:val="none"/>
          <w:lang w:val="en-US" w:eastAsia="zh-CN"/>
        </w:rPr>
        <w:t>设备要求适用于生物应急突发事件现场采样、生物毒素采样、疾病预防控制、生物洁净以及公共场所环境空气微生物采样。</w:t>
      </w:r>
    </w:p>
    <w:p w14:paraId="23D6B88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2.</w:t>
      </w:r>
      <w:r>
        <w:rPr>
          <w:rFonts w:hint="default"/>
          <w:b w:val="0"/>
          <w:bCs w:val="0"/>
          <w:color w:val="auto"/>
          <w:sz w:val="24"/>
          <w:szCs w:val="24"/>
          <w:highlight w:val="none"/>
          <w:lang w:val="en-US" w:eastAsia="zh-CN"/>
        </w:rPr>
        <w:t>采集对象:细菌、病毒、真菌、霉菌、花粉和噬菌体等生物气溶胶。</w:t>
      </w:r>
    </w:p>
    <w:p w14:paraId="107222E5">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3.</w:t>
      </w:r>
      <w:r>
        <w:rPr>
          <w:rFonts w:hint="default"/>
          <w:b w:val="0"/>
          <w:bCs w:val="0"/>
          <w:color w:val="auto"/>
          <w:sz w:val="24"/>
          <w:szCs w:val="24"/>
          <w:highlight w:val="none"/>
          <w:lang w:val="en-US" w:eastAsia="zh-CN"/>
        </w:rPr>
        <w:t>采样原理:干壁气旋采样原理，可选配湿壁气旋采样法。</w:t>
      </w:r>
    </w:p>
    <w:p w14:paraId="74418AC5">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4.</w:t>
      </w:r>
      <w:r>
        <w:rPr>
          <w:rFonts w:hint="default"/>
          <w:b w:val="0"/>
          <w:bCs w:val="0"/>
          <w:color w:val="auto"/>
          <w:sz w:val="24"/>
          <w:szCs w:val="24"/>
          <w:highlight w:val="none"/>
          <w:lang w:val="en-US" w:eastAsia="zh-CN"/>
        </w:rPr>
        <w:t>采样介质:无菌水、生理盐水、细胞培养液、病毒保存液等液体。</w:t>
      </w:r>
    </w:p>
    <w:p w14:paraId="4D21132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5.</w:t>
      </w:r>
      <w:r>
        <w:rPr>
          <w:rFonts w:hint="default"/>
          <w:b w:val="0"/>
          <w:bCs w:val="0"/>
          <w:color w:val="auto"/>
          <w:sz w:val="24"/>
          <w:szCs w:val="24"/>
          <w:highlight w:val="none"/>
          <w:lang w:val="en-US" w:eastAsia="zh-CN"/>
        </w:rPr>
        <w:t>样品液量:2-3ml</w:t>
      </w:r>
    </w:p>
    <w:p w14:paraId="50F17D2E">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6.</w:t>
      </w:r>
      <w:r>
        <w:rPr>
          <w:rFonts w:hint="default"/>
          <w:b w:val="0"/>
          <w:bCs w:val="0"/>
          <w:color w:val="auto"/>
          <w:sz w:val="24"/>
          <w:szCs w:val="24"/>
          <w:highlight w:val="none"/>
          <w:lang w:val="en-US" w:eastAsia="zh-CN"/>
        </w:rPr>
        <w:t>采样流量:≥400L/min，30分钟可采集≥12000L空气</w:t>
      </w:r>
    </w:p>
    <w:p w14:paraId="7E057B8B">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7.</w:t>
      </w:r>
      <w:r>
        <w:rPr>
          <w:rFonts w:hint="default"/>
          <w:b w:val="0"/>
          <w:bCs w:val="0"/>
          <w:color w:val="auto"/>
          <w:sz w:val="24"/>
          <w:szCs w:val="24"/>
          <w:highlight w:val="none"/>
          <w:lang w:val="en-US" w:eastAsia="zh-CN"/>
        </w:rPr>
        <w:t>采集效率:1μm粒径颗粒物采集效率≥80%</w:t>
      </w:r>
    </w:p>
    <w:p w14:paraId="7F51B01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8.</w:t>
      </w:r>
      <w:r>
        <w:rPr>
          <w:rFonts w:hint="default"/>
          <w:b w:val="0"/>
          <w:bCs w:val="0"/>
          <w:color w:val="auto"/>
          <w:sz w:val="24"/>
          <w:szCs w:val="24"/>
          <w:highlight w:val="none"/>
          <w:lang w:val="en-US" w:eastAsia="zh-CN"/>
        </w:rPr>
        <w:t>采样功能:可设置预约时间延迟启动采样，可设置采样持续时间，采样结束后自动停止采样</w:t>
      </w:r>
    </w:p>
    <w:p w14:paraId="6E2A8899">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9.样品收集管:现场快速安装到采样模块接口，采样完毕直接取下冷藏或送检</w:t>
      </w:r>
    </w:p>
    <w:p w14:paraId="0D69EA6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10.补液功能:设备可以实时监测采样液量并自动补充，可适用于长时间采样场景</w:t>
      </w:r>
    </w:p>
    <w:p w14:paraId="562F856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11.设备主机一体化集成采样泵或风机、采样通路、补液模块，避免分体部件带来的携带不便</w:t>
      </w:r>
    </w:p>
    <w:p w14:paraId="5227D843">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12.污染防控:可现场快速拆卸更换采样筒及采样管等污染部件，避免连续采样的交叉污染，采样筒可消毒后重复使用</w:t>
      </w:r>
    </w:p>
    <w:p w14:paraId="6BF3F089">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13.工作环境:温度-10°C~45°C，湿度:0-80%</w:t>
      </w:r>
    </w:p>
    <w:p w14:paraId="5889ABE5">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14.液晶屏显示，触屏操作，采样时间可以预设</w:t>
      </w:r>
    </w:p>
    <w:p w14:paraId="7B032E59">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15.电源:可适配220v交流电或外接12v直流电源</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内置充电电池，续航时间≥3小时;</w:t>
      </w:r>
    </w:p>
    <w:p w14:paraId="35411CA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16.主机重量≤4kg，设备轻巧便捷;</w:t>
      </w:r>
    </w:p>
    <w:p w14:paraId="7BAEEBA6">
      <w:pPr>
        <w:widowControl w:val="0"/>
        <w:numPr>
          <w:ilvl w:val="0"/>
          <w:numId w:val="5"/>
        </w:numPr>
        <w:spacing w:line="360" w:lineRule="auto"/>
        <w:jc w:val="lef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安全套、HIV试剂自助发放机</w:t>
      </w:r>
    </w:p>
    <w:p w14:paraId="05704A2B">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技术</w:t>
      </w:r>
      <w:r>
        <w:rPr>
          <w:rFonts w:hint="default"/>
          <w:b w:val="0"/>
          <w:bCs w:val="0"/>
          <w:color w:val="auto"/>
          <w:sz w:val="24"/>
          <w:szCs w:val="24"/>
          <w:highlight w:val="none"/>
          <w:lang w:val="en-US" w:eastAsia="zh-CN"/>
        </w:rPr>
        <w:t>参数:</w:t>
      </w:r>
    </w:p>
    <w:p w14:paraId="5F853397">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安装方式:立柜式</w:t>
      </w:r>
    </w:p>
    <w:p w14:paraId="5FAEC8A1">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2</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领取方式:微信</w:t>
      </w:r>
      <w:r>
        <w:rPr>
          <w:rFonts w:hint="eastAsia"/>
          <w:b w:val="0"/>
          <w:bCs w:val="0"/>
          <w:color w:val="auto"/>
          <w:sz w:val="24"/>
          <w:szCs w:val="24"/>
          <w:highlight w:val="none"/>
          <w:lang w:val="en-US" w:eastAsia="zh-CN"/>
        </w:rPr>
        <w:t>、支付宝</w:t>
      </w:r>
      <w:r>
        <w:rPr>
          <w:rFonts w:hint="default"/>
          <w:b w:val="0"/>
          <w:bCs w:val="0"/>
          <w:color w:val="auto"/>
          <w:sz w:val="24"/>
          <w:szCs w:val="24"/>
          <w:highlight w:val="none"/>
          <w:lang w:val="en-US" w:eastAsia="zh-CN"/>
        </w:rPr>
        <w:t>扫码</w:t>
      </w:r>
      <w:r>
        <w:rPr>
          <w:rFonts w:hint="eastAsia"/>
          <w:b w:val="0"/>
          <w:bCs w:val="0"/>
          <w:color w:val="auto"/>
          <w:sz w:val="24"/>
          <w:szCs w:val="24"/>
          <w:highlight w:val="none"/>
          <w:lang w:val="en-US" w:eastAsia="zh-CN"/>
        </w:rPr>
        <w:t>或其他非现金扫码方式</w:t>
      </w:r>
    </w:p>
    <w:p w14:paraId="361240AD">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3</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外形尺寸:≥170*68*28CM</w:t>
      </w:r>
    </w:p>
    <w:p w14:paraId="7AED307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4</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重量:≥70KG</w:t>
      </w:r>
    </w:p>
    <w:p w14:paraId="41FD3416">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5</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材质:≥1.2mm优质钢板</w:t>
      </w:r>
    </w:p>
    <w:p w14:paraId="17DC7C2D">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6</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容量:≥100盒</w:t>
      </w:r>
    </w:p>
    <w:p w14:paraId="3967B51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7</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货道数:≥4个</w:t>
      </w:r>
    </w:p>
    <w:p w14:paraId="0E121A6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8</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显示:3.5’彩色液晶</w:t>
      </w:r>
    </w:p>
    <w:p w14:paraId="23DB3F5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9</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语音:真人语音</w:t>
      </w:r>
    </w:p>
    <w:p w14:paraId="736157B3">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10</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照明:LED灯</w:t>
      </w:r>
    </w:p>
    <w:p w14:paraId="378D34DE">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11</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通讯:4G物联网</w:t>
      </w:r>
    </w:p>
    <w:p w14:paraId="3D074CE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12</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额定功率:≤15W</w:t>
      </w:r>
    </w:p>
    <w:p w14:paraId="4374016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13</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外观:喷绘</w:t>
      </w:r>
    </w:p>
    <w:p w14:paraId="36A2A411">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14</w:t>
      </w:r>
      <w:r>
        <w:rPr>
          <w:rFonts w:hint="default" w:asciiTheme="minorHAnsi" w:hAnsiTheme="minorHAnsi" w:eastAsiaTheme="minorEastAsia" w:cstheme="minorBidi"/>
          <w:b w:val="0"/>
          <w:bCs w:val="0"/>
          <w:color w:val="auto"/>
          <w:kern w:val="2"/>
          <w:sz w:val="24"/>
          <w:szCs w:val="24"/>
          <w:highlight w:val="none"/>
          <w:lang w:val="en-US" w:eastAsia="zh-CN" w:bidi="ar-SA"/>
        </w:rPr>
        <w:t>.</w:t>
      </w:r>
      <w:r>
        <w:rPr>
          <w:rFonts w:hint="default"/>
          <w:b w:val="0"/>
          <w:bCs w:val="0"/>
          <w:color w:val="auto"/>
          <w:sz w:val="24"/>
          <w:szCs w:val="24"/>
          <w:highlight w:val="none"/>
          <w:lang w:val="en-US" w:eastAsia="zh-CN"/>
        </w:rPr>
        <w:t>防护等级:IP43</w:t>
      </w:r>
    </w:p>
    <w:p w14:paraId="24F58D86">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产品主要功能:</w:t>
      </w:r>
    </w:p>
    <w:p w14:paraId="03E79A9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w:t>
      </w:r>
      <w:r>
        <w:rPr>
          <w:rFonts w:hint="eastAsia"/>
          <w:b w:val="0"/>
          <w:bCs w:val="0"/>
          <w:color w:val="auto"/>
          <w:sz w:val="24"/>
          <w:szCs w:val="24"/>
          <w:highlight w:val="none"/>
          <w:lang w:val="en-US" w:eastAsia="zh-CN"/>
        </w:rPr>
        <w:t>非现金</w:t>
      </w:r>
      <w:r>
        <w:rPr>
          <w:rFonts w:hint="default"/>
          <w:b w:val="0"/>
          <w:bCs w:val="0"/>
          <w:color w:val="auto"/>
          <w:sz w:val="24"/>
          <w:szCs w:val="24"/>
          <w:highlight w:val="none"/>
          <w:lang w:val="en-US" w:eastAsia="zh-CN"/>
        </w:rPr>
        <w:t>扫码领取安全套和HIV检测试剂</w:t>
      </w:r>
    </w:p>
    <w:p w14:paraId="578343B3">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2.</w:t>
      </w:r>
      <w:r>
        <w:rPr>
          <w:rFonts w:hint="default"/>
          <w:b w:val="0"/>
          <w:bCs w:val="0"/>
          <w:color w:val="auto"/>
          <w:sz w:val="24"/>
          <w:szCs w:val="24"/>
          <w:highlight w:val="none"/>
          <w:lang w:val="en-US" w:eastAsia="zh-CN"/>
        </w:rPr>
        <w:t>支持多品种安全套和试剂发放</w:t>
      </w:r>
    </w:p>
    <w:p w14:paraId="67CF3E51">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3.</w:t>
      </w:r>
      <w:r>
        <w:rPr>
          <w:rFonts w:hint="default"/>
          <w:b w:val="0"/>
          <w:bCs w:val="0"/>
          <w:color w:val="auto"/>
          <w:sz w:val="24"/>
          <w:szCs w:val="24"/>
          <w:highlight w:val="none"/>
          <w:lang w:val="en-US" w:eastAsia="zh-CN"/>
        </w:rPr>
        <w:t>通过管理平台远程监控发放机实时状态</w:t>
      </w:r>
    </w:p>
    <w:p w14:paraId="1754C2C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4.</w:t>
      </w:r>
      <w:r>
        <w:rPr>
          <w:rFonts w:hint="default"/>
          <w:b w:val="0"/>
          <w:bCs w:val="0"/>
          <w:color w:val="auto"/>
          <w:sz w:val="24"/>
          <w:szCs w:val="24"/>
          <w:highlight w:val="none"/>
          <w:lang w:val="en-US" w:eastAsia="zh-CN"/>
        </w:rPr>
        <w:t>机器缺货、故障时自动上传信息到平台实时预警</w:t>
      </w:r>
    </w:p>
    <w:p w14:paraId="0AA46D04">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5.</w:t>
      </w:r>
      <w:r>
        <w:rPr>
          <w:rFonts w:hint="default"/>
          <w:b w:val="0"/>
          <w:bCs w:val="0"/>
          <w:color w:val="auto"/>
          <w:sz w:val="24"/>
          <w:szCs w:val="24"/>
          <w:highlight w:val="none"/>
          <w:lang w:val="en-US" w:eastAsia="zh-CN"/>
        </w:rPr>
        <w:t>对每一步操作真人语音提示</w:t>
      </w:r>
    </w:p>
    <w:p w14:paraId="6AC49FEE">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6.</w:t>
      </w:r>
      <w:r>
        <w:rPr>
          <w:rFonts w:hint="default"/>
          <w:b w:val="0"/>
          <w:bCs w:val="0"/>
          <w:color w:val="auto"/>
          <w:sz w:val="24"/>
          <w:szCs w:val="24"/>
          <w:highlight w:val="none"/>
          <w:lang w:val="en-US" w:eastAsia="zh-CN"/>
        </w:rPr>
        <w:t>对每一步操作语音文字同步提示</w:t>
      </w:r>
    </w:p>
    <w:p w14:paraId="5D6C6E6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7.</w:t>
      </w:r>
      <w:r>
        <w:rPr>
          <w:rFonts w:hint="default"/>
          <w:b w:val="0"/>
          <w:bCs w:val="0"/>
          <w:color w:val="auto"/>
          <w:sz w:val="24"/>
          <w:szCs w:val="24"/>
          <w:highlight w:val="none"/>
          <w:lang w:val="en-US" w:eastAsia="zh-CN"/>
        </w:rPr>
        <w:t>竖直货道，放货容易，出货快捷</w:t>
      </w:r>
    </w:p>
    <w:p w14:paraId="2C526BCC">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8.</w:t>
      </w:r>
      <w:r>
        <w:rPr>
          <w:rFonts w:hint="default"/>
          <w:b w:val="0"/>
          <w:bCs w:val="0"/>
          <w:color w:val="auto"/>
          <w:sz w:val="24"/>
          <w:szCs w:val="24"/>
          <w:highlight w:val="none"/>
          <w:lang w:val="en-US" w:eastAsia="zh-CN"/>
        </w:rPr>
        <w:t>设计出货检测开关对每次领取出货进行校验</w:t>
      </w:r>
    </w:p>
    <w:p w14:paraId="5266B27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9.</w:t>
      </w:r>
      <w:r>
        <w:rPr>
          <w:rFonts w:hint="default"/>
          <w:b w:val="0"/>
          <w:bCs w:val="0"/>
          <w:color w:val="auto"/>
          <w:sz w:val="24"/>
          <w:szCs w:val="24"/>
          <w:highlight w:val="none"/>
          <w:lang w:val="en-US" w:eastAsia="zh-CN"/>
        </w:rPr>
        <w:t>接受平台远程开关灯控制</w:t>
      </w:r>
    </w:p>
    <w:p w14:paraId="03FDBA95">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10.</w:t>
      </w:r>
      <w:r>
        <w:rPr>
          <w:rFonts w:hint="default"/>
          <w:b w:val="0"/>
          <w:bCs w:val="0"/>
          <w:color w:val="auto"/>
          <w:sz w:val="24"/>
          <w:szCs w:val="24"/>
          <w:highlight w:val="none"/>
          <w:lang w:val="en-US" w:eastAsia="zh-CN"/>
        </w:rPr>
        <w:t>接受平台领取条件限制</w:t>
      </w:r>
    </w:p>
    <w:p w14:paraId="54DD0251">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11.</w:t>
      </w:r>
      <w:r>
        <w:rPr>
          <w:rFonts w:hint="eastAsia" w:cstheme="minorBidi"/>
          <w:b w:val="0"/>
          <w:bCs w:val="0"/>
          <w:color w:val="auto"/>
          <w:kern w:val="2"/>
          <w:sz w:val="24"/>
          <w:szCs w:val="24"/>
          <w:highlight w:val="none"/>
          <w:lang w:val="en-US" w:eastAsia="zh-CN" w:bidi="ar-SA"/>
        </w:rPr>
        <w:t>多</w:t>
      </w:r>
      <w:r>
        <w:rPr>
          <w:rFonts w:hint="default"/>
          <w:b w:val="0"/>
          <w:bCs w:val="0"/>
          <w:color w:val="auto"/>
          <w:sz w:val="24"/>
          <w:szCs w:val="24"/>
          <w:highlight w:val="none"/>
          <w:lang w:val="en-US" w:eastAsia="zh-CN"/>
        </w:rPr>
        <w:t>货道可容纳更多试剂，减少补货次数</w:t>
      </w:r>
    </w:p>
    <w:p w14:paraId="65745ADC">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12.</w:t>
      </w:r>
      <w:r>
        <w:rPr>
          <w:rFonts w:hint="default"/>
          <w:b w:val="0"/>
          <w:bCs w:val="0"/>
          <w:color w:val="auto"/>
          <w:sz w:val="24"/>
          <w:szCs w:val="24"/>
          <w:highlight w:val="none"/>
          <w:lang w:val="en-US" w:eastAsia="zh-CN"/>
        </w:rPr>
        <w:t>货道宽度可适用于大部分试剂尺寸</w:t>
      </w:r>
    </w:p>
    <w:p w14:paraId="5E4BA2A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asciiTheme="minorHAnsi" w:hAnsiTheme="minorHAnsi" w:eastAsiaTheme="minorEastAsia" w:cstheme="minorBidi"/>
          <w:b w:val="0"/>
          <w:bCs w:val="0"/>
          <w:color w:val="auto"/>
          <w:kern w:val="2"/>
          <w:sz w:val="24"/>
          <w:szCs w:val="24"/>
          <w:highlight w:val="none"/>
          <w:lang w:val="en-US" w:eastAsia="zh-CN" w:bidi="ar-SA"/>
        </w:rPr>
        <w:t>13.</w:t>
      </w:r>
      <w:r>
        <w:rPr>
          <w:rFonts w:hint="default"/>
          <w:b w:val="0"/>
          <w:bCs w:val="0"/>
          <w:color w:val="auto"/>
          <w:sz w:val="24"/>
          <w:szCs w:val="24"/>
          <w:highlight w:val="none"/>
          <w:lang w:val="en-US" w:eastAsia="zh-CN"/>
        </w:rPr>
        <w:t>大容量存储柜</w:t>
      </w:r>
    </w:p>
    <w:p w14:paraId="31313871">
      <w:pPr>
        <w:widowControl w:val="0"/>
        <w:numPr>
          <w:ilvl w:val="0"/>
          <w:numId w:val="5"/>
        </w:numPr>
        <w:spacing w:line="360" w:lineRule="auto"/>
        <w:jc w:val="lef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核辐射检测仪</w:t>
      </w:r>
    </w:p>
    <w:p w14:paraId="35342A01">
      <w:pPr>
        <w:widowControl w:val="0"/>
        <w:numPr>
          <w:ilvl w:val="0"/>
          <w:numId w:val="0"/>
        </w:numPr>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b w:val="0"/>
          <w:bCs w:val="0"/>
          <w:color w:val="auto"/>
          <w:sz w:val="24"/>
          <w:szCs w:val="24"/>
          <w:highlight w:val="none"/>
          <w:lang w:val="en-US" w:eastAsia="zh-CN"/>
        </w:rPr>
        <w:t>技术参数：</w:t>
      </w:r>
    </w:p>
    <w:p w14:paraId="56C8D13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仪器有连续辐射剂量率、短期辐射剂量率、脉冲辐射、搜索放射源四种测量模式</w:t>
      </w:r>
    </w:p>
    <w:p w14:paraId="624E19E2">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1.检测体</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塑料闪烁体(重金属混合物):不低于30X15mm</w:t>
      </w:r>
    </w:p>
    <w:p w14:paraId="75C2F65D">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2.环境剂量当量:10 nSv-9.99 Sv</w:t>
      </w:r>
    </w:p>
    <w:p w14:paraId="53611D34">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3.连续辐射的环境剂量率当量:50nSv/h- 10 Sv/h</w:t>
      </w:r>
    </w:p>
    <w:p w14:paraId="2074E00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短时辐射的环境剂量率当量:5 μSv/h-10 Sv/h</w:t>
      </w:r>
    </w:p>
    <w:p w14:paraId="6C2A72F1">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脉冲辐射的环境剂量率当量:0.1μv/h- 10 Sv/h</w:t>
      </w:r>
    </w:p>
    <w:p w14:paraId="286AAB94">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4.最小脉冲时间:10ns</w:t>
      </w:r>
    </w:p>
    <w:p w14:paraId="65400BB5">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5.能量范围:0.015-10MeV</w:t>
      </w:r>
    </w:p>
    <w:p w14:paraId="46913189">
      <w:pPr>
        <w:numPr>
          <w:ilvl w:val="0"/>
          <w:numId w:val="7"/>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137Cs能量响应灵敏度</w:t>
      </w:r>
    </w:p>
    <w:p w14:paraId="4E6F49F8">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f</w:t>
      </w:r>
      <w:r>
        <w:rPr>
          <w:rFonts w:hint="default"/>
          <w:b w:val="0"/>
          <w:bCs w:val="0"/>
          <w:color w:val="auto"/>
          <w:sz w:val="24"/>
          <w:szCs w:val="24"/>
          <w:highlight w:val="none"/>
          <w:lang w:val="en-US" w:eastAsia="zh-CN"/>
        </w:rPr>
        <w:t>rom 15</w:t>
      </w:r>
      <w:r>
        <w:rPr>
          <w:rFonts w:hint="eastAsia"/>
          <w:b w:val="0"/>
          <w:bCs w:val="0"/>
          <w:color w:val="auto"/>
          <w:sz w:val="24"/>
          <w:szCs w:val="24"/>
          <w:highlight w:val="none"/>
          <w:lang w:val="en-US" w:eastAsia="zh-CN"/>
        </w:rPr>
        <w:t xml:space="preserve"> </w:t>
      </w:r>
      <w:r>
        <w:rPr>
          <w:rFonts w:hint="default"/>
          <w:b w:val="0"/>
          <w:bCs w:val="0"/>
          <w:color w:val="auto"/>
          <w:sz w:val="24"/>
          <w:szCs w:val="24"/>
          <w:highlight w:val="none"/>
          <w:lang w:val="en-US" w:eastAsia="zh-CN"/>
        </w:rPr>
        <w:t>keV to 60 keV ±35%</w:t>
      </w:r>
    </w:p>
    <w:p w14:paraId="0913937E">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from 60 keV to 3 MeV ±25%</w:t>
      </w:r>
    </w:p>
    <w:p w14:paraId="7989EA6F">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from 3 MeV to 10 MeV±50%</w:t>
      </w:r>
    </w:p>
    <w:p w14:paraId="329CC07C">
      <w:pPr>
        <w:numPr>
          <w:ilvl w:val="0"/>
          <w:numId w:val="7"/>
        </w:numPr>
        <w:spacing w:line="360" w:lineRule="auto"/>
        <w:ind w:left="0" w:leftChars="0"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137Cs灵敏度70 cps/μSvh-1</w:t>
      </w:r>
    </w:p>
    <w:p w14:paraId="2CF0AEE5">
      <w:pPr>
        <w:numPr>
          <w:ilvl w:val="0"/>
          <w:numId w:val="0"/>
        </w:numPr>
        <w:spacing w:line="360" w:lineRule="auto"/>
        <w:ind w:firstLine="480" w:firstLineChars="200"/>
        <w:jc w:val="left"/>
        <w:rPr>
          <w:rFonts w:hint="default"/>
          <w:b w:val="0"/>
          <w:bCs w:val="0"/>
          <w:color w:val="auto"/>
          <w:sz w:val="24"/>
          <w:szCs w:val="24"/>
          <w:highlight w:val="none"/>
          <w:vertAlign w:val="superscript"/>
          <w:lang w:val="en-US" w:eastAsia="zh-CN"/>
        </w:rPr>
      </w:pPr>
      <w:r>
        <w:rPr>
          <w:rFonts w:hint="default"/>
          <w:b w:val="0"/>
          <w:bCs w:val="0"/>
          <w:color w:val="auto"/>
          <w:sz w:val="24"/>
          <w:szCs w:val="24"/>
          <w:highlight w:val="none"/>
          <w:lang w:val="en-US" w:eastAsia="zh-CN"/>
        </w:rPr>
        <w:t>8.伴随性β辐射灵敏度:3.10</w:t>
      </w:r>
      <w:r>
        <w:rPr>
          <w:rFonts w:hint="eastAsia"/>
          <w:b w:val="0"/>
          <w:bCs w:val="0"/>
          <w:color w:val="auto"/>
          <w:sz w:val="24"/>
          <w:szCs w:val="24"/>
          <w:highlight w:val="none"/>
          <w:vertAlign w:val="superscript"/>
          <w:lang w:val="en-US" w:eastAsia="zh-CN"/>
        </w:rPr>
        <w:t>-7</w:t>
      </w:r>
      <w:r>
        <w:rPr>
          <w:rFonts w:hint="default"/>
          <w:b w:val="0"/>
          <w:bCs w:val="0"/>
          <w:color w:val="auto"/>
          <w:sz w:val="24"/>
          <w:szCs w:val="24"/>
          <w:highlight w:val="none"/>
          <w:lang w:val="en-US" w:eastAsia="zh-CN"/>
        </w:rPr>
        <w:t>μSv/h</w:t>
      </w:r>
      <w:r>
        <w:rPr>
          <w:rFonts w:hint="eastAsia"/>
          <w:b w:val="0"/>
          <w:bCs w:val="0"/>
          <w:color w:val="auto"/>
          <w:sz w:val="24"/>
          <w:szCs w:val="24"/>
          <w:highlight w:val="none"/>
          <w:vertAlign w:val="superscript"/>
          <w:lang w:val="en-US" w:eastAsia="zh-CN"/>
        </w:rPr>
        <w:t>-1</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Bq</w:t>
      </w:r>
      <w:r>
        <w:rPr>
          <w:rFonts w:hint="eastAsia"/>
          <w:b w:val="0"/>
          <w:bCs w:val="0"/>
          <w:color w:val="auto"/>
          <w:sz w:val="24"/>
          <w:szCs w:val="24"/>
          <w:highlight w:val="none"/>
          <w:vertAlign w:val="superscript"/>
          <w:lang w:val="en-US" w:eastAsia="zh-CN"/>
        </w:rPr>
        <w:t>-1</w:t>
      </w:r>
    </w:p>
    <w:p w14:paraId="1ACBE06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9.操作模式设置时间:≤1min</w:t>
      </w:r>
    </w:p>
    <w:p w14:paraId="108AD817">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10.连续操作时间:</w:t>
      </w:r>
    </w:p>
    <w:p w14:paraId="47DACF60">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交流电或直流电不少于 24h</w:t>
      </w:r>
    </w:p>
    <w:p w14:paraId="4E5F283C">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内置蓄电池不少于24h</w:t>
      </w:r>
    </w:p>
    <w:p w14:paraId="7975E30E">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 xml:space="preserve">11.操作温度范围:不低于-30 </w:t>
      </w:r>
      <w:r>
        <w:rPr>
          <w:rFonts w:hint="eastAsia"/>
          <w:b w:val="0"/>
          <w:bCs w:val="0"/>
          <w:color w:val="auto"/>
          <w:sz w:val="24"/>
          <w:szCs w:val="24"/>
          <w:highlight w:val="none"/>
          <w:lang w:val="en-US" w:eastAsia="zh-CN"/>
        </w:rPr>
        <w:t>-</w:t>
      </w:r>
      <w:r>
        <w:rPr>
          <w:rFonts w:hint="default"/>
          <w:b w:val="0"/>
          <w:bCs w:val="0"/>
          <w:color w:val="auto"/>
          <w:sz w:val="24"/>
          <w:szCs w:val="24"/>
          <w:highlight w:val="none"/>
          <w:lang w:val="en-US" w:eastAsia="zh-CN"/>
        </w:rPr>
        <w:t xml:space="preserve"> +50°C</w:t>
      </w:r>
    </w:p>
    <w:p w14:paraId="4C8C3099">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12.操作温度范围内补偿误差:小于±10%</w:t>
      </w:r>
    </w:p>
    <w:p w14:paraId="7E61DF56">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13.相对湿度(+ 35°C):≤95%</w:t>
      </w:r>
    </w:p>
    <w:p w14:paraId="54DB3435">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14.带伸缩操作杆，可远距离操作</w:t>
      </w:r>
    </w:p>
    <w:p w14:paraId="3FA2A1DA">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15.测量过程中可以使用重滤过保护帽屏蔽可能存在的伴生β射线源</w:t>
      </w:r>
    </w:p>
    <w:p w14:paraId="5681E43F">
      <w:pPr>
        <w:numPr>
          <w:ilvl w:val="0"/>
          <w:numId w:val="0"/>
        </w:numPr>
        <w:spacing w:line="360" w:lineRule="auto"/>
        <w:ind w:firstLine="480" w:firstLineChars="200"/>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16.防护等级不低于IP54</w:t>
      </w:r>
    </w:p>
    <w:p w14:paraId="0600D166">
      <w:pPr>
        <w:numPr>
          <w:ilvl w:val="0"/>
          <w:numId w:val="0"/>
        </w:numPr>
        <w:spacing w:line="360" w:lineRule="auto"/>
        <w:ind w:firstLine="560" w:firstLineChars="200"/>
        <w:jc w:val="left"/>
        <w:rPr>
          <w:rFonts w:hint="default"/>
          <w:b w:val="0"/>
          <w:bCs w:val="0"/>
          <w:color w:val="auto"/>
          <w:sz w:val="28"/>
          <w:szCs w:val="28"/>
          <w:highlight w:val="none"/>
          <w:lang w:val="en-US" w:eastAsia="zh-CN"/>
        </w:rPr>
      </w:pPr>
    </w:p>
    <w:p w14:paraId="624BEB48">
      <w:pPr>
        <w:rPr>
          <w:rFonts w:hint="eastAsia" w:ascii="宋体" w:hAnsi="宋体" w:eastAsia="宋体" w:cs="宋体"/>
          <w:b/>
          <w:color w:val="auto"/>
          <w:sz w:val="28"/>
          <w:szCs w:val="28"/>
          <w:highlight w:val="none"/>
        </w:rPr>
      </w:pPr>
    </w:p>
    <w:p w14:paraId="50A84F05">
      <w:pPr>
        <w:snapToGrid w:val="0"/>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63EC5678">
      <w:pPr>
        <w:snapToGrid w:val="0"/>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1、所有仪器必须质量可靠，严格杜绝组装拼凑等行为。</w:t>
      </w:r>
    </w:p>
    <w:p w14:paraId="7CBE29C2">
      <w:pP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2、所有仪器设备必须是原装正品。</w:t>
      </w:r>
    </w:p>
    <w:p w14:paraId="0652DA47">
      <w:pPr>
        <w:pStyle w:val="37"/>
        <w:tabs>
          <w:tab w:val="left" w:pos="945"/>
          <w:tab w:val="left" w:pos="1155"/>
        </w:tabs>
        <w:spacing w:after="0" w:line="360" w:lineRule="auto"/>
        <w:ind w:left="0" w:leftChars="0" w:firstLine="48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3、所有仪器质保期为</w:t>
      </w:r>
      <w:r>
        <w:rPr>
          <w:rFonts w:hint="eastAsia" w:ascii="宋体" w:hAnsi="宋体" w:eastAsia="宋体" w:cs="宋体"/>
          <w:b/>
          <w:bCs/>
          <w:color w:val="auto"/>
          <w:sz w:val="24"/>
          <w:highlight w:val="none"/>
          <w:lang w:val="en-US" w:eastAsia="zh-CN"/>
        </w:rPr>
        <w:t>最终验收合格双方签字之日起≥3 年，在设备质保期间严格按照国家三包标准执行。</w:t>
      </w:r>
    </w:p>
    <w:p w14:paraId="24330572">
      <w:pPr>
        <w:pStyle w:val="12"/>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4、上述表格中特别标注“ ※ ”为本次采购的核心产品。</w:t>
      </w:r>
    </w:p>
    <w:p w14:paraId="6A9248D4">
      <w:pPr>
        <w:pStyle w:val="12"/>
        <w:spacing w:line="500" w:lineRule="exact"/>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5、上述表格中未特别标注为“进口产品 ”字样的，均必须采购国产产品。所采购的货物、服务必须符合国家的强制性标准。</w:t>
      </w:r>
    </w:p>
    <w:p w14:paraId="244D726C">
      <w:pPr>
        <w:pStyle w:val="37"/>
        <w:tabs>
          <w:tab w:val="left" w:pos="945"/>
          <w:tab w:val="left" w:pos="1155"/>
        </w:tabs>
        <w:spacing w:after="0"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kern w:val="2"/>
          <w:sz w:val="24"/>
          <w:szCs w:val="24"/>
          <w:highlight w:val="none"/>
          <w:lang w:val="zh-CN" w:eastAsia="zh-TW" w:bidi="ar-SA"/>
        </w:rPr>
        <w:t>验收</w:t>
      </w:r>
    </w:p>
    <w:p w14:paraId="11CD9E1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招标人成立验收小组，依据招标文件、投标文件、采购合同、设备装箱单及其他承诺等材料，对所有的货物进行验收。如发现所交付的货物有短装、次品、损坏或其它不符合合同规定之情形者，中标人需进行补货、更换货物，由此产生的有关费用由中标人承担。</w:t>
      </w:r>
    </w:p>
    <w:p w14:paraId="24692ED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TW" w:bidi="ar-SA"/>
        </w:rPr>
        <w:t>货物到达并调试完毕日期视为实际交货日期，如有其它情况，须与招标人协商确定；</w:t>
      </w:r>
    </w:p>
    <w:p w14:paraId="5BC2DC3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TW" w:bidi="ar-SA"/>
        </w:rPr>
        <w:t>中标人提供的所有货物应具有全新的、完好的标准包装。如遇交付前已被拆封接收方有权拒绝接收或要求更换，因此造成的一切损失由中标人承担；</w:t>
      </w:r>
    </w:p>
    <w:p w14:paraId="77B41F5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zh-CN" w:eastAsia="zh-TW"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TW" w:bidi="ar-SA"/>
        </w:rPr>
        <w:t>最终用户负责对货物的数量和质量进行验收，并出具有验收人签字和单位负责人签字的验收单；</w:t>
      </w:r>
    </w:p>
    <w:p w14:paraId="300EF482">
      <w:pPr>
        <w:keepNext w:val="0"/>
        <w:keepLines w:val="0"/>
        <w:pageBreakBefore w:val="0"/>
        <w:widowControl w:val="0"/>
        <w:kinsoku/>
        <w:wordWrap/>
        <w:overflowPunct/>
        <w:topLinePunct w:val="0"/>
        <w:autoSpaceDE/>
        <w:autoSpaceDN/>
        <w:bidi w:val="0"/>
        <w:snapToGrid w:val="0"/>
        <w:spacing w:line="360" w:lineRule="auto"/>
        <w:ind w:left="479" w:leftChars="228"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TW" w:bidi="ar-SA"/>
        </w:rPr>
        <w:t>如验收达不到规定要求，给招标人造成损失的，中标人承担一切责任。</w:t>
      </w:r>
    </w:p>
    <w:p w14:paraId="1D0F1C79">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五、注意事项</w:t>
      </w:r>
    </w:p>
    <w:p w14:paraId="036BFBB8">
      <w:pPr>
        <w:pStyle w:val="37"/>
        <w:tabs>
          <w:tab w:val="left" w:pos="945"/>
          <w:tab w:val="left" w:pos="1155"/>
        </w:tabs>
        <w:spacing w:after="0" w:line="360" w:lineRule="auto"/>
        <w:ind w:left="0" w:leftChars="0" w:firstLine="48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D383F46">
      <w:pPr>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六、其它未尽事宜</w:t>
      </w:r>
    </w:p>
    <w:p w14:paraId="37A92E0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以签订正式合同为准</w:t>
      </w:r>
    </w:p>
    <w:p w14:paraId="5464B131">
      <w:pPr>
        <w:numPr>
          <w:ilvl w:val="0"/>
          <w:numId w:val="0"/>
        </w:numPr>
        <w:spacing w:line="360" w:lineRule="auto"/>
        <w:ind w:firstLine="480" w:firstLineChars="200"/>
        <w:rPr>
          <w:rFonts w:hint="eastAsia" w:ascii="宋体" w:hAnsi="宋体" w:eastAsia="宋体" w:cs="宋体"/>
          <w:color w:val="auto"/>
          <w:sz w:val="24"/>
          <w:highlight w:val="none"/>
        </w:rPr>
        <w:sectPr>
          <w:pgSz w:w="11906" w:h="16838"/>
          <w:pgMar w:top="1800" w:right="1440" w:bottom="1800" w:left="1440" w:header="851" w:footer="992" w:gutter="0"/>
          <w:cols w:space="720" w:num="1"/>
          <w:docGrid w:type="lines" w:linePitch="312" w:charSpace="0"/>
        </w:sectPr>
      </w:pPr>
    </w:p>
    <w:p w14:paraId="35EE8948">
      <w:pPr>
        <w:pStyle w:val="37"/>
        <w:rPr>
          <w:rFonts w:hint="eastAsia" w:ascii="宋体" w:hAnsi="宋体" w:eastAsia="宋体" w:cs="宋体"/>
          <w:color w:val="auto"/>
          <w:highlight w:val="none"/>
        </w:rPr>
      </w:pPr>
    </w:p>
    <w:bookmarkEnd w:id="17"/>
    <w:p w14:paraId="1B1558E3">
      <w:pPr>
        <w:pStyle w:val="13"/>
        <w:jc w:val="center"/>
        <w:rPr>
          <w:rFonts w:hint="eastAsia" w:ascii="宋体" w:hAnsi="宋体" w:eastAsia="宋体" w:cs="宋体"/>
          <w:b/>
          <w:color w:val="auto"/>
          <w:spacing w:val="20"/>
          <w:sz w:val="32"/>
          <w:szCs w:val="32"/>
          <w:highlight w:val="none"/>
        </w:rPr>
      </w:pPr>
      <w:bookmarkStart w:id="21" w:name="_Toc27271"/>
      <w:r>
        <w:rPr>
          <w:rFonts w:hint="eastAsia" w:ascii="宋体" w:hAnsi="宋体" w:eastAsia="宋体" w:cs="宋体"/>
          <w:b/>
          <w:color w:val="auto"/>
          <w:sz w:val="36"/>
          <w:szCs w:val="36"/>
          <w:highlight w:val="none"/>
        </w:rPr>
        <w:t xml:space="preserve">第五部分  </w:t>
      </w:r>
      <w:bookmarkEnd w:id="18"/>
      <w:bookmarkEnd w:id="21"/>
      <w:r>
        <w:rPr>
          <w:rFonts w:hint="eastAsia" w:ascii="宋体" w:hAnsi="宋体" w:eastAsia="宋体" w:cs="宋体"/>
          <w:b/>
          <w:color w:val="auto"/>
          <w:spacing w:val="20"/>
          <w:sz w:val="32"/>
          <w:szCs w:val="32"/>
          <w:highlight w:val="none"/>
        </w:rPr>
        <w:t>合同原则（仅供参考）</w:t>
      </w:r>
    </w:p>
    <w:p w14:paraId="1CFFCC1E">
      <w:pPr>
        <w:pStyle w:val="17"/>
        <w:spacing w:after="0"/>
        <w:ind w:firstLine="884"/>
        <w:jc w:val="center"/>
        <w:rPr>
          <w:rFonts w:hint="eastAsia" w:ascii="宋体" w:hAnsi="宋体" w:eastAsia="宋体" w:cs="宋体"/>
          <w:b/>
          <w:bCs/>
          <w:color w:val="auto"/>
          <w:spacing w:val="-20"/>
          <w:kern w:val="44"/>
          <w:sz w:val="48"/>
          <w:szCs w:val="48"/>
          <w:highlight w:val="none"/>
        </w:rPr>
      </w:pPr>
    </w:p>
    <w:p w14:paraId="1C465199">
      <w:pPr>
        <w:pStyle w:val="17"/>
        <w:spacing w:after="0"/>
        <w:ind w:firstLine="884"/>
        <w:jc w:val="center"/>
        <w:rPr>
          <w:rFonts w:hint="eastAsia" w:ascii="宋体" w:hAnsi="宋体" w:eastAsia="宋体" w:cs="宋体"/>
          <w:b/>
          <w:bCs/>
          <w:color w:val="auto"/>
          <w:spacing w:val="-20"/>
          <w:kern w:val="44"/>
          <w:sz w:val="48"/>
          <w:szCs w:val="48"/>
          <w:highlight w:val="none"/>
        </w:rPr>
      </w:pPr>
    </w:p>
    <w:p w14:paraId="50B524FC">
      <w:pPr>
        <w:pStyle w:val="17"/>
        <w:spacing w:after="0"/>
        <w:ind w:firstLine="884"/>
        <w:jc w:val="center"/>
        <w:rPr>
          <w:rFonts w:hint="eastAsia" w:ascii="宋体" w:hAnsi="宋体" w:eastAsia="宋体" w:cs="宋体"/>
          <w:b/>
          <w:bCs/>
          <w:color w:val="auto"/>
          <w:spacing w:val="-20"/>
          <w:kern w:val="44"/>
          <w:sz w:val="48"/>
          <w:szCs w:val="48"/>
          <w:highlight w:val="none"/>
        </w:rPr>
      </w:pPr>
    </w:p>
    <w:p w14:paraId="5058BF8C">
      <w:pPr>
        <w:pStyle w:val="17"/>
        <w:spacing w:after="0"/>
        <w:ind w:firstLine="884"/>
        <w:jc w:val="center"/>
        <w:rPr>
          <w:rFonts w:hint="eastAsia" w:ascii="宋体" w:hAnsi="宋体" w:eastAsia="宋体" w:cs="宋体"/>
          <w:b/>
          <w:bCs/>
          <w:color w:val="auto"/>
          <w:spacing w:val="-20"/>
          <w:kern w:val="44"/>
          <w:sz w:val="48"/>
          <w:szCs w:val="48"/>
          <w:highlight w:val="none"/>
        </w:rPr>
      </w:pPr>
    </w:p>
    <w:p w14:paraId="77B93C31">
      <w:pPr>
        <w:pStyle w:val="17"/>
        <w:spacing w:after="0"/>
        <w:ind w:firstLine="884"/>
        <w:jc w:val="center"/>
        <w:rPr>
          <w:rFonts w:hint="eastAsia" w:ascii="宋体" w:hAnsi="宋体" w:eastAsia="宋体" w:cs="宋体"/>
          <w:b/>
          <w:bCs/>
          <w:color w:val="auto"/>
          <w:spacing w:val="-20"/>
          <w:kern w:val="44"/>
          <w:sz w:val="48"/>
          <w:szCs w:val="48"/>
          <w:highlight w:val="none"/>
        </w:rPr>
      </w:pPr>
    </w:p>
    <w:p w14:paraId="184717F1">
      <w:pPr>
        <w:pStyle w:val="17"/>
        <w:spacing w:after="0"/>
        <w:ind w:firstLine="803"/>
        <w:jc w:val="center"/>
        <w:rPr>
          <w:rFonts w:hint="eastAsia" w:ascii="宋体" w:hAnsi="宋体" w:eastAsia="宋体" w:cs="宋体"/>
          <w:b/>
          <w:bCs/>
          <w:color w:val="auto"/>
          <w:kern w:val="44"/>
          <w:sz w:val="40"/>
          <w:szCs w:val="40"/>
          <w:highlight w:val="none"/>
        </w:rPr>
      </w:pPr>
      <w:r>
        <w:rPr>
          <w:rFonts w:hint="eastAsia" w:ascii="宋体" w:hAnsi="宋体" w:eastAsia="宋体" w:cs="宋体"/>
          <w:b/>
          <w:bCs/>
          <w:color w:val="auto"/>
          <w:kern w:val="44"/>
          <w:sz w:val="40"/>
          <w:szCs w:val="40"/>
          <w:highlight w:val="none"/>
        </w:rPr>
        <w:t>政府采购货物买卖合同</w:t>
      </w:r>
    </w:p>
    <w:p w14:paraId="7A6E4101">
      <w:pPr>
        <w:pStyle w:val="17"/>
        <w:spacing w:after="0"/>
        <w:ind w:firstLine="803"/>
        <w:jc w:val="center"/>
        <w:rPr>
          <w:rFonts w:hint="eastAsia" w:ascii="宋体" w:hAnsi="宋体" w:eastAsia="宋体" w:cs="宋体"/>
          <w:b/>
          <w:bCs/>
          <w:color w:val="auto"/>
          <w:spacing w:val="-20"/>
          <w:kern w:val="44"/>
          <w:sz w:val="40"/>
          <w:szCs w:val="40"/>
          <w:highlight w:val="none"/>
        </w:rPr>
      </w:pPr>
      <w:r>
        <w:rPr>
          <w:rFonts w:hint="eastAsia" w:ascii="宋体" w:hAnsi="宋体" w:eastAsia="宋体" w:cs="宋体"/>
          <w:b/>
          <w:bCs/>
          <w:color w:val="auto"/>
          <w:kern w:val="44"/>
          <w:sz w:val="40"/>
          <w:szCs w:val="40"/>
          <w:highlight w:val="none"/>
        </w:rPr>
        <w:t>（试行）</w:t>
      </w:r>
    </w:p>
    <w:p w14:paraId="72C0B600">
      <w:pPr>
        <w:rPr>
          <w:rFonts w:hint="eastAsia" w:ascii="宋体" w:hAnsi="宋体" w:eastAsia="宋体" w:cs="宋体"/>
          <w:b/>
          <w:bCs/>
          <w:color w:val="auto"/>
          <w:spacing w:val="-20"/>
          <w:kern w:val="44"/>
          <w:sz w:val="32"/>
          <w:szCs w:val="32"/>
          <w:highlight w:val="none"/>
        </w:rPr>
      </w:pPr>
    </w:p>
    <w:p w14:paraId="66131AE7">
      <w:pPr>
        <w:rPr>
          <w:rFonts w:hint="eastAsia" w:ascii="宋体" w:hAnsi="宋体" w:eastAsia="宋体" w:cs="宋体"/>
          <w:b/>
          <w:bCs/>
          <w:color w:val="auto"/>
          <w:spacing w:val="-20"/>
          <w:kern w:val="44"/>
          <w:sz w:val="32"/>
          <w:szCs w:val="32"/>
          <w:highlight w:val="none"/>
        </w:rPr>
      </w:pPr>
    </w:p>
    <w:p w14:paraId="05FC0855">
      <w:pPr>
        <w:rPr>
          <w:rFonts w:hint="eastAsia" w:ascii="宋体" w:hAnsi="宋体" w:eastAsia="宋体" w:cs="宋体"/>
          <w:b/>
          <w:bCs/>
          <w:color w:val="auto"/>
          <w:spacing w:val="-20"/>
          <w:kern w:val="44"/>
          <w:sz w:val="32"/>
          <w:szCs w:val="32"/>
          <w:highlight w:val="none"/>
        </w:rPr>
      </w:pPr>
    </w:p>
    <w:p w14:paraId="30D85462">
      <w:pPr>
        <w:spacing w:line="800" w:lineRule="exact"/>
        <w:ind w:left="420" w:leftChars="200"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项目名称：</w:t>
      </w:r>
      <w:r>
        <w:rPr>
          <w:rFonts w:hint="eastAsia" w:ascii="宋体" w:hAnsi="宋体" w:eastAsia="宋体" w:cs="宋体"/>
          <w:color w:val="auto"/>
          <w:sz w:val="28"/>
          <w:szCs w:val="28"/>
          <w:highlight w:val="none"/>
          <w:u w:val="single"/>
        </w:rPr>
        <w:t xml:space="preserve">                             </w:t>
      </w:r>
    </w:p>
    <w:p w14:paraId="762A1395">
      <w:pPr>
        <w:spacing w:line="800" w:lineRule="exact"/>
        <w:ind w:left="420" w:leftChars="200"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合同编号：</w:t>
      </w:r>
      <w:r>
        <w:rPr>
          <w:rFonts w:hint="eastAsia" w:ascii="宋体" w:hAnsi="宋体" w:eastAsia="宋体" w:cs="宋体"/>
          <w:color w:val="auto"/>
          <w:sz w:val="28"/>
          <w:szCs w:val="28"/>
          <w:highlight w:val="none"/>
          <w:u w:val="single"/>
        </w:rPr>
        <w:t xml:space="preserve">                             </w:t>
      </w:r>
    </w:p>
    <w:p w14:paraId="473E2F1E">
      <w:pPr>
        <w:spacing w:line="800" w:lineRule="exact"/>
        <w:ind w:left="420" w:leftChars="200"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r>
        <w:rPr>
          <w:rFonts w:hint="eastAsia" w:ascii="宋体" w:hAnsi="宋体" w:eastAsia="宋体" w:cs="宋体"/>
          <w:color w:val="auto"/>
          <w:sz w:val="28"/>
          <w:szCs w:val="28"/>
          <w:highlight w:val="none"/>
          <w:u w:val="single"/>
        </w:rPr>
        <w:t xml:space="preserve">                             </w:t>
      </w:r>
    </w:p>
    <w:p w14:paraId="37A272A2">
      <w:pPr>
        <w:spacing w:line="800" w:lineRule="exact"/>
        <w:ind w:left="420" w:leftChars="200"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    方：</w:t>
      </w:r>
      <w:r>
        <w:rPr>
          <w:rFonts w:hint="eastAsia" w:ascii="宋体" w:hAnsi="宋体" w:eastAsia="宋体" w:cs="宋体"/>
          <w:color w:val="auto"/>
          <w:sz w:val="28"/>
          <w:szCs w:val="28"/>
          <w:highlight w:val="none"/>
          <w:u w:val="single"/>
        </w:rPr>
        <w:t xml:space="preserve">                             </w:t>
      </w:r>
    </w:p>
    <w:p w14:paraId="6E14776E">
      <w:pPr>
        <w:spacing w:line="800" w:lineRule="exact"/>
        <w:ind w:left="420" w:leftChars="200" w:firstLine="1120" w:firstLineChars="400"/>
        <w:rPr>
          <w:rFonts w:hint="eastAsia" w:ascii="宋体" w:hAnsi="宋体" w:eastAsia="宋体" w:cs="宋体"/>
          <w:color w:val="auto"/>
          <w:sz w:val="36"/>
          <w:szCs w:val="36"/>
          <w:highlight w:val="none"/>
        </w:rPr>
      </w:pPr>
      <w:r>
        <w:rPr>
          <w:rFonts w:hint="eastAsia" w:ascii="宋体" w:hAnsi="宋体" w:eastAsia="宋体" w:cs="宋体"/>
          <w:color w:val="auto"/>
          <w:sz w:val="28"/>
          <w:szCs w:val="28"/>
          <w:highlight w:val="none"/>
        </w:rPr>
        <w:t>签订时间：</w:t>
      </w:r>
      <w:r>
        <w:rPr>
          <w:rFonts w:hint="eastAsia" w:ascii="宋体" w:hAnsi="宋体" w:eastAsia="宋体" w:cs="宋体"/>
          <w:color w:val="auto"/>
          <w:sz w:val="28"/>
          <w:szCs w:val="28"/>
          <w:highlight w:val="none"/>
          <w:u w:val="single"/>
        </w:rPr>
        <w:t xml:space="preserve">                             </w:t>
      </w:r>
    </w:p>
    <w:p w14:paraId="2236BB36">
      <w:pPr>
        <w:rPr>
          <w:rFonts w:hint="eastAsia" w:ascii="宋体" w:hAnsi="宋体" w:eastAsia="宋体" w:cs="宋体"/>
          <w:color w:val="auto"/>
          <w:highlight w:val="none"/>
        </w:rPr>
      </w:pPr>
    </w:p>
    <w:p w14:paraId="28B8D106">
      <w:pPr>
        <w:jc w:val="center"/>
        <w:rPr>
          <w:rFonts w:hint="eastAsia" w:ascii="宋体" w:hAnsi="宋体" w:eastAsia="宋体" w:cs="宋体"/>
          <w:color w:val="auto"/>
          <w:sz w:val="40"/>
          <w:szCs w:val="40"/>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0"/>
          <w:szCs w:val="40"/>
          <w:highlight w:val="none"/>
        </w:rPr>
        <w:t>使 用 说 明</w:t>
      </w:r>
    </w:p>
    <w:p w14:paraId="553794D1">
      <w:pPr>
        <w:ind w:firstLine="560" w:firstLineChars="200"/>
        <w:rPr>
          <w:rFonts w:hint="eastAsia" w:ascii="宋体" w:hAnsi="宋体" w:eastAsia="宋体" w:cs="宋体"/>
          <w:color w:val="auto"/>
          <w:sz w:val="28"/>
          <w:szCs w:val="28"/>
          <w:highlight w:val="none"/>
        </w:rPr>
      </w:pPr>
    </w:p>
    <w:p w14:paraId="5054F44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1.本合同标准文本适用于购买现成货物的采购项目，不包括需要投标人定制开发、创新研发的货物采购项目。</w:t>
      </w:r>
    </w:p>
    <w:p w14:paraId="662B7C1D">
      <w:pP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 xml:space="preserve">   </w:t>
      </w:r>
      <w:r>
        <w:rPr>
          <w:rFonts w:hint="eastAsia" w:ascii="宋体" w:hAnsi="宋体" w:eastAsia="宋体" w:cs="宋体"/>
          <w:color w:val="auto"/>
          <w:sz w:val="28"/>
          <w:szCs w:val="28"/>
          <w:highlight w:val="none"/>
        </w:rPr>
        <w:t>2.本合同标准文本为政府采购货物买卖合同编制提供参考，可以结合采购项目具体情况，对文本作必要的调整修订后使用。</w:t>
      </w:r>
    </w:p>
    <w:p w14:paraId="2D45533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3.本合同标准文本各条款中，如涉及填写多家投标人、制造商，多种采购标的、分包主要内容等信息的，可根据采购项目具体情况添加信息项。</w:t>
      </w:r>
    </w:p>
    <w:p w14:paraId="5795D698">
      <w:pPr>
        <w:ind w:firstLine="880" w:firstLineChars="200"/>
        <w:rPr>
          <w:rFonts w:hint="eastAsia" w:ascii="宋体" w:hAnsi="宋体" w:eastAsia="宋体" w:cs="宋体"/>
          <w:color w:val="auto"/>
          <w:sz w:val="44"/>
          <w:szCs w:val="44"/>
          <w:highlight w:val="none"/>
        </w:rPr>
        <w:sectPr>
          <w:headerReference r:id="rId5" w:type="default"/>
          <w:footerReference r:id="rId6" w:type="default"/>
          <w:pgSz w:w="11906" w:h="16838"/>
          <w:pgMar w:top="1440" w:right="1746" w:bottom="1440" w:left="1746" w:header="851" w:footer="992" w:gutter="0"/>
          <w:cols w:space="720" w:num="1"/>
          <w:docGrid w:type="lines" w:linePitch="312" w:charSpace="0"/>
        </w:sectPr>
      </w:pPr>
    </w:p>
    <w:p w14:paraId="2A5663DB">
      <w:pPr>
        <w:pStyle w:val="3"/>
        <w:numPr>
          <w:ilvl w:val="1"/>
          <w:numId w:val="0"/>
        </w:numPr>
        <w:adjustRightInd w:val="0"/>
        <w:snapToGrid w:val="0"/>
        <w:spacing w:line="400" w:lineRule="exact"/>
        <w:ind w:left="810"/>
        <w:jc w:val="center"/>
        <w:rPr>
          <w:rFonts w:hint="eastAsia" w:ascii="宋体" w:hAnsi="宋体" w:eastAsia="宋体" w:cs="宋体"/>
          <w:color w:val="auto"/>
          <w:sz w:val="28"/>
          <w:szCs w:val="28"/>
          <w:highlight w:val="none"/>
        </w:rPr>
      </w:pPr>
      <w:bookmarkStart w:id="22" w:name="_Toc22209"/>
      <w:r>
        <w:rPr>
          <w:rFonts w:hint="eastAsia" w:ascii="宋体" w:hAnsi="宋体" w:eastAsia="宋体" w:cs="宋体"/>
          <w:color w:val="auto"/>
          <w:sz w:val="28"/>
          <w:szCs w:val="28"/>
          <w:highlight w:val="none"/>
        </w:rPr>
        <w:t>第一节  政府采购合同协议书</w:t>
      </w:r>
      <w:bookmarkEnd w:id="22"/>
    </w:p>
    <w:p w14:paraId="4F418BD8">
      <w:pPr>
        <w:pStyle w:val="3"/>
        <w:numPr>
          <w:ilvl w:val="1"/>
          <w:numId w:val="0"/>
        </w:numPr>
        <w:adjustRightInd w:val="0"/>
        <w:snapToGrid w:val="0"/>
        <w:spacing w:before="0" w:after="0" w:line="480" w:lineRule="exact"/>
        <w:rPr>
          <w:rFonts w:hint="eastAsia" w:ascii="宋体" w:hAnsi="宋体" w:eastAsia="宋体" w:cs="宋体"/>
          <w:b w:val="0"/>
          <w:bCs w:val="0"/>
          <w:color w:val="auto"/>
          <w:sz w:val="28"/>
          <w:szCs w:val="28"/>
          <w:highlight w:val="none"/>
        </w:rPr>
      </w:pPr>
    </w:p>
    <w:p w14:paraId="209EBBA8">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甲方（全称）：</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（采购人、受采购人委托签订合同的单位或采购</w:t>
      </w:r>
      <w:r>
        <w:rPr>
          <w:rFonts w:hint="eastAsia" w:ascii="宋体" w:hAnsi="宋体" w:eastAsia="宋体" w:cs="宋体"/>
          <w:color w:val="auto"/>
          <w:sz w:val="23"/>
          <w:szCs w:val="23"/>
          <w:highlight w:val="none"/>
        </w:rPr>
        <w:tab/>
      </w:r>
      <w:r>
        <w:rPr>
          <w:rFonts w:hint="eastAsia" w:ascii="宋体" w:hAnsi="宋体" w:eastAsia="宋体" w:cs="宋体"/>
          <w:color w:val="auto"/>
          <w:sz w:val="23"/>
          <w:szCs w:val="23"/>
          <w:highlight w:val="none"/>
        </w:rPr>
        <w:t xml:space="preserve">                                文件约定的合同甲方）</w:t>
      </w:r>
    </w:p>
    <w:p w14:paraId="0491DBE0">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乙方1（全称）：</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（投标人）</w:t>
      </w:r>
    </w:p>
    <w:p w14:paraId="6AACCA8F">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乙方2（全称）：</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（联合体成员投标人或其他合同主体）（如有）</w:t>
      </w:r>
    </w:p>
    <w:p w14:paraId="01E3B3E8">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乙方3（全称）：</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（联合体成员投标人或其他合同主体）（如有）</w:t>
      </w:r>
    </w:p>
    <w:p w14:paraId="17798A99">
      <w:pPr>
        <w:spacing w:line="480" w:lineRule="exact"/>
        <w:rPr>
          <w:rFonts w:hint="eastAsia" w:ascii="宋体" w:hAnsi="宋体" w:eastAsia="宋体" w:cs="宋体"/>
          <w:color w:val="auto"/>
          <w:sz w:val="23"/>
          <w:szCs w:val="23"/>
          <w:highlight w:val="none"/>
        </w:rPr>
      </w:pPr>
    </w:p>
    <w:p w14:paraId="2CC6D5B8">
      <w:pPr>
        <w:pStyle w:val="18"/>
        <w:adjustRightInd w:val="0"/>
        <w:snapToGrid w:val="0"/>
        <w:spacing w:after="0" w:line="480" w:lineRule="exact"/>
        <w:ind w:left="0" w:leftChars="0"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依据《中华人民共和国民法典》、《中华人民共和国政府采购法》等有关的法律法规，以及本采购项目的招标/响应文件等采购文件、乙方的《投标（响应）文件》及《中标（成交）通知书》，甲乙双方同意签订本合同。具体情况及要求如下：     </w:t>
      </w:r>
    </w:p>
    <w:p w14:paraId="6301BEEC">
      <w:pPr>
        <w:numPr>
          <w:ilvl w:val="0"/>
          <w:numId w:val="8"/>
        </w:numPr>
        <w:adjustRightInd w:val="0"/>
        <w:snapToGrid w:val="0"/>
        <w:spacing w:line="480" w:lineRule="exact"/>
        <w:ind w:firstLine="462" w:firstLineChars="200"/>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项目信息</w:t>
      </w:r>
    </w:p>
    <w:p w14:paraId="55063DB9">
      <w:pPr>
        <w:pStyle w:val="18"/>
        <w:numPr>
          <w:ilvl w:val="0"/>
          <w:numId w:val="9"/>
        </w:numPr>
        <w:adjustRightInd w:val="0"/>
        <w:snapToGrid w:val="0"/>
        <w:spacing w:after="0" w:line="480" w:lineRule="exact"/>
        <w:ind w:left="0" w:leftChars="0" w:firstLine="460" w:firstLineChars="20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采购项目名称：</w:t>
      </w:r>
      <w:r>
        <w:rPr>
          <w:rFonts w:hint="eastAsia" w:ascii="宋体" w:hAnsi="宋体" w:eastAsia="宋体" w:cs="宋体"/>
          <w:color w:val="auto"/>
          <w:sz w:val="23"/>
          <w:szCs w:val="23"/>
          <w:highlight w:val="none"/>
          <w:u w:val="single"/>
        </w:rPr>
        <w:t xml:space="preserve">                                          </w:t>
      </w:r>
    </w:p>
    <w:p w14:paraId="6B7AC1D0">
      <w:pPr>
        <w:pStyle w:val="18"/>
        <w:tabs>
          <w:tab w:val="left" w:pos="999"/>
        </w:tabs>
        <w:adjustRightInd w:val="0"/>
        <w:snapToGrid w:val="0"/>
        <w:spacing w:after="0" w:line="480" w:lineRule="exact"/>
        <w:ind w:left="0" w:left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采购项目编号：</w:t>
      </w:r>
      <w:r>
        <w:rPr>
          <w:rFonts w:hint="eastAsia" w:ascii="宋体" w:hAnsi="宋体" w:eastAsia="宋体" w:cs="宋体"/>
          <w:color w:val="auto"/>
          <w:sz w:val="23"/>
          <w:szCs w:val="23"/>
          <w:highlight w:val="none"/>
          <w:u w:val="single"/>
        </w:rPr>
        <w:t xml:space="preserve">                                          </w:t>
      </w:r>
    </w:p>
    <w:p w14:paraId="5F6A4012">
      <w:pPr>
        <w:pStyle w:val="18"/>
        <w:adjustRightInd w:val="0"/>
        <w:snapToGrid w:val="0"/>
        <w:spacing w:after="0" w:line="480" w:lineRule="exact"/>
        <w:ind w:left="0" w:leftChars="0"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（2）采购计划编号：</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0A28E7F5">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（3）项目内容：</w:t>
      </w:r>
    </w:p>
    <w:p w14:paraId="5E574751">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采购标的及数量（台/套</w:t>
      </w:r>
      <w:r>
        <w:rPr>
          <w:rFonts w:hint="eastAsia" w:ascii="宋体" w:hAnsi="宋体" w:eastAsia="宋体" w:cs="宋体"/>
          <w:color w:val="auto"/>
          <w:sz w:val="23"/>
          <w:szCs w:val="23"/>
          <w:highlight w:val="none"/>
          <w:lang w:val="en"/>
        </w:rPr>
        <w:t>/个/架/组等</w:t>
      </w:r>
      <w:r>
        <w:rPr>
          <w:rFonts w:hint="eastAsia" w:ascii="宋体" w:hAnsi="宋体" w:eastAsia="宋体" w:cs="宋体"/>
          <w:color w:val="auto"/>
          <w:sz w:val="23"/>
          <w:szCs w:val="23"/>
          <w:highlight w:val="none"/>
        </w:rPr>
        <w:t>）：</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5557D9CC">
      <w:pPr>
        <w:adjustRightInd w:val="0"/>
        <w:snapToGrid w:val="0"/>
        <w:spacing w:line="480" w:lineRule="exact"/>
        <w:ind w:firstLine="460" w:firstLineChars="200"/>
        <w:rPr>
          <w:rFonts w:hint="eastAsia" w:ascii="宋体" w:hAnsi="宋体" w:eastAsia="宋体" w:cs="宋体"/>
          <w:color w:val="auto"/>
          <w:sz w:val="23"/>
          <w:szCs w:val="23"/>
          <w:highlight w:val="none"/>
          <w:lang w:val="en"/>
        </w:rPr>
      </w:pPr>
      <w:r>
        <w:rPr>
          <w:rFonts w:hint="eastAsia" w:ascii="宋体" w:hAnsi="宋体" w:eastAsia="宋体" w:cs="宋体"/>
          <w:color w:val="auto"/>
          <w:sz w:val="23"/>
          <w:szCs w:val="23"/>
          <w:highlight w:val="none"/>
        </w:rPr>
        <w:t xml:space="preserve">     品牌：</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lang w:val="en"/>
        </w:rPr>
        <w:t xml:space="preserve">   </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lang w:val="en"/>
        </w:rPr>
        <w:t xml:space="preserve"> </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lang w:val="en"/>
        </w:rPr>
        <w:t xml:space="preserve">     </w:t>
      </w:r>
      <w:r>
        <w:rPr>
          <w:rFonts w:hint="eastAsia" w:ascii="宋体" w:hAnsi="宋体" w:eastAsia="宋体" w:cs="宋体"/>
          <w:color w:val="auto"/>
          <w:sz w:val="23"/>
          <w:szCs w:val="23"/>
          <w:highlight w:val="none"/>
        </w:rPr>
        <w:t>规格型号：</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lang w:val="en"/>
        </w:rPr>
        <w:t xml:space="preserve">  </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lang w:val="en"/>
        </w:rPr>
        <w:t xml:space="preserve">   </w:t>
      </w:r>
    </w:p>
    <w:p w14:paraId="264B4C1D">
      <w:pPr>
        <w:adjustRightInd w:val="0"/>
        <w:snapToGrid w:val="0"/>
        <w:spacing w:line="480" w:lineRule="exact"/>
        <w:ind w:firstLine="1035" w:firstLineChars="45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采购标的的技术要求、商务要求具体见附件。</w:t>
      </w:r>
    </w:p>
    <w:p w14:paraId="31B3C8AE">
      <w:pPr>
        <w:adjustRightInd w:val="0"/>
        <w:snapToGrid w:val="0"/>
        <w:spacing w:line="480" w:lineRule="exact"/>
        <w:ind w:firstLine="1035" w:firstLineChars="45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①涉及信息类产品，请填写该产品关键部件的品牌、型号：</w:t>
      </w:r>
    </w:p>
    <w:p w14:paraId="59269460">
      <w:pPr>
        <w:adjustRightInd w:val="0"/>
        <w:snapToGrid w:val="0"/>
        <w:spacing w:line="480" w:lineRule="exact"/>
        <w:ind w:firstLine="460" w:firstLineChars="200"/>
        <w:rPr>
          <w:rFonts w:hint="eastAsia" w:ascii="宋体" w:hAnsi="宋体" w:eastAsia="宋体" w:cs="宋体"/>
          <w:color w:val="auto"/>
          <w:kern w:val="0"/>
          <w:sz w:val="23"/>
          <w:szCs w:val="23"/>
          <w:highlight w:val="none"/>
          <w:u w:val="single"/>
        </w:rPr>
      </w:pPr>
      <w:r>
        <w:rPr>
          <w:rFonts w:hint="eastAsia" w:ascii="宋体" w:hAnsi="宋体" w:eastAsia="宋体" w:cs="宋体"/>
          <w:color w:val="auto"/>
          <w:sz w:val="23"/>
          <w:szCs w:val="23"/>
          <w:highlight w:val="none"/>
        </w:rPr>
        <w:t xml:space="preserve">     标的名称：</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 w:val="23"/>
          <w:szCs w:val="23"/>
          <w:highlight w:val="none"/>
          <w:u w:val="single"/>
          <w:lang w:val="en"/>
        </w:rPr>
        <w:t xml:space="preserve">               </w:t>
      </w:r>
      <w:r>
        <w:rPr>
          <w:rFonts w:hint="eastAsia" w:ascii="宋体" w:hAnsi="宋体" w:eastAsia="宋体" w:cs="宋体"/>
          <w:color w:val="auto"/>
          <w:kern w:val="0"/>
          <w:sz w:val="23"/>
          <w:szCs w:val="23"/>
          <w:highlight w:val="none"/>
          <w:u w:val="single"/>
        </w:rPr>
        <w:t xml:space="preserve">    </w:t>
      </w:r>
    </w:p>
    <w:p w14:paraId="3817068F">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关键部件：</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 w:val="23"/>
          <w:szCs w:val="23"/>
          <w:highlight w:val="none"/>
        </w:rPr>
        <w:t xml:space="preserve"> </w:t>
      </w:r>
      <w:r>
        <w:rPr>
          <w:rFonts w:hint="eastAsia" w:ascii="宋体" w:hAnsi="宋体" w:eastAsia="宋体" w:cs="宋体"/>
          <w:color w:val="auto"/>
          <w:sz w:val="23"/>
          <w:szCs w:val="23"/>
          <w:highlight w:val="none"/>
        </w:rPr>
        <w:t>品牌：</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型号：</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66637410">
      <w:pPr>
        <w:pStyle w:val="154"/>
        <w:spacing w:line="480" w:lineRule="exact"/>
        <w:ind w:firstLine="46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kern w:val="2"/>
          <w:sz w:val="23"/>
          <w:szCs w:val="23"/>
          <w:highlight w:val="none"/>
        </w:rPr>
        <w:t>关键部件</w:t>
      </w:r>
      <w:r>
        <w:rPr>
          <w:rFonts w:hint="eastAsia" w:ascii="宋体" w:hAnsi="宋体" w:eastAsia="宋体" w:cs="宋体"/>
          <w:color w:val="auto"/>
          <w:sz w:val="23"/>
          <w:szCs w:val="23"/>
          <w:highlight w:val="none"/>
        </w:rPr>
        <w:t>：</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品牌：</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型号：</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10687B08">
      <w:pPr>
        <w:pStyle w:val="154"/>
        <w:spacing w:line="480" w:lineRule="exact"/>
        <w:ind w:firstLine="46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关键部件：</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品牌：</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型号：</w:t>
      </w:r>
      <w:r>
        <w:rPr>
          <w:rFonts w:hint="eastAsia" w:ascii="宋体" w:hAnsi="宋体" w:eastAsia="宋体" w:cs="宋体"/>
          <w:color w:val="auto"/>
          <w:sz w:val="23"/>
          <w:szCs w:val="23"/>
          <w:highlight w:val="none"/>
          <w:u w:val="single"/>
        </w:rPr>
        <w:t xml:space="preserve">       </w:t>
      </w:r>
    </w:p>
    <w:p w14:paraId="1344A6FE">
      <w:pPr>
        <w:pStyle w:val="154"/>
        <w:snapToGrid w:val="0"/>
        <w:spacing w:line="480" w:lineRule="exact"/>
        <w:ind w:firstLine="0" w:firstLine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BC723E2">
      <w:pPr>
        <w:pStyle w:val="154"/>
        <w:snapToGrid w:val="0"/>
        <w:spacing w:line="480" w:lineRule="exact"/>
        <w:ind w:firstLine="0" w:firstLine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②涉及车辆采购，请填写是否属于新能源汽车：</w:t>
      </w:r>
    </w:p>
    <w:p w14:paraId="31B86520">
      <w:pPr>
        <w:pStyle w:val="154"/>
        <w:snapToGrid w:val="0"/>
        <w:spacing w:line="480" w:lineRule="exact"/>
        <w:ind w:firstLine="0" w:firstLine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是，《政府采购品目分类目录》底级品目名称：</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数量：</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金额：</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0A0C562B">
      <w:pPr>
        <w:pStyle w:val="154"/>
        <w:snapToGrid w:val="0"/>
        <w:spacing w:line="480" w:lineRule="exact"/>
        <w:ind w:firstLine="0" w:firstLine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否</w:t>
      </w:r>
    </w:p>
    <w:p w14:paraId="1652656C">
      <w:pPr>
        <w:pStyle w:val="154"/>
        <w:snapToGrid w:val="0"/>
        <w:spacing w:line="480" w:lineRule="exact"/>
        <w:ind w:firstLine="0" w:firstLine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lang w:val="en"/>
        </w:rPr>
        <w:t>4</w:t>
      </w:r>
      <w:r>
        <w:rPr>
          <w:rFonts w:hint="eastAsia" w:ascii="宋体" w:hAnsi="宋体" w:eastAsia="宋体" w:cs="宋体"/>
          <w:color w:val="auto"/>
          <w:sz w:val="23"/>
          <w:szCs w:val="23"/>
          <w:highlight w:val="none"/>
        </w:rPr>
        <w:t>）政府采购组织形式：</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政府集中采购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部门集中采购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分散采购</w:t>
      </w:r>
    </w:p>
    <w:p w14:paraId="7209A3BE">
      <w:pPr>
        <w:pStyle w:val="154"/>
        <w:snapToGrid w:val="0"/>
        <w:spacing w:line="480" w:lineRule="exact"/>
        <w:ind w:firstLine="420" w:firstLine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w:t>
      </w:r>
      <w:r>
        <w:rPr>
          <w:rFonts w:hint="eastAsia" w:ascii="宋体" w:hAnsi="宋体" w:eastAsia="宋体" w:cs="宋体"/>
          <w:color w:val="auto"/>
          <w:sz w:val="23"/>
          <w:szCs w:val="23"/>
          <w:highlight w:val="none"/>
          <w:lang w:val="en"/>
        </w:rPr>
        <w:t>5</w:t>
      </w:r>
      <w:r>
        <w:rPr>
          <w:rFonts w:hint="eastAsia" w:ascii="宋体" w:hAnsi="宋体" w:eastAsia="宋体" w:cs="宋体"/>
          <w:color w:val="auto"/>
          <w:sz w:val="23"/>
          <w:szCs w:val="23"/>
          <w:highlight w:val="none"/>
        </w:rPr>
        <w:t>）政府采购方式：</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公开招标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邀请招标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竞争性投标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竞争性磋商</w:t>
      </w:r>
    </w:p>
    <w:p w14:paraId="76DBA31C">
      <w:pPr>
        <w:pStyle w:val="154"/>
        <w:snapToGrid w:val="0"/>
        <w:spacing w:line="480" w:lineRule="exact"/>
        <w:ind w:firstLine="420" w:firstLineChars="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询价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单一来源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框架协议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其他：</w:t>
      </w:r>
      <w:r>
        <w:rPr>
          <w:rFonts w:hint="eastAsia" w:ascii="宋体" w:hAnsi="宋体" w:eastAsia="宋体" w:cs="宋体"/>
          <w:color w:val="auto"/>
          <w:sz w:val="23"/>
          <w:szCs w:val="23"/>
          <w:highlight w:val="none"/>
          <w:u w:val="single"/>
        </w:rPr>
        <w:t xml:space="preserve">          </w:t>
      </w:r>
    </w:p>
    <w:p w14:paraId="630D695F">
      <w:pPr>
        <w:pStyle w:val="154"/>
        <w:snapToGrid w:val="0"/>
        <w:spacing w:line="480" w:lineRule="exact"/>
        <w:ind w:firstLine="420" w:firstLineChars="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（注：在框架协议采购的第二阶段，可选择使用该合同文本）</w:t>
      </w:r>
    </w:p>
    <w:p w14:paraId="149059A0">
      <w:pPr>
        <w:pStyle w:val="154"/>
        <w:snapToGrid w:val="0"/>
        <w:spacing w:line="480" w:lineRule="exact"/>
        <w:ind w:firstLine="230" w:firstLineChars="100"/>
        <w:rPr>
          <w:rFonts w:hint="eastAsia" w:ascii="宋体" w:hAnsi="宋体" w:eastAsia="宋体" w:cs="宋体"/>
          <w:color w:val="auto"/>
          <w:kern w:val="2"/>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lang w:val="en"/>
        </w:rPr>
        <w:t>6</w:t>
      </w:r>
      <w:r>
        <w:rPr>
          <w:rFonts w:hint="eastAsia" w:ascii="宋体" w:hAnsi="宋体" w:eastAsia="宋体" w:cs="宋体"/>
          <w:color w:val="auto"/>
          <w:sz w:val="23"/>
          <w:szCs w:val="23"/>
          <w:highlight w:val="none"/>
        </w:rPr>
        <w:t>）</w:t>
      </w:r>
      <w:r>
        <w:rPr>
          <w:rFonts w:hint="eastAsia" w:ascii="宋体" w:hAnsi="宋体" w:eastAsia="宋体" w:cs="宋体"/>
          <w:color w:val="auto"/>
          <w:kern w:val="2"/>
          <w:sz w:val="23"/>
          <w:szCs w:val="23"/>
          <w:highlight w:val="none"/>
        </w:rPr>
        <w:t>中标（成交）采购标的制造商是否为中小企业：</w:t>
      </w:r>
      <w:r>
        <w:rPr>
          <w:rFonts w:hint="eastAsia" w:ascii="宋体" w:hAnsi="宋体" w:eastAsia="宋体" w:cs="宋体"/>
          <w:color w:val="auto"/>
          <w:kern w:val="2"/>
          <w:sz w:val="23"/>
          <w:szCs w:val="23"/>
          <w:highlight w:val="none"/>
        </w:rPr>
        <w:sym w:font="Wingdings" w:char="00A8"/>
      </w:r>
      <w:r>
        <w:rPr>
          <w:rFonts w:hint="eastAsia" w:ascii="宋体" w:hAnsi="宋体" w:eastAsia="宋体" w:cs="宋体"/>
          <w:color w:val="auto"/>
          <w:kern w:val="2"/>
          <w:sz w:val="23"/>
          <w:szCs w:val="23"/>
          <w:highlight w:val="none"/>
        </w:rPr>
        <w:t xml:space="preserve">是      </w:t>
      </w:r>
      <w:r>
        <w:rPr>
          <w:rFonts w:hint="eastAsia" w:ascii="宋体" w:hAnsi="宋体" w:eastAsia="宋体" w:cs="宋体"/>
          <w:color w:val="auto"/>
          <w:kern w:val="2"/>
          <w:sz w:val="23"/>
          <w:szCs w:val="23"/>
          <w:highlight w:val="none"/>
        </w:rPr>
        <w:sym w:font="Wingdings" w:char="00A8"/>
      </w:r>
      <w:r>
        <w:rPr>
          <w:rFonts w:hint="eastAsia" w:ascii="宋体" w:hAnsi="宋体" w:eastAsia="宋体" w:cs="宋体"/>
          <w:color w:val="auto"/>
          <w:kern w:val="2"/>
          <w:sz w:val="23"/>
          <w:szCs w:val="23"/>
          <w:highlight w:val="none"/>
        </w:rPr>
        <w:t>否</w:t>
      </w:r>
    </w:p>
    <w:p w14:paraId="00CB0920">
      <w:pPr>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color w:val="auto"/>
          <w:sz w:val="23"/>
          <w:szCs w:val="23"/>
          <w:highlight w:val="none"/>
        </w:rPr>
        <w:t xml:space="preserve">       本合同是否为专门面向中小企业的采购合同（中小企业预留合同）：</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是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否</w:t>
      </w:r>
    </w:p>
    <w:p w14:paraId="0829B45F">
      <w:pPr>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color w:val="auto"/>
          <w:sz w:val="23"/>
          <w:szCs w:val="23"/>
          <w:highlight w:val="none"/>
        </w:rPr>
        <w:t xml:space="preserve">       若本项目不专门面向中小企业采购，是否给予小微企业评审优惠：</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是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否</w:t>
      </w:r>
    </w:p>
    <w:p w14:paraId="42F94647">
      <w:pPr>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color w:val="auto"/>
          <w:sz w:val="23"/>
          <w:szCs w:val="23"/>
          <w:highlight w:val="none"/>
        </w:rPr>
        <w:t xml:space="preserve">       中标（成交）采购标的制造商是否为残疾人福利性单位：</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是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否</w:t>
      </w:r>
    </w:p>
    <w:p w14:paraId="7009E5BF">
      <w:pPr>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中标（成交）采购标的制造商是否为监狱企业：</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是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否</w:t>
      </w:r>
    </w:p>
    <w:p w14:paraId="46BFD1B6">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w:t>
      </w:r>
      <w:r>
        <w:rPr>
          <w:rFonts w:hint="eastAsia" w:ascii="宋体" w:hAnsi="宋体" w:eastAsia="宋体" w:cs="宋体"/>
          <w:color w:val="auto"/>
          <w:sz w:val="23"/>
          <w:szCs w:val="23"/>
          <w:highlight w:val="none"/>
          <w:lang w:val="en"/>
        </w:rPr>
        <w:t>7</w:t>
      </w:r>
      <w:r>
        <w:rPr>
          <w:rFonts w:hint="eastAsia" w:ascii="宋体" w:hAnsi="宋体" w:eastAsia="宋体" w:cs="宋体"/>
          <w:color w:val="auto"/>
          <w:sz w:val="23"/>
          <w:szCs w:val="23"/>
          <w:highlight w:val="none"/>
        </w:rPr>
        <w:t>）合同是否分包：</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是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否</w:t>
      </w:r>
    </w:p>
    <w:p w14:paraId="47DD20BD">
      <w:pPr>
        <w:adjustRightInd w:val="0"/>
        <w:snapToGrid w:val="0"/>
        <w:spacing w:line="480" w:lineRule="exact"/>
        <w:ind w:firstLine="690" w:firstLineChars="30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分包主要内容：</w:t>
      </w:r>
      <w:r>
        <w:rPr>
          <w:rFonts w:hint="eastAsia" w:ascii="宋体" w:hAnsi="宋体" w:eastAsia="宋体" w:cs="宋体"/>
          <w:color w:val="auto"/>
          <w:sz w:val="23"/>
          <w:szCs w:val="23"/>
          <w:highlight w:val="none"/>
          <w:u w:val="single"/>
        </w:rPr>
        <w:t xml:space="preserve">                                            </w:t>
      </w:r>
    </w:p>
    <w:p w14:paraId="093DC28A">
      <w:pPr>
        <w:adjustRightInd w:val="0"/>
        <w:snapToGrid w:val="0"/>
        <w:spacing w:line="480" w:lineRule="exact"/>
        <w:ind w:firstLine="690" w:firstLineChars="3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分包投标人/制造商名称（如投标人和制造商不同，请分别填写）：</w:t>
      </w:r>
    </w:p>
    <w:p w14:paraId="215CCD60">
      <w:pPr>
        <w:adjustRightInd w:val="0"/>
        <w:snapToGrid w:val="0"/>
        <w:spacing w:line="480" w:lineRule="exact"/>
        <w:ind w:firstLine="920" w:firstLineChars="40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u w:val="single"/>
        </w:rPr>
        <w:t xml:space="preserve">                                                          </w:t>
      </w:r>
    </w:p>
    <w:p w14:paraId="003F99EB">
      <w:pPr>
        <w:adjustRightInd w:val="0"/>
        <w:snapToGrid w:val="0"/>
        <w:spacing w:line="480" w:lineRule="exact"/>
        <w:ind w:firstLine="690" w:firstLineChars="3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分包投标人/制造商类型（如果投标人和制造商不同，只填写制造商类型）：</w:t>
      </w:r>
    </w:p>
    <w:p w14:paraId="23008F22">
      <w:pPr>
        <w:adjustRightInd w:val="0"/>
        <w:snapToGrid w:val="0"/>
        <w:spacing w:line="480" w:lineRule="exact"/>
        <w:ind w:firstLine="690" w:firstLineChars="300"/>
        <w:rPr>
          <w:rFonts w:hint="eastAsia" w:ascii="宋体" w:hAnsi="宋体" w:eastAsia="宋体" w:cs="宋体"/>
          <w:iCs/>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大型企业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中型企业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小微型企业 </w:t>
      </w:r>
    </w:p>
    <w:p w14:paraId="677FDF1F">
      <w:pPr>
        <w:adjustRightInd w:val="0"/>
        <w:snapToGrid w:val="0"/>
        <w:spacing w:line="480" w:lineRule="exact"/>
        <w:ind w:firstLine="690" w:firstLineChars="300"/>
        <w:rPr>
          <w:rFonts w:hint="eastAsia" w:ascii="宋体" w:hAnsi="宋体" w:eastAsia="宋体" w:cs="宋体"/>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残疾人福利性单位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监狱企业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其他</w:t>
      </w:r>
    </w:p>
    <w:p w14:paraId="2F9F9356">
      <w:pPr>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lang w:val="en"/>
        </w:rPr>
        <w:t>8</w:t>
      </w:r>
      <w:r>
        <w:rPr>
          <w:rFonts w:hint="eastAsia" w:ascii="宋体" w:hAnsi="宋体" w:eastAsia="宋体" w:cs="宋体"/>
          <w:color w:val="auto"/>
          <w:sz w:val="23"/>
          <w:szCs w:val="23"/>
          <w:highlight w:val="none"/>
        </w:rPr>
        <w:t>）中标（成交）投标人是否为外商投资企业：</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是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否</w:t>
      </w:r>
    </w:p>
    <w:p w14:paraId="17E41360">
      <w:pPr>
        <w:pStyle w:val="154"/>
        <w:tabs>
          <w:tab w:val="left" w:pos="1340"/>
        </w:tabs>
        <w:spacing w:line="480" w:lineRule="exact"/>
        <w:ind w:firstLine="46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 xml:space="preserve">     外商投资企业类型：</w:t>
      </w:r>
      <w:r>
        <w:rPr>
          <w:rFonts w:hint="eastAsia" w:ascii="宋体" w:hAnsi="宋体" w:eastAsia="宋体" w:cs="宋体"/>
          <w:iCs/>
          <w:color w:val="auto"/>
          <w:sz w:val="23"/>
          <w:szCs w:val="23"/>
          <w:highlight w:val="none"/>
        </w:rPr>
        <w:sym w:font="Wingdings" w:char="00A8"/>
      </w:r>
      <w:r>
        <w:rPr>
          <w:rFonts w:hint="eastAsia" w:ascii="宋体" w:hAnsi="宋体" w:eastAsia="宋体" w:cs="宋体"/>
          <w:color w:val="auto"/>
          <w:sz w:val="23"/>
          <w:szCs w:val="23"/>
          <w:highlight w:val="none"/>
        </w:rPr>
        <w:t xml:space="preserve">全部由外国投资者投资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部分由外国投资者投资</w:t>
      </w:r>
    </w:p>
    <w:p w14:paraId="23C80824">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w:t>
      </w:r>
      <w:r>
        <w:rPr>
          <w:rFonts w:hint="eastAsia" w:ascii="宋体" w:hAnsi="宋体" w:eastAsia="宋体" w:cs="宋体"/>
          <w:color w:val="auto"/>
          <w:sz w:val="23"/>
          <w:szCs w:val="23"/>
          <w:highlight w:val="none"/>
          <w:lang w:val="en"/>
        </w:rPr>
        <w:t>9</w:t>
      </w:r>
      <w:r>
        <w:rPr>
          <w:rFonts w:hint="eastAsia" w:ascii="宋体" w:hAnsi="宋体" w:eastAsia="宋体" w:cs="宋体"/>
          <w:color w:val="auto"/>
          <w:sz w:val="23"/>
          <w:szCs w:val="23"/>
          <w:highlight w:val="none"/>
        </w:rPr>
        <w:t>）是否涉及进口产品：</w:t>
      </w:r>
    </w:p>
    <w:p w14:paraId="4BED24BE">
      <w:pPr>
        <w:adjustRightInd w:val="0"/>
        <w:snapToGrid w:val="0"/>
        <w:spacing w:line="480" w:lineRule="exact"/>
        <w:ind w:firstLine="920" w:firstLineChars="40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是，《政府采购品目分类目录》底级品目名称：</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金额：</w:t>
      </w:r>
      <w:r>
        <w:rPr>
          <w:rFonts w:hint="eastAsia" w:ascii="宋体" w:hAnsi="宋体" w:eastAsia="宋体" w:cs="宋体"/>
          <w:color w:val="auto"/>
          <w:sz w:val="23"/>
          <w:szCs w:val="23"/>
          <w:highlight w:val="none"/>
          <w:u w:val="single"/>
        </w:rPr>
        <w:t xml:space="preserve">        </w:t>
      </w:r>
    </w:p>
    <w:p w14:paraId="63A77ACB">
      <w:pPr>
        <w:adjustRightInd w:val="0"/>
        <w:snapToGrid w:val="0"/>
        <w:spacing w:line="480" w:lineRule="exact"/>
        <w:ind w:firstLine="920" w:firstLineChars="4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国别：</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品牌：</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规格型号：</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2B1E9B8F">
      <w:pPr>
        <w:adjustRightInd w:val="0"/>
        <w:snapToGrid w:val="0"/>
        <w:spacing w:line="480" w:lineRule="exact"/>
        <w:ind w:firstLine="920" w:firstLineChars="4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否</w:t>
      </w:r>
    </w:p>
    <w:p w14:paraId="5042804F">
      <w:pPr>
        <w:tabs>
          <w:tab w:val="left" w:pos="740"/>
        </w:tabs>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（1</w:t>
      </w:r>
      <w:r>
        <w:rPr>
          <w:rFonts w:hint="eastAsia" w:ascii="宋体" w:hAnsi="宋体" w:eastAsia="宋体" w:cs="宋体"/>
          <w:color w:val="auto"/>
          <w:sz w:val="23"/>
          <w:szCs w:val="23"/>
          <w:highlight w:val="none"/>
          <w:lang w:val="en"/>
        </w:rPr>
        <w:t>0</w:t>
      </w:r>
      <w:r>
        <w:rPr>
          <w:rFonts w:hint="eastAsia" w:ascii="宋体" w:hAnsi="宋体" w:eastAsia="宋体" w:cs="宋体"/>
          <w:color w:val="auto"/>
          <w:sz w:val="23"/>
          <w:szCs w:val="23"/>
          <w:highlight w:val="none"/>
        </w:rPr>
        <w:t>）是否涉及节能产品：</w:t>
      </w:r>
    </w:p>
    <w:p w14:paraId="22413BDB">
      <w:pPr>
        <w:tabs>
          <w:tab w:val="left" w:pos="740"/>
        </w:tabs>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是，《节能产品政府采购品目清单》的底级品目名称：</w:t>
      </w:r>
      <w:r>
        <w:rPr>
          <w:rFonts w:hint="eastAsia" w:ascii="宋体" w:hAnsi="宋体" w:eastAsia="宋体" w:cs="宋体"/>
          <w:color w:val="auto"/>
          <w:sz w:val="23"/>
          <w:szCs w:val="23"/>
          <w:highlight w:val="none"/>
          <w:u w:val="single"/>
        </w:rPr>
        <w:t xml:space="preserve">         </w:t>
      </w:r>
      <w:r>
        <w:rPr>
          <w:rFonts w:hint="eastAsia" w:ascii="宋体" w:hAnsi="宋体" w:eastAsia="宋体" w:cs="宋体"/>
          <w:iCs/>
          <w:color w:val="auto"/>
          <w:sz w:val="23"/>
          <w:szCs w:val="23"/>
          <w:highlight w:val="none"/>
        </w:rPr>
        <w:t xml:space="preserve">     </w:t>
      </w:r>
    </w:p>
    <w:p w14:paraId="3BA1FC47">
      <w:pPr>
        <w:tabs>
          <w:tab w:val="left" w:pos="740"/>
        </w:tabs>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强制采购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优先采购    </w:t>
      </w:r>
    </w:p>
    <w:p w14:paraId="505800B7">
      <w:pPr>
        <w:tabs>
          <w:tab w:val="left" w:pos="740"/>
        </w:tabs>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否</w:t>
      </w:r>
    </w:p>
    <w:p w14:paraId="5B204CE9">
      <w:pPr>
        <w:tabs>
          <w:tab w:val="left" w:pos="740"/>
        </w:tabs>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是否涉及环境标志产品：</w:t>
      </w:r>
    </w:p>
    <w:p w14:paraId="01337E16">
      <w:pPr>
        <w:tabs>
          <w:tab w:val="left" w:pos="740"/>
        </w:tabs>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是，《环境标志产品政府采购品目清单》的底级品目名称：</w:t>
      </w:r>
      <w:r>
        <w:rPr>
          <w:rFonts w:hint="eastAsia" w:ascii="宋体" w:hAnsi="宋体" w:eastAsia="宋体" w:cs="宋体"/>
          <w:color w:val="auto"/>
          <w:sz w:val="23"/>
          <w:szCs w:val="23"/>
          <w:highlight w:val="none"/>
          <w:u w:val="single"/>
        </w:rPr>
        <w:t xml:space="preserve">         </w:t>
      </w:r>
      <w:r>
        <w:rPr>
          <w:rFonts w:hint="eastAsia" w:ascii="宋体" w:hAnsi="宋体" w:eastAsia="宋体" w:cs="宋体"/>
          <w:iCs/>
          <w:color w:val="auto"/>
          <w:sz w:val="23"/>
          <w:szCs w:val="23"/>
          <w:highlight w:val="none"/>
        </w:rPr>
        <w:t xml:space="preserve"> </w:t>
      </w:r>
    </w:p>
    <w:p w14:paraId="2F78B3A3">
      <w:pPr>
        <w:tabs>
          <w:tab w:val="left" w:pos="740"/>
        </w:tabs>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强制采购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优先采购    </w:t>
      </w:r>
    </w:p>
    <w:p w14:paraId="44903D0C">
      <w:pPr>
        <w:tabs>
          <w:tab w:val="left" w:pos="740"/>
        </w:tabs>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否</w:t>
      </w:r>
    </w:p>
    <w:p w14:paraId="6C82C99D">
      <w:pPr>
        <w:pStyle w:val="154"/>
        <w:snapToGrid w:val="0"/>
        <w:spacing w:line="480" w:lineRule="exact"/>
        <w:ind w:firstLine="0" w:firstLineChars="0"/>
        <w:rPr>
          <w:rFonts w:hint="eastAsia" w:ascii="宋体" w:hAnsi="宋体" w:eastAsia="宋体" w:cs="宋体"/>
          <w:color w:val="auto"/>
          <w:kern w:val="2"/>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kern w:val="2"/>
          <w:sz w:val="23"/>
          <w:szCs w:val="23"/>
          <w:highlight w:val="none"/>
        </w:rPr>
        <w:t xml:space="preserve">是否涉及绿色产品： </w:t>
      </w:r>
    </w:p>
    <w:p w14:paraId="707D82DE">
      <w:pPr>
        <w:pStyle w:val="154"/>
        <w:spacing w:line="480" w:lineRule="exact"/>
        <w:ind w:firstLine="420" w:firstLineChars="0"/>
        <w:rPr>
          <w:rFonts w:hint="eastAsia" w:ascii="宋体" w:hAnsi="宋体" w:eastAsia="宋体" w:cs="宋体"/>
          <w:color w:val="auto"/>
          <w:sz w:val="23"/>
          <w:szCs w:val="23"/>
          <w:highlight w:val="none"/>
          <w:u w:val="single"/>
        </w:rPr>
      </w:pPr>
      <w:r>
        <w:rPr>
          <w:rFonts w:hint="eastAsia" w:ascii="宋体" w:hAnsi="宋体" w:eastAsia="宋体" w:cs="宋体"/>
          <w:color w:val="auto"/>
          <w:kern w:val="2"/>
          <w:sz w:val="23"/>
          <w:szCs w:val="23"/>
          <w:highlight w:val="none"/>
        </w:rPr>
        <w:t xml:space="preserve">     </w:t>
      </w:r>
      <w:r>
        <w:rPr>
          <w:rFonts w:hint="eastAsia" w:ascii="宋体" w:hAnsi="宋体" w:eastAsia="宋体" w:cs="宋体"/>
          <w:color w:val="auto"/>
          <w:kern w:val="2"/>
          <w:sz w:val="23"/>
          <w:szCs w:val="23"/>
          <w:highlight w:val="none"/>
        </w:rPr>
        <w:sym w:font="Wingdings" w:char="00A8"/>
      </w:r>
      <w:r>
        <w:rPr>
          <w:rFonts w:hint="eastAsia" w:ascii="宋体" w:hAnsi="宋体" w:eastAsia="宋体" w:cs="宋体"/>
          <w:color w:val="auto"/>
          <w:kern w:val="2"/>
          <w:sz w:val="23"/>
          <w:szCs w:val="23"/>
          <w:highlight w:val="none"/>
        </w:rPr>
        <w:t>是，绿色产品政府采购相关政策确定的底级品目名称：</w:t>
      </w:r>
      <w:r>
        <w:rPr>
          <w:rFonts w:hint="eastAsia" w:ascii="宋体" w:hAnsi="宋体" w:eastAsia="宋体" w:cs="宋体"/>
          <w:color w:val="auto"/>
          <w:sz w:val="23"/>
          <w:szCs w:val="23"/>
          <w:highlight w:val="none"/>
          <w:u w:val="single"/>
        </w:rPr>
        <w:t xml:space="preserve">         </w:t>
      </w:r>
    </w:p>
    <w:p w14:paraId="1A128226">
      <w:pPr>
        <w:tabs>
          <w:tab w:val="left" w:pos="740"/>
        </w:tabs>
        <w:adjustRightInd w:val="0"/>
        <w:snapToGrid w:val="0"/>
        <w:spacing w:line="480" w:lineRule="exact"/>
        <w:rPr>
          <w:rFonts w:hint="eastAsia" w:ascii="宋体" w:hAnsi="宋体" w:eastAsia="宋体" w:cs="宋体"/>
          <w:iCs/>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强制采购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优先采购    </w:t>
      </w:r>
    </w:p>
    <w:p w14:paraId="5317BD40">
      <w:pPr>
        <w:pStyle w:val="154"/>
        <w:spacing w:line="480" w:lineRule="exact"/>
        <w:ind w:firstLine="420" w:firstLineChars="0"/>
        <w:rPr>
          <w:rFonts w:hint="eastAsia" w:ascii="宋体" w:hAnsi="宋体" w:eastAsia="宋体" w:cs="宋体"/>
          <w:color w:val="auto"/>
          <w:sz w:val="23"/>
          <w:szCs w:val="23"/>
          <w:highlight w:val="none"/>
        </w:rPr>
      </w:pPr>
      <w:r>
        <w:rPr>
          <w:rFonts w:hint="eastAsia" w:ascii="宋体" w:hAnsi="宋体" w:eastAsia="宋体" w:cs="宋体"/>
          <w:color w:val="auto"/>
          <w:kern w:val="2"/>
          <w:sz w:val="23"/>
          <w:szCs w:val="23"/>
          <w:highlight w:val="none"/>
        </w:rPr>
        <w:t xml:space="preserve">     </w:t>
      </w:r>
      <w:r>
        <w:rPr>
          <w:rFonts w:hint="eastAsia" w:ascii="宋体" w:hAnsi="宋体" w:eastAsia="宋体" w:cs="宋体"/>
          <w:color w:val="auto"/>
          <w:kern w:val="2"/>
          <w:sz w:val="23"/>
          <w:szCs w:val="23"/>
          <w:highlight w:val="none"/>
        </w:rPr>
        <w:sym w:font="Wingdings" w:char="00A8"/>
      </w:r>
      <w:r>
        <w:rPr>
          <w:rFonts w:hint="eastAsia" w:ascii="宋体" w:hAnsi="宋体" w:eastAsia="宋体" w:cs="宋体"/>
          <w:color w:val="auto"/>
          <w:kern w:val="2"/>
          <w:sz w:val="23"/>
          <w:szCs w:val="23"/>
          <w:highlight w:val="none"/>
        </w:rPr>
        <w:t>否</w:t>
      </w:r>
    </w:p>
    <w:p w14:paraId="50C42B19">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（1</w:t>
      </w:r>
      <w:r>
        <w:rPr>
          <w:rFonts w:hint="eastAsia" w:ascii="宋体" w:hAnsi="宋体" w:eastAsia="宋体" w:cs="宋体"/>
          <w:color w:val="auto"/>
          <w:sz w:val="23"/>
          <w:szCs w:val="23"/>
          <w:highlight w:val="none"/>
          <w:lang w:val="en"/>
        </w:rPr>
        <w:t>1</w:t>
      </w:r>
      <w:r>
        <w:rPr>
          <w:rFonts w:hint="eastAsia" w:ascii="宋体" w:hAnsi="宋体" w:eastAsia="宋体" w:cs="宋体"/>
          <w:color w:val="auto"/>
          <w:sz w:val="23"/>
          <w:szCs w:val="23"/>
          <w:highlight w:val="none"/>
        </w:rPr>
        <w:t>）涉及商品包装和快递包装的，是否参考《商品包装政府采购需求标准（试行）》、《快递包装政府采购需求标准（试行）》明确产品及相关快递服务的具体包装要求：</w:t>
      </w:r>
    </w:p>
    <w:p w14:paraId="10B638AC">
      <w:pPr>
        <w:adjustRightInd w:val="0"/>
        <w:snapToGrid w:val="0"/>
        <w:spacing w:line="480" w:lineRule="exact"/>
        <w:ind w:firstLine="920" w:firstLineChars="4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是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否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不涉及</w:t>
      </w:r>
    </w:p>
    <w:p w14:paraId="39A8E91D">
      <w:pPr>
        <w:numPr>
          <w:ilvl w:val="0"/>
          <w:numId w:val="8"/>
        </w:numPr>
        <w:adjustRightInd w:val="0"/>
        <w:snapToGrid w:val="0"/>
        <w:spacing w:line="480" w:lineRule="exact"/>
        <w:ind w:firstLine="462" w:firstLineChars="200"/>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合同金额</w:t>
      </w:r>
      <w:r>
        <w:rPr>
          <w:rFonts w:hint="eastAsia" w:ascii="宋体" w:hAnsi="宋体" w:eastAsia="宋体" w:cs="宋体"/>
          <w:b/>
          <w:color w:val="auto"/>
          <w:sz w:val="23"/>
          <w:szCs w:val="23"/>
          <w:highlight w:val="none"/>
          <w:lang w:eastAsia="zh-CN"/>
        </w:rPr>
        <w:t>（供应商应当在约定期限内以不高于其报价的价格向采购人提供专用耗材或者相关服务。）</w:t>
      </w:r>
    </w:p>
    <w:p w14:paraId="2003D414">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（1）合同金额小写：</w:t>
      </w:r>
      <w:r>
        <w:rPr>
          <w:rFonts w:hint="eastAsia" w:ascii="宋体" w:hAnsi="宋体" w:eastAsia="宋体" w:cs="宋体"/>
          <w:color w:val="auto"/>
          <w:sz w:val="23"/>
          <w:szCs w:val="23"/>
          <w:highlight w:val="none"/>
          <w:u w:val="single"/>
        </w:rPr>
        <w:t xml:space="preserve">                           </w:t>
      </w:r>
    </w:p>
    <w:p w14:paraId="4DEBD53D">
      <w:pPr>
        <w:adjustRightInd w:val="0"/>
        <w:snapToGrid w:val="0"/>
        <w:spacing w:line="480" w:lineRule="exact"/>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 xml:space="preserve">                 大写：</w:t>
      </w:r>
      <w:r>
        <w:rPr>
          <w:rFonts w:hint="eastAsia" w:ascii="宋体" w:hAnsi="宋体" w:eastAsia="宋体" w:cs="宋体"/>
          <w:color w:val="auto"/>
          <w:sz w:val="23"/>
          <w:szCs w:val="23"/>
          <w:highlight w:val="none"/>
          <w:u w:val="single"/>
        </w:rPr>
        <w:t xml:space="preserve">                           </w:t>
      </w:r>
    </w:p>
    <w:p w14:paraId="6B60540F">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分包金额（如有）小写：</w:t>
      </w:r>
      <w:r>
        <w:rPr>
          <w:rFonts w:hint="eastAsia" w:ascii="宋体" w:hAnsi="宋体" w:eastAsia="宋体" w:cs="宋体"/>
          <w:color w:val="auto"/>
          <w:sz w:val="23"/>
          <w:szCs w:val="23"/>
          <w:highlight w:val="none"/>
          <w:u w:val="single"/>
        </w:rPr>
        <w:t xml:space="preserve">                   </w:t>
      </w:r>
    </w:p>
    <w:p w14:paraId="6985A78D">
      <w:pPr>
        <w:adjustRightInd w:val="0"/>
        <w:snapToGrid w:val="0"/>
        <w:spacing w:line="480" w:lineRule="exact"/>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 xml:space="preserve">                     大写：</w:t>
      </w:r>
      <w:r>
        <w:rPr>
          <w:rFonts w:hint="eastAsia" w:ascii="宋体" w:hAnsi="宋体" w:eastAsia="宋体" w:cs="宋体"/>
          <w:color w:val="auto"/>
          <w:sz w:val="23"/>
          <w:szCs w:val="23"/>
          <w:highlight w:val="none"/>
          <w:u w:val="single"/>
        </w:rPr>
        <w:t xml:space="preserve">                       </w:t>
      </w:r>
    </w:p>
    <w:p w14:paraId="4779BFD6">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（注：固定单价合同应填写单价和最高限价）</w:t>
      </w:r>
    </w:p>
    <w:p w14:paraId="24C15900">
      <w:pPr>
        <w:adjustRightInd w:val="0"/>
        <w:snapToGrid w:val="0"/>
        <w:spacing w:line="480" w:lineRule="exac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（2）合同定价方式（采用组合定价方式的，可以勾选多项）：</w:t>
      </w:r>
    </w:p>
    <w:p w14:paraId="288009D4">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iCs/>
          <w:color w:val="auto"/>
          <w:sz w:val="23"/>
          <w:szCs w:val="23"/>
          <w:highlight w:val="none"/>
        </w:rPr>
        <w:t xml:space="preserve">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固定总价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固定单价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固定费率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成本补偿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 xml:space="preserve">绩效激励 </w:t>
      </w:r>
      <w:r>
        <w:rPr>
          <w:rFonts w:hint="eastAsia" w:ascii="宋体" w:hAnsi="宋体" w:eastAsia="宋体" w:cs="宋体"/>
          <w:iCs/>
          <w:color w:val="auto"/>
          <w:sz w:val="23"/>
          <w:szCs w:val="23"/>
          <w:highlight w:val="none"/>
        </w:rPr>
        <w:sym w:font="Wingdings" w:char="00A8"/>
      </w:r>
      <w:r>
        <w:rPr>
          <w:rFonts w:hint="eastAsia" w:ascii="宋体" w:hAnsi="宋体" w:eastAsia="宋体" w:cs="宋体"/>
          <w:iCs/>
          <w:color w:val="auto"/>
          <w:sz w:val="23"/>
          <w:szCs w:val="23"/>
          <w:highlight w:val="none"/>
        </w:rPr>
        <w:t>其他</w:t>
      </w:r>
      <w:r>
        <w:rPr>
          <w:rFonts w:hint="eastAsia" w:ascii="宋体" w:hAnsi="宋体" w:eastAsia="宋体" w:cs="宋体"/>
          <w:color w:val="auto"/>
          <w:sz w:val="23"/>
          <w:szCs w:val="23"/>
          <w:highlight w:val="none"/>
          <w:u w:val="single"/>
        </w:rPr>
        <w:t xml:space="preserve">       </w:t>
      </w:r>
    </w:p>
    <w:p w14:paraId="5305BFAA">
      <w:pPr>
        <w:pStyle w:val="69"/>
        <w:spacing w:line="480" w:lineRule="exact"/>
        <w:ind w:firstLine="46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（3）付款方式（按项目实际勾选填写）：</w:t>
      </w:r>
    </w:p>
    <w:p w14:paraId="1E96B8B2">
      <w:pPr>
        <w:adjustRightInd w:val="0"/>
        <w:snapToGrid w:val="0"/>
        <w:spacing w:line="480" w:lineRule="exact"/>
        <w:ind w:firstLine="690" w:firstLineChars="30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全额付款：</w:t>
      </w:r>
      <w:r>
        <w:rPr>
          <w:rFonts w:hint="eastAsia" w:ascii="宋体" w:hAnsi="宋体" w:eastAsia="宋体" w:cs="宋体"/>
          <w:color w:val="auto"/>
          <w:sz w:val="23"/>
          <w:szCs w:val="23"/>
          <w:highlight w:val="none"/>
          <w:u w:val="single"/>
        </w:rPr>
        <w:t xml:space="preserve">     （应明确一次性支付合同款项的条件）                    </w:t>
      </w:r>
    </w:p>
    <w:p w14:paraId="173859A3">
      <w:pPr>
        <w:snapToGrid w:val="0"/>
        <w:spacing w:line="480" w:lineRule="exact"/>
        <w:ind w:firstLine="690" w:firstLineChars="3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分期付款：</w:t>
      </w:r>
      <w:r>
        <w:rPr>
          <w:rFonts w:hint="eastAsia" w:ascii="宋体" w:hAnsi="宋体" w:eastAsia="宋体" w:cs="宋体"/>
          <w:color w:val="auto"/>
          <w:sz w:val="23"/>
          <w:szCs w:val="23"/>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3"/>
          <w:szCs w:val="23"/>
          <w:highlight w:val="none"/>
        </w:rPr>
        <w:t>，其中涉及预付款的：</w:t>
      </w:r>
      <w:r>
        <w:rPr>
          <w:rFonts w:hint="eastAsia" w:ascii="宋体" w:hAnsi="宋体" w:eastAsia="宋体" w:cs="宋体"/>
          <w:color w:val="auto"/>
          <w:sz w:val="23"/>
          <w:szCs w:val="23"/>
          <w:highlight w:val="none"/>
          <w:u w:val="single"/>
        </w:rPr>
        <w:t xml:space="preserve"> （应明确预付款的支付比例和支付条件） </w:t>
      </w:r>
    </w:p>
    <w:p w14:paraId="67D374F0">
      <w:pPr>
        <w:adjustRightInd w:val="0"/>
        <w:snapToGrid w:val="0"/>
        <w:spacing w:line="480" w:lineRule="exact"/>
        <w:ind w:firstLine="690" w:firstLineChars="30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成本补偿：</w:t>
      </w:r>
      <w:r>
        <w:rPr>
          <w:rFonts w:hint="eastAsia" w:ascii="宋体" w:hAnsi="宋体" w:eastAsia="宋体" w:cs="宋体"/>
          <w:color w:val="auto"/>
          <w:sz w:val="23"/>
          <w:szCs w:val="23"/>
          <w:highlight w:val="none"/>
          <w:u w:val="single"/>
        </w:rPr>
        <w:t xml:space="preserve">      （应明确按照成本补偿方式的支付方式和支付条件）   </w:t>
      </w:r>
    </w:p>
    <w:p w14:paraId="363A1A44">
      <w:pPr>
        <w:adjustRightInd w:val="0"/>
        <w:snapToGrid w:val="0"/>
        <w:spacing w:line="480" w:lineRule="exact"/>
        <w:ind w:firstLine="690" w:firstLineChars="3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绩效激励：</w:t>
      </w:r>
      <w:r>
        <w:rPr>
          <w:rFonts w:hint="eastAsia" w:ascii="宋体" w:hAnsi="宋体" w:eastAsia="宋体" w:cs="宋体"/>
          <w:color w:val="auto"/>
          <w:sz w:val="23"/>
          <w:szCs w:val="23"/>
          <w:highlight w:val="none"/>
          <w:u w:val="single"/>
        </w:rPr>
        <w:t xml:space="preserve">      （应明确按照绩效激励方式的支付方式和支付条件）   </w:t>
      </w:r>
    </w:p>
    <w:p w14:paraId="6E0E7EF0">
      <w:pPr>
        <w:numPr>
          <w:ilvl w:val="0"/>
          <w:numId w:val="8"/>
        </w:numPr>
        <w:adjustRightInd w:val="0"/>
        <w:snapToGrid w:val="0"/>
        <w:spacing w:line="480" w:lineRule="exact"/>
        <w:ind w:firstLine="462" w:firstLineChars="200"/>
        <w:rPr>
          <w:rFonts w:hint="eastAsia" w:ascii="宋体" w:hAnsi="宋体" w:eastAsia="宋体" w:cs="宋体"/>
          <w:b/>
          <w:color w:val="auto"/>
          <w:sz w:val="23"/>
          <w:szCs w:val="23"/>
          <w:highlight w:val="none"/>
          <w:u w:val="single"/>
        </w:rPr>
      </w:pPr>
      <w:r>
        <w:rPr>
          <w:rFonts w:hint="eastAsia" w:ascii="宋体" w:hAnsi="宋体" w:eastAsia="宋体" w:cs="宋体"/>
          <w:b/>
          <w:color w:val="auto"/>
          <w:sz w:val="23"/>
          <w:szCs w:val="23"/>
          <w:highlight w:val="none"/>
        </w:rPr>
        <w:t>合同履行</w:t>
      </w:r>
    </w:p>
    <w:p w14:paraId="3D28AE08">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（1）起始日期：</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年</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月</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日，完成日期：</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年</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月</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日。</w:t>
      </w:r>
    </w:p>
    <w:p w14:paraId="5CA931A9">
      <w:pPr>
        <w:adjustRightInd w:val="0"/>
        <w:snapToGrid w:val="0"/>
        <w:spacing w:line="480" w:lineRule="exact"/>
        <w:ind w:firstLine="460" w:firstLineChars="200"/>
        <w:rPr>
          <w:rFonts w:hint="eastAsia" w:ascii="宋体" w:hAnsi="宋体" w:eastAsia="宋体" w:cs="宋体"/>
          <w:color w:val="auto"/>
          <w:sz w:val="23"/>
          <w:szCs w:val="23"/>
          <w:highlight w:val="none"/>
          <w:u w:val="single"/>
        </w:rPr>
      </w:pPr>
      <w:r>
        <w:rPr>
          <w:rFonts w:hint="eastAsia" w:ascii="宋体" w:hAnsi="宋体" w:eastAsia="宋体" w:cs="宋体"/>
          <w:color w:val="auto"/>
          <w:sz w:val="23"/>
          <w:szCs w:val="23"/>
          <w:highlight w:val="none"/>
        </w:rPr>
        <w:t>（2）履约地点</w:t>
      </w:r>
      <w:r>
        <w:rPr>
          <w:rFonts w:hint="eastAsia" w:ascii="宋体" w:hAnsi="宋体" w:eastAsia="宋体" w:cs="宋体"/>
          <w:bCs/>
          <w:color w:val="auto"/>
          <w:sz w:val="23"/>
          <w:szCs w:val="23"/>
          <w:highlight w:val="none"/>
        </w:rPr>
        <w:t>：</w:t>
      </w:r>
      <w:r>
        <w:rPr>
          <w:rFonts w:hint="eastAsia" w:ascii="宋体" w:hAnsi="宋体" w:eastAsia="宋体" w:cs="宋体"/>
          <w:color w:val="auto"/>
          <w:sz w:val="23"/>
          <w:szCs w:val="23"/>
          <w:highlight w:val="none"/>
          <w:u w:val="single"/>
        </w:rPr>
        <w:t xml:space="preserve">                             </w:t>
      </w:r>
    </w:p>
    <w:p w14:paraId="61E3088B">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bCs/>
          <w:color w:val="auto"/>
          <w:sz w:val="23"/>
          <w:szCs w:val="23"/>
          <w:highlight w:val="none"/>
        </w:rPr>
        <w:t>（3）履约担保：</w:t>
      </w:r>
      <w:r>
        <w:rPr>
          <w:rFonts w:hint="eastAsia" w:ascii="宋体" w:hAnsi="宋体" w:eastAsia="宋体" w:cs="宋体"/>
          <w:color w:val="auto"/>
          <w:sz w:val="23"/>
          <w:szCs w:val="23"/>
          <w:highlight w:val="none"/>
        </w:rPr>
        <w:t>是否收取履约保证金：</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 xml:space="preserve">是    </w:t>
      </w:r>
      <w:r>
        <w:rPr>
          <w:rFonts w:hint="eastAsia" w:ascii="宋体" w:hAnsi="宋体" w:eastAsia="宋体" w:cs="宋体"/>
          <w:color w:val="auto"/>
          <w:sz w:val="23"/>
          <w:szCs w:val="23"/>
          <w:highlight w:val="none"/>
        </w:rPr>
        <w:sym w:font="Wingdings" w:char="00A8"/>
      </w:r>
      <w:r>
        <w:rPr>
          <w:rFonts w:hint="eastAsia" w:ascii="宋体" w:hAnsi="宋体" w:eastAsia="宋体" w:cs="宋体"/>
          <w:color w:val="auto"/>
          <w:sz w:val="23"/>
          <w:szCs w:val="23"/>
          <w:highlight w:val="none"/>
        </w:rPr>
        <w:t>否</w:t>
      </w:r>
    </w:p>
    <w:p w14:paraId="5DCBA8C4">
      <w:pPr>
        <w:pStyle w:val="154"/>
        <w:spacing w:line="480" w:lineRule="exact"/>
        <w:ind w:firstLine="460"/>
        <w:rPr>
          <w:rFonts w:hint="eastAsia" w:ascii="宋体" w:hAnsi="宋体" w:eastAsia="宋体" w:cs="宋体"/>
          <w:color w:val="auto"/>
          <w:sz w:val="23"/>
          <w:szCs w:val="23"/>
          <w:highlight w:val="none"/>
        </w:rPr>
      </w:pPr>
      <w:r>
        <w:rPr>
          <w:rFonts w:hint="eastAsia" w:ascii="宋体" w:hAnsi="宋体" w:eastAsia="宋体" w:cs="宋体"/>
          <w:bCs/>
          <w:color w:val="auto"/>
          <w:sz w:val="23"/>
          <w:szCs w:val="23"/>
          <w:highlight w:val="none"/>
        </w:rPr>
        <w:t xml:space="preserve">  </w:t>
      </w:r>
      <w:r>
        <w:rPr>
          <w:rFonts w:hint="eastAsia" w:ascii="宋体" w:hAnsi="宋体" w:eastAsia="宋体" w:cs="宋体"/>
          <w:color w:val="auto"/>
          <w:sz w:val="23"/>
          <w:szCs w:val="23"/>
          <w:highlight w:val="none"/>
        </w:rPr>
        <w:t xml:space="preserve">  收取履约保证金形式：</w:t>
      </w:r>
      <w:r>
        <w:rPr>
          <w:rFonts w:hint="eastAsia" w:ascii="宋体" w:hAnsi="宋体" w:eastAsia="宋体" w:cs="宋体"/>
          <w:bCs/>
          <w:color w:val="auto"/>
          <w:sz w:val="23"/>
          <w:szCs w:val="23"/>
          <w:highlight w:val="none"/>
          <w:u w:val="single"/>
        </w:rPr>
        <w:t xml:space="preserve">                            </w:t>
      </w:r>
    </w:p>
    <w:p w14:paraId="69165319">
      <w:pPr>
        <w:pStyle w:val="154"/>
        <w:spacing w:line="480" w:lineRule="exact"/>
        <w:ind w:firstLine="46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收取履约保证金金额：</w:t>
      </w:r>
      <w:r>
        <w:rPr>
          <w:rFonts w:hint="eastAsia" w:ascii="宋体" w:hAnsi="宋体" w:eastAsia="宋体" w:cs="宋体"/>
          <w:bCs/>
          <w:color w:val="auto"/>
          <w:sz w:val="23"/>
          <w:szCs w:val="23"/>
          <w:highlight w:val="none"/>
          <w:u w:val="single"/>
        </w:rPr>
        <w:t xml:space="preserve">                            </w:t>
      </w:r>
    </w:p>
    <w:p w14:paraId="187ED581">
      <w:pPr>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bCs/>
          <w:color w:val="auto"/>
          <w:sz w:val="23"/>
          <w:szCs w:val="23"/>
          <w:highlight w:val="none"/>
        </w:rPr>
        <w:t xml:space="preserve">    履约担保期限：</w:t>
      </w:r>
      <w:r>
        <w:rPr>
          <w:rFonts w:hint="eastAsia" w:ascii="宋体" w:hAnsi="宋体" w:eastAsia="宋体" w:cs="宋体"/>
          <w:bCs/>
          <w:color w:val="auto"/>
          <w:sz w:val="23"/>
          <w:szCs w:val="23"/>
          <w:highlight w:val="none"/>
          <w:u w:val="single"/>
        </w:rPr>
        <w:t xml:space="preserve">                                  </w:t>
      </w:r>
    </w:p>
    <w:p w14:paraId="54D16D29">
      <w:pPr>
        <w:adjustRightInd w:val="0"/>
        <w:snapToGrid w:val="0"/>
        <w:spacing w:line="480" w:lineRule="exact"/>
        <w:ind w:firstLine="460" w:firstLineChars="2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（4）分期履行要求：</w:t>
      </w:r>
      <w:r>
        <w:rPr>
          <w:rFonts w:hint="eastAsia" w:ascii="宋体" w:hAnsi="宋体" w:eastAsia="宋体" w:cs="宋体"/>
          <w:bCs/>
          <w:color w:val="auto"/>
          <w:sz w:val="23"/>
          <w:szCs w:val="23"/>
          <w:highlight w:val="none"/>
          <w:u w:val="single"/>
        </w:rPr>
        <w:t xml:space="preserve">                                                        </w:t>
      </w:r>
    </w:p>
    <w:p w14:paraId="015599B0">
      <w:pPr>
        <w:adjustRightInd w:val="0"/>
        <w:snapToGrid w:val="0"/>
        <w:spacing w:line="480" w:lineRule="exact"/>
        <w:ind w:firstLine="460" w:firstLineChars="200"/>
        <w:rPr>
          <w:rFonts w:hint="eastAsia" w:ascii="宋体" w:hAnsi="宋体" w:eastAsia="宋体" w:cs="宋体"/>
          <w:color w:val="auto"/>
          <w:sz w:val="23"/>
          <w:szCs w:val="23"/>
          <w:highlight w:val="none"/>
          <w:u w:val="single"/>
        </w:rPr>
      </w:pPr>
      <w:r>
        <w:rPr>
          <w:rFonts w:hint="eastAsia" w:ascii="宋体" w:hAnsi="宋体" w:eastAsia="宋体" w:cs="宋体"/>
          <w:bCs/>
          <w:color w:val="auto"/>
          <w:sz w:val="23"/>
          <w:szCs w:val="23"/>
          <w:highlight w:val="none"/>
        </w:rPr>
        <w:t>（5）风险处置措施和替代方案：</w:t>
      </w:r>
      <w:r>
        <w:rPr>
          <w:rFonts w:hint="eastAsia" w:ascii="宋体" w:hAnsi="宋体" w:eastAsia="宋体" w:cs="宋体"/>
          <w:color w:val="auto"/>
          <w:sz w:val="23"/>
          <w:szCs w:val="23"/>
          <w:highlight w:val="none"/>
          <w:u w:val="single"/>
        </w:rPr>
        <w:t xml:space="preserve">                                                               </w:t>
      </w:r>
    </w:p>
    <w:p w14:paraId="4BF5959B">
      <w:pPr>
        <w:numPr>
          <w:ilvl w:val="0"/>
          <w:numId w:val="8"/>
        </w:numPr>
        <w:adjustRightInd w:val="0"/>
        <w:snapToGrid w:val="0"/>
        <w:spacing w:line="480" w:lineRule="exact"/>
        <w:ind w:firstLine="462" w:firstLineChars="200"/>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合同验收</w:t>
      </w:r>
    </w:p>
    <w:p w14:paraId="27793CA5">
      <w:pPr>
        <w:numPr>
          <w:ilvl w:val="0"/>
          <w:numId w:val="10"/>
        </w:numPr>
        <w:adjustRightInd w:val="0"/>
        <w:snapToGrid w:val="0"/>
        <w:spacing w:line="480" w:lineRule="exact"/>
        <w:ind w:firstLine="460" w:firstLineChars="2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验收组织方式：</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 xml:space="preserve">自行组织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委托第三方组织</w:t>
      </w:r>
    </w:p>
    <w:p w14:paraId="71184301">
      <w:pPr>
        <w:adjustRightInd w:val="0"/>
        <w:snapToGrid w:val="0"/>
        <w:spacing w:line="480" w:lineRule="exact"/>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 xml:space="preserve">         验收主体：</w:t>
      </w:r>
      <w:r>
        <w:rPr>
          <w:rFonts w:hint="eastAsia" w:ascii="宋体" w:hAnsi="宋体" w:eastAsia="宋体" w:cs="宋体"/>
          <w:bCs/>
          <w:color w:val="auto"/>
          <w:sz w:val="23"/>
          <w:szCs w:val="23"/>
          <w:highlight w:val="none"/>
          <w:u w:val="single"/>
        </w:rPr>
        <w:t xml:space="preserve">                  </w:t>
      </w:r>
    </w:p>
    <w:p w14:paraId="4ACF7EFD">
      <w:pPr>
        <w:adjustRightInd w:val="0"/>
        <w:snapToGrid w:val="0"/>
        <w:spacing w:line="480" w:lineRule="exact"/>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 xml:space="preserve">        是否邀请本项目的其他投标人参加验收：</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 xml:space="preserve">是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否</w:t>
      </w:r>
    </w:p>
    <w:p w14:paraId="1547930B">
      <w:pPr>
        <w:adjustRightInd w:val="0"/>
        <w:snapToGrid w:val="0"/>
        <w:spacing w:line="480" w:lineRule="exact"/>
        <w:ind w:firstLine="920" w:firstLineChars="4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是否邀请专家参加验收：</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 xml:space="preserve">是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否</w:t>
      </w:r>
    </w:p>
    <w:p w14:paraId="75E0CC62">
      <w:pPr>
        <w:adjustRightInd w:val="0"/>
        <w:snapToGrid w:val="0"/>
        <w:spacing w:line="480" w:lineRule="exact"/>
        <w:ind w:firstLine="920" w:firstLineChars="4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是否邀请服务对象参加验收：</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 xml:space="preserve">是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否</w:t>
      </w:r>
    </w:p>
    <w:p w14:paraId="4C0DBF11">
      <w:pPr>
        <w:adjustRightInd w:val="0"/>
        <w:snapToGrid w:val="0"/>
        <w:spacing w:line="480" w:lineRule="exact"/>
        <w:ind w:firstLine="920" w:firstLineChars="4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是否邀请第三方检测机构参加验收：</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 xml:space="preserve">是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否</w:t>
      </w:r>
    </w:p>
    <w:p w14:paraId="4667C591">
      <w:pPr>
        <w:adjustRightInd w:val="0"/>
        <w:snapToGrid w:val="0"/>
        <w:spacing w:line="480" w:lineRule="exact"/>
        <w:ind w:firstLine="920" w:firstLineChars="4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是否进行抽查检测：</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是，抽查比例：</w:t>
      </w:r>
      <w:r>
        <w:rPr>
          <w:rFonts w:hint="eastAsia" w:ascii="宋体" w:hAnsi="宋体" w:eastAsia="宋体" w:cs="宋体"/>
          <w:bCs/>
          <w:color w:val="auto"/>
          <w:sz w:val="23"/>
          <w:szCs w:val="23"/>
          <w:highlight w:val="none"/>
          <w:u w:val="single"/>
        </w:rPr>
        <w:t xml:space="preserve">        </w:t>
      </w:r>
      <w:r>
        <w:rPr>
          <w:rFonts w:hint="eastAsia" w:ascii="宋体" w:hAnsi="宋体" w:eastAsia="宋体" w:cs="宋体"/>
          <w:bCs/>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否</w:t>
      </w:r>
    </w:p>
    <w:p w14:paraId="16133614">
      <w:pPr>
        <w:adjustRightInd w:val="0"/>
        <w:snapToGrid w:val="0"/>
        <w:spacing w:line="480" w:lineRule="exact"/>
        <w:ind w:firstLine="920" w:firstLineChars="400"/>
        <w:rPr>
          <w:rFonts w:hint="eastAsia" w:ascii="宋体" w:hAnsi="宋体" w:eastAsia="宋体" w:cs="宋体"/>
          <w:bCs/>
          <w:color w:val="auto"/>
          <w:sz w:val="23"/>
          <w:szCs w:val="23"/>
          <w:highlight w:val="none"/>
          <w:u w:val="single"/>
        </w:rPr>
      </w:pPr>
      <w:r>
        <w:rPr>
          <w:rFonts w:hint="eastAsia" w:ascii="宋体" w:hAnsi="宋体" w:eastAsia="宋体" w:cs="宋体"/>
          <w:bCs/>
          <w:color w:val="auto"/>
          <w:sz w:val="23"/>
          <w:szCs w:val="23"/>
          <w:highlight w:val="none"/>
        </w:rPr>
        <w:t>是否存在破坏性检测：</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是，</w:t>
      </w:r>
      <w:r>
        <w:rPr>
          <w:rFonts w:hint="eastAsia" w:ascii="宋体" w:hAnsi="宋体" w:eastAsia="宋体" w:cs="宋体"/>
          <w:bCs/>
          <w:color w:val="auto"/>
          <w:sz w:val="23"/>
          <w:szCs w:val="23"/>
          <w:highlight w:val="none"/>
          <w:u w:val="single"/>
        </w:rPr>
        <w:t>（应明确对被破坏的检测产品的处理方式）</w:t>
      </w:r>
    </w:p>
    <w:p w14:paraId="7A0E4E0A">
      <w:pPr>
        <w:adjustRightInd w:val="0"/>
        <w:snapToGrid w:val="0"/>
        <w:spacing w:line="480" w:lineRule="exact"/>
        <w:ind w:firstLine="920" w:firstLineChars="4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否</w:t>
      </w:r>
    </w:p>
    <w:p w14:paraId="11D4DF5B">
      <w:pPr>
        <w:adjustRightInd w:val="0"/>
        <w:snapToGrid w:val="0"/>
        <w:spacing w:line="480" w:lineRule="exact"/>
        <w:ind w:firstLine="920" w:firstLineChars="400"/>
        <w:rPr>
          <w:rFonts w:hint="eastAsia" w:ascii="宋体" w:hAnsi="宋体" w:eastAsia="宋体" w:cs="宋体"/>
          <w:bCs/>
          <w:color w:val="auto"/>
          <w:sz w:val="23"/>
          <w:szCs w:val="23"/>
          <w:highlight w:val="none"/>
          <w:u w:val="single"/>
        </w:rPr>
      </w:pPr>
      <w:r>
        <w:rPr>
          <w:rFonts w:hint="eastAsia" w:ascii="宋体" w:hAnsi="宋体" w:eastAsia="宋体" w:cs="宋体"/>
          <w:bCs/>
          <w:color w:val="auto"/>
          <w:sz w:val="23"/>
          <w:szCs w:val="23"/>
          <w:highlight w:val="none"/>
        </w:rPr>
        <w:t>验收组织的其他事项：</w:t>
      </w:r>
      <w:r>
        <w:rPr>
          <w:rFonts w:hint="eastAsia" w:ascii="宋体" w:hAnsi="宋体" w:eastAsia="宋体" w:cs="宋体"/>
          <w:bCs/>
          <w:color w:val="auto"/>
          <w:sz w:val="23"/>
          <w:szCs w:val="23"/>
          <w:highlight w:val="none"/>
          <w:u w:val="single"/>
        </w:rPr>
        <w:t xml:space="preserve">                </w:t>
      </w:r>
    </w:p>
    <w:p w14:paraId="2E895424">
      <w:pPr>
        <w:adjustRightInd w:val="0"/>
        <w:snapToGrid w:val="0"/>
        <w:spacing w:line="480" w:lineRule="exact"/>
        <w:ind w:firstLine="460" w:firstLineChars="200"/>
        <w:rPr>
          <w:rFonts w:hint="eastAsia" w:ascii="宋体" w:hAnsi="宋体" w:eastAsia="宋体" w:cs="宋体"/>
          <w:bCs/>
          <w:color w:val="auto"/>
          <w:sz w:val="23"/>
          <w:szCs w:val="23"/>
          <w:highlight w:val="none"/>
          <w:u w:val="single"/>
        </w:rPr>
      </w:pPr>
      <w:r>
        <w:rPr>
          <w:rFonts w:hint="eastAsia" w:ascii="宋体" w:hAnsi="宋体" w:eastAsia="宋体" w:cs="宋体"/>
          <w:bCs/>
          <w:color w:val="auto"/>
          <w:sz w:val="23"/>
          <w:szCs w:val="23"/>
          <w:highlight w:val="none"/>
        </w:rPr>
        <w:t>（2）履约验收时间：</w:t>
      </w:r>
      <w:r>
        <w:rPr>
          <w:rFonts w:hint="eastAsia" w:ascii="宋体" w:hAnsi="宋体" w:eastAsia="宋体" w:cs="宋体"/>
          <w:bCs/>
          <w:color w:val="auto"/>
          <w:sz w:val="23"/>
          <w:szCs w:val="23"/>
          <w:highlight w:val="none"/>
          <w:u w:val="single"/>
        </w:rPr>
        <w:t xml:space="preserve">（计划于何时验收/投标人提出验收申请之日起   日内组织验收） </w:t>
      </w:r>
    </w:p>
    <w:p w14:paraId="656DB7C0">
      <w:pPr>
        <w:adjustRightInd w:val="0"/>
        <w:snapToGrid w:val="0"/>
        <w:spacing w:line="480" w:lineRule="exact"/>
        <w:ind w:firstLine="460" w:firstLineChars="2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（3）履约验收方式：</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 xml:space="preserve">一次性验收         </w:t>
      </w:r>
    </w:p>
    <w:p w14:paraId="3D2F3650">
      <w:pPr>
        <w:adjustRightInd w:val="0"/>
        <w:snapToGrid w:val="0"/>
        <w:spacing w:line="480" w:lineRule="exact"/>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 xml:space="preserve">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分期/分项验收：</w:t>
      </w:r>
      <w:r>
        <w:rPr>
          <w:rFonts w:hint="eastAsia" w:ascii="宋体" w:hAnsi="宋体" w:eastAsia="宋体" w:cs="宋体"/>
          <w:bCs/>
          <w:color w:val="auto"/>
          <w:sz w:val="23"/>
          <w:szCs w:val="23"/>
          <w:highlight w:val="none"/>
          <w:u w:val="single"/>
        </w:rPr>
        <w:t xml:space="preserve"> （应明确分期</w:t>
      </w:r>
      <w:r>
        <w:rPr>
          <w:rFonts w:hint="eastAsia" w:ascii="宋体" w:hAnsi="宋体" w:eastAsia="宋体" w:cs="宋体"/>
          <w:bCs/>
          <w:color w:val="auto"/>
          <w:sz w:val="23"/>
          <w:szCs w:val="23"/>
          <w:highlight w:val="none"/>
          <w:u w:val="single"/>
          <w:lang w:val="en"/>
        </w:rPr>
        <w:t>/分项验收的工作安排</w:t>
      </w:r>
      <w:r>
        <w:rPr>
          <w:rFonts w:hint="eastAsia" w:ascii="宋体" w:hAnsi="宋体" w:eastAsia="宋体" w:cs="宋体"/>
          <w:bCs/>
          <w:color w:val="auto"/>
          <w:sz w:val="23"/>
          <w:szCs w:val="23"/>
          <w:highlight w:val="none"/>
          <w:u w:val="single"/>
        </w:rPr>
        <w:t xml:space="preserve">）  </w:t>
      </w:r>
    </w:p>
    <w:p w14:paraId="574374AD">
      <w:pPr>
        <w:adjustRightInd w:val="0"/>
        <w:snapToGrid w:val="0"/>
        <w:spacing w:line="480" w:lineRule="exact"/>
        <w:ind w:firstLine="460" w:firstLineChars="2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（4）履约验收程序：</w:t>
      </w:r>
      <w:r>
        <w:rPr>
          <w:rFonts w:hint="eastAsia" w:ascii="宋体" w:hAnsi="宋体" w:eastAsia="宋体" w:cs="宋体"/>
          <w:bCs/>
          <w:color w:val="auto"/>
          <w:sz w:val="23"/>
          <w:szCs w:val="23"/>
          <w:highlight w:val="none"/>
          <w:u w:val="single"/>
        </w:rPr>
        <w:t xml:space="preserve">                                         </w:t>
      </w:r>
    </w:p>
    <w:p w14:paraId="51DFF3FA">
      <w:pPr>
        <w:adjustRightInd w:val="0"/>
        <w:snapToGrid w:val="0"/>
        <w:spacing w:line="480" w:lineRule="exact"/>
        <w:ind w:firstLine="460" w:firstLineChars="200"/>
        <w:rPr>
          <w:rFonts w:hint="eastAsia" w:ascii="宋体" w:hAnsi="宋体" w:eastAsia="宋体" w:cs="宋体"/>
          <w:bCs/>
          <w:color w:val="auto"/>
          <w:sz w:val="23"/>
          <w:szCs w:val="23"/>
          <w:highlight w:val="none"/>
          <w:u w:val="single"/>
        </w:rPr>
      </w:pPr>
      <w:r>
        <w:rPr>
          <w:rFonts w:hint="eastAsia" w:ascii="宋体" w:hAnsi="宋体" w:eastAsia="宋体" w:cs="宋体"/>
          <w:bCs/>
          <w:color w:val="auto"/>
          <w:sz w:val="23"/>
          <w:szCs w:val="23"/>
          <w:highlight w:val="none"/>
        </w:rPr>
        <w:t>（5）履约验收的内容：</w:t>
      </w:r>
      <w:r>
        <w:rPr>
          <w:rFonts w:hint="eastAsia" w:ascii="宋体" w:hAnsi="宋体" w:eastAsia="宋体" w:cs="宋体"/>
          <w:bCs/>
          <w:color w:val="auto"/>
          <w:sz w:val="23"/>
          <w:szCs w:val="23"/>
          <w:highlight w:val="none"/>
          <w:u w:val="single"/>
        </w:rPr>
        <w:t xml:space="preserve"> （应当包括每一项技术和商务要求的履约情况，特别是落实政府采购扶持中小企业，支持绿色发展和乡村振兴等政策情况）                                      </w:t>
      </w:r>
    </w:p>
    <w:p w14:paraId="179FA393">
      <w:pPr>
        <w:adjustRightInd w:val="0"/>
        <w:snapToGrid w:val="0"/>
        <w:spacing w:line="480" w:lineRule="exact"/>
        <w:ind w:firstLine="460" w:firstLineChars="200"/>
        <w:rPr>
          <w:rFonts w:hint="eastAsia" w:ascii="宋体" w:hAnsi="宋体" w:eastAsia="宋体" w:cs="宋体"/>
          <w:bCs/>
          <w:color w:val="auto"/>
          <w:sz w:val="23"/>
          <w:szCs w:val="23"/>
          <w:highlight w:val="none"/>
          <w:u w:val="single"/>
        </w:rPr>
      </w:pPr>
      <w:r>
        <w:rPr>
          <w:rFonts w:hint="eastAsia" w:ascii="宋体" w:hAnsi="宋体" w:eastAsia="宋体" w:cs="宋体"/>
          <w:bCs/>
          <w:color w:val="auto"/>
          <w:sz w:val="23"/>
          <w:szCs w:val="23"/>
          <w:highlight w:val="none"/>
        </w:rPr>
        <w:t>（6）履约验收标准：</w:t>
      </w:r>
      <w:r>
        <w:rPr>
          <w:rFonts w:hint="eastAsia" w:ascii="宋体" w:hAnsi="宋体" w:eastAsia="宋体" w:cs="宋体"/>
          <w:bCs/>
          <w:color w:val="auto"/>
          <w:sz w:val="23"/>
          <w:szCs w:val="23"/>
          <w:highlight w:val="none"/>
          <w:u w:val="single"/>
        </w:rPr>
        <w:t xml:space="preserve">                                         </w:t>
      </w:r>
    </w:p>
    <w:p w14:paraId="62530B80">
      <w:pPr>
        <w:pStyle w:val="154"/>
        <w:spacing w:line="480" w:lineRule="exact"/>
        <w:ind w:firstLine="460"/>
        <w:rPr>
          <w:rFonts w:hint="eastAsia" w:ascii="宋体" w:hAnsi="宋体" w:eastAsia="宋体" w:cs="宋体"/>
          <w:color w:val="auto"/>
          <w:sz w:val="23"/>
          <w:szCs w:val="23"/>
          <w:highlight w:val="none"/>
        </w:rPr>
      </w:pPr>
      <w:r>
        <w:rPr>
          <w:rFonts w:hint="eastAsia" w:ascii="宋体" w:hAnsi="宋体" w:eastAsia="宋体" w:cs="宋体"/>
          <w:bCs/>
          <w:color w:val="auto"/>
          <w:sz w:val="23"/>
          <w:szCs w:val="23"/>
          <w:highlight w:val="none"/>
        </w:rPr>
        <w:t>（7）是否以采购活动中投标人提供的样品作为参考：</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 xml:space="preserve">是  </w:t>
      </w:r>
      <w:r>
        <w:rPr>
          <w:rFonts w:hint="eastAsia" w:ascii="宋体" w:hAnsi="宋体" w:eastAsia="宋体" w:cs="宋体"/>
          <w:color w:val="auto"/>
          <w:sz w:val="23"/>
          <w:szCs w:val="23"/>
          <w:highlight w:val="none"/>
        </w:rPr>
        <w:sym w:font="Wingdings" w:char="00A8"/>
      </w:r>
      <w:r>
        <w:rPr>
          <w:rFonts w:hint="eastAsia" w:ascii="宋体" w:hAnsi="宋体" w:eastAsia="宋体" w:cs="宋体"/>
          <w:bCs/>
          <w:color w:val="auto"/>
          <w:sz w:val="23"/>
          <w:szCs w:val="23"/>
          <w:highlight w:val="none"/>
        </w:rPr>
        <w:t>否</w:t>
      </w:r>
    </w:p>
    <w:p w14:paraId="26ED2A2F">
      <w:pPr>
        <w:adjustRightInd w:val="0"/>
        <w:snapToGrid w:val="0"/>
        <w:spacing w:line="480" w:lineRule="exact"/>
        <w:ind w:firstLine="460" w:firstLineChars="200"/>
        <w:rPr>
          <w:rFonts w:hint="eastAsia" w:ascii="宋体" w:hAnsi="宋体" w:eastAsia="宋体" w:cs="宋体"/>
          <w:bCs/>
          <w:color w:val="auto"/>
          <w:sz w:val="23"/>
          <w:szCs w:val="23"/>
          <w:highlight w:val="none"/>
          <w:u w:val="single"/>
        </w:rPr>
      </w:pPr>
      <w:r>
        <w:rPr>
          <w:rFonts w:hint="eastAsia" w:ascii="宋体" w:hAnsi="宋体" w:eastAsia="宋体" w:cs="宋体"/>
          <w:bCs/>
          <w:color w:val="auto"/>
          <w:sz w:val="23"/>
          <w:szCs w:val="23"/>
          <w:highlight w:val="none"/>
        </w:rPr>
        <w:t>（8）履约验收其他事项：</w:t>
      </w:r>
      <w:r>
        <w:rPr>
          <w:rFonts w:hint="eastAsia" w:ascii="宋体" w:hAnsi="宋体" w:eastAsia="宋体" w:cs="宋体"/>
          <w:bCs/>
          <w:color w:val="auto"/>
          <w:sz w:val="23"/>
          <w:szCs w:val="23"/>
          <w:highlight w:val="none"/>
          <w:u w:val="single"/>
        </w:rPr>
        <w:t xml:space="preserve">      （产权过户登记等）          </w:t>
      </w:r>
    </w:p>
    <w:p w14:paraId="73780A23">
      <w:pPr>
        <w:numPr>
          <w:ilvl w:val="0"/>
          <w:numId w:val="8"/>
        </w:numPr>
        <w:adjustRightInd w:val="0"/>
        <w:snapToGrid w:val="0"/>
        <w:spacing w:line="480" w:lineRule="exact"/>
        <w:ind w:firstLine="462" w:firstLineChars="200"/>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组成合同的文件</w:t>
      </w:r>
    </w:p>
    <w:p w14:paraId="5F29E257">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本协议书与下列文件一起构成合同文件，如下述文件之间有任何抵触、矛盾或歧义，应按以下顺序解释：</w:t>
      </w:r>
    </w:p>
    <w:p w14:paraId="64DD06BC">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（1）政府采购合同协议书及其变更、补充协议</w:t>
      </w:r>
    </w:p>
    <w:p w14:paraId="0E58400E">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（2）政府采购合同专用条款</w:t>
      </w:r>
    </w:p>
    <w:p w14:paraId="6A9DFFD2">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（3）政府采购合同通用条款</w:t>
      </w:r>
    </w:p>
    <w:p w14:paraId="4A6C17F8">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（4）中标（成交）通知书</w:t>
      </w:r>
    </w:p>
    <w:p w14:paraId="2FE06886">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（5）投标（响应）文件</w:t>
      </w:r>
    </w:p>
    <w:p w14:paraId="4F16B7F1">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（6）采购文件</w:t>
      </w:r>
    </w:p>
    <w:p w14:paraId="359B7B88">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（7）有关技术文件，图纸</w:t>
      </w:r>
    </w:p>
    <w:p w14:paraId="28DEE839">
      <w:pPr>
        <w:pStyle w:val="154"/>
        <w:spacing w:line="480" w:lineRule="exact"/>
        <w:ind w:firstLine="460"/>
        <w:rPr>
          <w:rFonts w:hint="eastAsia" w:ascii="宋体" w:hAnsi="宋体" w:eastAsia="宋体" w:cs="宋体"/>
          <w:color w:val="auto"/>
          <w:kern w:val="2"/>
          <w:sz w:val="23"/>
          <w:szCs w:val="23"/>
          <w:highlight w:val="none"/>
        </w:rPr>
      </w:pPr>
      <w:r>
        <w:rPr>
          <w:rFonts w:hint="eastAsia" w:ascii="宋体" w:hAnsi="宋体" w:eastAsia="宋体" w:cs="宋体"/>
          <w:color w:val="auto"/>
          <w:sz w:val="23"/>
          <w:szCs w:val="23"/>
          <w:highlight w:val="none"/>
        </w:rPr>
        <w:t>（8）</w:t>
      </w:r>
      <w:r>
        <w:rPr>
          <w:rFonts w:hint="eastAsia" w:ascii="宋体" w:hAnsi="宋体" w:eastAsia="宋体" w:cs="宋体"/>
          <w:color w:val="auto"/>
          <w:kern w:val="2"/>
          <w:sz w:val="23"/>
          <w:szCs w:val="23"/>
          <w:highlight w:val="none"/>
        </w:rPr>
        <w:t>国家法律、行政法规和规章制度规定或合同约定的作为合同组成部分的其他文件</w:t>
      </w:r>
    </w:p>
    <w:p w14:paraId="0A7FA80E">
      <w:pPr>
        <w:numPr>
          <w:ilvl w:val="0"/>
          <w:numId w:val="8"/>
        </w:numPr>
        <w:adjustRightInd w:val="0"/>
        <w:snapToGrid w:val="0"/>
        <w:spacing w:line="480" w:lineRule="exact"/>
        <w:ind w:firstLine="462" w:firstLineChars="200"/>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合同生效</w:t>
      </w:r>
    </w:p>
    <w:p w14:paraId="5E5ED04A">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本合同自</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生效。</w:t>
      </w:r>
    </w:p>
    <w:p w14:paraId="7669915A">
      <w:pPr>
        <w:numPr>
          <w:ilvl w:val="0"/>
          <w:numId w:val="8"/>
        </w:numPr>
        <w:adjustRightInd w:val="0"/>
        <w:snapToGrid w:val="0"/>
        <w:spacing w:line="480" w:lineRule="exact"/>
        <w:ind w:firstLine="462" w:firstLineChars="200"/>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合同份数</w:t>
      </w:r>
    </w:p>
    <w:p w14:paraId="4AFA2E2B">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本合同一式</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份，甲方执</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份，乙方执</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份，均具有同等法律效力。</w:t>
      </w:r>
    </w:p>
    <w:p w14:paraId="7ACA06DA">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合同订立时间：</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年</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月</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日</w:t>
      </w:r>
    </w:p>
    <w:p w14:paraId="3375D43B">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合同订立地点：</w:t>
      </w:r>
      <w:r>
        <w:rPr>
          <w:rFonts w:hint="eastAsia" w:ascii="宋体" w:hAnsi="宋体" w:eastAsia="宋体" w:cs="宋体"/>
          <w:color w:val="auto"/>
          <w:sz w:val="23"/>
          <w:szCs w:val="23"/>
          <w:highlight w:val="none"/>
          <w:u w:val="single"/>
        </w:rPr>
        <w:t xml:space="preserve">                           </w:t>
      </w:r>
    </w:p>
    <w:p w14:paraId="4A5B98CD">
      <w:pPr>
        <w:adjustRightInd w:val="0"/>
        <w:snapToGrid w:val="0"/>
        <w:spacing w:line="480" w:lineRule="exact"/>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附件：具体标的及其技术要求和商务要求、联合协议、分包意向协议等。</w:t>
      </w:r>
    </w:p>
    <w:p w14:paraId="3701C13F">
      <w:pPr>
        <w:pStyle w:val="69"/>
        <w:spacing w:line="400" w:lineRule="exact"/>
        <w:rPr>
          <w:rFonts w:hint="eastAsia" w:ascii="宋体" w:hAnsi="宋体" w:eastAsia="宋体" w:cs="宋体"/>
          <w:color w:val="auto"/>
          <w:highlight w:val="none"/>
        </w:rPr>
      </w:pPr>
    </w:p>
    <w:p w14:paraId="595F6062">
      <w:pPr>
        <w:pStyle w:val="3"/>
        <w:numPr>
          <w:ilvl w:val="1"/>
          <w:numId w:val="0"/>
        </w:numPr>
        <w:spacing w:line="400" w:lineRule="exact"/>
        <w:ind w:left="810"/>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
        </w:rPr>
        <w:t xml:space="preserve">   </w:t>
      </w:r>
    </w:p>
    <w:p w14:paraId="3B0168E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022C6A1">
      <w:pPr>
        <w:pStyle w:val="69"/>
        <w:rPr>
          <w:rFonts w:hint="eastAsia" w:ascii="宋体" w:hAnsi="宋体" w:eastAsia="宋体" w:cs="宋体"/>
          <w:color w:val="auto"/>
          <w:highlight w:val="none"/>
        </w:rPr>
      </w:pPr>
    </w:p>
    <w:tbl>
      <w:tblPr>
        <w:tblStyle w:val="3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E21F7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2562" w:type="pct"/>
            <w:gridSpan w:val="2"/>
            <w:tcBorders>
              <w:bottom w:val="single" w:color="auto" w:sz="2" w:space="0"/>
              <w:right w:val="single" w:color="auto" w:sz="2" w:space="0"/>
            </w:tcBorders>
            <w:vAlign w:val="center"/>
          </w:tcPr>
          <w:p w14:paraId="112ADE5D">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34A16164">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乙方（投标人）</w:t>
            </w:r>
          </w:p>
        </w:tc>
      </w:tr>
      <w:tr w14:paraId="1F0251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126" w:type="pct"/>
            <w:tcBorders>
              <w:top w:val="single" w:color="auto" w:sz="2" w:space="0"/>
              <w:bottom w:val="single" w:color="auto" w:sz="2" w:space="0"/>
              <w:right w:val="single" w:color="auto" w:sz="2" w:space="0"/>
            </w:tcBorders>
            <w:vAlign w:val="center"/>
          </w:tcPr>
          <w:p w14:paraId="681BBA45">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AC5E334">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4A9F836">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67A423E7">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10F54D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6FE5E24">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法定代表人</w:t>
            </w:r>
          </w:p>
          <w:p w14:paraId="576E6A76">
            <w:pPr>
              <w:adjustRightInd w:val="0"/>
              <w:snapToGrid w:val="0"/>
              <w:spacing w:line="300" w:lineRule="exact"/>
              <w:ind w:firstLine="110" w:firstLineChars="48"/>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1F71379">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right w:val="single" w:color="auto" w:sz="2" w:space="0"/>
            </w:tcBorders>
            <w:vAlign w:val="center"/>
          </w:tcPr>
          <w:p w14:paraId="3EB2E44C">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法定代表人</w:t>
            </w:r>
          </w:p>
          <w:p w14:paraId="6FECFB31">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716D80DB">
            <w:pPr>
              <w:adjustRightInd w:val="0"/>
              <w:snapToGrid w:val="0"/>
              <w:spacing w:line="300" w:lineRule="exact"/>
              <w:jc w:val="center"/>
              <w:rPr>
                <w:rFonts w:hint="eastAsia" w:ascii="宋体" w:hAnsi="宋体" w:eastAsia="宋体" w:cs="宋体"/>
                <w:color w:val="auto"/>
                <w:sz w:val="23"/>
                <w:szCs w:val="23"/>
                <w:highlight w:val="none"/>
              </w:rPr>
            </w:pPr>
          </w:p>
        </w:tc>
      </w:tr>
      <w:tr w14:paraId="0F1C94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DB33E92">
            <w:pPr>
              <w:adjustRightInd w:val="0"/>
              <w:snapToGrid w:val="0"/>
              <w:spacing w:line="300" w:lineRule="exact"/>
              <w:jc w:val="center"/>
              <w:rPr>
                <w:rFonts w:hint="eastAsia" w:ascii="宋体" w:hAnsi="宋体" w:eastAsia="宋体" w:cs="宋体"/>
                <w:color w:val="auto"/>
                <w:sz w:val="23"/>
                <w:szCs w:val="23"/>
                <w:highlight w:val="none"/>
              </w:rPr>
            </w:pPr>
          </w:p>
        </w:tc>
        <w:tc>
          <w:tcPr>
            <w:tcW w:w="1436" w:type="pct"/>
            <w:vMerge w:val="continue"/>
            <w:tcBorders>
              <w:left w:val="single" w:color="auto" w:sz="2" w:space="0"/>
              <w:bottom w:val="single" w:color="auto" w:sz="2" w:space="0"/>
              <w:right w:val="single" w:color="auto" w:sz="2" w:space="0"/>
            </w:tcBorders>
            <w:vAlign w:val="center"/>
          </w:tcPr>
          <w:p w14:paraId="50743FC1">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BEAB5A">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拥有者性别</w:t>
            </w:r>
          </w:p>
        </w:tc>
        <w:tc>
          <w:tcPr>
            <w:tcW w:w="1259" w:type="pct"/>
            <w:tcBorders>
              <w:top w:val="single" w:color="auto" w:sz="2" w:space="0"/>
              <w:left w:val="single" w:color="auto" w:sz="2" w:space="0"/>
              <w:bottom w:val="single" w:color="auto" w:sz="2" w:space="0"/>
            </w:tcBorders>
            <w:vAlign w:val="center"/>
          </w:tcPr>
          <w:p w14:paraId="2BC0662D">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7DACF2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8B2EDA">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49155B6">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91EBE7">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住  所</w:t>
            </w:r>
          </w:p>
        </w:tc>
        <w:tc>
          <w:tcPr>
            <w:tcW w:w="1259" w:type="pct"/>
            <w:tcBorders>
              <w:top w:val="single" w:color="auto" w:sz="2" w:space="0"/>
              <w:left w:val="single" w:color="auto" w:sz="2" w:space="0"/>
              <w:bottom w:val="single" w:color="auto" w:sz="2" w:space="0"/>
            </w:tcBorders>
            <w:vAlign w:val="center"/>
          </w:tcPr>
          <w:p w14:paraId="6713CD04">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7713C7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F19F68">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67D431B">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E84330E">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联 系 人</w:t>
            </w:r>
          </w:p>
        </w:tc>
        <w:tc>
          <w:tcPr>
            <w:tcW w:w="1259" w:type="pct"/>
            <w:tcBorders>
              <w:top w:val="single" w:color="auto" w:sz="2" w:space="0"/>
              <w:left w:val="single" w:color="auto" w:sz="2" w:space="0"/>
              <w:bottom w:val="single" w:color="auto" w:sz="2" w:space="0"/>
            </w:tcBorders>
            <w:vAlign w:val="center"/>
          </w:tcPr>
          <w:p w14:paraId="40A78E88">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7AA9EA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CE00E3">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604ECFE">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048EA9">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联系电话</w:t>
            </w:r>
          </w:p>
        </w:tc>
        <w:tc>
          <w:tcPr>
            <w:tcW w:w="1259" w:type="pct"/>
            <w:tcBorders>
              <w:top w:val="single" w:color="auto" w:sz="2" w:space="0"/>
              <w:left w:val="single" w:color="auto" w:sz="2" w:space="0"/>
              <w:bottom w:val="single" w:color="auto" w:sz="2" w:space="0"/>
            </w:tcBorders>
            <w:vAlign w:val="center"/>
          </w:tcPr>
          <w:p w14:paraId="07E1C0B1">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4836A4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A412B3">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86E44F4">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581C02">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通信地址</w:t>
            </w:r>
          </w:p>
        </w:tc>
        <w:tc>
          <w:tcPr>
            <w:tcW w:w="1259" w:type="pct"/>
            <w:tcBorders>
              <w:top w:val="single" w:color="auto" w:sz="2" w:space="0"/>
              <w:left w:val="single" w:color="auto" w:sz="2" w:space="0"/>
              <w:bottom w:val="single" w:color="auto" w:sz="2" w:space="0"/>
            </w:tcBorders>
            <w:vAlign w:val="center"/>
          </w:tcPr>
          <w:p w14:paraId="34374AA0">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0F9A2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0954F">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FACEAF1">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BDE11C">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邮政编码</w:t>
            </w:r>
          </w:p>
        </w:tc>
        <w:tc>
          <w:tcPr>
            <w:tcW w:w="1259" w:type="pct"/>
            <w:tcBorders>
              <w:top w:val="single" w:color="auto" w:sz="2" w:space="0"/>
              <w:left w:val="single" w:color="auto" w:sz="2" w:space="0"/>
              <w:bottom w:val="single" w:color="auto" w:sz="2" w:space="0"/>
            </w:tcBorders>
            <w:vAlign w:val="center"/>
          </w:tcPr>
          <w:p w14:paraId="4A71ECE7">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13712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95789A">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9406592">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85394E">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电子邮箱</w:t>
            </w:r>
          </w:p>
        </w:tc>
        <w:tc>
          <w:tcPr>
            <w:tcW w:w="1259" w:type="pct"/>
            <w:tcBorders>
              <w:top w:val="single" w:color="auto" w:sz="2" w:space="0"/>
              <w:left w:val="single" w:color="auto" w:sz="2" w:space="0"/>
              <w:bottom w:val="single" w:color="auto" w:sz="2" w:space="0"/>
            </w:tcBorders>
            <w:vAlign w:val="center"/>
          </w:tcPr>
          <w:p w14:paraId="3FF41FB5">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1E578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4BA620">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C310A52">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65A675">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6AFB8F7">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2B1998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464B23">
            <w:pPr>
              <w:adjustRightInd w:val="0"/>
              <w:snapToGrid w:val="0"/>
              <w:spacing w:line="300" w:lineRule="exact"/>
              <w:jc w:val="center"/>
              <w:rPr>
                <w:rFonts w:hint="eastAsia" w:ascii="宋体" w:hAnsi="宋体" w:eastAsia="宋体" w:cs="宋体"/>
                <w:color w:val="auto"/>
                <w:sz w:val="23"/>
                <w:szCs w:val="23"/>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BD486C">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900E62">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开户名称</w:t>
            </w:r>
          </w:p>
        </w:tc>
        <w:tc>
          <w:tcPr>
            <w:tcW w:w="1259" w:type="pct"/>
            <w:tcBorders>
              <w:top w:val="single" w:color="auto" w:sz="2" w:space="0"/>
              <w:left w:val="single" w:color="auto" w:sz="2" w:space="0"/>
              <w:bottom w:val="single" w:color="auto" w:sz="2" w:space="0"/>
            </w:tcBorders>
            <w:vAlign w:val="center"/>
          </w:tcPr>
          <w:p w14:paraId="5A849373">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390F51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F8FB18">
            <w:pPr>
              <w:adjustRightInd w:val="0"/>
              <w:snapToGrid w:val="0"/>
              <w:spacing w:line="300" w:lineRule="exact"/>
              <w:jc w:val="center"/>
              <w:rPr>
                <w:rFonts w:hint="eastAsia" w:ascii="宋体" w:hAnsi="宋体" w:eastAsia="宋体" w:cs="宋体"/>
                <w:color w:val="auto"/>
                <w:sz w:val="23"/>
                <w:szCs w:val="23"/>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DC5805D">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DA55E9">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开户银行</w:t>
            </w:r>
          </w:p>
        </w:tc>
        <w:tc>
          <w:tcPr>
            <w:tcW w:w="1259" w:type="pct"/>
            <w:tcBorders>
              <w:top w:val="single" w:color="auto" w:sz="2" w:space="0"/>
              <w:left w:val="single" w:color="auto" w:sz="2" w:space="0"/>
              <w:bottom w:val="single" w:color="auto" w:sz="2" w:space="0"/>
            </w:tcBorders>
            <w:vAlign w:val="center"/>
          </w:tcPr>
          <w:p w14:paraId="5F1EBB96">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0B67FB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BECCB9">
            <w:pPr>
              <w:adjustRightInd w:val="0"/>
              <w:snapToGrid w:val="0"/>
              <w:spacing w:line="300" w:lineRule="exact"/>
              <w:jc w:val="center"/>
              <w:rPr>
                <w:rFonts w:hint="eastAsia" w:ascii="宋体" w:hAnsi="宋体" w:eastAsia="宋体" w:cs="宋体"/>
                <w:color w:val="auto"/>
                <w:sz w:val="23"/>
                <w:szCs w:val="23"/>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1C096A0">
            <w:pPr>
              <w:adjustRightInd w:val="0"/>
              <w:snapToGrid w:val="0"/>
              <w:spacing w:line="300" w:lineRule="exact"/>
              <w:jc w:val="center"/>
              <w:rPr>
                <w:rFonts w:hint="eastAsia" w:ascii="宋体" w:hAnsi="宋体" w:eastAsia="宋体" w:cs="宋体"/>
                <w:color w:val="auto"/>
                <w:sz w:val="23"/>
                <w:szCs w:val="23"/>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5F1B31">
            <w:pPr>
              <w:adjustRightInd w:val="0"/>
              <w:snapToGrid w:val="0"/>
              <w:spacing w:line="300" w:lineRule="exact"/>
              <w:jc w:val="center"/>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银行账号</w:t>
            </w:r>
          </w:p>
        </w:tc>
        <w:tc>
          <w:tcPr>
            <w:tcW w:w="1259" w:type="pct"/>
            <w:tcBorders>
              <w:top w:val="single" w:color="auto" w:sz="2" w:space="0"/>
              <w:left w:val="single" w:color="auto" w:sz="2" w:space="0"/>
              <w:bottom w:val="single" w:color="auto" w:sz="2" w:space="0"/>
            </w:tcBorders>
            <w:vAlign w:val="center"/>
          </w:tcPr>
          <w:p w14:paraId="5FA300F1">
            <w:pPr>
              <w:adjustRightInd w:val="0"/>
              <w:snapToGrid w:val="0"/>
              <w:spacing w:line="300" w:lineRule="exact"/>
              <w:jc w:val="center"/>
              <w:rPr>
                <w:rFonts w:hint="eastAsia" w:ascii="宋体" w:hAnsi="宋体" w:eastAsia="宋体" w:cs="宋体"/>
                <w:color w:val="auto"/>
                <w:spacing w:val="20"/>
                <w:sz w:val="23"/>
                <w:szCs w:val="23"/>
                <w:highlight w:val="none"/>
              </w:rPr>
            </w:pPr>
          </w:p>
        </w:tc>
      </w:tr>
      <w:tr w14:paraId="0FAA9C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F314180">
            <w:pPr>
              <w:pStyle w:val="18"/>
              <w:adjustRightInd w:val="0"/>
              <w:snapToGrid w:val="0"/>
              <w:spacing w:before="156" w:beforeLines="50" w:after="0" w:line="360" w:lineRule="auto"/>
              <w:ind w:left="0" w:leftChars="0"/>
              <w:jc w:val="left"/>
              <w:rPr>
                <w:rFonts w:hint="eastAsia" w:ascii="宋体" w:hAnsi="宋体" w:eastAsia="宋体" w:cs="宋体"/>
                <w:color w:val="auto"/>
                <w:spacing w:val="20"/>
                <w:sz w:val="23"/>
                <w:szCs w:val="23"/>
                <w:highlight w:val="none"/>
              </w:rPr>
            </w:pPr>
            <w:r>
              <w:rPr>
                <w:rFonts w:hint="eastAsia" w:ascii="宋体" w:hAnsi="宋体" w:eastAsia="宋体" w:cs="宋体"/>
                <w:color w:val="auto"/>
                <w:sz w:val="23"/>
                <w:szCs w:val="23"/>
                <w:highlight w:val="none"/>
              </w:rPr>
              <w:t>注：涉及联合体或其他合同主体的信息应按上表格式加列。</w:t>
            </w:r>
          </w:p>
        </w:tc>
      </w:tr>
    </w:tbl>
    <w:p w14:paraId="1F315C51">
      <w:pPr>
        <w:pStyle w:val="3"/>
        <w:numPr>
          <w:ilvl w:val="1"/>
          <w:numId w:val="0"/>
        </w:numPr>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23" w:name="_Toc27624"/>
      <w:r>
        <w:rPr>
          <w:rFonts w:hint="eastAsia" w:ascii="宋体" w:hAnsi="宋体" w:eastAsia="宋体" w:cs="宋体"/>
          <w:color w:val="auto"/>
          <w:sz w:val="28"/>
          <w:szCs w:val="28"/>
          <w:highlight w:val="none"/>
        </w:rPr>
        <w:t>第二节 政府采购合同通用条款</w:t>
      </w:r>
      <w:bookmarkEnd w:id="23"/>
    </w:p>
    <w:p w14:paraId="43AF4EBE">
      <w:pPr>
        <w:tabs>
          <w:tab w:val="left" w:pos="8820"/>
          <w:tab w:val="left" w:pos="9345"/>
          <w:tab w:val="left" w:pos="9765"/>
        </w:tabs>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bCs/>
          <w:color w:val="auto"/>
          <w:sz w:val="28"/>
          <w:szCs w:val="28"/>
          <w:highlight w:val="none"/>
        </w:rPr>
        <w:t>定义</w:t>
      </w:r>
    </w:p>
    <w:p w14:paraId="376C9528">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1.1合同当事人</w:t>
      </w:r>
    </w:p>
    <w:p w14:paraId="5BA2F9F8">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（1）采购人（以下称甲方）是指使用财政性资金，通过政府采购方式向投标人购买货物及其相关服务的国家机关、事业单位、团体组织。</w:t>
      </w:r>
    </w:p>
    <w:p w14:paraId="165C8227">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（2）投标人（以下称乙方）是指参加政府采购活动并且中标（成交），向采购人提供合同约定的货物及其相关服务的法人、非法人组织或者自然人。</w:t>
      </w:r>
    </w:p>
    <w:p w14:paraId="75F9CA96">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（3）其他合同主体是指除采购人和投标人以外，</w:t>
      </w:r>
      <w:r>
        <w:rPr>
          <w:rFonts w:hint="eastAsia" w:ascii="宋体" w:hAnsi="宋体" w:eastAsia="宋体" w:cs="宋体"/>
          <w:bCs/>
          <w:color w:val="auto"/>
          <w:sz w:val="22"/>
          <w:szCs w:val="22"/>
          <w:highlight w:val="none"/>
        </w:rPr>
        <w:t>依法参与合同缔结或履行，享有权利、承担义务的合同当事人</w:t>
      </w:r>
      <w:r>
        <w:rPr>
          <w:rFonts w:hint="eastAsia" w:ascii="宋体" w:hAnsi="宋体" w:eastAsia="宋体" w:cs="宋体"/>
          <w:color w:val="auto"/>
          <w:sz w:val="22"/>
          <w:szCs w:val="22"/>
          <w:highlight w:val="none"/>
        </w:rPr>
        <w:t>。</w:t>
      </w:r>
    </w:p>
    <w:p w14:paraId="0ADDD415">
      <w:pPr>
        <w:tabs>
          <w:tab w:val="left" w:pos="570"/>
          <w:tab w:val="left" w:pos="9240"/>
          <w:tab w:val="left" w:pos="9555"/>
        </w:tabs>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1.2本合同下列术语应解释为：</w:t>
      </w:r>
    </w:p>
    <w:p w14:paraId="7B1DD935">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w:t>
      </w:r>
      <w:r>
        <w:rPr>
          <w:rFonts w:hint="eastAsia" w:ascii="宋体" w:hAnsi="宋体" w:eastAsia="宋体" w:cs="宋体"/>
          <w:bCs/>
          <w:color w:val="auto"/>
          <w:sz w:val="22"/>
          <w:szCs w:val="22"/>
          <w:highlight w:val="none"/>
        </w:rPr>
        <w:t>合同当事人意思表示达成一致的任何协议，包括签署的</w:t>
      </w:r>
      <w:r>
        <w:rPr>
          <w:rFonts w:hint="eastAsia" w:ascii="宋体" w:hAnsi="宋体" w:eastAsia="宋体" w:cs="宋体"/>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322AD35">
      <w:pPr>
        <w:tabs>
          <w:tab w:val="left" w:pos="570"/>
          <w:tab w:val="left" w:pos="9240"/>
          <w:tab w:val="left" w:pos="9555"/>
        </w:tabs>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（2）“合同价款”系指根据本合同规定乙方在全面履行合同义务后甲方应支付给乙方的价款。</w:t>
      </w:r>
    </w:p>
    <w:p w14:paraId="245B93E9">
      <w:pPr>
        <w:tabs>
          <w:tab w:val="left" w:pos="570"/>
          <w:tab w:val="left" w:pos="9240"/>
          <w:tab w:val="left" w:pos="9555"/>
        </w:tabs>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pacing w:val="-6"/>
          <w:sz w:val="22"/>
          <w:szCs w:val="22"/>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pacing w:val="-6"/>
          <w:sz w:val="22"/>
          <w:szCs w:val="22"/>
          <w:highlight w:val="none"/>
          <w:lang w:val="en"/>
        </w:rPr>
        <w:t>其他</w:t>
      </w:r>
      <w:r>
        <w:rPr>
          <w:rFonts w:hint="eastAsia" w:ascii="宋体" w:hAnsi="宋体" w:eastAsia="宋体" w:cs="宋体"/>
          <w:color w:val="auto"/>
          <w:spacing w:val="-6"/>
          <w:sz w:val="22"/>
          <w:szCs w:val="22"/>
          <w:highlight w:val="none"/>
        </w:rPr>
        <w:t>技术资料和材料等。</w:t>
      </w:r>
    </w:p>
    <w:p w14:paraId="68461A53">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（4）“相关服务”系指根据合同规定，乙方应提供的与货物有关的技术、管理和</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义务。</w:t>
      </w:r>
    </w:p>
    <w:p w14:paraId="646CC355">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（5）“分包”系指中标（成交）投标人按采购文件、投标（响应）文件的规定，根据分包意向协议，将中标（成交）项目中的部分履约内容，分给具有相应资质条件的投标人履行合同的行为。</w:t>
      </w:r>
    </w:p>
    <w:p w14:paraId="3B8E8446">
      <w:pPr>
        <w:tabs>
          <w:tab w:val="left" w:pos="570"/>
          <w:tab w:val="left" w:pos="9240"/>
          <w:tab w:val="left" w:pos="9555"/>
        </w:tabs>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系指由两个以上的自然人、法人或者非法人组织组成，以一个投标人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14:paraId="65753696">
      <w:pPr>
        <w:tabs>
          <w:tab w:val="left" w:pos="570"/>
          <w:tab w:val="left" w:pos="9240"/>
          <w:tab w:val="left" w:pos="9555"/>
        </w:tabs>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（7）其他术语解释，见【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14:paraId="5CBC0B6E">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2.合同标的及金额</w:t>
      </w:r>
    </w:p>
    <w:p w14:paraId="350F6D3A">
      <w:pPr>
        <w:autoSpaceDE w:val="0"/>
        <w:autoSpaceDN w:val="0"/>
        <w:adjustRightInd w:val="0"/>
        <w:snapToGrid w:val="0"/>
        <w:spacing w:line="480" w:lineRule="exact"/>
        <w:ind w:firstLine="440" w:firstLineChars="200"/>
        <w:jc w:val="left"/>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任何费用。</w:t>
      </w:r>
    </w:p>
    <w:p w14:paraId="2BDE23FC">
      <w:pPr>
        <w:adjustRightInd w:val="0"/>
        <w:snapToGrid w:val="0"/>
        <w:spacing w:line="48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3.履行合同的时间、地点和方式</w:t>
      </w:r>
    </w:p>
    <w:p w14:paraId="04175331">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乙方应当在约定的时间、地点，按照约定方式履行合同。</w:t>
      </w:r>
    </w:p>
    <w:p w14:paraId="0DDF2DB6">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4.甲方的权利和义务</w:t>
      </w:r>
    </w:p>
    <w:p w14:paraId="45E9475B">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163364B">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14:paraId="7626929D">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甲方有权要求乙方对缺陷部分予以修复，并按合同约定享有货物保修及其他合同约定的权利。</w:t>
      </w:r>
    </w:p>
    <w:p w14:paraId="40D39A27">
      <w:pPr>
        <w:snapToGrid w:val="0"/>
        <w:spacing w:line="48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4.4 甲方应当按照合同约定及时对交付的货物进行验收，未在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约定的期限内对乙方履约提出任何异议或者向乙方作出任何说明的，视为验收通过。</w:t>
      </w:r>
    </w:p>
    <w:p w14:paraId="10CDB398">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 甲方应当根据合同约定及时向乙方支付合同价款，不得以内部人员变更、履行内部付款流程等为由，拒绝或迟延支付。</w:t>
      </w:r>
    </w:p>
    <w:p w14:paraId="3E6F9780">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 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约定应由甲方承担的其他义务和责任。</w:t>
      </w:r>
    </w:p>
    <w:p w14:paraId="5A13D5B3">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5.乙方的权利和义务</w:t>
      </w:r>
    </w:p>
    <w:p w14:paraId="45FA29D1">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签署合同后，乙方应确定项目负责人（或项目联系人），负责与本合同有关的事务。</w:t>
      </w:r>
    </w:p>
    <w:p w14:paraId="2922FF15">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EA09F65">
      <w:pPr>
        <w:pStyle w:val="17"/>
        <w:spacing w:after="0" w:line="480" w:lineRule="exact"/>
        <w:ind w:firstLine="387" w:firstLineChars="176"/>
        <w:rPr>
          <w:rFonts w:hint="eastAsia" w:ascii="宋体" w:hAnsi="宋体" w:eastAsia="宋体" w:cs="宋体"/>
          <w:color w:val="auto"/>
          <w:sz w:val="22"/>
          <w:highlight w:val="none"/>
        </w:rPr>
      </w:pPr>
      <w:r>
        <w:rPr>
          <w:rFonts w:hint="eastAsia" w:ascii="宋体" w:hAnsi="宋体" w:eastAsia="宋体" w:cs="宋体"/>
          <w:color w:val="auto"/>
          <w:sz w:val="22"/>
          <w:highlight w:val="none"/>
        </w:rPr>
        <w:t>5.3乙方有权根据合同约定向甲方收取合同价款。</w:t>
      </w:r>
    </w:p>
    <w:p w14:paraId="330FCC92">
      <w:pPr>
        <w:pStyle w:val="17"/>
        <w:spacing w:after="0" w:line="480" w:lineRule="exact"/>
        <w:ind w:firstLine="387" w:firstLineChars="176"/>
        <w:rPr>
          <w:rFonts w:hint="eastAsia" w:ascii="宋体" w:hAnsi="宋体" w:eastAsia="宋体" w:cs="宋体"/>
          <w:color w:val="auto"/>
          <w:sz w:val="22"/>
          <w:highlight w:val="none"/>
        </w:rPr>
      </w:pPr>
      <w:r>
        <w:rPr>
          <w:rFonts w:hint="eastAsia" w:ascii="宋体" w:hAnsi="宋体" w:eastAsia="宋体" w:cs="宋体"/>
          <w:color w:val="auto"/>
          <w:sz w:val="22"/>
          <w:highlight w:val="none"/>
        </w:rPr>
        <w:t>5.4国家法律法规规定及</w:t>
      </w:r>
      <w:r>
        <w:rPr>
          <w:rFonts w:hint="eastAsia" w:ascii="宋体" w:hAnsi="宋体" w:eastAsia="宋体" w:cs="宋体"/>
          <w:b/>
          <w:bCs/>
          <w:color w:val="auto"/>
          <w:sz w:val="22"/>
          <w:highlight w:val="none"/>
        </w:rPr>
        <w:t>【政府采购合同专用条款】</w:t>
      </w:r>
      <w:r>
        <w:rPr>
          <w:rFonts w:hint="eastAsia" w:ascii="宋体" w:hAnsi="宋体" w:eastAsia="宋体" w:cs="宋体"/>
          <w:color w:val="auto"/>
          <w:sz w:val="22"/>
          <w:highlight w:val="none"/>
        </w:rPr>
        <w:t>约定应由乙方承担的其他义务和责任。</w:t>
      </w:r>
    </w:p>
    <w:p w14:paraId="0027BF94">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6.合同履行</w:t>
      </w:r>
    </w:p>
    <w:p w14:paraId="0FED4FA2">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甲乙双方应当按照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约定顺序履行合同义务；如果没有先后顺序的，应当同时履行。</w:t>
      </w:r>
    </w:p>
    <w:p w14:paraId="1E14BC8B">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14:paraId="1C91D54E">
      <w:pPr>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7.货物包装、运输、保险和交付要求</w:t>
      </w:r>
    </w:p>
    <w:p w14:paraId="21B0CEDB">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本合同</w:t>
      </w:r>
      <w:r>
        <w:rPr>
          <w:rFonts w:hint="eastAsia" w:ascii="宋体" w:hAnsi="宋体" w:eastAsia="宋体" w:cs="宋体"/>
          <w:bCs/>
          <w:color w:val="auto"/>
          <w:sz w:val="22"/>
          <w:szCs w:val="22"/>
          <w:highlight w:val="none"/>
        </w:rPr>
        <w:t>涉及商品包装、快递包装的，</w:t>
      </w:r>
      <w:r>
        <w:rPr>
          <w:rFonts w:hint="eastAsia" w:ascii="宋体" w:hAnsi="宋体" w:eastAsia="宋体" w:cs="宋体"/>
          <w:color w:val="auto"/>
          <w:sz w:val="22"/>
          <w:szCs w:val="22"/>
          <w:highlight w:val="none"/>
        </w:rPr>
        <w:t>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包装应适应远距离运输、防潮、防震、防锈和防野蛮装卸等要求，确保货物安全无损地运抵</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约定的</w:t>
      </w:r>
      <w:r>
        <w:rPr>
          <w:rFonts w:hint="eastAsia" w:ascii="宋体" w:hAnsi="宋体" w:eastAsia="宋体" w:cs="宋体"/>
          <w:color w:val="auto"/>
          <w:sz w:val="22"/>
          <w:szCs w:val="22"/>
          <w:highlight w:val="none"/>
        </w:rPr>
        <w:t>指定现场。</w:t>
      </w:r>
    </w:p>
    <w:p w14:paraId="16FC5FE8">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乙方负责办理将货物运抵本合同规定的交货地点，并装卸、交付至甲方的一切运输事项，相关费用应包含在合同价款中。</w:t>
      </w:r>
    </w:p>
    <w:p w14:paraId="6AF81188">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 货物保险要求按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规定执行</w:t>
      </w:r>
      <w:r>
        <w:rPr>
          <w:rFonts w:hint="eastAsia" w:ascii="宋体" w:hAnsi="宋体" w:eastAsia="宋体" w:cs="宋体"/>
          <w:color w:val="auto"/>
          <w:sz w:val="22"/>
          <w:szCs w:val="22"/>
          <w:highlight w:val="none"/>
        </w:rPr>
        <w:t>。</w:t>
      </w:r>
    </w:p>
    <w:p w14:paraId="49C58ED5">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B05681B">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 乙方在运输到达之前应提前通知甲方，并提示货物运输装卸的注意事项，甲方配合乙方做好货物的接收工作。</w:t>
      </w:r>
    </w:p>
    <w:p w14:paraId="5977AEC5">
      <w:pPr>
        <w:pStyle w:val="154"/>
        <w:spacing w:line="480" w:lineRule="exact"/>
        <w:rPr>
          <w:rFonts w:hint="eastAsia" w:ascii="宋体" w:hAnsi="宋体" w:eastAsia="宋体" w:cs="宋体"/>
          <w:color w:val="auto"/>
          <w:szCs w:val="22"/>
          <w:highlight w:val="none"/>
        </w:rPr>
      </w:pPr>
      <w:r>
        <w:rPr>
          <w:rFonts w:hint="eastAsia" w:ascii="宋体" w:hAnsi="宋体" w:eastAsia="宋体" w:cs="宋体"/>
          <w:color w:val="auto"/>
          <w:kern w:val="2"/>
          <w:szCs w:val="22"/>
          <w:highlight w:val="none"/>
        </w:rPr>
        <w:t>7.6 如因包装、运输问题导致货物损毁、丢失或者品质下降，甲方有权要求降价、换货、拒收部分或整批货物，由此产生的费用和损失，均由乙方承担。</w:t>
      </w:r>
    </w:p>
    <w:p w14:paraId="5F78A909">
      <w:pPr>
        <w:adjustRightInd w:val="0"/>
        <w:snapToGrid w:val="0"/>
        <w:spacing w:line="48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8.质量标准和保证</w:t>
      </w:r>
    </w:p>
    <w:p w14:paraId="32F9A692">
      <w:pPr>
        <w:pStyle w:val="21"/>
        <w:adjustRightInd w:val="0"/>
        <w:snapToGrid w:val="0"/>
        <w:spacing w:line="48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8.1 质量标准</w:t>
      </w:r>
    </w:p>
    <w:p w14:paraId="2E7802E3">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下提供的货物应符合合同约定的品牌、规格型号、技术性能、配置、质量、数量等要求。质量标准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D137BC1">
      <w:pPr>
        <w:pStyle w:val="21"/>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（2）采用中华人民共和国法定计量单位。</w:t>
      </w:r>
    </w:p>
    <w:p w14:paraId="7F7F8B47">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（3）乙方所提供的货物应符合国家有关安全、环保、卫生的规定。</w:t>
      </w:r>
    </w:p>
    <w:p w14:paraId="5B0F1FC6">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14:paraId="6E42C7DE">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保证</w:t>
      </w:r>
    </w:p>
    <w:p w14:paraId="12FA80CB">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规定或乙方书面承诺（两者以较长的为准）的质量保证期内，本保证保持有效。</w:t>
      </w:r>
    </w:p>
    <w:p w14:paraId="2F2BAA03">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（2）在质量保证期内所发现的缺陷，甲方应尽快以书面形式通知乙方。</w:t>
      </w:r>
    </w:p>
    <w:p w14:paraId="39260CC2">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（3）乙方收到通知后，应在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规定的响应时间内以合理的速度免费维修或更换有缺陷的货物或部件。</w:t>
      </w:r>
    </w:p>
    <w:p w14:paraId="03C435E3">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953FCEA">
      <w:pPr>
        <w:adjustRightInd w:val="0"/>
        <w:snapToGrid w:val="0"/>
        <w:spacing w:line="48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（5）乙方在约定的时间内未能弥补缺陷，甲方可采取必要的补救措施，但其风险和费用将由乙方承担，甲方根据合同约定对乙方行使的其他权利不受影响。</w:t>
      </w:r>
    </w:p>
    <w:p w14:paraId="461A605E">
      <w:pPr>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9.权利瑕疵担保</w:t>
      </w:r>
    </w:p>
    <w:p w14:paraId="7CEFDB4C">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乙方保证对其出售的货物享有合法的权利。</w:t>
      </w:r>
    </w:p>
    <w:p w14:paraId="18BCFB0E">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16"/>
          <w:highlight w:val="none"/>
        </w:rPr>
        <w:t>乙方保证在交付的货物上不存在抵押权等担保物权。</w:t>
      </w:r>
    </w:p>
    <w:p w14:paraId="24F81916">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如甲方使用上述货物构成对第三人侵权的，则由乙方承担全部责任。</w:t>
      </w:r>
    </w:p>
    <w:p w14:paraId="5CE72207">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10.知识产权保护</w:t>
      </w:r>
    </w:p>
    <w:p w14:paraId="2A1159DC">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乙方对其所销售的货物应当享有知识产权或经权利人合法授权，保证没有侵犯任何第三人的知识产权等权利。</w:t>
      </w:r>
      <w:bookmarkStart w:id="24" w:name="_Hlk163047038"/>
      <w:r>
        <w:rPr>
          <w:rFonts w:hint="eastAsia" w:ascii="宋体" w:hAnsi="宋体" w:eastAsia="宋体" w:cs="宋体"/>
          <w:color w:val="auto"/>
          <w:sz w:val="22"/>
          <w:szCs w:val="16"/>
          <w:highlight w:val="none"/>
        </w:rPr>
        <w:t>因违反前述约定对第三人构成侵权的，应当由乙方向第三人承</w:t>
      </w:r>
      <w:r>
        <w:rPr>
          <w:rFonts w:hint="eastAsia" w:ascii="宋体" w:hAnsi="宋体" w:eastAsia="宋体" w:cs="宋体"/>
          <w:color w:val="auto"/>
          <w:spacing w:val="-6"/>
          <w:sz w:val="22"/>
          <w:szCs w:val="16"/>
          <w:highlight w:val="none"/>
        </w:rPr>
        <w:t>担法律责任；甲方依法向第三人赔偿后，有权向乙方追偿。甲方有其他损失的，乙方应当赔偿</w:t>
      </w:r>
      <w:bookmarkEnd w:id="24"/>
      <w:r>
        <w:rPr>
          <w:rFonts w:hint="eastAsia" w:ascii="宋体" w:hAnsi="宋体" w:eastAsia="宋体" w:cs="宋体"/>
          <w:color w:val="auto"/>
          <w:spacing w:val="-6"/>
          <w:sz w:val="22"/>
          <w:szCs w:val="22"/>
          <w:highlight w:val="none"/>
        </w:rPr>
        <w:t>。</w:t>
      </w:r>
    </w:p>
    <w:p w14:paraId="76B1154D">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11.保密义务</w:t>
      </w:r>
    </w:p>
    <w:p w14:paraId="028B16A6">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中约定。</w:t>
      </w:r>
    </w:p>
    <w:p w14:paraId="2CF09288">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12.合同价款支付</w:t>
      </w:r>
    </w:p>
    <w:p w14:paraId="2432360A">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合同价款支付按照国库集中支付制度及财政管理相关规定执行。</w:t>
      </w:r>
    </w:p>
    <w:p w14:paraId="354FE4D1">
      <w:pPr>
        <w:adjustRightInd w:val="0"/>
        <w:snapToGrid w:val="0"/>
        <w:spacing w:line="480" w:lineRule="exact"/>
        <w:ind w:firstLine="440" w:firstLineChars="200"/>
        <w:jc w:val="left"/>
        <w:rPr>
          <w:rFonts w:hint="eastAsia" w:ascii="宋体" w:hAnsi="宋体" w:eastAsia="宋体" w:cs="宋体"/>
          <w:color w:val="auto"/>
          <w:sz w:val="36"/>
          <w:szCs w:val="36"/>
          <w:highlight w:val="none"/>
        </w:rPr>
      </w:pPr>
      <w:r>
        <w:rPr>
          <w:rFonts w:hint="eastAsia" w:ascii="宋体" w:hAnsi="宋体" w:eastAsia="宋体" w:cs="宋体"/>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】中约定。</w:t>
      </w:r>
    </w:p>
    <w:p w14:paraId="5509EED4">
      <w:pPr>
        <w:pStyle w:val="17"/>
        <w:spacing w:after="0" w:line="480" w:lineRule="exac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13.履约保证金</w:t>
      </w:r>
    </w:p>
    <w:p w14:paraId="791C3119">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16"/>
          <w:highlight w:val="none"/>
        </w:rPr>
        <w:t>乙方应当以支票、汇票、本票或者金融机构、担保机构出具的保函等非现金形式提交。</w:t>
      </w:r>
    </w:p>
    <w:p w14:paraId="49949679">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如果乙方出现</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约定情形的</w:t>
      </w:r>
      <w:r>
        <w:rPr>
          <w:rFonts w:hint="eastAsia" w:ascii="宋体" w:hAnsi="宋体" w:eastAsia="宋体" w:cs="宋体"/>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14:paraId="645D8CAD">
      <w:pPr>
        <w:spacing w:line="480" w:lineRule="exact"/>
        <w:ind w:firstLine="42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13.3 甲方在项目通过验收后按照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规定的时间内将履约保证金退还乙方；逾期退还的，乙方可要求甲方支付违约金，违约金按照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规定支付。</w:t>
      </w:r>
    </w:p>
    <w:p w14:paraId="73EAB830">
      <w:pPr>
        <w:autoSpaceDE w:val="0"/>
        <w:autoSpaceDN w:val="0"/>
        <w:adjustRightInd w:val="0"/>
        <w:snapToGrid w:val="0"/>
        <w:spacing w:line="480" w:lineRule="exact"/>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14.</w:t>
      </w:r>
      <w:r>
        <w:rPr>
          <w:rFonts w:hint="eastAsia" w:ascii="宋体" w:hAnsi="宋体" w:eastAsia="宋体" w:cs="宋体"/>
          <w:b/>
          <w:color w:val="auto"/>
          <w:sz w:val="28"/>
          <w:szCs w:val="28"/>
          <w:highlight w:val="none"/>
        </w:rPr>
        <w:t>售后服务</w:t>
      </w:r>
    </w:p>
    <w:p w14:paraId="0EA9067F">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除项目不涉及或采购活动中明确约定无须承担外，乙方还应提供下列服务：</w:t>
      </w:r>
    </w:p>
    <w:p w14:paraId="056AEFC3">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（1）货物的现场移动、安装、调试、启动监督及技术支持；</w:t>
      </w:r>
    </w:p>
    <w:p w14:paraId="727CB319">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（2）提供货物组装和维修所需的专用工具和辅助材料；</w:t>
      </w:r>
    </w:p>
    <w:p w14:paraId="34EFCD2E">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22"/>
          <w:highlight w:val="none"/>
        </w:rPr>
        <w:t>约定的期限内对所有的货物实施运行监督、维修，但前提条件是该服务并不能免除乙方在质量保证期内所承担的义务；</w:t>
      </w:r>
    </w:p>
    <w:p w14:paraId="6E9F245E">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（4）在制造商所在地或指定现场就货物的安装、启动、运营、维护、废弃处置等对甲方操作人员进行培训</w:t>
      </w:r>
      <w:r>
        <w:rPr>
          <w:rFonts w:hint="eastAsia" w:ascii="宋体" w:hAnsi="宋体" w:eastAsia="宋体" w:cs="宋体"/>
          <w:color w:val="auto"/>
          <w:sz w:val="22"/>
          <w:szCs w:val="16"/>
          <w:highlight w:val="none"/>
        </w:rPr>
        <w:t>；</w:t>
      </w:r>
    </w:p>
    <w:p w14:paraId="6A430F00">
      <w:pPr>
        <w:pStyle w:val="154"/>
        <w:spacing w:line="48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（5）依照法律、行政法规的规定或者按照</w:t>
      </w:r>
      <w:r>
        <w:rPr>
          <w:rFonts w:hint="eastAsia" w:ascii="宋体" w:hAnsi="宋体" w:eastAsia="宋体" w:cs="宋体"/>
          <w:b/>
          <w:bCs/>
          <w:color w:val="auto"/>
          <w:szCs w:val="22"/>
          <w:highlight w:val="none"/>
        </w:rPr>
        <w:t>【政府采购合同专用条款】</w:t>
      </w:r>
      <w:r>
        <w:rPr>
          <w:rFonts w:hint="eastAsia" w:ascii="宋体" w:hAnsi="宋体" w:eastAsia="宋体" w:cs="宋体"/>
          <w:color w:val="auto"/>
          <w:szCs w:val="22"/>
          <w:highlight w:val="none"/>
        </w:rPr>
        <w:t>约定，货物在有效使用年限届满后应予回收的，乙方负有自行或者委托第三人对货物予以回收的义务；</w:t>
      </w:r>
    </w:p>
    <w:p w14:paraId="29A35FB9">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规定由乙方提供的其他服务。</w:t>
      </w:r>
    </w:p>
    <w:p w14:paraId="7B9C052F">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乙方提供的售后服务的费用已包含在合同价款中，甲方不再另行支付。</w:t>
      </w:r>
    </w:p>
    <w:p w14:paraId="2B7FD922">
      <w:pPr>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15.违约责任</w:t>
      </w:r>
    </w:p>
    <w:p w14:paraId="62B9A6F8">
      <w:pPr>
        <w:adjustRightInd w:val="0"/>
        <w:snapToGrid w:val="0"/>
        <w:spacing w:line="48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15.1质量瑕疵的违约责任</w:t>
      </w:r>
    </w:p>
    <w:p w14:paraId="07476C16">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乙方提供的产品不符合合同约定的质量标准或存在产品质量缺陷，甲方有权要求乙方根据</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要求</w:t>
      </w:r>
      <w:r>
        <w:rPr>
          <w:rFonts w:hint="eastAsia" w:ascii="宋体" w:hAnsi="宋体" w:eastAsia="宋体" w:cs="宋体"/>
          <w:color w:val="auto"/>
          <w:sz w:val="22"/>
          <w:szCs w:val="22"/>
          <w:highlight w:val="none"/>
        </w:rPr>
        <w:t>及时修理、重作、更换，并承担由此给甲方造成的损失。</w:t>
      </w:r>
    </w:p>
    <w:p w14:paraId="5A0A425C">
      <w:pPr>
        <w:autoSpaceDE w:val="0"/>
        <w:autoSpaceDN w:val="0"/>
        <w:adjustRightInd w:val="0"/>
        <w:snapToGrid w:val="0"/>
        <w:spacing w:line="48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 迟延交货的违约责任</w:t>
      </w:r>
    </w:p>
    <w:p w14:paraId="56A0B05E">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D9AE408">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规定执行。如果涉及公共利益，且赔偿金额无法弥补公共利益损失，甲方可要求继续履行或者采取其他补救措施。</w:t>
      </w:r>
    </w:p>
    <w:p w14:paraId="6A2AF799">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迟延支付的违约责任</w:t>
      </w:r>
    </w:p>
    <w:p w14:paraId="0D69899E">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甲方存在迟延支付乙方合同款项的，应当承担</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规定的逾期付款利息。</w:t>
      </w:r>
    </w:p>
    <w:p w14:paraId="24D12E7E">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15.4其他违约责任根据项目实际需要按</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规定执行。</w:t>
      </w:r>
    </w:p>
    <w:p w14:paraId="07F1652E">
      <w:pPr>
        <w:autoSpaceDE w:val="0"/>
        <w:autoSpaceDN w:val="0"/>
        <w:adjustRightInd w:val="0"/>
        <w:snapToGrid w:val="0"/>
        <w:spacing w:line="48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16.合同变更、中止与终止</w:t>
      </w:r>
    </w:p>
    <w:p w14:paraId="52C33B2D">
      <w:pPr>
        <w:adjustRightInd w:val="0"/>
        <w:snapToGrid w:val="0"/>
        <w:spacing w:line="48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16.1合同的变更</w:t>
      </w:r>
    </w:p>
    <w:p w14:paraId="26C2004C">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政府采购合同履行中，在不改变合同其他条款的前提下，甲方可以在合同价款10%的范围内追加与合同标的相同的货物，并就此与乙方协商一致后签订补充协议。</w:t>
      </w:r>
    </w:p>
    <w:p w14:paraId="7B921A01">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16.2合同的中止</w:t>
      </w:r>
    </w:p>
    <w:p w14:paraId="2EFC939F">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（1）合同履行过程中因投标人就采购文件、采购过程或结果提起投诉的，甲方认为有必要的，可以中止合同的履行。</w:t>
      </w:r>
    </w:p>
    <w:p w14:paraId="2AB80CF6">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D5F6CE">
      <w:pPr>
        <w:pStyle w:val="154"/>
        <w:widowControl w:val="0"/>
        <w:kinsoku w:val="0"/>
        <w:overflowPunct w:val="0"/>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（3）乙方分立、合并或者变更住所的，应当及时以书面形式告知甲方。乙方没有及时告知甲方，致使合同履行发生困难的，甲方可以中止合同履行并要求乙方承担由此给甲方造成的损失。</w:t>
      </w:r>
    </w:p>
    <w:p w14:paraId="386A3AF1">
      <w:pPr>
        <w:snapToGrid w:val="0"/>
        <w:spacing w:line="48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（4）甲方不得以行政区划调整、政府换届、机构或者职能调整以及相关责任人更替为由中止合同。</w:t>
      </w:r>
    </w:p>
    <w:p w14:paraId="5E63FE00">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16.3合同的终止</w:t>
      </w:r>
    </w:p>
    <w:p w14:paraId="3D1426A8">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（1）合同因有效期限届满而终止；</w:t>
      </w:r>
    </w:p>
    <w:p w14:paraId="491BE102">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（2）乙方未按合同约定履行，构成根本性违约的，甲方有权终止合同，并追究乙方的违约责任。</w:t>
      </w:r>
    </w:p>
    <w:p w14:paraId="4D93EBBB">
      <w:pPr>
        <w:pStyle w:val="154"/>
        <w:spacing w:line="480" w:lineRule="exact"/>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16.4 </w:t>
      </w:r>
      <w:r>
        <w:rPr>
          <w:rFonts w:hint="eastAsia" w:ascii="宋体" w:hAnsi="宋体" w:eastAsia="宋体" w:cs="宋体"/>
          <w:color w:val="auto"/>
          <w:kern w:val="2"/>
          <w:szCs w:val="22"/>
          <w:highlight w:val="none"/>
        </w:rPr>
        <w:t>涉及国家利益、社会公共利益的情形</w:t>
      </w:r>
    </w:p>
    <w:p w14:paraId="3EC75540">
      <w:pPr>
        <w:pStyle w:val="154"/>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政府采购合同继续履行将损害国家利益和社会公共利益的，双方当事人应当变更、中止或者终止合同。有过错的一方应当承担赔偿责任，双方都有过错的，各自承担相应的责任。</w:t>
      </w:r>
    </w:p>
    <w:p w14:paraId="001E5CCF">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17.合同分包</w:t>
      </w:r>
    </w:p>
    <w:p w14:paraId="27DB1B89">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乙方不得将合同转包给其他投标人。涉及合同分包的，乙方应根据采购文件和投标（响应）文件规定进行合同分包。</w:t>
      </w:r>
    </w:p>
    <w:p w14:paraId="1BBC224D">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乙方执行政府采购政策向中小企业依法分包的，乙方应当按采购文件和投标（响应）文件签订分包意向协议，分包意向协议属于本合同组成部分。</w:t>
      </w:r>
    </w:p>
    <w:p w14:paraId="1B7CA96F">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18.不可抗力</w:t>
      </w:r>
    </w:p>
    <w:p w14:paraId="187CC96A">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不可抗力是指合同双方不能预见、不能避免且不能克服的客观情况。</w:t>
      </w:r>
    </w:p>
    <w:p w14:paraId="0647A2EE">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任何一方对由于不可抗力造成的部分或全部不能履行合同不承担违约责任。但迟延履行后发生不可抗力的，不能免除责任。</w:t>
      </w:r>
    </w:p>
    <w:p w14:paraId="05423984">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8A52124">
      <w:pPr>
        <w:autoSpaceDE w:val="0"/>
        <w:autoSpaceDN w:val="0"/>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19.解决争议的方法</w:t>
      </w:r>
    </w:p>
    <w:p w14:paraId="51F55804">
      <w:pPr>
        <w:pStyle w:val="154"/>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C3E678C">
      <w:pPr>
        <w:pStyle w:val="154"/>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19.2 选择仲裁的，应在</w:t>
      </w:r>
      <w:r>
        <w:rPr>
          <w:rFonts w:hint="eastAsia" w:ascii="宋体" w:hAnsi="宋体" w:eastAsia="宋体" w:cs="宋体"/>
          <w:b/>
          <w:bCs/>
          <w:color w:val="auto"/>
          <w:szCs w:val="22"/>
          <w:highlight w:val="none"/>
        </w:rPr>
        <w:t>【政府采购合同专用条款】</w:t>
      </w:r>
      <w:r>
        <w:rPr>
          <w:rFonts w:hint="eastAsia" w:ascii="宋体" w:hAnsi="宋体" w:eastAsia="宋体" w:cs="宋体"/>
          <w:color w:val="auto"/>
          <w:szCs w:val="22"/>
          <w:highlight w:val="none"/>
        </w:rPr>
        <w:t>中明确仲裁机构及仲裁地；通过诉讼方式解决的，可以在</w:t>
      </w:r>
      <w:r>
        <w:rPr>
          <w:rFonts w:hint="eastAsia" w:ascii="宋体" w:hAnsi="宋体" w:eastAsia="宋体" w:cs="宋体"/>
          <w:b/>
          <w:bCs/>
          <w:color w:val="auto"/>
          <w:szCs w:val="22"/>
          <w:highlight w:val="none"/>
        </w:rPr>
        <w:t>【政府采购合同专用条款】</w:t>
      </w:r>
      <w:r>
        <w:rPr>
          <w:rFonts w:hint="eastAsia" w:ascii="宋体" w:hAnsi="宋体" w:eastAsia="宋体" w:cs="宋体"/>
          <w:color w:val="auto"/>
          <w:szCs w:val="22"/>
          <w:highlight w:val="none"/>
        </w:rPr>
        <w:t>中进一步约定选择与争议有实际联系的地点的人民法院管辖，但管辖法院的约定不得违反级别管辖和专属管辖的规定。</w:t>
      </w:r>
    </w:p>
    <w:p w14:paraId="11173463">
      <w:pPr>
        <w:pStyle w:val="154"/>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19.3 如甲乙双方有争议的事项不影响合同其他部分的履行，在争议解决期间，合同其他部分应当继续履行。</w:t>
      </w:r>
    </w:p>
    <w:p w14:paraId="42417B3A">
      <w:pPr>
        <w:autoSpaceDE w:val="0"/>
        <w:autoSpaceDN w:val="0"/>
        <w:adjustRightInd w:val="0"/>
        <w:snapToGrid w:val="0"/>
        <w:spacing w:line="48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20.政府采购政策</w:t>
      </w:r>
    </w:p>
    <w:p w14:paraId="652141ED">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20.1 </w:t>
      </w:r>
      <w:r>
        <w:rPr>
          <w:rFonts w:hint="eastAsia" w:ascii="宋体" w:hAnsi="宋体" w:eastAsia="宋体" w:cs="宋体"/>
          <w:color w:val="auto"/>
          <w:sz w:val="22"/>
          <w:szCs w:val="28"/>
          <w:highlight w:val="none"/>
          <w:lang w:val="en-GB"/>
        </w:rPr>
        <w:t>本合同应当按照规定执行政府采购政策。</w:t>
      </w:r>
    </w:p>
    <w:p w14:paraId="47EB037A">
      <w:pPr>
        <w:autoSpaceDE w:val="0"/>
        <w:autoSpaceDN w:val="0"/>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本合同依法执行政府采购政策的方式和内容，属于合同履约验收的范围。</w:t>
      </w:r>
      <w:r>
        <w:rPr>
          <w:rFonts w:hint="eastAsia" w:ascii="宋体" w:hAnsi="宋体" w:eastAsia="宋体" w:cs="宋体"/>
          <w:color w:val="auto"/>
          <w:sz w:val="22"/>
          <w:szCs w:val="28"/>
          <w:highlight w:val="none"/>
        </w:rPr>
        <w:t>甲乙双方</w:t>
      </w:r>
      <w:r>
        <w:rPr>
          <w:rFonts w:hint="eastAsia" w:ascii="宋体" w:hAnsi="宋体" w:eastAsia="宋体" w:cs="宋体"/>
          <w:color w:val="auto"/>
          <w:sz w:val="22"/>
          <w:szCs w:val="28"/>
          <w:highlight w:val="none"/>
          <w:lang w:val="en-GB"/>
        </w:rPr>
        <w:t>未按规定要求执行政府采购政策造成损失的</w:t>
      </w:r>
      <w:r>
        <w:rPr>
          <w:rFonts w:hint="eastAsia" w:ascii="宋体" w:hAnsi="宋体" w:eastAsia="宋体" w:cs="宋体"/>
          <w:color w:val="auto"/>
          <w:sz w:val="22"/>
          <w:szCs w:val="22"/>
          <w:highlight w:val="none"/>
        </w:rPr>
        <w:t>，有过错的一方应当承担赔偿责任，双方都有过错的，各自承担相应的责任。</w:t>
      </w:r>
    </w:p>
    <w:p w14:paraId="1DF14C1E">
      <w:pPr>
        <w:pStyle w:val="17"/>
        <w:spacing w:after="0" w:line="480" w:lineRule="exact"/>
        <w:ind w:firstLine="440"/>
        <w:rPr>
          <w:rFonts w:hint="eastAsia" w:ascii="宋体" w:hAnsi="宋体" w:eastAsia="宋体" w:cs="宋体"/>
          <w:color w:val="auto"/>
          <w:sz w:val="22"/>
          <w:szCs w:val="28"/>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rPr>
        <w:t>0</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rPr>
        <w:t>3</w:t>
      </w:r>
      <w:r>
        <w:rPr>
          <w:rFonts w:hint="eastAsia" w:ascii="宋体" w:hAnsi="宋体" w:eastAsia="宋体" w:cs="宋体"/>
          <w:color w:val="auto"/>
          <w:sz w:val="22"/>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01EAD9">
      <w:pPr>
        <w:autoSpaceDE w:val="0"/>
        <w:autoSpaceDN w:val="0"/>
        <w:adjustRightInd w:val="0"/>
        <w:snapToGrid w:val="0"/>
        <w:spacing w:line="48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21.法律适用</w:t>
      </w:r>
    </w:p>
    <w:p w14:paraId="5D9B5967">
      <w:pPr>
        <w:pStyle w:val="154"/>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21.1 本合同的订立、生效、解释、履行及与本合同有关的争议解决，均适用法律、行政法规。</w:t>
      </w:r>
    </w:p>
    <w:p w14:paraId="2BC1A4B4">
      <w:pPr>
        <w:pStyle w:val="154"/>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21.2 本合同条款与法律、行政法规的强制性规定不一致的，双方当事人应按照法律、行政法规的强制性规定修改本合同的相关条款。</w:t>
      </w:r>
    </w:p>
    <w:p w14:paraId="3ED85087">
      <w:pPr>
        <w:autoSpaceDE w:val="0"/>
        <w:autoSpaceDN w:val="0"/>
        <w:adjustRightInd w:val="0"/>
        <w:snapToGrid w:val="0"/>
        <w:spacing w:line="48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22.通知</w:t>
      </w:r>
    </w:p>
    <w:p w14:paraId="0B961B4B">
      <w:pPr>
        <w:pStyle w:val="154"/>
        <w:spacing w:line="480" w:lineRule="exact"/>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22.1 本合同任何一方向对方发出的通知、信件、数据电文等，应当发送至本合同第一部分《政府采购合同协议书》所约定的通讯地址、联系人、联系电话或电子邮箱。</w:t>
      </w:r>
    </w:p>
    <w:p w14:paraId="18A1D454">
      <w:pPr>
        <w:pStyle w:val="154"/>
        <w:spacing w:line="480" w:lineRule="exact"/>
        <w:ind w:firstLine="0" w:firstLineChars="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 xml:space="preserve">    22.2 一方当事人变更名称、住所、联系人、联系电话或电子邮箱等信息的，应当在变更后3日内及时书面通知对方，对方实际收到变更通知前的送达仍为有效送达。</w:t>
      </w:r>
    </w:p>
    <w:p w14:paraId="135B6A51">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22.3本合同一方给另一方的通知均应采用书面形式，传真或快递送到本合同中规定的对方的地址和办理签收手续。</w:t>
      </w:r>
    </w:p>
    <w:p w14:paraId="350A6A10">
      <w:pPr>
        <w:adjustRightInd w:val="0"/>
        <w:snapToGrid w:val="0"/>
        <w:spacing w:line="4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22.4通知以送达之日或通知书中规定的生效之日起生效，两者中以较迟之日为准。</w:t>
      </w:r>
    </w:p>
    <w:p w14:paraId="6B93A9F9">
      <w:pPr>
        <w:adjustRightInd w:val="0"/>
        <w:snapToGrid w:val="0"/>
        <w:spacing w:line="48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23.合同未尽事项</w:t>
      </w:r>
    </w:p>
    <w:p w14:paraId="1AEC9E36">
      <w:pPr>
        <w:adjustRightInd w:val="0"/>
        <w:snapToGrid w:val="0"/>
        <w:spacing w:line="48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23.1合同未尽事项见</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w:t>
      </w:r>
    </w:p>
    <w:p w14:paraId="027E2EB3">
      <w:pPr>
        <w:adjustRightInd w:val="0"/>
        <w:snapToGrid w:val="0"/>
        <w:spacing w:line="48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22"/>
          <w:szCs w:val="22"/>
          <w:highlight w:val="none"/>
        </w:rPr>
        <w:t xml:space="preserve">    23.2 合同附件与合同正文具有同等的法律效力。</w:t>
      </w:r>
      <w:bookmarkStart w:id="25" w:name="_Toc20313"/>
    </w:p>
    <w:p w14:paraId="3DD23B88">
      <w:pPr>
        <w:adjustRightInd w:val="0"/>
        <w:snapToGrid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rPr>
        <w:t>第三节 政府采购合同专用条款</w:t>
      </w:r>
      <w:bookmarkEnd w:id="25"/>
    </w:p>
    <w:tbl>
      <w:tblPr>
        <w:tblStyle w:val="3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29"/>
        <w:gridCol w:w="2130"/>
        <w:gridCol w:w="4660"/>
      </w:tblGrid>
      <w:tr w14:paraId="256D7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4542943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63D019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2130" w:type="dxa"/>
            <w:vAlign w:val="center"/>
          </w:tcPr>
          <w:p w14:paraId="0D7297C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4660" w:type="dxa"/>
            <w:vAlign w:val="center"/>
          </w:tcPr>
          <w:p w14:paraId="0035A7A8">
            <w:pPr>
              <w:adjustRightInd w:val="0"/>
              <w:snapToGrid w:val="0"/>
              <w:jc w:val="left"/>
              <w:rPr>
                <w:rFonts w:hint="eastAsia" w:ascii="宋体" w:hAnsi="宋体" w:eastAsia="宋体" w:cs="宋体"/>
                <w:color w:val="auto"/>
                <w:szCs w:val="21"/>
                <w:highlight w:val="none"/>
              </w:rPr>
            </w:pPr>
          </w:p>
        </w:tc>
      </w:tr>
      <w:tr w14:paraId="7A7998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29" w:type="dxa"/>
            <w:vAlign w:val="center"/>
          </w:tcPr>
          <w:p w14:paraId="745D451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93175A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2130" w:type="dxa"/>
            <w:vAlign w:val="center"/>
          </w:tcPr>
          <w:p w14:paraId="397B54E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4660" w:type="dxa"/>
            <w:vAlign w:val="center"/>
          </w:tcPr>
          <w:p w14:paraId="4B759FA0">
            <w:pPr>
              <w:adjustRightInd w:val="0"/>
              <w:snapToGrid w:val="0"/>
              <w:jc w:val="left"/>
              <w:rPr>
                <w:rFonts w:hint="eastAsia" w:ascii="宋体" w:hAnsi="宋体" w:eastAsia="宋体" w:cs="宋体"/>
                <w:color w:val="auto"/>
                <w:szCs w:val="21"/>
                <w:highlight w:val="none"/>
              </w:rPr>
            </w:pPr>
          </w:p>
        </w:tc>
      </w:tr>
      <w:tr w14:paraId="74E28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25D5111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9FCE1D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2130" w:type="dxa"/>
            <w:vAlign w:val="center"/>
          </w:tcPr>
          <w:p w14:paraId="7570CA1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4660" w:type="dxa"/>
            <w:vAlign w:val="center"/>
          </w:tcPr>
          <w:p w14:paraId="03051425">
            <w:pPr>
              <w:adjustRightInd w:val="0"/>
              <w:snapToGrid w:val="0"/>
              <w:jc w:val="left"/>
              <w:rPr>
                <w:rFonts w:hint="eastAsia" w:ascii="宋体" w:hAnsi="宋体" w:eastAsia="宋体" w:cs="宋体"/>
                <w:color w:val="auto"/>
                <w:szCs w:val="21"/>
                <w:highlight w:val="none"/>
              </w:rPr>
            </w:pPr>
          </w:p>
        </w:tc>
      </w:tr>
      <w:tr w14:paraId="2E732E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32B3ACC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1F912A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2130" w:type="dxa"/>
            <w:vAlign w:val="center"/>
          </w:tcPr>
          <w:p w14:paraId="3B4D9D3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4660" w:type="dxa"/>
            <w:vAlign w:val="center"/>
          </w:tcPr>
          <w:p w14:paraId="2B95D759">
            <w:pPr>
              <w:adjustRightInd w:val="0"/>
              <w:snapToGrid w:val="0"/>
              <w:jc w:val="left"/>
              <w:rPr>
                <w:rFonts w:hint="eastAsia" w:ascii="宋体" w:hAnsi="宋体" w:eastAsia="宋体" w:cs="宋体"/>
                <w:color w:val="auto"/>
                <w:szCs w:val="21"/>
                <w:highlight w:val="none"/>
              </w:rPr>
            </w:pPr>
          </w:p>
        </w:tc>
      </w:tr>
      <w:tr w14:paraId="2E9F34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13DBF96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8FC1DA3">
            <w:pPr>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2130" w:type="dxa"/>
            <w:vAlign w:val="center"/>
          </w:tcPr>
          <w:p w14:paraId="7B09F70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4660" w:type="dxa"/>
            <w:vAlign w:val="center"/>
          </w:tcPr>
          <w:p w14:paraId="48563795">
            <w:pPr>
              <w:adjustRightInd w:val="0"/>
              <w:snapToGrid w:val="0"/>
              <w:jc w:val="left"/>
              <w:rPr>
                <w:rFonts w:hint="eastAsia" w:ascii="宋体" w:hAnsi="宋体" w:eastAsia="宋体" w:cs="宋体"/>
                <w:color w:val="auto"/>
                <w:szCs w:val="21"/>
                <w:highlight w:val="none"/>
              </w:rPr>
            </w:pPr>
          </w:p>
        </w:tc>
      </w:tr>
      <w:tr w14:paraId="7944D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2CBF6F1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714FE19">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2130" w:type="dxa"/>
            <w:vAlign w:val="center"/>
          </w:tcPr>
          <w:p w14:paraId="0B64E8E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4660" w:type="dxa"/>
            <w:vAlign w:val="center"/>
          </w:tcPr>
          <w:p w14:paraId="39472435">
            <w:pPr>
              <w:adjustRightInd w:val="0"/>
              <w:snapToGrid w:val="0"/>
              <w:jc w:val="left"/>
              <w:rPr>
                <w:rFonts w:hint="eastAsia" w:ascii="宋体" w:hAnsi="宋体" w:eastAsia="宋体" w:cs="宋体"/>
                <w:color w:val="auto"/>
                <w:szCs w:val="21"/>
                <w:highlight w:val="none"/>
              </w:rPr>
            </w:pPr>
          </w:p>
        </w:tc>
      </w:tr>
      <w:tr w14:paraId="2E727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29" w:type="dxa"/>
            <w:vMerge w:val="restart"/>
            <w:vAlign w:val="center"/>
          </w:tcPr>
          <w:p w14:paraId="6077A12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86F258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2130" w:type="dxa"/>
            <w:vAlign w:val="center"/>
          </w:tcPr>
          <w:p w14:paraId="0AFF47E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4660" w:type="dxa"/>
            <w:vAlign w:val="center"/>
          </w:tcPr>
          <w:p w14:paraId="7E76CBB9">
            <w:pPr>
              <w:rPr>
                <w:rFonts w:hint="eastAsia" w:ascii="宋体" w:hAnsi="宋体" w:eastAsia="宋体" w:cs="宋体"/>
                <w:color w:val="auto"/>
                <w:highlight w:val="none"/>
              </w:rPr>
            </w:pPr>
          </w:p>
        </w:tc>
      </w:tr>
      <w:tr w14:paraId="6C8E5B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29" w:type="dxa"/>
            <w:vMerge w:val="continue"/>
            <w:vAlign w:val="center"/>
          </w:tcPr>
          <w:p w14:paraId="77825179">
            <w:pPr>
              <w:adjustRightInd w:val="0"/>
              <w:snapToGrid w:val="0"/>
              <w:jc w:val="center"/>
              <w:rPr>
                <w:rFonts w:hint="eastAsia" w:ascii="宋体" w:hAnsi="宋体" w:eastAsia="宋体" w:cs="宋体"/>
                <w:color w:val="auto"/>
                <w:szCs w:val="21"/>
                <w:highlight w:val="none"/>
              </w:rPr>
            </w:pPr>
          </w:p>
        </w:tc>
        <w:tc>
          <w:tcPr>
            <w:tcW w:w="2130" w:type="dxa"/>
            <w:vAlign w:val="center"/>
          </w:tcPr>
          <w:p w14:paraId="5D7C8BC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4660" w:type="dxa"/>
            <w:vAlign w:val="center"/>
          </w:tcPr>
          <w:p w14:paraId="0E0B8F8A">
            <w:pPr>
              <w:rPr>
                <w:rFonts w:hint="eastAsia" w:ascii="宋体" w:hAnsi="宋体" w:eastAsia="宋体" w:cs="宋体"/>
                <w:color w:val="auto"/>
                <w:highlight w:val="none"/>
              </w:rPr>
            </w:pPr>
          </w:p>
        </w:tc>
      </w:tr>
      <w:tr w14:paraId="6289F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29" w:type="dxa"/>
            <w:vAlign w:val="center"/>
          </w:tcPr>
          <w:p w14:paraId="2C61CA0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E91730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2130" w:type="dxa"/>
            <w:vAlign w:val="center"/>
          </w:tcPr>
          <w:p w14:paraId="6CF765C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4660" w:type="dxa"/>
            <w:vAlign w:val="center"/>
          </w:tcPr>
          <w:p w14:paraId="6A087C00">
            <w:pPr>
              <w:rPr>
                <w:rFonts w:hint="eastAsia" w:ascii="宋体" w:hAnsi="宋体" w:eastAsia="宋体" w:cs="宋体"/>
                <w:color w:val="auto"/>
                <w:highlight w:val="none"/>
              </w:rPr>
            </w:pPr>
          </w:p>
        </w:tc>
      </w:tr>
      <w:tr w14:paraId="2AC543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29" w:type="dxa"/>
            <w:vAlign w:val="center"/>
          </w:tcPr>
          <w:p w14:paraId="62DB116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9371AB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2130" w:type="dxa"/>
            <w:vAlign w:val="center"/>
          </w:tcPr>
          <w:p w14:paraId="2207F1B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4660" w:type="dxa"/>
            <w:vAlign w:val="center"/>
          </w:tcPr>
          <w:p w14:paraId="25CFAA4E">
            <w:pPr>
              <w:rPr>
                <w:rFonts w:hint="eastAsia" w:ascii="宋体" w:hAnsi="宋体" w:eastAsia="宋体" w:cs="宋体"/>
                <w:color w:val="auto"/>
                <w:highlight w:val="none"/>
              </w:rPr>
            </w:pPr>
          </w:p>
        </w:tc>
      </w:tr>
      <w:tr w14:paraId="5534E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6CAC5BA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B45887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2130" w:type="dxa"/>
            <w:vAlign w:val="center"/>
          </w:tcPr>
          <w:p w14:paraId="258FF7F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4660" w:type="dxa"/>
            <w:vAlign w:val="center"/>
          </w:tcPr>
          <w:p w14:paraId="1F27CECA">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7E73AD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698E35F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FB8946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2130" w:type="dxa"/>
            <w:vAlign w:val="center"/>
          </w:tcPr>
          <w:p w14:paraId="3722073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2F7A992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4660" w:type="dxa"/>
            <w:vAlign w:val="center"/>
          </w:tcPr>
          <w:p w14:paraId="0D512E8E">
            <w:pPr>
              <w:adjustRightInd w:val="0"/>
              <w:snapToGrid w:val="0"/>
              <w:jc w:val="left"/>
              <w:rPr>
                <w:rFonts w:hint="eastAsia" w:ascii="宋体" w:hAnsi="宋体" w:eastAsia="宋体" w:cs="宋体"/>
                <w:color w:val="auto"/>
                <w:szCs w:val="21"/>
                <w:highlight w:val="none"/>
              </w:rPr>
            </w:pPr>
          </w:p>
        </w:tc>
      </w:tr>
      <w:tr w14:paraId="40CAB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36D28AB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61F87D6">
            <w:pPr>
              <w:pStyle w:val="154"/>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2130" w:type="dxa"/>
            <w:vAlign w:val="center"/>
          </w:tcPr>
          <w:p w14:paraId="42AAE6EC">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4660" w:type="dxa"/>
            <w:vAlign w:val="center"/>
          </w:tcPr>
          <w:p w14:paraId="3169BED5">
            <w:pPr>
              <w:adjustRightInd w:val="0"/>
              <w:snapToGrid w:val="0"/>
              <w:jc w:val="left"/>
              <w:rPr>
                <w:rFonts w:hint="eastAsia" w:ascii="宋体" w:hAnsi="宋体" w:eastAsia="宋体" w:cs="宋体"/>
                <w:color w:val="auto"/>
                <w:szCs w:val="21"/>
                <w:highlight w:val="none"/>
              </w:rPr>
            </w:pPr>
          </w:p>
        </w:tc>
      </w:tr>
      <w:tr w14:paraId="73C24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29" w:type="dxa"/>
            <w:vAlign w:val="center"/>
          </w:tcPr>
          <w:p w14:paraId="3BA9FA2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2EDBD3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2130" w:type="dxa"/>
            <w:vAlign w:val="center"/>
          </w:tcPr>
          <w:p w14:paraId="7581097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4660" w:type="dxa"/>
            <w:vAlign w:val="center"/>
          </w:tcPr>
          <w:p w14:paraId="72564C84">
            <w:pPr>
              <w:adjustRightInd w:val="0"/>
              <w:snapToGrid w:val="0"/>
              <w:jc w:val="left"/>
              <w:rPr>
                <w:rFonts w:hint="eastAsia" w:ascii="宋体" w:hAnsi="宋体" w:eastAsia="宋体" w:cs="宋体"/>
                <w:color w:val="auto"/>
                <w:szCs w:val="21"/>
                <w:highlight w:val="none"/>
              </w:rPr>
            </w:pPr>
          </w:p>
        </w:tc>
      </w:tr>
      <w:tr w14:paraId="5466D3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29" w:type="dxa"/>
            <w:vAlign w:val="center"/>
          </w:tcPr>
          <w:p w14:paraId="00084CA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9708A5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2130" w:type="dxa"/>
            <w:vAlign w:val="center"/>
          </w:tcPr>
          <w:p w14:paraId="4D77FAE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4660" w:type="dxa"/>
            <w:vAlign w:val="center"/>
          </w:tcPr>
          <w:p w14:paraId="0EE077F6">
            <w:pPr>
              <w:adjustRightInd w:val="0"/>
              <w:snapToGrid w:val="0"/>
              <w:jc w:val="left"/>
              <w:rPr>
                <w:rFonts w:hint="eastAsia" w:ascii="宋体" w:hAnsi="宋体" w:eastAsia="宋体" w:cs="宋体"/>
                <w:color w:val="auto"/>
                <w:szCs w:val="21"/>
                <w:highlight w:val="none"/>
              </w:rPr>
            </w:pPr>
          </w:p>
        </w:tc>
      </w:tr>
      <w:tr w14:paraId="62980B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07C3825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26C04A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2130" w:type="dxa"/>
            <w:vAlign w:val="center"/>
          </w:tcPr>
          <w:p w14:paraId="34FAFAE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4660" w:type="dxa"/>
            <w:vAlign w:val="center"/>
          </w:tcPr>
          <w:p w14:paraId="1B77EBA6">
            <w:pPr>
              <w:adjustRightInd w:val="0"/>
              <w:snapToGrid w:val="0"/>
              <w:jc w:val="left"/>
              <w:rPr>
                <w:rFonts w:hint="eastAsia" w:ascii="宋体" w:hAnsi="宋体" w:eastAsia="宋体" w:cs="宋体"/>
                <w:color w:val="auto"/>
                <w:szCs w:val="21"/>
                <w:highlight w:val="none"/>
              </w:rPr>
            </w:pPr>
          </w:p>
        </w:tc>
      </w:tr>
      <w:tr w14:paraId="227B1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29" w:type="dxa"/>
            <w:vAlign w:val="center"/>
          </w:tcPr>
          <w:p w14:paraId="7E01298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DA2BDB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2130" w:type="dxa"/>
            <w:vAlign w:val="center"/>
          </w:tcPr>
          <w:p w14:paraId="3754EC9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4660" w:type="dxa"/>
            <w:vAlign w:val="center"/>
          </w:tcPr>
          <w:p w14:paraId="5006731E">
            <w:pPr>
              <w:adjustRightInd w:val="0"/>
              <w:snapToGrid w:val="0"/>
              <w:jc w:val="left"/>
              <w:rPr>
                <w:rFonts w:hint="eastAsia" w:ascii="宋体" w:hAnsi="宋体" w:eastAsia="宋体" w:cs="宋体"/>
                <w:color w:val="auto"/>
                <w:szCs w:val="21"/>
                <w:highlight w:val="none"/>
              </w:rPr>
            </w:pPr>
          </w:p>
        </w:tc>
      </w:tr>
      <w:tr w14:paraId="568DC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29" w:type="dxa"/>
            <w:vAlign w:val="center"/>
          </w:tcPr>
          <w:p w14:paraId="67A8B0E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D97655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2130" w:type="dxa"/>
            <w:vAlign w:val="center"/>
          </w:tcPr>
          <w:p w14:paraId="4418534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4660" w:type="dxa"/>
            <w:vAlign w:val="center"/>
          </w:tcPr>
          <w:p w14:paraId="744001B1">
            <w:pPr>
              <w:adjustRightInd w:val="0"/>
              <w:snapToGrid w:val="0"/>
              <w:jc w:val="left"/>
              <w:rPr>
                <w:rFonts w:hint="eastAsia" w:ascii="宋体" w:hAnsi="宋体" w:eastAsia="宋体" w:cs="宋体"/>
                <w:color w:val="auto"/>
                <w:szCs w:val="21"/>
                <w:highlight w:val="none"/>
              </w:rPr>
            </w:pPr>
          </w:p>
        </w:tc>
      </w:tr>
      <w:tr w14:paraId="7EA3F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18D4264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DCD1E9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2130" w:type="dxa"/>
            <w:vAlign w:val="center"/>
          </w:tcPr>
          <w:p w14:paraId="611BC53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4660" w:type="dxa"/>
            <w:vAlign w:val="center"/>
          </w:tcPr>
          <w:p w14:paraId="016AF0C9">
            <w:pPr>
              <w:adjustRightInd w:val="0"/>
              <w:snapToGrid w:val="0"/>
              <w:jc w:val="left"/>
              <w:rPr>
                <w:rFonts w:hint="eastAsia" w:ascii="宋体" w:hAnsi="宋体" w:eastAsia="宋体" w:cs="宋体"/>
                <w:color w:val="auto"/>
                <w:szCs w:val="21"/>
                <w:highlight w:val="none"/>
              </w:rPr>
            </w:pPr>
          </w:p>
        </w:tc>
      </w:tr>
      <w:tr w14:paraId="05613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74039F3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9FEEAC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2130" w:type="dxa"/>
            <w:vAlign w:val="center"/>
          </w:tcPr>
          <w:p w14:paraId="53809A6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4660" w:type="dxa"/>
            <w:vAlign w:val="center"/>
          </w:tcPr>
          <w:p w14:paraId="07AFFBF2">
            <w:pPr>
              <w:adjustRightInd w:val="0"/>
              <w:snapToGrid w:val="0"/>
              <w:jc w:val="left"/>
              <w:rPr>
                <w:rFonts w:hint="eastAsia" w:ascii="宋体" w:hAnsi="宋体" w:eastAsia="宋体" w:cs="宋体"/>
                <w:color w:val="auto"/>
                <w:szCs w:val="21"/>
                <w:highlight w:val="none"/>
              </w:rPr>
            </w:pPr>
          </w:p>
        </w:tc>
      </w:tr>
      <w:tr w14:paraId="28409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7CC5481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76B388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2130" w:type="dxa"/>
            <w:vAlign w:val="center"/>
          </w:tcPr>
          <w:p w14:paraId="27655AD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4660" w:type="dxa"/>
            <w:vAlign w:val="center"/>
          </w:tcPr>
          <w:p w14:paraId="765B5108">
            <w:pPr>
              <w:adjustRightInd w:val="0"/>
              <w:snapToGrid w:val="0"/>
              <w:jc w:val="left"/>
              <w:rPr>
                <w:rFonts w:hint="eastAsia" w:ascii="宋体" w:hAnsi="宋体" w:eastAsia="宋体" w:cs="宋体"/>
                <w:color w:val="auto"/>
                <w:szCs w:val="21"/>
                <w:highlight w:val="none"/>
                <w:u w:val="single"/>
              </w:rPr>
            </w:pPr>
          </w:p>
        </w:tc>
      </w:tr>
      <w:tr w14:paraId="76E10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9" w:type="dxa"/>
            <w:vAlign w:val="center"/>
          </w:tcPr>
          <w:p w14:paraId="513CF01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9D2ED0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2130" w:type="dxa"/>
            <w:vAlign w:val="center"/>
          </w:tcPr>
          <w:p w14:paraId="1BDB32F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4660" w:type="dxa"/>
            <w:vAlign w:val="center"/>
          </w:tcPr>
          <w:p w14:paraId="433F8513">
            <w:pPr>
              <w:adjustRightInd w:val="0"/>
              <w:snapToGrid w:val="0"/>
              <w:jc w:val="left"/>
              <w:rPr>
                <w:rFonts w:hint="eastAsia" w:ascii="宋体" w:hAnsi="宋体" w:eastAsia="宋体" w:cs="宋体"/>
                <w:color w:val="auto"/>
                <w:szCs w:val="21"/>
                <w:highlight w:val="none"/>
                <w:u w:val="single"/>
              </w:rPr>
            </w:pPr>
          </w:p>
        </w:tc>
      </w:tr>
      <w:tr w14:paraId="0AC0A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29" w:type="dxa"/>
            <w:tcBorders>
              <w:bottom w:val="single" w:color="auto" w:sz="2" w:space="0"/>
              <w:right w:val="single" w:color="auto" w:sz="2" w:space="0"/>
            </w:tcBorders>
            <w:vAlign w:val="center"/>
          </w:tcPr>
          <w:p w14:paraId="318D1F5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DF9351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2130" w:type="dxa"/>
            <w:tcBorders>
              <w:left w:val="single" w:color="auto" w:sz="2" w:space="0"/>
              <w:bottom w:val="single" w:color="auto" w:sz="2" w:space="0"/>
              <w:right w:val="single" w:color="auto" w:sz="2" w:space="0"/>
            </w:tcBorders>
            <w:vAlign w:val="center"/>
          </w:tcPr>
          <w:p w14:paraId="2C7661F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4660" w:type="dxa"/>
            <w:tcBorders>
              <w:left w:val="single" w:color="auto" w:sz="2" w:space="0"/>
              <w:bottom w:val="single" w:color="auto" w:sz="2" w:space="0"/>
            </w:tcBorders>
            <w:vAlign w:val="center"/>
          </w:tcPr>
          <w:p w14:paraId="5498F375">
            <w:pPr>
              <w:adjustRightInd w:val="0"/>
              <w:snapToGrid w:val="0"/>
              <w:jc w:val="left"/>
              <w:rPr>
                <w:rFonts w:hint="eastAsia" w:ascii="宋体" w:hAnsi="宋体" w:eastAsia="宋体" w:cs="宋体"/>
                <w:color w:val="auto"/>
                <w:szCs w:val="21"/>
                <w:highlight w:val="none"/>
                <w:u w:val="single"/>
              </w:rPr>
            </w:pPr>
          </w:p>
        </w:tc>
      </w:tr>
      <w:tr w14:paraId="0E1517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29" w:type="dxa"/>
            <w:tcBorders>
              <w:top w:val="single" w:color="auto" w:sz="2" w:space="0"/>
              <w:right w:val="single" w:color="auto" w:sz="2" w:space="0"/>
            </w:tcBorders>
            <w:vAlign w:val="center"/>
          </w:tcPr>
          <w:p w14:paraId="1C02489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EA7469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2130" w:type="dxa"/>
            <w:tcBorders>
              <w:top w:val="single" w:color="auto" w:sz="2" w:space="0"/>
              <w:left w:val="single" w:color="auto" w:sz="2" w:space="0"/>
              <w:right w:val="single" w:color="auto" w:sz="2" w:space="0"/>
            </w:tcBorders>
            <w:vAlign w:val="center"/>
          </w:tcPr>
          <w:p w14:paraId="124C974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4660" w:type="dxa"/>
            <w:tcBorders>
              <w:top w:val="single" w:color="auto" w:sz="2" w:space="0"/>
              <w:left w:val="single" w:color="auto" w:sz="2" w:space="0"/>
            </w:tcBorders>
            <w:vAlign w:val="center"/>
          </w:tcPr>
          <w:p w14:paraId="1F545902">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种方式解决：</w:t>
            </w:r>
          </w:p>
          <w:p w14:paraId="01E76FE2">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仲裁委员会申请仲裁，仲裁地点为</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w:t>
            </w:r>
          </w:p>
          <w:p w14:paraId="26BBCF86">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人民法院起诉。</w:t>
            </w:r>
          </w:p>
        </w:tc>
      </w:tr>
      <w:tr w14:paraId="27E3F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29" w:type="dxa"/>
            <w:vAlign w:val="center"/>
          </w:tcPr>
          <w:p w14:paraId="5A3E24C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D16C1D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2130" w:type="dxa"/>
            <w:vAlign w:val="center"/>
          </w:tcPr>
          <w:p w14:paraId="0D160D4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4660" w:type="dxa"/>
            <w:vAlign w:val="center"/>
          </w:tcPr>
          <w:p w14:paraId="2207FF90">
            <w:pPr>
              <w:adjustRightInd w:val="0"/>
              <w:snapToGrid w:val="0"/>
              <w:jc w:val="left"/>
              <w:rPr>
                <w:rFonts w:hint="eastAsia" w:ascii="宋体" w:hAnsi="宋体" w:eastAsia="宋体" w:cs="宋体"/>
                <w:color w:val="auto"/>
                <w:szCs w:val="21"/>
                <w:highlight w:val="none"/>
              </w:rPr>
            </w:pPr>
          </w:p>
        </w:tc>
      </w:tr>
    </w:tbl>
    <w:p w14:paraId="6F51066E">
      <w:pPr>
        <w:tabs>
          <w:tab w:val="left" w:pos="-737"/>
        </w:tabs>
        <w:kinsoku w:val="0"/>
        <w:overflowPunct w:val="0"/>
        <w:autoSpaceDE w:val="0"/>
        <w:autoSpaceDN w:val="0"/>
        <w:adjustRightInd w:val="0"/>
        <w:snapToGrid w:val="0"/>
        <w:spacing w:line="360" w:lineRule="auto"/>
        <w:ind w:firstLine="480" w:firstLineChars="200"/>
        <w:jc w:val="left"/>
        <w:rPr>
          <w:rFonts w:hint="eastAsia" w:ascii="宋体" w:hAnsi="宋体" w:eastAsia="宋体" w:cs="宋体"/>
          <w:bCs/>
          <w:snapToGrid w:val="0"/>
          <w:color w:val="auto"/>
          <w:kern w:val="0"/>
          <w:sz w:val="24"/>
          <w:highlight w:val="none"/>
        </w:rPr>
      </w:pPr>
    </w:p>
    <w:p w14:paraId="127097BC">
      <w:pPr>
        <w:pStyle w:val="33"/>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highlight w:val="none"/>
        </w:rPr>
        <w:t>                </w:t>
      </w:r>
    </w:p>
    <w:p w14:paraId="0479BED3">
      <w:pPr>
        <w:spacing w:line="460" w:lineRule="exact"/>
        <w:jc w:val="center"/>
        <w:outlineLvl w:val="0"/>
        <w:rPr>
          <w:rFonts w:hint="eastAsia" w:ascii="宋体" w:hAnsi="宋体" w:eastAsia="宋体" w:cs="宋体"/>
          <w:b/>
          <w:color w:val="auto"/>
          <w:sz w:val="36"/>
          <w:szCs w:val="36"/>
          <w:highlight w:val="none"/>
        </w:rPr>
      </w:pPr>
      <w:bookmarkStart w:id="26" w:name="_Toc20139"/>
      <w:r>
        <w:rPr>
          <w:rFonts w:hint="eastAsia" w:ascii="宋体" w:hAnsi="宋体" w:eastAsia="宋体" w:cs="宋体"/>
          <w:b/>
          <w:color w:val="auto"/>
          <w:sz w:val="36"/>
          <w:szCs w:val="36"/>
          <w:highlight w:val="none"/>
        </w:rPr>
        <w:t>第六部分  投标文件格式</w:t>
      </w:r>
      <w:bookmarkEnd w:id="26"/>
    </w:p>
    <w:p w14:paraId="4D9A489E">
      <w:pPr>
        <w:spacing w:line="460" w:lineRule="exact"/>
        <w:jc w:val="center"/>
        <w:rPr>
          <w:rFonts w:hint="eastAsia" w:ascii="宋体" w:hAnsi="宋体" w:eastAsia="宋体" w:cs="宋体"/>
          <w:b/>
          <w:color w:val="auto"/>
          <w:sz w:val="28"/>
          <w:szCs w:val="28"/>
          <w:highlight w:val="none"/>
        </w:rPr>
      </w:pPr>
    </w:p>
    <w:p w14:paraId="32E0B66F">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投标人提交文件须知</w:t>
      </w:r>
    </w:p>
    <w:p w14:paraId="71C37C6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投标人应严格按照以下格式填写和提交下述规定的全部格式文件以及其他有关资料，混乱的编排导致投标文件被误读或难以查找，后果由投标人承担。</w:t>
      </w:r>
    </w:p>
    <w:p w14:paraId="7388E245">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所附表格中要求回答的全部问题和信息都必须正面回答。</w:t>
      </w:r>
    </w:p>
    <w:p w14:paraId="655D635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3、本资格声明的签字人应保证全部声明和问题的回答是真实、准确的。</w:t>
      </w:r>
    </w:p>
    <w:p w14:paraId="4AB88DD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评标委员会将应用投标人提交的资料并根据自己的判断，决定投标人履行合同的合格性及能力。</w:t>
      </w:r>
    </w:p>
    <w:p w14:paraId="25275D4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投标人提交的材料将被妥善保存，但不退还。</w:t>
      </w:r>
    </w:p>
    <w:p w14:paraId="72317E1F">
      <w:pPr>
        <w:spacing w:line="46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6. 全部文件应按投标人须知中规定的语言和份数提交。</w:t>
      </w:r>
    </w:p>
    <w:p w14:paraId="6FC06099">
      <w:pPr>
        <w:widowControl/>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246B8CE">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p>
    <w:p w14:paraId="2E2C8DFB">
      <w:pPr>
        <w:jc w:val="center"/>
        <w:rPr>
          <w:rFonts w:hint="eastAsia" w:ascii="宋体" w:hAnsi="宋体" w:eastAsia="宋体" w:cs="宋体"/>
          <w:b/>
          <w:color w:val="auto"/>
          <w:sz w:val="48"/>
          <w:szCs w:val="48"/>
          <w:highlight w:val="none"/>
        </w:rPr>
      </w:pPr>
    </w:p>
    <w:p w14:paraId="7E4F932C">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项目名称</w:t>
      </w:r>
    </w:p>
    <w:p w14:paraId="4DCDF9A4">
      <w:pPr>
        <w:jc w:val="center"/>
        <w:rPr>
          <w:rFonts w:hint="eastAsia" w:ascii="宋体" w:hAnsi="宋体" w:eastAsia="宋体" w:cs="宋体"/>
          <w:b/>
          <w:color w:val="auto"/>
          <w:sz w:val="48"/>
          <w:szCs w:val="48"/>
          <w:highlight w:val="none"/>
        </w:rPr>
      </w:pPr>
    </w:p>
    <w:p w14:paraId="71EEEFC0">
      <w:pPr>
        <w:rPr>
          <w:rFonts w:hint="eastAsia" w:ascii="宋体" w:hAnsi="宋体" w:eastAsia="宋体" w:cs="宋体"/>
          <w:b/>
          <w:color w:val="auto"/>
          <w:sz w:val="28"/>
          <w:szCs w:val="28"/>
          <w:highlight w:val="none"/>
        </w:rPr>
      </w:pPr>
    </w:p>
    <w:p w14:paraId="76709D85">
      <w:pPr>
        <w:ind w:firstLine="1968" w:firstLineChars="7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p w14:paraId="5957F26C">
      <w:pPr>
        <w:jc w:val="center"/>
        <w:rPr>
          <w:rFonts w:hint="eastAsia" w:ascii="宋体" w:hAnsi="宋体" w:eastAsia="宋体" w:cs="宋体"/>
          <w:color w:val="auto"/>
          <w:kern w:val="0"/>
          <w:sz w:val="44"/>
          <w:szCs w:val="44"/>
          <w:highlight w:val="none"/>
        </w:rPr>
      </w:pPr>
    </w:p>
    <w:p w14:paraId="1DFC03DC">
      <w:pPr>
        <w:pStyle w:val="24"/>
        <w:rPr>
          <w:rFonts w:hint="eastAsia" w:ascii="宋体" w:hAnsi="宋体" w:eastAsia="宋体" w:cs="宋体"/>
          <w:color w:val="auto"/>
          <w:highlight w:val="none"/>
        </w:rPr>
      </w:pPr>
    </w:p>
    <w:p w14:paraId="682CD49A">
      <w:pPr>
        <w:pStyle w:val="24"/>
        <w:rPr>
          <w:rFonts w:hint="eastAsia" w:ascii="宋体" w:hAnsi="宋体" w:eastAsia="宋体" w:cs="宋体"/>
          <w:color w:val="auto"/>
          <w:highlight w:val="none"/>
        </w:rPr>
      </w:pPr>
    </w:p>
    <w:p w14:paraId="1AE5154E">
      <w:pPr>
        <w:pStyle w:val="24"/>
        <w:rPr>
          <w:rFonts w:hint="eastAsia" w:ascii="宋体" w:hAnsi="宋体" w:eastAsia="宋体" w:cs="宋体"/>
          <w:color w:val="auto"/>
          <w:highlight w:val="none"/>
        </w:rPr>
      </w:pPr>
    </w:p>
    <w:p w14:paraId="616F0064">
      <w:pPr>
        <w:pStyle w:val="24"/>
        <w:rPr>
          <w:rFonts w:hint="eastAsia" w:ascii="宋体" w:hAnsi="宋体" w:eastAsia="宋体" w:cs="宋体"/>
          <w:color w:val="auto"/>
          <w:highlight w:val="none"/>
        </w:rPr>
      </w:pPr>
    </w:p>
    <w:p w14:paraId="7A6ED8DC">
      <w:pPr>
        <w:jc w:val="center"/>
        <w:outlineLvl w:val="0"/>
        <w:rPr>
          <w:rFonts w:hint="eastAsia" w:ascii="宋体" w:hAnsi="宋体" w:eastAsia="宋体" w:cs="宋体"/>
          <w:b/>
          <w:color w:val="auto"/>
          <w:sz w:val="84"/>
          <w:szCs w:val="84"/>
          <w:highlight w:val="none"/>
        </w:rPr>
      </w:pPr>
      <w:bookmarkStart w:id="27" w:name="_Toc15374"/>
      <w:bookmarkStart w:id="28" w:name="_Toc13398"/>
      <w:r>
        <w:rPr>
          <w:rFonts w:hint="eastAsia" w:ascii="宋体" w:hAnsi="宋体" w:eastAsia="宋体" w:cs="宋体"/>
          <w:b/>
          <w:color w:val="auto"/>
          <w:sz w:val="84"/>
          <w:szCs w:val="84"/>
          <w:highlight w:val="none"/>
        </w:rPr>
        <w:t>投</w:t>
      </w:r>
      <w:bookmarkEnd w:id="27"/>
      <w:bookmarkEnd w:id="28"/>
    </w:p>
    <w:p w14:paraId="09827CA4">
      <w:pPr>
        <w:jc w:val="center"/>
        <w:outlineLvl w:val="0"/>
        <w:rPr>
          <w:rFonts w:hint="eastAsia" w:ascii="宋体" w:hAnsi="宋体" w:eastAsia="宋体" w:cs="宋体"/>
          <w:b/>
          <w:color w:val="auto"/>
          <w:sz w:val="84"/>
          <w:szCs w:val="84"/>
          <w:highlight w:val="none"/>
        </w:rPr>
      </w:pPr>
      <w:bookmarkStart w:id="29" w:name="_Toc2172"/>
      <w:bookmarkStart w:id="30" w:name="_Toc18180"/>
      <w:r>
        <w:rPr>
          <w:rFonts w:hint="eastAsia" w:ascii="宋体" w:hAnsi="宋体" w:eastAsia="宋体" w:cs="宋体"/>
          <w:b/>
          <w:color w:val="auto"/>
          <w:sz w:val="84"/>
          <w:szCs w:val="84"/>
          <w:highlight w:val="none"/>
        </w:rPr>
        <w:t>标</w:t>
      </w:r>
      <w:bookmarkEnd w:id="29"/>
      <w:bookmarkEnd w:id="30"/>
    </w:p>
    <w:p w14:paraId="6DF457D9">
      <w:pPr>
        <w:jc w:val="center"/>
        <w:outlineLvl w:val="0"/>
        <w:rPr>
          <w:rFonts w:hint="eastAsia" w:ascii="宋体" w:hAnsi="宋体" w:eastAsia="宋体" w:cs="宋体"/>
          <w:b/>
          <w:color w:val="auto"/>
          <w:sz w:val="84"/>
          <w:szCs w:val="84"/>
          <w:highlight w:val="none"/>
        </w:rPr>
      </w:pPr>
      <w:bookmarkStart w:id="31" w:name="_Toc30422"/>
      <w:bookmarkStart w:id="32" w:name="_Toc5659"/>
      <w:r>
        <w:rPr>
          <w:rFonts w:hint="eastAsia" w:ascii="宋体" w:hAnsi="宋体" w:eastAsia="宋体" w:cs="宋体"/>
          <w:b/>
          <w:color w:val="auto"/>
          <w:sz w:val="84"/>
          <w:szCs w:val="84"/>
          <w:highlight w:val="none"/>
        </w:rPr>
        <w:t>文</w:t>
      </w:r>
      <w:bookmarkEnd w:id="31"/>
      <w:bookmarkEnd w:id="32"/>
    </w:p>
    <w:p w14:paraId="51DB097B">
      <w:pPr>
        <w:jc w:val="center"/>
        <w:outlineLvl w:val="0"/>
        <w:rPr>
          <w:rFonts w:hint="eastAsia" w:ascii="宋体" w:hAnsi="宋体" w:eastAsia="宋体" w:cs="宋体"/>
          <w:b/>
          <w:color w:val="auto"/>
          <w:sz w:val="28"/>
          <w:szCs w:val="28"/>
          <w:highlight w:val="none"/>
        </w:rPr>
      </w:pPr>
      <w:bookmarkStart w:id="33" w:name="_Toc15945"/>
      <w:bookmarkStart w:id="34" w:name="_Toc23771"/>
      <w:r>
        <w:rPr>
          <w:rFonts w:hint="eastAsia" w:ascii="宋体" w:hAnsi="宋体" w:eastAsia="宋体" w:cs="宋体"/>
          <w:b/>
          <w:color w:val="auto"/>
          <w:sz w:val="84"/>
          <w:szCs w:val="84"/>
          <w:highlight w:val="none"/>
        </w:rPr>
        <w:t>件</w:t>
      </w:r>
      <w:bookmarkEnd w:id="33"/>
      <w:bookmarkEnd w:id="34"/>
    </w:p>
    <w:p w14:paraId="5B079204">
      <w:pPr>
        <w:rPr>
          <w:rFonts w:hint="eastAsia" w:ascii="宋体" w:hAnsi="宋体" w:eastAsia="宋体" w:cs="宋体"/>
          <w:color w:val="auto"/>
          <w:sz w:val="28"/>
          <w:szCs w:val="28"/>
          <w:highlight w:val="none"/>
        </w:rPr>
      </w:pPr>
    </w:p>
    <w:p w14:paraId="4C799797">
      <w:pPr>
        <w:rPr>
          <w:rFonts w:hint="eastAsia" w:ascii="宋体" w:hAnsi="宋体" w:eastAsia="宋体" w:cs="宋体"/>
          <w:color w:val="auto"/>
          <w:sz w:val="28"/>
          <w:szCs w:val="28"/>
          <w:highlight w:val="none"/>
        </w:rPr>
      </w:pPr>
    </w:p>
    <w:p w14:paraId="6FB96A86">
      <w:pPr>
        <w:pStyle w:val="12"/>
        <w:rPr>
          <w:rFonts w:hint="eastAsia" w:ascii="宋体" w:hAnsi="宋体" w:eastAsia="宋体" w:cs="宋体"/>
          <w:color w:val="auto"/>
          <w:highlight w:val="none"/>
        </w:rPr>
      </w:pPr>
    </w:p>
    <w:p w14:paraId="37387B62">
      <w:pPr>
        <w:rPr>
          <w:rFonts w:hint="eastAsia" w:ascii="宋体" w:hAnsi="宋体" w:eastAsia="宋体" w:cs="宋体"/>
          <w:color w:val="auto"/>
          <w:sz w:val="28"/>
          <w:szCs w:val="28"/>
          <w:highlight w:val="none"/>
        </w:rPr>
      </w:pPr>
    </w:p>
    <w:p w14:paraId="0CE23D3D">
      <w:pPr>
        <w:spacing w:line="360" w:lineRule="auto"/>
        <w:ind w:firstLine="843" w:firstLineChars="300"/>
        <w:rPr>
          <w:rFonts w:hint="eastAsia" w:ascii="宋体" w:hAnsi="宋体" w:eastAsia="宋体" w:cs="宋体"/>
          <w:b/>
          <w:color w:val="auto"/>
          <w:sz w:val="28"/>
          <w:szCs w:val="28"/>
          <w:highlight w:val="none"/>
        </w:rPr>
      </w:pPr>
      <w:bookmarkStart w:id="35" w:name="_Toc18458"/>
      <w:r>
        <w:rPr>
          <w:rFonts w:hint="eastAsia" w:ascii="宋体" w:hAnsi="宋体" w:eastAsia="宋体" w:cs="宋体"/>
          <w:b/>
          <w:color w:val="auto"/>
          <w:sz w:val="28"/>
          <w:szCs w:val="28"/>
          <w:highlight w:val="none"/>
        </w:rPr>
        <w:t>投标人名称：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(加盖单位电子公章)</w:t>
      </w:r>
      <w:bookmarkEnd w:id="35"/>
    </w:p>
    <w:p w14:paraId="5E541072">
      <w:pPr>
        <w:spacing w:line="360" w:lineRule="auto"/>
        <w:ind w:firstLine="843" w:firstLineChars="300"/>
        <w:outlineLvl w:val="0"/>
        <w:rPr>
          <w:rFonts w:hint="eastAsia" w:ascii="宋体" w:hAnsi="宋体" w:eastAsia="宋体" w:cs="宋体"/>
          <w:b/>
          <w:color w:val="auto"/>
          <w:sz w:val="28"/>
          <w:szCs w:val="28"/>
          <w:highlight w:val="none"/>
        </w:rPr>
      </w:pPr>
      <w:bookmarkStart w:id="36" w:name="_Toc20540"/>
      <w:bookmarkStart w:id="37" w:name="_Toc793"/>
      <w:r>
        <w:rPr>
          <w:rFonts w:hint="eastAsia" w:ascii="宋体" w:hAnsi="宋体" w:eastAsia="宋体" w:cs="宋体"/>
          <w:b/>
          <w:color w:val="auto"/>
          <w:sz w:val="28"/>
          <w:szCs w:val="28"/>
          <w:highlight w:val="none"/>
        </w:rPr>
        <w:t>法定代表人或授权代表：</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（电子签字或盖章）</w:t>
      </w:r>
      <w:bookmarkEnd w:id="36"/>
      <w:bookmarkEnd w:id="37"/>
    </w:p>
    <w:p w14:paraId="5A07C399">
      <w:pPr>
        <w:spacing w:line="360" w:lineRule="auto"/>
        <w:jc w:val="center"/>
        <w:outlineLvl w:val="0"/>
        <w:rPr>
          <w:rFonts w:hint="eastAsia" w:ascii="宋体" w:hAnsi="宋体" w:eastAsia="宋体" w:cs="宋体"/>
          <w:b/>
          <w:color w:val="auto"/>
          <w:sz w:val="28"/>
          <w:szCs w:val="28"/>
          <w:highlight w:val="none"/>
        </w:rPr>
      </w:pPr>
      <w:bookmarkStart w:id="38" w:name="_Toc7666"/>
      <w:bookmarkStart w:id="39" w:name="_Toc13354"/>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bookmarkEnd w:id="38"/>
      <w:bookmarkEnd w:id="39"/>
    </w:p>
    <w:p w14:paraId="76E7AAC8">
      <w:pPr>
        <w:pStyle w:val="24"/>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8FB192">
      <w:pPr>
        <w:jc w:val="center"/>
        <w:outlineLvl w:val="0"/>
        <w:rPr>
          <w:rFonts w:hint="eastAsia" w:ascii="宋体" w:hAnsi="宋体" w:eastAsia="宋体" w:cs="宋体"/>
          <w:color w:val="auto"/>
          <w:highlight w:val="none"/>
        </w:rPr>
      </w:pPr>
      <w:r>
        <w:rPr>
          <w:rFonts w:hint="eastAsia" w:ascii="宋体" w:hAnsi="宋体" w:eastAsia="宋体" w:cs="宋体"/>
          <w:color w:val="auto"/>
          <w:sz w:val="32"/>
          <w:szCs w:val="32"/>
          <w:highlight w:val="none"/>
        </w:rPr>
        <w:t>目录（格式自拟）</w:t>
      </w:r>
    </w:p>
    <w:p w14:paraId="139BEBB5">
      <w:pPr>
        <w:spacing w:line="460" w:lineRule="exact"/>
        <w:jc w:val="center"/>
        <w:rPr>
          <w:rFonts w:hint="eastAsia" w:ascii="宋体" w:hAnsi="宋体" w:eastAsia="宋体" w:cs="宋体"/>
          <w:color w:val="auto"/>
          <w:sz w:val="36"/>
          <w:szCs w:val="36"/>
          <w:highlight w:val="none"/>
        </w:rPr>
      </w:pPr>
    </w:p>
    <w:p w14:paraId="5FAE4509">
      <w:pPr>
        <w:pStyle w:val="36"/>
        <w:ind w:firstLine="0" w:firstLineChars="0"/>
        <w:rPr>
          <w:rFonts w:hint="eastAsia" w:ascii="宋体" w:hAnsi="宋体" w:eastAsia="宋体" w:cs="宋体"/>
          <w:b/>
          <w:bCs/>
          <w:color w:val="auto"/>
          <w:sz w:val="24"/>
          <w:highlight w:val="none"/>
        </w:rPr>
        <w:sectPr>
          <w:pgSz w:w="11900" w:h="16840"/>
          <w:pgMar w:top="1870" w:right="1471" w:bottom="1910" w:left="1452" w:header="737" w:footer="850" w:gutter="0"/>
          <w:cols w:space="720" w:num="1"/>
          <w:docGrid w:linePitch="360" w:charSpace="0"/>
        </w:sectPr>
      </w:pPr>
      <w:bookmarkStart w:id="40" w:name="_Toc22231"/>
      <w:r>
        <w:rPr>
          <w:rFonts w:hint="eastAsia" w:ascii="宋体" w:hAnsi="宋体" w:eastAsia="宋体" w:cs="宋体"/>
          <w:b/>
          <w:bCs/>
          <w:color w:val="auto"/>
          <w:sz w:val="24"/>
          <w:highlight w:val="none"/>
        </w:rPr>
        <w:t>注：按照本招标文件第二部分投标人须知8.3条款规定的内容、顺序进行编排。</w:t>
      </w:r>
    </w:p>
    <w:p w14:paraId="3B9B52A5">
      <w:pPr>
        <w:pStyle w:val="36"/>
        <w:ind w:firstLine="360"/>
        <w:rPr>
          <w:rFonts w:hint="eastAsia" w:ascii="宋体" w:hAnsi="宋体" w:eastAsia="宋体" w:cs="宋体"/>
          <w:color w:val="auto"/>
          <w:sz w:val="36"/>
          <w:szCs w:val="36"/>
          <w:highlight w:val="none"/>
        </w:rPr>
      </w:pPr>
    </w:p>
    <w:p w14:paraId="50BE5EC1">
      <w:pPr>
        <w:widowControl/>
        <w:jc w:val="center"/>
        <w:rPr>
          <w:rFonts w:hint="eastAsia" w:ascii="宋体" w:hAnsi="宋体" w:eastAsia="宋体" w:cs="宋体"/>
          <w:b/>
          <w:color w:val="auto"/>
          <w:sz w:val="48"/>
          <w:szCs w:val="48"/>
          <w:highlight w:val="none"/>
        </w:rPr>
      </w:pPr>
    </w:p>
    <w:p w14:paraId="3245F1A6">
      <w:pPr>
        <w:widowControl/>
        <w:jc w:val="center"/>
        <w:rPr>
          <w:rFonts w:hint="eastAsia" w:ascii="宋体" w:hAnsi="宋体" w:eastAsia="宋体" w:cs="宋体"/>
          <w:b/>
          <w:color w:val="auto"/>
          <w:sz w:val="48"/>
          <w:szCs w:val="48"/>
          <w:highlight w:val="none"/>
        </w:rPr>
      </w:pPr>
    </w:p>
    <w:p w14:paraId="4054377C">
      <w:pPr>
        <w:widowControl/>
        <w:jc w:val="center"/>
        <w:rPr>
          <w:rFonts w:hint="eastAsia" w:ascii="宋体" w:hAnsi="宋体" w:eastAsia="宋体" w:cs="宋体"/>
          <w:b/>
          <w:color w:val="auto"/>
          <w:sz w:val="48"/>
          <w:szCs w:val="48"/>
          <w:highlight w:val="none"/>
        </w:rPr>
      </w:pPr>
    </w:p>
    <w:p w14:paraId="79E16324">
      <w:pPr>
        <w:widowControl/>
        <w:jc w:val="center"/>
        <w:rPr>
          <w:rFonts w:hint="eastAsia" w:ascii="宋体" w:hAnsi="宋体" w:eastAsia="宋体" w:cs="宋体"/>
          <w:b/>
          <w:color w:val="auto"/>
          <w:sz w:val="48"/>
          <w:szCs w:val="48"/>
          <w:highlight w:val="none"/>
        </w:rPr>
      </w:pPr>
    </w:p>
    <w:p w14:paraId="56A546C6">
      <w:pPr>
        <w:widowControl/>
        <w:jc w:val="center"/>
        <w:rPr>
          <w:rFonts w:hint="eastAsia" w:ascii="宋体" w:hAnsi="宋体" w:eastAsia="宋体" w:cs="宋体"/>
          <w:b/>
          <w:color w:val="auto"/>
          <w:sz w:val="48"/>
          <w:szCs w:val="48"/>
          <w:highlight w:val="none"/>
        </w:rPr>
      </w:pPr>
    </w:p>
    <w:p w14:paraId="1D990CF2">
      <w:pPr>
        <w:widowControl/>
        <w:jc w:val="center"/>
        <w:rPr>
          <w:rFonts w:hint="eastAsia" w:ascii="宋体" w:hAnsi="宋体" w:eastAsia="宋体" w:cs="宋体"/>
          <w:b/>
          <w:color w:val="auto"/>
          <w:sz w:val="48"/>
          <w:szCs w:val="48"/>
          <w:highlight w:val="none"/>
        </w:rPr>
      </w:pPr>
    </w:p>
    <w:p w14:paraId="139272CA">
      <w:pPr>
        <w:widowControl/>
        <w:jc w:val="center"/>
        <w:rPr>
          <w:rFonts w:hint="eastAsia" w:ascii="宋体" w:hAnsi="宋体" w:eastAsia="宋体" w:cs="宋体"/>
          <w:b/>
          <w:color w:val="auto"/>
          <w:sz w:val="48"/>
          <w:szCs w:val="48"/>
          <w:highlight w:val="none"/>
        </w:rPr>
      </w:pPr>
    </w:p>
    <w:p w14:paraId="744A5ECF">
      <w:pPr>
        <w:widowControl/>
        <w:jc w:val="center"/>
        <w:rPr>
          <w:rFonts w:hint="eastAsia" w:ascii="宋体" w:hAnsi="宋体" w:eastAsia="宋体" w:cs="宋体"/>
          <w:b/>
          <w:color w:val="auto"/>
          <w:sz w:val="48"/>
          <w:szCs w:val="48"/>
          <w:highlight w:val="none"/>
        </w:rPr>
      </w:pPr>
    </w:p>
    <w:p w14:paraId="64242A93">
      <w:pPr>
        <w:widowControl/>
        <w:jc w:val="center"/>
        <w:rPr>
          <w:rFonts w:hint="eastAsia" w:ascii="宋体" w:hAnsi="宋体" w:eastAsia="宋体" w:cs="宋体"/>
          <w:b/>
          <w:color w:val="auto"/>
          <w:sz w:val="48"/>
          <w:szCs w:val="48"/>
          <w:highlight w:val="none"/>
        </w:rPr>
      </w:pPr>
    </w:p>
    <w:p w14:paraId="5A824183">
      <w:pPr>
        <w:widowControl/>
        <w:jc w:val="center"/>
        <w:rPr>
          <w:rFonts w:hint="eastAsia" w:ascii="宋体" w:hAnsi="宋体" w:eastAsia="宋体" w:cs="宋体"/>
          <w:color w:val="auto"/>
          <w:sz w:val="36"/>
          <w:szCs w:val="36"/>
          <w:highlight w:val="none"/>
        </w:rPr>
      </w:pPr>
      <w:r>
        <w:rPr>
          <w:rFonts w:hint="eastAsia" w:ascii="宋体" w:hAnsi="宋体" w:eastAsia="宋体" w:cs="宋体"/>
          <w:b/>
          <w:color w:val="auto"/>
          <w:sz w:val="52"/>
          <w:szCs w:val="52"/>
          <w:highlight w:val="none"/>
        </w:rPr>
        <w:t>商务部分</w:t>
      </w:r>
      <w:r>
        <w:rPr>
          <w:rFonts w:hint="eastAsia" w:ascii="宋体" w:hAnsi="宋体" w:eastAsia="宋体" w:cs="宋体"/>
          <w:color w:val="auto"/>
          <w:sz w:val="36"/>
          <w:szCs w:val="36"/>
          <w:highlight w:val="none"/>
        </w:rPr>
        <w:br w:type="page"/>
      </w:r>
    </w:p>
    <w:p w14:paraId="52181EF2">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函（格式）</w:t>
      </w:r>
    </w:p>
    <w:p w14:paraId="02681A63">
      <w:pPr>
        <w:spacing w:line="460" w:lineRule="exact"/>
        <w:rPr>
          <w:rFonts w:hint="eastAsia" w:ascii="宋体" w:hAnsi="宋体" w:eastAsia="宋体" w:cs="宋体"/>
          <w:color w:val="auto"/>
          <w:sz w:val="24"/>
          <w:highlight w:val="none"/>
        </w:rPr>
      </w:pPr>
    </w:p>
    <w:p w14:paraId="6EC8EDBA">
      <w:pPr>
        <w:spacing w:line="46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致： </w:t>
      </w:r>
      <w:r>
        <w:rPr>
          <w:rFonts w:hint="eastAsia" w:ascii="宋体" w:hAnsi="宋体" w:eastAsia="宋体" w:cs="宋体"/>
          <w:color w:val="auto"/>
          <w:sz w:val="24"/>
          <w:highlight w:val="none"/>
          <w:u w:val="single"/>
        </w:rPr>
        <w:t>（ 采购人或采购代理机构 ）</w:t>
      </w:r>
    </w:p>
    <w:p w14:paraId="2D54E765">
      <w:pPr>
        <w:spacing w:line="4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(投标人全称)授权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(投标人代表姓名)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(职务、职称)为我方代表，参加贵方组织的 </w:t>
      </w:r>
      <w:r>
        <w:rPr>
          <w:rFonts w:hint="eastAsia" w:ascii="宋体" w:hAnsi="宋体" w:eastAsia="宋体" w:cs="宋体"/>
          <w:color w:val="auto"/>
          <w:sz w:val="24"/>
          <w:highlight w:val="none"/>
          <w:u w:val="single"/>
        </w:rPr>
        <w:t xml:space="preserve">                   </w:t>
      </w:r>
    </w:p>
    <w:p w14:paraId="2D3DCA9C">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(项目名称、项目编号)招标的有关活动，并对此项目进行投标。为此：</w:t>
      </w:r>
    </w:p>
    <w:p w14:paraId="3692900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1、我方同意在本项目招标文件中规定的开标日起有效期90天内，遵守本投标文件中的承诺，且在此期限期满之前均具有约束力。</w:t>
      </w:r>
    </w:p>
    <w:p w14:paraId="2FAB14D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2、我方已经具备《中华人民共和国政府采购法》中规定的参加政府采购活动的投标人应当具备的全部条件。</w:t>
      </w:r>
    </w:p>
    <w:p w14:paraId="514C12F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3、我方愿意提供投标须知规定的全部投标文件，包括投标文件正本、副本、开标一览表。</w:t>
      </w:r>
    </w:p>
    <w:p w14:paraId="6E81504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4、我方愿意按招标文件要求提供和交付的货物和服务的投标报价，详见开标一览表。</w:t>
      </w:r>
    </w:p>
    <w:p w14:paraId="71F24C0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5、我方承诺：完全理解投标报价超过公布的预算金额（或最高限价）时，投标将被拒绝。</w:t>
      </w:r>
    </w:p>
    <w:p w14:paraId="775B68E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6、我方保证忠实地执行双方所签订的合同，并承担合同规定的责任和义务。</w:t>
      </w:r>
    </w:p>
    <w:p w14:paraId="08D4675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7、我方承诺完全满足和响应招标文件中的各项商务和技术要求，偏差已在投标文件商务和技术条款偏离表中予以明确说明。</w:t>
      </w:r>
    </w:p>
    <w:p w14:paraId="578C82F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8、我方保证遵守招标文件的规定。</w:t>
      </w:r>
    </w:p>
    <w:p w14:paraId="44881C5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9、如果在开标后规定的投标有效期内撤回投标，我方今后参与同类政府采购项目的机会可能会受到影响。</w:t>
      </w:r>
    </w:p>
    <w:p w14:paraId="34B3DF5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10、我方完全理解贵方不一定接受最低价的投标或收到的任何投标。</w:t>
      </w:r>
    </w:p>
    <w:p w14:paraId="738BED1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11、我方愿意向贵方提供任何与本项投标有关的数据、情况和技术资料。若贵方需要，我方愿意提供我方做出的一切承诺的证明材料。</w:t>
      </w:r>
    </w:p>
    <w:p w14:paraId="5A14499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12、我方已详细审核全部投标文件，包括投标文件修改书（如有的话）、参考资料及有关附件，确认无误。</w:t>
      </w:r>
    </w:p>
    <w:p w14:paraId="575776B9">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13、我方承诺：采购人若需追加采购本项目招标文件所列货物及相关服务的，在不改变合同其他实质性条款的前提下，按相同或更优惠的折扣率保证供货。</w:t>
      </w:r>
    </w:p>
    <w:p w14:paraId="51728DBE">
      <w:pPr>
        <w:widowControl/>
        <w:tabs>
          <w:tab w:val="left" w:pos="5580"/>
        </w:tabs>
        <w:spacing w:line="4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14、我方已详细审查全部招标文件，包括所有补充通知（如果有的话）。我们完全理解并同意放弃对这方面有不明、误解和质疑的权利。</w:t>
      </w:r>
    </w:p>
    <w:p w14:paraId="32B4998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我方将严格遵守《中华人民共和国政府采购法》的有关规定，并同意若有下列情形之一时，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571976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14:paraId="01CACE8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（2）采取不正当手段诋毁、排挤其他投标人的；</w:t>
      </w:r>
    </w:p>
    <w:p w14:paraId="5C60A3D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（3）与采购人、其它投标人或者有关工作人员恶意串通的；</w:t>
      </w:r>
    </w:p>
    <w:p w14:paraId="0279864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（4）向采购当事人行贿或者提供其他不正当利益的；</w:t>
      </w:r>
    </w:p>
    <w:p w14:paraId="0B21649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（5）未经采购代理机构同意，在采购过程中与采购人进行协商谈判的；</w:t>
      </w:r>
    </w:p>
    <w:p w14:paraId="1B1C553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（6）拒绝有关部门监督检查或提供虚假情况的。</w:t>
      </w:r>
    </w:p>
    <w:p w14:paraId="28FEDCF8">
      <w:pPr>
        <w:spacing w:line="460" w:lineRule="exact"/>
        <w:ind w:firstLine="480" w:firstLineChars="200"/>
        <w:rPr>
          <w:rFonts w:hint="eastAsia" w:ascii="宋体" w:hAnsi="宋体" w:eastAsia="宋体" w:cs="宋体"/>
          <w:color w:val="auto"/>
          <w:sz w:val="24"/>
          <w:highlight w:val="none"/>
        </w:rPr>
      </w:pPr>
    </w:p>
    <w:p w14:paraId="546FDC3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所有有关本投标的一切往来联系方式为：</w:t>
      </w:r>
    </w:p>
    <w:p w14:paraId="625F0792">
      <w:pPr>
        <w:spacing w:line="46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72B2645F">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40C185C6">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投标人法定代表人或投标人授权代表姓名：</w:t>
      </w:r>
      <w:r>
        <w:rPr>
          <w:rFonts w:hint="eastAsia" w:ascii="宋体" w:hAnsi="宋体" w:eastAsia="宋体" w:cs="宋体"/>
          <w:color w:val="auto"/>
          <w:sz w:val="24"/>
          <w:highlight w:val="none"/>
          <w:u w:val="single"/>
        </w:rPr>
        <w:t xml:space="preserve">                 </w:t>
      </w:r>
    </w:p>
    <w:p w14:paraId="5B35E11C">
      <w:pPr>
        <w:spacing w:line="460" w:lineRule="exact"/>
        <w:ind w:left="1200" w:hanging="1200" w:hangingChars="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投标人法定代表人或投标人授权代表联系电话：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（办公）</w:t>
      </w:r>
    </w:p>
    <w:p w14:paraId="3A99B376">
      <w:pPr>
        <w:spacing w:line="460" w:lineRule="exact"/>
        <w:ind w:left="1200" w:hanging="1200" w:hangingChars="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（移动）   E-mail：</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586916E">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投标人(电子公章)：</w:t>
      </w:r>
      <w:r>
        <w:rPr>
          <w:rFonts w:hint="eastAsia" w:ascii="宋体" w:hAnsi="宋体" w:eastAsia="宋体" w:cs="宋体"/>
          <w:color w:val="auto"/>
          <w:sz w:val="24"/>
          <w:highlight w:val="none"/>
          <w:u w:val="single"/>
        </w:rPr>
        <w:t xml:space="preserve">                </w:t>
      </w:r>
    </w:p>
    <w:p w14:paraId="06860175">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法定代表人或投标人授权代表(电子签字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DF28679">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C1DA6CD">
      <w:pPr>
        <w:spacing w:line="460" w:lineRule="exact"/>
        <w:ind w:firstLine="482" w:firstLineChars="200"/>
        <w:rPr>
          <w:rFonts w:hint="eastAsia" w:ascii="宋体" w:hAnsi="宋体" w:eastAsia="宋体" w:cs="宋体"/>
          <w:b/>
          <w:color w:val="auto"/>
          <w:sz w:val="24"/>
          <w:highlight w:val="none"/>
        </w:rPr>
      </w:pPr>
    </w:p>
    <w:p w14:paraId="5894CDF4">
      <w:pPr>
        <w:spacing w:line="460" w:lineRule="exact"/>
        <w:ind w:firstLine="48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4"/>
          <w:highlight w:val="none"/>
        </w:rPr>
        <w:t>注：除可填报项目外，对本投标函的任何修改将被视为非实质性响应投标，从而导致该投标被拒绝。</w:t>
      </w:r>
    </w:p>
    <w:p w14:paraId="5FADEE6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EA0647A">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法定代表人身份证明书（格式）</w:t>
      </w:r>
    </w:p>
    <w:p w14:paraId="5A3B5B7C">
      <w:pPr>
        <w:spacing w:line="500" w:lineRule="exact"/>
        <w:ind w:firstLine="482" w:firstLineChars="200"/>
        <w:jc w:val="center"/>
        <w:rPr>
          <w:rFonts w:hint="eastAsia" w:ascii="宋体" w:hAnsi="宋体" w:eastAsia="宋体" w:cs="宋体"/>
          <w:b/>
          <w:color w:val="auto"/>
          <w:kern w:val="0"/>
          <w:sz w:val="24"/>
          <w:highlight w:val="none"/>
        </w:rPr>
      </w:pPr>
    </w:p>
    <w:p w14:paraId="3231829C">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单位名称：________________________________________________</w:t>
      </w:r>
    </w:p>
    <w:p w14:paraId="306C56FE">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单位性质：________________________________________________</w:t>
      </w:r>
    </w:p>
    <w:p w14:paraId="47520A37">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址：________________________________________________</w:t>
      </w:r>
    </w:p>
    <w:p w14:paraId="315EC5CF">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成立时间：____________年_______月_______日</w:t>
      </w:r>
    </w:p>
    <w:p w14:paraId="1BD76A45">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经营期限：________________________________________________</w:t>
      </w:r>
    </w:p>
    <w:p w14:paraId="3214AB44">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    名：________________________________________________</w:t>
      </w:r>
    </w:p>
    <w:p w14:paraId="5DFB0D25">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龄：________________________________________________</w:t>
      </w:r>
    </w:p>
    <w:p w14:paraId="03341C30">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xml:space="preserve">（投标人名称）      </w:t>
      </w:r>
      <w:r>
        <w:rPr>
          <w:rFonts w:hint="eastAsia" w:ascii="宋体" w:hAnsi="宋体" w:eastAsia="宋体" w:cs="宋体"/>
          <w:color w:val="auto"/>
          <w:kern w:val="0"/>
          <w:sz w:val="24"/>
          <w:highlight w:val="none"/>
        </w:rPr>
        <w:t>的法定代表人</w:t>
      </w:r>
    </w:p>
    <w:p w14:paraId="012A0574">
      <w:pPr>
        <w:spacing w:line="500" w:lineRule="exact"/>
        <w:ind w:firstLine="480" w:firstLineChars="200"/>
        <w:rPr>
          <w:rFonts w:hint="eastAsia" w:ascii="宋体" w:hAnsi="宋体" w:eastAsia="宋体" w:cs="宋体"/>
          <w:color w:val="auto"/>
          <w:kern w:val="0"/>
          <w:sz w:val="24"/>
          <w:highlight w:val="none"/>
        </w:rPr>
      </w:pPr>
    </w:p>
    <w:p w14:paraId="441FE678">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16D96454">
      <w:pPr>
        <w:spacing w:line="500" w:lineRule="exact"/>
        <w:ind w:firstLine="480" w:firstLineChars="200"/>
        <w:rPr>
          <w:rFonts w:hint="eastAsia" w:ascii="宋体" w:hAnsi="宋体" w:eastAsia="宋体" w:cs="宋体"/>
          <w:color w:val="auto"/>
          <w:kern w:val="0"/>
          <w:sz w:val="24"/>
          <w:highlight w:val="none"/>
        </w:rPr>
      </w:pPr>
    </w:p>
    <w:p w14:paraId="2CEAAFFA">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附：法定代表人身份证扫描件</w:t>
      </w:r>
    </w:p>
    <w:p w14:paraId="426DCBE8">
      <w:pPr>
        <w:spacing w:line="500" w:lineRule="exact"/>
        <w:ind w:firstLine="480" w:firstLineChars="200"/>
        <w:rPr>
          <w:rFonts w:hint="eastAsia" w:ascii="宋体" w:hAnsi="宋体" w:eastAsia="宋体" w:cs="宋体"/>
          <w:color w:val="auto"/>
          <w:kern w:val="0"/>
          <w:sz w:val="24"/>
          <w:highlight w:val="none"/>
        </w:rPr>
      </w:pPr>
    </w:p>
    <w:p w14:paraId="09346511">
      <w:pPr>
        <w:spacing w:line="500" w:lineRule="exact"/>
        <w:ind w:firstLine="480" w:firstLineChars="200"/>
        <w:rPr>
          <w:rFonts w:hint="eastAsia" w:ascii="宋体" w:hAnsi="宋体" w:eastAsia="宋体" w:cs="宋体"/>
          <w:color w:val="auto"/>
          <w:kern w:val="0"/>
          <w:sz w:val="24"/>
          <w:highlight w:val="none"/>
        </w:rPr>
      </w:pPr>
    </w:p>
    <w:p w14:paraId="3A15F23A">
      <w:pPr>
        <w:spacing w:line="500" w:lineRule="exact"/>
        <w:ind w:firstLine="480" w:firstLineChars="200"/>
        <w:rPr>
          <w:rFonts w:hint="eastAsia" w:ascii="宋体" w:hAnsi="宋体" w:eastAsia="宋体" w:cs="宋体"/>
          <w:color w:val="auto"/>
          <w:kern w:val="0"/>
          <w:sz w:val="24"/>
          <w:highlight w:val="none"/>
        </w:rPr>
      </w:pPr>
    </w:p>
    <w:p w14:paraId="76FA659F">
      <w:pPr>
        <w:spacing w:line="500" w:lineRule="exact"/>
        <w:ind w:firstLine="480" w:firstLineChars="200"/>
        <w:rPr>
          <w:rFonts w:hint="eastAsia" w:ascii="宋体" w:hAnsi="宋体" w:eastAsia="宋体" w:cs="宋体"/>
          <w:color w:val="auto"/>
          <w:kern w:val="0"/>
          <w:sz w:val="24"/>
          <w:highlight w:val="none"/>
        </w:rPr>
      </w:pPr>
    </w:p>
    <w:p w14:paraId="7F197AB2">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（电子公章）</w:t>
      </w:r>
    </w:p>
    <w:p w14:paraId="0F84FB46">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（电子签字或盖章）</w:t>
      </w:r>
    </w:p>
    <w:p w14:paraId="7BA86299">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   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日 </w:t>
      </w:r>
    </w:p>
    <w:p w14:paraId="05DB944D">
      <w:pPr>
        <w:spacing w:line="500" w:lineRule="exact"/>
        <w:ind w:firstLine="480" w:firstLineChars="200"/>
        <w:rPr>
          <w:rFonts w:hint="eastAsia" w:ascii="宋体" w:hAnsi="宋体" w:eastAsia="宋体" w:cs="宋体"/>
          <w:color w:val="auto"/>
          <w:kern w:val="0"/>
          <w:sz w:val="24"/>
          <w:highlight w:val="none"/>
        </w:rPr>
      </w:pPr>
    </w:p>
    <w:p w14:paraId="53D5063E">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b/>
          <w:bCs/>
          <w:color w:val="auto"/>
          <w:sz w:val="30"/>
          <w:szCs w:val="30"/>
          <w:highlight w:val="none"/>
        </w:rPr>
      </w:pPr>
    </w:p>
    <w:p w14:paraId="2E5D622C">
      <w:pPr>
        <w:spacing w:line="500" w:lineRule="exact"/>
        <w:ind w:firstLine="482" w:firstLineChars="200"/>
        <w:jc w:val="center"/>
        <w:rPr>
          <w:rFonts w:hint="eastAsia" w:ascii="宋体" w:hAnsi="宋体" w:eastAsia="宋体" w:cs="宋体"/>
          <w:b/>
          <w:color w:val="auto"/>
          <w:kern w:val="0"/>
          <w:sz w:val="24"/>
          <w:highlight w:val="none"/>
        </w:rPr>
      </w:pPr>
    </w:p>
    <w:p w14:paraId="4F8C102B">
      <w:pPr>
        <w:spacing w:line="500" w:lineRule="exact"/>
        <w:ind w:firstLine="482" w:firstLineChars="200"/>
        <w:jc w:val="center"/>
        <w:rPr>
          <w:rFonts w:hint="eastAsia" w:ascii="宋体" w:hAnsi="宋体" w:eastAsia="宋体" w:cs="宋体"/>
          <w:b/>
          <w:color w:val="auto"/>
          <w:kern w:val="0"/>
          <w:sz w:val="24"/>
          <w:highlight w:val="none"/>
        </w:rPr>
      </w:pPr>
    </w:p>
    <w:p w14:paraId="4B5527D3">
      <w:pPr>
        <w:spacing w:line="500" w:lineRule="exact"/>
        <w:ind w:firstLine="482" w:firstLineChars="200"/>
        <w:jc w:val="center"/>
        <w:rPr>
          <w:rFonts w:hint="eastAsia" w:ascii="宋体" w:hAnsi="宋体" w:eastAsia="宋体" w:cs="宋体"/>
          <w:b/>
          <w:color w:val="auto"/>
          <w:kern w:val="0"/>
          <w:sz w:val="24"/>
          <w:highlight w:val="none"/>
        </w:rPr>
        <w:sectPr>
          <w:pgSz w:w="11910" w:h="16840"/>
          <w:pgMar w:top="1440" w:right="1800" w:bottom="1440" w:left="1800" w:header="850" w:footer="1417" w:gutter="0"/>
          <w:cols w:space="720" w:num="1"/>
        </w:sectPr>
      </w:pPr>
    </w:p>
    <w:p w14:paraId="1CE59A34">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法定代表人授权委托书（格式）</w:t>
      </w:r>
    </w:p>
    <w:p w14:paraId="2F597A7C">
      <w:pPr>
        <w:spacing w:line="500" w:lineRule="exact"/>
        <w:ind w:firstLine="482" w:firstLineChars="200"/>
        <w:jc w:val="center"/>
        <w:rPr>
          <w:rFonts w:hint="eastAsia" w:ascii="宋体" w:hAnsi="宋体" w:eastAsia="宋体" w:cs="宋体"/>
          <w:b/>
          <w:color w:val="auto"/>
          <w:kern w:val="0"/>
          <w:sz w:val="24"/>
          <w:highlight w:val="none"/>
          <w:u w:val="single"/>
        </w:rPr>
      </w:pPr>
    </w:p>
    <w:p w14:paraId="16BCA65D">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：（采购人名称）</w:t>
      </w:r>
    </w:p>
    <w:p w14:paraId="5E4703EB">
      <w:pPr>
        <w:spacing w:line="500" w:lineRule="exact"/>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本授权书声明：注册于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（投标人住址）的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（投标人名称）法定代表人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（法定代表人姓名、职务）代表本公司授权在下面签字的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（投标人代表姓名、职务）为本公司的合法代理人，就贵方组织的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，以本公司名义处理一切与之有关的事务。</w:t>
      </w:r>
    </w:p>
    <w:p w14:paraId="656E28CF">
      <w:pPr>
        <w:spacing w:line="500" w:lineRule="exact"/>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本授权书于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日签字生效，特此声明。</w:t>
      </w:r>
    </w:p>
    <w:p w14:paraId="4E207041">
      <w:pPr>
        <w:snapToGrid w:val="0"/>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D7F4C66">
      <w:pPr>
        <w:snapToGrid w:val="0"/>
        <w:spacing w:line="500" w:lineRule="exact"/>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代理人无转委托权。</w:t>
      </w:r>
    </w:p>
    <w:p w14:paraId="27A2B647">
      <w:pPr>
        <w:spacing w:line="500" w:lineRule="exact"/>
        <w:ind w:firstLine="480" w:firstLineChars="200"/>
        <w:rPr>
          <w:rFonts w:hint="eastAsia" w:ascii="宋体" w:hAnsi="宋体" w:eastAsia="宋体" w:cs="宋体"/>
          <w:color w:val="auto"/>
          <w:kern w:val="0"/>
          <w:sz w:val="24"/>
          <w:highlight w:val="none"/>
        </w:rPr>
      </w:pPr>
    </w:p>
    <w:p w14:paraId="283797BD">
      <w:pPr>
        <w:spacing w:line="500" w:lineRule="exact"/>
        <w:ind w:firstLine="480" w:firstLineChars="200"/>
        <w:rPr>
          <w:rFonts w:hint="eastAsia" w:ascii="宋体" w:hAnsi="宋体" w:eastAsia="宋体" w:cs="宋体"/>
          <w:color w:val="auto"/>
          <w:kern w:val="0"/>
          <w:sz w:val="24"/>
          <w:highlight w:val="none"/>
        </w:rPr>
      </w:pPr>
    </w:p>
    <w:p w14:paraId="77C4EE3F">
      <w:pPr>
        <w:spacing w:line="500" w:lineRule="exact"/>
        <w:ind w:firstLine="480" w:firstLineChars="200"/>
        <w:rPr>
          <w:rFonts w:hint="eastAsia" w:ascii="宋体" w:hAnsi="宋体" w:eastAsia="宋体" w:cs="宋体"/>
          <w:color w:val="auto"/>
          <w:kern w:val="0"/>
          <w:sz w:val="24"/>
          <w:highlight w:val="none"/>
        </w:rPr>
      </w:pPr>
    </w:p>
    <w:p w14:paraId="58F4D6C1">
      <w:pPr>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附：法定代表人及委托代理人身份证扫描件</w:t>
      </w:r>
    </w:p>
    <w:p w14:paraId="43DF8B4C">
      <w:pPr>
        <w:spacing w:line="500" w:lineRule="exact"/>
        <w:ind w:firstLine="480" w:firstLineChars="200"/>
        <w:rPr>
          <w:rFonts w:hint="eastAsia" w:ascii="宋体" w:hAnsi="宋体" w:eastAsia="宋体" w:cs="宋体"/>
          <w:color w:val="auto"/>
          <w:kern w:val="0"/>
          <w:sz w:val="24"/>
          <w:highlight w:val="none"/>
        </w:rPr>
      </w:pPr>
    </w:p>
    <w:p w14:paraId="71EFACA3">
      <w:pPr>
        <w:spacing w:line="500" w:lineRule="exact"/>
        <w:ind w:firstLine="480" w:firstLineChars="200"/>
        <w:rPr>
          <w:rFonts w:hint="eastAsia" w:ascii="宋体" w:hAnsi="宋体" w:eastAsia="宋体" w:cs="宋体"/>
          <w:color w:val="auto"/>
          <w:kern w:val="0"/>
          <w:sz w:val="24"/>
          <w:highlight w:val="none"/>
        </w:rPr>
      </w:pPr>
    </w:p>
    <w:p w14:paraId="12BED4BD">
      <w:pPr>
        <w:spacing w:line="500" w:lineRule="exact"/>
        <w:ind w:firstLine="480" w:firstLineChars="200"/>
        <w:rPr>
          <w:rFonts w:hint="eastAsia" w:ascii="宋体" w:hAnsi="宋体" w:eastAsia="宋体" w:cs="宋体"/>
          <w:color w:val="auto"/>
          <w:kern w:val="0"/>
          <w:sz w:val="24"/>
          <w:highlight w:val="none"/>
        </w:rPr>
      </w:pPr>
    </w:p>
    <w:p w14:paraId="3DF42350">
      <w:pPr>
        <w:spacing w:line="500" w:lineRule="exact"/>
        <w:ind w:firstLine="480" w:firstLineChars="200"/>
        <w:rPr>
          <w:rFonts w:hint="eastAsia" w:ascii="宋体" w:hAnsi="宋体" w:eastAsia="宋体" w:cs="宋体"/>
          <w:color w:val="auto"/>
          <w:kern w:val="0"/>
          <w:sz w:val="24"/>
          <w:highlight w:val="none"/>
        </w:rPr>
      </w:pPr>
    </w:p>
    <w:p w14:paraId="59FB86EF">
      <w:pPr>
        <w:spacing w:line="50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rPr>
        <w:t>签字或盖章）：</w:t>
      </w:r>
      <w:r>
        <w:rPr>
          <w:rFonts w:hint="eastAsia" w:ascii="宋体" w:hAnsi="宋体" w:eastAsia="宋体" w:cs="宋体"/>
          <w:color w:val="auto"/>
          <w:kern w:val="0"/>
          <w:sz w:val="24"/>
          <w:highlight w:val="none"/>
          <w:u w:val="single"/>
        </w:rPr>
        <w:t xml:space="preserve">           </w:t>
      </w:r>
    </w:p>
    <w:p w14:paraId="2174549F">
      <w:pPr>
        <w:spacing w:line="500" w:lineRule="exact"/>
        <w:ind w:firstLine="3120" w:firstLineChars="13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授权代表（</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rPr>
        <w:t>签字或盖章）：</w:t>
      </w:r>
      <w:r>
        <w:rPr>
          <w:rFonts w:hint="eastAsia" w:ascii="宋体" w:hAnsi="宋体" w:eastAsia="宋体" w:cs="宋体"/>
          <w:color w:val="auto"/>
          <w:kern w:val="0"/>
          <w:sz w:val="24"/>
          <w:highlight w:val="none"/>
          <w:u w:val="single"/>
        </w:rPr>
        <w:t xml:space="preserve">             </w:t>
      </w:r>
    </w:p>
    <w:p w14:paraId="06DF0A6B">
      <w:pPr>
        <w:spacing w:line="500" w:lineRule="exact"/>
        <w:ind w:firstLine="3120" w:firstLineChars="13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投标人（电子公章）：</w:t>
      </w:r>
      <w:r>
        <w:rPr>
          <w:rFonts w:hint="eastAsia" w:ascii="宋体" w:hAnsi="宋体" w:eastAsia="宋体" w:cs="宋体"/>
          <w:color w:val="auto"/>
          <w:kern w:val="0"/>
          <w:sz w:val="24"/>
          <w:highlight w:val="none"/>
          <w:u w:val="single"/>
        </w:rPr>
        <w:t xml:space="preserve">                     </w:t>
      </w:r>
    </w:p>
    <w:p w14:paraId="359F5641">
      <w:pPr>
        <w:spacing w:line="500" w:lineRule="exact"/>
        <w:ind w:firstLine="3120" w:firstLineChars="1300"/>
        <w:rPr>
          <w:rFonts w:hint="eastAsia" w:ascii="宋体" w:hAnsi="宋体" w:eastAsia="宋体" w:cs="宋体"/>
          <w:color w:val="auto"/>
          <w:kern w:val="0"/>
          <w:sz w:val="24"/>
          <w:highlight w:val="none"/>
        </w:rPr>
        <w:sectPr>
          <w:pgSz w:w="11910" w:h="16840"/>
          <w:pgMar w:top="1440" w:right="1800" w:bottom="1440" w:left="1800" w:header="850" w:footer="1417" w:gutter="0"/>
          <w:cols w:space="720" w:num="1"/>
        </w:sectPr>
      </w:pPr>
      <w:r>
        <w:rPr>
          <w:rFonts w:hint="eastAsia" w:ascii="宋体" w:hAnsi="宋体" w:eastAsia="宋体" w:cs="宋体"/>
          <w:color w:val="auto"/>
          <w:kern w:val="0"/>
          <w:sz w:val="24"/>
          <w:highlight w:val="none"/>
        </w:rPr>
        <w:t>日      期: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3CBCDBF9">
      <w:pPr>
        <w:rPr>
          <w:rFonts w:hint="eastAsia" w:ascii="宋体" w:hAnsi="宋体" w:eastAsia="宋体" w:cs="宋体"/>
          <w:color w:val="auto"/>
          <w:highlight w:val="none"/>
        </w:rPr>
      </w:pPr>
    </w:p>
    <w:p w14:paraId="344FA990">
      <w:pPr>
        <w:jc w:val="center"/>
        <w:rPr>
          <w:rFonts w:hint="eastAsia" w:ascii="宋体" w:hAnsi="宋体" w:eastAsia="宋体" w:cs="宋体"/>
          <w:b/>
          <w:color w:val="auto"/>
          <w:sz w:val="33"/>
          <w:highlight w:val="none"/>
        </w:rPr>
      </w:pPr>
      <w:r>
        <w:rPr>
          <w:rFonts w:hint="eastAsia" w:ascii="宋体" w:hAnsi="宋体" w:eastAsia="宋体" w:cs="宋体"/>
          <w:b/>
          <w:color w:val="auto"/>
          <w:sz w:val="33"/>
          <w:highlight w:val="none"/>
        </w:rPr>
        <w:t>长治市政府采购供应商信用承诺函（格式）</w:t>
      </w:r>
    </w:p>
    <w:p w14:paraId="6F28C570">
      <w:pPr>
        <w:spacing w:line="440" w:lineRule="exact"/>
        <w:rPr>
          <w:rFonts w:hint="eastAsia" w:ascii="宋体" w:hAnsi="宋体" w:eastAsia="宋体" w:cs="宋体"/>
          <w:color w:val="auto"/>
          <w:sz w:val="24"/>
          <w:highlight w:val="none"/>
        </w:rPr>
      </w:pPr>
    </w:p>
    <w:p w14:paraId="0A2B4883">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（采购人或采购代理机构）   </w:t>
      </w:r>
      <w:r>
        <w:rPr>
          <w:rFonts w:hint="eastAsia" w:ascii="宋体" w:hAnsi="宋体" w:eastAsia="宋体" w:cs="宋体"/>
          <w:color w:val="auto"/>
          <w:sz w:val="24"/>
          <w:highlight w:val="none"/>
        </w:rPr>
        <w:t>：</w:t>
      </w:r>
    </w:p>
    <w:p w14:paraId="39896F94">
      <w:pPr>
        <w:adjustRightInd w:val="0"/>
        <w:snapToGrid w:val="0"/>
        <w:spacing w:line="480" w:lineRule="auto"/>
        <w:ind w:firstLine="480" w:firstLineChars="200"/>
        <w:rPr>
          <w:rFonts w:hint="eastAsia" w:ascii="宋体" w:hAnsi="宋体" w:eastAsia="宋体" w:cs="宋体"/>
          <w:color w:val="auto"/>
          <w:sz w:val="24"/>
          <w:highlight w:val="none"/>
        </w:rPr>
      </w:pPr>
    </w:p>
    <w:p w14:paraId="688A5E20">
      <w:pPr>
        <w:adjustRightInd w:val="0"/>
        <w:snapToGrid w:val="0"/>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供应商名称（自然人姓名）：</w:t>
      </w:r>
      <w:r>
        <w:rPr>
          <w:rFonts w:hint="eastAsia" w:ascii="宋体" w:hAnsi="宋体" w:eastAsia="宋体" w:cs="宋体"/>
          <w:color w:val="auto"/>
          <w:sz w:val="24"/>
          <w:highlight w:val="none"/>
          <w:u w:val="single"/>
        </w:rPr>
        <w:t xml:space="preserve">                       </w:t>
      </w:r>
    </w:p>
    <w:p w14:paraId="1F49D7E8">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EEC906F">
      <w:pPr>
        <w:adjustRightInd w:val="0"/>
        <w:snapToGrid w:val="0"/>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p>
    <w:p w14:paraId="046DD229">
      <w:pPr>
        <w:adjustRightInd w:val="0"/>
        <w:snapToGrid w:val="0"/>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联系地址和电话：</w:t>
      </w:r>
      <w:r>
        <w:rPr>
          <w:rFonts w:hint="eastAsia" w:ascii="宋体" w:hAnsi="宋体" w:eastAsia="宋体" w:cs="宋体"/>
          <w:color w:val="auto"/>
          <w:sz w:val="24"/>
          <w:highlight w:val="none"/>
          <w:u w:val="single"/>
        </w:rPr>
        <w:t xml:space="preserve">                                 </w:t>
      </w:r>
    </w:p>
    <w:p w14:paraId="04242EAA">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为维护公平、公正、公开的政府采购市场秩序，树立诚实守信的政府采购投标人形象，本单位（本人）自愿作出以下承诺：</w:t>
      </w:r>
    </w:p>
    <w:p w14:paraId="7B1ED2F9">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一、我单位（本人）自愿参加本次政府采购活动（项目名称：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68908288">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0AEC80CA">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2E156FA5">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0768D181">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5B39FD0E">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5AADEEF5">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（六）符合法律、行政法规规定的其他条件。</w:t>
      </w:r>
    </w:p>
    <w:p w14:paraId="5DB503EB">
      <w:pPr>
        <w:adjustRightInd w:val="0"/>
        <w:snapToGrid w:val="0"/>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二、我单位（本人）保证上述承诺事项的真实性。如所作信用承诺不实，自愿承担一切法律责任，接受政府采购监管部门和其他机关的审查和处罚。</w:t>
      </w:r>
    </w:p>
    <w:p w14:paraId="04644330">
      <w:pPr>
        <w:adjustRightInd w:val="0"/>
        <w:snapToGrid w:val="0"/>
        <w:spacing w:line="480" w:lineRule="auto"/>
        <w:rPr>
          <w:rFonts w:hint="eastAsia" w:ascii="宋体" w:hAnsi="宋体" w:eastAsia="宋体" w:cs="宋体"/>
          <w:color w:val="auto"/>
          <w:sz w:val="24"/>
          <w:highlight w:val="none"/>
        </w:rPr>
      </w:pPr>
    </w:p>
    <w:p w14:paraId="157242BC">
      <w:pPr>
        <w:adjustRightInd w:val="0"/>
        <w:snapToGrid w:val="0"/>
        <w:spacing w:line="480" w:lineRule="auto"/>
        <w:rPr>
          <w:rFonts w:hint="eastAsia" w:ascii="宋体" w:hAnsi="宋体" w:eastAsia="宋体" w:cs="宋体"/>
          <w:color w:val="auto"/>
          <w:sz w:val="24"/>
          <w:highlight w:val="none"/>
        </w:rPr>
      </w:pPr>
    </w:p>
    <w:p w14:paraId="5B76E5E9">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供应商（电子章）：</w:t>
      </w:r>
    </w:p>
    <w:p w14:paraId="7B5EFDA6">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法定代表人或授权代表、负责人、本人 (签字或电子印章)：</w:t>
      </w:r>
    </w:p>
    <w:p w14:paraId="0635B9A0">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61EED64">
      <w:pPr>
        <w:adjustRightInd w:val="0"/>
        <w:snapToGrid w:val="0"/>
        <w:spacing w:line="480" w:lineRule="auto"/>
        <w:rPr>
          <w:rFonts w:hint="eastAsia" w:ascii="宋体" w:hAnsi="宋体" w:eastAsia="宋体" w:cs="宋体"/>
          <w:color w:val="auto"/>
          <w:sz w:val="24"/>
          <w:highlight w:val="none"/>
        </w:rPr>
      </w:pPr>
    </w:p>
    <w:p w14:paraId="7B85ECFE">
      <w:pPr>
        <w:adjustRightInd w:val="0"/>
        <w:snapToGrid w:val="0"/>
        <w:spacing w:line="480" w:lineRule="auto"/>
        <w:rPr>
          <w:rFonts w:hint="eastAsia" w:ascii="宋体" w:hAnsi="宋体" w:eastAsia="宋体" w:cs="宋体"/>
          <w:color w:val="auto"/>
          <w:sz w:val="24"/>
          <w:highlight w:val="none"/>
        </w:rPr>
      </w:pPr>
    </w:p>
    <w:p w14:paraId="5BE1BA0B">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注：1.供应商须在投标（响应）文件中按此模板提供承诺函，既未提供上述承诺函，又未提供对应事项证明材料的，视为未实质性响应采购文件要求，按无效投标（响应）处理。</w:t>
      </w:r>
    </w:p>
    <w:p w14:paraId="7DAB15E1">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2.供应商的法定代表人或者授权代表的签字或盖章应真实、有效，如由授权代表签字或盖章的，应提供“法定代表人授权书”。</w:t>
      </w:r>
    </w:p>
    <w:p w14:paraId="2773496F">
      <w:pPr>
        <w:widowControl/>
        <w:jc w:val="left"/>
        <w:rPr>
          <w:rFonts w:hint="eastAsia" w:ascii="宋体" w:hAnsi="宋体" w:eastAsia="宋体" w:cs="宋体"/>
          <w:b/>
          <w:color w:val="auto"/>
          <w:sz w:val="24"/>
          <w:highlight w:val="none"/>
        </w:rPr>
      </w:pPr>
    </w:p>
    <w:p w14:paraId="0CD4E1FF">
      <w:pPr>
        <w:widowControl/>
        <w:jc w:val="left"/>
        <w:rPr>
          <w:rFonts w:hint="eastAsia" w:ascii="宋体" w:hAnsi="宋体" w:eastAsia="宋体" w:cs="宋体"/>
          <w:b/>
          <w:color w:val="auto"/>
          <w:sz w:val="24"/>
          <w:highlight w:val="none"/>
        </w:rPr>
      </w:pPr>
    </w:p>
    <w:p w14:paraId="5DEEAFBA">
      <w:pPr>
        <w:widowControl/>
        <w:jc w:val="left"/>
        <w:rPr>
          <w:rFonts w:hint="eastAsia" w:ascii="宋体" w:hAnsi="宋体" w:eastAsia="宋体" w:cs="宋体"/>
          <w:b/>
          <w:color w:val="auto"/>
          <w:sz w:val="24"/>
          <w:highlight w:val="none"/>
        </w:rPr>
      </w:pPr>
    </w:p>
    <w:p w14:paraId="28D86656">
      <w:pPr>
        <w:widowControl/>
        <w:jc w:val="left"/>
        <w:rPr>
          <w:rFonts w:hint="eastAsia" w:ascii="宋体" w:hAnsi="宋体" w:eastAsia="宋体" w:cs="宋体"/>
          <w:b/>
          <w:color w:val="auto"/>
          <w:sz w:val="24"/>
          <w:highlight w:val="none"/>
        </w:rPr>
      </w:pPr>
    </w:p>
    <w:p w14:paraId="10DABD13">
      <w:pPr>
        <w:widowControl/>
        <w:jc w:val="left"/>
        <w:rPr>
          <w:rFonts w:hint="eastAsia" w:ascii="宋体" w:hAnsi="宋体" w:eastAsia="宋体" w:cs="宋体"/>
          <w:b/>
          <w:color w:val="auto"/>
          <w:sz w:val="24"/>
          <w:highlight w:val="none"/>
        </w:rPr>
      </w:pPr>
    </w:p>
    <w:p w14:paraId="32942E7C">
      <w:pPr>
        <w:widowControl/>
        <w:jc w:val="left"/>
        <w:rPr>
          <w:rFonts w:hint="eastAsia" w:ascii="宋体" w:hAnsi="宋体" w:eastAsia="宋体" w:cs="宋体"/>
          <w:b/>
          <w:color w:val="auto"/>
          <w:sz w:val="24"/>
          <w:highlight w:val="none"/>
        </w:rPr>
      </w:pPr>
    </w:p>
    <w:p w14:paraId="79C827CE">
      <w:pPr>
        <w:widowControl/>
        <w:jc w:val="left"/>
        <w:rPr>
          <w:rFonts w:hint="eastAsia" w:ascii="宋体" w:hAnsi="宋体" w:eastAsia="宋体" w:cs="宋体"/>
          <w:b/>
          <w:color w:val="auto"/>
          <w:sz w:val="24"/>
          <w:highlight w:val="none"/>
        </w:rPr>
      </w:pPr>
    </w:p>
    <w:p w14:paraId="0EAC0519">
      <w:pPr>
        <w:widowControl/>
        <w:jc w:val="left"/>
        <w:rPr>
          <w:rFonts w:hint="eastAsia" w:ascii="宋体" w:hAnsi="宋体" w:eastAsia="宋体" w:cs="宋体"/>
          <w:b/>
          <w:color w:val="auto"/>
          <w:sz w:val="24"/>
          <w:highlight w:val="none"/>
        </w:rPr>
      </w:pPr>
    </w:p>
    <w:p w14:paraId="784C3BE9">
      <w:pPr>
        <w:widowControl/>
        <w:jc w:val="left"/>
        <w:rPr>
          <w:rFonts w:hint="eastAsia" w:ascii="宋体" w:hAnsi="宋体" w:eastAsia="宋体" w:cs="宋体"/>
          <w:b/>
          <w:color w:val="auto"/>
          <w:sz w:val="24"/>
          <w:highlight w:val="none"/>
        </w:rPr>
      </w:pPr>
    </w:p>
    <w:p w14:paraId="1FA363D1">
      <w:pPr>
        <w:widowControl/>
        <w:jc w:val="left"/>
        <w:rPr>
          <w:rFonts w:hint="eastAsia" w:ascii="宋体" w:hAnsi="宋体" w:eastAsia="宋体" w:cs="宋体"/>
          <w:b/>
          <w:color w:val="auto"/>
          <w:sz w:val="24"/>
          <w:highlight w:val="none"/>
        </w:rPr>
      </w:pPr>
    </w:p>
    <w:p w14:paraId="5A38FA4D">
      <w:pPr>
        <w:widowControl/>
        <w:jc w:val="left"/>
        <w:rPr>
          <w:rFonts w:hint="eastAsia" w:ascii="宋体" w:hAnsi="宋体" w:eastAsia="宋体" w:cs="宋体"/>
          <w:b/>
          <w:color w:val="auto"/>
          <w:sz w:val="24"/>
          <w:highlight w:val="none"/>
        </w:rPr>
      </w:pPr>
    </w:p>
    <w:p w14:paraId="56E750B6">
      <w:pPr>
        <w:widowControl/>
        <w:jc w:val="left"/>
        <w:rPr>
          <w:rFonts w:hint="eastAsia" w:ascii="宋体" w:hAnsi="宋体" w:eastAsia="宋体" w:cs="宋体"/>
          <w:b/>
          <w:color w:val="auto"/>
          <w:sz w:val="24"/>
          <w:highlight w:val="none"/>
        </w:rPr>
      </w:pPr>
    </w:p>
    <w:p w14:paraId="03102FCF">
      <w:pPr>
        <w:widowControl/>
        <w:jc w:val="left"/>
        <w:rPr>
          <w:rFonts w:hint="eastAsia" w:ascii="宋体" w:hAnsi="宋体" w:eastAsia="宋体" w:cs="宋体"/>
          <w:b/>
          <w:color w:val="auto"/>
          <w:sz w:val="24"/>
          <w:highlight w:val="none"/>
        </w:rPr>
      </w:pPr>
    </w:p>
    <w:p w14:paraId="1F06DBF0">
      <w:pPr>
        <w:widowControl/>
        <w:jc w:val="left"/>
        <w:rPr>
          <w:rFonts w:hint="eastAsia" w:ascii="宋体" w:hAnsi="宋体" w:eastAsia="宋体" w:cs="宋体"/>
          <w:b/>
          <w:color w:val="auto"/>
          <w:sz w:val="24"/>
          <w:highlight w:val="none"/>
        </w:rPr>
      </w:pPr>
    </w:p>
    <w:p w14:paraId="65304175">
      <w:pPr>
        <w:widowControl/>
        <w:jc w:val="left"/>
        <w:rPr>
          <w:rFonts w:hint="eastAsia" w:ascii="宋体" w:hAnsi="宋体" w:eastAsia="宋体" w:cs="宋体"/>
          <w:b/>
          <w:color w:val="auto"/>
          <w:sz w:val="24"/>
          <w:highlight w:val="none"/>
        </w:rPr>
      </w:pPr>
    </w:p>
    <w:p w14:paraId="074C09FD">
      <w:pPr>
        <w:widowControl/>
        <w:jc w:val="left"/>
        <w:rPr>
          <w:rFonts w:hint="eastAsia" w:ascii="宋体" w:hAnsi="宋体" w:eastAsia="宋体" w:cs="宋体"/>
          <w:b/>
          <w:color w:val="auto"/>
          <w:sz w:val="24"/>
          <w:highlight w:val="none"/>
        </w:rPr>
      </w:pPr>
    </w:p>
    <w:p w14:paraId="0B27D248">
      <w:pPr>
        <w:widowControl/>
        <w:jc w:val="left"/>
        <w:rPr>
          <w:rFonts w:hint="eastAsia" w:ascii="宋体" w:hAnsi="宋体" w:eastAsia="宋体" w:cs="宋体"/>
          <w:b/>
          <w:color w:val="auto"/>
          <w:sz w:val="24"/>
          <w:highlight w:val="none"/>
        </w:rPr>
      </w:pPr>
    </w:p>
    <w:p w14:paraId="11BABD72">
      <w:pPr>
        <w:widowControl/>
        <w:jc w:val="left"/>
        <w:rPr>
          <w:rFonts w:hint="eastAsia" w:ascii="宋体" w:hAnsi="宋体" w:eastAsia="宋体" w:cs="宋体"/>
          <w:b/>
          <w:color w:val="auto"/>
          <w:sz w:val="24"/>
          <w:highlight w:val="none"/>
        </w:rPr>
      </w:pPr>
    </w:p>
    <w:p w14:paraId="4402751D">
      <w:pPr>
        <w:widowControl/>
        <w:tabs>
          <w:tab w:val="left" w:pos="4000"/>
        </w:tabs>
        <w:snapToGrid w:val="0"/>
        <w:spacing w:line="300" w:lineRule="auto"/>
        <w:jc w:val="center"/>
        <w:rPr>
          <w:rFonts w:hint="eastAsia" w:ascii="宋体" w:hAnsi="宋体" w:eastAsia="宋体" w:cs="宋体"/>
          <w:color w:val="auto"/>
          <w:kern w:val="0"/>
          <w:sz w:val="24"/>
          <w:highlight w:val="none"/>
        </w:rPr>
      </w:pPr>
      <w:r>
        <w:rPr>
          <w:rFonts w:hint="eastAsia" w:ascii="宋体" w:hAnsi="宋体" w:eastAsia="宋体" w:cs="宋体"/>
          <w:b/>
          <w:color w:val="auto"/>
          <w:sz w:val="33"/>
          <w:highlight w:val="none"/>
        </w:rPr>
        <w:t>商务偏离表</w:t>
      </w:r>
      <w:r>
        <w:rPr>
          <w:rFonts w:hint="eastAsia" w:ascii="宋体" w:hAnsi="宋体" w:eastAsia="宋体" w:cs="宋体"/>
          <w:color w:val="auto"/>
          <w:kern w:val="0"/>
          <w:sz w:val="24"/>
          <w:highlight w:val="none"/>
        </w:rPr>
        <w:t> </w:t>
      </w:r>
    </w:p>
    <w:p w14:paraId="2D53A3F1">
      <w:pPr>
        <w:pStyle w:val="24"/>
        <w:rPr>
          <w:rFonts w:hint="eastAsia" w:ascii="宋体" w:hAnsi="宋体" w:eastAsia="宋体" w:cs="宋体"/>
          <w:color w:val="auto"/>
          <w:sz w:val="24"/>
          <w:szCs w:val="24"/>
          <w:highlight w:val="none"/>
        </w:rPr>
      </w:pPr>
    </w:p>
    <w:tbl>
      <w:tblPr>
        <w:tblStyle w:val="38"/>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0"/>
        <w:gridCol w:w="2195"/>
        <w:gridCol w:w="1731"/>
        <w:gridCol w:w="1642"/>
        <w:gridCol w:w="1265"/>
        <w:gridCol w:w="875"/>
      </w:tblGrid>
      <w:tr w14:paraId="3FD4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190" w:type="dxa"/>
            <w:tcBorders>
              <w:tl2br w:val="nil"/>
              <w:tr2bl w:val="nil"/>
            </w:tcBorders>
            <w:vAlign w:val="center"/>
          </w:tcPr>
          <w:p w14:paraId="7CC5162F">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2195" w:type="dxa"/>
            <w:tcBorders>
              <w:tl2br w:val="nil"/>
              <w:tr2bl w:val="nil"/>
            </w:tcBorders>
            <w:vAlign w:val="center"/>
          </w:tcPr>
          <w:p w14:paraId="4DAA32C8">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名称</w:t>
            </w:r>
          </w:p>
        </w:tc>
        <w:tc>
          <w:tcPr>
            <w:tcW w:w="1731" w:type="dxa"/>
            <w:tcBorders>
              <w:tl2br w:val="nil"/>
              <w:tr2bl w:val="nil"/>
            </w:tcBorders>
            <w:vAlign w:val="center"/>
          </w:tcPr>
          <w:p w14:paraId="156AF1EF">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招标文件商务要求</w:t>
            </w:r>
          </w:p>
        </w:tc>
        <w:tc>
          <w:tcPr>
            <w:tcW w:w="1642" w:type="dxa"/>
            <w:tcBorders>
              <w:tl2br w:val="nil"/>
              <w:tr2bl w:val="nil"/>
            </w:tcBorders>
            <w:vAlign w:val="center"/>
          </w:tcPr>
          <w:p w14:paraId="42D0180B">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投标文件</w:t>
            </w:r>
          </w:p>
          <w:p w14:paraId="44373D01">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响应内容</w:t>
            </w:r>
          </w:p>
        </w:tc>
        <w:tc>
          <w:tcPr>
            <w:tcW w:w="1265" w:type="dxa"/>
            <w:tcBorders>
              <w:tl2br w:val="nil"/>
              <w:tr2bl w:val="nil"/>
            </w:tcBorders>
            <w:vAlign w:val="center"/>
          </w:tcPr>
          <w:p w14:paraId="162C357E">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偏离情况</w:t>
            </w:r>
          </w:p>
        </w:tc>
        <w:tc>
          <w:tcPr>
            <w:tcW w:w="875" w:type="dxa"/>
            <w:tcBorders>
              <w:tl2br w:val="nil"/>
              <w:tr2bl w:val="nil"/>
            </w:tcBorders>
            <w:vAlign w:val="center"/>
          </w:tcPr>
          <w:p w14:paraId="390CEC5B">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备注</w:t>
            </w:r>
          </w:p>
        </w:tc>
      </w:tr>
      <w:tr w14:paraId="1FA1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190" w:type="dxa"/>
            <w:tcBorders>
              <w:tl2br w:val="nil"/>
              <w:tr2bl w:val="nil"/>
            </w:tcBorders>
            <w:vAlign w:val="center"/>
          </w:tcPr>
          <w:p w14:paraId="47FA0ADF">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w:t>
            </w:r>
          </w:p>
        </w:tc>
        <w:tc>
          <w:tcPr>
            <w:tcW w:w="2195" w:type="dxa"/>
            <w:tcBorders>
              <w:tl2br w:val="nil"/>
              <w:tr2bl w:val="nil"/>
            </w:tcBorders>
            <w:vAlign w:val="center"/>
          </w:tcPr>
          <w:p w14:paraId="695B26CD">
            <w:pPr>
              <w:widowControl/>
              <w:snapToGrid w:val="0"/>
              <w:spacing w:line="320" w:lineRule="exact"/>
              <w:jc w:val="center"/>
              <w:rPr>
                <w:rFonts w:hint="eastAsia" w:ascii="宋体" w:hAnsi="宋体" w:eastAsia="宋体" w:cs="宋体"/>
                <w:color w:val="auto"/>
                <w:kern w:val="0"/>
                <w:sz w:val="24"/>
                <w:highlight w:val="none"/>
              </w:rPr>
            </w:pPr>
          </w:p>
        </w:tc>
        <w:tc>
          <w:tcPr>
            <w:tcW w:w="1731" w:type="dxa"/>
            <w:tcBorders>
              <w:tl2br w:val="nil"/>
              <w:tr2bl w:val="nil"/>
            </w:tcBorders>
            <w:vAlign w:val="center"/>
          </w:tcPr>
          <w:p w14:paraId="68EC67A7">
            <w:pPr>
              <w:widowControl/>
              <w:snapToGrid w:val="0"/>
              <w:spacing w:line="320" w:lineRule="exact"/>
              <w:jc w:val="center"/>
              <w:rPr>
                <w:rFonts w:hint="eastAsia" w:ascii="宋体" w:hAnsi="宋体" w:eastAsia="宋体" w:cs="宋体"/>
                <w:color w:val="auto"/>
                <w:kern w:val="0"/>
                <w:sz w:val="24"/>
                <w:highlight w:val="none"/>
              </w:rPr>
            </w:pPr>
          </w:p>
        </w:tc>
        <w:tc>
          <w:tcPr>
            <w:tcW w:w="1642" w:type="dxa"/>
            <w:tcBorders>
              <w:tl2br w:val="nil"/>
              <w:tr2bl w:val="nil"/>
            </w:tcBorders>
            <w:vAlign w:val="center"/>
          </w:tcPr>
          <w:p w14:paraId="5051620F">
            <w:pPr>
              <w:widowControl/>
              <w:snapToGrid w:val="0"/>
              <w:spacing w:line="320" w:lineRule="exact"/>
              <w:jc w:val="center"/>
              <w:rPr>
                <w:rFonts w:hint="eastAsia" w:ascii="宋体" w:hAnsi="宋体" w:eastAsia="宋体" w:cs="宋体"/>
                <w:color w:val="auto"/>
                <w:kern w:val="0"/>
                <w:sz w:val="24"/>
                <w:highlight w:val="none"/>
              </w:rPr>
            </w:pPr>
          </w:p>
        </w:tc>
        <w:tc>
          <w:tcPr>
            <w:tcW w:w="1265" w:type="dxa"/>
            <w:tcBorders>
              <w:tl2br w:val="nil"/>
              <w:tr2bl w:val="nil"/>
            </w:tcBorders>
            <w:vAlign w:val="center"/>
          </w:tcPr>
          <w:p w14:paraId="5D2BC4F8">
            <w:pPr>
              <w:widowControl/>
              <w:snapToGrid w:val="0"/>
              <w:spacing w:line="320" w:lineRule="exact"/>
              <w:jc w:val="center"/>
              <w:rPr>
                <w:rFonts w:hint="eastAsia" w:ascii="宋体" w:hAnsi="宋体" w:eastAsia="宋体" w:cs="宋体"/>
                <w:color w:val="auto"/>
                <w:kern w:val="0"/>
                <w:sz w:val="24"/>
                <w:highlight w:val="none"/>
              </w:rPr>
            </w:pPr>
          </w:p>
        </w:tc>
        <w:tc>
          <w:tcPr>
            <w:tcW w:w="875" w:type="dxa"/>
            <w:tcBorders>
              <w:tl2br w:val="nil"/>
              <w:tr2bl w:val="nil"/>
            </w:tcBorders>
            <w:vAlign w:val="center"/>
          </w:tcPr>
          <w:p w14:paraId="73305108">
            <w:pPr>
              <w:widowControl/>
              <w:snapToGrid w:val="0"/>
              <w:spacing w:line="320" w:lineRule="exact"/>
              <w:jc w:val="center"/>
              <w:rPr>
                <w:rFonts w:hint="eastAsia" w:ascii="宋体" w:hAnsi="宋体" w:eastAsia="宋体" w:cs="宋体"/>
                <w:color w:val="auto"/>
                <w:kern w:val="0"/>
                <w:sz w:val="24"/>
                <w:highlight w:val="none"/>
              </w:rPr>
            </w:pPr>
          </w:p>
        </w:tc>
      </w:tr>
      <w:tr w14:paraId="5714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190" w:type="dxa"/>
            <w:tcBorders>
              <w:tl2br w:val="nil"/>
              <w:tr2bl w:val="nil"/>
            </w:tcBorders>
            <w:vAlign w:val="center"/>
          </w:tcPr>
          <w:p w14:paraId="14717BFA">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p>
        </w:tc>
        <w:tc>
          <w:tcPr>
            <w:tcW w:w="2195" w:type="dxa"/>
            <w:tcBorders>
              <w:tl2br w:val="nil"/>
              <w:tr2bl w:val="nil"/>
            </w:tcBorders>
            <w:vAlign w:val="center"/>
          </w:tcPr>
          <w:p w14:paraId="09536054">
            <w:pPr>
              <w:widowControl/>
              <w:snapToGrid w:val="0"/>
              <w:spacing w:line="320" w:lineRule="exact"/>
              <w:jc w:val="center"/>
              <w:rPr>
                <w:rFonts w:hint="eastAsia" w:ascii="宋体" w:hAnsi="宋体" w:eastAsia="宋体" w:cs="宋体"/>
                <w:color w:val="auto"/>
                <w:kern w:val="0"/>
                <w:sz w:val="24"/>
                <w:highlight w:val="none"/>
              </w:rPr>
            </w:pPr>
          </w:p>
        </w:tc>
        <w:tc>
          <w:tcPr>
            <w:tcW w:w="1731" w:type="dxa"/>
            <w:tcBorders>
              <w:tl2br w:val="nil"/>
              <w:tr2bl w:val="nil"/>
            </w:tcBorders>
            <w:vAlign w:val="center"/>
          </w:tcPr>
          <w:p w14:paraId="5EA31F20">
            <w:pPr>
              <w:widowControl/>
              <w:snapToGrid w:val="0"/>
              <w:spacing w:line="320" w:lineRule="exact"/>
              <w:jc w:val="center"/>
              <w:rPr>
                <w:rFonts w:hint="eastAsia" w:ascii="宋体" w:hAnsi="宋体" w:eastAsia="宋体" w:cs="宋体"/>
                <w:color w:val="auto"/>
                <w:kern w:val="0"/>
                <w:sz w:val="24"/>
                <w:highlight w:val="none"/>
              </w:rPr>
            </w:pPr>
          </w:p>
        </w:tc>
        <w:tc>
          <w:tcPr>
            <w:tcW w:w="1642" w:type="dxa"/>
            <w:tcBorders>
              <w:tl2br w:val="nil"/>
              <w:tr2bl w:val="nil"/>
            </w:tcBorders>
            <w:vAlign w:val="center"/>
          </w:tcPr>
          <w:p w14:paraId="32EDF9B3">
            <w:pPr>
              <w:widowControl/>
              <w:snapToGrid w:val="0"/>
              <w:spacing w:line="320" w:lineRule="exact"/>
              <w:jc w:val="center"/>
              <w:rPr>
                <w:rFonts w:hint="eastAsia" w:ascii="宋体" w:hAnsi="宋体" w:eastAsia="宋体" w:cs="宋体"/>
                <w:color w:val="auto"/>
                <w:kern w:val="0"/>
                <w:sz w:val="24"/>
                <w:highlight w:val="none"/>
              </w:rPr>
            </w:pPr>
          </w:p>
        </w:tc>
        <w:tc>
          <w:tcPr>
            <w:tcW w:w="1265" w:type="dxa"/>
            <w:tcBorders>
              <w:tl2br w:val="nil"/>
              <w:tr2bl w:val="nil"/>
            </w:tcBorders>
            <w:vAlign w:val="center"/>
          </w:tcPr>
          <w:p w14:paraId="6E911128">
            <w:pPr>
              <w:widowControl/>
              <w:snapToGrid w:val="0"/>
              <w:spacing w:line="320" w:lineRule="exact"/>
              <w:jc w:val="center"/>
              <w:rPr>
                <w:rFonts w:hint="eastAsia" w:ascii="宋体" w:hAnsi="宋体" w:eastAsia="宋体" w:cs="宋体"/>
                <w:color w:val="auto"/>
                <w:kern w:val="0"/>
                <w:sz w:val="24"/>
                <w:highlight w:val="none"/>
              </w:rPr>
            </w:pPr>
          </w:p>
        </w:tc>
        <w:tc>
          <w:tcPr>
            <w:tcW w:w="875" w:type="dxa"/>
            <w:tcBorders>
              <w:tl2br w:val="nil"/>
              <w:tr2bl w:val="nil"/>
            </w:tcBorders>
            <w:vAlign w:val="center"/>
          </w:tcPr>
          <w:p w14:paraId="4E4C1029">
            <w:pPr>
              <w:widowControl/>
              <w:snapToGrid w:val="0"/>
              <w:spacing w:line="320" w:lineRule="exact"/>
              <w:jc w:val="center"/>
              <w:rPr>
                <w:rFonts w:hint="eastAsia" w:ascii="宋体" w:hAnsi="宋体" w:eastAsia="宋体" w:cs="宋体"/>
                <w:color w:val="auto"/>
                <w:kern w:val="0"/>
                <w:sz w:val="24"/>
                <w:highlight w:val="none"/>
              </w:rPr>
            </w:pPr>
          </w:p>
        </w:tc>
      </w:tr>
      <w:tr w14:paraId="39C2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190" w:type="dxa"/>
            <w:tcBorders>
              <w:tl2br w:val="nil"/>
              <w:tr2bl w:val="nil"/>
            </w:tcBorders>
            <w:vAlign w:val="center"/>
          </w:tcPr>
          <w:p w14:paraId="53FB5797">
            <w:pPr>
              <w:widowControl/>
              <w:snapToGrid w:val="0"/>
              <w:spacing w:line="32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195" w:type="dxa"/>
            <w:tcBorders>
              <w:tl2br w:val="nil"/>
              <w:tr2bl w:val="nil"/>
            </w:tcBorders>
            <w:vAlign w:val="center"/>
          </w:tcPr>
          <w:p w14:paraId="23B35F99">
            <w:pPr>
              <w:widowControl/>
              <w:snapToGrid w:val="0"/>
              <w:spacing w:line="320" w:lineRule="exact"/>
              <w:jc w:val="center"/>
              <w:rPr>
                <w:rFonts w:hint="eastAsia" w:ascii="宋体" w:hAnsi="宋体" w:eastAsia="宋体" w:cs="宋体"/>
                <w:color w:val="auto"/>
                <w:kern w:val="0"/>
                <w:sz w:val="24"/>
                <w:highlight w:val="none"/>
              </w:rPr>
            </w:pPr>
          </w:p>
        </w:tc>
        <w:tc>
          <w:tcPr>
            <w:tcW w:w="1731" w:type="dxa"/>
            <w:tcBorders>
              <w:tl2br w:val="nil"/>
              <w:tr2bl w:val="nil"/>
            </w:tcBorders>
            <w:vAlign w:val="center"/>
          </w:tcPr>
          <w:p w14:paraId="33672BDA">
            <w:pPr>
              <w:widowControl/>
              <w:snapToGrid w:val="0"/>
              <w:spacing w:line="320" w:lineRule="exact"/>
              <w:jc w:val="center"/>
              <w:rPr>
                <w:rFonts w:hint="eastAsia" w:ascii="宋体" w:hAnsi="宋体" w:eastAsia="宋体" w:cs="宋体"/>
                <w:color w:val="auto"/>
                <w:kern w:val="0"/>
                <w:sz w:val="24"/>
                <w:highlight w:val="none"/>
              </w:rPr>
            </w:pPr>
          </w:p>
        </w:tc>
        <w:tc>
          <w:tcPr>
            <w:tcW w:w="1642" w:type="dxa"/>
            <w:tcBorders>
              <w:tl2br w:val="nil"/>
              <w:tr2bl w:val="nil"/>
            </w:tcBorders>
            <w:vAlign w:val="center"/>
          </w:tcPr>
          <w:p w14:paraId="180A17AD">
            <w:pPr>
              <w:widowControl/>
              <w:snapToGrid w:val="0"/>
              <w:spacing w:line="320" w:lineRule="exact"/>
              <w:jc w:val="center"/>
              <w:rPr>
                <w:rFonts w:hint="eastAsia" w:ascii="宋体" w:hAnsi="宋体" w:eastAsia="宋体" w:cs="宋体"/>
                <w:color w:val="auto"/>
                <w:kern w:val="0"/>
                <w:sz w:val="24"/>
                <w:highlight w:val="none"/>
              </w:rPr>
            </w:pPr>
          </w:p>
        </w:tc>
        <w:tc>
          <w:tcPr>
            <w:tcW w:w="1265" w:type="dxa"/>
            <w:tcBorders>
              <w:tl2br w:val="nil"/>
              <w:tr2bl w:val="nil"/>
            </w:tcBorders>
            <w:vAlign w:val="center"/>
          </w:tcPr>
          <w:p w14:paraId="563AF447">
            <w:pPr>
              <w:widowControl/>
              <w:snapToGrid w:val="0"/>
              <w:spacing w:line="320" w:lineRule="exact"/>
              <w:jc w:val="center"/>
              <w:rPr>
                <w:rFonts w:hint="eastAsia" w:ascii="宋体" w:hAnsi="宋体" w:eastAsia="宋体" w:cs="宋体"/>
                <w:color w:val="auto"/>
                <w:kern w:val="0"/>
                <w:sz w:val="24"/>
                <w:highlight w:val="none"/>
              </w:rPr>
            </w:pPr>
          </w:p>
        </w:tc>
        <w:tc>
          <w:tcPr>
            <w:tcW w:w="875" w:type="dxa"/>
            <w:tcBorders>
              <w:tl2br w:val="nil"/>
              <w:tr2bl w:val="nil"/>
            </w:tcBorders>
            <w:vAlign w:val="center"/>
          </w:tcPr>
          <w:p w14:paraId="2EBA3CFB">
            <w:pPr>
              <w:widowControl/>
              <w:snapToGrid w:val="0"/>
              <w:spacing w:line="320" w:lineRule="exact"/>
              <w:jc w:val="center"/>
              <w:rPr>
                <w:rFonts w:hint="eastAsia" w:ascii="宋体" w:hAnsi="宋体" w:eastAsia="宋体" w:cs="宋体"/>
                <w:color w:val="auto"/>
                <w:kern w:val="0"/>
                <w:sz w:val="24"/>
                <w:highlight w:val="none"/>
              </w:rPr>
            </w:pPr>
          </w:p>
        </w:tc>
      </w:tr>
    </w:tbl>
    <w:p w14:paraId="6D108929">
      <w:pPr>
        <w:spacing w:after="360" w:afterLines="150"/>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说明：商务偏</w:t>
      </w:r>
      <w:r>
        <w:rPr>
          <w:rFonts w:hint="eastAsia" w:ascii="宋体" w:hAnsi="宋体" w:eastAsia="宋体" w:cs="宋体"/>
          <w:b/>
          <w:color w:val="auto"/>
          <w:kern w:val="0"/>
          <w:sz w:val="24"/>
          <w:highlight w:val="none"/>
        </w:rPr>
        <w:t>离</w:t>
      </w:r>
      <w:r>
        <w:rPr>
          <w:rFonts w:hint="eastAsia" w:ascii="宋体" w:hAnsi="宋体" w:eastAsia="宋体" w:cs="宋体"/>
          <w:b/>
          <w:color w:val="auto"/>
          <w:sz w:val="24"/>
          <w:highlight w:val="none"/>
        </w:rPr>
        <w:t>指投标人的商务响应与招标文件的要求是否一致。如无偏</w:t>
      </w:r>
      <w:r>
        <w:rPr>
          <w:rFonts w:hint="eastAsia" w:ascii="宋体" w:hAnsi="宋体" w:eastAsia="宋体" w:cs="宋体"/>
          <w:b/>
          <w:color w:val="auto"/>
          <w:kern w:val="0"/>
          <w:sz w:val="24"/>
          <w:highlight w:val="none"/>
        </w:rPr>
        <w:t>离</w:t>
      </w:r>
      <w:r>
        <w:rPr>
          <w:rFonts w:hint="eastAsia" w:ascii="宋体" w:hAnsi="宋体" w:eastAsia="宋体" w:cs="宋体"/>
          <w:b/>
          <w:color w:val="auto"/>
          <w:sz w:val="24"/>
          <w:highlight w:val="none"/>
        </w:rPr>
        <w:t>填“无”。</w:t>
      </w:r>
      <w:r>
        <w:rPr>
          <w:rFonts w:hint="eastAsia" w:ascii="宋体" w:hAnsi="宋体" w:eastAsia="宋体" w:cs="宋体"/>
          <w:color w:val="auto"/>
          <w:sz w:val="24"/>
          <w:highlight w:val="none"/>
        </w:rPr>
        <w:t xml:space="preserve">           </w:t>
      </w:r>
    </w:p>
    <w:p w14:paraId="2E6ACDC6">
      <w:pPr>
        <w:spacing w:line="360" w:lineRule="auto"/>
        <w:jc w:val="center"/>
        <w:rPr>
          <w:rFonts w:hint="eastAsia" w:ascii="宋体" w:hAnsi="宋体" w:eastAsia="宋体" w:cs="宋体"/>
          <w:b/>
          <w:color w:val="auto"/>
          <w:sz w:val="24"/>
          <w:highlight w:val="none"/>
        </w:rPr>
      </w:pPr>
    </w:p>
    <w:p w14:paraId="526503B7">
      <w:pPr>
        <w:snapToGrid w:val="0"/>
        <w:spacing w:line="48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sz w:val="24"/>
          <w:highlight w:val="none"/>
        </w:rPr>
        <w:t>盖章）</w:t>
      </w:r>
    </w:p>
    <w:p w14:paraId="084C54B5">
      <w:pPr>
        <w:snapToGrid w:val="0"/>
        <w:spacing w:line="48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法定代表人或被授权委托人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sz w:val="24"/>
          <w:highlight w:val="none"/>
        </w:rPr>
        <w:t xml:space="preserve">签字或盖章）  </w:t>
      </w:r>
    </w:p>
    <w:p w14:paraId="735A5355">
      <w:pPr>
        <w:spacing w:line="560" w:lineRule="exact"/>
        <w:ind w:firstLine="420"/>
        <w:jc w:val="right"/>
        <w:rPr>
          <w:rFonts w:hint="eastAsia" w:ascii="宋体" w:hAnsi="宋体" w:eastAsia="宋体" w:cs="宋体"/>
          <w:b/>
          <w:snapToGrid w:val="0"/>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z w:val="24"/>
          <w:highlight w:val="none"/>
        </w:rPr>
        <w:t>日</w:t>
      </w:r>
    </w:p>
    <w:p w14:paraId="6B3BCAD4">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FE11708">
      <w:pPr>
        <w:pStyle w:val="24"/>
        <w:rPr>
          <w:rFonts w:hint="eastAsia" w:ascii="宋体" w:hAnsi="宋体" w:eastAsia="宋体" w:cs="宋体"/>
          <w:color w:val="auto"/>
          <w:highlight w:val="none"/>
        </w:rPr>
      </w:pPr>
    </w:p>
    <w:p w14:paraId="293D7D07">
      <w:pPr>
        <w:widowControl/>
        <w:jc w:val="center"/>
        <w:rPr>
          <w:rFonts w:hint="eastAsia" w:ascii="宋体" w:hAnsi="宋体" w:eastAsia="宋体" w:cs="宋体"/>
          <w:b/>
          <w:color w:val="auto"/>
          <w:sz w:val="52"/>
          <w:szCs w:val="52"/>
          <w:highlight w:val="none"/>
        </w:rPr>
      </w:pPr>
    </w:p>
    <w:p w14:paraId="36F23768">
      <w:pPr>
        <w:widowControl/>
        <w:jc w:val="center"/>
        <w:rPr>
          <w:rFonts w:hint="eastAsia" w:ascii="宋体" w:hAnsi="宋体" w:eastAsia="宋体" w:cs="宋体"/>
          <w:b/>
          <w:color w:val="auto"/>
          <w:sz w:val="52"/>
          <w:szCs w:val="52"/>
          <w:highlight w:val="none"/>
        </w:rPr>
      </w:pPr>
    </w:p>
    <w:p w14:paraId="05445DA9">
      <w:pPr>
        <w:widowControl/>
        <w:jc w:val="center"/>
        <w:rPr>
          <w:rFonts w:hint="eastAsia" w:ascii="宋体" w:hAnsi="宋体" w:eastAsia="宋体" w:cs="宋体"/>
          <w:b/>
          <w:color w:val="auto"/>
          <w:sz w:val="52"/>
          <w:szCs w:val="52"/>
          <w:highlight w:val="none"/>
        </w:rPr>
      </w:pPr>
    </w:p>
    <w:p w14:paraId="2AC9DDCF">
      <w:pPr>
        <w:widowControl/>
        <w:jc w:val="center"/>
        <w:rPr>
          <w:rFonts w:hint="eastAsia" w:ascii="宋体" w:hAnsi="宋体" w:eastAsia="宋体" w:cs="宋体"/>
          <w:b/>
          <w:color w:val="auto"/>
          <w:sz w:val="52"/>
          <w:szCs w:val="52"/>
          <w:highlight w:val="none"/>
        </w:rPr>
      </w:pPr>
    </w:p>
    <w:p w14:paraId="1D4F17A2">
      <w:pPr>
        <w:widowControl/>
        <w:jc w:val="center"/>
        <w:rPr>
          <w:rFonts w:hint="eastAsia" w:ascii="宋体" w:hAnsi="宋体" w:eastAsia="宋体" w:cs="宋体"/>
          <w:b/>
          <w:color w:val="auto"/>
          <w:sz w:val="52"/>
          <w:szCs w:val="52"/>
          <w:highlight w:val="none"/>
        </w:rPr>
      </w:pPr>
    </w:p>
    <w:p w14:paraId="7E4A55A0">
      <w:pPr>
        <w:widowControl/>
        <w:jc w:val="center"/>
        <w:rPr>
          <w:rFonts w:hint="eastAsia" w:ascii="宋体" w:hAnsi="宋体" w:eastAsia="宋体" w:cs="宋体"/>
          <w:b/>
          <w:color w:val="auto"/>
          <w:sz w:val="52"/>
          <w:szCs w:val="52"/>
          <w:highlight w:val="none"/>
        </w:rPr>
      </w:pPr>
    </w:p>
    <w:p w14:paraId="04C3C8AD">
      <w:pPr>
        <w:widowControl/>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技术部分</w:t>
      </w:r>
    </w:p>
    <w:p w14:paraId="65F6378A">
      <w:pP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14:paraId="31BD86CB">
      <w:pPr>
        <w:pStyle w:val="11"/>
        <w:rPr>
          <w:rFonts w:hint="eastAsia" w:ascii="宋体" w:hAnsi="宋体" w:eastAsia="宋体" w:cs="宋体"/>
          <w:color w:val="auto"/>
          <w:highlight w:val="none"/>
        </w:rPr>
        <w:sectPr>
          <w:footerReference r:id="rId7" w:type="default"/>
          <w:pgSz w:w="11907" w:h="16840"/>
          <w:pgMar w:top="1440" w:right="1800" w:bottom="1440" w:left="1800" w:header="680" w:footer="907" w:gutter="0"/>
          <w:cols w:space="720" w:num="1"/>
          <w:docGrid w:linePitch="286" w:charSpace="0"/>
        </w:sectPr>
      </w:pPr>
    </w:p>
    <w:p w14:paraId="4EE8F588">
      <w:pPr>
        <w:pStyle w:val="152"/>
        <w:ind w:firstLine="528"/>
        <w:rPr>
          <w:rFonts w:hint="eastAsia" w:ascii="宋体" w:hAnsi="宋体" w:eastAsia="宋体" w:cs="宋体"/>
          <w:color w:val="auto"/>
          <w:highlight w:val="none"/>
        </w:rPr>
      </w:pPr>
    </w:p>
    <w:p w14:paraId="5A204FCD">
      <w:pPr>
        <w:pStyle w:val="139"/>
        <w:keepLines/>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开标一览表（格式）</w:t>
      </w:r>
    </w:p>
    <w:p w14:paraId="24A24CCE">
      <w:pPr>
        <w:spacing w:line="36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项目名称：    </w:t>
      </w:r>
      <w:r>
        <w:rPr>
          <w:rFonts w:hint="eastAsia" w:ascii="宋体" w:hAnsi="宋体" w:eastAsia="宋体" w:cs="宋体"/>
          <w:color w:val="auto"/>
          <w:highlight w:val="none"/>
          <w:u w:val="single"/>
        </w:rPr>
        <w:t xml:space="preserve">                                       </w:t>
      </w:r>
    </w:p>
    <w:p w14:paraId="016952CE">
      <w:pPr>
        <w:spacing w:line="36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项目编号：    </w:t>
      </w:r>
      <w:r>
        <w:rPr>
          <w:rFonts w:hint="eastAsia" w:ascii="宋体" w:hAnsi="宋体" w:eastAsia="宋体" w:cs="宋体"/>
          <w:color w:val="auto"/>
          <w:highlight w:val="none"/>
          <w:u w:val="single"/>
        </w:rPr>
        <w:t xml:space="preserve">                                       </w:t>
      </w:r>
    </w:p>
    <w:p w14:paraId="409A65C1">
      <w:pPr>
        <w:ind w:firstLine="480"/>
        <w:jc w:val="right"/>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货币：人民币/元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296"/>
        <w:gridCol w:w="1078"/>
        <w:gridCol w:w="1075"/>
        <w:gridCol w:w="1076"/>
        <w:gridCol w:w="1076"/>
        <w:gridCol w:w="1076"/>
        <w:gridCol w:w="1076"/>
        <w:gridCol w:w="1076"/>
        <w:gridCol w:w="1076"/>
        <w:gridCol w:w="1076"/>
        <w:gridCol w:w="1168"/>
        <w:gridCol w:w="984"/>
      </w:tblGrid>
      <w:tr w14:paraId="63E4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E3E6A7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序号</w:t>
            </w:r>
          </w:p>
        </w:tc>
        <w:tc>
          <w:tcPr>
            <w:tcW w:w="1311" w:type="dxa"/>
            <w:vAlign w:val="center"/>
          </w:tcPr>
          <w:p w14:paraId="3B86416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名称</w:t>
            </w:r>
          </w:p>
        </w:tc>
        <w:tc>
          <w:tcPr>
            <w:tcW w:w="1086" w:type="dxa"/>
            <w:vAlign w:val="center"/>
          </w:tcPr>
          <w:p w14:paraId="756A3755">
            <w:pPr>
              <w:widowControl/>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品牌</w:t>
            </w:r>
            <w:r>
              <w:rPr>
                <w:rFonts w:hint="eastAsia" w:ascii="宋体" w:hAnsi="宋体" w:eastAsia="宋体" w:cs="宋体"/>
                <w:color w:val="auto"/>
                <w:kern w:val="0"/>
                <w:highlight w:val="none"/>
                <w:lang w:eastAsia="zh-CN"/>
              </w:rPr>
              <w:t>、</w:t>
            </w:r>
          </w:p>
          <w:p w14:paraId="2886CEED">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highlight w:val="none"/>
                <w:lang w:val="en-US" w:eastAsia="zh-CN"/>
              </w:rPr>
              <w:t>型号</w:t>
            </w:r>
          </w:p>
        </w:tc>
        <w:tc>
          <w:tcPr>
            <w:tcW w:w="1086" w:type="dxa"/>
            <w:vAlign w:val="center"/>
          </w:tcPr>
          <w:p w14:paraId="56BD25C6">
            <w:pPr>
              <w:widowControl/>
              <w:jc w:val="center"/>
              <w:rPr>
                <w:rFonts w:hint="eastAsia" w:ascii="宋体" w:hAnsi="宋体" w:eastAsia="宋体" w:cs="宋体"/>
                <w:bCs/>
                <w:color w:val="auto"/>
                <w:highlight w:val="none"/>
              </w:rPr>
            </w:pPr>
            <w:r>
              <w:rPr>
                <w:rFonts w:hint="eastAsia" w:ascii="宋体" w:hAnsi="宋体" w:eastAsia="宋体" w:cs="宋体"/>
                <w:bCs/>
                <w:color w:val="auto"/>
                <w:highlight w:val="none"/>
              </w:rPr>
              <w:t>技术</w:t>
            </w:r>
          </w:p>
          <w:p w14:paraId="315F084E">
            <w:pPr>
              <w:widowControl/>
              <w:jc w:val="center"/>
              <w:rPr>
                <w:rFonts w:hint="eastAsia" w:ascii="宋体" w:hAnsi="宋体" w:eastAsia="宋体" w:cs="宋体"/>
                <w:color w:val="auto"/>
                <w:kern w:val="0"/>
                <w:sz w:val="24"/>
                <w:highlight w:val="none"/>
              </w:rPr>
            </w:pPr>
            <w:r>
              <w:rPr>
                <w:rFonts w:hint="eastAsia" w:ascii="宋体" w:hAnsi="宋体" w:eastAsia="宋体" w:cs="宋体"/>
                <w:bCs/>
                <w:color w:val="auto"/>
                <w:highlight w:val="none"/>
              </w:rPr>
              <w:t>参数</w:t>
            </w:r>
          </w:p>
        </w:tc>
        <w:tc>
          <w:tcPr>
            <w:tcW w:w="1086" w:type="dxa"/>
            <w:vAlign w:val="center"/>
          </w:tcPr>
          <w:p w14:paraId="25CE56F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产地及制造商</w:t>
            </w:r>
          </w:p>
        </w:tc>
        <w:tc>
          <w:tcPr>
            <w:tcW w:w="1086" w:type="dxa"/>
            <w:vAlign w:val="center"/>
          </w:tcPr>
          <w:p w14:paraId="77EB88F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数量</w:t>
            </w:r>
          </w:p>
        </w:tc>
        <w:tc>
          <w:tcPr>
            <w:tcW w:w="1086" w:type="dxa"/>
            <w:vAlign w:val="center"/>
          </w:tcPr>
          <w:p w14:paraId="21F244E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单位</w:t>
            </w:r>
          </w:p>
        </w:tc>
        <w:tc>
          <w:tcPr>
            <w:tcW w:w="1086" w:type="dxa"/>
            <w:vAlign w:val="center"/>
          </w:tcPr>
          <w:p w14:paraId="6649E50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单价</w:t>
            </w:r>
          </w:p>
        </w:tc>
        <w:tc>
          <w:tcPr>
            <w:tcW w:w="1086" w:type="dxa"/>
            <w:vAlign w:val="center"/>
          </w:tcPr>
          <w:p w14:paraId="3BE3FD3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总价</w:t>
            </w:r>
          </w:p>
        </w:tc>
        <w:tc>
          <w:tcPr>
            <w:tcW w:w="1086" w:type="dxa"/>
            <w:vAlign w:val="center"/>
          </w:tcPr>
          <w:p w14:paraId="3476A96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质保期</w:t>
            </w:r>
          </w:p>
        </w:tc>
        <w:tc>
          <w:tcPr>
            <w:tcW w:w="1086" w:type="dxa"/>
            <w:vAlign w:val="center"/>
          </w:tcPr>
          <w:p w14:paraId="474DE6F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合同履约期限</w:t>
            </w:r>
          </w:p>
        </w:tc>
        <w:tc>
          <w:tcPr>
            <w:tcW w:w="1180" w:type="dxa"/>
            <w:vAlign w:val="center"/>
          </w:tcPr>
          <w:p w14:paraId="12A2E9C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质量要求</w:t>
            </w:r>
          </w:p>
        </w:tc>
        <w:tc>
          <w:tcPr>
            <w:tcW w:w="993" w:type="dxa"/>
            <w:vAlign w:val="center"/>
          </w:tcPr>
          <w:p w14:paraId="0EEE37E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备注</w:t>
            </w:r>
          </w:p>
        </w:tc>
      </w:tr>
      <w:tr w14:paraId="3E9C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4AB8FAE9">
            <w:pPr>
              <w:pStyle w:val="2"/>
              <w:rPr>
                <w:rFonts w:hint="eastAsia" w:ascii="宋体" w:hAnsi="宋体" w:eastAsia="宋体" w:cs="宋体"/>
                <w:color w:val="auto"/>
                <w:highlight w:val="none"/>
              </w:rPr>
            </w:pPr>
          </w:p>
        </w:tc>
        <w:tc>
          <w:tcPr>
            <w:tcW w:w="1311" w:type="dxa"/>
          </w:tcPr>
          <w:p w14:paraId="357E9848">
            <w:pPr>
              <w:pStyle w:val="2"/>
              <w:rPr>
                <w:rFonts w:hint="eastAsia" w:ascii="宋体" w:hAnsi="宋体" w:eastAsia="宋体" w:cs="宋体"/>
                <w:color w:val="auto"/>
                <w:highlight w:val="none"/>
              </w:rPr>
            </w:pPr>
          </w:p>
        </w:tc>
        <w:tc>
          <w:tcPr>
            <w:tcW w:w="1086" w:type="dxa"/>
          </w:tcPr>
          <w:p w14:paraId="54A4E19D">
            <w:pPr>
              <w:pStyle w:val="2"/>
              <w:rPr>
                <w:rFonts w:hint="eastAsia" w:ascii="宋体" w:hAnsi="宋体" w:eastAsia="宋体" w:cs="宋体"/>
                <w:color w:val="auto"/>
                <w:highlight w:val="none"/>
              </w:rPr>
            </w:pPr>
          </w:p>
        </w:tc>
        <w:tc>
          <w:tcPr>
            <w:tcW w:w="1086" w:type="dxa"/>
          </w:tcPr>
          <w:p w14:paraId="54702D9C">
            <w:pPr>
              <w:pStyle w:val="2"/>
              <w:rPr>
                <w:rFonts w:hint="eastAsia" w:ascii="宋体" w:hAnsi="宋体" w:eastAsia="宋体" w:cs="宋体"/>
                <w:color w:val="auto"/>
                <w:highlight w:val="none"/>
              </w:rPr>
            </w:pPr>
          </w:p>
        </w:tc>
        <w:tc>
          <w:tcPr>
            <w:tcW w:w="1086" w:type="dxa"/>
          </w:tcPr>
          <w:p w14:paraId="6E9290E3">
            <w:pPr>
              <w:pStyle w:val="2"/>
              <w:rPr>
                <w:rFonts w:hint="eastAsia" w:ascii="宋体" w:hAnsi="宋体" w:eastAsia="宋体" w:cs="宋体"/>
                <w:color w:val="auto"/>
                <w:highlight w:val="none"/>
              </w:rPr>
            </w:pPr>
          </w:p>
        </w:tc>
        <w:tc>
          <w:tcPr>
            <w:tcW w:w="1086" w:type="dxa"/>
          </w:tcPr>
          <w:p w14:paraId="07CD3ECB">
            <w:pPr>
              <w:pStyle w:val="2"/>
              <w:rPr>
                <w:rFonts w:hint="eastAsia" w:ascii="宋体" w:hAnsi="宋体" w:eastAsia="宋体" w:cs="宋体"/>
                <w:color w:val="auto"/>
                <w:highlight w:val="none"/>
              </w:rPr>
            </w:pPr>
          </w:p>
        </w:tc>
        <w:tc>
          <w:tcPr>
            <w:tcW w:w="1086" w:type="dxa"/>
          </w:tcPr>
          <w:p w14:paraId="67EE9BA1">
            <w:pPr>
              <w:pStyle w:val="2"/>
              <w:rPr>
                <w:rFonts w:hint="eastAsia" w:ascii="宋体" w:hAnsi="宋体" w:eastAsia="宋体" w:cs="宋体"/>
                <w:color w:val="auto"/>
                <w:highlight w:val="none"/>
              </w:rPr>
            </w:pPr>
          </w:p>
        </w:tc>
        <w:tc>
          <w:tcPr>
            <w:tcW w:w="1086" w:type="dxa"/>
          </w:tcPr>
          <w:p w14:paraId="47D55DEF">
            <w:pPr>
              <w:pStyle w:val="2"/>
              <w:rPr>
                <w:rFonts w:hint="eastAsia" w:ascii="宋体" w:hAnsi="宋体" w:eastAsia="宋体" w:cs="宋体"/>
                <w:color w:val="auto"/>
                <w:highlight w:val="none"/>
              </w:rPr>
            </w:pPr>
          </w:p>
        </w:tc>
        <w:tc>
          <w:tcPr>
            <w:tcW w:w="1086" w:type="dxa"/>
          </w:tcPr>
          <w:p w14:paraId="5F81699F">
            <w:pPr>
              <w:pStyle w:val="2"/>
              <w:rPr>
                <w:rFonts w:hint="eastAsia" w:ascii="宋体" w:hAnsi="宋体" w:eastAsia="宋体" w:cs="宋体"/>
                <w:color w:val="auto"/>
                <w:highlight w:val="none"/>
              </w:rPr>
            </w:pPr>
          </w:p>
        </w:tc>
        <w:tc>
          <w:tcPr>
            <w:tcW w:w="1086" w:type="dxa"/>
          </w:tcPr>
          <w:p w14:paraId="02BDE3C3">
            <w:pPr>
              <w:pStyle w:val="2"/>
              <w:rPr>
                <w:rFonts w:hint="eastAsia" w:ascii="宋体" w:hAnsi="宋体" w:eastAsia="宋体" w:cs="宋体"/>
                <w:color w:val="auto"/>
                <w:highlight w:val="none"/>
              </w:rPr>
            </w:pPr>
          </w:p>
        </w:tc>
        <w:tc>
          <w:tcPr>
            <w:tcW w:w="1086" w:type="dxa"/>
          </w:tcPr>
          <w:p w14:paraId="49D77200">
            <w:pPr>
              <w:pStyle w:val="2"/>
              <w:rPr>
                <w:rFonts w:hint="eastAsia" w:ascii="宋体" w:hAnsi="宋体" w:eastAsia="宋体" w:cs="宋体"/>
                <w:color w:val="auto"/>
                <w:highlight w:val="none"/>
              </w:rPr>
            </w:pPr>
          </w:p>
        </w:tc>
        <w:tc>
          <w:tcPr>
            <w:tcW w:w="1180" w:type="dxa"/>
          </w:tcPr>
          <w:p w14:paraId="693D52C0">
            <w:pPr>
              <w:pStyle w:val="2"/>
              <w:rPr>
                <w:rFonts w:hint="eastAsia" w:ascii="宋体" w:hAnsi="宋体" w:eastAsia="宋体" w:cs="宋体"/>
                <w:color w:val="auto"/>
                <w:highlight w:val="none"/>
              </w:rPr>
            </w:pPr>
          </w:p>
        </w:tc>
        <w:tc>
          <w:tcPr>
            <w:tcW w:w="993" w:type="dxa"/>
          </w:tcPr>
          <w:p w14:paraId="709C7E0B">
            <w:pPr>
              <w:pStyle w:val="2"/>
              <w:rPr>
                <w:rFonts w:hint="eastAsia" w:ascii="宋体" w:hAnsi="宋体" w:eastAsia="宋体" w:cs="宋体"/>
                <w:color w:val="auto"/>
                <w:highlight w:val="none"/>
              </w:rPr>
            </w:pPr>
          </w:p>
        </w:tc>
      </w:tr>
      <w:tr w14:paraId="191A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E57DBA9">
            <w:pPr>
              <w:pStyle w:val="2"/>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11" w:type="dxa"/>
          </w:tcPr>
          <w:p w14:paraId="5B92AAC6">
            <w:pPr>
              <w:pStyle w:val="2"/>
              <w:rPr>
                <w:rFonts w:hint="eastAsia" w:ascii="宋体" w:hAnsi="宋体" w:eastAsia="宋体" w:cs="宋体"/>
                <w:color w:val="auto"/>
                <w:highlight w:val="none"/>
              </w:rPr>
            </w:pPr>
          </w:p>
        </w:tc>
        <w:tc>
          <w:tcPr>
            <w:tcW w:w="1086" w:type="dxa"/>
          </w:tcPr>
          <w:p w14:paraId="24AE599B">
            <w:pPr>
              <w:pStyle w:val="2"/>
              <w:rPr>
                <w:rFonts w:hint="eastAsia" w:ascii="宋体" w:hAnsi="宋体" w:eastAsia="宋体" w:cs="宋体"/>
                <w:color w:val="auto"/>
                <w:highlight w:val="none"/>
              </w:rPr>
            </w:pPr>
          </w:p>
        </w:tc>
        <w:tc>
          <w:tcPr>
            <w:tcW w:w="1086" w:type="dxa"/>
          </w:tcPr>
          <w:p w14:paraId="4FB04375">
            <w:pPr>
              <w:pStyle w:val="2"/>
              <w:rPr>
                <w:rFonts w:hint="eastAsia" w:ascii="宋体" w:hAnsi="宋体" w:eastAsia="宋体" w:cs="宋体"/>
                <w:color w:val="auto"/>
                <w:highlight w:val="none"/>
              </w:rPr>
            </w:pPr>
          </w:p>
        </w:tc>
        <w:tc>
          <w:tcPr>
            <w:tcW w:w="1086" w:type="dxa"/>
          </w:tcPr>
          <w:p w14:paraId="3818C987">
            <w:pPr>
              <w:pStyle w:val="2"/>
              <w:rPr>
                <w:rFonts w:hint="eastAsia" w:ascii="宋体" w:hAnsi="宋体" w:eastAsia="宋体" w:cs="宋体"/>
                <w:color w:val="auto"/>
                <w:highlight w:val="none"/>
              </w:rPr>
            </w:pPr>
          </w:p>
        </w:tc>
        <w:tc>
          <w:tcPr>
            <w:tcW w:w="1086" w:type="dxa"/>
          </w:tcPr>
          <w:p w14:paraId="29F81AB5">
            <w:pPr>
              <w:pStyle w:val="2"/>
              <w:rPr>
                <w:rFonts w:hint="eastAsia" w:ascii="宋体" w:hAnsi="宋体" w:eastAsia="宋体" w:cs="宋体"/>
                <w:color w:val="auto"/>
                <w:highlight w:val="none"/>
              </w:rPr>
            </w:pPr>
          </w:p>
        </w:tc>
        <w:tc>
          <w:tcPr>
            <w:tcW w:w="1086" w:type="dxa"/>
          </w:tcPr>
          <w:p w14:paraId="2E25635A">
            <w:pPr>
              <w:pStyle w:val="2"/>
              <w:rPr>
                <w:rFonts w:hint="eastAsia" w:ascii="宋体" w:hAnsi="宋体" w:eastAsia="宋体" w:cs="宋体"/>
                <w:color w:val="auto"/>
                <w:highlight w:val="none"/>
              </w:rPr>
            </w:pPr>
          </w:p>
        </w:tc>
        <w:tc>
          <w:tcPr>
            <w:tcW w:w="1086" w:type="dxa"/>
          </w:tcPr>
          <w:p w14:paraId="6B61461D">
            <w:pPr>
              <w:pStyle w:val="2"/>
              <w:rPr>
                <w:rFonts w:hint="eastAsia" w:ascii="宋体" w:hAnsi="宋体" w:eastAsia="宋体" w:cs="宋体"/>
                <w:color w:val="auto"/>
                <w:highlight w:val="none"/>
              </w:rPr>
            </w:pPr>
          </w:p>
        </w:tc>
        <w:tc>
          <w:tcPr>
            <w:tcW w:w="1086" w:type="dxa"/>
          </w:tcPr>
          <w:p w14:paraId="0DCBBF3F">
            <w:pPr>
              <w:pStyle w:val="2"/>
              <w:rPr>
                <w:rFonts w:hint="eastAsia" w:ascii="宋体" w:hAnsi="宋体" w:eastAsia="宋体" w:cs="宋体"/>
                <w:color w:val="auto"/>
                <w:highlight w:val="none"/>
              </w:rPr>
            </w:pPr>
          </w:p>
        </w:tc>
        <w:tc>
          <w:tcPr>
            <w:tcW w:w="1086" w:type="dxa"/>
          </w:tcPr>
          <w:p w14:paraId="5C749F57">
            <w:pPr>
              <w:pStyle w:val="2"/>
              <w:rPr>
                <w:rFonts w:hint="eastAsia" w:ascii="宋体" w:hAnsi="宋体" w:eastAsia="宋体" w:cs="宋体"/>
                <w:color w:val="auto"/>
                <w:highlight w:val="none"/>
              </w:rPr>
            </w:pPr>
          </w:p>
        </w:tc>
        <w:tc>
          <w:tcPr>
            <w:tcW w:w="1086" w:type="dxa"/>
          </w:tcPr>
          <w:p w14:paraId="0111A314">
            <w:pPr>
              <w:pStyle w:val="2"/>
              <w:rPr>
                <w:rFonts w:hint="eastAsia" w:ascii="宋体" w:hAnsi="宋体" w:eastAsia="宋体" w:cs="宋体"/>
                <w:color w:val="auto"/>
                <w:highlight w:val="none"/>
              </w:rPr>
            </w:pPr>
          </w:p>
        </w:tc>
        <w:tc>
          <w:tcPr>
            <w:tcW w:w="1180" w:type="dxa"/>
          </w:tcPr>
          <w:p w14:paraId="1CA9DAE8">
            <w:pPr>
              <w:pStyle w:val="2"/>
              <w:rPr>
                <w:rFonts w:hint="eastAsia" w:ascii="宋体" w:hAnsi="宋体" w:eastAsia="宋体" w:cs="宋体"/>
                <w:color w:val="auto"/>
                <w:highlight w:val="none"/>
              </w:rPr>
            </w:pPr>
          </w:p>
        </w:tc>
        <w:tc>
          <w:tcPr>
            <w:tcW w:w="993" w:type="dxa"/>
          </w:tcPr>
          <w:p w14:paraId="3B3FC94E">
            <w:pPr>
              <w:pStyle w:val="2"/>
              <w:rPr>
                <w:rFonts w:hint="eastAsia" w:ascii="宋体" w:hAnsi="宋体" w:eastAsia="宋体" w:cs="宋体"/>
                <w:color w:val="auto"/>
                <w:highlight w:val="none"/>
              </w:rPr>
            </w:pPr>
          </w:p>
        </w:tc>
      </w:tr>
      <w:tr w14:paraId="49AA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9" w:type="dxa"/>
            <w:gridSpan w:val="13"/>
          </w:tcPr>
          <w:p w14:paraId="2868705A">
            <w:pPr>
              <w:pStyle w:val="2"/>
              <w:jc w:val="both"/>
              <w:rPr>
                <w:rFonts w:hint="eastAsia" w:ascii="宋体" w:hAnsi="宋体" w:eastAsia="宋体" w:cs="宋体"/>
                <w:color w:val="auto"/>
                <w:highlight w:val="none"/>
              </w:rPr>
            </w:pPr>
            <w:r>
              <w:rPr>
                <w:rFonts w:hint="eastAsia" w:ascii="宋体" w:hAnsi="宋体" w:eastAsia="宋体" w:cs="宋体"/>
                <w:color w:val="auto"/>
                <w:kern w:val="0"/>
                <w:sz w:val="24"/>
                <w:highlight w:val="none"/>
              </w:rPr>
              <w:t>总报价（大写）                                   ￥：</w:t>
            </w:r>
          </w:p>
        </w:tc>
      </w:tr>
    </w:tbl>
    <w:p w14:paraId="3DC26E80">
      <w:pPr>
        <w:snapToGrid w:val="0"/>
        <w:spacing w:before="120" w:beforeLines="50" w:after="50" w:line="460" w:lineRule="exact"/>
        <w:ind w:right="600" w:firstLine="480"/>
        <w:rPr>
          <w:rFonts w:hint="eastAsia" w:ascii="宋体" w:hAnsi="宋体" w:eastAsia="宋体" w:cs="宋体"/>
          <w:color w:val="auto"/>
          <w:highlight w:val="none"/>
        </w:rPr>
      </w:pPr>
      <w:r>
        <w:rPr>
          <w:rFonts w:hint="eastAsia" w:ascii="宋体" w:hAnsi="宋体" w:eastAsia="宋体" w:cs="宋体"/>
          <w:color w:val="auto"/>
          <w:highlight w:val="none"/>
        </w:rPr>
        <w:t>注：1.报价一览表行数可以根据内容自行增减，报价内容及格式不能更改；</w:t>
      </w:r>
    </w:p>
    <w:p w14:paraId="6715E875">
      <w:pPr>
        <w:pStyle w:val="152"/>
        <w:ind w:firstLine="528"/>
        <w:rPr>
          <w:rFonts w:hint="eastAsia" w:ascii="宋体" w:hAnsi="宋体" w:eastAsia="宋体" w:cs="宋体"/>
          <w:color w:val="auto"/>
          <w:highlight w:val="none"/>
        </w:rPr>
      </w:pPr>
      <w:r>
        <w:rPr>
          <w:rFonts w:hint="eastAsia" w:ascii="宋体" w:hAnsi="宋体" w:eastAsia="宋体" w:cs="宋体"/>
          <w:color w:val="auto"/>
          <w:highlight w:val="none"/>
        </w:rPr>
        <w:t>2.说明：以上投标报价包括本项目所有工作内容、后续服务等伴随的服务、各种税费及合同实施过程中的不可预见费用等全部费用。</w:t>
      </w:r>
    </w:p>
    <w:p w14:paraId="4E83C70A">
      <w:pPr>
        <w:rPr>
          <w:rFonts w:hint="eastAsia" w:ascii="宋体" w:hAnsi="宋体" w:eastAsia="宋体" w:cs="宋体"/>
          <w:color w:val="auto"/>
          <w:highlight w:val="none"/>
        </w:rPr>
      </w:pPr>
    </w:p>
    <w:p w14:paraId="3077B21C">
      <w:pPr>
        <w:spacing w:line="600" w:lineRule="exact"/>
        <w:ind w:firstLine="1960" w:firstLineChars="700"/>
        <w:jc w:val="righ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投标人：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（加盖单位电子公章）</w:t>
      </w:r>
    </w:p>
    <w:p w14:paraId="7AF8B017">
      <w:pPr>
        <w:spacing w:line="600" w:lineRule="exact"/>
        <w:ind w:firstLine="1960" w:firstLineChars="700"/>
        <w:jc w:val="righ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法定代表人或授权委托人：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（电子签字</w:t>
      </w:r>
      <w:r>
        <w:rPr>
          <w:rFonts w:hint="eastAsia" w:ascii="宋体" w:hAnsi="宋体" w:eastAsia="宋体" w:cs="宋体"/>
          <w:color w:val="auto"/>
          <w:spacing w:val="20"/>
          <w:sz w:val="24"/>
          <w:highlight w:val="none"/>
          <w:lang w:val="en-US" w:eastAsia="zh-CN"/>
        </w:rPr>
        <w:t>或盖章</w:t>
      </w:r>
      <w:r>
        <w:rPr>
          <w:rFonts w:hint="eastAsia" w:ascii="宋体" w:hAnsi="宋体" w:eastAsia="宋体" w:cs="宋体"/>
          <w:color w:val="auto"/>
          <w:spacing w:val="20"/>
          <w:sz w:val="24"/>
          <w:highlight w:val="none"/>
        </w:rPr>
        <w:t>）</w:t>
      </w:r>
    </w:p>
    <w:p w14:paraId="31884CFB">
      <w:pPr>
        <w:spacing w:line="600" w:lineRule="exact"/>
        <w:ind w:firstLine="1960" w:firstLineChars="700"/>
        <w:jc w:val="righ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54FDFEF1">
      <w:pPr>
        <w:pStyle w:val="12"/>
        <w:jc w:val="right"/>
        <w:rPr>
          <w:rFonts w:hint="eastAsia" w:ascii="宋体" w:hAnsi="宋体" w:eastAsia="宋体" w:cs="宋体"/>
          <w:color w:val="auto"/>
          <w:highlight w:val="none"/>
        </w:rPr>
        <w:sectPr>
          <w:pgSz w:w="16840" w:h="11907" w:orient="landscape"/>
          <w:pgMar w:top="1800" w:right="1440" w:bottom="1800" w:left="1440" w:header="680" w:footer="907" w:gutter="0"/>
          <w:cols w:space="720" w:num="1"/>
          <w:docGrid w:linePitch="286" w:charSpace="0"/>
        </w:sectPr>
      </w:pPr>
    </w:p>
    <w:bookmarkEnd w:id="40"/>
    <w:p w14:paraId="2F2A4183">
      <w:pPr>
        <w:spacing w:line="460" w:lineRule="exact"/>
        <w:jc w:val="center"/>
        <w:rPr>
          <w:rFonts w:hint="eastAsia" w:ascii="宋体" w:hAnsi="宋体" w:eastAsia="宋体" w:cs="宋体"/>
          <w:b/>
          <w:color w:val="auto"/>
          <w:sz w:val="32"/>
          <w:szCs w:val="32"/>
          <w:highlight w:val="none"/>
        </w:rPr>
      </w:pPr>
      <w:bookmarkStart w:id="41" w:name="_Toc3900"/>
      <w:r>
        <w:rPr>
          <w:rFonts w:hint="eastAsia" w:ascii="宋体" w:hAnsi="宋体" w:eastAsia="宋体" w:cs="宋体"/>
          <w:b/>
          <w:color w:val="auto"/>
          <w:sz w:val="32"/>
          <w:szCs w:val="32"/>
          <w:highlight w:val="none"/>
        </w:rPr>
        <w:t>技术偏离表（格式）</w:t>
      </w:r>
    </w:p>
    <w:p w14:paraId="03200FE4">
      <w:pPr>
        <w:widowControl/>
        <w:snapToGrid w:val="0"/>
        <w:spacing w:line="460" w:lineRule="exact"/>
        <w:jc w:val="center"/>
        <w:rPr>
          <w:rFonts w:hint="eastAsia" w:ascii="宋体" w:hAnsi="宋体" w:eastAsia="宋体" w:cs="宋体"/>
          <w:color w:val="auto"/>
          <w:sz w:val="28"/>
          <w:szCs w:val="28"/>
          <w:highlight w:val="none"/>
        </w:rPr>
      </w:pPr>
    </w:p>
    <w:tbl>
      <w:tblPr>
        <w:tblStyle w:val="3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90"/>
        <w:gridCol w:w="1351"/>
        <w:gridCol w:w="1960"/>
        <w:gridCol w:w="2082"/>
        <w:gridCol w:w="1234"/>
        <w:gridCol w:w="795"/>
      </w:tblGrid>
      <w:tr w14:paraId="0BBA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5" w:hRule="atLeast"/>
        </w:trPr>
        <w:tc>
          <w:tcPr>
            <w:tcW w:w="490" w:type="dxa"/>
            <w:tcBorders>
              <w:top w:val="single" w:color="000000" w:sz="6" w:space="0"/>
              <w:left w:val="single" w:color="000000" w:sz="6" w:space="0"/>
              <w:bottom w:val="single" w:color="000000" w:sz="6" w:space="0"/>
              <w:right w:val="single" w:color="auto" w:sz="4" w:space="0"/>
            </w:tcBorders>
            <w:vAlign w:val="center"/>
          </w:tcPr>
          <w:p w14:paraId="000E5461">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351" w:type="dxa"/>
            <w:tcBorders>
              <w:top w:val="single" w:color="000000" w:sz="6" w:space="0"/>
              <w:left w:val="single" w:color="auto" w:sz="4" w:space="0"/>
              <w:bottom w:val="single" w:color="000000" w:sz="6" w:space="0"/>
              <w:right w:val="single" w:color="000000" w:sz="6" w:space="0"/>
            </w:tcBorders>
            <w:vAlign w:val="center"/>
          </w:tcPr>
          <w:p w14:paraId="40C7C9B5">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w:t>
            </w:r>
          </w:p>
        </w:tc>
        <w:tc>
          <w:tcPr>
            <w:tcW w:w="1960" w:type="dxa"/>
            <w:tcBorders>
              <w:top w:val="single" w:color="000000" w:sz="6" w:space="0"/>
              <w:left w:val="single" w:color="000000" w:sz="6" w:space="0"/>
              <w:bottom w:val="single" w:color="000000" w:sz="6" w:space="0"/>
              <w:right w:val="single" w:color="000000" w:sz="6" w:space="0"/>
            </w:tcBorders>
            <w:vAlign w:val="center"/>
          </w:tcPr>
          <w:p w14:paraId="4B9205A1">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招标文件</w:t>
            </w:r>
          </w:p>
          <w:p w14:paraId="3BEEDB70">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技术规范、要求</w:t>
            </w:r>
          </w:p>
        </w:tc>
        <w:tc>
          <w:tcPr>
            <w:tcW w:w="2082" w:type="dxa"/>
            <w:tcBorders>
              <w:top w:val="single" w:color="000000" w:sz="6" w:space="0"/>
              <w:left w:val="single" w:color="000000" w:sz="6" w:space="0"/>
              <w:bottom w:val="single" w:color="000000" w:sz="6" w:space="0"/>
              <w:right w:val="single" w:color="000000" w:sz="6" w:space="0"/>
            </w:tcBorders>
            <w:vAlign w:val="center"/>
          </w:tcPr>
          <w:p w14:paraId="55652B62">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投标文件对应</w:t>
            </w:r>
          </w:p>
          <w:p w14:paraId="253E2452">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规范</w:t>
            </w:r>
          </w:p>
        </w:tc>
        <w:tc>
          <w:tcPr>
            <w:tcW w:w="1234" w:type="dxa"/>
            <w:tcBorders>
              <w:top w:val="single" w:color="000000" w:sz="6" w:space="0"/>
              <w:left w:val="single" w:color="000000" w:sz="6" w:space="0"/>
              <w:bottom w:val="single" w:color="000000" w:sz="6" w:space="0"/>
              <w:right w:val="single" w:color="000000" w:sz="6" w:space="0"/>
            </w:tcBorders>
            <w:vAlign w:val="center"/>
          </w:tcPr>
          <w:p w14:paraId="5C042FD6">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偏离情况</w:t>
            </w:r>
          </w:p>
        </w:tc>
        <w:tc>
          <w:tcPr>
            <w:tcW w:w="795" w:type="dxa"/>
            <w:tcBorders>
              <w:top w:val="single" w:color="000000" w:sz="6" w:space="0"/>
              <w:left w:val="single" w:color="000000" w:sz="6" w:space="0"/>
              <w:bottom w:val="single" w:color="000000" w:sz="6" w:space="0"/>
              <w:right w:val="single" w:color="000000" w:sz="6" w:space="0"/>
            </w:tcBorders>
            <w:vAlign w:val="center"/>
          </w:tcPr>
          <w:p w14:paraId="27ABFA9D">
            <w:pPr>
              <w:widowControl/>
              <w:snapToGrid w:val="0"/>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64C2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9" w:hRule="atLeast"/>
        </w:trPr>
        <w:tc>
          <w:tcPr>
            <w:tcW w:w="490" w:type="dxa"/>
            <w:tcBorders>
              <w:top w:val="single" w:color="000000" w:sz="6" w:space="0"/>
              <w:left w:val="single" w:color="000000" w:sz="6" w:space="0"/>
              <w:bottom w:val="single" w:color="000000" w:sz="6" w:space="0"/>
              <w:right w:val="single" w:color="auto" w:sz="4" w:space="0"/>
            </w:tcBorders>
            <w:vAlign w:val="center"/>
          </w:tcPr>
          <w:p w14:paraId="7C6A84A7">
            <w:pPr>
              <w:widowControl/>
              <w:snapToGrid w:val="0"/>
              <w:spacing w:line="460" w:lineRule="exact"/>
              <w:jc w:val="center"/>
              <w:rPr>
                <w:rFonts w:hint="eastAsia" w:ascii="宋体" w:hAnsi="宋体" w:eastAsia="宋体" w:cs="宋体"/>
                <w:color w:val="auto"/>
                <w:kern w:val="0"/>
                <w:sz w:val="24"/>
                <w:highlight w:val="none"/>
              </w:rPr>
            </w:pPr>
          </w:p>
        </w:tc>
        <w:tc>
          <w:tcPr>
            <w:tcW w:w="1351" w:type="dxa"/>
            <w:tcBorders>
              <w:top w:val="single" w:color="000000" w:sz="6" w:space="0"/>
              <w:left w:val="single" w:color="auto" w:sz="4" w:space="0"/>
              <w:bottom w:val="single" w:color="000000" w:sz="6" w:space="0"/>
              <w:right w:val="single" w:color="000000" w:sz="6" w:space="0"/>
            </w:tcBorders>
            <w:vAlign w:val="center"/>
          </w:tcPr>
          <w:p w14:paraId="1D7001C4">
            <w:pPr>
              <w:widowControl/>
              <w:snapToGrid w:val="0"/>
              <w:spacing w:line="460" w:lineRule="exact"/>
              <w:jc w:val="center"/>
              <w:rPr>
                <w:rFonts w:hint="eastAsia" w:ascii="宋体" w:hAnsi="宋体" w:eastAsia="宋体" w:cs="宋体"/>
                <w:color w:val="auto"/>
                <w:kern w:val="0"/>
                <w:sz w:val="24"/>
                <w:highlight w:val="none"/>
              </w:rPr>
            </w:pPr>
          </w:p>
        </w:tc>
        <w:tc>
          <w:tcPr>
            <w:tcW w:w="1960" w:type="dxa"/>
            <w:tcBorders>
              <w:top w:val="single" w:color="000000" w:sz="6" w:space="0"/>
              <w:left w:val="single" w:color="000000" w:sz="6" w:space="0"/>
              <w:bottom w:val="single" w:color="000000" w:sz="6" w:space="0"/>
              <w:right w:val="single" w:color="000000" w:sz="6" w:space="0"/>
            </w:tcBorders>
            <w:vAlign w:val="center"/>
          </w:tcPr>
          <w:p w14:paraId="6D0082DC">
            <w:pPr>
              <w:widowControl/>
              <w:snapToGrid w:val="0"/>
              <w:spacing w:line="460" w:lineRule="exact"/>
              <w:jc w:val="center"/>
              <w:rPr>
                <w:rFonts w:hint="eastAsia" w:ascii="宋体" w:hAnsi="宋体" w:eastAsia="宋体" w:cs="宋体"/>
                <w:color w:val="auto"/>
                <w:kern w:val="0"/>
                <w:sz w:val="24"/>
                <w:highlight w:val="none"/>
              </w:rPr>
            </w:pPr>
          </w:p>
        </w:tc>
        <w:tc>
          <w:tcPr>
            <w:tcW w:w="2082" w:type="dxa"/>
            <w:tcBorders>
              <w:top w:val="single" w:color="000000" w:sz="6" w:space="0"/>
              <w:left w:val="single" w:color="000000" w:sz="6" w:space="0"/>
              <w:bottom w:val="single" w:color="000000" w:sz="6" w:space="0"/>
              <w:right w:val="single" w:color="000000" w:sz="6" w:space="0"/>
            </w:tcBorders>
            <w:vAlign w:val="center"/>
          </w:tcPr>
          <w:p w14:paraId="47A916C6">
            <w:pPr>
              <w:widowControl/>
              <w:snapToGrid w:val="0"/>
              <w:spacing w:line="460" w:lineRule="exact"/>
              <w:jc w:val="center"/>
              <w:rPr>
                <w:rFonts w:hint="eastAsia" w:ascii="宋体" w:hAnsi="宋体" w:eastAsia="宋体" w:cs="宋体"/>
                <w:color w:val="auto"/>
                <w:kern w:val="0"/>
                <w:sz w:val="24"/>
                <w:highlight w:val="none"/>
              </w:rPr>
            </w:pPr>
          </w:p>
        </w:tc>
        <w:tc>
          <w:tcPr>
            <w:tcW w:w="1234" w:type="dxa"/>
            <w:tcBorders>
              <w:top w:val="single" w:color="000000" w:sz="6" w:space="0"/>
              <w:left w:val="single" w:color="000000" w:sz="6" w:space="0"/>
              <w:bottom w:val="single" w:color="000000" w:sz="6" w:space="0"/>
              <w:right w:val="single" w:color="000000" w:sz="6" w:space="0"/>
            </w:tcBorders>
            <w:vAlign w:val="center"/>
          </w:tcPr>
          <w:p w14:paraId="3CDB96A7">
            <w:pPr>
              <w:widowControl/>
              <w:snapToGrid w:val="0"/>
              <w:spacing w:line="460" w:lineRule="exact"/>
              <w:jc w:val="center"/>
              <w:rPr>
                <w:rFonts w:hint="eastAsia" w:ascii="宋体" w:hAnsi="宋体" w:eastAsia="宋体" w:cs="宋体"/>
                <w:color w:val="auto"/>
                <w:kern w:val="0"/>
                <w:sz w:val="24"/>
                <w:highlight w:val="none"/>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4F2F4DA6">
            <w:pPr>
              <w:widowControl/>
              <w:snapToGrid w:val="0"/>
              <w:spacing w:line="460" w:lineRule="exact"/>
              <w:jc w:val="center"/>
              <w:rPr>
                <w:rFonts w:hint="eastAsia" w:ascii="宋体" w:hAnsi="宋体" w:eastAsia="宋体" w:cs="宋体"/>
                <w:color w:val="auto"/>
                <w:kern w:val="0"/>
                <w:sz w:val="24"/>
                <w:highlight w:val="none"/>
              </w:rPr>
            </w:pPr>
          </w:p>
        </w:tc>
      </w:tr>
      <w:tr w14:paraId="68B78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5" w:hRule="atLeast"/>
        </w:trPr>
        <w:tc>
          <w:tcPr>
            <w:tcW w:w="490" w:type="dxa"/>
            <w:tcBorders>
              <w:top w:val="single" w:color="000000" w:sz="6" w:space="0"/>
              <w:left w:val="single" w:color="000000" w:sz="6" w:space="0"/>
              <w:bottom w:val="single" w:color="000000" w:sz="6" w:space="0"/>
              <w:right w:val="single" w:color="auto" w:sz="4" w:space="0"/>
            </w:tcBorders>
            <w:vAlign w:val="center"/>
          </w:tcPr>
          <w:p w14:paraId="1BE6A98C">
            <w:pPr>
              <w:widowControl/>
              <w:snapToGrid w:val="0"/>
              <w:spacing w:line="460" w:lineRule="exact"/>
              <w:jc w:val="center"/>
              <w:rPr>
                <w:rFonts w:hint="eastAsia" w:ascii="宋体" w:hAnsi="宋体" w:eastAsia="宋体" w:cs="宋体"/>
                <w:color w:val="auto"/>
                <w:kern w:val="0"/>
                <w:sz w:val="24"/>
                <w:highlight w:val="none"/>
              </w:rPr>
            </w:pPr>
          </w:p>
        </w:tc>
        <w:tc>
          <w:tcPr>
            <w:tcW w:w="1351" w:type="dxa"/>
            <w:tcBorders>
              <w:top w:val="single" w:color="000000" w:sz="6" w:space="0"/>
              <w:left w:val="single" w:color="auto" w:sz="4" w:space="0"/>
              <w:bottom w:val="single" w:color="000000" w:sz="6" w:space="0"/>
              <w:right w:val="single" w:color="000000" w:sz="6" w:space="0"/>
            </w:tcBorders>
            <w:vAlign w:val="center"/>
          </w:tcPr>
          <w:p w14:paraId="7B032683">
            <w:pPr>
              <w:widowControl/>
              <w:snapToGrid w:val="0"/>
              <w:spacing w:line="460" w:lineRule="exact"/>
              <w:jc w:val="center"/>
              <w:rPr>
                <w:rFonts w:hint="eastAsia" w:ascii="宋体" w:hAnsi="宋体" w:eastAsia="宋体" w:cs="宋体"/>
                <w:color w:val="auto"/>
                <w:kern w:val="0"/>
                <w:sz w:val="24"/>
                <w:highlight w:val="none"/>
              </w:rPr>
            </w:pPr>
          </w:p>
        </w:tc>
        <w:tc>
          <w:tcPr>
            <w:tcW w:w="1960" w:type="dxa"/>
            <w:tcBorders>
              <w:top w:val="single" w:color="000000" w:sz="6" w:space="0"/>
              <w:left w:val="single" w:color="000000" w:sz="6" w:space="0"/>
              <w:bottom w:val="single" w:color="000000" w:sz="6" w:space="0"/>
              <w:right w:val="single" w:color="000000" w:sz="6" w:space="0"/>
            </w:tcBorders>
            <w:vAlign w:val="center"/>
          </w:tcPr>
          <w:p w14:paraId="42E97ACF">
            <w:pPr>
              <w:widowControl/>
              <w:snapToGrid w:val="0"/>
              <w:spacing w:line="460" w:lineRule="exact"/>
              <w:jc w:val="center"/>
              <w:rPr>
                <w:rFonts w:hint="eastAsia" w:ascii="宋体" w:hAnsi="宋体" w:eastAsia="宋体" w:cs="宋体"/>
                <w:color w:val="auto"/>
                <w:kern w:val="0"/>
                <w:sz w:val="24"/>
                <w:highlight w:val="none"/>
              </w:rPr>
            </w:pPr>
          </w:p>
        </w:tc>
        <w:tc>
          <w:tcPr>
            <w:tcW w:w="2082" w:type="dxa"/>
            <w:tcBorders>
              <w:top w:val="single" w:color="000000" w:sz="6" w:space="0"/>
              <w:left w:val="single" w:color="000000" w:sz="6" w:space="0"/>
              <w:bottom w:val="single" w:color="000000" w:sz="6" w:space="0"/>
              <w:right w:val="single" w:color="000000" w:sz="6" w:space="0"/>
            </w:tcBorders>
            <w:vAlign w:val="center"/>
          </w:tcPr>
          <w:p w14:paraId="12191D8F">
            <w:pPr>
              <w:widowControl/>
              <w:snapToGrid w:val="0"/>
              <w:spacing w:line="460" w:lineRule="exact"/>
              <w:jc w:val="center"/>
              <w:rPr>
                <w:rFonts w:hint="eastAsia" w:ascii="宋体" w:hAnsi="宋体" w:eastAsia="宋体" w:cs="宋体"/>
                <w:color w:val="auto"/>
                <w:kern w:val="0"/>
                <w:sz w:val="24"/>
                <w:highlight w:val="none"/>
              </w:rPr>
            </w:pPr>
          </w:p>
        </w:tc>
        <w:tc>
          <w:tcPr>
            <w:tcW w:w="1234" w:type="dxa"/>
            <w:tcBorders>
              <w:top w:val="single" w:color="000000" w:sz="6" w:space="0"/>
              <w:left w:val="single" w:color="000000" w:sz="6" w:space="0"/>
              <w:bottom w:val="single" w:color="000000" w:sz="6" w:space="0"/>
              <w:right w:val="single" w:color="000000" w:sz="6" w:space="0"/>
            </w:tcBorders>
            <w:vAlign w:val="center"/>
          </w:tcPr>
          <w:p w14:paraId="688FBFED">
            <w:pPr>
              <w:widowControl/>
              <w:snapToGrid w:val="0"/>
              <w:spacing w:line="460" w:lineRule="exact"/>
              <w:jc w:val="center"/>
              <w:rPr>
                <w:rFonts w:hint="eastAsia" w:ascii="宋体" w:hAnsi="宋体" w:eastAsia="宋体" w:cs="宋体"/>
                <w:color w:val="auto"/>
                <w:kern w:val="0"/>
                <w:sz w:val="24"/>
                <w:highlight w:val="none"/>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6DC2E427">
            <w:pPr>
              <w:widowControl/>
              <w:snapToGrid w:val="0"/>
              <w:spacing w:line="460" w:lineRule="exact"/>
              <w:jc w:val="center"/>
              <w:rPr>
                <w:rFonts w:hint="eastAsia" w:ascii="宋体" w:hAnsi="宋体" w:eastAsia="宋体" w:cs="宋体"/>
                <w:color w:val="auto"/>
                <w:kern w:val="0"/>
                <w:sz w:val="24"/>
                <w:highlight w:val="none"/>
              </w:rPr>
            </w:pPr>
          </w:p>
        </w:tc>
      </w:tr>
      <w:tr w14:paraId="299A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5" w:hRule="atLeast"/>
        </w:trPr>
        <w:tc>
          <w:tcPr>
            <w:tcW w:w="490" w:type="dxa"/>
            <w:tcBorders>
              <w:top w:val="single" w:color="000000" w:sz="6" w:space="0"/>
              <w:left w:val="single" w:color="000000" w:sz="6" w:space="0"/>
              <w:bottom w:val="single" w:color="000000" w:sz="6" w:space="0"/>
              <w:right w:val="single" w:color="auto" w:sz="4" w:space="0"/>
            </w:tcBorders>
            <w:vAlign w:val="center"/>
          </w:tcPr>
          <w:p w14:paraId="6485A1EC">
            <w:pPr>
              <w:widowControl/>
              <w:snapToGrid w:val="0"/>
              <w:spacing w:line="460" w:lineRule="exact"/>
              <w:jc w:val="center"/>
              <w:rPr>
                <w:rFonts w:hint="eastAsia" w:ascii="宋体" w:hAnsi="宋体" w:eastAsia="宋体" w:cs="宋体"/>
                <w:color w:val="auto"/>
                <w:kern w:val="0"/>
                <w:sz w:val="24"/>
                <w:highlight w:val="none"/>
              </w:rPr>
            </w:pPr>
          </w:p>
        </w:tc>
        <w:tc>
          <w:tcPr>
            <w:tcW w:w="1351" w:type="dxa"/>
            <w:tcBorders>
              <w:top w:val="single" w:color="000000" w:sz="6" w:space="0"/>
              <w:left w:val="single" w:color="auto" w:sz="4" w:space="0"/>
              <w:bottom w:val="single" w:color="000000" w:sz="6" w:space="0"/>
              <w:right w:val="single" w:color="000000" w:sz="6" w:space="0"/>
            </w:tcBorders>
            <w:vAlign w:val="center"/>
          </w:tcPr>
          <w:p w14:paraId="75A1BF96">
            <w:pPr>
              <w:widowControl/>
              <w:snapToGrid w:val="0"/>
              <w:spacing w:line="460" w:lineRule="exact"/>
              <w:jc w:val="center"/>
              <w:rPr>
                <w:rFonts w:hint="eastAsia" w:ascii="宋体" w:hAnsi="宋体" w:eastAsia="宋体" w:cs="宋体"/>
                <w:color w:val="auto"/>
                <w:kern w:val="0"/>
                <w:sz w:val="24"/>
                <w:highlight w:val="none"/>
              </w:rPr>
            </w:pPr>
          </w:p>
        </w:tc>
        <w:tc>
          <w:tcPr>
            <w:tcW w:w="1960" w:type="dxa"/>
            <w:tcBorders>
              <w:top w:val="single" w:color="000000" w:sz="6" w:space="0"/>
              <w:left w:val="single" w:color="000000" w:sz="6" w:space="0"/>
              <w:bottom w:val="single" w:color="000000" w:sz="6" w:space="0"/>
              <w:right w:val="single" w:color="000000" w:sz="6" w:space="0"/>
            </w:tcBorders>
            <w:vAlign w:val="center"/>
          </w:tcPr>
          <w:p w14:paraId="593FCA10">
            <w:pPr>
              <w:widowControl/>
              <w:snapToGrid w:val="0"/>
              <w:spacing w:line="460" w:lineRule="exact"/>
              <w:jc w:val="center"/>
              <w:rPr>
                <w:rFonts w:hint="eastAsia" w:ascii="宋体" w:hAnsi="宋体" w:eastAsia="宋体" w:cs="宋体"/>
                <w:color w:val="auto"/>
                <w:kern w:val="0"/>
                <w:sz w:val="24"/>
                <w:highlight w:val="none"/>
              </w:rPr>
            </w:pPr>
          </w:p>
        </w:tc>
        <w:tc>
          <w:tcPr>
            <w:tcW w:w="2082" w:type="dxa"/>
            <w:tcBorders>
              <w:top w:val="single" w:color="000000" w:sz="6" w:space="0"/>
              <w:left w:val="single" w:color="000000" w:sz="6" w:space="0"/>
              <w:bottom w:val="single" w:color="000000" w:sz="6" w:space="0"/>
              <w:right w:val="single" w:color="000000" w:sz="6" w:space="0"/>
            </w:tcBorders>
            <w:vAlign w:val="center"/>
          </w:tcPr>
          <w:p w14:paraId="7F37A94A">
            <w:pPr>
              <w:widowControl/>
              <w:snapToGrid w:val="0"/>
              <w:spacing w:line="460" w:lineRule="exact"/>
              <w:jc w:val="center"/>
              <w:rPr>
                <w:rFonts w:hint="eastAsia" w:ascii="宋体" w:hAnsi="宋体" w:eastAsia="宋体" w:cs="宋体"/>
                <w:color w:val="auto"/>
                <w:kern w:val="0"/>
                <w:sz w:val="24"/>
                <w:highlight w:val="none"/>
              </w:rPr>
            </w:pPr>
          </w:p>
        </w:tc>
        <w:tc>
          <w:tcPr>
            <w:tcW w:w="1234" w:type="dxa"/>
            <w:tcBorders>
              <w:top w:val="single" w:color="000000" w:sz="6" w:space="0"/>
              <w:left w:val="single" w:color="000000" w:sz="6" w:space="0"/>
              <w:bottom w:val="single" w:color="000000" w:sz="6" w:space="0"/>
              <w:right w:val="single" w:color="000000" w:sz="6" w:space="0"/>
            </w:tcBorders>
            <w:vAlign w:val="center"/>
          </w:tcPr>
          <w:p w14:paraId="15668827">
            <w:pPr>
              <w:widowControl/>
              <w:snapToGrid w:val="0"/>
              <w:spacing w:line="460" w:lineRule="exact"/>
              <w:jc w:val="center"/>
              <w:rPr>
                <w:rFonts w:hint="eastAsia" w:ascii="宋体" w:hAnsi="宋体" w:eastAsia="宋体" w:cs="宋体"/>
                <w:color w:val="auto"/>
                <w:kern w:val="0"/>
                <w:sz w:val="24"/>
                <w:highlight w:val="none"/>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1981F4D8">
            <w:pPr>
              <w:widowControl/>
              <w:snapToGrid w:val="0"/>
              <w:spacing w:line="460" w:lineRule="exact"/>
              <w:jc w:val="center"/>
              <w:rPr>
                <w:rFonts w:hint="eastAsia" w:ascii="宋体" w:hAnsi="宋体" w:eastAsia="宋体" w:cs="宋体"/>
                <w:color w:val="auto"/>
                <w:kern w:val="0"/>
                <w:sz w:val="24"/>
                <w:highlight w:val="none"/>
              </w:rPr>
            </w:pPr>
          </w:p>
        </w:tc>
      </w:tr>
      <w:tr w14:paraId="5386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5" w:hRule="atLeast"/>
        </w:trPr>
        <w:tc>
          <w:tcPr>
            <w:tcW w:w="490" w:type="dxa"/>
            <w:tcBorders>
              <w:top w:val="single" w:color="000000" w:sz="6" w:space="0"/>
              <w:left w:val="single" w:color="000000" w:sz="6" w:space="0"/>
              <w:bottom w:val="single" w:color="000000" w:sz="6" w:space="0"/>
              <w:right w:val="single" w:color="auto" w:sz="4" w:space="0"/>
            </w:tcBorders>
            <w:vAlign w:val="center"/>
          </w:tcPr>
          <w:p w14:paraId="333F48AD">
            <w:pPr>
              <w:widowControl/>
              <w:snapToGrid w:val="0"/>
              <w:spacing w:line="460" w:lineRule="exact"/>
              <w:jc w:val="center"/>
              <w:rPr>
                <w:rFonts w:hint="eastAsia" w:ascii="宋体" w:hAnsi="宋体" w:eastAsia="宋体" w:cs="宋体"/>
                <w:color w:val="auto"/>
                <w:kern w:val="0"/>
                <w:sz w:val="24"/>
                <w:highlight w:val="none"/>
              </w:rPr>
            </w:pPr>
          </w:p>
        </w:tc>
        <w:tc>
          <w:tcPr>
            <w:tcW w:w="1351" w:type="dxa"/>
            <w:tcBorders>
              <w:top w:val="single" w:color="000000" w:sz="6" w:space="0"/>
              <w:left w:val="single" w:color="auto" w:sz="4" w:space="0"/>
              <w:bottom w:val="single" w:color="000000" w:sz="6" w:space="0"/>
              <w:right w:val="single" w:color="000000" w:sz="6" w:space="0"/>
            </w:tcBorders>
            <w:vAlign w:val="center"/>
          </w:tcPr>
          <w:p w14:paraId="1DD3E912">
            <w:pPr>
              <w:widowControl/>
              <w:snapToGrid w:val="0"/>
              <w:spacing w:line="460" w:lineRule="exact"/>
              <w:jc w:val="center"/>
              <w:rPr>
                <w:rFonts w:hint="eastAsia" w:ascii="宋体" w:hAnsi="宋体" w:eastAsia="宋体" w:cs="宋体"/>
                <w:color w:val="auto"/>
                <w:kern w:val="0"/>
                <w:sz w:val="24"/>
                <w:highlight w:val="none"/>
              </w:rPr>
            </w:pPr>
          </w:p>
        </w:tc>
        <w:tc>
          <w:tcPr>
            <w:tcW w:w="1960" w:type="dxa"/>
            <w:tcBorders>
              <w:top w:val="single" w:color="000000" w:sz="6" w:space="0"/>
              <w:left w:val="single" w:color="000000" w:sz="6" w:space="0"/>
              <w:bottom w:val="single" w:color="000000" w:sz="6" w:space="0"/>
              <w:right w:val="single" w:color="000000" w:sz="6" w:space="0"/>
            </w:tcBorders>
            <w:vAlign w:val="center"/>
          </w:tcPr>
          <w:p w14:paraId="65A1114F">
            <w:pPr>
              <w:widowControl/>
              <w:snapToGrid w:val="0"/>
              <w:spacing w:line="460" w:lineRule="exact"/>
              <w:jc w:val="center"/>
              <w:rPr>
                <w:rFonts w:hint="eastAsia" w:ascii="宋体" w:hAnsi="宋体" w:eastAsia="宋体" w:cs="宋体"/>
                <w:color w:val="auto"/>
                <w:kern w:val="0"/>
                <w:sz w:val="24"/>
                <w:highlight w:val="none"/>
              </w:rPr>
            </w:pPr>
          </w:p>
        </w:tc>
        <w:tc>
          <w:tcPr>
            <w:tcW w:w="2082" w:type="dxa"/>
            <w:tcBorders>
              <w:top w:val="single" w:color="000000" w:sz="6" w:space="0"/>
              <w:left w:val="single" w:color="000000" w:sz="6" w:space="0"/>
              <w:bottom w:val="single" w:color="000000" w:sz="6" w:space="0"/>
              <w:right w:val="single" w:color="000000" w:sz="6" w:space="0"/>
            </w:tcBorders>
            <w:vAlign w:val="center"/>
          </w:tcPr>
          <w:p w14:paraId="6F21DF42">
            <w:pPr>
              <w:widowControl/>
              <w:snapToGrid w:val="0"/>
              <w:spacing w:line="460" w:lineRule="exact"/>
              <w:jc w:val="center"/>
              <w:rPr>
                <w:rFonts w:hint="eastAsia" w:ascii="宋体" w:hAnsi="宋体" w:eastAsia="宋体" w:cs="宋体"/>
                <w:color w:val="auto"/>
                <w:kern w:val="0"/>
                <w:sz w:val="24"/>
                <w:highlight w:val="none"/>
              </w:rPr>
            </w:pPr>
          </w:p>
        </w:tc>
        <w:tc>
          <w:tcPr>
            <w:tcW w:w="1234" w:type="dxa"/>
            <w:tcBorders>
              <w:top w:val="single" w:color="000000" w:sz="6" w:space="0"/>
              <w:left w:val="single" w:color="000000" w:sz="6" w:space="0"/>
              <w:bottom w:val="single" w:color="000000" w:sz="6" w:space="0"/>
              <w:right w:val="single" w:color="000000" w:sz="6" w:space="0"/>
            </w:tcBorders>
            <w:vAlign w:val="center"/>
          </w:tcPr>
          <w:p w14:paraId="017EE5D6">
            <w:pPr>
              <w:widowControl/>
              <w:snapToGrid w:val="0"/>
              <w:spacing w:line="460" w:lineRule="exact"/>
              <w:jc w:val="center"/>
              <w:rPr>
                <w:rFonts w:hint="eastAsia" w:ascii="宋体" w:hAnsi="宋体" w:eastAsia="宋体" w:cs="宋体"/>
                <w:color w:val="auto"/>
                <w:kern w:val="0"/>
                <w:sz w:val="24"/>
                <w:highlight w:val="none"/>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7C43E3C8">
            <w:pPr>
              <w:widowControl/>
              <w:snapToGrid w:val="0"/>
              <w:spacing w:line="460" w:lineRule="exact"/>
              <w:jc w:val="center"/>
              <w:rPr>
                <w:rFonts w:hint="eastAsia" w:ascii="宋体" w:hAnsi="宋体" w:eastAsia="宋体" w:cs="宋体"/>
                <w:color w:val="auto"/>
                <w:kern w:val="0"/>
                <w:sz w:val="24"/>
                <w:highlight w:val="none"/>
              </w:rPr>
            </w:pPr>
          </w:p>
        </w:tc>
      </w:tr>
    </w:tbl>
    <w:p w14:paraId="68168147">
      <w:pPr>
        <w:widowControl/>
        <w:snapToGrid w:val="0"/>
        <w:spacing w:line="460" w:lineRule="exact"/>
        <w:jc w:val="left"/>
        <w:rPr>
          <w:rFonts w:hint="eastAsia" w:ascii="宋体" w:hAnsi="宋体" w:eastAsia="宋体" w:cs="宋体"/>
          <w:color w:val="auto"/>
          <w:spacing w:val="20"/>
          <w:kern w:val="0"/>
          <w:sz w:val="28"/>
          <w:szCs w:val="28"/>
          <w:highlight w:val="none"/>
        </w:rPr>
      </w:pPr>
      <w:r>
        <w:rPr>
          <w:rFonts w:hint="eastAsia" w:ascii="宋体" w:hAnsi="宋体" w:eastAsia="宋体" w:cs="宋体"/>
          <w:color w:val="auto"/>
          <w:spacing w:val="20"/>
          <w:kern w:val="0"/>
          <w:sz w:val="28"/>
          <w:szCs w:val="28"/>
          <w:highlight w:val="none"/>
        </w:rPr>
        <w:t xml:space="preserve">                  </w:t>
      </w:r>
    </w:p>
    <w:p w14:paraId="426A64E6">
      <w:pPr>
        <w:spacing w:line="600" w:lineRule="exact"/>
        <w:ind w:firstLine="1960" w:firstLineChars="700"/>
        <w:rPr>
          <w:rFonts w:hint="eastAsia" w:ascii="宋体" w:hAnsi="宋体" w:eastAsia="宋体" w:cs="宋体"/>
          <w:color w:val="auto"/>
          <w:spacing w:val="20"/>
          <w:sz w:val="24"/>
          <w:highlight w:val="none"/>
        </w:rPr>
      </w:pPr>
    </w:p>
    <w:p w14:paraId="06AD98CF">
      <w:pPr>
        <w:spacing w:line="600" w:lineRule="exact"/>
        <w:ind w:firstLine="1960" w:firstLineChars="700"/>
        <w:rPr>
          <w:rFonts w:hint="eastAsia" w:ascii="宋体" w:hAnsi="宋体" w:eastAsia="宋体" w:cs="宋体"/>
          <w:color w:val="auto"/>
          <w:spacing w:val="20"/>
          <w:sz w:val="24"/>
          <w:highlight w:val="none"/>
        </w:rPr>
      </w:pPr>
    </w:p>
    <w:p w14:paraId="4CCBFB17">
      <w:pPr>
        <w:spacing w:line="600" w:lineRule="exact"/>
        <w:ind w:firstLine="1960" w:firstLineChars="7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投标人：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（加盖单位电子公章）</w:t>
      </w:r>
    </w:p>
    <w:p w14:paraId="486C7C8B">
      <w:pPr>
        <w:spacing w:line="600" w:lineRule="exact"/>
        <w:ind w:firstLine="1960" w:firstLineChars="7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法定代表人或授权委托人：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（电子签字或盖章）</w:t>
      </w:r>
    </w:p>
    <w:p w14:paraId="04F2BC83">
      <w:pPr>
        <w:spacing w:line="600" w:lineRule="exact"/>
        <w:ind w:firstLine="1960" w:firstLineChars="7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6F36A329">
      <w:pPr>
        <w:widowControl/>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bookmarkEnd w:id="41"/>
    <w:p w14:paraId="1E1E573B">
      <w:pPr>
        <w:jc w:val="center"/>
        <w:rPr>
          <w:rFonts w:hint="eastAsia" w:ascii="宋体" w:hAnsi="宋体" w:eastAsia="宋体" w:cs="宋体"/>
          <w:b/>
          <w:color w:val="auto"/>
          <w:kern w:val="0"/>
          <w:sz w:val="28"/>
          <w:szCs w:val="28"/>
          <w:highlight w:val="none"/>
        </w:rPr>
      </w:pPr>
    </w:p>
    <w:p w14:paraId="0D052550">
      <w:pPr>
        <w:jc w:val="center"/>
        <w:rPr>
          <w:rFonts w:hint="eastAsia" w:ascii="宋体" w:hAnsi="宋体" w:eastAsia="宋体" w:cs="宋体"/>
          <w:b/>
          <w:color w:val="auto"/>
          <w:kern w:val="0"/>
          <w:sz w:val="28"/>
          <w:szCs w:val="28"/>
          <w:highlight w:val="none"/>
        </w:rPr>
      </w:pPr>
    </w:p>
    <w:p w14:paraId="19752E5B">
      <w:pPr>
        <w:jc w:val="center"/>
        <w:rPr>
          <w:rFonts w:hint="eastAsia" w:ascii="宋体" w:hAnsi="宋体" w:eastAsia="宋体" w:cs="宋体"/>
          <w:b/>
          <w:color w:val="auto"/>
          <w:kern w:val="0"/>
          <w:sz w:val="28"/>
          <w:szCs w:val="28"/>
          <w:highlight w:val="none"/>
        </w:rPr>
      </w:pPr>
    </w:p>
    <w:p w14:paraId="3F8006B1">
      <w:pPr>
        <w:jc w:val="center"/>
        <w:rPr>
          <w:rFonts w:hint="eastAsia" w:ascii="宋体" w:hAnsi="宋体" w:eastAsia="宋体" w:cs="宋体"/>
          <w:b/>
          <w:color w:val="auto"/>
          <w:kern w:val="0"/>
          <w:sz w:val="28"/>
          <w:szCs w:val="28"/>
          <w:highlight w:val="none"/>
        </w:rPr>
      </w:pPr>
    </w:p>
    <w:p w14:paraId="2D8D7F88">
      <w:pPr>
        <w:jc w:val="center"/>
        <w:rPr>
          <w:rFonts w:hint="eastAsia" w:ascii="宋体" w:hAnsi="宋体" w:eastAsia="宋体" w:cs="宋体"/>
          <w:b/>
          <w:color w:val="auto"/>
          <w:kern w:val="0"/>
          <w:sz w:val="28"/>
          <w:szCs w:val="28"/>
          <w:highlight w:val="none"/>
        </w:rPr>
      </w:pPr>
    </w:p>
    <w:p w14:paraId="286245F8">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政</w:t>
      </w:r>
    </w:p>
    <w:p w14:paraId="5D231275">
      <w:pPr>
        <w:jc w:val="center"/>
        <w:rPr>
          <w:rFonts w:hint="eastAsia" w:ascii="宋体" w:hAnsi="宋体" w:eastAsia="宋体" w:cs="宋体"/>
          <w:b/>
          <w:bCs/>
          <w:color w:val="auto"/>
          <w:sz w:val="72"/>
          <w:szCs w:val="72"/>
          <w:highlight w:val="none"/>
        </w:rPr>
      </w:pPr>
      <w:bookmarkStart w:id="42" w:name="_Toc10719_WPSOffice_Level1"/>
      <w:bookmarkStart w:id="43" w:name="_Toc10973_WPSOffice_Level1"/>
      <w:r>
        <w:rPr>
          <w:rFonts w:hint="eastAsia" w:ascii="宋体" w:hAnsi="宋体" w:eastAsia="宋体" w:cs="宋体"/>
          <w:b/>
          <w:bCs/>
          <w:color w:val="auto"/>
          <w:sz w:val="72"/>
          <w:szCs w:val="72"/>
          <w:highlight w:val="none"/>
        </w:rPr>
        <w:t>策</w:t>
      </w:r>
      <w:bookmarkEnd w:id="42"/>
      <w:bookmarkEnd w:id="43"/>
    </w:p>
    <w:p w14:paraId="25880AC4">
      <w:pPr>
        <w:jc w:val="center"/>
        <w:rPr>
          <w:rFonts w:hint="eastAsia" w:ascii="宋体" w:hAnsi="宋体" w:eastAsia="宋体" w:cs="宋体"/>
          <w:b/>
          <w:bCs/>
          <w:color w:val="auto"/>
          <w:sz w:val="72"/>
          <w:szCs w:val="72"/>
          <w:highlight w:val="none"/>
        </w:rPr>
      </w:pPr>
      <w:bookmarkStart w:id="44" w:name="_Toc9150_WPSOffice_Level1"/>
      <w:bookmarkStart w:id="45" w:name="_Toc22497_WPSOffice_Level1"/>
      <w:r>
        <w:rPr>
          <w:rFonts w:hint="eastAsia" w:ascii="宋体" w:hAnsi="宋体" w:eastAsia="宋体" w:cs="宋体"/>
          <w:b/>
          <w:bCs/>
          <w:color w:val="auto"/>
          <w:sz w:val="72"/>
          <w:szCs w:val="72"/>
          <w:highlight w:val="none"/>
        </w:rPr>
        <w:t>性</w:t>
      </w:r>
      <w:bookmarkEnd w:id="44"/>
      <w:bookmarkEnd w:id="45"/>
    </w:p>
    <w:p w14:paraId="6F11C922">
      <w:pPr>
        <w:jc w:val="center"/>
        <w:rPr>
          <w:rFonts w:hint="eastAsia" w:ascii="宋体" w:hAnsi="宋体" w:eastAsia="宋体" w:cs="宋体"/>
          <w:b/>
          <w:bCs/>
          <w:color w:val="auto"/>
          <w:sz w:val="72"/>
          <w:szCs w:val="72"/>
          <w:highlight w:val="none"/>
        </w:rPr>
      </w:pPr>
      <w:bookmarkStart w:id="46" w:name="_Toc8457_WPSOffice_Level1"/>
      <w:bookmarkStart w:id="47" w:name="_Toc14399_WPSOffice_Level1"/>
      <w:r>
        <w:rPr>
          <w:rFonts w:hint="eastAsia" w:ascii="宋体" w:hAnsi="宋体" w:eastAsia="宋体" w:cs="宋体"/>
          <w:b/>
          <w:bCs/>
          <w:color w:val="auto"/>
          <w:sz w:val="72"/>
          <w:szCs w:val="72"/>
          <w:highlight w:val="none"/>
        </w:rPr>
        <w:t>要</w:t>
      </w:r>
      <w:bookmarkEnd w:id="46"/>
      <w:bookmarkEnd w:id="47"/>
    </w:p>
    <w:p w14:paraId="185E0594">
      <w:pPr>
        <w:jc w:val="center"/>
        <w:rPr>
          <w:rFonts w:hint="eastAsia" w:ascii="宋体" w:hAnsi="宋体" w:eastAsia="宋体" w:cs="宋体"/>
          <w:b/>
          <w:bCs/>
          <w:color w:val="auto"/>
          <w:sz w:val="72"/>
          <w:szCs w:val="72"/>
          <w:highlight w:val="none"/>
        </w:rPr>
      </w:pPr>
      <w:bookmarkStart w:id="48" w:name="_Toc29325_WPSOffice_Level1"/>
      <w:bookmarkStart w:id="49" w:name="_Toc31974_WPSOffice_Level1"/>
      <w:r>
        <w:rPr>
          <w:rFonts w:hint="eastAsia" w:ascii="宋体" w:hAnsi="宋体" w:eastAsia="宋体" w:cs="宋体"/>
          <w:b/>
          <w:bCs/>
          <w:color w:val="auto"/>
          <w:sz w:val="72"/>
          <w:szCs w:val="72"/>
          <w:highlight w:val="none"/>
        </w:rPr>
        <w:t>求</w:t>
      </w:r>
      <w:bookmarkEnd w:id="48"/>
      <w:bookmarkEnd w:id="49"/>
    </w:p>
    <w:p w14:paraId="6A08CBB7">
      <w:pPr>
        <w:jc w:val="center"/>
        <w:rPr>
          <w:rFonts w:hint="eastAsia" w:ascii="宋体" w:hAnsi="宋体" w:eastAsia="宋体" w:cs="宋体"/>
          <w:b/>
          <w:bCs/>
          <w:color w:val="auto"/>
          <w:sz w:val="72"/>
          <w:szCs w:val="72"/>
          <w:highlight w:val="none"/>
        </w:rPr>
      </w:pPr>
      <w:bookmarkStart w:id="50" w:name="_Toc20186_WPSOffice_Level1"/>
      <w:bookmarkStart w:id="51" w:name="_Toc24133_WPSOffice_Level1"/>
      <w:r>
        <w:rPr>
          <w:rFonts w:hint="eastAsia" w:ascii="宋体" w:hAnsi="宋体" w:eastAsia="宋体" w:cs="宋体"/>
          <w:b/>
          <w:bCs/>
          <w:color w:val="auto"/>
          <w:sz w:val="72"/>
          <w:szCs w:val="72"/>
          <w:highlight w:val="none"/>
        </w:rPr>
        <w:t>部</w:t>
      </w:r>
      <w:bookmarkEnd w:id="50"/>
      <w:bookmarkEnd w:id="51"/>
      <w:bookmarkStart w:id="52" w:name="_Toc1283_WPSOffice_Level1"/>
      <w:bookmarkStart w:id="53" w:name="_Toc17845_WPSOffice_Level1"/>
    </w:p>
    <w:p w14:paraId="6E7C1A39">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分</w:t>
      </w:r>
      <w:bookmarkEnd w:id="52"/>
      <w:bookmarkEnd w:id="53"/>
    </w:p>
    <w:p w14:paraId="2A06E861">
      <w:pPr>
        <w:pStyle w:val="17"/>
        <w:ind w:firstLine="964"/>
        <w:jc w:val="center"/>
        <w:rPr>
          <w:rFonts w:hint="eastAsia" w:ascii="宋体" w:hAnsi="宋体" w:eastAsia="宋体" w:cs="宋体"/>
          <w:b/>
          <w:bCs/>
          <w:color w:val="auto"/>
          <w:sz w:val="48"/>
          <w:szCs w:val="48"/>
          <w:highlight w:val="none"/>
        </w:rPr>
      </w:pPr>
    </w:p>
    <w:p w14:paraId="660DABD3">
      <w:pPr>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48"/>
          <w:szCs w:val="48"/>
          <w:highlight w:val="none"/>
        </w:rPr>
        <w:t>（如适用）</w:t>
      </w:r>
    </w:p>
    <w:p w14:paraId="3585AEA5">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2C0CEB70">
      <w:pPr>
        <w:pStyle w:val="17"/>
        <w:keepNext w:val="0"/>
        <w:keepLines w:val="0"/>
        <w:pageBreakBefore w:val="0"/>
        <w:widowControl w:val="0"/>
        <w:kinsoku/>
        <w:wordWrap/>
        <w:overflowPunct/>
        <w:topLinePunct w:val="0"/>
        <w:bidi w:val="0"/>
        <w:adjustRightInd/>
        <w:snapToGrid/>
        <w:spacing w:after="0" w:line="400" w:lineRule="exact"/>
        <w:ind w:left="0" w:leftChars="0" w:right="0" w:firstLine="0" w:firstLineChars="0"/>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（一）环保节能产品证明（如不涉及可不提供）</w:t>
      </w:r>
    </w:p>
    <w:p w14:paraId="5211B377">
      <w:pPr>
        <w:pStyle w:val="17"/>
        <w:keepNext w:val="0"/>
        <w:keepLines w:val="0"/>
        <w:pageBreakBefore w:val="0"/>
        <w:widowControl w:val="0"/>
        <w:kinsoku/>
        <w:wordWrap/>
        <w:overflowPunct/>
        <w:topLinePunct w:val="0"/>
        <w:bidi w:val="0"/>
        <w:adjustRightInd/>
        <w:snapToGrid/>
        <w:spacing w:after="0" w:line="400" w:lineRule="exact"/>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1、强制节能产品明细表格式（以包为单位</w:t>
      </w:r>
      <w:r>
        <w:rPr>
          <w:rFonts w:hint="eastAsia" w:ascii="宋体" w:hAnsi="宋体" w:eastAsia="宋体" w:cs="宋体"/>
          <w:color w:val="auto"/>
          <w:spacing w:val="-2"/>
          <w:sz w:val="24"/>
          <w:szCs w:val="24"/>
          <w:highlight w:val="none"/>
        </w:rPr>
        <w:t>分别填写）</w:t>
      </w:r>
    </w:p>
    <w:p w14:paraId="589F05BB">
      <w:pPr>
        <w:pStyle w:val="17"/>
        <w:keepNext w:val="0"/>
        <w:keepLines w:val="0"/>
        <w:pageBreakBefore w:val="0"/>
        <w:widowControl w:val="0"/>
        <w:kinsoku/>
        <w:wordWrap/>
        <w:overflowPunct/>
        <w:topLinePunct w:val="0"/>
        <w:bidi w:val="0"/>
        <w:adjustRightInd/>
        <w:snapToGrid/>
        <w:spacing w:after="0" w:line="400" w:lineRule="exact"/>
        <w:ind w:left="0" w:leftChars="0" w:right="0" w:firstLine="0" w:firstLineChars="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强制节能产品明细表</w:t>
      </w:r>
    </w:p>
    <w:tbl>
      <w:tblPr>
        <w:tblStyle w:val="157"/>
        <w:tblW w:w="90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978"/>
        <w:gridCol w:w="978"/>
        <w:gridCol w:w="979"/>
        <w:gridCol w:w="1677"/>
        <w:gridCol w:w="1907"/>
        <w:gridCol w:w="1901"/>
      </w:tblGrid>
      <w:tr w14:paraId="38167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41" w:type="dxa"/>
            <w:vAlign w:val="center"/>
          </w:tcPr>
          <w:p w14:paraId="0BF1CBBC">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包号</w:t>
            </w:r>
          </w:p>
        </w:tc>
        <w:tc>
          <w:tcPr>
            <w:tcW w:w="978" w:type="dxa"/>
            <w:vAlign w:val="center"/>
          </w:tcPr>
          <w:p w14:paraId="1ED4C2A3">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产品名</w:t>
            </w:r>
            <w:r>
              <w:rPr>
                <w:rFonts w:hint="eastAsia" w:ascii="宋体" w:hAnsi="宋体" w:eastAsia="宋体" w:cs="宋体"/>
                <w:color w:val="auto"/>
                <w:spacing w:val="1"/>
                <w:sz w:val="24"/>
                <w:szCs w:val="24"/>
                <w:highlight w:val="none"/>
              </w:rPr>
              <w:t>称</w:t>
            </w:r>
          </w:p>
        </w:tc>
        <w:tc>
          <w:tcPr>
            <w:tcW w:w="978" w:type="dxa"/>
            <w:vAlign w:val="center"/>
          </w:tcPr>
          <w:p w14:paraId="5936ECD5">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制造商</w:t>
            </w:r>
          </w:p>
        </w:tc>
        <w:tc>
          <w:tcPr>
            <w:tcW w:w="979" w:type="dxa"/>
            <w:vAlign w:val="center"/>
          </w:tcPr>
          <w:p w14:paraId="5BC0715F">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产品型</w:t>
            </w:r>
            <w:r>
              <w:rPr>
                <w:rFonts w:hint="eastAsia" w:ascii="宋体" w:hAnsi="宋体" w:eastAsia="宋体" w:cs="宋体"/>
                <w:color w:val="auto"/>
                <w:sz w:val="24"/>
                <w:szCs w:val="24"/>
                <w:highlight w:val="none"/>
              </w:rPr>
              <w:t>号</w:t>
            </w:r>
          </w:p>
        </w:tc>
        <w:tc>
          <w:tcPr>
            <w:tcW w:w="1677" w:type="dxa"/>
            <w:vAlign w:val="center"/>
          </w:tcPr>
          <w:p w14:paraId="7F64C2DE">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节能产品认证</w:t>
            </w:r>
            <w:r>
              <w:rPr>
                <w:rFonts w:hint="eastAsia" w:ascii="宋体" w:hAnsi="宋体" w:eastAsia="宋体" w:cs="宋体"/>
                <w:color w:val="auto"/>
                <w:spacing w:val="6"/>
                <w:sz w:val="24"/>
                <w:szCs w:val="24"/>
                <w:highlight w:val="none"/>
              </w:rPr>
              <w:t>证书号</w:t>
            </w:r>
          </w:p>
        </w:tc>
        <w:tc>
          <w:tcPr>
            <w:tcW w:w="1907" w:type="dxa"/>
            <w:vAlign w:val="center"/>
          </w:tcPr>
          <w:p w14:paraId="03515A89">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认证证书有效截止</w:t>
            </w:r>
            <w:r>
              <w:rPr>
                <w:rFonts w:hint="eastAsia" w:ascii="宋体" w:hAnsi="宋体" w:eastAsia="宋体" w:cs="宋体"/>
                <w:color w:val="auto"/>
                <w:spacing w:val="-14"/>
                <w:sz w:val="24"/>
                <w:szCs w:val="24"/>
                <w:highlight w:val="none"/>
              </w:rPr>
              <w:t>日期</w:t>
            </w:r>
          </w:p>
        </w:tc>
        <w:tc>
          <w:tcPr>
            <w:tcW w:w="1901" w:type="dxa"/>
            <w:vAlign w:val="center"/>
          </w:tcPr>
          <w:p w14:paraId="3782060D">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认证机构名录</w:t>
            </w:r>
          </w:p>
        </w:tc>
      </w:tr>
      <w:tr w14:paraId="1F05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41" w:type="dxa"/>
            <w:vAlign w:val="center"/>
          </w:tcPr>
          <w:p w14:paraId="64600AA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8" w:type="dxa"/>
            <w:vAlign w:val="center"/>
          </w:tcPr>
          <w:p w14:paraId="560379B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8" w:type="dxa"/>
            <w:vAlign w:val="center"/>
          </w:tcPr>
          <w:p w14:paraId="2E0B946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9" w:type="dxa"/>
            <w:vAlign w:val="center"/>
          </w:tcPr>
          <w:p w14:paraId="1A73F53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677" w:type="dxa"/>
            <w:vAlign w:val="center"/>
          </w:tcPr>
          <w:p w14:paraId="5137002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907" w:type="dxa"/>
            <w:vAlign w:val="center"/>
          </w:tcPr>
          <w:p w14:paraId="47B762D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901" w:type="dxa"/>
            <w:vAlign w:val="center"/>
          </w:tcPr>
          <w:p w14:paraId="4AEC328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r>
      <w:tr w14:paraId="716C5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41" w:type="dxa"/>
            <w:vAlign w:val="center"/>
          </w:tcPr>
          <w:p w14:paraId="0E294A5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8" w:type="dxa"/>
            <w:vAlign w:val="center"/>
          </w:tcPr>
          <w:p w14:paraId="3463DAF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8" w:type="dxa"/>
            <w:vAlign w:val="center"/>
          </w:tcPr>
          <w:p w14:paraId="6DFD4A3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9" w:type="dxa"/>
            <w:vAlign w:val="center"/>
          </w:tcPr>
          <w:p w14:paraId="57A70F7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677" w:type="dxa"/>
            <w:vAlign w:val="center"/>
          </w:tcPr>
          <w:p w14:paraId="04F74AA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907" w:type="dxa"/>
            <w:vAlign w:val="center"/>
          </w:tcPr>
          <w:p w14:paraId="57EB41B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901" w:type="dxa"/>
            <w:vAlign w:val="center"/>
          </w:tcPr>
          <w:p w14:paraId="07FF77E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r>
      <w:tr w14:paraId="7474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1" w:type="dxa"/>
            <w:vAlign w:val="center"/>
          </w:tcPr>
          <w:p w14:paraId="755F29C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8" w:type="dxa"/>
            <w:vAlign w:val="center"/>
          </w:tcPr>
          <w:p w14:paraId="6242FE1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8" w:type="dxa"/>
            <w:vAlign w:val="center"/>
          </w:tcPr>
          <w:p w14:paraId="6709565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979" w:type="dxa"/>
            <w:vAlign w:val="center"/>
          </w:tcPr>
          <w:p w14:paraId="46BAF37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677" w:type="dxa"/>
            <w:vAlign w:val="center"/>
          </w:tcPr>
          <w:p w14:paraId="765A1BB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907" w:type="dxa"/>
            <w:vAlign w:val="center"/>
          </w:tcPr>
          <w:p w14:paraId="0FD92E0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c>
          <w:tcPr>
            <w:tcW w:w="1901" w:type="dxa"/>
            <w:vAlign w:val="center"/>
          </w:tcPr>
          <w:p w14:paraId="4C7FE98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p>
        </w:tc>
      </w:tr>
    </w:tbl>
    <w:p w14:paraId="0574541B">
      <w:pPr>
        <w:pStyle w:val="17"/>
        <w:keepNext w:val="0"/>
        <w:keepLines w:val="0"/>
        <w:pageBreakBefore w:val="0"/>
        <w:widowControl w:val="0"/>
        <w:kinsoku/>
        <w:wordWrap/>
        <w:overflowPunct/>
        <w:topLinePunct w:val="0"/>
        <w:bidi w:val="0"/>
        <w:adjustRightInd/>
        <w:snapToGrid/>
        <w:spacing w:after="0" w:line="40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注：投标货物中如含有强制节能产品的，须如实填写强制节能产品明细表</w:t>
      </w:r>
      <w:r>
        <w:rPr>
          <w:rFonts w:hint="eastAsia" w:ascii="宋体" w:hAnsi="宋体" w:eastAsia="宋体" w:cs="宋体"/>
          <w:color w:val="auto"/>
          <w:spacing w:val="9"/>
          <w:sz w:val="24"/>
          <w:szCs w:val="24"/>
          <w:highlight w:val="none"/>
        </w:rPr>
        <w:t>。后附所投产品获得国家确定的认证机构出具的、处于有效期之内的产品认证证书复印件。</w:t>
      </w:r>
    </w:p>
    <w:p w14:paraId="0F83CFD5">
      <w:pPr>
        <w:pStyle w:val="17"/>
        <w:keepNext w:val="0"/>
        <w:keepLines w:val="0"/>
        <w:pageBreakBefore w:val="0"/>
        <w:widowControl w:val="0"/>
        <w:kinsoku/>
        <w:wordWrap/>
        <w:overflowPunct/>
        <w:topLinePunct w:val="0"/>
        <w:bidi w:val="0"/>
        <w:adjustRightInd/>
        <w:snapToGrid/>
        <w:spacing w:after="0" w:line="400" w:lineRule="exact"/>
        <w:ind w:left="0" w:right="0"/>
        <w:textAlignment w:val="auto"/>
        <w:rPr>
          <w:rFonts w:hint="eastAsia" w:ascii="宋体" w:hAnsi="宋体" w:eastAsia="宋体" w:cs="宋体"/>
          <w:color w:val="auto"/>
          <w:spacing w:val="-1"/>
          <w:sz w:val="24"/>
          <w:szCs w:val="24"/>
          <w:highlight w:val="none"/>
        </w:rPr>
      </w:pPr>
    </w:p>
    <w:p w14:paraId="69F4ACF0">
      <w:pPr>
        <w:pStyle w:val="17"/>
        <w:keepNext w:val="0"/>
        <w:keepLines w:val="0"/>
        <w:pageBreakBefore w:val="0"/>
        <w:widowControl w:val="0"/>
        <w:kinsoku/>
        <w:wordWrap/>
        <w:overflowPunct/>
        <w:topLinePunct w:val="0"/>
        <w:bidi w:val="0"/>
        <w:adjustRightInd/>
        <w:snapToGrid/>
        <w:spacing w:after="0" w:line="400" w:lineRule="exact"/>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2、非强制节能产品、环保标志产品明细表格式（以包为单位分别填写）</w:t>
      </w:r>
    </w:p>
    <w:p w14:paraId="3645D483">
      <w:pPr>
        <w:pStyle w:val="17"/>
        <w:keepNext w:val="0"/>
        <w:keepLines w:val="0"/>
        <w:pageBreakBefore w:val="0"/>
        <w:widowControl w:val="0"/>
        <w:kinsoku/>
        <w:wordWrap/>
        <w:overflowPunct/>
        <w:topLinePunct w:val="0"/>
        <w:bidi w:val="0"/>
        <w:adjustRightInd/>
        <w:snapToGrid/>
        <w:spacing w:after="0" w:line="400" w:lineRule="exact"/>
        <w:ind w:left="0" w:leftChars="0" w:right="0" w:firstLine="0" w:firstLineChars="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非强制节能产品明细表</w:t>
      </w:r>
    </w:p>
    <w:tbl>
      <w:tblPr>
        <w:tblStyle w:val="157"/>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990"/>
        <w:gridCol w:w="990"/>
        <w:gridCol w:w="991"/>
        <w:gridCol w:w="1699"/>
        <w:gridCol w:w="1931"/>
        <w:gridCol w:w="1926"/>
      </w:tblGrid>
      <w:tr w14:paraId="7E5F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50" w:type="dxa"/>
            <w:vAlign w:val="top"/>
          </w:tcPr>
          <w:p w14:paraId="111509AE">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包号</w:t>
            </w:r>
          </w:p>
        </w:tc>
        <w:tc>
          <w:tcPr>
            <w:tcW w:w="990" w:type="dxa"/>
            <w:vAlign w:val="top"/>
          </w:tcPr>
          <w:p w14:paraId="3B65A7AC">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产品名称</w:t>
            </w:r>
          </w:p>
        </w:tc>
        <w:tc>
          <w:tcPr>
            <w:tcW w:w="990" w:type="dxa"/>
            <w:vAlign w:val="top"/>
          </w:tcPr>
          <w:p w14:paraId="180A14B2">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制造商</w:t>
            </w:r>
          </w:p>
        </w:tc>
        <w:tc>
          <w:tcPr>
            <w:tcW w:w="991" w:type="dxa"/>
            <w:vAlign w:val="top"/>
          </w:tcPr>
          <w:p w14:paraId="34861CF2">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产品型号</w:t>
            </w:r>
          </w:p>
        </w:tc>
        <w:tc>
          <w:tcPr>
            <w:tcW w:w="1699" w:type="dxa"/>
            <w:vAlign w:val="top"/>
          </w:tcPr>
          <w:p w14:paraId="0B3CFE28">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节能产品认证证书号</w:t>
            </w:r>
          </w:p>
        </w:tc>
        <w:tc>
          <w:tcPr>
            <w:tcW w:w="1931" w:type="dxa"/>
            <w:vAlign w:val="top"/>
          </w:tcPr>
          <w:p w14:paraId="2E9AED20">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认证证书有效截止日期</w:t>
            </w:r>
          </w:p>
        </w:tc>
        <w:tc>
          <w:tcPr>
            <w:tcW w:w="1926" w:type="dxa"/>
            <w:vAlign w:val="top"/>
          </w:tcPr>
          <w:p w14:paraId="0165296E">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认证机构名称</w:t>
            </w:r>
          </w:p>
        </w:tc>
      </w:tr>
      <w:tr w14:paraId="12EA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0" w:type="dxa"/>
            <w:vAlign w:val="top"/>
          </w:tcPr>
          <w:p w14:paraId="5657ECDD">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0" w:type="dxa"/>
            <w:vAlign w:val="top"/>
          </w:tcPr>
          <w:p w14:paraId="19FA24A0">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0" w:type="dxa"/>
            <w:vAlign w:val="top"/>
          </w:tcPr>
          <w:p w14:paraId="1C519B55">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1" w:type="dxa"/>
            <w:vAlign w:val="top"/>
          </w:tcPr>
          <w:p w14:paraId="43DE9248">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699" w:type="dxa"/>
            <w:vAlign w:val="top"/>
          </w:tcPr>
          <w:p w14:paraId="0E226D6F">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931" w:type="dxa"/>
            <w:vAlign w:val="top"/>
          </w:tcPr>
          <w:p w14:paraId="41C977C7">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926" w:type="dxa"/>
            <w:vAlign w:val="top"/>
          </w:tcPr>
          <w:p w14:paraId="42602E1D">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r>
      <w:tr w14:paraId="2F644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50" w:type="dxa"/>
            <w:vAlign w:val="top"/>
          </w:tcPr>
          <w:p w14:paraId="1064B87D">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0" w:type="dxa"/>
            <w:vAlign w:val="top"/>
          </w:tcPr>
          <w:p w14:paraId="03B1ACEA">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0" w:type="dxa"/>
            <w:vAlign w:val="top"/>
          </w:tcPr>
          <w:p w14:paraId="290767BD">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1" w:type="dxa"/>
            <w:vAlign w:val="top"/>
          </w:tcPr>
          <w:p w14:paraId="5E244E2B">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699" w:type="dxa"/>
            <w:vAlign w:val="top"/>
          </w:tcPr>
          <w:p w14:paraId="3E8B492B">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931" w:type="dxa"/>
            <w:vAlign w:val="top"/>
          </w:tcPr>
          <w:p w14:paraId="2902C09F">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926" w:type="dxa"/>
            <w:vAlign w:val="top"/>
          </w:tcPr>
          <w:p w14:paraId="2C8B00EC">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r>
      <w:tr w14:paraId="35D9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50" w:type="dxa"/>
            <w:vAlign w:val="top"/>
          </w:tcPr>
          <w:p w14:paraId="00BC5622">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0" w:type="dxa"/>
            <w:vAlign w:val="top"/>
          </w:tcPr>
          <w:p w14:paraId="2A412261">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0" w:type="dxa"/>
            <w:vAlign w:val="top"/>
          </w:tcPr>
          <w:p w14:paraId="218C04AA">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91" w:type="dxa"/>
            <w:vAlign w:val="top"/>
          </w:tcPr>
          <w:p w14:paraId="5570E2A4">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699" w:type="dxa"/>
            <w:vAlign w:val="top"/>
          </w:tcPr>
          <w:p w14:paraId="6655828F">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931" w:type="dxa"/>
            <w:vAlign w:val="top"/>
          </w:tcPr>
          <w:p w14:paraId="5F916D0D">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926" w:type="dxa"/>
            <w:vAlign w:val="top"/>
          </w:tcPr>
          <w:p w14:paraId="7162B04C">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r>
    </w:tbl>
    <w:p w14:paraId="719AB5A6">
      <w:pPr>
        <w:pStyle w:val="17"/>
        <w:keepNext w:val="0"/>
        <w:keepLines w:val="0"/>
        <w:pageBreakBefore w:val="0"/>
        <w:widowControl w:val="0"/>
        <w:kinsoku/>
        <w:wordWrap/>
        <w:overflowPunct/>
        <w:topLinePunct w:val="0"/>
        <w:bidi w:val="0"/>
        <w:adjustRightInd/>
        <w:snapToGrid/>
        <w:spacing w:after="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注：后附所投产品获得国家确定的认证机构</w:t>
      </w:r>
      <w:r>
        <w:rPr>
          <w:rFonts w:hint="eastAsia" w:ascii="宋体" w:hAnsi="宋体" w:eastAsia="宋体" w:cs="宋体"/>
          <w:color w:val="auto"/>
          <w:spacing w:val="9"/>
          <w:sz w:val="24"/>
          <w:szCs w:val="24"/>
          <w:highlight w:val="none"/>
        </w:rPr>
        <w:t>出具的、处于有效期之内的产品认证证书复印件。</w:t>
      </w:r>
    </w:p>
    <w:p w14:paraId="074190F1">
      <w:pPr>
        <w:keepNext w:val="0"/>
        <w:keepLines w:val="0"/>
        <w:pageBreakBefore w:val="0"/>
        <w:widowControl w:val="0"/>
        <w:kinsoku/>
        <w:wordWrap/>
        <w:overflowPunct/>
        <w:topLinePunct w:val="0"/>
        <w:bidi w:val="0"/>
        <w:adjustRightInd/>
        <w:snapToGrid/>
        <w:spacing w:line="400" w:lineRule="exact"/>
        <w:ind w:left="0" w:right="0"/>
        <w:textAlignment w:val="auto"/>
        <w:rPr>
          <w:rFonts w:hint="eastAsia" w:ascii="宋体" w:hAnsi="宋体" w:eastAsia="宋体" w:cs="宋体"/>
          <w:color w:val="auto"/>
          <w:sz w:val="24"/>
          <w:szCs w:val="24"/>
          <w:highlight w:val="none"/>
          <w:lang w:val="en-US" w:eastAsia="zh-CN"/>
        </w:rPr>
      </w:pPr>
    </w:p>
    <w:p w14:paraId="0D8F14EB">
      <w:pPr>
        <w:keepNext w:val="0"/>
        <w:keepLines w:val="0"/>
        <w:pageBreakBefore w:val="0"/>
        <w:widowControl w:val="0"/>
        <w:kinsoku/>
        <w:wordWrap/>
        <w:overflowPunct/>
        <w:topLinePunct w:val="0"/>
        <w:bidi w:val="0"/>
        <w:adjustRightInd/>
        <w:snapToGrid/>
        <w:spacing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3、环境标志产品</w:t>
      </w:r>
      <w:r>
        <w:rPr>
          <w:rFonts w:hint="eastAsia" w:ascii="宋体" w:hAnsi="宋体" w:eastAsia="宋体" w:cs="宋体"/>
          <w:color w:val="auto"/>
          <w:spacing w:val="-1"/>
          <w:sz w:val="24"/>
          <w:szCs w:val="24"/>
          <w:highlight w:val="none"/>
        </w:rPr>
        <w:t>明细表格式（以包为单位分别填写）</w:t>
      </w:r>
    </w:p>
    <w:p w14:paraId="3C3D8FD9">
      <w:pPr>
        <w:pStyle w:val="17"/>
        <w:keepNext w:val="0"/>
        <w:keepLines w:val="0"/>
        <w:pageBreakBefore w:val="0"/>
        <w:widowControl w:val="0"/>
        <w:kinsoku/>
        <w:wordWrap/>
        <w:overflowPunct/>
        <w:topLinePunct w:val="0"/>
        <w:bidi w:val="0"/>
        <w:adjustRightInd/>
        <w:snapToGrid/>
        <w:spacing w:after="0" w:line="400" w:lineRule="exact"/>
        <w:ind w:left="0" w:leftChars="0" w:right="0" w:firstLine="0" w:firstLineChars="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环境标志产品明细表</w:t>
      </w:r>
    </w:p>
    <w:tbl>
      <w:tblPr>
        <w:tblStyle w:val="157"/>
        <w:tblW w:w="9177"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927"/>
        <w:gridCol w:w="772"/>
        <w:gridCol w:w="928"/>
        <w:gridCol w:w="927"/>
        <w:gridCol w:w="1796"/>
        <w:gridCol w:w="1835"/>
        <w:gridCol w:w="1312"/>
      </w:tblGrid>
      <w:tr w14:paraId="3F18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680" w:type="dxa"/>
            <w:vAlign w:val="top"/>
          </w:tcPr>
          <w:p w14:paraId="117DC587">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包号</w:t>
            </w:r>
          </w:p>
        </w:tc>
        <w:tc>
          <w:tcPr>
            <w:tcW w:w="927" w:type="dxa"/>
            <w:vAlign w:val="top"/>
          </w:tcPr>
          <w:p w14:paraId="54DD2B61">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产品名称</w:t>
            </w:r>
          </w:p>
        </w:tc>
        <w:tc>
          <w:tcPr>
            <w:tcW w:w="772" w:type="dxa"/>
            <w:vAlign w:val="top"/>
          </w:tcPr>
          <w:p w14:paraId="3BCD398F">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制造商</w:t>
            </w:r>
          </w:p>
        </w:tc>
        <w:tc>
          <w:tcPr>
            <w:tcW w:w="928" w:type="dxa"/>
            <w:vAlign w:val="top"/>
          </w:tcPr>
          <w:p w14:paraId="72C9558A">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注册商标</w:t>
            </w:r>
          </w:p>
        </w:tc>
        <w:tc>
          <w:tcPr>
            <w:tcW w:w="927" w:type="dxa"/>
            <w:vAlign w:val="top"/>
          </w:tcPr>
          <w:p w14:paraId="2E25B418">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产品型号</w:t>
            </w:r>
          </w:p>
        </w:tc>
        <w:tc>
          <w:tcPr>
            <w:tcW w:w="1796" w:type="dxa"/>
            <w:vAlign w:val="top"/>
          </w:tcPr>
          <w:p w14:paraId="56FB0AC5">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环境标志产品认证证书号</w:t>
            </w:r>
          </w:p>
        </w:tc>
        <w:tc>
          <w:tcPr>
            <w:tcW w:w="1835" w:type="dxa"/>
            <w:vAlign w:val="top"/>
          </w:tcPr>
          <w:p w14:paraId="770B790F">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认证证书有效截止日期</w:t>
            </w:r>
          </w:p>
        </w:tc>
        <w:tc>
          <w:tcPr>
            <w:tcW w:w="1312" w:type="dxa"/>
            <w:vAlign w:val="top"/>
          </w:tcPr>
          <w:p w14:paraId="5A281D08">
            <w:pPr>
              <w:pStyle w:val="156"/>
              <w:keepNext w:val="0"/>
              <w:keepLines w:val="0"/>
              <w:pageBreakBefore w:val="0"/>
              <w:widowControl w:val="0"/>
              <w:kinsoku/>
              <w:wordWrap/>
              <w:overflowPunct/>
              <w:topLinePunct w:val="0"/>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认证机构名称</w:t>
            </w:r>
          </w:p>
        </w:tc>
      </w:tr>
      <w:tr w14:paraId="7A9F7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80" w:type="dxa"/>
            <w:vAlign w:val="top"/>
          </w:tcPr>
          <w:p w14:paraId="28EDD02B">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7" w:type="dxa"/>
            <w:vAlign w:val="top"/>
          </w:tcPr>
          <w:p w14:paraId="55DCA871">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772" w:type="dxa"/>
            <w:vAlign w:val="top"/>
          </w:tcPr>
          <w:p w14:paraId="00728965">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8" w:type="dxa"/>
            <w:vAlign w:val="top"/>
          </w:tcPr>
          <w:p w14:paraId="631E1E56">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7" w:type="dxa"/>
            <w:vAlign w:val="top"/>
          </w:tcPr>
          <w:p w14:paraId="010EEC85">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796" w:type="dxa"/>
            <w:vAlign w:val="top"/>
          </w:tcPr>
          <w:p w14:paraId="2E4D4BED">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835" w:type="dxa"/>
            <w:vAlign w:val="top"/>
          </w:tcPr>
          <w:p w14:paraId="05AA2BE7">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312" w:type="dxa"/>
            <w:vAlign w:val="top"/>
          </w:tcPr>
          <w:p w14:paraId="49C8328E">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r>
      <w:tr w14:paraId="01B8F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80" w:type="dxa"/>
            <w:vAlign w:val="top"/>
          </w:tcPr>
          <w:p w14:paraId="6C145E45">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7" w:type="dxa"/>
            <w:vAlign w:val="top"/>
          </w:tcPr>
          <w:p w14:paraId="4303CB96">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772" w:type="dxa"/>
            <w:vAlign w:val="top"/>
          </w:tcPr>
          <w:p w14:paraId="62DD20DA">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8" w:type="dxa"/>
            <w:vAlign w:val="top"/>
          </w:tcPr>
          <w:p w14:paraId="70E949D8">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7" w:type="dxa"/>
            <w:vAlign w:val="top"/>
          </w:tcPr>
          <w:p w14:paraId="7C785871">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796" w:type="dxa"/>
            <w:vAlign w:val="top"/>
          </w:tcPr>
          <w:p w14:paraId="29F0BF08">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835" w:type="dxa"/>
            <w:vAlign w:val="top"/>
          </w:tcPr>
          <w:p w14:paraId="28F6B163">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312" w:type="dxa"/>
            <w:vAlign w:val="top"/>
          </w:tcPr>
          <w:p w14:paraId="3FBF9039">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r>
      <w:tr w14:paraId="495C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80" w:type="dxa"/>
            <w:vAlign w:val="top"/>
          </w:tcPr>
          <w:p w14:paraId="0F556947">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7" w:type="dxa"/>
            <w:vAlign w:val="top"/>
          </w:tcPr>
          <w:p w14:paraId="04898CE1">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772" w:type="dxa"/>
            <w:vAlign w:val="top"/>
          </w:tcPr>
          <w:p w14:paraId="46F67E7B">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8" w:type="dxa"/>
            <w:vAlign w:val="top"/>
          </w:tcPr>
          <w:p w14:paraId="4E5290FF">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927" w:type="dxa"/>
            <w:vAlign w:val="top"/>
          </w:tcPr>
          <w:p w14:paraId="53049DC9">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796" w:type="dxa"/>
            <w:vAlign w:val="top"/>
          </w:tcPr>
          <w:p w14:paraId="2A68DD18">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835" w:type="dxa"/>
            <w:vAlign w:val="top"/>
          </w:tcPr>
          <w:p w14:paraId="7F428C6F">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c>
          <w:tcPr>
            <w:tcW w:w="1312" w:type="dxa"/>
            <w:vAlign w:val="top"/>
          </w:tcPr>
          <w:p w14:paraId="207A11BD">
            <w:pPr>
              <w:pStyle w:val="156"/>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4"/>
                <w:sz w:val="24"/>
                <w:szCs w:val="24"/>
                <w:highlight w:val="none"/>
              </w:rPr>
            </w:pPr>
          </w:p>
        </w:tc>
      </w:tr>
    </w:tbl>
    <w:p w14:paraId="417A2D2B">
      <w:pPr>
        <w:pStyle w:val="17"/>
        <w:keepNext w:val="0"/>
        <w:keepLines w:val="0"/>
        <w:pageBreakBefore w:val="0"/>
        <w:widowControl w:val="0"/>
        <w:kinsoku/>
        <w:wordWrap/>
        <w:overflowPunct/>
        <w:topLinePunct w:val="0"/>
        <w:autoSpaceDE w:val="0"/>
        <w:autoSpaceDN w:val="0"/>
        <w:bidi w:val="0"/>
        <w:adjustRightInd/>
        <w:snapToGrid/>
        <w:spacing w:after="0" w:line="400" w:lineRule="exact"/>
        <w:ind w:left="0" w:right="0" w:firstLine="0" w:firstLineChars="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8"/>
          <w:sz w:val="24"/>
          <w:szCs w:val="24"/>
          <w:highlight w:val="none"/>
        </w:rPr>
        <w:t>注：后附投产品获得国家确定的认证机构出具的、处于有</w:t>
      </w:r>
      <w:r>
        <w:rPr>
          <w:rFonts w:hint="eastAsia" w:ascii="宋体" w:hAnsi="宋体" w:eastAsia="宋体" w:cs="宋体"/>
          <w:color w:val="auto"/>
          <w:spacing w:val="7"/>
          <w:sz w:val="24"/>
          <w:szCs w:val="24"/>
          <w:highlight w:val="none"/>
        </w:rPr>
        <w:t>效期之内的环境标志产品认证证书复印件。</w:t>
      </w:r>
    </w:p>
    <w:p w14:paraId="72CFF190">
      <w:pPr>
        <w:pStyle w:val="17"/>
        <w:keepNext w:val="0"/>
        <w:keepLines w:val="0"/>
        <w:pageBreakBefore w:val="0"/>
        <w:widowControl w:val="0"/>
        <w:kinsoku/>
        <w:wordWrap/>
        <w:overflowPunct/>
        <w:topLinePunct w:val="0"/>
        <w:autoSpaceDE w:val="0"/>
        <w:autoSpaceDN w:val="0"/>
        <w:bidi w:val="0"/>
        <w:adjustRightInd/>
        <w:snapToGrid/>
        <w:spacing w:after="0" w:line="42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（二）创新产品或创新服务证明（如不涉及可不提供）</w:t>
      </w:r>
    </w:p>
    <w:p w14:paraId="6DA3D8B5">
      <w:pPr>
        <w:pStyle w:val="17"/>
        <w:keepNext w:val="0"/>
        <w:keepLines w:val="0"/>
        <w:pageBreakBefore w:val="0"/>
        <w:widowControl w:val="0"/>
        <w:kinsoku/>
        <w:wordWrap/>
        <w:overflowPunct/>
        <w:topLinePunct w:val="0"/>
        <w:bidi w:val="0"/>
        <w:adjustRightInd/>
        <w:spacing w:after="0" w:line="420" w:lineRule="exact"/>
        <w:ind w:left="0" w:leftChars="0" w:right="0" w:firstLine="0" w:firstLineChars="0"/>
        <w:jc w:val="center"/>
        <w:textAlignment w:val="auto"/>
        <w:outlineLvl w:val="3"/>
        <w:rPr>
          <w:rFonts w:hint="eastAsia" w:ascii="宋体" w:hAnsi="宋体" w:eastAsia="宋体" w:cs="宋体"/>
          <w:b/>
          <w:bCs/>
          <w:color w:val="auto"/>
          <w:spacing w:val="-3"/>
          <w:sz w:val="24"/>
          <w:szCs w:val="24"/>
          <w:highlight w:val="none"/>
        </w:rPr>
      </w:pPr>
    </w:p>
    <w:p w14:paraId="2118D557">
      <w:pPr>
        <w:pStyle w:val="17"/>
        <w:keepNext w:val="0"/>
        <w:keepLines w:val="0"/>
        <w:pageBreakBefore w:val="0"/>
        <w:widowControl w:val="0"/>
        <w:kinsoku/>
        <w:wordWrap/>
        <w:overflowPunct/>
        <w:topLinePunct w:val="0"/>
        <w:bidi w:val="0"/>
        <w:adjustRightInd/>
        <w:spacing w:after="0" w:line="420" w:lineRule="exact"/>
        <w:ind w:left="0" w:leftChars="0" w:right="0" w:firstLine="0" w:firstLineChars="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创新产品或创新服务明细表</w:t>
      </w:r>
    </w:p>
    <w:p w14:paraId="6D6E0471">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bl>
      <w:tblPr>
        <w:tblStyle w:val="157"/>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650"/>
        <w:gridCol w:w="1815"/>
        <w:gridCol w:w="1960"/>
        <w:gridCol w:w="2737"/>
      </w:tblGrid>
      <w:tr w14:paraId="3277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20" w:type="dxa"/>
            <w:vAlign w:val="top"/>
          </w:tcPr>
          <w:p w14:paraId="6B647BBF">
            <w:pPr>
              <w:pStyle w:val="156"/>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包号</w:t>
            </w:r>
          </w:p>
        </w:tc>
        <w:tc>
          <w:tcPr>
            <w:tcW w:w="1650" w:type="dxa"/>
            <w:vAlign w:val="top"/>
          </w:tcPr>
          <w:p w14:paraId="67C84E38">
            <w:pPr>
              <w:pStyle w:val="156"/>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制造商</w:t>
            </w:r>
          </w:p>
        </w:tc>
        <w:tc>
          <w:tcPr>
            <w:tcW w:w="1815" w:type="dxa"/>
            <w:vAlign w:val="top"/>
          </w:tcPr>
          <w:p w14:paraId="29498502">
            <w:pPr>
              <w:pStyle w:val="156"/>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规格型号</w:t>
            </w:r>
          </w:p>
        </w:tc>
        <w:tc>
          <w:tcPr>
            <w:tcW w:w="1960" w:type="dxa"/>
            <w:vAlign w:val="top"/>
          </w:tcPr>
          <w:p w14:paraId="6DB69F4A">
            <w:pPr>
              <w:pStyle w:val="156"/>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认定文件</w:t>
            </w:r>
          </w:p>
        </w:tc>
        <w:tc>
          <w:tcPr>
            <w:tcW w:w="2737" w:type="dxa"/>
            <w:vAlign w:val="top"/>
          </w:tcPr>
          <w:p w14:paraId="6AAD435C">
            <w:pPr>
              <w:pStyle w:val="156"/>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认定机构名称</w:t>
            </w:r>
          </w:p>
        </w:tc>
      </w:tr>
      <w:tr w14:paraId="2AC8F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566B01AF">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650" w:type="dxa"/>
            <w:vAlign w:val="top"/>
          </w:tcPr>
          <w:p w14:paraId="19AB6729">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815" w:type="dxa"/>
            <w:vAlign w:val="top"/>
          </w:tcPr>
          <w:p w14:paraId="34728AC2">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960" w:type="dxa"/>
            <w:vAlign w:val="top"/>
          </w:tcPr>
          <w:p w14:paraId="28EE84B4">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2737" w:type="dxa"/>
            <w:vAlign w:val="top"/>
          </w:tcPr>
          <w:p w14:paraId="616D1315">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r>
      <w:tr w14:paraId="6405F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2D01B870">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650" w:type="dxa"/>
            <w:vAlign w:val="top"/>
          </w:tcPr>
          <w:p w14:paraId="22E9EC63">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815" w:type="dxa"/>
            <w:vAlign w:val="top"/>
          </w:tcPr>
          <w:p w14:paraId="4921B473">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960" w:type="dxa"/>
            <w:vAlign w:val="top"/>
          </w:tcPr>
          <w:p w14:paraId="6B401D9A">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2737" w:type="dxa"/>
            <w:vAlign w:val="top"/>
          </w:tcPr>
          <w:p w14:paraId="43D520ED">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r>
      <w:tr w14:paraId="340B3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20" w:type="dxa"/>
            <w:vAlign w:val="top"/>
          </w:tcPr>
          <w:p w14:paraId="1213129C">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650" w:type="dxa"/>
            <w:vAlign w:val="top"/>
          </w:tcPr>
          <w:p w14:paraId="5DA62078">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815" w:type="dxa"/>
            <w:vAlign w:val="top"/>
          </w:tcPr>
          <w:p w14:paraId="2CFDC019">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1960" w:type="dxa"/>
            <w:vAlign w:val="top"/>
          </w:tcPr>
          <w:p w14:paraId="1BFBE914">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c>
          <w:tcPr>
            <w:tcW w:w="2737" w:type="dxa"/>
            <w:vAlign w:val="top"/>
          </w:tcPr>
          <w:p w14:paraId="1C062BF8">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tc>
      </w:tr>
    </w:tbl>
    <w:p w14:paraId="4A6D9EFA">
      <w:pPr>
        <w:pStyle w:val="17"/>
        <w:keepNext w:val="0"/>
        <w:keepLines w:val="0"/>
        <w:pageBreakBefore w:val="0"/>
        <w:widowControl w:val="0"/>
        <w:kinsoku/>
        <w:wordWrap/>
        <w:overflowPunct/>
        <w:topLinePunct w:val="0"/>
        <w:bidi w:val="0"/>
        <w:adjustRightInd/>
        <w:spacing w:after="0" w:line="4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注：所投产品、服务属于《山西省创新产品</w:t>
      </w:r>
      <w:r>
        <w:rPr>
          <w:rFonts w:hint="eastAsia" w:ascii="宋体" w:hAnsi="宋体" w:eastAsia="宋体" w:cs="宋体"/>
          <w:color w:val="auto"/>
          <w:spacing w:val="8"/>
          <w:sz w:val="24"/>
          <w:szCs w:val="24"/>
          <w:highlight w:val="none"/>
        </w:rPr>
        <w:t>和服务推荐清单》</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内容的，附有效证明文件复印件。</w:t>
      </w:r>
    </w:p>
    <w:p w14:paraId="1C6C848C">
      <w:pPr>
        <w:keepNext w:val="0"/>
        <w:keepLines w:val="0"/>
        <w:pageBreakBefore w:val="0"/>
        <w:widowControl w:val="0"/>
        <w:kinsoku/>
        <w:wordWrap/>
        <w:overflowPunct/>
        <w:topLinePunct w:val="0"/>
        <w:bidi w:val="0"/>
        <w:adjustRightInd/>
        <w:spacing w:line="420" w:lineRule="exact"/>
        <w:ind w:left="0" w:right="0"/>
        <w:textAlignment w:val="auto"/>
        <w:rPr>
          <w:rFonts w:hint="eastAsia" w:ascii="宋体" w:hAnsi="宋体" w:eastAsia="宋体" w:cs="宋体"/>
          <w:color w:val="auto"/>
          <w:sz w:val="24"/>
          <w:szCs w:val="24"/>
          <w:highlight w:val="none"/>
        </w:rPr>
      </w:pPr>
    </w:p>
    <w:p w14:paraId="562781CB">
      <w:pPr>
        <w:pStyle w:val="17"/>
        <w:keepNext w:val="0"/>
        <w:keepLines w:val="0"/>
        <w:pageBreakBefore w:val="0"/>
        <w:widowControl w:val="0"/>
        <w:kinsoku/>
        <w:wordWrap/>
        <w:overflowPunct/>
        <w:topLinePunct w:val="0"/>
        <w:bidi w:val="0"/>
        <w:adjustRightInd/>
        <w:spacing w:after="0" w:line="420" w:lineRule="exact"/>
        <w:ind w:left="0" w:leftChars="0" w:right="0" w:firstLine="0" w:firstLineChars="0"/>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（三）正版软件承诺格式（如不涉及可不提供）</w:t>
      </w:r>
    </w:p>
    <w:p w14:paraId="5E3DF949">
      <w:pPr>
        <w:pStyle w:val="17"/>
        <w:keepNext w:val="0"/>
        <w:keepLines w:val="0"/>
        <w:pageBreakBefore w:val="0"/>
        <w:widowControl w:val="0"/>
        <w:kinsoku/>
        <w:wordWrap/>
        <w:overflowPunct/>
        <w:topLinePunct w:val="0"/>
        <w:bidi w:val="0"/>
        <w:adjustRightInd/>
        <w:spacing w:after="0" w:line="420" w:lineRule="exact"/>
        <w:ind w:left="0" w:right="0"/>
        <w:textAlignment w:val="auto"/>
        <w:outlineLvl w:val="3"/>
        <w:rPr>
          <w:rFonts w:hint="eastAsia" w:ascii="宋体" w:hAnsi="宋体" w:eastAsia="宋体" w:cs="宋体"/>
          <w:b/>
          <w:bCs/>
          <w:color w:val="auto"/>
          <w:spacing w:val="-5"/>
          <w:sz w:val="24"/>
          <w:szCs w:val="24"/>
          <w:highlight w:val="none"/>
        </w:rPr>
      </w:pPr>
    </w:p>
    <w:p w14:paraId="2CBDDD3F">
      <w:pPr>
        <w:pStyle w:val="17"/>
        <w:keepNext w:val="0"/>
        <w:keepLines w:val="0"/>
        <w:pageBreakBefore w:val="0"/>
        <w:widowControl w:val="0"/>
        <w:kinsoku/>
        <w:wordWrap/>
        <w:overflowPunct/>
        <w:topLinePunct w:val="0"/>
        <w:bidi w:val="0"/>
        <w:adjustRightInd/>
        <w:spacing w:after="0" w:line="420" w:lineRule="exact"/>
        <w:ind w:left="0" w:leftChars="0" w:right="0" w:firstLine="0" w:firstLineChars="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正版软件承诺</w:t>
      </w:r>
    </w:p>
    <w:p w14:paraId="2F5989A5">
      <w:pPr>
        <w:pStyle w:val="17"/>
        <w:keepNext w:val="0"/>
        <w:keepLines w:val="0"/>
        <w:pageBreakBefore w:val="0"/>
        <w:widowControl w:val="0"/>
        <w:tabs>
          <w:tab w:val="left" w:pos="262"/>
        </w:tabs>
        <w:kinsoku/>
        <w:wordWrap/>
        <w:overflowPunct/>
        <w:topLinePunct w:val="0"/>
        <w:bidi w:val="0"/>
        <w:adjustRightInd/>
        <w:spacing w:after="0" w:line="420" w:lineRule="exact"/>
        <w:ind w:left="0" w:right="0"/>
        <w:textAlignment w:val="auto"/>
        <w:rPr>
          <w:rFonts w:hint="eastAsia" w:ascii="宋体" w:hAnsi="宋体" w:eastAsia="宋体" w:cs="宋体"/>
          <w:color w:val="auto"/>
          <w:sz w:val="24"/>
          <w:szCs w:val="24"/>
          <w:highlight w:val="none"/>
          <w:u w:val="single" w:color="auto"/>
        </w:rPr>
      </w:pPr>
    </w:p>
    <w:p w14:paraId="1C7A84F9">
      <w:pPr>
        <w:pStyle w:val="17"/>
        <w:keepNext w:val="0"/>
        <w:keepLines w:val="0"/>
        <w:pageBreakBefore w:val="0"/>
        <w:widowControl w:val="0"/>
        <w:tabs>
          <w:tab w:val="left" w:pos="262"/>
        </w:tabs>
        <w:kinsoku/>
        <w:wordWrap/>
        <w:overflowPunct/>
        <w:topLinePunct w:val="0"/>
        <w:bidi w:val="0"/>
        <w:adjustRightInd/>
        <w:spacing w:after="0" w:line="5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31"/>
          <w:w w:val="98"/>
          <w:sz w:val="24"/>
          <w:szCs w:val="24"/>
          <w:highlight w:val="none"/>
          <w:u w:val="single" w:color="auto"/>
        </w:rPr>
        <w:t>（招标人</w:t>
      </w:r>
      <w:r>
        <w:rPr>
          <w:rFonts w:hint="eastAsia" w:ascii="宋体" w:hAnsi="宋体" w:eastAsia="宋体" w:cs="宋体"/>
          <w:color w:val="auto"/>
          <w:spacing w:val="18"/>
          <w:sz w:val="24"/>
          <w:szCs w:val="24"/>
          <w:highlight w:val="none"/>
          <w:u w:val="single" w:color="auto"/>
        </w:rPr>
        <w:t>）：</w:t>
      </w:r>
    </w:p>
    <w:p w14:paraId="339B9F71">
      <w:pPr>
        <w:pStyle w:val="17"/>
        <w:keepNext w:val="0"/>
        <w:keepLines w:val="0"/>
        <w:pageBreakBefore w:val="0"/>
        <w:widowControl w:val="0"/>
        <w:kinsoku/>
        <w:wordWrap/>
        <w:overflowPunct/>
        <w:topLinePunct w:val="0"/>
        <w:bidi w:val="0"/>
        <w:adjustRightInd/>
        <w:spacing w:after="0" w:line="52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本投标人现参与项目</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的采购活</w:t>
      </w:r>
      <w:r>
        <w:rPr>
          <w:rFonts w:hint="eastAsia" w:ascii="宋体" w:hAnsi="宋体" w:eastAsia="宋体" w:cs="宋体"/>
          <w:color w:val="auto"/>
          <w:spacing w:val="-2"/>
          <w:sz w:val="24"/>
          <w:szCs w:val="24"/>
          <w:highlight w:val="none"/>
        </w:rPr>
        <w:t>动，本公司承诺投报的计算机产品预装正版操作系统，投报的硬件产品内的预装软件为</w:t>
      </w:r>
      <w:r>
        <w:rPr>
          <w:rFonts w:hint="eastAsia" w:ascii="宋体" w:hAnsi="宋体" w:eastAsia="宋体" w:cs="宋体"/>
          <w:color w:val="auto"/>
          <w:spacing w:val="-3"/>
          <w:sz w:val="24"/>
          <w:szCs w:val="24"/>
          <w:highlight w:val="none"/>
        </w:rPr>
        <w:t>正版软件。</w:t>
      </w:r>
    </w:p>
    <w:p w14:paraId="3B9C1989">
      <w:pPr>
        <w:pStyle w:val="17"/>
        <w:keepNext w:val="0"/>
        <w:keepLines w:val="0"/>
        <w:pageBreakBefore w:val="0"/>
        <w:widowControl w:val="0"/>
        <w:kinsoku/>
        <w:wordWrap/>
        <w:overflowPunct/>
        <w:topLinePunct w:val="0"/>
        <w:bidi w:val="0"/>
        <w:adjustRightInd/>
        <w:spacing w:after="0" w:line="5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本单位对上述声明内容的真实性负责。如有虚</w:t>
      </w:r>
      <w:r>
        <w:rPr>
          <w:rFonts w:hint="eastAsia" w:ascii="宋体" w:hAnsi="宋体" w:eastAsia="宋体" w:cs="宋体"/>
          <w:color w:val="auto"/>
          <w:spacing w:val="-1"/>
          <w:sz w:val="24"/>
          <w:szCs w:val="24"/>
          <w:highlight w:val="none"/>
        </w:rPr>
        <w:t>假，将依法承担相应责任。</w:t>
      </w:r>
    </w:p>
    <w:p w14:paraId="34835005">
      <w:pPr>
        <w:pStyle w:val="17"/>
        <w:keepNext w:val="0"/>
        <w:keepLines w:val="0"/>
        <w:pageBreakBefore w:val="0"/>
        <w:widowControl w:val="0"/>
        <w:kinsoku/>
        <w:wordWrap/>
        <w:overflowPunct/>
        <w:topLinePunct w:val="0"/>
        <w:bidi w:val="0"/>
        <w:adjustRightInd/>
        <w:spacing w:after="0" w:line="520" w:lineRule="exact"/>
        <w:ind w:left="0" w:right="0"/>
        <w:textAlignment w:val="auto"/>
        <w:rPr>
          <w:rFonts w:hint="eastAsia" w:ascii="宋体" w:hAnsi="宋体" w:eastAsia="宋体" w:cs="宋体"/>
          <w:color w:val="auto"/>
          <w:spacing w:val="-2"/>
          <w:sz w:val="24"/>
          <w:szCs w:val="24"/>
          <w:highlight w:val="none"/>
        </w:rPr>
      </w:pPr>
    </w:p>
    <w:p w14:paraId="668D94C8">
      <w:pPr>
        <w:pStyle w:val="17"/>
        <w:keepNext w:val="0"/>
        <w:keepLines w:val="0"/>
        <w:pageBreakBefore w:val="0"/>
        <w:widowControl w:val="0"/>
        <w:kinsoku/>
        <w:wordWrap/>
        <w:overflowPunct/>
        <w:topLinePunct w:val="0"/>
        <w:bidi w:val="0"/>
        <w:adjustRightInd/>
        <w:spacing w:after="0" w:line="520" w:lineRule="exact"/>
        <w:ind w:left="0" w:right="0" w:firstLine="3068"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投标人（单位公章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3AF0DBB8">
      <w:pPr>
        <w:keepNext w:val="0"/>
        <w:keepLines w:val="0"/>
        <w:pageBreakBefore w:val="0"/>
        <w:widowControl w:val="0"/>
        <w:tabs>
          <w:tab w:val="left" w:pos="1680"/>
        </w:tabs>
        <w:kinsoku/>
        <w:wordWrap/>
        <w:overflowPunct/>
        <w:topLinePunct w:val="0"/>
        <w:bidi w:val="0"/>
        <w:adjustRightInd/>
        <w:snapToGrid w:val="0"/>
        <w:spacing w:line="520" w:lineRule="exact"/>
        <w:ind w:right="0" w:firstLine="3090" w:firstLineChars="150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pacing w:val="-17"/>
          <w:sz w:val="24"/>
          <w:szCs w:val="24"/>
          <w:highlight w:val="none"/>
        </w:rPr>
        <w:t>日期：</w:t>
      </w:r>
      <w:r>
        <w:rPr>
          <w:rFonts w:hint="eastAsia" w:ascii="宋体" w:hAnsi="宋体" w:eastAsia="宋体" w:cs="宋体"/>
          <w:color w:val="auto"/>
          <w:sz w:val="24"/>
          <w:szCs w:val="24"/>
          <w:highlight w:val="none"/>
          <w:u w:val="single" w:color="auto"/>
        </w:rPr>
        <w:t xml:space="preserve">                      </w:t>
      </w:r>
    </w:p>
    <w:p w14:paraId="5078E098">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5F627643">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74DA8FA4">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2027BC4E">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6FAAB5CF">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093E65C1">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12B11C8F">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0617B242">
      <w:pPr>
        <w:pStyle w:val="17"/>
        <w:keepNext w:val="0"/>
        <w:keepLines w:val="0"/>
        <w:pageBreakBefore w:val="0"/>
        <w:kinsoku/>
        <w:wordWrap/>
        <w:overflowPunct/>
        <w:topLinePunct w:val="0"/>
        <w:bidi w:val="0"/>
        <w:adjustRightInd/>
        <w:spacing w:after="0" w:line="380" w:lineRule="exact"/>
        <w:ind w:left="0" w:leftChars="0" w:right="0" w:firstLine="0" w:firstLineChars="0"/>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（四）中小企业声明（如不涉及可不提供）</w:t>
      </w:r>
    </w:p>
    <w:p w14:paraId="2223E1F8">
      <w:pPr>
        <w:keepNext w:val="0"/>
        <w:keepLines w:val="0"/>
        <w:pageBreakBefore w:val="0"/>
        <w:tabs>
          <w:tab w:val="left" w:pos="1680"/>
        </w:tabs>
        <w:kinsoku/>
        <w:wordWrap/>
        <w:overflowPunct/>
        <w:topLinePunct w:val="0"/>
        <w:bidi w:val="0"/>
        <w:adjustRightInd/>
        <w:snapToGrid w:val="0"/>
        <w:spacing w:line="380" w:lineRule="exact"/>
        <w:ind w:left="0" w:right="0" w:firstLine="482"/>
        <w:jc w:val="center"/>
        <w:textAlignment w:val="auto"/>
        <w:rPr>
          <w:rFonts w:hint="eastAsia" w:ascii="宋体" w:hAnsi="宋体" w:eastAsia="宋体" w:cs="宋体"/>
          <w:b/>
          <w:color w:val="auto"/>
          <w:kern w:val="0"/>
          <w:sz w:val="24"/>
          <w:szCs w:val="24"/>
          <w:highlight w:val="none"/>
        </w:rPr>
      </w:pPr>
    </w:p>
    <w:p w14:paraId="07454D40">
      <w:pPr>
        <w:keepNext w:val="0"/>
        <w:keepLines w:val="0"/>
        <w:pageBreakBefore w:val="0"/>
        <w:kinsoku/>
        <w:wordWrap/>
        <w:overflowPunct/>
        <w:topLinePunct w:val="0"/>
        <w:bidi w:val="0"/>
        <w:adjustRightInd/>
        <w:spacing w:line="38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中小企业声明函（货物）（格式）</w:t>
      </w:r>
    </w:p>
    <w:p w14:paraId="08B13EEF">
      <w:pPr>
        <w:keepNext w:val="0"/>
        <w:keepLines w:val="0"/>
        <w:pageBreakBefore w:val="0"/>
        <w:kinsoku/>
        <w:wordWrap/>
        <w:overflowPunct/>
        <w:topLinePunct w:val="0"/>
        <w:bidi w:val="0"/>
        <w:adjustRightInd/>
        <w:spacing w:line="380" w:lineRule="exact"/>
        <w:ind w:left="0" w:right="0" w:firstLine="480"/>
        <w:textAlignment w:val="auto"/>
        <w:rPr>
          <w:rFonts w:hint="eastAsia" w:ascii="宋体" w:hAnsi="宋体" w:eastAsia="宋体" w:cs="宋体"/>
          <w:color w:val="auto"/>
          <w:sz w:val="24"/>
          <w:szCs w:val="24"/>
          <w:highlight w:val="none"/>
        </w:rPr>
      </w:pPr>
    </w:p>
    <w:p w14:paraId="12C81086">
      <w:pPr>
        <w:keepNext w:val="0"/>
        <w:keepLines w:val="0"/>
        <w:pageBreakBefore w:val="0"/>
        <w:kinsoku/>
        <w:wordWrap/>
        <w:overflowPunct/>
        <w:topLinePunct w:val="0"/>
        <w:bidi w:val="0"/>
        <w:adjustRightInd/>
        <w:snapToGrid w:val="0"/>
        <w:spacing w:line="52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（单位名称）的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（项目编号）采购活动，提供的货物全部由符合政策要求的中小企业制造。相关企业（含联合体中的中小企业、签订分包意向协议的中小企业） 的具体情况如下：</w:t>
      </w:r>
    </w:p>
    <w:p w14:paraId="202E92EA">
      <w:pPr>
        <w:keepNext w:val="0"/>
        <w:keepLines w:val="0"/>
        <w:pageBreakBefore w:val="0"/>
        <w:widowControl/>
        <w:kinsoku/>
        <w:wordWrap/>
        <w:overflowPunct/>
        <w:topLinePunct w:val="0"/>
        <w:bidi w:val="0"/>
        <w:adjustRightInd/>
        <w:spacing w:line="52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 </w:t>
      </w:r>
      <w:r>
        <w:rPr>
          <w:rFonts w:hint="eastAsia" w:ascii="宋体" w:hAnsi="宋体" w:eastAsia="宋体" w:cs="宋体"/>
          <w:color w:val="auto"/>
          <w:sz w:val="24"/>
          <w:szCs w:val="24"/>
          <w:highlight w:val="none"/>
          <w:u w:val="single"/>
          <w:lang w:bidi="ar"/>
        </w:rPr>
        <w:t xml:space="preserve">（ 标的名称 ） </w:t>
      </w:r>
      <w:r>
        <w:rPr>
          <w:rFonts w:hint="eastAsia" w:ascii="宋体" w:hAnsi="宋体" w:eastAsia="宋体" w:cs="宋体"/>
          <w:color w:val="auto"/>
          <w:sz w:val="24"/>
          <w:szCs w:val="24"/>
          <w:highlight w:val="none"/>
          <w:lang w:bidi="ar"/>
        </w:rPr>
        <w:t>， 属于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行业；制造商为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ab/>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ab/>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ab/>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w:t>
      </w:r>
    </w:p>
    <w:p w14:paraId="35C6D142">
      <w:pPr>
        <w:keepNext w:val="0"/>
        <w:keepLines w:val="0"/>
        <w:pageBreakBefore w:val="0"/>
        <w:kinsoku/>
        <w:wordWrap/>
        <w:overflowPunct/>
        <w:topLinePunct w:val="0"/>
        <w:bidi w:val="0"/>
        <w:adjustRightInd/>
        <w:snapToGrid w:val="0"/>
        <w:spacing w:line="52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 </w:t>
      </w:r>
      <w:r>
        <w:rPr>
          <w:rFonts w:hint="eastAsia" w:ascii="宋体" w:hAnsi="宋体" w:eastAsia="宋体" w:cs="宋体"/>
          <w:color w:val="auto"/>
          <w:sz w:val="24"/>
          <w:szCs w:val="24"/>
          <w:highlight w:val="none"/>
          <w:u w:val="single"/>
          <w:lang w:bidi="ar"/>
        </w:rPr>
        <w:t xml:space="preserve">（ 标的名称 ） </w:t>
      </w:r>
      <w:r>
        <w:rPr>
          <w:rFonts w:hint="eastAsia" w:ascii="宋体" w:hAnsi="宋体" w:eastAsia="宋体" w:cs="宋体"/>
          <w:color w:val="auto"/>
          <w:sz w:val="24"/>
          <w:szCs w:val="24"/>
          <w:highlight w:val="none"/>
          <w:lang w:bidi="ar"/>
        </w:rPr>
        <w:t>， 属于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行业；制造商为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ab/>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ab/>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ab/>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w:t>
      </w:r>
    </w:p>
    <w:p w14:paraId="275697EF">
      <w:pPr>
        <w:keepNext w:val="0"/>
        <w:keepLines w:val="0"/>
        <w:pageBreakBefore w:val="0"/>
        <w:kinsoku/>
        <w:wordWrap/>
        <w:overflowPunct/>
        <w:topLinePunct w:val="0"/>
        <w:bidi w:val="0"/>
        <w:adjustRightInd/>
        <w:snapToGrid w:val="0"/>
        <w:spacing w:line="52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p w14:paraId="400F8630">
      <w:pPr>
        <w:keepNext w:val="0"/>
        <w:keepLines w:val="0"/>
        <w:pageBreakBefore w:val="0"/>
        <w:kinsoku/>
        <w:wordWrap/>
        <w:overflowPunct/>
        <w:topLinePunct w:val="0"/>
        <w:bidi w:val="0"/>
        <w:adjustRightInd/>
        <w:snapToGrid w:val="0"/>
        <w:spacing w:line="52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以上企业，不属于大企业的分支机构，不存在控股股东为大企业的情形，也不存在与大企业的负责人为同一人的情形。</w:t>
      </w:r>
    </w:p>
    <w:p w14:paraId="2E9BBB87">
      <w:pPr>
        <w:keepNext w:val="0"/>
        <w:keepLines w:val="0"/>
        <w:pageBreakBefore w:val="0"/>
        <w:kinsoku/>
        <w:wordWrap/>
        <w:overflowPunct/>
        <w:topLinePunct w:val="0"/>
        <w:bidi w:val="0"/>
        <w:adjustRightInd/>
        <w:snapToGrid w:val="0"/>
        <w:spacing w:line="520" w:lineRule="exact"/>
        <w:ind w:left="0" w:right="0"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本企业对上述声明内容的真实性负责。如有虚假，将依法承担相应责任。</w:t>
      </w:r>
    </w:p>
    <w:p w14:paraId="2775E696">
      <w:pPr>
        <w:pStyle w:val="17"/>
        <w:keepNext w:val="0"/>
        <w:keepLines w:val="0"/>
        <w:pageBreakBefore w:val="0"/>
        <w:kinsoku/>
        <w:wordWrap/>
        <w:overflowPunct/>
        <w:topLinePunct w:val="0"/>
        <w:bidi w:val="0"/>
        <w:adjustRightInd/>
        <w:spacing w:after="0" w:line="520" w:lineRule="exact"/>
        <w:ind w:left="0" w:right="0"/>
        <w:textAlignment w:val="auto"/>
        <w:rPr>
          <w:rFonts w:hint="eastAsia" w:ascii="宋体" w:hAnsi="宋体" w:eastAsia="宋体" w:cs="宋体"/>
          <w:color w:val="auto"/>
          <w:kern w:val="2"/>
          <w:sz w:val="24"/>
          <w:szCs w:val="24"/>
          <w:highlight w:val="none"/>
          <w:lang w:bidi="ar"/>
        </w:rPr>
      </w:pPr>
    </w:p>
    <w:p w14:paraId="711BD956">
      <w:pPr>
        <w:pStyle w:val="17"/>
        <w:keepNext w:val="0"/>
        <w:keepLines w:val="0"/>
        <w:pageBreakBefore w:val="0"/>
        <w:kinsoku/>
        <w:wordWrap/>
        <w:overflowPunct/>
        <w:topLinePunct w:val="0"/>
        <w:bidi w:val="0"/>
        <w:adjustRightInd/>
        <w:spacing w:after="0" w:line="520" w:lineRule="exact"/>
        <w:ind w:left="0" w:right="0"/>
        <w:textAlignment w:val="auto"/>
        <w:rPr>
          <w:rFonts w:hint="eastAsia" w:ascii="宋体" w:hAnsi="宋体" w:eastAsia="宋体" w:cs="宋体"/>
          <w:color w:val="auto"/>
          <w:kern w:val="2"/>
          <w:sz w:val="24"/>
          <w:szCs w:val="24"/>
          <w:highlight w:val="none"/>
          <w:lang w:bidi="ar"/>
        </w:rPr>
      </w:pPr>
    </w:p>
    <w:p w14:paraId="103B5FE3">
      <w:pPr>
        <w:pStyle w:val="17"/>
        <w:keepNext w:val="0"/>
        <w:keepLines w:val="0"/>
        <w:pageBreakBefore w:val="0"/>
        <w:kinsoku/>
        <w:wordWrap/>
        <w:overflowPunct/>
        <w:topLinePunct w:val="0"/>
        <w:bidi w:val="0"/>
        <w:adjustRightInd/>
        <w:spacing w:after="0" w:line="520" w:lineRule="exact"/>
        <w:ind w:left="0" w:right="0"/>
        <w:textAlignment w:val="auto"/>
        <w:rPr>
          <w:rFonts w:hint="eastAsia" w:ascii="宋体" w:hAnsi="宋体" w:eastAsia="宋体" w:cs="宋体"/>
          <w:color w:val="auto"/>
          <w:kern w:val="2"/>
          <w:sz w:val="24"/>
          <w:szCs w:val="24"/>
          <w:highlight w:val="none"/>
          <w:lang w:bidi="ar"/>
        </w:rPr>
      </w:pPr>
    </w:p>
    <w:p w14:paraId="50DA36AB">
      <w:pPr>
        <w:pStyle w:val="33"/>
        <w:keepNext w:val="0"/>
        <w:keepLines w:val="0"/>
        <w:pageBreakBefore w:val="0"/>
        <w:widowControl w:val="0"/>
        <w:kinsoku/>
        <w:wordWrap/>
        <w:overflowPunct/>
        <w:topLinePunct w:val="0"/>
        <w:bidi w:val="0"/>
        <w:adjustRightInd/>
        <w:snapToGrid w:val="0"/>
        <w:spacing w:before="0" w:beforeAutospacing="0" w:after="0" w:afterAutospacing="0" w:line="520" w:lineRule="exact"/>
        <w:ind w:left="0" w:right="0" w:firstLine="3600" w:firstLineChars="15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企业名称（盖章）：</w:t>
      </w:r>
      <w:r>
        <w:rPr>
          <w:rFonts w:hint="eastAsia" w:ascii="宋体" w:hAnsi="宋体" w:eastAsia="宋体" w:cs="宋体"/>
          <w:bCs/>
          <w:color w:val="auto"/>
          <w:sz w:val="24"/>
          <w:szCs w:val="24"/>
          <w:highlight w:val="none"/>
          <w:u w:val="single"/>
          <w:lang w:bidi="ar"/>
        </w:rPr>
        <w:tab/>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ab/>
      </w:r>
    </w:p>
    <w:p w14:paraId="5E702898">
      <w:pPr>
        <w:pStyle w:val="33"/>
        <w:keepNext w:val="0"/>
        <w:keepLines w:val="0"/>
        <w:pageBreakBefore w:val="0"/>
        <w:widowControl w:val="0"/>
        <w:kinsoku/>
        <w:wordWrap/>
        <w:overflowPunct/>
        <w:topLinePunct w:val="0"/>
        <w:bidi w:val="0"/>
        <w:adjustRightInd/>
        <w:snapToGrid w:val="0"/>
        <w:spacing w:before="0" w:beforeAutospacing="0" w:after="0" w:afterAutospacing="0" w:line="520" w:lineRule="exact"/>
        <w:ind w:left="0" w:right="0" w:firstLine="3600" w:firstLineChars="15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日 期：</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ab/>
      </w:r>
      <w:r>
        <w:rPr>
          <w:rFonts w:hint="eastAsia" w:ascii="宋体" w:hAnsi="宋体" w:eastAsia="宋体" w:cs="宋体"/>
          <w:bCs/>
          <w:color w:val="auto"/>
          <w:sz w:val="24"/>
          <w:szCs w:val="24"/>
          <w:highlight w:val="none"/>
          <w:u w:val="single"/>
          <w:lang w:bidi="ar"/>
        </w:rPr>
        <w:tab/>
      </w:r>
      <w:r>
        <w:rPr>
          <w:rFonts w:hint="eastAsia" w:ascii="宋体" w:hAnsi="宋体" w:eastAsia="宋体" w:cs="宋体"/>
          <w:bCs/>
          <w:color w:val="auto"/>
          <w:sz w:val="24"/>
          <w:szCs w:val="24"/>
          <w:highlight w:val="none"/>
          <w:u w:val="single"/>
          <w:lang w:bidi="ar"/>
        </w:rPr>
        <w:tab/>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ab/>
      </w:r>
    </w:p>
    <w:p w14:paraId="0FD22D55">
      <w:pPr>
        <w:keepNext w:val="0"/>
        <w:keepLines w:val="0"/>
        <w:pageBreakBefore w:val="0"/>
        <w:kinsoku/>
        <w:wordWrap/>
        <w:overflowPunct/>
        <w:topLinePunct w:val="0"/>
        <w:bidi w:val="0"/>
        <w:adjustRightInd/>
        <w:spacing w:line="520" w:lineRule="exact"/>
        <w:ind w:left="0" w:right="0"/>
        <w:textAlignment w:val="auto"/>
        <w:rPr>
          <w:rFonts w:hint="eastAsia" w:ascii="宋体" w:hAnsi="宋体" w:eastAsia="宋体" w:cs="宋体"/>
          <w:color w:val="auto"/>
          <w:sz w:val="24"/>
          <w:szCs w:val="24"/>
          <w:highlight w:val="none"/>
          <w:lang w:val="zh-CN"/>
        </w:rPr>
      </w:pPr>
    </w:p>
    <w:p w14:paraId="6505706B">
      <w:pPr>
        <w:keepNext w:val="0"/>
        <w:keepLines w:val="0"/>
        <w:pageBreakBefore w:val="0"/>
        <w:widowControl/>
        <w:kinsoku/>
        <w:wordWrap/>
        <w:overflowPunct/>
        <w:topLinePunct w:val="0"/>
        <w:bidi w:val="0"/>
        <w:adjustRightInd/>
        <w:spacing w:line="520" w:lineRule="exact"/>
        <w:ind w:left="0" w:right="0" w:firstLine="360"/>
        <w:textAlignment w:val="auto"/>
        <w:rPr>
          <w:rFonts w:hint="eastAsia" w:ascii="宋体" w:hAnsi="宋体" w:eastAsia="宋体" w:cs="宋体"/>
          <w:color w:val="auto"/>
          <w:sz w:val="24"/>
          <w:szCs w:val="24"/>
          <w:highlight w:val="none"/>
        </w:rPr>
        <w:sectPr>
          <w:pgSz w:w="11850" w:h="16783"/>
          <w:pgMar w:top="1440" w:right="1800" w:bottom="1440" w:left="1800" w:header="720" w:footer="1417" w:gutter="0"/>
          <w:cols w:space="0" w:num="1"/>
          <w:docGrid w:linePitch="312" w:charSpace="0"/>
        </w:sectPr>
      </w:pPr>
      <w:r>
        <w:rPr>
          <w:rFonts w:hint="eastAsia" w:ascii="宋体" w:hAnsi="宋体" w:eastAsia="宋体" w:cs="宋体"/>
          <w:color w:val="auto"/>
          <w:kern w:val="0"/>
          <w:sz w:val="24"/>
          <w:szCs w:val="24"/>
          <w:highlight w:val="none"/>
          <w:lang w:bidi="ar"/>
        </w:rPr>
        <w:t>注</w:t>
      </w:r>
      <w:r>
        <w:rPr>
          <w:rFonts w:hint="eastAsia" w:ascii="宋体" w:hAnsi="宋体" w:eastAsia="宋体" w:cs="宋体"/>
          <w:b/>
          <w:color w:val="auto"/>
          <w:spacing w:val="6"/>
          <w:sz w:val="24"/>
          <w:szCs w:val="24"/>
          <w:highlight w:val="none"/>
        </w:rPr>
        <w:t>：</w:t>
      </w:r>
      <w:r>
        <w:rPr>
          <w:rFonts w:hint="eastAsia" w:ascii="宋体" w:hAnsi="宋体" w:eastAsia="宋体" w:cs="宋体"/>
          <w:color w:val="auto"/>
          <w:kern w:val="0"/>
          <w:sz w:val="24"/>
          <w:szCs w:val="24"/>
          <w:highlight w:val="none"/>
          <w:lang w:bidi="ar"/>
        </w:rPr>
        <w:t>从业人员、营业收入、资产总额填报上一年度数据，无上一年度数据的新成立企业可不填报。</w:t>
      </w:r>
    </w:p>
    <w:p w14:paraId="5BF6EA3B">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（五）监狱企业声明（格式自拟、如不涉及可不提供）</w:t>
      </w:r>
    </w:p>
    <w:p w14:paraId="60B8EB65">
      <w:pPr>
        <w:pStyle w:val="17"/>
        <w:keepNext w:val="0"/>
        <w:keepLines w:val="0"/>
        <w:pageBreakBefore w:val="0"/>
        <w:widowControl w:val="0"/>
        <w:kinsoku/>
        <w:wordWrap/>
        <w:overflowPunct/>
        <w:topLinePunct w:val="0"/>
        <w:bidi w:val="0"/>
        <w:adjustRightInd/>
        <w:snapToGrid/>
        <w:spacing w:after="0" w:line="500" w:lineRule="exact"/>
        <w:ind w:left="0" w:right="0" w:firstLine="50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由省级以上监狱管理局、戒毒管理局（含新疆</w:t>
      </w:r>
      <w:r>
        <w:rPr>
          <w:rFonts w:hint="eastAsia" w:ascii="宋体" w:hAnsi="宋体" w:eastAsia="宋体" w:cs="宋体"/>
          <w:color w:val="auto"/>
          <w:spacing w:val="-3"/>
          <w:sz w:val="24"/>
          <w:szCs w:val="24"/>
          <w:highlight w:val="none"/>
        </w:rPr>
        <w:t>生产建设兵团）出具的属于监狱企业</w:t>
      </w:r>
      <w:r>
        <w:rPr>
          <w:rFonts w:hint="eastAsia" w:ascii="宋体" w:hAnsi="宋体" w:eastAsia="宋体" w:cs="宋体"/>
          <w:color w:val="auto"/>
          <w:spacing w:val="-2"/>
          <w:sz w:val="24"/>
          <w:szCs w:val="24"/>
          <w:highlight w:val="none"/>
        </w:rPr>
        <w:t>证明文件。</w:t>
      </w:r>
    </w:p>
    <w:p w14:paraId="368AF3BC">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（六）残疾人福利性单位声明函格式（如不涉及可不提供）</w:t>
      </w:r>
    </w:p>
    <w:p w14:paraId="4D551E7D">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textAlignment w:val="auto"/>
        <w:outlineLvl w:val="3"/>
        <w:rPr>
          <w:rFonts w:hint="eastAsia" w:ascii="宋体" w:hAnsi="宋体" w:eastAsia="宋体" w:cs="宋体"/>
          <w:b/>
          <w:bCs/>
          <w:color w:val="auto"/>
          <w:spacing w:val="-3"/>
          <w:sz w:val="24"/>
          <w:szCs w:val="24"/>
          <w:highlight w:val="none"/>
        </w:rPr>
      </w:pPr>
    </w:p>
    <w:p w14:paraId="39EF7C49">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残疾人福利性单位声明函</w:t>
      </w:r>
    </w:p>
    <w:p w14:paraId="033BF149">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z w:val="24"/>
          <w:szCs w:val="24"/>
          <w:highlight w:val="none"/>
        </w:rPr>
      </w:pPr>
    </w:p>
    <w:p w14:paraId="4D4F831F">
      <w:pPr>
        <w:pStyle w:val="17"/>
        <w:keepNext w:val="0"/>
        <w:keepLines w:val="0"/>
        <w:pageBreakBefore w:val="0"/>
        <w:widowControl w:val="0"/>
        <w:kinsoku/>
        <w:wordWrap/>
        <w:overflowPunct/>
        <w:topLinePunct w:val="0"/>
        <w:bidi w:val="0"/>
        <w:adjustRightInd/>
        <w:snapToGrid/>
        <w:spacing w:after="0" w:line="500" w:lineRule="exact"/>
        <w:ind w:left="0" w:right="0" w:firstLine="4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本单位郑重声明，根据《财政部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民政部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中国残疾人联合会关于促进残疾人就业政</w:t>
      </w:r>
      <w:r>
        <w:rPr>
          <w:rFonts w:hint="eastAsia" w:ascii="宋体" w:hAnsi="宋体" w:eastAsia="宋体" w:cs="宋体"/>
          <w:color w:val="auto"/>
          <w:spacing w:val="-3"/>
          <w:sz w:val="24"/>
          <w:szCs w:val="24"/>
          <w:highlight w:val="none"/>
        </w:rPr>
        <w:t>府采购政策的通知》（财库〔2017〕 141</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号）的规定，本单位为符合条件的残疾人福利</w:t>
      </w:r>
      <w:r>
        <w:rPr>
          <w:rFonts w:hint="eastAsia" w:ascii="宋体" w:hAnsi="宋体" w:eastAsia="宋体" w:cs="宋体"/>
          <w:color w:val="auto"/>
          <w:spacing w:val="-1"/>
          <w:sz w:val="24"/>
          <w:szCs w:val="24"/>
          <w:highlight w:val="none"/>
        </w:rPr>
        <w:t>性单位，且本单位参加</w:t>
      </w:r>
      <w:r>
        <w:rPr>
          <w:rFonts w:hint="eastAsia" w:ascii="宋体" w:hAnsi="宋体" w:eastAsia="宋体" w:cs="宋体"/>
          <w:color w:val="auto"/>
          <w:spacing w:val="-10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1"/>
          <w:sz w:val="24"/>
          <w:szCs w:val="24"/>
          <w:highlight w:val="none"/>
        </w:rPr>
        <w:t>单位的</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1"/>
          <w:sz w:val="24"/>
          <w:szCs w:val="24"/>
          <w:highlight w:val="none"/>
        </w:rPr>
        <w:t>项目（项目编号：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__________________）采购活动提供本单位制造的货物（由本单位承担工程/提供服务</w:t>
      </w:r>
      <w:r>
        <w:rPr>
          <w:rFonts w:hint="eastAsia" w:ascii="宋体" w:hAnsi="宋体" w:eastAsia="宋体" w:cs="宋体"/>
          <w:color w:val="auto"/>
          <w:spacing w:val="-57"/>
          <w:w w:val="90"/>
          <w:sz w:val="24"/>
          <w:szCs w:val="24"/>
          <w:highlight w:val="none"/>
        </w:rPr>
        <w:t>），</w:t>
      </w:r>
      <w:r>
        <w:rPr>
          <w:rFonts w:hint="eastAsia" w:ascii="宋体" w:hAnsi="宋体" w:eastAsia="宋体" w:cs="宋体"/>
          <w:color w:val="auto"/>
          <w:spacing w:val="-1"/>
          <w:sz w:val="24"/>
          <w:szCs w:val="24"/>
          <w:highlight w:val="none"/>
        </w:rPr>
        <w:t>或者提供其他残疾人福利性单位制造的货物（不包括使用非</w:t>
      </w:r>
      <w:r>
        <w:rPr>
          <w:rFonts w:hint="eastAsia" w:ascii="宋体" w:hAnsi="宋体" w:eastAsia="宋体" w:cs="宋体"/>
          <w:color w:val="auto"/>
          <w:spacing w:val="-2"/>
          <w:sz w:val="24"/>
          <w:szCs w:val="24"/>
          <w:highlight w:val="none"/>
        </w:rPr>
        <w:t>残疾人福利性单位注册商标</w:t>
      </w:r>
      <w:r>
        <w:rPr>
          <w:rFonts w:hint="eastAsia" w:ascii="宋体" w:hAnsi="宋体" w:eastAsia="宋体" w:cs="宋体"/>
          <w:color w:val="auto"/>
          <w:sz w:val="24"/>
          <w:szCs w:val="24"/>
          <w:highlight w:val="none"/>
        </w:rPr>
        <w:t>的货物）。</w:t>
      </w:r>
    </w:p>
    <w:p w14:paraId="3B9DCC21">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本单位对上述声明的真实性负责。如有虚假，将依法承担相应责任。</w:t>
      </w:r>
    </w:p>
    <w:p w14:paraId="02CA62D5">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z w:val="24"/>
          <w:szCs w:val="24"/>
          <w:highlight w:val="none"/>
        </w:rPr>
      </w:pPr>
    </w:p>
    <w:p w14:paraId="590F3151">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z w:val="24"/>
          <w:szCs w:val="24"/>
          <w:highlight w:val="none"/>
        </w:rPr>
      </w:pPr>
    </w:p>
    <w:p w14:paraId="6BB9A7ED">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投标人（单位公章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7FF67208">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日期：</w:t>
      </w:r>
      <w:r>
        <w:rPr>
          <w:rFonts w:hint="eastAsia" w:ascii="宋体" w:hAnsi="宋体" w:eastAsia="宋体" w:cs="宋体"/>
          <w:color w:val="auto"/>
          <w:sz w:val="24"/>
          <w:szCs w:val="24"/>
          <w:highlight w:val="none"/>
          <w:u w:val="single" w:color="auto"/>
        </w:rPr>
        <w:t xml:space="preserve">                      </w:t>
      </w:r>
    </w:p>
    <w:p w14:paraId="4C8AD66B">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z w:val="24"/>
          <w:szCs w:val="24"/>
          <w:highlight w:val="none"/>
        </w:rPr>
      </w:pPr>
    </w:p>
    <w:p w14:paraId="1BC21CE9">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（七）商品包装和快递包装承诺格式</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（如不涉及可不提供）</w:t>
      </w:r>
    </w:p>
    <w:p w14:paraId="053891D5">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商品包装和快递包装承诺</w:t>
      </w:r>
    </w:p>
    <w:p w14:paraId="3EFB5A55">
      <w:pPr>
        <w:pStyle w:val="17"/>
        <w:keepNext w:val="0"/>
        <w:keepLines w:val="0"/>
        <w:pageBreakBefore w:val="0"/>
        <w:widowControl w:val="0"/>
        <w:kinsoku/>
        <w:wordWrap/>
        <w:overflowPunct/>
        <w:topLinePunct w:val="0"/>
        <w:bidi w:val="0"/>
        <w:adjustRightInd/>
        <w:snapToGrid/>
        <w:spacing w:after="0" w:line="5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本投标人现参与____________项目（项目编号：_________</w:t>
      </w:r>
      <w:r>
        <w:rPr>
          <w:rFonts w:hint="eastAsia" w:ascii="宋体" w:hAnsi="宋体" w:eastAsia="宋体" w:cs="宋体"/>
          <w:color w:val="auto"/>
          <w:spacing w:val="-2"/>
          <w:sz w:val="24"/>
          <w:szCs w:val="24"/>
          <w:highlight w:val="none"/>
        </w:rPr>
        <w:t>___）的采购活动，本公司承诺所供商品包装符合《商品包装政府采购需求标准（试行）》，快递包装符合《快</w:t>
      </w:r>
      <w:r>
        <w:rPr>
          <w:rFonts w:hint="eastAsia" w:ascii="宋体" w:hAnsi="宋体" w:eastAsia="宋体" w:cs="宋体"/>
          <w:color w:val="auto"/>
          <w:spacing w:val="-1"/>
          <w:sz w:val="24"/>
          <w:szCs w:val="24"/>
          <w:highlight w:val="none"/>
        </w:rPr>
        <w:t>递包装政府采购需求标准（试行）》。</w:t>
      </w:r>
    </w:p>
    <w:p w14:paraId="703C1A0E">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本单位对上述声明的真实性负责。如有虚假，将依法承担相应责任。</w:t>
      </w:r>
    </w:p>
    <w:p w14:paraId="7A58DBC7">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投标人（单位公章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7E9D68C4">
      <w:pPr>
        <w:keepNext w:val="0"/>
        <w:keepLines w:val="0"/>
        <w:pageBreakBefore w:val="0"/>
        <w:widowControl w:val="0"/>
        <w:kinsoku/>
        <w:wordWrap/>
        <w:overflowPunct/>
        <w:topLinePunct w:val="0"/>
        <w:bidi w:val="0"/>
        <w:adjustRightInd/>
        <w:snapToGrid/>
        <w:spacing w:line="500" w:lineRule="exact"/>
        <w:ind w:left="0" w:right="0" w:firstLine="412" w:firstLineChars="200"/>
        <w:textAlignment w:val="auto"/>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17"/>
          <w:sz w:val="24"/>
          <w:szCs w:val="24"/>
          <w:highlight w:val="none"/>
        </w:rPr>
        <w:t>日期：</w:t>
      </w:r>
      <w:r>
        <w:rPr>
          <w:rFonts w:hint="eastAsia" w:ascii="宋体" w:hAnsi="宋体" w:eastAsia="宋体" w:cs="宋体"/>
          <w:color w:val="auto"/>
          <w:sz w:val="24"/>
          <w:szCs w:val="24"/>
          <w:highlight w:val="none"/>
          <w:u w:val="single" w:color="auto"/>
        </w:rPr>
        <w:t xml:space="preserve">                      </w:t>
      </w:r>
    </w:p>
    <w:p w14:paraId="3295D928">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textAlignment w:val="auto"/>
        <w:outlineLvl w:val="2"/>
        <w:rPr>
          <w:rFonts w:hint="eastAsia" w:ascii="宋体" w:hAnsi="宋体" w:eastAsia="宋体" w:cs="宋体"/>
          <w:color w:val="auto"/>
          <w:sz w:val="24"/>
          <w:szCs w:val="24"/>
          <w:highlight w:val="none"/>
        </w:rPr>
      </w:pPr>
      <w:bookmarkStart w:id="54" w:name="bookmark28"/>
      <w:bookmarkEnd w:id="54"/>
      <w:r>
        <w:rPr>
          <w:rFonts w:hint="eastAsia" w:ascii="宋体" w:hAnsi="宋体" w:eastAsia="宋体" w:cs="宋体"/>
          <w:b/>
          <w:bCs/>
          <w:color w:val="auto"/>
          <w:spacing w:val="-3"/>
          <w:sz w:val="24"/>
          <w:szCs w:val="24"/>
          <w:highlight w:val="none"/>
        </w:rPr>
        <w:t>（八）符合绿色数据中心建设要求承诺书格式（如不涉及可不提供）</w:t>
      </w:r>
    </w:p>
    <w:p w14:paraId="241A5BA6">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符合绿色数据中心建设要求承诺书</w:t>
      </w:r>
    </w:p>
    <w:p w14:paraId="114132CE">
      <w:pPr>
        <w:pStyle w:val="17"/>
        <w:keepNext w:val="0"/>
        <w:keepLines w:val="0"/>
        <w:pageBreakBefore w:val="0"/>
        <w:widowControl w:val="0"/>
        <w:kinsoku/>
        <w:wordWrap/>
        <w:overflowPunct/>
        <w:topLinePunct w:val="0"/>
        <w:bidi w:val="0"/>
        <w:adjustRightInd/>
        <w:snapToGrid/>
        <w:spacing w:after="0" w:line="500" w:lineRule="exact"/>
        <w:ind w:left="0" w:right="0" w:firstLine="47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本投标人现参与____________项目（项目编号：_________</w:t>
      </w:r>
      <w:r>
        <w:rPr>
          <w:rFonts w:hint="eastAsia" w:ascii="宋体" w:hAnsi="宋体" w:eastAsia="宋体" w:cs="宋体"/>
          <w:color w:val="auto"/>
          <w:spacing w:val="-2"/>
          <w:sz w:val="24"/>
          <w:szCs w:val="24"/>
          <w:highlight w:val="none"/>
        </w:rPr>
        <w:t>___）的采购活动，本公司承诺所提供并完成数据中心建设内容及标准符合绿色数据中心建设有关要求，完全满足或优于项目采购需求。</w:t>
      </w:r>
    </w:p>
    <w:p w14:paraId="76A453A9">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本单位对上述声明的真实性负责。如有虚假，将依法承担相应责任。</w:t>
      </w:r>
    </w:p>
    <w:p w14:paraId="148D78E7">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特此声明</w:t>
      </w:r>
    </w:p>
    <w:p w14:paraId="3D6BE4B6">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投标人（单位公章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p>
    <w:p w14:paraId="5CEF0D05">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日期：</w:t>
      </w:r>
      <w:r>
        <w:rPr>
          <w:rFonts w:hint="eastAsia" w:ascii="宋体" w:hAnsi="宋体" w:eastAsia="宋体" w:cs="宋体"/>
          <w:color w:val="auto"/>
          <w:sz w:val="24"/>
          <w:szCs w:val="24"/>
          <w:highlight w:val="none"/>
          <w:u w:val="single" w:color="auto"/>
        </w:rPr>
        <w:t xml:space="preserve">                      </w:t>
      </w:r>
    </w:p>
    <w:p w14:paraId="6A15E60A">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z w:val="24"/>
          <w:szCs w:val="24"/>
          <w:highlight w:val="none"/>
        </w:rPr>
      </w:pPr>
    </w:p>
    <w:p w14:paraId="6ADC0A3C">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（九）关于符合本国产品标准的声明函（如不涉及可不提供）</w:t>
      </w:r>
    </w:p>
    <w:p w14:paraId="1C2C5A71">
      <w:pPr>
        <w:pStyle w:val="17"/>
        <w:keepNext w:val="0"/>
        <w:keepLines w:val="0"/>
        <w:pageBreakBefore w:val="0"/>
        <w:widowControl w:val="0"/>
        <w:kinsoku/>
        <w:wordWrap/>
        <w:overflowPunct/>
        <w:topLinePunct w:val="0"/>
        <w:bidi w:val="0"/>
        <w:adjustRightInd/>
        <w:snapToGrid/>
        <w:spacing w:after="0" w:line="5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关于符合本国产品标准的声明函</w:t>
      </w:r>
    </w:p>
    <w:p w14:paraId="4E8AE7C7">
      <w:pPr>
        <w:pStyle w:val="17"/>
        <w:keepNext w:val="0"/>
        <w:keepLines w:val="0"/>
        <w:pageBreakBefore w:val="0"/>
        <w:widowControl w:val="0"/>
        <w:kinsoku/>
        <w:wordWrap/>
        <w:overflowPunct/>
        <w:topLinePunct w:val="0"/>
        <w:bidi w:val="0"/>
        <w:adjustRightInd/>
        <w:snapToGrid/>
        <w:spacing w:after="0" w:line="500" w:lineRule="exact"/>
        <w:ind w:left="0" w:right="0" w:firstLine="479"/>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本公司（单位）郑重声明，根据《国务院办公厅关于在政府采购中实施本国产品标</w:t>
      </w:r>
      <w:r>
        <w:rPr>
          <w:rFonts w:hint="eastAsia" w:ascii="宋体" w:hAnsi="宋体" w:eastAsia="宋体" w:cs="宋体"/>
          <w:color w:val="auto"/>
          <w:spacing w:val="-3"/>
          <w:sz w:val="24"/>
          <w:szCs w:val="24"/>
          <w:highlight w:val="none"/>
        </w:rPr>
        <w:t>准及相关政策的通知》（国办发〔2025〕34</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号）的规定，</w:t>
      </w:r>
      <w:r>
        <w:rPr>
          <w:rFonts w:hint="eastAsia" w:ascii="宋体" w:hAnsi="宋体" w:eastAsia="宋体" w:cs="宋体"/>
          <w:color w:val="auto"/>
          <w:spacing w:val="-4"/>
          <w:sz w:val="24"/>
          <w:szCs w:val="24"/>
          <w:highlight w:val="none"/>
        </w:rPr>
        <w:t>本公司（单位）提供的以下产</w:t>
      </w:r>
      <w:r>
        <w:rPr>
          <w:rFonts w:hint="eastAsia" w:ascii="宋体" w:hAnsi="宋体" w:eastAsia="宋体" w:cs="宋体"/>
          <w:color w:val="auto"/>
          <w:spacing w:val="-1"/>
          <w:sz w:val="24"/>
          <w:szCs w:val="24"/>
          <w:highlight w:val="none"/>
        </w:rPr>
        <w:t>品属于本国产品。具体情况如下：</w:t>
      </w:r>
    </w:p>
    <w:p w14:paraId="50662885">
      <w:pPr>
        <w:pStyle w:val="17"/>
        <w:keepNext w:val="0"/>
        <w:keepLines w:val="0"/>
        <w:pageBreakBefore w:val="0"/>
        <w:widowControl w:val="0"/>
        <w:kinsoku/>
        <w:wordWrap/>
        <w:overflowPunct/>
        <w:topLinePunct w:val="0"/>
        <w:bidi w:val="0"/>
        <w:adjustRightInd/>
        <w:snapToGrid/>
        <w:spacing w:after="0" w:line="500" w:lineRule="exact"/>
        <w:ind w:left="0" w:right="0" w:firstLine="475"/>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5"/>
          <w:sz w:val="24"/>
          <w:szCs w:val="24"/>
          <w:highlight w:val="none"/>
          <w:u w:val="single" w:color="auto"/>
        </w:rPr>
        <w:t>（产品名称</w:t>
      </w:r>
      <w:r>
        <w:rPr>
          <w:rFonts w:hint="eastAsia" w:ascii="宋体" w:hAnsi="宋体" w:eastAsia="宋体" w:cs="宋体"/>
          <w:color w:val="auto"/>
          <w:spacing w:val="-27"/>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1）</w:t>
      </w:r>
      <w:r>
        <w:rPr>
          <w:rFonts w:hint="eastAsia" w:ascii="宋体" w:hAnsi="宋体" w:eastAsia="宋体" w:cs="宋体"/>
          <w:color w:val="auto"/>
          <w:spacing w:val="-5"/>
          <w:position w:val="12"/>
          <w:sz w:val="24"/>
          <w:szCs w:val="24"/>
          <w:highlight w:val="none"/>
        </w:rPr>
        <w:t>1</w:t>
      </w:r>
      <w:r>
        <w:rPr>
          <w:rFonts w:hint="eastAsia" w:ascii="宋体" w:hAnsi="宋体" w:eastAsia="宋体" w:cs="宋体"/>
          <w:color w:val="auto"/>
          <w:spacing w:val="-31"/>
          <w:position w:val="12"/>
          <w:sz w:val="24"/>
          <w:szCs w:val="24"/>
          <w:highlight w:val="none"/>
        </w:rPr>
        <w:t xml:space="preserve"> </w:t>
      </w:r>
      <w:r>
        <w:rPr>
          <w:rFonts w:hint="eastAsia" w:ascii="宋体" w:hAnsi="宋体" w:eastAsia="宋体" w:cs="宋体"/>
          <w:color w:val="auto"/>
          <w:spacing w:val="-5"/>
          <w:sz w:val="24"/>
          <w:szCs w:val="24"/>
          <w:highlight w:val="none"/>
        </w:rPr>
        <w:t>，生产厂为</w:t>
      </w:r>
      <w:r>
        <w:rPr>
          <w:rFonts w:hint="eastAsia" w:ascii="宋体" w:hAnsi="宋体" w:eastAsia="宋体" w:cs="宋体"/>
          <w:color w:val="auto"/>
          <w:spacing w:val="-5"/>
          <w:sz w:val="24"/>
          <w:szCs w:val="24"/>
          <w:highlight w:val="none"/>
          <w:u w:val="single" w:color="auto"/>
        </w:rPr>
        <w:t>（厂名）</w:t>
      </w:r>
      <w:r>
        <w:rPr>
          <w:rFonts w:hint="eastAsia" w:ascii="宋体" w:hAnsi="宋体" w:eastAsia="宋体" w:cs="宋体"/>
          <w:color w:val="auto"/>
          <w:spacing w:val="-5"/>
          <w:position w:val="12"/>
          <w:sz w:val="24"/>
          <w:szCs w:val="24"/>
          <w:highlight w:val="none"/>
        </w:rPr>
        <w:t>2</w:t>
      </w:r>
      <w:r>
        <w:rPr>
          <w:rFonts w:hint="eastAsia" w:ascii="宋体" w:hAnsi="宋体" w:eastAsia="宋体" w:cs="宋体"/>
          <w:color w:val="auto"/>
          <w:spacing w:val="-31"/>
          <w:position w:val="12"/>
          <w:sz w:val="24"/>
          <w:szCs w:val="24"/>
          <w:highlight w:val="none"/>
        </w:rPr>
        <w:t xml:space="preserve"> </w:t>
      </w:r>
      <w:r>
        <w:rPr>
          <w:rFonts w:hint="eastAsia" w:ascii="宋体" w:hAnsi="宋体" w:eastAsia="宋体" w:cs="宋体"/>
          <w:color w:val="auto"/>
          <w:spacing w:val="-5"/>
          <w:sz w:val="24"/>
          <w:szCs w:val="24"/>
          <w:highlight w:val="none"/>
        </w:rPr>
        <w:t>，厂址为</w:t>
      </w:r>
      <w:r>
        <w:rPr>
          <w:rFonts w:hint="eastAsia" w:ascii="宋体" w:hAnsi="宋体" w:eastAsia="宋体" w:cs="宋体"/>
          <w:color w:val="auto"/>
          <w:spacing w:val="-5"/>
          <w:sz w:val="24"/>
          <w:szCs w:val="24"/>
          <w:highlight w:val="none"/>
          <w:u w:val="single" w:color="auto"/>
        </w:rPr>
        <w:t>（生产厂址）</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（产品名称</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1）</w:t>
      </w:r>
      <w:r>
        <w:rPr>
          <w:rFonts w:hint="eastAsia" w:ascii="宋体" w:hAnsi="宋体" w:eastAsia="宋体" w:cs="宋体"/>
          <w:color w:val="auto"/>
          <w:spacing w:val="-5"/>
          <w:sz w:val="24"/>
          <w:szCs w:val="24"/>
          <w:highlight w:val="none"/>
        </w:rPr>
        <w:t>的</w:t>
      </w:r>
      <w:r>
        <w:rPr>
          <w:rFonts w:hint="eastAsia" w:ascii="宋体" w:hAnsi="宋体" w:eastAsia="宋体" w:cs="宋体"/>
          <w:color w:val="auto"/>
          <w:spacing w:val="-3"/>
          <w:sz w:val="24"/>
          <w:szCs w:val="24"/>
          <w:highlight w:val="none"/>
        </w:rPr>
        <w:t>中国境内生产的组件成本占比≥</w:t>
      </w:r>
      <w:r>
        <w:rPr>
          <w:rFonts w:hint="eastAsia" w:ascii="宋体" w:hAnsi="宋体" w:eastAsia="宋体" w:cs="宋体"/>
          <w:color w:val="auto"/>
          <w:spacing w:val="-3"/>
          <w:sz w:val="24"/>
          <w:szCs w:val="24"/>
          <w:highlight w:val="none"/>
          <w:u w:val="single" w:color="auto"/>
        </w:rPr>
        <w:t>（规定比例）</w:t>
      </w:r>
      <w:r>
        <w:rPr>
          <w:rFonts w:hint="eastAsia" w:ascii="宋体" w:hAnsi="宋体" w:eastAsia="宋体" w:cs="宋体"/>
          <w:color w:val="auto"/>
          <w:spacing w:val="-3"/>
          <w:position w:val="11"/>
          <w:sz w:val="24"/>
          <w:szCs w:val="24"/>
          <w:highlight w:val="none"/>
        </w:rPr>
        <w:t>3</w:t>
      </w:r>
      <w:r>
        <w:rPr>
          <w:rFonts w:hint="eastAsia" w:ascii="宋体" w:hAnsi="宋体" w:eastAsia="宋体" w:cs="宋体"/>
          <w:color w:val="auto"/>
          <w:spacing w:val="-12"/>
          <w:position w:val="1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（产品名称</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1）</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3"/>
          <w:sz w:val="24"/>
          <w:szCs w:val="24"/>
          <w:highlight w:val="none"/>
          <w:u w:val="single" w:color="auto"/>
        </w:rPr>
        <w:t>（关键组件）</w:t>
      </w:r>
      <w:r>
        <w:rPr>
          <w:rFonts w:hint="eastAsia" w:ascii="宋体" w:hAnsi="宋体" w:eastAsia="宋体" w:cs="宋体"/>
          <w:color w:val="auto"/>
          <w:spacing w:val="-3"/>
          <w:position w:val="11"/>
          <w:sz w:val="24"/>
          <w:szCs w:val="24"/>
          <w:highlight w:val="none"/>
        </w:rPr>
        <w:t>4</w:t>
      </w:r>
      <w:r>
        <w:rPr>
          <w:rFonts w:hint="eastAsia" w:ascii="宋体" w:hAnsi="宋体" w:eastAsia="宋体" w:cs="宋体"/>
          <w:color w:val="auto"/>
          <w:spacing w:val="-20"/>
          <w:position w:val="11"/>
          <w:sz w:val="24"/>
          <w:szCs w:val="24"/>
          <w:highlight w:val="none"/>
        </w:rPr>
        <w:t xml:space="preserve"> </w:t>
      </w:r>
      <w:r>
        <w:rPr>
          <w:rFonts w:hint="eastAsia" w:ascii="宋体" w:hAnsi="宋体" w:eastAsia="宋体" w:cs="宋体"/>
          <w:color w:val="auto"/>
          <w:spacing w:val="-3"/>
          <w:sz w:val="24"/>
          <w:szCs w:val="24"/>
          <w:highlight w:val="none"/>
        </w:rPr>
        <w:t>在中国境内生产。</w:t>
      </w:r>
      <w:r>
        <w:rPr>
          <w:rFonts w:hint="eastAsia" w:ascii="宋体" w:hAnsi="宋体" w:eastAsia="宋体" w:cs="宋体"/>
          <w:color w:val="auto"/>
          <w:spacing w:val="-3"/>
          <w:sz w:val="24"/>
          <w:szCs w:val="24"/>
          <w:highlight w:val="none"/>
          <w:u w:val="single" w:color="auto"/>
        </w:rPr>
        <w:t>（产品名称</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1）</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3"/>
          <w:sz w:val="24"/>
          <w:szCs w:val="24"/>
          <w:highlight w:val="none"/>
          <w:u w:val="single" w:color="auto"/>
        </w:rPr>
        <w:t>（关键工序）</w:t>
      </w:r>
      <w:r>
        <w:rPr>
          <w:rFonts w:hint="eastAsia" w:ascii="宋体" w:hAnsi="宋体" w:eastAsia="宋体" w:cs="宋体"/>
          <w:color w:val="auto"/>
          <w:spacing w:val="-3"/>
          <w:position w:val="12"/>
          <w:sz w:val="24"/>
          <w:szCs w:val="24"/>
          <w:highlight w:val="none"/>
        </w:rPr>
        <w:t>5</w:t>
      </w:r>
      <w:r>
        <w:rPr>
          <w:rFonts w:hint="eastAsia" w:ascii="宋体" w:hAnsi="宋体" w:eastAsia="宋体" w:cs="宋体"/>
          <w:color w:val="auto"/>
          <w:spacing w:val="-20"/>
          <w:position w:val="12"/>
          <w:sz w:val="24"/>
          <w:szCs w:val="24"/>
          <w:highlight w:val="none"/>
        </w:rPr>
        <w:t xml:space="preserve"> </w:t>
      </w:r>
      <w:r>
        <w:rPr>
          <w:rFonts w:hint="eastAsia" w:ascii="宋体" w:hAnsi="宋体" w:eastAsia="宋体" w:cs="宋体"/>
          <w:color w:val="auto"/>
          <w:spacing w:val="-3"/>
          <w:sz w:val="24"/>
          <w:szCs w:val="24"/>
          <w:highlight w:val="none"/>
        </w:rPr>
        <w:t>在中国境内完成。</w:t>
      </w:r>
    </w:p>
    <w:p w14:paraId="5D459ECE">
      <w:pPr>
        <w:pStyle w:val="17"/>
        <w:keepNext w:val="0"/>
        <w:keepLines w:val="0"/>
        <w:pageBreakBefore w:val="0"/>
        <w:widowControl w:val="0"/>
        <w:kinsoku/>
        <w:wordWrap/>
        <w:overflowPunct/>
        <w:topLinePunct w:val="0"/>
        <w:bidi w:val="0"/>
        <w:adjustRightInd/>
        <w:snapToGrid/>
        <w:spacing w:after="0" w:line="500" w:lineRule="exact"/>
        <w:ind w:left="0" w:right="0" w:firstLine="48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u w:val="single" w:color="auto"/>
        </w:rPr>
        <w:t>（产品名称</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2</w:t>
      </w:r>
      <w:r>
        <w:rPr>
          <w:rFonts w:hint="eastAsia" w:ascii="宋体" w:hAnsi="宋体" w:eastAsia="宋体" w:cs="宋体"/>
          <w:color w:val="auto"/>
          <w:spacing w:val="7"/>
          <w:sz w:val="24"/>
          <w:szCs w:val="24"/>
          <w:highlight w:val="none"/>
          <w:u w:val="single" w:color="auto"/>
        </w:rPr>
        <w:t>）</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生产厂为</w:t>
      </w:r>
      <w:r>
        <w:rPr>
          <w:rFonts w:hint="eastAsia" w:ascii="宋体" w:hAnsi="宋体" w:eastAsia="宋体" w:cs="宋体"/>
          <w:color w:val="auto"/>
          <w:spacing w:val="-2"/>
          <w:sz w:val="24"/>
          <w:szCs w:val="24"/>
          <w:highlight w:val="none"/>
          <w:u w:val="single" w:color="auto"/>
        </w:rPr>
        <w:t>（厂名</w:t>
      </w:r>
      <w:r>
        <w:rPr>
          <w:rFonts w:hint="eastAsia" w:ascii="宋体" w:hAnsi="宋体" w:eastAsia="宋体" w:cs="宋体"/>
          <w:color w:val="auto"/>
          <w:spacing w:val="7"/>
          <w:sz w:val="24"/>
          <w:szCs w:val="24"/>
          <w:highlight w:val="none"/>
          <w:u w:val="single" w:color="auto"/>
        </w:rPr>
        <w:t>）</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厂址为</w:t>
      </w:r>
      <w:r>
        <w:rPr>
          <w:rFonts w:hint="eastAsia" w:ascii="宋体" w:hAnsi="宋体" w:eastAsia="宋体" w:cs="宋体"/>
          <w:color w:val="auto"/>
          <w:spacing w:val="-2"/>
          <w:sz w:val="24"/>
          <w:szCs w:val="24"/>
          <w:highlight w:val="none"/>
          <w:u w:val="single" w:color="auto"/>
        </w:rPr>
        <w:t>（生产厂址）</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u w:val="single" w:color="auto"/>
        </w:rPr>
        <w:t>（产品名称</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2）</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1"/>
          <w:sz w:val="24"/>
          <w:szCs w:val="24"/>
          <w:highlight w:val="none"/>
        </w:rPr>
        <w:t>中国境内生产的组件成本占比≥</w:t>
      </w:r>
      <w:r>
        <w:rPr>
          <w:rFonts w:hint="eastAsia" w:ascii="宋体" w:hAnsi="宋体" w:eastAsia="宋体" w:cs="宋体"/>
          <w:color w:val="auto"/>
          <w:spacing w:val="-1"/>
          <w:sz w:val="24"/>
          <w:szCs w:val="24"/>
          <w:highlight w:val="none"/>
          <w:u w:val="single" w:color="auto"/>
        </w:rPr>
        <w:t>（规定比例）</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color="auto"/>
        </w:rPr>
        <w:t>（产品名称</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2）</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u w:val="single" w:color="auto"/>
        </w:rPr>
        <w:t>（关键组件）</w:t>
      </w:r>
      <w:r>
        <w:rPr>
          <w:rFonts w:hint="eastAsia" w:ascii="宋体" w:hAnsi="宋体" w:eastAsia="宋体" w:cs="宋体"/>
          <w:color w:val="auto"/>
          <w:spacing w:val="-1"/>
          <w:sz w:val="24"/>
          <w:szCs w:val="24"/>
          <w:highlight w:val="none"/>
        </w:rPr>
        <w:t>在中国境内生产。</w:t>
      </w:r>
      <w:r>
        <w:rPr>
          <w:rFonts w:hint="eastAsia" w:ascii="宋体" w:hAnsi="宋体" w:eastAsia="宋体" w:cs="宋体"/>
          <w:color w:val="auto"/>
          <w:spacing w:val="-1"/>
          <w:sz w:val="24"/>
          <w:szCs w:val="24"/>
          <w:highlight w:val="none"/>
          <w:u w:val="single" w:color="auto"/>
        </w:rPr>
        <w:t>（产品名称</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2）</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u w:val="single" w:color="auto"/>
        </w:rPr>
        <w:t>（关键工序）</w:t>
      </w:r>
      <w:r>
        <w:rPr>
          <w:rFonts w:hint="eastAsia" w:ascii="宋体" w:hAnsi="宋体" w:eastAsia="宋体" w:cs="宋体"/>
          <w:color w:val="auto"/>
          <w:spacing w:val="-1"/>
          <w:sz w:val="24"/>
          <w:szCs w:val="24"/>
          <w:highlight w:val="none"/>
        </w:rPr>
        <w:t>在中国境内完成。</w:t>
      </w:r>
    </w:p>
    <w:p w14:paraId="79A9DBB3">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5A2867C2">
      <w:pPr>
        <w:pStyle w:val="17"/>
        <w:keepNext w:val="0"/>
        <w:keepLines w:val="0"/>
        <w:pageBreakBefore w:val="0"/>
        <w:widowControl w:val="0"/>
        <w:kinsoku/>
        <w:wordWrap/>
        <w:overflowPunct/>
        <w:topLinePunct w:val="0"/>
        <w:bidi w:val="0"/>
        <w:adjustRightInd/>
        <w:snapToGrid/>
        <w:spacing w:after="0" w:line="5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本公司（单位）对上述声明内容的真实性负责</w:t>
      </w:r>
      <w:r>
        <w:rPr>
          <w:rFonts w:hint="eastAsia" w:ascii="宋体" w:hAnsi="宋体" w:eastAsia="宋体" w:cs="宋体"/>
          <w:color w:val="auto"/>
          <w:spacing w:val="-2"/>
          <w:sz w:val="24"/>
          <w:szCs w:val="24"/>
          <w:highlight w:val="none"/>
        </w:rPr>
        <w:t>。如有虚假，愿承担相应法律责任。</w:t>
      </w:r>
    </w:p>
    <w:p w14:paraId="4E6405C6">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z w:val="24"/>
          <w:szCs w:val="24"/>
          <w:highlight w:val="none"/>
        </w:rPr>
      </w:pPr>
    </w:p>
    <w:p w14:paraId="0AF7F716">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1.产品如有型号，请在“产品名称</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6"/>
          <w:sz w:val="24"/>
          <w:szCs w:val="24"/>
          <w:highlight w:val="none"/>
        </w:rPr>
        <w:t>”栏一并填写。</w:t>
      </w:r>
    </w:p>
    <w:p w14:paraId="4A5D026E">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2.生产厂名与厂址应与生产厂营业执照载明的相关信息保持一</w:t>
      </w:r>
      <w:r>
        <w:rPr>
          <w:rFonts w:hint="eastAsia" w:ascii="宋体" w:hAnsi="宋体" w:eastAsia="宋体" w:cs="宋体"/>
          <w:color w:val="auto"/>
          <w:spacing w:val="8"/>
          <w:sz w:val="24"/>
          <w:szCs w:val="24"/>
          <w:highlight w:val="none"/>
        </w:rPr>
        <w:t>致。</w:t>
      </w:r>
    </w:p>
    <w:p w14:paraId="480582BA">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3.该产品的中国境内生产的组件成本占比相关要求实施前，“规定比例</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8"/>
          <w:sz w:val="24"/>
          <w:szCs w:val="24"/>
          <w:highlight w:val="none"/>
        </w:rPr>
        <w:t>”栏可不填，下同。</w:t>
      </w:r>
    </w:p>
    <w:p w14:paraId="44F448AC">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4.该产品的关键组件要求实施前，“关键组件</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8"/>
          <w:sz w:val="24"/>
          <w:szCs w:val="24"/>
          <w:highlight w:val="none"/>
        </w:rPr>
        <w:t>”栏可不填，下同。</w:t>
      </w:r>
    </w:p>
    <w:p w14:paraId="0E41B7B0">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8"/>
          <w:sz w:val="24"/>
          <w:szCs w:val="24"/>
          <w:highlight w:val="none"/>
        </w:rPr>
        <w:t>5.该产品的关键工序要求实施前，“关键工序</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”栏可不填</w:t>
      </w:r>
      <w:r>
        <w:rPr>
          <w:rFonts w:hint="eastAsia" w:ascii="宋体" w:hAnsi="宋体" w:eastAsia="宋体" w:cs="宋体"/>
          <w:color w:val="auto"/>
          <w:spacing w:val="7"/>
          <w:sz w:val="24"/>
          <w:szCs w:val="24"/>
          <w:highlight w:val="none"/>
        </w:rPr>
        <w:t>，下同。</w:t>
      </w:r>
    </w:p>
    <w:p w14:paraId="63EB820B">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pacing w:val="7"/>
          <w:sz w:val="24"/>
          <w:szCs w:val="24"/>
          <w:highlight w:val="none"/>
        </w:rPr>
      </w:pPr>
    </w:p>
    <w:p w14:paraId="0FF38A17">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pacing w:val="7"/>
          <w:sz w:val="24"/>
          <w:szCs w:val="24"/>
          <w:highlight w:val="none"/>
        </w:rPr>
      </w:pPr>
    </w:p>
    <w:p w14:paraId="77BC0239">
      <w:pPr>
        <w:pStyle w:val="17"/>
        <w:keepNext w:val="0"/>
        <w:keepLines w:val="0"/>
        <w:pageBreakBefore w:val="0"/>
        <w:widowControl w:val="0"/>
        <w:kinsoku/>
        <w:wordWrap/>
        <w:overflowPunct/>
        <w:topLinePunct w:val="0"/>
        <w:bidi w:val="0"/>
        <w:adjustRightInd/>
        <w:snapToGrid/>
        <w:spacing w:after="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公司（单位）名称（盖章</w:t>
      </w:r>
      <w:r>
        <w:rPr>
          <w:rFonts w:hint="eastAsia" w:ascii="宋体" w:hAnsi="宋体" w:eastAsia="宋体" w:cs="宋体"/>
          <w:color w:val="auto"/>
          <w:spacing w:val="2"/>
          <w:sz w:val="24"/>
          <w:szCs w:val="24"/>
          <w:highlight w:val="none"/>
        </w:rPr>
        <w:t>）：</w:t>
      </w:r>
    </w:p>
    <w:p w14:paraId="70151C8E">
      <w:pPr>
        <w:pStyle w:val="17"/>
        <w:keepNext w:val="0"/>
        <w:keepLines w:val="0"/>
        <w:pageBreakBefore w:val="0"/>
        <w:widowControl w:val="0"/>
        <w:kinsoku/>
        <w:wordWrap/>
        <w:overflowPunct/>
        <w:topLinePunct w:val="0"/>
        <w:bidi w:val="0"/>
        <w:adjustRightInd/>
        <w:snapToGrid/>
        <w:spacing w:after="0" w:line="500" w:lineRule="exact"/>
        <w:ind w:left="0" w:right="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3"/>
          <w:sz w:val="24"/>
          <w:szCs w:val="24"/>
          <w:highlight w:val="none"/>
        </w:rPr>
        <w:t>日</w:t>
      </w:r>
    </w:p>
    <w:p w14:paraId="38A29D42">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宋体" w:hAnsi="宋体" w:eastAsia="宋体" w:cs="宋体"/>
          <w:color w:val="auto"/>
          <w:spacing w:val="7"/>
          <w:sz w:val="24"/>
          <w:szCs w:val="24"/>
          <w:highlight w:val="none"/>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8C00">
    <w:pPr>
      <w:pStyle w:val="24"/>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EEFC">
    <w:pPr>
      <w:pStyle w:val="24"/>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A0639">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0A0639">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6D23">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519C7">
                          <w:pPr>
                            <w:pStyle w:val="24"/>
                            <w:tabs>
                              <w:tab w:val="left" w:pos="4138"/>
                              <w:tab w:val="left" w:pos="8005"/>
                              <w:tab w:val="clear" w:pos="4153"/>
                              <w:tab w:val="clear"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C3519C7">
                    <w:pPr>
                      <w:pStyle w:val="24"/>
                      <w:tabs>
                        <w:tab w:val="left" w:pos="4138"/>
                        <w:tab w:val="left" w:pos="8005"/>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25F2">
    <w:pPr>
      <w:pStyle w:val="24"/>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F8EF9">
                          <w:pPr>
                            <w:pStyle w:val="2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1F8EF9">
                    <w:pPr>
                      <w:pStyle w:val="2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E59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FFE40">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1DFFE40">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081A">
    <w:pPr>
      <w:pStyle w:val="2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D1AE"/>
    <w:multiLevelType w:val="singleLevel"/>
    <w:tmpl w:val="976BD1AE"/>
    <w:lvl w:ilvl="0" w:tentative="0">
      <w:start w:val="1"/>
      <w:numFmt w:val="chineseCounting"/>
      <w:suff w:val="nothing"/>
      <w:lvlText w:val="（%1）"/>
      <w:lvlJc w:val="left"/>
      <w:rPr>
        <w:rFonts w:hint="eastAsia"/>
      </w:rPr>
    </w:lvl>
  </w:abstractNum>
  <w:abstractNum w:abstractNumId="1">
    <w:nsid w:val="ACDF7734"/>
    <w:multiLevelType w:val="singleLevel"/>
    <w:tmpl w:val="ACDF7734"/>
    <w:lvl w:ilvl="0" w:tentative="0">
      <w:start w:val="5"/>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07D093"/>
    <w:multiLevelType w:val="singleLevel"/>
    <w:tmpl w:val="D807D093"/>
    <w:lvl w:ilvl="0" w:tentative="0">
      <w:start w:val="6"/>
      <w:numFmt w:val="decimal"/>
      <w:suff w:val="space"/>
      <w:lvlText w:val="%1."/>
      <w:lvlJc w:val="left"/>
    </w:lvl>
  </w:abstractNum>
  <w:abstractNum w:abstractNumId="4">
    <w:nsid w:val="E8B2E1EE"/>
    <w:multiLevelType w:val="singleLevel"/>
    <w:tmpl w:val="E8B2E1EE"/>
    <w:lvl w:ilvl="0" w:tentative="0">
      <w:start w:val="3"/>
      <w:numFmt w:val="chineseCounting"/>
      <w:suff w:val="space"/>
      <w:lvlText w:val="第%1部分"/>
      <w:lvlJc w:val="left"/>
      <w:pPr>
        <w:ind w:left="0" w:firstLine="0"/>
      </w:pPr>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41ECC89A"/>
    <w:multiLevelType w:val="singleLevel"/>
    <w:tmpl w:val="41ECC89A"/>
    <w:lvl w:ilvl="0" w:tentative="0">
      <w:start w:val="7"/>
      <w:numFmt w:val="decimal"/>
      <w:suff w:val="nothing"/>
      <w:lvlText w:val="%1．"/>
      <w:lvlJc w:val="left"/>
    </w:lvl>
  </w:abstractNum>
  <w:abstractNum w:abstractNumId="7">
    <w:nsid w:val="4BA067CD"/>
    <w:multiLevelType w:val="singleLevel"/>
    <w:tmpl w:val="4BA067CD"/>
    <w:lvl w:ilvl="0" w:tentative="0">
      <w:start w:val="1"/>
      <w:numFmt w:val="decimal"/>
      <w:suff w:val="nothing"/>
      <w:lvlText w:val="（%1）"/>
      <w:lvlJc w:val="left"/>
    </w:lvl>
  </w:abstractNum>
  <w:abstractNum w:abstractNumId="8">
    <w:nsid w:val="4C084879"/>
    <w:multiLevelType w:val="singleLevel"/>
    <w:tmpl w:val="4C084879"/>
    <w:lvl w:ilvl="0" w:tentative="0">
      <w:start w:val="4"/>
      <w:numFmt w:val="chineseCounting"/>
      <w:suff w:val="space"/>
      <w:lvlText w:val="第%1部分"/>
      <w:lvlJc w:val="left"/>
      <w:pPr>
        <w:ind w:left="0" w:firstLine="0"/>
      </w:pPr>
    </w:lvl>
  </w:abstractNum>
  <w:abstractNum w:abstractNumId="9">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4"/>
    <w:lvlOverride w:ilvl="0">
      <w:startOverride w:val="3"/>
    </w:lvlOverride>
  </w:num>
  <w:num w:numId="4">
    <w:abstractNumId w:val="8"/>
    <w:lvlOverride w:ilvl="0">
      <w:startOverride w:val="4"/>
    </w:lvlOverride>
  </w:num>
  <w:num w:numId="5">
    <w:abstractNumId w:val="1"/>
  </w:num>
  <w:num w:numId="6">
    <w:abstractNumId w:val="0"/>
  </w:num>
  <w:num w:numId="7">
    <w:abstractNumId w:val="3"/>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NDkwZDdlYjdiMjYwMzkyOGYxMDU5YWY0YTkwYjQifQ=="/>
  </w:docVars>
  <w:rsids>
    <w:rsidRoot w:val="00863846"/>
    <w:rsid w:val="00011B97"/>
    <w:rsid w:val="000251E2"/>
    <w:rsid w:val="00025C00"/>
    <w:rsid w:val="0002604D"/>
    <w:rsid w:val="000302BD"/>
    <w:rsid w:val="0003060C"/>
    <w:rsid w:val="000317BD"/>
    <w:rsid w:val="00031C36"/>
    <w:rsid w:val="000424E5"/>
    <w:rsid w:val="00050DF4"/>
    <w:rsid w:val="00051AC5"/>
    <w:rsid w:val="00052869"/>
    <w:rsid w:val="0005518F"/>
    <w:rsid w:val="00056964"/>
    <w:rsid w:val="0006385F"/>
    <w:rsid w:val="00086033"/>
    <w:rsid w:val="000C2C53"/>
    <w:rsid w:val="000C7821"/>
    <w:rsid w:val="000D5136"/>
    <w:rsid w:val="000D69D1"/>
    <w:rsid w:val="000D6BD1"/>
    <w:rsid w:val="000E265B"/>
    <w:rsid w:val="000E39A9"/>
    <w:rsid w:val="000E551E"/>
    <w:rsid w:val="000E65A2"/>
    <w:rsid w:val="000F4898"/>
    <w:rsid w:val="000F68C1"/>
    <w:rsid w:val="00103157"/>
    <w:rsid w:val="0010385E"/>
    <w:rsid w:val="00105F99"/>
    <w:rsid w:val="0011064F"/>
    <w:rsid w:val="00110A75"/>
    <w:rsid w:val="001131B9"/>
    <w:rsid w:val="00115448"/>
    <w:rsid w:val="00117191"/>
    <w:rsid w:val="00126F6B"/>
    <w:rsid w:val="00130648"/>
    <w:rsid w:val="00130686"/>
    <w:rsid w:val="00132370"/>
    <w:rsid w:val="00133160"/>
    <w:rsid w:val="001374DD"/>
    <w:rsid w:val="00141EA4"/>
    <w:rsid w:val="0015022F"/>
    <w:rsid w:val="00152339"/>
    <w:rsid w:val="001626F5"/>
    <w:rsid w:val="001653B3"/>
    <w:rsid w:val="00166D78"/>
    <w:rsid w:val="00171FCF"/>
    <w:rsid w:val="00172768"/>
    <w:rsid w:val="0018036A"/>
    <w:rsid w:val="001835BF"/>
    <w:rsid w:val="001846F5"/>
    <w:rsid w:val="00185758"/>
    <w:rsid w:val="00185E50"/>
    <w:rsid w:val="00195A6D"/>
    <w:rsid w:val="001A2625"/>
    <w:rsid w:val="001A588E"/>
    <w:rsid w:val="001A6F26"/>
    <w:rsid w:val="001B4242"/>
    <w:rsid w:val="001C01D3"/>
    <w:rsid w:val="001C736A"/>
    <w:rsid w:val="001D0723"/>
    <w:rsid w:val="001D55C3"/>
    <w:rsid w:val="001D6034"/>
    <w:rsid w:val="001D7A43"/>
    <w:rsid w:val="001E728A"/>
    <w:rsid w:val="001F4F87"/>
    <w:rsid w:val="00203638"/>
    <w:rsid w:val="002051BA"/>
    <w:rsid w:val="00221D05"/>
    <w:rsid w:val="00227E92"/>
    <w:rsid w:val="00230934"/>
    <w:rsid w:val="00234BEA"/>
    <w:rsid w:val="0024367A"/>
    <w:rsid w:val="00246790"/>
    <w:rsid w:val="002541E7"/>
    <w:rsid w:val="00263F8B"/>
    <w:rsid w:val="00265234"/>
    <w:rsid w:val="00267F2D"/>
    <w:rsid w:val="00273B84"/>
    <w:rsid w:val="00276D28"/>
    <w:rsid w:val="00290334"/>
    <w:rsid w:val="002927A0"/>
    <w:rsid w:val="00293B44"/>
    <w:rsid w:val="002A4107"/>
    <w:rsid w:val="002A7DF6"/>
    <w:rsid w:val="002C761F"/>
    <w:rsid w:val="002D11E2"/>
    <w:rsid w:val="002E2F7C"/>
    <w:rsid w:val="002E5E23"/>
    <w:rsid w:val="002E632D"/>
    <w:rsid w:val="002E6F94"/>
    <w:rsid w:val="002F0DAE"/>
    <w:rsid w:val="002F1CD7"/>
    <w:rsid w:val="00300BBD"/>
    <w:rsid w:val="00302DEC"/>
    <w:rsid w:val="00310FE6"/>
    <w:rsid w:val="00316144"/>
    <w:rsid w:val="0032010B"/>
    <w:rsid w:val="00340BF3"/>
    <w:rsid w:val="00340DB2"/>
    <w:rsid w:val="003412AD"/>
    <w:rsid w:val="003573BE"/>
    <w:rsid w:val="00361352"/>
    <w:rsid w:val="00370A9F"/>
    <w:rsid w:val="0037217F"/>
    <w:rsid w:val="00373706"/>
    <w:rsid w:val="00373B95"/>
    <w:rsid w:val="00374A24"/>
    <w:rsid w:val="003760F1"/>
    <w:rsid w:val="003818E0"/>
    <w:rsid w:val="003A0752"/>
    <w:rsid w:val="003A3E35"/>
    <w:rsid w:val="003A7068"/>
    <w:rsid w:val="003B29AC"/>
    <w:rsid w:val="003B49AA"/>
    <w:rsid w:val="003B6F4F"/>
    <w:rsid w:val="003C63FE"/>
    <w:rsid w:val="003D3733"/>
    <w:rsid w:val="003D3969"/>
    <w:rsid w:val="003D50C3"/>
    <w:rsid w:val="003E246C"/>
    <w:rsid w:val="003E263A"/>
    <w:rsid w:val="003F00AB"/>
    <w:rsid w:val="003F6A4F"/>
    <w:rsid w:val="004030DF"/>
    <w:rsid w:val="00403260"/>
    <w:rsid w:val="00403E88"/>
    <w:rsid w:val="0040483F"/>
    <w:rsid w:val="0041617C"/>
    <w:rsid w:val="00420589"/>
    <w:rsid w:val="004300CB"/>
    <w:rsid w:val="0043202B"/>
    <w:rsid w:val="00433C8B"/>
    <w:rsid w:val="00447830"/>
    <w:rsid w:val="00462087"/>
    <w:rsid w:val="004647D5"/>
    <w:rsid w:val="004702CF"/>
    <w:rsid w:val="004771D3"/>
    <w:rsid w:val="00485776"/>
    <w:rsid w:val="0049106C"/>
    <w:rsid w:val="004C659A"/>
    <w:rsid w:val="004C7476"/>
    <w:rsid w:val="004C7CEA"/>
    <w:rsid w:val="004D204F"/>
    <w:rsid w:val="004D61E7"/>
    <w:rsid w:val="004E6C5C"/>
    <w:rsid w:val="004F0143"/>
    <w:rsid w:val="00502129"/>
    <w:rsid w:val="0050289F"/>
    <w:rsid w:val="00510C92"/>
    <w:rsid w:val="00513BBF"/>
    <w:rsid w:val="0052065A"/>
    <w:rsid w:val="0052356E"/>
    <w:rsid w:val="0052749E"/>
    <w:rsid w:val="00531E73"/>
    <w:rsid w:val="00533026"/>
    <w:rsid w:val="0053404F"/>
    <w:rsid w:val="00545E50"/>
    <w:rsid w:val="00547ACA"/>
    <w:rsid w:val="00547BFD"/>
    <w:rsid w:val="0055143C"/>
    <w:rsid w:val="00551E12"/>
    <w:rsid w:val="00552D6D"/>
    <w:rsid w:val="0055505D"/>
    <w:rsid w:val="005638D3"/>
    <w:rsid w:val="00571EE4"/>
    <w:rsid w:val="00572376"/>
    <w:rsid w:val="00585885"/>
    <w:rsid w:val="005B020B"/>
    <w:rsid w:val="005B4C60"/>
    <w:rsid w:val="005B5337"/>
    <w:rsid w:val="005B7F03"/>
    <w:rsid w:val="005C0A8B"/>
    <w:rsid w:val="005D187A"/>
    <w:rsid w:val="006201A7"/>
    <w:rsid w:val="006209F7"/>
    <w:rsid w:val="00636E95"/>
    <w:rsid w:val="00641C3B"/>
    <w:rsid w:val="0064297B"/>
    <w:rsid w:val="00645585"/>
    <w:rsid w:val="00650DB5"/>
    <w:rsid w:val="00656C5E"/>
    <w:rsid w:val="0066308F"/>
    <w:rsid w:val="006664CA"/>
    <w:rsid w:val="006835D7"/>
    <w:rsid w:val="006860C4"/>
    <w:rsid w:val="006901F6"/>
    <w:rsid w:val="00696926"/>
    <w:rsid w:val="0069712B"/>
    <w:rsid w:val="006A0735"/>
    <w:rsid w:val="006A09D1"/>
    <w:rsid w:val="006A2AD8"/>
    <w:rsid w:val="006A4590"/>
    <w:rsid w:val="006A73F2"/>
    <w:rsid w:val="006B31A0"/>
    <w:rsid w:val="006B50B3"/>
    <w:rsid w:val="006C0CA9"/>
    <w:rsid w:val="006C15D4"/>
    <w:rsid w:val="006C25ED"/>
    <w:rsid w:val="006C52BF"/>
    <w:rsid w:val="006C6420"/>
    <w:rsid w:val="006C71AC"/>
    <w:rsid w:val="006C7255"/>
    <w:rsid w:val="006F4227"/>
    <w:rsid w:val="006F68F4"/>
    <w:rsid w:val="00701BFC"/>
    <w:rsid w:val="00702136"/>
    <w:rsid w:val="0070608B"/>
    <w:rsid w:val="0070668C"/>
    <w:rsid w:val="00713417"/>
    <w:rsid w:val="00713B38"/>
    <w:rsid w:val="007142CC"/>
    <w:rsid w:val="00717F7D"/>
    <w:rsid w:val="00720236"/>
    <w:rsid w:val="00725793"/>
    <w:rsid w:val="007318D1"/>
    <w:rsid w:val="00733417"/>
    <w:rsid w:val="0073342B"/>
    <w:rsid w:val="007339C9"/>
    <w:rsid w:val="0073524E"/>
    <w:rsid w:val="00746C6C"/>
    <w:rsid w:val="00747469"/>
    <w:rsid w:val="007676FA"/>
    <w:rsid w:val="00774018"/>
    <w:rsid w:val="007771BD"/>
    <w:rsid w:val="00780B21"/>
    <w:rsid w:val="00783084"/>
    <w:rsid w:val="007A24EF"/>
    <w:rsid w:val="007A2F26"/>
    <w:rsid w:val="007B3449"/>
    <w:rsid w:val="007E32C7"/>
    <w:rsid w:val="007F0A1D"/>
    <w:rsid w:val="007F0B2A"/>
    <w:rsid w:val="007F52AC"/>
    <w:rsid w:val="00802DC7"/>
    <w:rsid w:val="00805C88"/>
    <w:rsid w:val="008071DA"/>
    <w:rsid w:val="00814B66"/>
    <w:rsid w:val="008150DB"/>
    <w:rsid w:val="0081678E"/>
    <w:rsid w:val="008207E1"/>
    <w:rsid w:val="00820DD7"/>
    <w:rsid w:val="008268B1"/>
    <w:rsid w:val="00837A36"/>
    <w:rsid w:val="00850B53"/>
    <w:rsid w:val="00856074"/>
    <w:rsid w:val="00856C52"/>
    <w:rsid w:val="00863846"/>
    <w:rsid w:val="00871168"/>
    <w:rsid w:val="008804B9"/>
    <w:rsid w:val="00883D52"/>
    <w:rsid w:val="0088485D"/>
    <w:rsid w:val="008900AC"/>
    <w:rsid w:val="00891724"/>
    <w:rsid w:val="00896577"/>
    <w:rsid w:val="008A1833"/>
    <w:rsid w:val="008B28B8"/>
    <w:rsid w:val="008B467E"/>
    <w:rsid w:val="008B79F0"/>
    <w:rsid w:val="008D3D8B"/>
    <w:rsid w:val="008E4681"/>
    <w:rsid w:val="008E503D"/>
    <w:rsid w:val="008E53EE"/>
    <w:rsid w:val="00903CCD"/>
    <w:rsid w:val="00916E3F"/>
    <w:rsid w:val="009219E2"/>
    <w:rsid w:val="009221AE"/>
    <w:rsid w:val="00925CE3"/>
    <w:rsid w:val="00927855"/>
    <w:rsid w:val="009438E4"/>
    <w:rsid w:val="00964E48"/>
    <w:rsid w:val="00964F65"/>
    <w:rsid w:val="009661CE"/>
    <w:rsid w:val="00977FE8"/>
    <w:rsid w:val="0098709C"/>
    <w:rsid w:val="00997A02"/>
    <w:rsid w:val="009A12CB"/>
    <w:rsid w:val="009D5EED"/>
    <w:rsid w:val="009E6316"/>
    <w:rsid w:val="009E7C80"/>
    <w:rsid w:val="009F5A4E"/>
    <w:rsid w:val="00A110C8"/>
    <w:rsid w:val="00A1710A"/>
    <w:rsid w:val="00A32C5A"/>
    <w:rsid w:val="00A33CCB"/>
    <w:rsid w:val="00A375D3"/>
    <w:rsid w:val="00A41B11"/>
    <w:rsid w:val="00A43C30"/>
    <w:rsid w:val="00A53FF4"/>
    <w:rsid w:val="00A61D23"/>
    <w:rsid w:val="00A67420"/>
    <w:rsid w:val="00A832B0"/>
    <w:rsid w:val="00A8686B"/>
    <w:rsid w:val="00A9318D"/>
    <w:rsid w:val="00A95BFE"/>
    <w:rsid w:val="00AB4A28"/>
    <w:rsid w:val="00AB4DA9"/>
    <w:rsid w:val="00AC7ABB"/>
    <w:rsid w:val="00AD32A6"/>
    <w:rsid w:val="00AD47A1"/>
    <w:rsid w:val="00AD5A2C"/>
    <w:rsid w:val="00AD6EC5"/>
    <w:rsid w:val="00AD7252"/>
    <w:rsid w:val="00AE68E4"/>
    <w:rsid w:val="00AF4C98"/>
    <w:rsid w:val="00B01288"/>
    <w:rsid w:val="00B10FD3"/>
    <w:rsid w:val="00B21584"/>
    <w:rsid w:val="00B46481"/>
    <w:rsid w:val="00B50523"/>
    <w:rsid w:val="00B57B41"/>
    <w:rsid w:val="00B62BFE"/>
    <w:rsid w:val="00B64EA0"/>
    <w:rsid w:val="00B715CE"/>
    <w:rsid w:val="00B73601"/>
    <w:rsid w:val="00B8402E"/>
    <w:rsid w:val="00B92738"/>
    <w:rsid w:val="00B92A7E"/>
    <w:rsid w:val="00BA0562"/>
    <w:rsid w:val="00BB16B9"/>
    <w:rsid w:val="00BB50F8"/>
    <w:rsid w:val="00BC57FF"/>
    <w:rsid w:val="00BE602A"/>
    <w:rsid w:val="00BF5F7B"/>
    <w:rsid w:val="00BF62FA"/>
    <w:rsid w:val="00BF6CEE"/>
    <w:rsid w:val="00C04190"/>
    <w:rsid w:val="00C117AD"/>
    <w:rsid w:val="00C1331D"/>
    <w:rsid w:val="00C158CF"/>
    <w:rsid w:val="00C30909"/>
    <w:rsid w:val="00C348DE"/>
    <w:rsid w:val="00C4195C"/>
    <w:rsid w:val="00C52CCC"/>
    <w:rsid w:val="00C52D3B"/>
    <w:rsid w:val="00C55862"/>
    <w:rsid w:val="00C60BF4"/>
    <w:rsid w:val="00C65E01"/>
    <w:rsid w:val="00C65F75"/>
    <w:rsid w:val="00C71124"/>
    <w:rsid w:val="00C71D99"/>
    <w:rsid w:val="00C74CEF"/>
    <w:rsid w:val="00C754E7"/>
    <w:rsid w:val="00C812D3"/>
    <w:rsid w:val="00C83A1E"/>
    <w:rsid w:val="00C85CD7"/>
    <w:rsid w:val="00C86D04"/>
    <w:rsid w:val="00C87365"/>
    <w:rsid w:val="00C9561A"/>
    <w:rsid w:val="00C956E3"/>
    <w:rsid w:val="00CB7570"/>
    <w:rsid w:val="00CC10B9"/>
    <w:rsid w:val="00CC4580"/>
    <w:rsid w:val="00CD3B75"/>
    <w:rsid w:val="00CE072C"/>
    <w:rsid w:val="00CE335A"/>
    <w:rsid w:val="00CE498B"/>
    <w:rsid w:val="00CE4C2F"/>
    <w:rsid w:val="00CE57F0"/>
    <w:rsid w:val="00CF7B43"/>
    <w:rsid w:val="00D01543"/>
    <w:rsid w:val="00D01DBF"/>
    <w:rsid w:val="00D037D7"/>
    <w:rsid w:val="00D12C38"/>
    <w:rsid w:val="00D23EC2"/>
    <w:rsid w:val="00D30468"/>
    <w:rsid w:val="00D41BA7"/>
    <w:rsid w:val="00D441A1"/>
    <w:rsid w:val="00D45EAE"/>
    <w:rsid w:val="00D5157C"/>
    <w:rsid w:val="00D57878"/>
    <w:rsid w:val="00D62581"/>
    <w:rsid w:val="00D63807"/>
    <w:rsid w:val="00D7059A"/>
    <w:rsid w:val="00D71A34"/>
    <w:rsid w:val="00D92E47"/>
    <w:rsid w:val="00DA49F0"/>
    <w:rsid w:val="00DB1938"/>
    <w:rsid w:val="00DB7EA7"/>
    <w:rsid w:val="00DC68A1"/>
    <w:rsid w:val="00DC7D49"/>
    <w:rsid w:val="00DD2F79"/>
    <w:rsid w:val="00DD4718"/>
    <w:rsid w:val="00DE1B5A"/>
    <w:rsid w:val="00DE506E"/>
    <w:rsid w:val="00DE79C3"/>
    <w:rsid w:val="00DF7D13"/>
    <w:rsid w:val="00E0257F"/>
    <w:rsid w:val="00E040C3"/>
    <w:rsid w:val="00E04D91"/>
    <w:rsid w:val="00E11648"/>
    <w:rsid w:val="00E14E5E"/>
    <w:rsid w:val="00E17CAB"/>
    <w:rsid w:val="00E31746"/>
    <w:rsid w:val="00E32994"/>
    <w:rsid w:val="00E366F4"/>
    <w:rsid w:val="00E40E20"/>
    <w:rsid w:val="00E40EDA"/>
    <w:rsid w:val="00E46004"/>
    <w:rsid w:val="00E46DA7"/>
    <w:rsid w:val="00E470E8"/>
    <w:rsid w:val="00E56F8F"/>
    <w:rsid w:val="00E60BCD"/>
    <w:rsid w:val="00E65BEC"/>
    <w:rsid w:val="00E7205F"/>
    <w:rsid w:val="00E727DE"/>
    <w:rsid w:val="00E76125"/>
    <w:rsid w:val="00E76D09"/>
    <w:rsid w:val="00E77712"/>
    <w:rsid w:val="00EA3645"/>
    <w:rsid w:val="00EA4820"/>
    <w:rsid w:val="00EB1D98"/>
    <w:rsid w:val="00EB7FCC"/>
    <w:rsid w:val="00EC6121"/>
    <w:rsid w:val="00ED0BAF"/>
    <w:rsid w:val="00ED55F5"/>
    <w:rsid w:val="00EE3F17"/>
    <w:rsid w:val="00EE6966"/>
    <w:rsid w:val="00F00F34"/>
    <w:rsid w:val="00F02005"/>
    <w:rsid w:val="00F03BC0"/>
    <w:rsid w:val="00F06D72"/>
    <w:rsid w:val="00F13A7F"/>
    <w:rsid w:val="00F24181"/>
    <w:rsid w:val="00F2519E"/>
    <w:rsid w:val="00F35A62"/>
    <w:rsid w:val="00F4463F"/>
    <w:rsid w:val="00F57F98"/>
    <w:rsid w:val="00F62D41"/>
    <w:rsid w:val="00F71868"/>
    <w:rsid w:val="00F72CA9"/>
    <w:rsid w:val="00F742B1"/>
    <w:rsid w:val="00F77DF6"/>
    <w:rsid w:val="00F92D1A"/>
    <w:rsid w:val="00F93883"/>
    <w:rsid w:val="00F94BA9"/>
    <w:rsid w:val="00FB3E3C"/>
    <w:rsid w:val="00FB4EAE"/>
    <w:rsid w:val="00FD2D84"/>
    <w:rsid w:val="00FD4B89"/>
    <w:rsid w:val="00FE2382"/>
    <w:rsid w:val="00FE2BE7"/>
    <w:rsid w:val="00FE35CF"/>
    <w:rsid w:val="00FF389D"/>
    <w:rsid w:val="01044493"/>
    <w:rsid w:val="010528A2"/>
    <w:rsid w:val="011D2710"/>
    <w:rsid w:val="012C0C99"/>
    <w:rsid w:val="012D14FD"/>
    <w:rsid w:val="01374E54"/>
    <w:rsid w:val="016248D9"/>
    <w:rsid w:val="01997B0B"/>
    <w:rsid w:val="01B841E6"/>
    <w:rsid w:val="01BB1E5F"/>
    <w:rsid w:val="0208783C"/>
    <w:rsid w:val="020C77ED"/>
    <w:rsid w:val="023B6BC5"/>
    <w:rsid w:val="023E272A"/>
    <w:rsid w:val="02C44E0D"/>
    <w:rsid w:val="02D955E5"/>
    <w:rsid w:val="02DC78BE"/>
    <w:rsid w:val="02F32FFC"/>
    <w:rsid w:val="02FB6CDA"/>
    <w:rsid w:val="031E451D"/>
    <w:rsid w:val="03595555"/>
    <w:rsid w:val="0383504D"/>
    <w:rsid w:val="03884779"/>
    <w:rsid w:val="038D1B08"/>
    <w:rsid w:val="03B1713F"/>
    <w:rsid w:val="03B21F91"/>
    <w:rsid w:val="03C36E72"/>
    <w:rsid w:val="04441F35"/>
    <w:rsid w:val="044820E9"/>
    <w:rsid w:val="04635FDA"/>
    <w:rsid w:val="04783DAD"/>
    <w:rsid w:val="04C026A5"/>
    <w:rsid w:val="04DE1E7B"/>
    <w:rsid w:val="04F25D7B"/>
    <w:rsid w:val="04F95BF4"/>
    <w:rsid w:val="04F9795B"/>
    <w:rsid w:val="050A5B94"/>
    <w:rsid w:val="053D4100"/>
    <w:rsid w:val="05503373"/>
    <w:rsid w:val="05687CD1"/>
    <w:rsid w:val="05785B4C"/>
    <w:rsid w:val="05943A92"/>
    <w:rsid w:val="059E36F3"/>
    <w:rsid w:val="065D3112"/>
    <w:rsid w:val="06603BDD"/>
    <w:rsid w:val="068E4382"/>
    <w:rsid w:val="06A20FC1"/>
    <w:rsid w:val="06A3114D"/>
    <w:rsid w:val="06B156A8"/>
    <w:rsid w:val="06F1270E"/>
    <w:rsid w:val="06F65014"/>
    <w:rsid w:val="06FA19CE"/>
    <w:rsid w:val="073B230C"/>
    <w:rsid w:val="07500E96"/>
    <w:rsid w:val="078132CC"/>
    <w:rsid w:val="079E6ECC"/>
    <w:rsid w:val="07CC40E7"/>
    <w:rsid w:val="07D72EEC"/>
    <w:rsid w:val="07EF46DA"/>
    <w:rsid w:val="07FE7C34"/>
    <w:rsid w:val="085A009A"/>
    <w:rsid w:val="08BD0334"/>
    <w:rsid w:val="08DF2B93"/>
    <w:rsid w:val="08FA0E71"/>
    <w:rsid w:val="091F34DF"/>
    <w:rsid w:val="0923288D"/>
    <w:rsid w:val="092A03E3"/>
    <w:rsid w:val="09306EAF"/>
    <w:rsid w:val="09AB63DF"/>
    <w:rsid w:val="09CE4612"/>
    <w:rsid w:val="09D36974"/>
    <w:rsid w:val="09F254B0"/>
    <w:rsid w:val="0A0B50CF"/>
    <w:rsid w:val="0A1E12A6"/>
    <w:rsid w:val="0A2910AC"/>
    <w:rsid w:val="0A3720A2"/>
    <w:rsid w:val="0A561B96"/>
    <w:rsid w:val="0A71166D"/>
    <w:rsid w:val="0A733562"/>
    <w:rsid w:val="0A7B4003"/>
    <w:rsid w:val="0A8A7F32"/>
    <w:rsid w:val="0A9450C5"/>
    <w:rsid w:val="0AAA4F94"/>
    <w:rsid w:val="0AB522C9"/>
    <w:rsid w:val="0AB85257"/>
    <w:rsid w:val="0ABD3913"/>
    <w:rsid w:val="0AC230F3"/>
    <w:rsid w:val="0ADF4592"/>
    <w:rsid w:val="0AE05D55"/>
    <w:rsid w:val="0AFB1C14"/>
    <w:rsid w:val="0AFD1FFD"/>
    <w:rsid w:val="0B02294E"/>
    <w:rsid w:val="0B0B646E"/>
    <w:rsid w:val="0B1160FD"/>
    <w:rsid w:val="0B3F14D4"/>
    <w:rsid w:val="0B574F31"/>
    <w:rsid w:val="0B7958BA"/>
    <w:rsid w:val="0BAC5ED5"/>
    <w:rsid w:val="0BE34EAA"/>
    <w:rsid w:val="0BE670F0"/>
    <w:rsid w:val="0BE81B6C"/>
    <w:rsid w:val="0C4724D3"/>
    <w:rsid w:val="0C59113C"/>
    <w:rsid w:val="0C6131FF"/>
    <w:rsid w:val="0C787690"/>
    <w:rsid w:val="0C871385"/>
    <w:rsid w:val="0C8A1662"/>
    <w:rsid w:val="0CB41A4E"/>
    <w:rsid w:val="0CB915D4"/>
    <w:rsid w:val="0CC51EAD"/>
    <w:rsid w:val="0CC551E5"/>
    <w:rsid w:val="0CDD0FA5"/>
    <w:rsid w:val="0CFE2CC9"/>
    <w:rsid w:val="0D054058"/>
    <w:rsid w:val="0D4D424A"/>
    <w:rsid w:val="0D512689"/>
    <w:rsid w:val="0D6A3C5E"/>
    <w:rsid w:val="0D7058A5"/>
    <w:rsid w:val="0D9E4E7D"/>
    <w:rsid w:val="0DBC069B"/>
    <w:rsid w:val="0DC3539C"/>
    <w:rsid w:val="0DD22896"/>
    <w:rsid w:val="0E0B334C"/>
    <w:rsid w:val="0E0D68F4"/>
    <w:rsid w:val="0E1F739B"/>
    <w:rsid w:val="0E326263"/>
    <w:rsid w:val="0E39045D"/>
    <w:rsid w:val="0E4A08BC"/>
    <w:rsid w:val="0E6C36EA"/>
    <w:rsid w:val="0EB24885"/>
    <w:rsid w:val="0ED21B46"/>
    <w:rsid w:val="0F0740B7"/>
    <w:rsid w:val="0F515C7A"/>
    <w:rsid w:val="0F5A666C"/>
    <w:rsid w:val="0F700028"/>
    <w:rsid w:val="0FA638D0"/>
    <w:rsid w:val="0FA7589A"/>
    <w:rsid w:val="0FC1070A"/>
    <w:rsid w:val="0FD85A54"/>
    <w:rsid w:val="0FDA5C70"/>
    <w:rsid w:val="0FDE1AE9"/>
    <w:rsid w:val="0FE66647"/>
    <w:rsid w:val="0FFC1742"/>
    <w:rsid w:val="0FFC5BE6"/>
    <w:rsid w:val="100131FC"/>
    <w:rsid w:val="10505FAA"/>
    <w:rsid w:val="10642315"/>
    <w:rsid w:val="10DF618F"/>
    <w:rsid w:val="10E455C7"/>
    <w:rsid w:val="11005262"/>
    <w:rsid w:val="110F7B9B"/>
    <w:rsid w:val="111016B8"/>
    <w:rsid w:val="11123342"/>
    <w:rsid w:val="113603C5"/>
    <w:rsid w:val="11594D48"/>
    <w:rsid w:val="117E7485"/>
    <w:rsid w:val="11F12DFD"/>
    <w:rsid w:val="123A47A4"/>
    <w:rsid w:val="125352BD"/>
    <w:rsid w:val="127E0C80"/>
    <w:rsid w:val="12935813"/>
    <w:rsid w:val="12966FEF"/>
    <w:rsid w:val="130767EA"/>
    <w:rsid w:val="130C4392"/>
    <w:rsid w:val="132A5FF3"/>
    <w:rsid w:val="133E6515"/>
    <w:rsid w:val="13464C12"/>
    <w:rsid w:val="134753CA"/>
    <w:rsid w:val="1356385F"/>
    <w:rsid w:val="137D0DEC"/>
    <w:rsid w:val="137F2DB6"/>
    <w:rsid w:val="1384033B"/>
    <w:rsid w:val="13BF4628"/>
    <w:rsid w:val="13C86498"/>
    <w:rsid w:val="13D36973"/>
    <w:rsid w:val="144533BC"/>
    <w:rsid w:val="146855F8"/>
    <w:rsid w:val="14D013EF"/>
    <w:rsid w:val="15474F0A"/>
    <w:rsid w:val="155F5A20"/>
    <w:rsid w:val="156518B5"/>
    <w:rsid w:val="15861F52"/>
    <w:rsid w:val="15BF56EC"/>
    <w:rsid w:val="15C57FEA"/>
    <w:rsid w:val="15DB004C"/>
    <w:rsid w:val="163C223D"/>
    <w:rsid w:val="165A77D5"/>
    <w:rsid w:val="166B5873"/>
    <w:rsid w:val="166C09FE"/>
    <w:rsid w:val="167069E6"/>
    <w:rsid w:val="16893F4C"/>
    <w:rsid w:val="16B26FFE"/>
    <w:rsid w:val="16B849F9"/>
    <w:rsid w:val="16C3147E"/>
    <w:rsid w:val="16FB6BF7"/>
    <w:rsid w:val="172D6E07"/>
    <w:rsid w:val="17465999"/>
    <w:rsid w:val="179D7CAF"/>
    <w:rsid w:val="17B86129"/>
    <w:rsid w:val="17C4792C"/>
    <w:rsid w:val="17C76AD9"/>
    <w:rsid w:val="17CE0CD4"/>
    <w:rsid w:val="17D17D9B"/>
    <w:rsid w:val="17FD5DCD"/>
    <w:rsid w:val="181D3791"/>
    <w:rsid w:val="186E3E56"/>
    <w:rsid w:val="188B3FAB"/>
    <w:rsid w:val="189F7A56"/>
    <w:rsid w:val="18B22538"/>
    <w:rsid w:val="18CF73AF"/>
    <w:rsid w:val="18DA283C"/>
    <w:rsid w:val="192D35BC"/>
    <w:rsid w:val="196547FC"/>
    <w:rsid w:val="199C2636"/>
    <w:rsid w:val="19A1688A"/>
    <w:rsid w:val="19C87613"/>
    <w:rsid w:val="19D061DD"/>
    <w:rsid w:val="19D43730"/>
    <w:rsid w:val="19F035FA"/>
    <w:rsid w:val="1A0F6516"/>
    <w:rsid w:val="1A1143AD"/>
    <w:rsid w:val="1A302473"/>
    <w:rsid w:val="1A3D7E7C"/>
    <w:rsid w:val="1ABA2925"/>
    <w:rsid w:val="1ABC48F0"/>
    <w:rsid w:val="1B2F36F2"/>
    <w:rsid w:val="1B3F0B95"/>
    <w:rsid w:val="1B4163F1"/>
    <w:rsid w:val="1B9B4505"/>
    <w:rsid w:val="1BB41F8B"/>
    <w:rsid w:val="1BBE01F3"/>
    <w:rsid w:val="1BF03282"/>
    <w:rsid w:val="1C036103"/>
    <w:rsid w:val="1C161DDD"/>
    <w:rsid w:val="1C3E1639"/>
    <w:rsid w:val="1C4A5F2B"/>
    <w:rsid w:val="1C7918F4"/>
    <w:rsid w:val="1C7F5BD5"/>
    <w:rsid w:val="1C93342E"/>
    <w:rsid w:val="1CB65E0D"/>
    <w:rsid w:val="1CD10D4F"/>
    <w:rsid w:val="1CF35D13"/>
    <w:rsid w:val="1D063375"/>
    <w:rsid w:val="1D344C11"/>
    <w:rsid w:val="1D721295"/>
    <w:rsid w:val="1D81675B"/>
    <w:rsid w:val="1DB27AA6"/>
    <w:rsid w:val="1DB764FD"/>
    <w:rsid w:val="1DF8116B"/>
    <w:rsid w:val="1DF940FF"/>
    <w:rsid w:val="1E1C3D76"/>
    <w:rsid w:val="1E314CAD"/>
    <w:rsid w:val="1E4B73EA"/>
    <w:rsid w:val="1E790B78"/>
    <w:rsid w:val="1E8A2FE7"/>
    <w:rsid w:val="1EE91A2B"/>
    <w:rsid w:val="1F3C7DAD"/>
    <w:rsid w:val="1F4D3D68"/>
    <w:rsid w:val="1F5642E7"/>
    <w:rsid w:val="1F8C2C29"/>
    <w:rsid w:val="1F8D10C6"/>
    <w:rsid w:val="1FB45B95"/>
    <w:rsid w:val="1FB8486A"/>
    <w:rsid w:val="1FBA5176"/>
    <w:rsid w:val="1FC962D2"/>
    <w:rsid w:val="1FCB7224"/>
    <w:rsid w:val="1FD20711"/>
    <w:rsid w:val="1FD253F3"/>
    <w:rsid w:val="1FD91AA0"/>
    <w:rsid w:val="1FE2130C"/>
    <w:rsid w:val="200324E0"/>
    <w:rsid w:val="201E42AB"/>
    <w:rsid w:val="204E17BD"/>
    <w:rsid w:val="207F650F"/>
    <w:rsid w:val="20937EA1"/>
    <w:rsid w:val="20A24ABD"/>
    <w:rsid w:val="20BE24CA"/>
    <w:rsid w:val="20CC5914"/>
    <w:rsid w:val="20DB1879"/>
    <w:rsid w:val="2113309E"/>
    <w:rsid w:val="213351E0"/>
    <w:rsid w:val="214473ED"/>
    <w:rsid w:val="214F2C2C"/>
    <w:rsid w:val="21787096"/>
    <w:rsid w:val="217F5695"/>
    <w:rsid w:val="21944BD9"/>
    <w:rsid w:val="21B856E5"/>
    <w:rsid w:val="21F975DA"/>
    <w:rsid w:val="224376A4"/>
    <w:rsid w:val="224C5720"/>
    <w:rsid w:val="22625D7D"/>
    <w:rsid w:val="22680EB9"/>
    <w:rsid w:val="22697DE6"/>
    <w:rsid w:val="227A6617"/>
    <w:rsid w:val="22CA5F22"/>
    <w:rsid w:val="22CE384A"/>
    <w:rsid w:val="22DA1DB7"/>
    <w:rsid w:val="22ED2CEB"/>
    <w:rsid w:val="230F27FA"/>
    <w:rsid w:val="231D07C0"/>
    <w:rsid w:val="239368EC"/>
    <w:rsid w:val="239F08A1"/>
    <w:rsid w:val="23BE09CF"/>
    <w:rsid w:val="23DC3E95"/>
    <w:rsid w:val="23EA427B"/>
    <w:rsid w:val="242D4168"/>
    <w:rsid w:val="242D5F16"/>
    <w:rsid w:val="2455546D"/>
    <w:rsid w:val="2483647E"/>
    <w:rsid w:val="24A00DDE"/>
    <w:rsid w:val="24D26ABE"/>
    <w:rsid w:val="24FB4266"/>
    <w:rsid w:val="25006BE0"/>
    <w:rsid w:val="25050C41"/>
    <w:rsid w:val="251B2B2D"/>
    <w:rsid w:val="25201F1F"/>
    <w:rsid w:val="252C2672"/>
    <w:rsid w:val="25547186"/>
    <w:rsid w:val="255D32FD"/>
    <w:rsid w:val="255F65A3"/>
    <w:rsid w:val="259D695D"/>
    <w:rsid w:val="25AC7579"/>
    <w:rsid w:val="25B54547"/>
    <w:rsid w:val="25C26B32"/>
    <w:rsid w:val="25E86BA4"/>
    <w:rsid w:val="26047B01"/>
    <w:rsid w:val="26060E1E"/>
    <w:rsid w:val="26155812"/>
    <w:rsid w:val="2626646E"/>
    <w:rsid w:val="262F30EC"/>
    <w:rsid w:val="263A0DBE"/>
    <w:rsid w:val="264336FA"/>
    <w:rsid w:val="268458C9"/>
    <w:rsid w:val="26FE0374"/>
    <w:rsid w:val="27225ADA"/>
    <w:rsid w:val="272279FF"/>
    <w:rsid w:val="273F48DE"/>
    <w:rsid w:val="27580BB0"/>
    <w:rsid w:val="27646C26"/>
    <w:rsid w:val="276E6752"/>
    <w:rsid w:val="27893F3F"/>
    <w:rsid w:val="278B2C87"/>
    <w:rsid w:val="278E4292"/>
    <w:rsid w:val="27BB14D2"/>
    <w:rsid w:val="27C22E19"/>
    <w:rsid w:val="27CA2AC5"/>
    <w:rsid w:val="27E2170E"/>
    <w:rsid w:val="27F26B40"/>
    <w:rsid w:val="27F51441"/>
    <w:rsid w:val="27F90E45"/>
    <w:rsid w:val="28357A8F"/>
    <w:rsid w:val="283A2E44"/>
    <w:rsid w:val="2859377E"/>
    <w:rsid w:val="285F2D5E"/>
    <w:rsid w:val="28724840"/>
    <w:rsid w:val="287B7E23"/>
    <w:rsid w:val="287E1436"/>
    <w:rsid w:val="293A3AEA"/>
    <w:rsid w:val="29644AE3"/>
    <w:rsid w:val="297C2ABA"/>
    <w:rsid w:val="29B051AE"/>
    <w:rsid w:val="29BB5D72"/>
    <w:rsid w:val="29D04144"/>
    <w:rsid w:val="29DD3B93"/>
    <w:rsid w:val="29F574D6"/>
    <w:rsid w:val="2A4144C9"/>
    <w:rsid w:val="2A4C5DAB"/>
    <w:rsid w:val="2A5522C3"/>
    <w:rsid w:val="2A782CAB"/>
    <w:rsid w:val="2AAD1B5F"/>
    <w:rsid w:val="2AD757E4"/>
    <w:rsid w:val="2AEF3F25"/>
    <w:rsid w:val="2AFF0012"/>
    <w:rsid w:val="2B33132C"/>
    <w:rsid w:val="2B5A5E92"/>
    <w:rsid w:val="2B6366C1"/>
    <w:rsid w:val="2B863EAA"/>
    <w:rsid w:val="2B8A1EA0"/>
    <w:rsid w:val="2BBB1830"/>
    <w:rsid w:val="2C0E2AD1"/>
    <w:rsid w:val="2C1520B2"/>
    <w:rsid w:val="2C8B2374"/>
    <w:rsid w:val="2C9034E6"/>
    <w:rsid w:val="2C93074D"/>
    <w:rsid w:val="2CB035A7"/>
    <w:rsid w:val="2CD32E21"/>
    <w:rsid w:val="2CE649EF"/>
    <w:rsid w:val="2CE87EAA"/>
    <w:rsid w:val="2CF24603"/>
    <w:rsid w:val="2D287BC3"/>
    <w:rsid w:val="2D292626"/>
    <w:rsid w:val="2D4C0BE3"/>
    <w:rsid w:val="2D61524F"/>
    <w:rsid w:val="2D7746A6"/>
    <w:rsid w:val="2D9D64E4"/>
    <w:rsid w:val="2DA261F4"/>
    <w:rsid w:val="2DB80F46"/>
    <w:rsid w:val="2DBA7E9B"/>
    <w:rsid w:val="2DCE22C0"/>
    <w:rsid w:val="2E0B7ABE"/>
    <w:rsid w:val="2E114AFB"/>
    <w:rsid w:val="2E227124"/>
    <w:rsid w:val="2E442111"/>
    <w:rsid w:val="2E6A7C6C"/>
    <w:rsid w:val="2E9322ED"/>
    <w:rsid w:val="2E975000"/>
    <w:rsid w:val="2E9D5358"/>
    <w:rsid w:val="2ECC6F5D"/>
    <w:rsid w:val="2F000DF7"/>
    <w:rsid w:val="2F0C642C"/>
    <w:rsid w:val="2F1247D5"/>
    <w:rsid w:val="2F5C1E55"/>
    <w:rsid w:val="2F5C380D"/>
    <w:rsid w:val="2F6A001E"/>
    <w:rsid w:val="2F6A2714"/>
    <w:rsid w:val="2F792957"/>
    <w:rsid w:val="2FD45DE0"/>
    <w:rsid w:val="2FDF648C"/>
    <w:rsid w:val="2FED0C50"/>
    <w:rsid w:val="300E3717"/>
    <w:rsid w:val="303B6FE2"/>
    <w:rsid w:val="30737B13"/>
    <w:rsid w:val="30743D88"/>
    <w:rsid w:val="308137F4"/>
    <w:rsid w:val="3091043C"/>
    <w:rsid w:val="30974EC3"/>
    <w:rsid w:val="30B01058"/>
    <w:rsid w:val="30C74D1F"/>
    <w:rsid w:val="31123098"/>
    <w:rsid w:val="31230DCD"/>
    <w:rsid w:val="314350F7"/>
    <w:rsid w:val="314A3158"/>
    <w:rsid w:val="31576CC8"/>
    <w:rsid w:val="3161109D"/>
    <w:rsid w:val="316F5349"/>
    <w:rsid w:val="31811918"/>
    <w:rsid w:val="31B47C77"/>
    <w:rsid w:val="31C277EF"/>
    <w:rsid w:val="31E94711"/>
    <w:rsid w:val="31FF0314"/>
    <w:rsid w:val="32137C0E"/>
    <w:rsid w:val="324A2389"/>
    <w:rsid w:val="324E680F"/>
    <w:rsid w:val="32AA2E28"/>
    <w:rsid w:val="32B202B4"/>
    <w:rsid w:val="32CA626E"/>
    <w:rsid w:val="32D700C1"/>
    <w:rsid w:val="32E96838"/>
    <w:rsid w:val="33173FE0"/>
    <w:rsid w:val="33233C47"/>
    <w:rsid w:val="335073D6"/>
    <w:rsid w:val="33581052"/>
    <w:rsid w:val="335A65FC"/>
    <w:rsid w:val="33CE6606"/>
    <w:rsid w:val="33D36691"/>
    <w:rsid w:val="344F1ED9"/>
    <w:rsid w:val="34573ABA"/>
    <w:rsid w:val="346A0AC1"/>
    <w:rsid w:val="3486440C"/>
    <w:rsid w:val="348D0665"/>
    <w:rsid w:val="34AB2FD4"/>
    <w:rsid w:val="34B360F9"/>
    <w:rsid w:val="34B47F8E"/>
    <w:rsid w:val="34EA4EFB"/>
    <w:rsid w:val="35125800"/>
    <w:rsid w:val="352B444C"/>
    <w:rsid w:val="354603DD"/>
    <w:rsid w:val="354633D1"/>
    <w:rsid w:val="354D20C9"/>
    <w:rsid w:val="35753A72"/>
    <w:rsid w:val="35A91A40"/>
    <w:rsid w:val="36156942"/>
    <w:rsid w:val="362D6583"/>
    <w:rsid w:val="36420F85"/>
    <w:rsid w:val="3648576D"/>
    <w:rsid w:val="36977A9E"/>
    <w:rsid w:val="36987B67"/>
    <w:rsid w:val="36C33A62"/>
    <w:rsid w:val="370F1CCA"/>
    <w:rsid w:val="371B10ED"/>
    <w:rsid w:val="37476E97"/>
    <w:rsid w:val="37550FC6"/>
    <w:rsid w:val="375D116C"/>
    <w:rsid w:val="37635730"/>
    <w:rsid w:val="378376F5"/>
    <w:rsid w:val="37904CE2"/>
    <w:rsid w:val="37A97B52"/>
    <w:rsid w:val="37BA58BB"/>
    <w:rsid w:val="37BC4753"/>
    <w:rsid w:val="37E8067A"/>
    <w:rsid w:val="37FA2984"/>
    <w:rsid w:val="38116583"/>
    <w:rsid w:val="38212D2B"/>
    <w:rsid w:val="3821593A"/>
    <w:rsid w:val="38341B11"/>
    <w:rsid w:val="385D4C77"/>
    <w:rsid w:val="387F6C03"/>
    <w:rsid w:val="38C904AC"/>
    <w:rsid w:val="38CD615D"/>
    <w:rsid w:val="38F46853"/>
    <w:rsid w:val="38FE7A29"/>
    <w:rsid w:val="39145E95"/>
    <w:rsid w:val="39364D68"/>
    <w:rsid w:val="394A0E09"/>
    <w:rsid w:val="395A454A"/>
    <w:rsid w:val="395B14CA"/>
    <w:rsid w:val="398A1CD7"/>
    <w:rsid w:val="399348E8"/>
    <w:rsid w:val="3995709C"/>
    <w:rsid w:val="39BF18AF"/>
    <w:rsid w:val="39CB4426"/>
    <w:rsid w:val="3A0B0650"/>
    <w:rsid w:val="3A1C6079"/>
    <w:rsid w:val="3A52627F"/>
    <w:rsid w:val="3A636617"/>
    <w:rsid w:val="3A7247F2"/>
    <w:rsid w:val="3A80103E"/>
    <w:rsid w:val="3A8E551C"/>
    <w:rsid w:val="3AB56515"/>
    <w:rsid w:val="3AD9074E"/>
    <w:rsid w:val="3AED5FA8"/>
    <w:rsid w:val="3AF31F22"/>
    <w:rsid w:val="3B11613A"/>
    <w:rsid w:val="3B312338"/>
    <w:rsid w:val="3B337E5E"/>
    <w:rsid w:val="3B443FF4"/>
    <w:rsid w:val="3B551709"/>
    <w:rsid w:val="3B6E0E96"/>
    <w:rsid w:val="3B800BCA"/>
    <w:rsid w:val="3BAB0637"/>
    <w:rsid w:val="3BC615ED"/>
    <w:rsid w:val="3BC75859"/>
    <w:rsid w:val="3BE51B6A"/>
    <w:rsid w:val="3C333E8E"/>
    <w:rsid w:val="3C6702E7"/>
    <w:rsid w:val="3C7324DC"/>
    <w:rsid w:val="3C8F7096"/>
    <w:rsid w:val="3CB71F85"/>
    <w:rsid w:val="3D080A7C"/>
    <w:rsid w:val="3D19696B"/>
    <w:rsid w:val="3D2279A3"/>
    <w:rsid w:val="3D353181"/>
    <w:rsid w:val="3D612255"/>
    <w:rsid w:val="3D791D75"/>
    <w:rsid w:val="3D845C2D"/>
    <w:rsid w:val="3D93746D"/>
    <w:rsid w:val="3DEB75B9"/>
    <w:rsid w:val="3DEE62BF"/>
    <w:rsid w:val="3E3068D7"/>
    <w:rsid w:val="3E3A4A1D"/>
    <w:rsid w:val="3E9E5F37"/>
    <w:rsid w:val="3F0D1456"/>
    <w:rsid w:val="3F146478"/>
    <w:rsid w:val="3F150A92"/>
    <w:rsid w:val="3F281CA4"/>
    <w:rsid w:val="3F4563B2"/>
    <w:rsid w:val="3F6A406B"/>
    <w:rsid w:val="3F794F45"/>
    <w:rsid w:val="3F827606"/>
    <w:rsid w:val="3FE71217"/>
    <w:rsid w:val="3FED3E7C"/>
    <w:rsid w:val="3FF37BBC"/>
    <w:rsid w:val="4031372F"/>
    <w:rsid w:val="404B48DC"/>
    <w:rsid w:val="40630A6C"/>
    <w:rsid w:val="40B8236F"/>
    <w:rsid w:val="40BE0421"/>
    <w:rsid w:val="40E816EB"/>
    <w:rsid w:val="40EA4D79"/>
    <w:rsid w:val="40FF07E3"/>
    <w:rsid w:val="410A0641"/>
    <w:rsid w:val="411643E3"/>
    <w:rsid w:val="412C31AD"/>
    <w:rsid w:val="4177481D"/>
    <w:rsid w:val="41AC44C7"/>
    <w:rsid w:val="41BC5D72"/>
    <w:rsid w:val="41C20554"/>
    <w:rsid w:val="422449A5"/>
    <w:rsid w:val="425754E0"/>
    <w:rsid w:val="425800B0"/>
    <w:rsid w:val="42646E38"/>
    <w:rsid w:val="42832CB3"/>
    <w:rsid w:val="42B15C5D"/>
    <w:rsid w:val="42D75C57"/>
    <w:rsid w:val="42E40008"/>
    <w:rsid w:val="42F51E9D"/>
    <w:rsid w:val="43195B8C"/>
    <w:rsid w:val="43606B30"/>
    <w:rsid w:val="436C17D2"/>
    <w:rsid w:val="43790D20"/>
    <w:rsid w:val="43F959BD"/>
    <w:rsid w:val="443D1987"/>
    <w:rsid w:val="44413C1E"/>
    <w:rsid w:val="44581586"/>
    <w:rsid w:val="447E2390"/>
    <w:rsid w:val="44A82619"/>
    <w:rsid w:val="44AF17C3"/>
    <w:rsid w:val="44C77869"/>
    <w:rsid w:val="44F71EFD"/>
    <w:rsid w:val="450D34CE"/>
    <w:rsid w:val="45297332"/>
    <w:rsid w:val="452E260F"/>
    <w:rsid w:val="45327E35"/>
    <w:rsid w:val="45773049"/>
    <w:rsid w:val="4577747D"/>
    <w:rsid w:val="45804235"/>
    <w:rsid w:val="45844E65"/>
    <w:rsid w:val="458C2FA7"/>
    <w:rsid w:val="458D57CB"/>
    <w:rsid w:val="45AE3E60"/>
    <w:rsid w:val="45C078E0"/>
    <w:rsid w:val="45DE130F"/>
    <w:rsid w:val="460C19D8"/>
    <w:rsid w:val="46566C23"/>
    <w:rsid w:val="46B01136"/>
    <w:rsid w:val="46B03AB9"/>
    <w:rsid w:val="46C15FBB"/>
    <w:rsid w:val="46C41D6B"/>
    <w:rsid w:val="471825C7"/>
    <w:rsid w:val="47185647"/>
    <w:rsid w:val="474B6480"/>
    <w:rsid w:val="47505984"/>
    <w:rsid w:val="47637D1D"/>
    <w:rsid w:val="477D7E68"/>
    <w:rsid w:val="47EF1560"/>
    <w:rsid w:val="483B0549"/>
    <w:rsid w:val="48495695"/>
    <w:rsid w:val="487A70C9"/>
    <w:rsid w:val="48BD16AF"/>
    <w:rsid w:val="48C4659A"/>
    <w:rsid w:val="48DD765B"/>
    <w:rsid w:val="48F50E49"/>
    <w:rsid w:val="49002483"/>
    <w:rsid w:val="49105C83"/>
    <w:rsid w:val="491C0184"/>
    <w:rsid w:val="492B1C6E"/>
    <w:rsid w:val="49415E3C"/>
    <w:rsid w:val="4950607F"/>
    <w:rsid w:val="496164DE"/>
    <w:rsid w:val="49D15412"/>
    <w:rsid w:val="49E71A13"/>
    <w:rsid w:val="4A064990"/>
    <w:rsid w:val="4A1452FF"/>
    <w:rsid w:val="4A941D73"/>
    <w:rsid w:val="4AAC19DB"/>
    <w:rsid w:val="4AB21733"/>
    <w:rsid w:val="4ABB2944"/>
    <w:rsid w:val="4AC06D8E"/>
    <w:rsid w:val="4AE96B29"/>
    <w:rsid w:val="4AF13892"/>
    <w:rsid w:val="4B0C4732"/>
    <w:rsid w:val="4B0E73A1"/>
    <w:rsid w:val="4B454065"/>
    <w:rsid w:val="4B4861A9"/>
    <w:rsid w:val="4B642C51"/>
    <w:rsid w:val="4B8D7117"/>
    <w:rsid w:val="4B9F32EE"/>
    <w:rsid w:val="4BB937B5"/>
    <w:rsid w:val="4BD96800"/>
    <w:rsid w:val="4BE855EA"/>
    <w:rsid w:val="4BEE7C6E"/>
    <w:rsid w:val="4C57043D"/>
    <w:rsid w:val="4C5916EF"/>
    <w:rsid w:val="4C6C6FA4"/>
    <w:rsid w:val="4CB86415"/>
    <w:rsid w:val="4CCF19B1"/>
    <w:rsid w:val="4CD91CFF"/>
    <w:rsid w:val="4CF338F1"/>
    <w:rsid w:val="4CF56178"/>
    <w:rsid w:val="4CFE061C"/>
    <w:rsid w:val="4D2C5FA1"/>
    <w:rsid w:val="4D412376"/>
    <w:rsid w:val="4D597930"/>
    <w:rsid w:val="4D5E7F0D"/>
    <w:rsid w:val="4D7D31BB"/>
    <w:rsid w:val="4D7E625F"/>
    <w:rsid w:val="4E0C0252"/>
    <w:rsid w:val="4E10327B"/>
    <w:rsid w:val="4E255D2C"/>
    <w:rsid w:val="4E402B66"/>
    <w:rsid w:val="4E5008D0"/>
    <w:rsid w:val="4E6B3D45"/>
    <w:rsid w:val="4E740A3B"/>
    <w:rsid w:val="4E9407BC"/>
    <w:rsid w:val="4ED4505D"/>
    <w:rsid w:val="4EFE6338"/>
    <w:rsid w:val="4F1813ED"/>
    <w:rsid w:val="4F3926C7"/>
    <w:rsid w:val="4F496CAE"/>
    <w:rsid w:val="4F585C8E"/>
    <w:rsid w:val="4F5B44B6"/>
    <w:rsid w:val="4F8B6468"/>
    <w:rsid w:val="4F9D2F57"/>
    <w:rsid w:val="4F9E636D"/>
    <w:rsid w:val="4FD74E04"/>
    <w:rsid w:val="500D481B"/>
    <w:rsid w:val="50267B3A"/>
    <w:rsid w:val="50406E8A"/>
    <w:rsid w:val="506105AA"/>
    <w:rsid w:val="506518A1"/>
    <w:rsid w:val="5077710B"/>
    <w:rsid w:val="50884351"/>
    <w:rsid w:val="50953E04"/>
    <w:rsid w:val="50B00ADD"/>
    <w:rsid w:val="50B04452"/>
    <w:rsid w:val="50B8604F"/>
    <w:rsid w:val="50CF7502"/>
    <w:rsid w:val="50E22C1F"/>
    <w:rsid w:val="50F419E6"/>
    <w:rsid w:val="50FB4B23"/>
    <w:rsid w:val="50FE2F65"/>
    <w:rsid w:val="51642A74"/>
    <w:rsid w:val="51712933"/>
    <w:rsid w:val="5183442B"/>
    <w:rsid w:val="51E24BEC"/>
    <w:rsid w:val="51F00C99"/>
    <w:rsid w:val="51F36142"/>
    <w:rsid w:val="520C2D5F"/>
    <w:rsid w:val="523A6D37"/>
    <w:rsid w:val="523E73BD"/>
    <w:rsid w:val="527903F5"/>
    <w:rsid w:val="528648C0"/>
    <w:rsid w:val="52BB22D8"/>
    <w:rsid w:val="52E31D12"/>
    <w:rsid w:val="52E81ED5"/>
    <w:rsid w:val="52F061DD"/>
    <w:rsid w:val="536C6B00"/>
    <w:rsid w:val="53964FD7"/>
    <w:rsid w:val="53D224B3"/>
    <w:rsid w:val="53D8114B"/>
    <w:rsid w:val="53FC6594"/>
    <w:rsid w:val="541145DC"/>
    <w:rsid w:val="5412434D"/>
    <w:rsid w:val="542474E3"/>
    <w:rsid w:val="542A6365"/>
    <w:rsid w:val="543F151A"/>
    <w:rsid w:val="54664188"/>
    <w:rsid w:val="54C44F4A"/>
    <w:rsid w:val="54D74426"/>
    <w:rsid w:val="54E104D3"/>
    <w:rsid w:val="5521726A"/>
    <w:rsid w:val="554C3B9F"/>
    <w:rsid w:val="554C66A1"/>
    <w:rsid w:val="55674DDF"/>
    <w:rsid w:val="5588094F"/>
    <w:rsid w:val="55BD071A"/>
    <w:rsid w:val="55E10356"/>
    <w:rsid w:val="55F67FAE"/>
    <w:rsid w:val="561C5C67"/>
    <w:rsid w:val="56626FB2"/>
    <w:rsid w:val="56724258"/>
    <w:rsid w:val="568357E0"/>
    <w:rsid w:val="56B52FFA"/>
    <w:rsid w:val="56BB0E09"/>
    <w:rsid w:val="56C1236A"/>
    <w:rsid w:val="56C241D6"/>
    <w:rsid w:val="56CE08FE"/>
    <w:rsid w:val="56D55E16"/>
    <w:rsid w:val="56DF0A63"/>
    <w:rsid w:val="56E26827"/>
    <w:rsid w:val="56E60023"/>
    <w:rsid w:val="570330F0"/>
    <w:rsid w:val="572D7607"/>
    <w:rsid w:val="572F3399"/>
    <w:rsid w:val="57471D65"/>
    <w:rsid w:val="576F626A"/>
    <w:rsid w:val="577218B7"/>
    <w:rsid w:val="57875362"/>
    <w:rsid w:val="579D4B86"/>
    <w:rsid w:val="57F347A6"/>
    <w:rsid w:val="57F46C29"/>
    <w:rsid w:val="580515D3"/>
    <w:rsid w:val="5806097D"/>
    <w:rsid w:val="581035A9"/>
    <w:rsid w:val="58450D79"/>
    <w:rsid w:val="58D776D1"/>
    <w:rsid w:val="58EA213A"/>
    <w:rsid w:val="58EF1F8B"/>
    <w:rsid w:val="59116E1E"/>
    <w:rsid w:val="591250FF"/>
    <w:rsid w:val="5917245C"/>
    <w:rsid w:val="59271254"/>
    <w:rsid w:val="59311D97"/>
    <w:rsid w:val="59BE5645"/>
    <w:rsid w:val="59C12681"/>
    <w:rsid w:val="59EA702C"/>
    <w:rsid w:val="5A0A5DD6"/>
    <w:rsid w:val="5A146C55"/>
    <w:rsid w:val="5A163E16"/>
    <w:rsid w:val="5A2D6FE6"/>
    <w:rsid w:val="5A372386"/>
    <w:rsid w:val="5A3B0FC4"/>
    <w:rsid w:val="5A673229"/>
    <w:rsid w:val="5A966089"/>
    <w:rsid w:val="5AB87C22"/>
    <w:rsid w:val="5AD17534"/>
    <w:rsid w:val="5ADD2BA5"/>
    <w:rsid w:val="5AEA1573"/>
    <w:rsid w:val="5AEC372E"/>
    <w:rsid w:val="5B0D298B"/>
    <w:rsid w:val="5B136165"/>
    <w:rsid w:val="5B675952"/>
    <w:rsid w:val="5B681232"/>
    <w:rsid w:val="5B85605C"/>
    <w:rsid w:val="5B953DC6"/>
    <w:rsid w:val="5BAB5397"/>
    <w:rsid w:val="5BAE3877"/>
    <w:rsid w:val="5BD7618C"/>
    <w:rsid w:val="5C114281"/>
    <w:rsid w:val="5C1F0EBD"/>
    <w:rsid w:val="5C3E52F0"/>
    <w:rsid w:val="5C537755"/>
    <w:rsid w:val="5C645C72"/>
    <w:rsid w:val="5C6C2D78"/>
    <w:rsid w:val="5C713A6E"/>
    <w:rsid w:val="5C757E7F"/>
    <w:rsid w:val="5CA02167"/>
    <w:rsid w:val="5CF81A48"/>
    <w:rsid w:val="5D081F0B"/>
    <w:rsid w:val="5D224C02"/>
    <w:rsid w:val="5D2A2E3B"/>
    <w:rsid w:val="5D5D7D54"/>
    <w:rsid w:val="5D7A3273"/>
    <w:rsid w:val="5D8D35E2"/>
    <w:rsid w:val="5DEE34D7"/>
    <w:rsid w:val="5E3435B9"/>
    <w:rsid w:val="5E6C44A2"/>
    <w:rsid w:val="5E850121"/>
    <w:rsid w:val="5EBA2B5A"/>
    <w:rsid w:val="5ECD5C04"/>
    <w:rsid w:val="5EDF3DA7"/>
    <w:rsid w:val="5EEC1F4F"/>
    <w:rsid w:val="5EF132A9"/>
    <w:rsid w:val="5EF22F7B"/>
    <w:rsid w:val="5EF54CCE"/>
    <w:rsid w:val="5F2E3E77"/>
    <w:rsid w:val="5F346F6E"/>
    <w:rsid w:val="5F792AC2"/>
    <w:rsid w:val="5F7A109A"/>
    <w:rsid w:val="5F893C41"/>
    <w:rsid w:val="5FA565CA"/>
    <w:rsid w:val="5FB27537"/>
    <w:rsid w:val="60376CAC"/>
    <w:rsid w:val="6096281D"/>
    <w:rsid w:val="60B60A66"/>
    <w:rsid w:val="60B9366B"/>
    <w:rsid w:val="60C531F4"/>
    <w:rsid w:val="60F94889"/>
    <w:rsid w:val="61083647"/>
    <w:rsid w:val="612A47CD"/>
    <w:rsid w:val="619031FE"/>
    <w:rsid w:val="61A47AB6"/>
    <w:rsid w:val="61BF4666"/>
    <w:rsid w:val="61F71336"/>
    <w:rsid w:val="62075309"/>
    <w:rsid w:val="622473A5"/>
    <w:rsid w:val="624C1DD7"/>
    <w:rsid w:val="626860BA"/>
    <w:rsid w:val="627961EF"/>
    <w:rsid w:val="62A3189F"/>
    <w:rsid w:val="62BD2580"/>
    <w:rsid w:val="62D07C7B"/>
    <w:rsid w:val="62D6719E"/>
    <w:rsid w:val="62D7261F"/>
    <w:rsid w:val="62DD0DCB"/>
    <w:rsid w:val="62E16861"/>
    <w:rsid w:val="62F45876"/>
    <w:rsid w:val="63083764"/>
    <w:rsid w:val="630E06E5"/>
    <w:rsid w:val="63273E9D"/>
    <w:rsid w:val="63344A56"/>
    <w:rsid w:val="633F11E7"/>
    <w:rsid w:val="6367429A"/>
    <w:rsid w:val="637F173F"/>
    <w:rsid w:val="63803EAA"/>
    <w:rsid w:val="63901A42"/>
    <w:rsid w:val="639D1E42"/>
    <w:rsid w:val="63C828CF"/>
    <w:rsid w:val="63CC03F0"/>
    <w:rsid w:val="63FA7BB1"/>
    <w:rsid w:val="642E1C06"/>
    <w:rsid w:val="647645FA"/>
    <w:rsid w:val="64A821D2"/>
    <w:rsid w:val="65161F01"/>
    <w:rsid w:val="65255B93"/>
    <w:rsid w:val="652A557F"/>
    <w:rsid w:val="657340AF"/>
    <w:rsid w:val="65E34D93"/>
    <w:rsid w:val="66214BD4"/>
    <w:rsid w:val="66355F50"/>
    <w:rsid w:val="663C41D7"/>
    <w:rsid w:val="663C7C5F"/>
    <w:rsid w:val="665931F4"/>
    <w:rsid w:val="666B2DD3"/>
    <w:rsid w:val="6682754D"/>
    <w:rsid w:val="66A14B96"/>
    <w:rsid w:val="66B63154"/>
    <w:rsid w:val="66CF4630"/>
    <w:rsid w:val="66DC300A"/>
    <w:rsid w:val="66F14577"/>
    <w:rsid w:val="671C4B51"/>
    <w:rsid w:val="672D0E56"/>
    <w:rsid w:val="674345C6"/>
    <w:rsid w:val="678B628A"/>
    <w:rsid w:val="679A7AA2"/>
    <w:rsid w:val="67BC609B"/>
    <w:rsid w:val="67DA14DE"/>
    <w:rsid w:val="67F95DDB"/>
    <w:rsid w:val="682A65AB"/>
    <w:rsid w:val="684A10AF"/>
    <w:rsid w:val="684B418A"/>
    <w:rsid w:val="684E2429"/>
    <w:rsid w:val="6881195A"/>
    <w:rsid w:val="68A01B94"/>
    <w:rsid w:val="68A13DAA"/>
    <w:rsid w:val="68C44151"/>
    <w:rsid w:val="68DE6DAC"/>
    <w:rsid w:val="690E58E3"/>
    <w:rsid w:val="69112CDD"/>
    <w:rsid w:val="69435F96"/>
    <w:rsid w:val="694C640B"/>
    <w:rsid w:val="694F7CAA"/>
    <w:rsid w:val="698C4A5A"/>
    <w:rsid w:val="699D0A15"/>
    <w:rsid w:val="69AF2B24"/>
    <w:rsid w:val="69EE1042"/>
    <w:rsid w:val="69F32C8F"/>
    <w:rsid w:val="69F55AF1"/>
    <w:rsid w:val="6A0665BA"/>
    <w:rsid w:val="6A0942FC"/>
    <w:rsid w:val="6A425119"/>
    <w:rsid w:val="6A7433A9"/>
    <w:rsid w:val="6ABE0C43"/>
    <w:rsid w:val="6AD466B8"/>
    <w:rsid w:val="6AEB3762"/>
    <w:rsid w:val="6AFF6B4C"/>
    <w:rsid w:val="6B0D317B"/>
    <w:rsid w:val="6B59513C"/>
    <w:rsid w:val="6B61797B"/>
    <w:rsid w:val="6B67752D"/>
    <w:rsid w:val="6B79052B"/>
    <w:rsid w:val="6BAE767F"/>
    <w:rsid w:val="6BD44496"/>
    <w:rsid w:val="6BD80FE5"/>
    <w:rsid w:val="6C103D0D"/>
    <w:rsid w:val="6C1B11F8"/>
    <w:rsid w:val="6C1F0438"/>
    <w:rsid w:val="6C354F35"/>
    <w:rsid w:val="6C594E3D"/>
    <w:rsid w:val="6CB107A0"/>
    <w:rsid w:val="6CB72660"/>
    <w:rsid w:val="6CC45C26"/>
    <w:rsid w:val="6CDE55CC"/>
    <w:rsid w:val="6D27608F"/>
    <w:rsid w:val="6D3911D8"/>
    <w:rsid w:val="6D401DE3"/>
    <w:rsid w:val="6D623CDE"/>
    <w:rsid w:val="6D657A9C"/>
    <w:rsid w:val="6D834669"/>
    <w:rsid w:val="6D885538"/>
    <w:rsid w:val="6DF56074"/>
    <w:rsid w:val="6E2A1507"/>
    <w:rsid w:val="6E2B60EC"/>
    <w:rsid w:val="6E2E3B04"/>
    <w:rsid w:val="6E35746E"/>
    <w:rsid w:val="6E4C2A0A"/>
    <w:rsid w:val="6E5024FA"/>
    <w:rsid w:val="6E676D22"/>
    <w:rsid w:val="6E6C0D65"/>
    <w:rsid w:val="6E6E22A0"/>
    <w:rsid w:val="6E7F46B5"/>
    <w:rsid w:val="6E802BF7"/>
    <w:rsid w:val="6E865F1C"/>
    <w:rsid w:val="6E9A7290"/>
    <w:rsid w:val="6ED7444E"/>
    <w:rsid w:val="6EE90507"/>
    <w:rsid w:val="6EFD5AB2"/>
    <w:rsid w:val="6F031246"/>
    <w:rsid w:val="6F0373AD"/>
    <w:rsid w:val="6F064BD0"/>
    <w:rsid w:val="6F08090C"/>
    <w:rsid w:val="6F412535"/>
    <w:rsid w:val="6F55643F"/>
    <w:rsid w:val="6F991C7F"/>
    <w:rsid w:val="6F9F7B2E"/>
    <w:rsid w:val="6FD25132"/>
    <w:rsid w:val="6FD44A65"/>
    <w:rsid w:val="6FE70C3C"/>
    <w:rsid w:val="6FE8294E"/>
    <w:rsid w:val="6FF63884"/>
    <w:rsid w:val="70027824"/>
    <w:rsid w:val="705E5BE7"/>
    <w:rsid w:val="70B84386"/>
    <w:rsid w:val="70BC3E77"/>
    <w:rsid w:val="70DB69BF"/>
    <w:rsid w:val="710316A8"/>
    <w:rsid w:val="710E21DD"/>
    <w:rsid w:val="710F4508"/>
    <w:rsid w:val="71341C5F"/>
    <w:rsid w:val="713C6D66"/>
    <w:rsid w:val="715943CF"/>
    <w:rsid w:val="715C11B6"/>
    <w:rsid w:val="715F2A54"/>
    <w:rsid w:val="717C7549"/>
    <w:rsid w:val="718524BB"/>
    <w:rsid w:val="718A0278"/>
    <w:rsid w:val="71997D14"/>
    <w:rsid w:val="71A1306D"/>
    <w:rsid w:val="71A63CD7"/>
    <w:rsid w:val="71D74FAB"/>
    <w:rsid w:val="71F31B1A"/>
    <w:rsid w:val="71FD5D51"/>
    <w:rsid w:val="7218332F"/>
    <w:rsid w:val="72264492"/>
    <w:rsid w:val="723D1F2D"/>
    <w:rsid w:val="72695938"/>
    <w:rsid w:val="726A345E"/>
    <w:rsid w:val="72F91C1D"/>
    <w:rsid w:val="73017A45"/>
    <w:rsid w:val="73303178"/>
    <w:rsid w:val="737A15BB"/>
    <w:rsid w:val="73A1041B"/>
    <w:rsid w:val="73A17354"/>
    <w:rsid w:val="73AD7AA7"/>
    <w:rsid w:val="73B62D69"/>
    <w:rsid w:val="73D12FA9"/>
    <w:rsid w:val="73E50FA4"/>
    <w:rsid w:val="73FA55C4"/>
    <w:rsid w:val="74393993"/>
    <w:rsid w:val="744832CA"/>
    <w:rsid w:val="74AA2238"/>
    <w:rsid w:val="74CE5F27"/>
    <w:rsid w:val="74DF0134"/>
    <w:rsid w:val="74EC45FF"/>
    <w:rsid w:val="74FA4F6E"/>
    <w:rsid w:val="751002ED"/>
    <w:rsid w:val="75341EF6"/>
    <w:rsid w:val="75481E2B"/>
    <w:rsid w:val="75502DDF"/>
    <w:rsid w:val="7551514E"/>
    <w:rsid w:val="755C1784"/>
    <w:rsid w:val="755F1275"/>
    <w:rsid w:val="75717D36"/>
    <w:rsid w:val="757A1C0A"/>
    <w:rsid w:val="757D5661"/>
    <w:rsid w:val="759A43FB"/>
    <w:rsid w:val="75ED4AD2"/>
    <w:rsid w:val="75F22F06"/>
    <w:rsid w:val="767E5FFC"/>
    <w:rsid w:val="768852C2"/>
    <w:rsid w:val="769377D3"/>
    <w:rsid w:val="76C16B22"/>
    <w:rsid w:val="7725204A"/>
    <w:rsid w:val="77350AA1"/>
    <w:rsid w:val="774D0A1B"/>
    <w:rsid w:val="775110D4"/>
    <w:rsid w:val="7752784D"/>
    <w:rsid w:val="7758241F"/>
    <w:rsid w:val="778C6933"/>
    <w:rsid w:val="77B00EA5"/>
    <w:rsid w:val="77C94169"/>
    <w:rsid w:val="781F6A99"/>
    <w:rsid w:val="78207152"/>
    <w:rsid w:val="78251E52"/>
    <w:rsid w:val="784B788E"/>
    <w:rsid w:val="78785895"/>
    <w:rsid w:val="78897C7E"/>
    <w:rsid w:val="78A05E2C"/>
    <w:rsid w:val="78C20533"/>
    <w:rsid w:val="78CF04BF"/>
    <w:rsid w:val="79217B81"/>
    <w:rsid w:val="79606A4B"/>
    <w:rsid w:val="797A667D"/>
    <w:rsid w:val="799325F8"/>
    <w:rsid w:val="7A4210E3"/>
    <w:rsid w:val="7A66561A"/>
    <w:rsid w:val="7A695A94"/>
    <w:rsid w:val="7A9E5C4B"/>
    <w:rsid w:val="7AA65250"/>
    <w:rsid w:val="7AD41DBD"/>
    <w:rsid w:val="7AE71AF0"/>
    <w:rsid w:val="7B29550A"/>
    <w:rsid w:val="7B3665D4"/>
    <w:rsid w:val="7B5063FC"/>
    <w:rsid w:val="7B591CBC"/>
    <w:rsid w:val="7B726F2D"/>
    <w:rsid w:val="7B7357D6"/>
    <w:rsid w:val="7B902188"/>
    <w:rsid w:val="7BD858DD"/>
    <w:rsid w:val="7C0466D2"/>
    <w:rsid w:val="7C0E3020"/>
    <w:rsid w:val="7C385727"/>
    <w:rsid w:val="7C6B4DF2"/>
    <w:rsid w:val="7CA16EA3"/>
    <w:rsid w:val="7CF316B2"/>
    <w:rsid w:val="7CF63915"/>
    <w:rsid w:val="7D1B5D68"/>
    <w:rsid w:val="7D3E5B1E"/>
    <w:rsid w:val="7D480840"/>
    <w:rsid w:val="7D4E6D1E"/>
    <w:rsid w:val="7D7B4E65"/>
    <w:rsid w:val="7D8B393A"/>
    <w:rsid w:val="7DF43260"/>
    <w:rsid w:val="7E3C03A5"/>
    <w:rsid w:val="7E4E51FB"/>
    <w:rsid w:val="7ECA4543"/>
    <w:rsid w:val="7EDD224E"/>
    <w:rsid w:val="7EE84089"/>
    <w:rsid w:val="7F062761"/>
    <w:rsid w:val="7F2A25E7"/>
    <w:rsid w:val="7F457705"/>
    <w:rsid w:val="7F967F89"/>
    <w:rsid w:val="7F9B3D14"/>
    <w:rsid w:val="7FA0127B"/>
    <w:rsid w:val="7FD31F92"/>
    <w:rsid w:val="7FD5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iPriority="99" w:semiHidden="0" w:name="Body Text First Indent"/>
    <w:lsdException w:qFormat="1" w:uiPriority="1"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tabs>
        <w:tab w:val="left" w:pos="480"/>
        <w:tab w:val="left" w:pos="850"/>
      </w:tabs>
      <w:autoSpaceDE w:val="0"/>
      <w:autoSpaceDN w:val="0"/>
      <w:adjustRightInd w:val="0"/>
      <w:spacing w:before="240" w:after="240" w:line="240" w:lineRule="atLeast"/>
      <w:ind w:left="850" w:hanging="425"/>
      <w:jc w:val="left"/>
      <w:textAlignment w:val="baseline"/>
      <w:outlineLvl w:val="0"/>
    </w:pPr>
    <w:rPr>
      <w:rFonts w:ascii="Arial" w:hAnsi="Arial"/>
      <w:b/>
      <w:kern w:val="44"/>
      <w:sz w:val="20"/>
    </w:rPr>
  </w:style>
  <w:style w:type="paragraph" w:styleId="3">
    <w:name w:val="heading 2"/>
    <w:basedOn w:val="1"/>
    <w:next w:val="1"/>
    <w:link w:val="5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8"/>
    <w:qFormat/>
    <w:uiPriority w:val="0"/>
    <w:pPr>
      <w:keepNext/>
      <w:keepLines/>
      <w:adjustRightInd w:val="0"/>
      <w:spacing w:before="80" w:after="80" w:line="376" w:lineRule="atLeast"/>
      <w:jc w:val="left"/>
      <w:textAlignment w:val="baseline"/>
      <w:outlineLvl w:val="4"/>
    </w:pPr>
    <w:rPr>
      <w:rFonts w:cs="Plotter"/>
      <w:spacing w:val="20"/>
      <w:kern w:val="0"/>
      <w:sz w:val="28"/>
    </w:rPr>
  </w:style>
  <w:style w:type="paragraph" w:styleId="7">
    <w:name w:val="heading 6"/>
    <w:basedOn w:val="1"/>
    <w:next w:val="1"/>
    <w:link w:val="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0"/>
    <w:pPr>
      <w:ind w:left="420" w:leftChars="200"/>
    </w:pPr>
  </w:style>
  <w:style w:type="paragraph" w:styleId="12">
    <w:name w:val="Normal Indent"/>
    <w:basedOn w:val="1"/>
    <w:link w:val="71"/>
    <w:qFormat/>
    <w:uiPriority w:val="0"/>
    <w:pPr>
      <w:ind w:firstLine="420"/>
    </w:pPr>
    <w:rPr>
      <w:rFonts w:ascii="仿宋_GB2312" w:eastAsia="仿宋_GB2312"/>
      <w:kern w:val="0"/>
      <w:sz w:val="28"/>
    </w:rPr>
  </w:style>
  <w:style w:type="paragraph" w:styleId="13">
    <w:name w:val="toa heading"/>
    <w:basedOn w:val="1"/>
    <w:next w:val="1"/>
    <w:unhideWhenUsed/>
    <w:qFormat/>
    <w:uiPriority w:val="99"/>
    <w:pPr>
      <w:spacing w:before="120"/>
    </w:pPr>
    <w:rPr>
      <w:rFonts w:ascii="Cambria" w:hAnsi="Cambria"/>
      <w:sz w:val="24"/>
    </w:rPr>
  </w:style>
  <w:style w:type="paragraph" w:styleId="14">
    <w:name w:val="annotation text"/>
    <w:basedOn w:val="1"/>
    <w:next w:val="15"/>
    <w:link w:val="134"/>
    <w:qFormat/>
    <w:uiPriority w:val="99"/>
    <w:pPr>
      <w:autoSpaceDE w:val="0"/>
      <w:autoSpaceDN w:val="0"/>
      <w:ind w:firstLine="640" w:firstLineChars="200"/>
      <w:jc w:val="left"/>
    </w:pPr>
    <w:rPr>
      <w:rFonts w:ascii="仿宋" w:hAnsi="仿宋" w:eastAsia="仿宋_GB2312" w:cs="仿宋"/>
      <w:kern w:val="0"/>
      <w:sz w:val="32"/>
      <w:szCs w:val="22"/>
      <w:lang w:val="zh-CN" w:bidi="zh-CN"/>
    </w:rPr>
  </w:style>
  <w:style w:type="paragraph" w:styleId="15">
    <w:name w:val="Body Text 3"/>
    <w:basedOn w:val="1"/>
    <w:next w:val="16"/>
    <w:unhideWhenUsed/>
    <w:qFormat/>
    <w:uiPriority w:val="99"/>
    <w:pPr>
      <w:widowControl/>
      <w:spacing w:line="480" w:lineRule="exact"/>
    </w:pPr>
    <w:rPr>
      <w:rFonts w:hint="eastAsia" w:hAnsi="Calibri" w:eastAsia="Times New Roman"/>
      <w:kern w:val="0"/>
      <w:sz w:val="16"/>
      <w:szCs w:val="20"/>
    </w:rPr>
  </w:style>
  <w:style w:type="paragraph" w:styleId="16">
    <w:name w:val="Balloon Text"/>
    <w:basedOn w:val="1"/>
    <w:next w:val="1"/>
    <w:link w:val="99"/>
    <w:qFormat/>
    <w:uiPriority w:val="0"/>
    <w:rPr>
      <w:kern w:val="0"/>
      <w:sz w:val="18"/>
      <w:szCs w:val="18"/>
    </w:rPr>
  </w:style>
  <w:style w:type="paragraph" w:styleId="17">
    <w:name w:val="Body Text"/>
    <w:basedOn w:val="1"/>
    <w:link w:val="133"/>
    <w:qFormat/>
    <w:uiPriority w:val="0"/>
    <w:pPr>
      <w:autoSpaceDE w:val="0"/>
      <w:autoSpaceDN w:val="0"/>
      <w:spacing w:after="120"/>
      <w:ind w:firstLine="640" w:firstLineChars="200"/>
      <w:jc w:val="left"/>
    </w:pPr>
    <w:rPr>
      <w:rFonts w:ascii="仿宋" w:hAnsi="仿宋" w:eastAsia="仿宋_GB2312" w:cs="仿宋"/>
      <w:kern w:val="0"/>
      <w:sz w:val="32"/>
      <w:szCs w:val="22"/>
      <w:lang w:val="zh-CN" w:bidi="zh-CN"/>
    </w:rPr>
  </w:style>
  <w:style w:type="paragraph" w:styleId="18">
    <w:name w:val="Body Text Indent"/>
    <w:basedOn w:val="1"/>
    <w:next w:val="19"/>
    <w:link w:val="75"/>
    <w:qFormat/>
    <w:uiPriority w:val="99"/>
    <w:pPr>
      <w:spacing w:after="120"/>
      <w:ind w:left="420" w:leftChars="200"/>
    </w:pPr>
    <w:rPr>
      <w:kern w:val="0"/>
      <w:sz w:val="20"/>
    </w:rPr>
  </w:style>
  <w:style w:type="paragraph" w:styleId="19">
    <w:name w:val="envelope return"/>
    <w:basedOn w:val="1"/>
    <w:unhideWhenUsed/>
    <w:qFormat/>
    <w:uiPriority w:val="99"/>
    <w:pPr>
      <w:snapToGrid w:val="0"/>
    </w:pPr>
    <w:rPr>
      <w:rFonts w:ascii="Arial" w:hAnsi="Arial"/>
    </w:rPr>
  </w:style>
  <w:style w:type="paragraph" w:styleId="20">
    <w:name w:val="List 2"/>
    <w:basedOn w:val="1"/>
    <w:unhideWhenUsed/>
    <w:qFormat/>
    <w:uiPriority w:val="99"/>
    <w:pPr>
      <w:spacing w:before="100" w:beforeAutospacing="1" w:after="100" w:afterAutospacing="1" w:line="360" w:lineRule="auto"/>
      <w:ind w:left="100" w:leftChars="200" w:hanging="200" w:hangingChars="200"/>
      <w:contextualSpacing/>
    </w:pPr>
    <w:rPr>
      <w:sz w:val="24"/>
    </w:rPr>
  </w:style>
  <w:style w:type="paragraph" w:styleId="21">
    <w:name w:val="Plain Text"/>
    <w:basedOn w:val="1"/>
    <w:link w:val="78"/>
    <w:qFormat/>
    <w:uiPriority w:val="0"/>
    <w:pPr>
      <w:tabs>
        <w:tab w:val="left" w:pos="420"/>
      </w:tabs>
      <w:ind w:left="420" w:hanging="420"/>
    </w:pPr>
    <w:rPr>
      <w:rFonts w:ascii="宋体" w:hAnsi="Courier New"/>
      <w:kern w:val="0"/>
      <w:szCs w:val="21"/>
    </w:rPr>
  </w:style>
  <w:style w:type="paragraph" w:styleId="22">
    <w:name w:val="Date"/>
    <w:basedOn w:val="1"/>
    <w:next w:val="1"/>
    <w:link w:val="86"/>
    <w:qFormat/>
    <w:uiPriority w:val="99"/>
    <w:pPr>
      <w:ind w:left="100" w:leftChars="2500"/>
    </w:pPr>
    <w:rPr>
      <w:kern w:val="0"/>
      <w:sz w:val="20"/>
    </w:rPr>
  </w:style>
  <w:style w:type="paragraph" w:styleId="23">
    <w:name w:val="Body Text Indent 2"/>
    <w:basedOn w:val="1"/>
    <w:link w:val="82"/>
    <w:unhideWhenUsed/>
    <w:qFormat/>
    <w:uiPriority w:val="99"/>
    <w:pPr>
      <w:spacing w:after="120" w:line="480" w:lineRule="auto"/>
      <w:ind w:left="420" w:leftChars="200"/>
    </w:pPr>
    <w:rPr>
      <w:kern w:val="0"/>
      <w:sz w:val="24"/>
      <w:szCs w:val="20"/>
    </w:rPr>
  </w:style>
  <w:style w:type="paragraph" w:styleId="24">
    <w:name w:val="footer"/>
    <w:basedOn w:val="1"/>
    <w:next w:val="1"/>
    <w:link w:val="73"/>
    <w:qFormat/>
    <w:uiPriority w:val="99"/>
    <w:pPr>
      <w:tabs>
        <w:tab w:val="center" w:pos="4153"/>
        <w:tab w:val="right" w:pos="8306"/>
      </w:tabs>
      <w:snapToGrid w:val="0"/>
      <w:jc w:val="left"/>
    </w:pPr>
    <w:rPr>
      <w:kern w:val="0"/>
      <w:sz w:val="18"/>
      <w:szCs w:val="18"/>
    </w:rPr>
  </w:style>
  <w:style w:type="paragraph" w:styleId="25">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39"/>
    <w:pPr>
      <w:tabs>
        <w:tab w:val="left" w:pos="1680"/>
      </w:tabs>
      <w:spacing w:before="120" w:after="120"/>
      <w:ind w:left="1680" w:hanging="420"/>
      <w:jc w:val="left"/>
    </w:pPr>
    <w:rPr>
      <w:rFonts w:ascii="宋体" w:hAnsi="宋体"/>
      <w:bCs/>
      <w:caps/>
      <w:sz w:val="24"/>
    </w:rPr>
  </w:style>
  <w:style w:type="paragraph" w:styleId="27">
    <w:name w:val="Subtitle"/>
    <w:basedOn w:val="1"/>
    <w:next w:val="1"/>
    <w:link w:val="76"/>
    <w:qFormat/>
    <w:uiPriority w:val="0"/>
    <w:pPr>
      <w:spacing w:before="240" w:after="60" w:line="312" w:lineRule="auto"/>
      <w:jc w:val="center"/>
      <w:outlineLvl w:val="1"/>
    </w:pPr>
    <w:rPr>
      <w:rFonts w:ascii="Cambria" w:hAnsi="Cambria"/>
      <w:b/>
      <w:bCs/>
      <w:kern w:val="28"/>
      <w:sz w:val="32"/>
      <w:szCs w:val="32"/>
    </w:rPr>
  </w:style>
  <w:style w:type="paragraph" w:styleId="28">
    <w:name w:val="Body Text Indent 3"/>
    <w:basedOn w:val="1"/>
    <w:link w:val="92"/>
    <w:qFormat/>
    <w:uiPriority w:val="99"/>
    <w:pPr>
      <w:spacing w:after="120"/>
      <w:ind w:left="420" w:leftChars="200"/>
    </w:pPr>
    <w:rPr>
      <w:kern w:val="0"/>
      <w:sz w:val="16"/>
      <w:szCs w:val="16"/>
    </w:rPr>
  </w:style>
  <w:style w:type="paragraph" w:styleId="29">
    <w:name w:val="toc 2"/>
    <w:basedOn w:val="1"/>
    <w:next w:val="1"/>
    <w:qFormat/>
    <w:uiPriority w:val="39"/>
    <w:pPr>
      <w:ind w:left="210"/>
      <w:jc w:val="left"/>
    </w:pPr>
    <w:rPr>
      <w:smallCaps/>
      <w:sz w:val="20"/>
    </w:rPr>
  </w:style>
  <w:style w:type="paragraph" w:styleId="30">
    <w:name w:val="toc 9"/>
    <w:next w:val="1"/>
    <w:qFormat/>
    <w:uiPriority w:val="0"/>
    <w:pPr>
      <w:wordWrap w:val="0"/>
      <w:ind w:left="1183"/>
      <w:jc w:val="both"/>
    </w:pPr>
    <w:rPr>
      <w:rFonts w:ascii="Times New Roman" w:hAnsi="Times New Roman" w:eastAsia="宋体" w:cs="Times New Roman"/>
      <w:lang w:val="en-US" w:eastAsia="zh-CN" w:bidi="ar-SA"/>
    </w:rPr>
  </w:style>
  <w:style w:type="paragraph" w:styleId="31">
    <w:name w:val="Body Text 2"/>
    <w:basedOn w:val="1"/>
    <w:next w:val="30"/>
    <w:unhideWhenUsed/>
    <w:qFormat/>
    <w:uiPriority w:val="99"/>
    <w:pPr>
      <w:spacing w:after="120" w:line="480" w:lineRule="auto"/>
    </w:pPr>
  </w:style>
  <w:style w:type="paragraph" w:styleId="3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3">
    <w:name w:val="Normal (Web)"/>
    <w:basedOn w:val="1"/>
    <w:link w:val="147"/>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next w:val="1"/>
    <w:link w:val="74"/>
    <w:qFormat/>
    <w:uiPriority w:val="0"/>
    <w:pPr>
      <w:keepNext/>
      <w:tabs>
        <w:tab w:val="left" w:pos="420"/>
        <w:tab w:val="left" w:pos="737"/>
        <w:tab w:val="left" w:pos="1080"/>
      </w:tabs>
      <w:adjustRightInd w:val="0"/>
      <w:spacing w:before="240" w:after="60" w:line="240" w:lineRule="atLeast"/>
      <w:ind w:left="420" w:hanging="420"/>
      <w:jc w:val="left"/>
      <w:textAlignment w:val="baseline"/>
      <w:outlineLvl w:val="0"/>
    </w:pPr>
    <w:rPr>
      <w:rFonts w:ascii="Arial" w:hAnsi="Arial" w:cs="Arial"/>
      <w:b/>
      <w:bCs/>
      <w:kern w:val="0"/>
      <w:sz w:val="32"/>
      <w:szCs w:val="32"/>
    </w:rPr>
  </w:style>
  <w:style w:type="paragraph" w:styleId="35">
    <w:name w:val="annotation subject"/>
    <w:basedOn w:val="14"/>
    <w:next w:val="14"/>
    <w:link w:val="140"/>
    <w:semiHidden/>
    <w:unhideWhenUsed/>
    <w:qFormat/>
    <w:uiPriority w:val="99"/>
    <w:pPr>
      <w:autoSpaceDE/>
      <w:autoSpaceDN/>
      <w:ind w:firstLine="0" w:firstLineChars="0"/>
    </w:pPr>
    <w:rPr>
      <w:rFonts w:ascii="Times New Roman" w:hAnsi="Times New Roman" w:eastAsia="宋体" w:cs="Times New Roman"/>
      <w:b/>
      <w:bCs/>
      <w:kern w:val="2"/>
      <w:sz w:val="21"/>
      <w:szCs w:val="24"/>
      <w:lang w:val="en-US" w:bidi="ar-SA"/>
    </w:rPr>
  </w:style>
  <w:style w:type="paragraph" w:styleId="36">
    <w:name w:val="Body Text First Indent"/>
    <w:basedOn w:val="17"/>
    <w:next w:val="37"/>
    <w:link w:val="138"/>
    <w:unhideWhenUsed/>
    <w:qFormat/>
    <w:uiPriority w:val="99"/>
    <w:pPr>
      <w:autoSpaceDE/>
      <w:autoSpaceDN/>
      <w:ind w:firstLine="420" w:firstLineChars="100"/>
      <w:jc w:val="both"/>
    </w:pPr>
    <w:rPr>
      <w:rFonts w:ascii="Times New Roman" w:hAnsi="Times New Roman" w:eastAsia="宋体" w:cs="Times New Roman"/>
      <w:kern w:val="2"/>
      <w:sz w:val="21"/>
      <w:szCs w:val="24"/>
      <w:lang w:val="en-US" w:bidi="ar-SA"/>
    </w:rPr>
  </w:style>
  <w:style w:type="paragraph" w:styleId="37">
    <w:name w:val="Body Text First Indent 2"/>
    <w:basedOn w:val="18"/>
    <w:next w:val="1"/>
    <w:link w:val="77"/>
    <w:unhideWhenUsed/>
    <w:qFormat/>
    <w:uiPriority w:val="1"/>
    <w:pPr>
      <w:ind w:firstLine="420" w:firstLineChars="200"/>
    </w:pPr>
    <w:rPr>
      <w:kern w:val="2"/>
      <w:sz w:val="21"/>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rPr>
      <w:rFonts w:cs="Times New Roman"/>
    </w:rPr>
  </w:style>
  <w:style w:type="character" w:styleId="43">
    <w:name w:val="FollowedHyperlink"/>
    <w:unhideWhenUsed/>
    <w:qFormat/>
    <w:uiPriority w:val="99"/>
    <w:rPr>
      <w:rFonts w:hint="eastAsia" w:ascii="微软雅黑" w:hAnsi="微软雅黑" w:eastAsia="微软雅黑" w:cs="微软雅黑"/>
      <w:color w:val="02396F"/>
      <w:u w:val="single"/>
    </w:rPr>
  </w:style>
  <w:style w:type="character" w:styleId="44">
    <w:name w:val="Emphasis"/>
    <w:qFormat/>
    <w:uiPriority w:val="0"/>
    <w:rPr>
      <w:i/>
      <w:iCs/>
    </w:rPr>
  </w:style>
  <w:style w:type="character" w:styleId="45">
    <w:name w:val="Hyperlink"/>
    <w:qFormat/>
    <w:uiPriority w:val="99"/>
    <w:rPr>
      <w:rFonts w:cs="Times New Roman"/>
      <w:color w:val="0000FF"/>
      <w:u w:val="single"/>
    </w:rPr>
  </w:style>
  <w:style w:type="character" w:styleId="46">
    <w:name w:val="annotation reference"/>
    <w:basedOn w:val="40"/>
    <w:semiHidden/>
    <w:unhideWhenUsed/>
    <w:qFormat/>
    <w:uiPriority w:val="99"/>
    <w:rPr>
      <w:sz w:val="21"/>
      <w:szCs w:val="21"/>
    </w:rPr>
  </w:style>
  <w:style w:type="character" w:styleId="47">
    <w:name w:val="HTML Sample"/>
    <w:basedOn w:val="40"/>
    <w:semiHidden/>
    <w:unhideWhenUsed/>
    <w:qFormat/>
    <w:uiPriority w:val="99"/>
    <w:rPr>
      <w:rFonts w:ascii="Courier New" w:hAnsi="Courier New"/>
    </w:rPr>
  </w:style>
  <w:style w:type="paragraph" w:customStyle="1" w:styleId="48">
    <w:name w:val="Body Text 21"/>
    <w:basedOn w:val="1"/>
    <w:qFormat/>
    <w:uiPriority w:val="0"/>
    <w:pPr>
      <w:spacing w:line="480" w:lineRule="auto"/>
    </w:pPr>
    <w:rPr>
      <w:sz w:val="20"/>
    </w:rPr>
  </w:style>
  <w:style w:type="paragraph" w:customStyle="1" w:styleId="49">
    <w:name w:val="样式 正文首行缩进 2 + Arial"/>
    <w:basedOn w:val="1"/>
    <w:next w:val="1"/>
    <w:qFormat/>
    <w:uiPriority w:val="0"/>
    <w:pPr>
      <w:spacing w:after="120" w:line="320" w:lineRule="atLeast"/>
      <w:ind w:firstLine="200"/>
    </w:pPr>
    <w:rPr>
      <w:rFonts w:ascii="Arial" w:hAnsi="Arial"/>
      <w:kern w:val="0"/>
    </w:rPr>
  </w:style>
  <w:style w:type="paragraph" w:customStyle="1" w:styleId="50">
    <w:name w:val="Default"/>
    <w:next w:val="1"/>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51">
    <w:name w:val="大标题"/>
    <w:basedOn w:val="1"/>
    <w:next w:val="37"/>
    <w:qFormat/>
    <w:uiPriority w:val="0"/>
    <w:pPr>
      <w:jc w:val="center"/>
    </w:pPr>
    <w:rPr>
      <w:rFonts w:ascii="Arial" w:hAnsi="Arial" w:cs="Arial"/>
      <w:b/>
      <w:bCs/>
      <w:sz w:val="28"/>
      <w:szCs w:val="28"/>
    </w:rPr>
  </w:style>
  <w:style w:type="paragraph" w:customStyle="1" w:styleId="52">
    <w:name w:val="style4"/>
    <w:basedOn w:val="1"/>
    <w:next w:val="53"/>
    <w:qFormat/>
    <w:uiPriority w:val="0"/>
    <w:pPr>
      <w:widowControl/>
      <w:autoSpaceDE w:val="0"/>
      <w:autoSpaceDN w:val="0"/>
      <w:spacing w:before="100" w:beforeAutospacing="1" w:after="100" w:afterAutospacing="1"/>
      <w:ind w:firstLine="640" w:firstLineChars="200"/>
      <w:jc w:val="left"/>
    </w:pPr>
    <w:rPr>
      <w:rFonts w:ascii="宋体" w:hAnsi="宋体" w:eastAsia="仿宋_GB2312" w:cs="宋体"/>
      <w:kern w:val="0"/>
      <w:sz w:val="18"/>
      <w:szCs w:val="18"/>
      <w:lang w:val="zh-CN" w:bidi="zh-CN"/>
    </w:rPr>
  </w:style>
  <w:style w:type="paragraph" w:customStyle="1" w:styleId="5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标题 1 字符"/>
    <w:link w:val="2"/>
    <w:qFormat/>
    <w:uiPriority w:val="0"/>
    <w:rPr>
      <w:rFonts w:ascii="Arial" w:hAnsi="Arial"/>
      <w:b/>
      <w:kern w:val="44"/>
    </w:rPr>
  </w:style>
  <w:style w:type="character" w:customStyle="1" w:styleId="55">
    <w:name w:val="标题 2 字符"/>
    <w:link w:val="3"/>
    <w:qFormat/>
    <w:uiPriority w:val="0"/>
    <w:rPr>
      <w:rFonts w:ascii="Cambria" w:hAnsi="Cambria"/>
      <w:b/>
      <w:bCs/>
      <w:kern w:val="2"/>
      <w:sz w:val="32"/>
      <w:szCs w:val="32"/>
    </w:rPr>
  </w:style>
  <w:style w:type="character" w:customStyle="1" w:styleId="56">
    <w:name w:val="标题 3 字符"/>
    <w:link w:val="4"/>
    <w:qFormat/>
    <w:uiPriority w:val="99"/>
    <w:rPr>
      <w:b/>
      <w:bCs/>
      <w:kern w:val="2"/>
      <w:sz w:val="32"/>
      <w:szCs w:val="32"/>
    </w:rPr>
  </w:style>
  <w:style w:type="character" w:customStyle="1" w:styleId="57">
    <w:name w:val="标题 4 字符"/>
    <w:link w:val="5"/>
    <w:qFormat/>
    <w:uiPriority w:val="99"/>
    <w:rPr>
      <w:rFonts w:ascii="Arial" w:hAnsi="Arial" w:eastAsia="黑体"/>
      <w:b/>
      <w:bCs/>
      <w:kern w:val="2"/>
      <w:sz w:val="28"/>
      <w:szCs w:val="28"/>
    </w:rPr>
  </w:style>
  <w:style w:type="character" w:customStyle="1" w:styleId="58">
    <w:name w:val="标题 5 字符"/>
    <w:link w:val="6"/>
    <w:qFormat/>
    <w:uiPriority w:val="99"/>
    <w:rPr>
      <w:rFonts w:cs="Plotter"/>
      <w:spacing w:val="20"/>
      <w:sz w:val="28"/>
    </w:rPr>
  </w:style>
  <w:style w:type="character" w:customStyle="1" w:styleId="59">
    <w:name w:val="标题 6 字符"/>
    <w:link w:val="7"/>
    <w:qFormat/>
    <w:uiPriority w:val="99"/>
    <w:rPr>
      <w:rFonts w:ascii="Arial" w:hAnsi="Arial" w:eastAsia="黑体"/>
      <w:b/>
      <w:bCs/>
      <w:sz w:val="24"/>
      <w:szCs w:val="24"/>
    </w:rPr>
  </w:style>
  <w:style w:type="character" w:customStyle="1" w:styleId="60">
    <w:name w:val="标题 7 字符"/>
    <w:link w:val="8"/>
    <w:qFormat/>
    <w:uiPriority w:val="99"/>
    <w:rPr>
      <w:b/>
      <w:bCs/>
      <w:sz w:val="24"/>
      <w:szCs w:val="24"/>
    </w:rPr>
  </w:style>
  <w:style w:type="character" w:customStyle="1" w:styleId="61">
    <w:name w:val="标题 8 字符"/>
    <w:link w:val="9"/>
    <w:qFormat/>
    <w:uiPriority w:val="99"/>
    <w:rPr>
      <w:rFonts w:ascii="Arial" w:hAnsi="Arial" w:eastAsia="黑体"/>
      <w:sz w:val="24"/>
      <w:szCs w:val="24"/>
    </w:rPr>
  </w:style>
  <w:style w:type="character" w:customStyle="1" w:styleId="62">
    <w:name w:val="标题 9 字符"/>
    <w:link w:val="10"/>
    <w:qFormat/>
    <w:uiPriority w:val="99"/>
    <w:rPr>
      <w:rFonts w:ascii="Arial" w:hAnsi="Arial" w:eastAsia="黑体"/>
      <w:sz w:val="21"/>
      <w:szCs w:val="21"/>
    </w:rPr>
  </w:style>
  <w:style w:type="character" w:customStyle="1" w:styleId="63">
    <w:name w:val="font11"/>
    <w:basedOn w:val="40"/>
    <w:qFormat/>
    <w:uiPriority w:val="0"/>
    <w:rPr>
      <w:rFonts w:ascii="宋体" w:hAnsi="宋体" w:eastAsia="宋体" w:cs="宋体"/>
      <w:color w:val="000000"/>
      <w:sz w:val="24"/>
      <w:szCs w:val="24"/>
      <w:u w:val="none"/>
    </w:rPr>
  </w:style>
  <w:style w:type="paragraph" w:customStyle="1" w:styleId="64">
    <w:name w:val="TOC 标题6"/>
    <w:basedOn w:val="2"/>
    <w:next w:val="1"/>
    <w:unhideWhenUsed/>
    <w:qFormat/>
    <w:uiPriority w:val="39"/>
    <w:pPr>
      <w:widowControl/>
      <w:adjustRightInd/>
      <w:spacing w:line="259" w:lineRule="auto"/>
      <w:outlineLvl w:val="9"/>
    </w:pPr>
    <w:rPr>
      <w:rFonts w:ascii="Cambria" w:hAnsi="Cambria"/>
      <w:bCs/>
      <w:color w:val="365F91"/>
      <w:kern w:val="0"/>
      <w:sz w:val="32"/>
      <w:szCs w:val="32"/>
    </w:rPr>
  </w:style>
  <w:style w:type="paragraph" w:customStyle="1" w:styleId="65">
    <w:name w:val="Body text|21"/>
    <w:basedOn w:val="1"/>
    <w:link w:val="66"/>
    <w:qFormat/>
    <w:uiPriority w:val="0"/>
    <w:pPr>
      <w:shd w:val="clear" w:color="auto" w:fill="FFFFFF"/>
      <w:spacing w:before="400" w:after="100" w:line="200" w:lineRule="exact"/>
      <w:ind w:hanging="200"/>
      <w:jc w:val="distribute"/>
    </w:pPr>
    <w:rPr>
      <w:rFonts w:ascii="PMingLiU" w:hAnsi="PMingLiU" w:eastAsia="PMingLiU" w:cs="PMingLiU"/>
      <w:color w:val="000000"/>
      <w:spacing w:val="10"/>
      <w:kern w:val="0"/>
      <w:sz w:val="20"/>
      <w:lang w:val="zh-CN" w:bidi="zh-CN"/>
    </w:rPr>
  </w:style>
  <w:style w:type="character" w:customStyle="1" w:styleId="66">
    <w:name w:val="Body text|2_"/>
    <w:link w:val="65"/>
    <w:qFormat/>
    <w:uiPriority w:val="0"/>
    <w:rPr>
      <w:rFonts w:ascii="PMingLiU" w:hAnsi="PMingLiU" w:eastAsia="PMingLiU" w:cs="PMingLiU"/>
      <w:color w:val="000000"/>
      <w:spacing w:val="10"/>
      <w:shd w:val="clear" w:color="auto" w:fill="FFFFFF"/>
      <w:lang w:val="zh-CN" w:bidi="zh-CN"/>
    </w:rPr>
  </w:style>
  <w:style w:type="paragraph" w:customStyle="1" w:styleId="67">
    <w:name w:val="四级标题"/>
    <w:basedOn w:val="1"/>
    <w:qFormat/>
    <w:uiPriority w:val="0"/>
    <w:pPr>
      <w:spacing w:line="360" w:lineRule="auto"/>
    </w:pPr>
    <w:rPr>
      <w:rFonts w:ascii="宋体" w:hAnsi="宋体" w:cs="宋体"/>
      <w:b/>
      <w:sz w:val="24"/>
      <w:szCs w:val="22"/>
    </w:rPr>
  </w:style>
  <w:style w:type="paragraph" w:customStyle="1" w:styleId="68">
    <w:name w:val="正文首行缩进 21"/>
    <w:basedOn w:val="1"/>
    <w:next w:val="33"/>
    <w:qFormat/>
    <w:uiPriority w:val="0"/>
    <w:pPr>
      <w:widowControl/>
      <w:jc w:val="left"/>
    </w:pPr>
    <w:rPr>
      <w:rFonts w:ascii="Calibri" w:hAnsi="Calibri" w:cs="Calibri"/>
      <w:kern w:val="0"/>
      <w:sz w:val="24"/>
    </w:rPr>
  </w:style>
  <w:style w:type="paragraph" w:customStyle="1" w:styleId="69">
    <w:name w:val="列出段落1"/>
    <w:basedOn w:val="1"/>
    <w:qFormat/>
    <w:uiPriority w:val="99"/>
    <w:pPr>
      <w:ind w:firstLine="420" w:firstLineChars="200"/>
    </w:pPr>
    <w:rPr>
      <w:rFonts w:ascii="Calibri" w:hAnsi="Calibri"/>
      <w:szCs w:val="22"/>
    </w:rPr>
  </w:style>
  <w:style w:type="paragraph" w:customStyle="1" w:styleId="70">
    <w:name w:val="Table Paragraph"/>
    <w:basedOn w:val="1"/>
    <w:qFormat/>
    <w:uiPriority w:val="99"/>
    <w:pPr>
      <w:jc w:val="left"/>
    </w:pPr>
    <w:rPr>
      <w:rFonts w:ascii="Calibri" w:hAnsi="Calibri" w:cs="Calibri"/>
      <w:kern w:val="0"/>
      <w:sz w:val="22"/>
      <w:szCs w:val="22"/>
      <w:lang w:eastAsia="en-US"/>
    </w:rPr>
  </w:style>
  <w:style w:type="character" w:customStyle="1" w:styleId="71">
    <w:name w:val="正文缩进 字符"/>
    <w:link w:val="12"/>
    <w:qFormat/>
    <w:locked/>
    <w:uiPriority w:val="99"/>
    <w:rPr>
      <w:rFonts w:ascii="仿宋_GB2312" w:eastAsia="仿宋_GB2312"/>
      <w:sz w:val="28"/>
    </w:rPr>
  </w:style>
  <w:style w:type="character" w:customStyle="1" w:styleId="72">
    <w:name w:val="页眉 字符"/>
    <w:link w:val="25"/>
    <w:qFormat/>
    <w:uiPriority w:val="99"/>
    <w:rPr>
      <w:sz w:val="18"/>
      <w:szCs w:val="18"/>
    </w:rPr>
  </w:style>
  <w:style w:type="character" w:customStyle="1" w:styleId="73">
    <w:name w:val="页脚 字符"/>
    <w:link w:val="24"/>
    <w:qFormat/>
    <w:uiPriority w:val="99"/>
    <w:rPr>
      <w:sz w:val="18"/>
      <w:szCs w:val="18"/>
    </w:rPr>
  </w:style>
  <w:style w:type="character" w:customStyle="1" w:styleId="74">
    <w:name w:val="标题 字符"/>
    <w:link w:val="34"/>
    <w:qFormat/>
    <w:uiPriority w:val="0"/>
    <w:rPr>
      <w:rFonts w:ascii="Arial" w:hAnsi="Arial" w:cs="Arial"/>
      <w:b/>
      <w:bCs/>
      <w:sz w:val="32"/>
      <w:szCs w:val="32"/>
    </w:rPr>
  </w:style>
  <w:style w:type="character" w:customStyle="1" w:styleId="75">
    <w:name w:val="正文文本缩进 字符"/>
    <w:link w:val="18"/>
    <w:qFormat/>
    <w:uiPriority w:val="99"/>
  </w:style>
  <w:style w:type="character" w:customStyle="1" w:styleId="76">
    <w:name w:val="副标题 字符"/>
    <w:link w:val="27"/>
    <w:qFormat/>
    <w:uiPriority w:val="0"/>
    <w:rPr>
      <w:rFonts w:ascii="Cambria" w:hAnsi="Cambria"/>
      <w:b/>
      <w:bCs/>
      <w:kern w:val="28"/>
      <w:sz w:val="32"/>
      <w:szCs w:val="32"/>
    </w:rPr>
  </w:style>
  <w:style w:type="character" w:customStyle="1" w:styleId="77">
    <w:name w:val="正文文本首行缩进 2 字符"/>
    <w:link w:val="37"/>
    <w:qFormat/>
    <w:uiPriority w:val="1"/>
    <w:rPr>
      <w:kern w:val="2"/>
      <w:sz w:val="21"/>
    </w:rPr>
  </w:style>
  <w:style w:type="character" w:customStyle="1" w:styleId="78">
    <w:name w:val="纯文本 字符"/>
    <w:link w:val="21"/>
    <w:qFormat/>
    <w:uiPriority w:val="0"/>
    <w:rPr>
      <w:rFonts w:ascii="宋体" w:hAnsi="Courier New"/>
      <w:sz w:val="21"/>
      <w:szCs w:val="21"/>
    </w:rPr>
  </w:style>
  <w:style w:type="paragraph" w:styleId="79">
    <w:name w:val="List Paragraph"/>
    <w:basedOn w:val="1"/>
    <w:qFormat/>
    <w:uiPriority w:val="99"/>
    <w:pPr>
      <w:ind w:firstLine="420" w:firstLineChars="200"/>
    </w:pPr>
    <w:rPr>
      <w:rFonts w:ascii="Calibri" w:hAnsi="Calibri"/>
    </w:rPr>
  </w:style>
  <w:style w:type="character" w:customStyle="1" w:styleId="80">
    <w:name w:val="不明显强调1"/>
    <w:qFormat/>
    <w:uiPriority w:val="19"/>
    <w:rPr>
      <w:i/>
      <w:iCs/>
      <w:color w:val="808080"/>
    </w:rPr>
  </w:style>
  <w:style w:type="character" w:customStyle="1" w:styleId="81">
    <w:name w:val="cfdate"/>
    <w:qFormat/>
    <w:uiPriority w:val="0"/>
    <w:rPr>
      <w:color w:val="333333"/>
      <w:sz w:val="18"/>
      <w:szCs w:val="18"/>
    </w:rPr>
  </w:style>
  <w:style w:type="character" w:customStyle="1" w:styleId="82">
    <w:name w:val="正文文本缩进 2 字符"/>
    <w:link w:val="23"/>
    <w:qFormat/>
    <w:uiPriority w:val="99"/>
    <w:rPr>
      <w:sz w:val="24"/>
    </w:rPr>
  </w:style>
  <w:style w:type="character" w:customStyle="1" w:styleId="83">
    <w:name w:val="displayarti"/>
    <w:qFormat/>
    <w:uiPriority w:val="0"/>
    <w:rPr>
      <w:color w:val="FFFFFF"/>
      <w:shd w:val="clear" w:color="auto" w:fill="A00000"/>
    </w:rPr>
  </w:style>
  <w:style w:type="character" w:customStyle="1" w:styleId="84">
    <w:name w:val="_正文段落 Char"/>
    <w:link w:val="85"/>
    <w:qFormat/>
    <w:locked/>
    <w:uiPriority w:val="0"/>
    <w:rPr>
      <w:rFonts w:ascii="宋体" w:hAnsi="宋体" w:eastAsia="仿宋_GB2312"/>
      <w:sz w:val="24"/>
      <w:szCs w:val="24"/>
    </w:rPr>
  </w:style>
  <w:style w:type="paragraph" w:customStyle="1" w:styleId="85">
    <w:name w:val="_正文段落"/>
    <w:basedOn w:val="1"/>
    <w:link w:val="84"/>
    <w:qFormat/>
    <w:uiPriority w:val="0"/>
    <w:pPr>
      <w:spacing w:beforeLines="15" w:line="360" w:lineRule="auto"/>
      <w:ind w:firstLine="480" w:firstLineChars="200"/>
    </w:pPr>
    <w:rPr>
      <w:rFonts w:ascii="宋体" w:hAnsi="宋体" w:eastAsia="仿宋_GB2312"/>
      <w:kern w:val="0"/>
      <w:sz w:val="24"/>
    </w:rPr>
  </w:style>
  <w:style w:type="character" w:customStyle="1" w:styleId="86">
    <w:name w:val="日期 字符"/>
    <w:link w:val="22"/>
    <w:qFormat/>
    <w:uiPriority w:val="99"/>
    <w:rPr>
      <w:szCs w:val="24"/>
    </w:rPr>
  </w:style>
  <w:style w:type="character" w:customStyle="1" w:styleId="87">
    <w:name w:val="gjfg"/>
    <w:qFormat/>
    <w:uiPriority w:val="0"/>
  </w:style>
  <w:style w:type="character" w:customStyle="1" w:styleId="88">
    <w:name w:val="font01"/>
    <w:qFormat/>
    <w:uiPriority w:val="0"/>
    <w:rPr>
      <w:rFonts w:hint="eastAsia" w:ascii="宋体" w:hAnsi="宋体" w:eastAsia="宋体" w:cs="宋体"/>
      <w:color w:val="000000"/>
      <w:sz w:val="24"/>
      <w:szCs w:val="24"/>
      <w:u w:val="none"/>
    </w:rPr>
  </w:style>
  <w:style w:type="character" w:customStyle="1" w:styleId="89">
    <w:name w:val="qxdate"/>
    <w:qFormat/>
    <w:uiPriority w:val="0"/>
    <w:rPr>
      <w:color w:val="333333"/>
      <w:sz w:val="18"/>
      <w:szCs w:val="18"/>
    </w:rPr>
  </w:style>
  <w:style w:type="character" w:customStyle="1" w:styleId="90">
    <w:name w:val="redfilefwwh"/>
    <w:qFormat/>
    <w:uiPriority w:val="0"/>
    <w:rPr>
      <w:color w:val="BA2636"/>
      <w:sz w:val="18"/>
      <w:szCs w:val="18"/>
    </w:rPr>
  </w:style>
  <w:style w:type="character" w:customStyle="1" w:styleId="91">
    <w:name w:val="批注框文本 Char1"/>
    <w:semiHidden/>
    <w:qFormat/>
    <w:uiPriority w:val="99"/>
    <w:rPr>
      <w:kern w:val="2"/>
      <w:sz w:val="18"/>
      <w:szCs w:val="18"/>
    </w:rPr>
  </w:style>
  <w:style w:type="character" w:customStyle="1" w:styleId="92">
    <w:name w:val="正文文本缩进 3 字符"/>
    <w:link w:val="28"/>
    <w:qFormat/>
    <w:uiPriority w:val="99"/>
    <w:rPr>
      <w:sz w:val="16"/>
      <w:szCs w:val="16"/>
    </w:rPr>
  </w:style>
  <w:style w:type="character" w:customStyle="1" w:styleId="93">
    <w:name w:val="正文文本缩进 Char1"/>
    <w:semiHidden/>
    <w:qFormat/>
    <w:uiPriority w:val="99"/>
    <w:rPr>
      <w:kern w:val="2"/>
      <w:sz w:val="21"/>
      <w:szCs w:val="24"/>
    </w:rPr>
  </w:style>
  <w:style w:type="character" w:customStyle="1" w:styleId="94">
    <w:name w:val="04-正文 Char Char"/>
    <w:link w:val="95"/>
    <w:qFormat/>
    <w:locked/>
    <w:uiPriority w:val="0"/>
    <w:rPr>
      <w:szCs w:val="24"/>
    </w:rPr>
  </w:style>
  <w:style w:type="paragraph" w:customStyle="1" w:styleId="95">
    <w:name w:val="04-正文"/>
    <w:basedOn w:val="1"/>
    <w:link w:val="94"/>
    <w:qFormat/>
    <w:uiPriority w:val="0"/>
    <w:pPr>
      <w:spacing w:line="360" w:lineRule="exact"/>
      <w:ind w:firstLine="420"/>
    </w:pPr>
    <w:rPr>
      <w:kern w:val="0"/>
      <w:sz w:val="20"/>
    </w:rPr>
  </w:style>
  <w:style w:type="character" w:customStyle="1" w:styleId="96">
    <w:name w:val="px_10"/>
    <w:qFormat/>
    <w:uiPriority w:val="0"/>
    <w:rPr>
      <w:rFonts w:ascii="Tahoma" w:hAnsi="Tahoma"/>
      <w:sz w:val="24"/>
      <w:szCs w:val="20"/>
    </w:rPr>
  </w:style>
  <w:style w:type="character" w:customStyle="1" w:styleId="97">
    <w:name w:val="正文文本缩进 2 Char1"/>
    <w:semiHidden/>
    <w:qFormat/>
    <w:uiPriority w:val="99"/>
    <w:rPr>
      <w:kern w:val="2"/>
      <w:sz w:val="21"/>
      <w:szCs w:val="24"/>
    </w:rPr>
  </w:style>
  <w:style w:type="character" w:customStyle="1" w:styleId="98">
    <w:name w:val="redfilenumber"/>
    <w:qFormat/>
    <w:uiPriority w:val="0"/>
    <w:rPr>
      <w:color w:val="BA2636"/>
      <w:sz w:val="18"/>
      <w:szCs w:val="18"/>
    </w:rPr>
  </w:style>
  <w:style w:type="character" w:customStyle="1" w:styleId="99">
    <w:name w:val="批注框文本 字符"/>
    <w:link w:val="16"/>
    <w:qFormat/>
    <w:uiPriority w:val="0"/>
    <w:rPr>
      <w:sz w:val="18"/>
      <w:szCs w:val="18"/>
    </w:rPr>
  </w:style>
  <w:style w:type="character" w:customStyle="1" w:styleId="100">
    <w:name w:val="页眉 Char1"/>
    <w:semiHidden/>
    <w:qFormat/>
    <w:uiPriority w:val="99"/>
    <w:rPr>
      <w:kern w:val="2"/>
      <w:sz w:val="18"/>
      <w:szCs w:val="18"/>
    </w:rPr>
  </w:style>
  <w:style w:type="character" w:customStyle="1" w:styleId="101">
    <w:name w:val="无"/>
    <w:qFormat/>
    <w:uiPriority w:val="99"/>
  </w:style>
  <w:style w:type="character" w:customStyle="1" w:styleId="102">
    <w:name w:val="页脚 Char1"/>
    <w:semiHidden/>
    <w:qFormat/>
    <w:uiPriority w:val="99"/>
    <w:rPr>
      <w:kern w:val="2"/>
      <w:sz w:val="18"/>
      <w:szCs w:val="18"/>
    </w:rPr>
  </w:style>
  <w:style w:type="character" w:customStyle="1" w:styleId="103">
    <w:name w:val="font12"/>
    <w:qFormat/>
    <w:uiPriority w:val="0"/>
    <w:rPr>
      <w:rFonts w:hint="eastAsia" w:ascii="宋体" w:hAnsi="宋体" w:eastAsia="宋体" w:cs="宋体"/>
      <w:color w:val="000000"/>
      <w:sz w:val="22"/>
      <w:szCs w:val="22"/>
      <w:u w:val="none"/>
    </w:rPr>
  </w:style>
  <w:style w:type="character" w:customStyle="1" w:styleId="104">
    <w:name w:val="纯文本 Char1"/>
    <w:semiHidden/>
    <w:qFormat/>
    <w:uiPriority w:val="99"/>
    <w:rPr>
      <w:rFonts w:hint="eastAsia" w:ascii="宋体" w:hAnsi="Courier New" w:eastAsia="宋体" w:cs="Courier New"/>
      <w:kern w:val="2"/>
      <w:sz w:val="21"/>
      <w:szCs w:val="21"/>
    </w:rPr>
  </w:style>
  <w:style w:type="character" w:customStyle="1" w:styleId="105">
    <w:name w:val="日期 Char1"/>
    <w:semiHidden/>
    <w:qFormat/>
    <w:uiPriority w:val="99"/>
    <w:rPr>
      <w:kern w:val="2"/>
      <w:sz w:val="21"/>
      <w:szCs w:val="24"/>
    </w:rPr>
  </w:style>
  <w:style w:type="character" w:customStyle="1" w:styleId="106">
    <w:name w:val="正文文本缩进 3 Char1"/>
    <w:semiHidden/>
    <w:qFormat/>
    <w:uiPriority w:val="99"/>
    <w:rPr>
      <w:kern w:val="2"/>
      <w:sz w:val="16"/>
      <w:szCs w:val="16"/>
    </w:rPr>
  </w:style>
  <w:style w:type="paragraph" w:customStyle="1" w:styleId="107">
    <w:name w:val="Char1 Char Char Char_0"/>
    <w:basedOn w:val="1"/>
    <w:qFormat/>
    <w:uiPriority w:val="99"/>
    <w:rPr>
      <w:rFonts w:ascii="Tahoma" w:hAnsi="Tahoma"/>
      <w:sz w:val="24"/>
      <w:szCs w:val="20"/>
    </w:rPr>
  </w:style>
  <w:style w:type="paragraph" w:customStyle="1" w:styleId="108">
    <w:name w:val="Char Char Char_0"/>
    <w:basedOn w:val="1"/>
    <w:qFormat/>
    <w:uiPriority w:val="99"/>
    <w:rPr>
      <w:rFonts w:ascii="Tahoma" w:hAnsi="Tahoma"/>
      <w:sz w:val="24"/>
      <w:szCs w:val="20"/>
    </w:rPr>
  </w:style>
  <w:style w:type="paragraph" w:customStyle="1" w:styleId="109">
    <w:name w:val="WPSOffice手动目录 1"/>
    <w:qFormat/>
    <w:uiPriority w:val="99"/>
    <w:rPr>
      <w:rFonts w:ascii="Times New Roman" w:hAnsi="Times New Roman" w:eastAsia="宋体" w:cs="Times New Roman"/>
      <w:lang w:val="en-US" w:eastAsia="zh-CN" w:bidi="ar-SA"/>
    </w:rPr>
  </w:style>
  <w:style w:type="paragraph" w:customStyle="1" w:styleId="110">
    <w:name w:val="List Paragraph1"/>
    <w:basedOn w:val="1"/>
    <w:qFormat/>
    <w:uiPriority w:val="99"/>
    <w:pPr>
      <w:ind w:firstLine="420" w:firstLineChars="200"/>
    </w:pPr>
  </w:style>
  <w:style w:type="character" w:customStyle="1" w:styleId="111">
    <w:name w:val="正文文本缩进 3 Char2"/>
    <w:basedOn w:val="40"/>
    <w:semiHidden/>
    <w:qFormat/>
    <w:uiPriority w:val="99"/>
    <w:rPr>
      <w:kern w:val="2"/>
      <w:sz w:val="16"/>
      <w:szCs w:val="16"/>
    </w:rPr>
  </w:style>
  <w:style w:type="character" w:customStyle="1" w:styleId="112">
    <w:name w:val="正文文本缩进 2 Char2"/>
    <w:basedOn w:val="40"/>
    <w:semiHidden/>
    <w:qFormat/>
    <w:uiPriority w:val="99"/>
    <w:rPr>
      <w:kern w:val="2"/>
      <w:sz w:val="21"/>
      <w:szCs w:val="24"/>
    </w:rPr>
  </w:style>
  <w:style w:type="paragraph" w:customStyle="1" w:styleId="113">
    <w:name w:val="Char_0"/>
    <w:basedOn w:val="1"/>
    <w:qFormat/>
    <w:uiPriority w:val="99"/>
    <w:pPr>
      <w:spacing w:line="240" w:lineRule="atLeast"/>
      <w:ind w:left="420" w:firstLine="420"/>
    </w:pPr>
    <w:rPr>
      <w:kern w:val="0"/>
      <w:szCs w:val="21"/>
    </w:rPr>
  </w:style>
  <w:style w:type="paragraph" w:customStyle="1" w:styleId="114">
    <w:name w:val="H-TextFormat"/>
    <w:qFormat/>
    <w:uiPriority w:val="99"/>
    <w:pPr>
      <w:autoSpaceDE w:val="0"/>
      <w:autoSpaceDN w:val="0"/>
      <w:adjustRightInd w:val="0"/>
    </w:pPr>
    <w:rPr>
      <w:rFonts w:ascii="Arial" w:hAnsi="Arial" w:eastAsia="宋体" w:cs="Arial"/>
      <w:sz w:val="22"/>
      <w:szCs w:val="22"/>
      <w:lang w:val="en-US" w:eastAsia="zh-CN" w:bidi="ar-SA"/>
    </w:rPr>
  </w:style>
  <w:style w:type="paragraph" w:customStyle="1" w:styleId="115">
    <w:name w:val="Char"/>
    <w:basedOn w:val="1"/>
    <w:qFormat/>
    <w:uiPriority w:val="99"/>
    <w:pPr>
      <w:spacing w:line="240" w:lineRule="atLeast"/>
      <w:ind w:left="420" w:firstLine="420"/>
    </w:pPr>
    <w:rPr>
      <w:kern w:val="0"/>
      <w:szCs w:val="21"/>
    </w:rPr>
  </w:style>
  <w:style w:type="paragraph" w:customStyle="1" w:styleId="116">
    <w:name w:val="Char1 Char Char Char"/>
    <w:basedOn w:val="1"/>
    <w:qFormat/>
    <w:uiPriority w:val="99"/>
    <w:rPr>
      <w:rFonts w:ascii="Tahoma" w:hAnsi="Tahoma"/>
      <w:sz w:val="24"/>
      <w:szCs w:val="20"/>
    </w:rPr>
  </w:style>
  <w:style w:type="paragraph" w:customStyle="1" w:styleId="117">
    <w:name w:val="Style1"/>
    <w:basedOn w:val="1"/>
    <w:qFormat/>
    <w:uiPriority w:val="99"/>
    <w:pPr>
      <w:tabs>
        <w:tab w:val="left" w:pos="-720"/>
      </w:tabs>
      <w:spacing w:after="120"/>
    </w:pPr>
    <w:rPr>
      <w:spacing w:val="-3"/>
      <w:sz w:val="24"/>
      <w:szCs w:val="20"/>
      <w:lang w:val="en-AU" w:eastAsia="en-US"/>
    </w:rPr>
  </w:style>
  <w:style w:type="paragraph" w:customStyle="1" w:styleId="118">
    <w:name w:val="样式 标题 4 + 段前: 5 磅 段后: 5 磅 行距: 单倍行距"/>
    <w:basedOn w:val="5"/>
    <w:qFormat/>
    <w:uiPriority w:val="99"/>
    <w:pPr>
      <w:tabs>
        <w:tab w:val="left" w:pos="227"/>
        <w:tab w:val="left" w:pos="2280"/>
      </w:tabs>
      <w:adjustRightInd w:val="0"/>
      <w:spacing w:before="100" w:after="100" w:line="240" w:lineRule="auto"/>
      <w:ind w:left="2280" w:hanging="420"/>
      <w:jc w:val="left"/>
      <w:textAlignment w:val="baseline"/>
    </w:pPr>
    <w:rPr>
      <w:rFonts w:cs="宋体"/>
      <w:kern w:val="0"/>
      <w:szCs w:val="20"/>
    </w:rPr>
  </w:style>
  <w:style w:type="paragraph" w:customStyle="1" w:styleId="119">
    <w:name w:val="p0"/>
    <w:basedOn w:val="1"/>
    <w:qFormat/>
    <w:uiPriority w:val="99"/>
    <w:pPr>
      <w:widowControl/>
    </w:pPr>
    <w:rPr>
      <w:kern w:val="0"/>
      <w:szCs w:val="21"/>
    </w:rPr>
  </w:style>
  <w:style w:type="paragraph" w:customStyle="1" w:styleId="120">
    <w:name w:val="图"/>
    <w:basedOn w:val="1"/>
    <w:qFormat/>
    <w:uiPriority w:val="99"/>
    <w:pPr>
      <w:keepNext/>
      <w:adjustRightInd w:val="0"/>
      <w:spacing w:before="60" w:after="60" w:line="300" w:lineRule="auto"/>
      <w:jc w:val="center"/>
      <w:textAlignment w:val="center"/>
    </w:pPr>
    <w:rPr>
      <w:snapToGrid w:val="0"/>
      <w:spacing w:val="20"/>
      <w:kern w:val="0"/>
      <w:sz w:val="24"/>
      <w:szCs w:val="20"/>
    </w:rPr>
  </w:style>
  <w:style w:type="character" w:customStyle="1" w:styleId="121">
    <w:name w:val="日期 Char2"/>
    <w:basedOn w:val="40"/>
    <w:semiHidden/>
    <w:qFormat/>
    <w:uiPriority w:val="99"/>
    <w:rPr>
      <w:kern w:val="2"/>
      <w:sz w:val="21"/>
      <w:szCs w:val="24"/>
    </w:rPr>
  </w:style>
  <w:style w:type="paragraph" w:customStyle="1" w:styleId="122">
    <w:name w:val="正文1"/>
    <w:basedOn w:val="1"/>
    <w:qFormat/>
    <w:uiPriority w:val="0"/>
    <w:pPr>
      <w:spacing w:line="360" w:lineRule="auto"/>
      <w:ind w:left="600" w:leftChars="600" w:firstLine="540" w:firstLineChars="257"/>
    </w:pPr>
    <w:rPr>
      <w:rFonts w:ascii="宋体" w:hAnsi="宋体"/>
    </w:rPr>
  </w:style>
  <w:style w:type="paragraph" w:customStyle="1" w:styleId="123">
    <w:name w:val="列出段落2"/>
    <w:basedOn w:val="1"/>
    <w:qFormat/>
    <w:uiPriority w:val="99"/>
    <w:pPr>
      <w:ind w:firstLine="420" w:firstLineChars="200"/>
    </w:pPr>
  </w:style>
  <w:style w:type="paragraph" w:customStyle="1" w:styleId="124">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character" w:customStyle="1" w:styleId="125">
    <w:name w:val="批注框文本 Char2"/>
    <w:basedOn w:val="40"/>
    <w:semiHidden/>
    <w:qFormat/>
    <w:uiPriority w:val="99"/>
    <w:rPr>
      <w:kern w:val="2"/>
      <w:sz w:val="18"/>
      <w:szCs w:val="18"/>
    </w:rPr>
  </w:style>
  <w:style w:type="paragraph" w:customStyle="1" w:styleId="126">
    <w:name w:val="列出段落11"/>
    <w:basedOn w:val="1"/>
    <w:qFormat/>
    <w:uiPriority w:val="99"/>
    <w:pPr>
      <w:ind w:firstLine="420" w:firstLineChars="200"/>
    </w:pPr>
  </w:style>
  <w:style w:type="paragraph" w:customStyle="1" w:styleId="127">
    <w:name w:val="Char Char Char Char Char Char Char Char Char1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28">
    <w:name w:val="样式 标题 3h3H3sect1.2.3 + 五号 段前: 6 磅 段后: 6 磅 行距: 单倍行距"/>
    <w:basedOn w:val="4"/>
    <w:qFormat/>
    <w:uiPriority w:val="99"/>
    <w:pPr>
      <w:tabs>
        <w:tab w:val="left" w:pos="85"/>
        <w:tab w:val="left" w:pos="1860"/>
      </w:tabs>
      <w:adjustRightInd w:val="0"/>
      <w:spacing w:before="120" w:after="120" w:line="240" w:lineRule="auto"/>
      <w:ind w:left="1860" w:hanging="420"/>
      <w:jc w:val="left"/>
      <w:textAlignment w:val="baseline"/>
    </w:pPr>
    <w:rPr>
      <w:rFonts w:cs="宋体"/>
      <w:kern w:val="0"/>
      <w:sz w:val="21"/>
      <w:szCs w:val="20"/>
    </w:rPr>
  </w:style>
  <w:style w:type="paragraph" w:customStyle="1" w:styleId="129">
    <w:name w:val="样式1"/>
    <w:basedOn w:val="1"/>
    <w:qFormat/>
    <w:uiPriority w:val="0"/>
    <w:pPr>
      <w:adjustRightInd w:val="0"/>
      <w:textAlignment w:val="baseline"/>
    </w:pPr>
    <w:rPr>
      <w:rFonts w:ascii="宋体" w:hAnsi="宋体"/>
      <w:kern w:val="0"/>
      <w:szCs w:val="21"/>
    </w:rPr>
  </w:style>
  <w:style w:type="paragraph" w:customStyle="1" w:styleId="130">
    <w:name w:val="样式 标题 2 + 宋体 五号 非加粗 黑色"/>
    <w:basedOn w:val="3"/>
    <w:qFormat/>
    <w:uiPriority w:val="99"/>
    <w:pPr>
      <w:adjustRightInd w:val="0"/>
      <w:spacing w:line="416" w:lineRule="atLeast"/>
      <w:jc w:val="left"/>
      <w:textAlignment w:val="baseline"/>
    </w:pPr>
    <w:rPr>
      <w:rFonts w:ascii="宋体" w:hAnsi="宋体"/>
      <w:b w:val="0"/>
      <w:bCs w:val="0"/>
      <w:color w:val="000000"/>
      <w:sz w:val="21"/>
    </w:rPr>
  </w:style>
  <w:style w:type="paragraph" w:customStyle="1" w:styleId="131">
    <w:name w:val="Body text|1"/>
    <w:basedOn w:val="1"/>
    <w:qFormat/>
    <w:uiPriority w:val="99"/>
    <w:pPr>
      <w:spacing w:line="417" w:lineRule="auto"/>
      <w:ind w:firstLine="400"/>
    </w:pPr>
    <w:rPr>
      <w:rFonts w:ascii="宋体" w:hAnsi="宋体" w:cs="宋体"/>
      <w:sz w:val="30"/>
      <w:szCs w:val="30"/>
      <w:lang w:val="zh-TW" w:eastAsia="zh-TW" w:bidi="zh-TW"/>
    </w:rPr>
  </w:style>
  <w:style w:type="paragraph" w:customStyle="1" w:styleId="132">
    <w:name w:val="Char Char Char"/>
    <w:basedOn w:val="1"/>
    <w:qFormat/>
    <w:uiPriority w:val="99"/>
  </w:style>
  <w:style w:type="character" w:customStyle="1" w:styleId="133">
    <w:name w:val="正文文本 字符"/>
    <w:basedOn w:val="40"/>
    <w:link w:val="17"/>
    <w:qFormat/>
    <w:uiPriority w:val="0"/>
    <w:rPr>
      <w:rFonts w:ascii="仿宋" w:hAnsi="仿宋" w:eastAsia="仿宋_GB2312" w:cs="仿宋"/>
      <w:sz w:val="32"/>
      <w:szCs w:val="22"/>
      <w:lang w:val="zh-CN" w:bidi="zh-CN"/>
    </w:rPr>
  </w:style>
  <w:style w:type="character" w:customStyle="1" w:styleId="134">
    <w:name w:val="批注文字 字符"/>
    <w:basedOn w:val="40"/>
    <w:link w:val="14"/>
    <w:qFormat/>
    <w:uiPriority w:val="99"/>
    <w:rPr>
      <w:rFonts w:ascii="仿宋" w:hAnsi="仿宋" w:eastAsia="仿宋_GB2312" w:cs="仿宋"/>
      <w:sz w:val="32"/>
      <w:szCs w:val="22"/>
      <w:lang w:val="zh-CN" w:bidi="zh-CN"/>
    </w:rPr>
  </w:style>
  <w:style w:type="paragraph" w:customStyle="1" w:styleId="135">
    <w:name w:val="正文格式"/>
    <w:basedOn w:val="1"/>
    <w:qFormat/>
    <w:uiPriority w:val="0"/>
    <w:pPr>
      <w:widowControl/>
      <w:autoSpaceDE w:val="0"/>
      <w:autoSpaceDN w:val="0"/>
      <w:adjustRightInd w:val="0"/>
      <w:snapToGrid w:val="0"/>
      <w:spacing w:line="360" w:lineRule="atLeast"/>
      <w:ind w:firstLine="482" w:firstLineChars="200"/>
      <w:jc w:val="left"/>
      <w:textAlignment w:val="baseline"/>
    </w:pPr>
    <w:rPr>
      <w:rFonts w:ascii="宋体" w:hAnsi="宋体" w:eastAsia="仿宋_GB2312" w:cs="宋体"/>
      <w:kern w:val="0"/>
      <w:sz w:val="24"/>
      <w:szCs w:val="22"/>
      <w:lang w:val="zh-CN" w:bidi="zh-CN"/>
    </w:rPr>
  </w:style>
  <w:style w:type="paragraph" w:customStyle="1" w:styleId="136">
    <w:name w:val="标准正文"/>
    <w:basedOn w:val="1"/>
    <w:qFormat/>
    <w:uiPriority w:val="0"/>
    <w:pPr>
      <w:autoSpaceDE w:val="0"/>
      <w:autoSpaceDN w:val="0"/>
      <w:spacing w:line="360" w:lineRule="auto"/>
      <w:ind w:firstLine="420" w:firstLineChars="200"/>
      <w:jc w:val="left"/>
    </w:pPr>
    <w:rPr>
      <w:rFonts w:ascii="Calibri" w:hAnsi="Calibri" w:eastAsia="仿宋_GB2312" w:cs="仿宋"/>
      <w:kern w:val="0"/>
      <w:sz w:val="32"/>
      <w:szCs w:val="22"/>
      <w:lang w:val="zh-CN" w:bidi="zh-CN"/>
    </w:rPr>
  </w:style>
  <w:style w:type="paragraph" w:customStyle="1" w:styleId="137">
    <w:name w:val="Body Text First Indent 21"/>
    <w:basedOn w:val="1"/>
    <w:qFormat/>
    <w:uiPriority w:val="0"/>
    <w:pPr>
      <w:spacing w:after="120"/>
      <w:ind w:left="420" w:leftChars="200" w:firstLine="420" w:firstLineChars="200"/>
    </w:pPr>
  </w:style>
  <w:style w:type="character" w:customStyle="1" w:styleId="138">
    <w:name w:val="正文文本首行缩进 字符"/>
    <w:basedOn w:val="133"/>
    <w:link w:val="36"/>
    <w:qFormat/>
    <w:uiPriority w:val="99"/>
    <w:rPr>
      <w:rFonts w:ascii="仿宋" w:hAnsi="仿宋" w:eastAsia="仿宋_GB2312" w:cs="仿宋"/>
      <w:kern w:val="2"/>
      <w:sz w:val="21"/>
      <w:szCs w:val="24"/>
      <w:lang w:val="zh-CN" w:bidi="zh-CN"/>
    </w:rPr>
  </w:style>
  <w:style w:type="paragraph" w:customStyle="1" w:styleId="139">
    <w:name w:val="样式"/>
    <w:qFormat/>
    <w:uiPriority w:val="99"/>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140">
    <w:name w:val="批注主题 字符"/>
    <w:basedOn w:val="134"/>
    <w:link w:val="35"/>
    <w:semiHidden/>
    <w:qFormat/>
    <w:uiPriority w:val="99"/>
    <w:rPr>
      <w:rFonts w:ascii="仿宋" w:hAnsi="仿宋" w:eastAsia="仿宋_GB2312" w:cs="仿宋"/>
      <w:b/>
      <w:bCs/>
      <w:kern w:val="2"/>
      <w:sz w:val="21"/>
      <w:szCs w:val="24"/>
      <w:lang w:val="zh-CN" w:bidi="zh-CN"/>
    </w:rPr>
  </w:style>
  <w:style w:type="character" w:customStyle="1" w:styleId="141">
    <w:name w:val="环小四1.1（二级） Char"/>
    <w:link w:val="142"/>
    <w:qFormat/>
    <w:locked/>
    <w:uiPriority w:val="0"/>
    <w:rPr>
      <w:rFonts w:ascii="宋体" w:hAnsi="宋体"/>
      <w:b/>
      <w:bCs/>
      <w:kern w:val="24"/>
      <w:sz w:val="24"/>
      <w:szCs w:val="24"/>
    </w:rPr>
  </w:style>
  <w:style w:type="paragraph" w:customStyle="1" w:styleId="142">
    <w:name w:val="环小四1.1（二级）"/>
    <w:link w:val="141"/>
    <w:qFormat/>
    <w:uiPriority w:val="0"/>
    <w:pPr>
      <w:widowControl w:val="0"/>
      <w:jc w:val="both"/>
      <w:outlineLvl w:val="1"/>
    </w:pPr>
    <w:rPr>
      <w:rFonts w:ascii="宋体" w:hAnsi="宋体" w:eastAsia="宋体" w:cs="Times New Roman"/>
      <w:b/>
      <w:bCs/>
      <w:kern w:val="24"/>
      <w:sz w:val="24"/>
      <w:szCs w:val="24"/>
      <w:lang w:val="en-US" w:eastAsia="zh-CN" w:bidi="ar-SA"/>
    </w:rPr>
  </w:style>
  <w:style w:type="table" w:customStyle="1" w:styleId="143">
    <w:name w:val="网格型1"/>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5">
    <w:name w:val="无间隔1"/>
    <w:basedOn w:val="1"/>
    <w:qFormat/>
    <w:uiPriority w:val="0"/>
    <w:rPr>
      <w:rFonts w:ascii="Calibri" w:hAnsi="Calibri" w:cs="Calibri"/>
      <w:sz w:val="22"/>
      <w:szCs w:val="22"/>
    </w:rPr>
  </w:style>
  <w:style w:type="paragraph" w:customStyle="1" w:styleId="146">
    <w:name w:val="表格文字"/>
    <w:basedOn w:val="1"/>
    <w:next w:val="17"/>
    <w:qFormat/>
    <w:uiPriority w:val="0"/>
    <w:pPr>
      <w:adjustRightInd w:val="0"/>
      <w:spacing w:line="420" w:lineRule="atLeast"/>
      <w:jc w:val="left"/>
      <w:textAlignment w:val="baseline"/>
    </w:pPr>
    <w:rPr>
      <w:kern w:val="0"/>
      <w:szCs w:val="20"/>
    </w:rPr>
  </w:style>
  <w:style w:type="character" w:customStyle="1" w:styleId="147">
    <w:name w:val="普通(网站) 字符"/>
    <w:link w:val="33"/>
    <w:qFormat/>
    <w:uiPriority w:val="0"/>
    <w:rPr>
      <w:rFonts w:ascii="宋体" w:hAnsi="宋体" w:cs="宋体"/>
      <w:sz w:val="24"/>
      <w:szCs w:val="24"/>
    </w:rPr>
  </w:style>
  <w:style w:type="paragraph" w:styleId="148">
    <w:name w:val="Quote"/>
    <w:basedOn w:val="1"/>
    <w:next w:val="1"/>
    <w:qFormat/>
    <w:uiPriority w:val="29"/>
    <w:pPr>
      <w:spacing w:beforeLines="50" w:afterLines="50" w:line="360" w:lineRule="auto"/>
    </w:pPr>
    <w:rPr>
      <w:i/>
      <w:iCs/>
      <w:color w:val="000000"/>
      <w:lang w:val="zh-CN"/>
    </w:rPr>
  </w:style>
  <w:style w:type="character" w:customStyle="1" w:styleId="149">
    <w:name w:val="font21"/>
    <w:basedOn w:val="40"/>
    <w:qFormat/>
    <w:uiPriority w:val="0"/>
    <w:rPr>
      <w:rFonts w:hint="default" w:ascii="Times New Roman" w:hAnsi="Times New Roman" w:cs="Times New Roman"/>
      <w:color w:val="000000"/>
      <w:sz w:val="21"/>
      <w:szCs w:val="21"/>
      <w:u w:val="none"/>
    </w:rPr>
  </w:style>
  <w:style w:type="character" w:customStyle="1" w:styleId="150">
    <w:name w:val="font31"/>
    <w:basedOn w:val="40"/>
    <w:qFormat/>
    <w:uiPriority w:val="0"/>
    <w:rPr>
      <w:rFonts w:ascii="新宋体" w:hAnsi="新宋体" w:eastAsia="新宋体" w:cs="新宋体"/>
      <w:color w:val="000000"/>
      <w:sz w:val="22"/>
      <w:szCs w:val="22"/>
      <w:u w:val="none"/>
    </w:rPr>
  </w:style>
  <w:style w:type="character" w:customStyle="1" w:styleId="151">
    <w:name w:val="font41"/>
    <w:basedOn w:val="40"/>
    <w:qFormat/>
    <w:uiPriority w:val="0"/>
    <w:rPr>
      <w:rFonts w:hint="eastAsia" w:ascii="仿宋" w:hAnsi="仿宋" w:eastAsia="仿宋" w:cs="仿宋"/>
      <w:color w:val="000000"/>
      <w:sz w:val="22"/>
      <w:szCs w:val="22"/>
      <w:u w:val="none"/>
    </w:rPr>
  </w:style>
  <w:style w:type="paragraph" w:customStyle="1" w:styleId="152">
    <w:name w:val="BodyText1I2"/>
    <w:basedOn w:val="153"/>
    <w:qFormat/>
    <w:uiPriority w:val="0"/>
    <w:pPr>
      <w:ind w:firstLine="420"/>
    </w:pPr>
  </w:style>
  <w:style w:type="paragraph" w:customStyle="1" w:styleId="153">
    <w:name w:val="BodyTextIndent"/>
    <w:basedOn w:val="1"/>
    <w:qFormat/>
    <w:uiPriority w:val="0"/>
    <w:pPr>
      <w:widowControl/>
      <w:ind w:firstLine="540"/>
      <w:textAlignment w:val="baseline"/>
    </w:pPr>
    <w:rPr>
      <w:rFonts w:ascii="宋体" w:hAnsi="MS Sans Serif"/>
      <w:spacing w:val="12"/>
      <w:kern w:val="0"/>
      <w:szCs w:val="20"/>
    </w:rPr>
  </w:style>
  <w:style w:type="paragraph" w:customStyle="1" w:styleId="1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55">
    <w:name w:val="font51"/>
    <w:basedOn w:val="40"/>
    <w:qFormat/>
    <w:uiPriority w:val="0"/>
    <w:rPr>
      <w:rFonts w:hint="eastAsia" w:ascii="宋体" w:hAnsi="宋体" w:eastAsia="宋体" w:cs="宋体"/>
      <w:color w:val="000000"/>
      <w:sz w:val="18"/>
      <w:szCs w:val="18"/>
      <w:u w:val="none"/>
    </w:rPr>
  </w:style>
  <w:style w:type="paragraph" w:customStyle="1" w:styleId="156">
    <w:name w:val="Table Text"/>
    <w:basedOn w:val="1"/>
    <w:semiHidden/>
    <w:qFormat/>
    <w:uiPriority w:val="0"/>
    <w:rPr>
      <w:rFonts w:ascii="宋体" w:hAnsi="宋体" w:eastAsia="宋体" w:cs="宋体"/>
      <w:sz w:val="24"/>
      <w:szCs w:val="24"/>
      <w:lang w:val="en-US" w:eastAsia="en-US" w:bidi="ar-SA"/>
    </w:rPr>
  </w:style>
  <w:style w:type="table" w:customStyle="1" w:styleId="1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39727</Words>
  <Characters>42114</Characters>
  <Lines>2117</Lines>
  <Paragraphs>2671</Paragraphs>
  <TotalTime>82</TotalTime>
  <ScaleCrop>false</ScaleCrop>
  <LinksUpToDate>false</LinksUpToDate>
  <CharactersWithSpaces>46979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2022-09-03T03:34:00Z</dcterms:created>
  <dc:creator>ztb</dc:creator>
  <cp:lastModifiedBy> 淡墨 °</cp:lastModifiedBy>
  <cp:lastPrinted>2026-06-09T08:32:32Z</cp:lastPrinted>
  <dcterms:modified xsi:type="dcterms:W3CDTF">2026-06-09T10:02:30Z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FC1A223C04FE455FA9DD19F6C4CEBA68_13</vt:lpwstr>
  </property>
  <property fmtid="{D5CDD505-2E9C-101B-9397-08002B2CF9AE}" pid="4" name="KSOTemplateDocerSaveRecord">
    <vt:lpwstr>eyJoZGlkIjoiMmYxZDRkZmZkMWMxNTdlNWEzYmEzYTBjYmRhY2I5NmMiLCJ1c2VySWQiOiI4NDU1OTIyODYifQ==</vt:lpwstr>
  </property>
</Properties>
</file>