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414B1">
      <w:pPr>
        <w:rPr>
          <w:rFonts w:hint="eastAsia" w:ascii="仿宋" w:hAnsi="仿宋" w:eastAsia="仿宋" w:cs="仿宋"/>
          <w:highlight w:val="none"/>
        </w:rPr>
      </w:pPr>
      <w:r>
        <w:rPr>
          <w:rFonts w:hint="eastAsia" w:ascii="仿宋" w:hAnsi="仿宋" w:eastAsia="仿宋" w:cs="仿宋"/>
          <w:highlight w:val="none"/>
        </w:rPr>
        <w:drawing>
          <wp:anchor distT="0" distB="0" distL="114300" distR="114300" simplePos="0" relativeHeight="251660288" behindDoc="1" locked="0" layoutInCell="1" allowOverlap="1">
            <wp:simplePos x="0" y="0"/>
            <wp:positionH relativeFrom="column">
              <wp:posOffset>-1230630</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r>
        <w:rPr>
          <w:rFonts w:hint="eastAsia" w:ascii="仿宋" w:hAnsi="仿宋" w:eastAsia="仿宋" w:cs="仿宋"/>
          <w:sz w:val="21"/>
          <w:highlight w:val="none"/>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562E7">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 xml:space="preserve">新疆医科大学第一附属医院过氧乙酸消毒液（一次性）、碘黏膜染色剂等三项采购项目 </w:t>
                            </w:r>
                          </w:p>
                          <w:p w14:paraId="346E0FA3">
                            <w:pPr>
                              <w:spacing w:line="360" w:lineRule="auto"/>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（项目编号：SJX-2026-381）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14:paraId="193562E7">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 xml:space="preserve">新疆医科大学第一附属医院过氧乙酸消毒液（一次性）、碘黏膜染色剂等三项采购项目 </w:t>
                      </w:r>
                    </w:p>
                    <w:p w14:paraId="346E0FA3">
                      <w:pPr>
                        <w:spacing w:line="360" w:lineRule="auto"/>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（项目编号：SJX-2026-381）</w:t>
                      </w:r>
                    </w:p>
                  </w:txbxContent>
                </v:textbox>
              </v:shape>
            </w:pict>
          </mc:Fallback>
        </mc:AlternateContent>
      </w:r>
    </w:p>
    <w:p w14:paraId="71A8A1BB">
      <w:pPr>
        <w:jc w:val="center"/>
        <w:rPr>
          <w:rFonts w:hint="eastAsia" w:ascii="仿宋" w:hAnsi="仿宋" w:eastAsia="仿宋" w:cs="仿宋"/>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0003A">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33D0003A">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CDA24">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采购人：新疆医科大学第一附属医院（盖章）</w:t>
                            </w:r>
                          </w:p>
                          <w:p w14:paraId="1C93D8B5">
                            <w:pPr>
                              <w:jc w:val="left"/>
                              <w:rPr>
                                <w:rFonts w:hint="eastAsia" w:ascii="微软雅黑" w:hAnsi="微软雅黑" w:eastAsia="微软雅黑" w:cs="微软雅黑"/>
                                <w:b/>
                                <w:bCs/>
                                <w:color w:val="237085"/>
                                <w:sz w:val="32"/>
                                <w:szCs w:val="32"/>
                                <w:lang w:val="en-US" w:eastAsia="zh-CN"/>
                              </w:rPr>
                            </w:pPr>
                          </w:p>
                          <w:p w14:paraId="0F648F32">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15038785">
                            <w:pPr>
                              <w:jc w:val="center"/>
                              <w:rPr>
                                <w:rFonts w:hint="eastAsia" w:ascii="微软雅黑" w:hAnsi="微软雅黑" w:eastAsia="微软雅黑" w:cs="微软雅黑"/>
                                <w:b/>
                                <w:bCs/>
                                <w:color w:val="237085"/>
                                <w:sz w:val="32"/>
                                <w:szCs w:val="32"/>
                                <w:lang w:val="en-US" w:eastAsia="zh-CN"/>
                              </w:rPr>
                            </w:pPr>
                          </w:p>
                          <w:p w14:paraId="423E7C20">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0EACDA24">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采购人：新疆医科大学第一附属医院（盖章）</w:t>
                      </w:r>
                    </w:p>
                    <w:p w14:paraId="1C93D8B5">
                      <w:pPr>
                        <w:jc w:val="left"/>
                        <w:rPr>
                          <w:rFonts w:hint="eastAsia" w:ascii="微软雅黑" w:hAnsi="微软雅黑" w:eastAsia="微软雅黑" w:cs="微软雅黑"/>
                          <w:b/>
                          <w:bCs/>
                          <w:color w:val="237085"/>
                          <w:sz w:val="32"/>
                          <w:szCs w:val="32"/>
                          <w:lang w:val="en-US" w:eastAsia="zh-CN"/>
                        </w:rPr>
                      </w:pPr>
                    </w:p>
                    <w:p w14:paraId="0F648F32">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15038785">
                      <w:pPr>
                        <w:jc w:val="center"/>
                        <w:rPr>
                          <w:rFonts w:hint="eastAsia" w:ascii="微软雅黑" w:hAnsi="微软雅黑" w:eastAsia="微软雅黑" w:cs="微软雅黑"/>
                          <w:b/>
                          <w:bCs/>
                          <w:color w:val="237085"/>
                          <w:sz w:val="32"/>
                          <w:szCs w:val="32"/>
                          <w:lang w:val="en-US" w:eastAsia="zh-CN"/>
                        </w:rPr>
                      </w:pPr>
                    </w:p>
                    <w:p w14:paraId="423E7C20">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w:t>
                      </w:r>
                    </w:p>
                  </w:txbxContent>
                </v:textbox>
              </v:shape>
            </w:pict>
          </mc:Fallback>
        </mc:AlternateContent>
      </w:r>
    </w:p>
    <w:p w14:paraId="7224195F">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目  录</w:t>
      </w:r>
    </w:p>
    <w:sdt>
      <w:sdtPr>
        <w:rPr>
          <w:rFonts w:hint="eastAsia" w:ascii="仿宋" w:hAnsi="仿宋" w:eastAsia="仿宋" w:cs="仿宋"/>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kern w:val="2"/>
          <w:sz w:val="21"/>
          <w:szCs w:val="32"/>
          <w:highlight w:val="none"/>
          <w:lang w:val="en-US" w:eastAsia="zh-CN" w:bidi="ar-SA"/>
        </w:rPr>
      </w:sdtEndPr>
      <w:sdtContent>
        <w:p w14:paraId="4E3C41EF">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14:paraId="68461BE7">
          <w:pPr>
            <w:pStyle w:val="33"/>
            <w:tabs>
              <w:tab w:val="right" w:leader="dot" w:pos="8306"/>
            </w:tabs>
            <w:rPr>
              <w:rFonts w:hint="eastAsia" w:ascii="仿宋" w:hAnsi="仿宋" w:eastAsia="仿宋" w:cs="仿宋"/>
              <w:b/>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p>
        <w:p w14:paraId="296D64BB">
          <w:pPr>
            <w:pStyle w:val="3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_Toc11868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xml:space="preserve">第一章 </w:t>
          </w:r>
          <w:r>
            <w:rPr>
              <w:rFonts w:hint="eastAsia" w:ascii="仿宋" w:hAnsi="仿宋" w:eastAsia="仿宋" w:cs="仿宋"/>
              <w:b/>
              <w:sz w:val="24"/>
              <w:szCs w:val="24"/>
              <w:highlight w:val="none"/>
              <w:lang w:val="en-US" w:eastAsia="zh-CN"/>
            </w:rPr>
            <w:t>公开招标公告</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_Toc11868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1</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7A10429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_Toc21739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一、项目基本情况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E708F5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_Toc15364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二、申请人的资格要求：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_Toc15364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82F4252">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_Toc29084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三、获取招标文件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_Toc29084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6DF8652">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_Toc24224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四、提交投标文件截止时间、开标时间和地点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_Toc24224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F5F250D">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_Toc17115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五、公告期限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_Toc17115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289880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六、其他补充事宜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70B24A7">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_Toc21999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七、对本次采购提出询问，请按以下方式联系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_Toc21999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85A1F5C">
          <w:pPr>
            <w:pStyle w:val="3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_Toc31403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第二章 投标须知前附表</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_Toc31403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4</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707F2480">
          <w:pPr>
            <w:pStyle w:val="3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_Toc27881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第三章 投标人须知</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_Toc27881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11</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4C51C2E8">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_Toc20936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 说 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_Toc20936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6D7D745">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_Toc6547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二、 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_Toc6547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09E03A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_Toc9070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三、 投标文件的编制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_Toc9070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4D8BB0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四、 投标文件的提交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525BB94">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_Toc15263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五、 开标、资格审查及评标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_Toc15263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9434F7D">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_Toc7787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六、 确定中标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_Toc7787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441468E">
          <w:pPr>
            <w:pStyle w:val="3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_Toc22543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第四章 政府采购合同</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_Toc22543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30</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6E622C5E">
          <w:pPr>
            <w:pStyle w:val="3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_Toc20159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第五章 采购需求</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_Toc20159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39</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1A7BDDF1">
          <w:pPr>
            <w:pStyle w:val="3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_Toc21893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第六章 评标程序、评标方法和评标标准</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_Toc21893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40</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0B25F42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_Toc27440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1.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_Toc27440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B3AC38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_Toc12617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2. 评标原则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_Toc12617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595B273">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_Toc6046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3. 资格审查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_Toc6046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23F2FB8">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_Toc4337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4. 符合性审查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_Toc4337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C7C70F1">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_Toc23924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5. 投标文件有关事项的澄清或者说明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_Toc23924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BB10BAE">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_Toc22049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6. 详细评审</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6516412">
          <w:pPr>
            <w:pStyle w:val="33"/>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_Toc31337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第七章 投标文件格式</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_Toc31337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51</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14:paraId="4AF5715A">
          <w:pPr>
            <w:pStyle w:val="34"/>
            <w:tabs>
              <w:tab w:val="right" w:leader="dot" w:pos="8306"/>
            </w:tabs>
            <w:rPr>
              <w:rFonts w:hint="eastAsia" w:ascii="仿宋" w:hAnsi="仿宋" w:eastAsia="仿宋" w:cs="仿宋"/>
              <w:highlight w:val="none"/>
            </w:rPr>
          </w:pPr>
        </w:p>
        <w:p w14:paraId="48F6615A">
          <w:pPr>
            <w:jc w:val="both"/>
            <w:rPr>
              <w:rFonts w:hint="eastAsia" w:ascii="仿宋" w:hAnsi="仿宋" w:eastAsia="仿宋" w:cs="仿宋"/>
              <w:sz w:val="32"/>
              <w:szCs w:val="32"/>
              <w:highlight w:val="none"/>
            </w:rPr>
          </w:pPr>
          <w:r>
            <w:rPr>
              <w:rFonts w:hint="eastAsia" w:ascii="仿宋" w:hAnsi="仿宋" w:eastAsia="仿宋" w:cs="仿宋"/>
              <w:b/>
              <w:szCs w:val="32"/>
              <w:highlight w:val="none"/>
            </w:rPr>
            <w:fldChar w:fldCharType="end"/>
          </w:r>
        </w:p>
      </w:sdtContent>
    </w:sdt>
    <w:p w14:paraId="26415576">
      <w:pPr>
        <w:pStyle w:val="2"/>
        <w:numPr>
          <w:ilvl w:val="0"/>
          <w:numId w:val="1"/>
        </w:numPr>
        <w:bidi w:val="0"/>
        <w:jc w:val="center"/>
        <w:rPr>
          <w:rFonts w:hint="eastAsia" w:ascii="仿宋" w:hAnsi="仿宋" w:eastAsia="仿宋" w:cs="仿宋"/>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19E13AA8">
      <w:pPr>
        <w:pStyle w:val="2"/>
        <w:numPr>
          <w:ilvl w:val="0"/>
          <w:numId w:val="1"/>
        </w:numPr>
        <w:bidi w:val="0"/>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招标</w:t>
      </w:r>
      <w:r>
        <w:rPr>
          <w:rFonts w:hint="eastAsia" w:ascii="仿宋" w:hAnsi="仿宋" w:eastAsia="仿宋" w:cs="仿宋"/>
          <w:sz w:val="32"/>
          <w:szCs w:val="32"/>
          <w:highlight w:val="none"/>
        </w:rPr>
        <w:t>公告</w:t>
      </w:r>
      <w:bookmarkEnd w:id="0"/>
    </w:p>
    <w:p w14:paraId="45CDD9A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1" w:name="_Toc21739"/>
      <w:r>
        <w:rPr>
          <w:rFonts w:hint="eastAsia" w:ascii="仿宋" w:hAnsi="仿宋" w:eastAsia="仿宋" w:cs="仿宋"/>
          <w:b/>
          <w:bCs/>
          <w:sz w:val="24"/>
          <w:szCs w:val="24"/>
          <w:highlight w:val="none"/>
        </w:rPr>
        <w:t>一、项目基本情况</w:t>
      </w:r>
      <w:bookmarkEnd w:id="1"/>
    </w:p>
    <w:p w14:paraId="46E4E9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SJX-2026-381</w:t>
      </w:r>
    </w:p>
    <w:p w14:paraId="7CC46D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 xml:space="preserve">新疆医科大学第一附属医院过氧乙酸消毒液（一次性）、碘黏膜染色剂等三项采购项目 </w:t>
      </w:r>
    </w:p>
    <w:p w14:paraId="166B3A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p w14:paraId="4D0EDE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 xml:space="preserve">300000 </w:t>
      </w:r>
    </w:p>
    <w:p w14:paraId="7D596D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rPr>
        <w:t>最高限价（元）：过氧乙酸消毒液（一次性）0.</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元/ml；碘黏膜染色剂</w:t>
      </w:r>
      <w:r>
        <w:rPr>
          <w:rFonts w:hint="eastAsia" w:ascii="仿宋" w:hAnsi="仿宋" w:eastAsia="仿宋" w:cs="仿宋"/>
          <w:sz w:val="24"/>
          <w:szCs w:val="24"/>
          <w:highlight w:val="none"/>
          <w:lang w:val="en-US" w:eastAsia="zh-CN"/>
        </w:rPr>
        <w:t>7.3</w:t>
      </w:r>
      <w:r>
        <w:rPr>
          <w:rFonts w:hint="eastAsia" w:ascii="仿宋" w:hAnsi="仿宋" w:eastAsia="仿宋" w:cs="仿宋"/>
          <w:sz w:val="24"/>
          <w:szCs w:val="24"/>
          <w:highlight w:val="none"/>
          <w:lang w:eastAsia="zh-CN"/>
        </w:rPr>
        <w:t>元/ml；靛胭脂黏膜染色剂</w:t>
      </w:r>
      <w:r>
        <w:rPr>
          <w:rFonts w:hint="eastAsia" w:ascii="仿宋" w:hAnsi="仿宋" w:eastAsia="仿宋" w:cs="仿宋"/>
          <w:sz w:val="24"/>
          <w:szCs w:val="24"/>
          <w:highlight w:val="none"/>
          <w:lang w:val="en-US" w:eastAsia="zh-CN"/>
        </w:rPr>
        <w:t>7.3</w:t>
      </w:r>
      <w:r>
        <w:rPr>
          <w:rFonts w:hint="eastAsia" w:ascii="仿宋" w:hAnsi="仿宋" w:eastAsia="仿宋" w:cs="仿宋"/>
          <w:sz w:val="24"/>
          <w:szCs w:val="24"/>
          <w:highlight w:val="none"/>
          <w:lang w:eastAsia="zh-CN"/>
        </w:rPr>
        <w:t>元/ml；</w:t>
      </w:r>
    </w:p>
    <w:p w14:paraId="2B1CD85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采购需求：过氧乙酸消毒液（一次性）</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碘黏膜染色剂、靛胭脂黏膜染色剂</w:t>
      </w:r>
      <w:r>
        <w:rPr>
          <w:rFonts w:hint="eastAsia" w:ascii="仿宋" w:hAnsi="仿宋" w:eastAsia="仿宋" w:cs="仿宋"/>
          <w:sz w:val="24"/>
          <w:szCs w:val="24"/>
          <w:highlight w:val="none"/>
          <w:lang w:val="en-US" w:eastAsia="zh-CN"/>
        </w:rPr>
        <w:t>，详见本项目采购需求。</w:t>
      </w:r>
    </w:p>
    <w:p w14:paraId="65861A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标项名称:</w:t>
      </w:r>
      <w:r>
        <w:rPr>
          <w:rFonts w:hint="eastAsia" w:ascii="仿宋" w:hAnsi="仿宋" w:eastAsia="仿宋" w:cs="仿宋"/>
          <w:sz w:val="24"/>
          <w:szCs w:val="24"/>
          <w:highlight w:val="none"/>
          <w:lang w:val="en-US" w:eastAsia="zh-CN"/>
        </w:rPr>
        <w:t xml:space="preserve">新疆医科大学第一附属医院过氧乙酸消毒液（一次性）、碘黏膜染色剂等三项采购项目 </w:t>
      </w:r>
    </w:p>
    <w:p w14:paraId="2920C2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068B95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300000</w:t>
      </w:r>
    </w:p>
    <w:p w14:paraId="0810E2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简要规格描述或项目基本概况介绍、用途：过氧乙酸消毒液（一次性）</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碘黏膜染色剂、靛胭脂黏膜染色剂</w:t>
      </w:r>
      <w:r>
        <w:rPr>
          <w:rFonts w:hint="eastAsia" w:ascii="仿宋" w:hAnsi="仿宋" w:eastAsia="仿宋" w:cs="仿宋"/>
          <w:sz w:val="24"/>
          <w:szCs w:val="24"/>
          <w:highlight w:val="none"/>
          <w:lang w:val="en-US" w:eastAsia="zh-CN"/>
        </w:rPr>
        <w:t>，详见本项目采购需求。</w:t>
      </w:r>
    </w:p>
    <w:p w14:paraId="285B1E6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备注：单价采购，最终以实际采购数量进行结算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但最终结算量不得超过预计年采购金额</w:t>
      </w:r>
      <w:r>
        <w:rPr>
          <w:rFonts w:hint="eastAsia" w:ascii="仿宋" w:hAnsi="仿宋" w:eastAsia="仿宋" w:cs="仿宋"/>
          <w:sz w:val="24"/>
          <w:szCs w:val="24"/>
          <w:highlight w:val="none"/>
        </w:rPr>
        <w:t>。</w:t>
      </w:r>
    </w:p>
    <w:p w14:paraId="052906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合同履约期限：三年（依照新医大一附院纪字〔2025〕11号文件要求，非阳采试剂耗材类合同履约期限为三年，合同一年一签）</w:t>
      </w:r>
      <w:r>
        <w:rPr>
          <w:rFonts w:hint="eastAsia" w:ascii="仿宋" w:hAnsi="仿宋" w:eastAsia="仿宋" w:cs="仿宋"/>
          <w:sz w:val="24"/>
          <w:szCs w:val="24"/>
          <w:highlight w:val="none"/>
          <w:lang w:eastAsia="zh-CN"/>
        </w:rPr>
        <w:t>。</w:t>
      </w:r>
    </w:p>
    <w:p w14:paraId="513170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552CD4EC">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2" w:name="_Toc15364"/>
      <w:r>
        <w:rPr>
          <w:rFonts w:hint="eastAsia" w:ascii="仿宋" w:hAnsi="仿宋" w:eastAsia="仿宋" w:cs="仿宋"/>
          <w:b/>
          <w:bCs/>
          <w:sz w:val="24"/>
          <w:szCs w:val="24"/>
          <w:highlight w:val="none"/>
        </w:rPr>
        <w:t>二、申请人的资格要求：</w:t>
      </w:r>
      <w:bookmarkEnd w:id="2"/>
    </w:p>
    <w:p w14:paraId="0957FD4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432B1DB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val="en-US" w:eastAsia="zh-CN"/>
        </w:rPr>
        <w:t>/。</w:t>
      </w:r>
    </w:p>
    <w:p w14:paraId="5FA700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4"/>
          <w:highlight w:val="none"/>
        </w:rPr>
        <w:t>3.本项目的特定资格要求：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）投标人具有医疗器械经营资格；</w:t>
      </w:r>
      <w:r>
        <w:rPr>
          <w:rFonts w:hint="eastAsia" w:ascii="仿宋" w:hAnsi="仿宋" w:eastAsia="仿宋" w:cs="仿宋"/>
          <w:sz w:val="24"/>
          <w:szCs w:val="24"/>
          <w:highlight w:val="none"/>
          <w:lang w:val="en-US" w:eastAsia="zh-CN"/>
        </w:rPr>
        <w:t>属于医疗器械管理的产品需</w:t>
      </w:r>
      <w:r>
        <w:rPr>
          <w:rFonts w:hint="eastAsia" w:ascii="仿宋" w:hAnsi="仿宋" w:eastAsia="仿宋" w:cs="仿宋"/>
          <w:sz w:val="24"/>
          <w:szCs w:val="24"/>
          <w:highlight w:val="none"/>
          <w:lang w:eastAsia="zh-CN"/>
        </w:rPr>
        <w:t>根据《医疗器械监督管理条例》（国务院令第650号）有关内容办理医疗器械产品注册或备案。</w:t>
      </w:r>
    </w:p>
    <w:p w14:paraId="11702C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eastAsia="zh-CN"/>
        </w:rPr>
      </w:pPr>
      <w:bookmarkStart w:id="3" w:name="_Toc29084"/>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vertAlign w:val="baseline"/>
          <w:lang w:val="en-US" w:eastAsia="zh-CN"/>
        </w:rPr>
        <w:t>所投产品属于消毒卫生产品的，所投产品（</w:t>
      </w:r>
      <w:r>
        <w:rPr>
          <w:rFonts w:hint="eastAsia" w:ascii="仿宋" w:hAnsi="仿宋" w:eastAsia="仿宋" w:cs="仿宋"/>
          <w:sz w:val="24"/>
          <w:szCs w:val="24"/>
          <w:highlight w:val="none"/>
          <w:vertAlign w:val="baseline"/>
          <w:lang w:eastAsia="zh-CN"/>
        </w:rPr>
        <w:t>过氧乙酸消毒液（一次性</w:t>
      </w:r>
      <w:r>
        <w:rPr>
          <w:rFonts w:hint="eastAsia" w:ascii="仿宋" w:hAnsi="仿宋" w:eastAsia="仿宋" w:cs="仿宋"/>
          <w:sz w:val="24"/>
          <w:szCs w:val="24"/>
          <w:highlight w:val="none"/>
          <w:vertAlign w:val="baseline"/>
          <w:lang w:val="en-US" w:eastAsia="zh-CN"/>
        </w:rPr>
        <w:t>））的生产厂家需具有《消毒产品生产企业卫生许可证》，并具备《消毒产品卫生安全评价报告》并备案。</w:t>
      </w:r>
    </w:p>
    <w:p w14:paraId="2376FF0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三、获取招标文件</w:t>
      </w:r>
      <w:bookmarkEnd w:id="3"/>
    </w:p>
    <w:p w14:paraId="14456B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13日</w:t>
      </w:r>
      <w:r>
        <w:rPr>
          <w:rFonts w:hint="eastAsia" w:ascii="仿宋" w:hAnsi="仿宋" w:eastAsia="仿宋" w:cs="仿宋"/>
          <w:sz w:val="24"/>
          <w:szCs w:val="24"/>
          <w:highlight w:val="none"/>
        </w:rPr>
        <w:t>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日，每天上午0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:00至1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:00，下午1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:00至</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59</w:t>
      </w:r>
      <w:r>
        <w:rPr>
          <w:rFonts w:hint="eastAsia" w:ascii="仿宋" w:hAnsi="仿宋" w:eastAsia="仿宋" w:cs="仿宋"/>
          <w:sz w:val="24"/>
          <w:szCs w:val="24"/>
          <w:highlight w:val="none"/>
        </w:rPr>
        <w:t>（北京时间，法定节假日除外）</w:t>
      </w:r>
    </w:p>
    <w:p w14:paraId="00CA5F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地点：政采云平台（https://www.zcygov.cn/）</w:t>
      </w:r>
    </w:p>
    <w:p w14:paraId="158DC5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70FFAE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售价（元）：0元</w:t>
      </w:r>
    </w:p>
    <w:p w14:paraId="28A9F53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4" w:name="_Toc24224"/>
      <w:r>
        <w:rPr>
          <w:rFonts w:hint="eastAsia" w:ascii="仿宋" w:hAnsi="仿宋" w:eastAsia="仿宋" w:cs="仿宋"/>
          <w:b/>
          <w:bCs/>
          <w:sz w:val="24"/>
          <w:szCs w:val="24"/>
          <w:highlight w:val="none"/>
        </w:rPr>
        <w:t>四、提交投标文件截止时间、开标时间和地点</w:t>
      </w:r>
      <w:bookmarkEnd w:id="4"/>
    </w:p>
    <w:p w14:paraId="391C5F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提交投标文件截止时间：20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日 11:00（北京时间）</w:t>
      </w:r>
    </w:p>
    <w:p w14:paraId="692271B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投标地点：政采云平台（https://www.zcygov.cn/），本项目采用不见面开标，加密的电子投标文件在投标截止时间前在政采云平台上传。</w:t>
      </w:r>
    </w:p>
    <w:p w14:paraId="111316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日 11:00（北京时间）</w:t>
      </w:r>
    </w:p>
    <w:p w14:paraId="1804D99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开标地点：政采云平台（https://www.zcygov.cn/）不见面开标系统</w:t>
      </w:r>
    </w:p>
    <w:p w14:paraId="6144E225">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5" w:name="_Toc17115"/>
      <w:r>
        <w:rPr>
          <w:rFonts w:hint="eastAsia" w:ascii="仿宋" w:hAnsi="仿宋" w:eastAsia="仿宋" w:cs="仿宋"/>
          <w:b/>
          <w:bCs/>
          <w:sz w:val="24"/>
          <w:szCs w:val="24"/>
          <w:highlight w:val="none"/>
        </w:rPr>
        <w:t>五、公告期限</w:t>
      </w:r>
      <w:bookmarkEnd w:id="5"/>
    </w:p>
    <w:p w14:paraId="7F0E6CE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自本公告发布之日起5个工作日。</w:t>
      </w:r>
    </w:p>
    <w:p w14:paraId="4F63961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6" w:name="_Toc22084"/>
      <w:r>
        <w:rPr>
          <w:rFonts w:hint="eastAsia" w:ascii="仿宋" w:hAnsi="仿宋" w:eastAsia="仿宋" w:cs="仿宋"/>
          <w:b/>
          <w:bCs/>
          <w:sz w:val="24"/>
          <w:szCs w:val="24"/>
          <w:highlight w:val="none"/>
        </w:rPr>
        <w:t>六、其他补充事宜</w:t>
      </w:r>
      <w:bookmarkEnd w:id="6"/>
    </w:p>
    <w:p w14:paraId="5EF18C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1、关于本项目所有公告、公示在新疆政府采购网发布。</w:t>
      </w:r>
    </w:p>
    <w:p w14:paraId="628D69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2、请投标单位随时关注本项目的澄清、答疑、变更事项。</w:t>
      </w:r>
    </w:p>
    <w:p w14:paraId="48D1B8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3、本项目实行电子招投标，供应商须登录政采云平台申请获取招标文件，并通过政采云电子投标客户端制作响应文件，同时自行承担与投标有关的一切费用。</w:t>
      </w:r>
    </w:p>
    <w:p w14:paraId="502308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4、各供应商应在开标前确保成为</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正式注册入库供应商，并完成CA数字证书申领。因未注册入库、未办理CA数字证书等原因造成无法投标或投标失败等后果由供应商自行承担。</w:t>
      </w:r>
    </w:p>
    <w:p w14:paraId="51A18C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5EDC72B7">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7" w:name="_Toc21999"/>
      <w:r>
        <w:rPr>
          <w:rFonts w:hint="eastAsia" w:ascii="仿宋" w:hAnsi="仿宋" w:eastAsia="仿宋" w:cs="仿宋"/>
          <w:b/>
          <w:bCs/>
          <w:sz w:val="24"/>
          <w:szCs w:val="24"/>
          <w:highlight w:val="none"/>
        </w:rPr>
        <w:t>七、对本次采购提出询问，请按以下方式联系</w:t>
      </w:r>
      <w:bookmarkEnd w:id="7"/>
    </w:p>
    <w:p w14:paraId="6A0164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3613224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eastAsia="zh-CN"/>
        </w:rPr>
        <w:t>新疆医科大学第一附属医院</w:t>
      </w:r>
    </w:p>
    <w:p w14:paraId="3DCE2B9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新疆维吾尔自治区乌鲁木齐市新市区鲤鱼山南路137号</w:t>
      </w:r>
    </w:p>
    <w:p w14:paraId="42B0D2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eastAsia="zh-CN"/>
        </w:rPr>
        <w:t>0991-4362391</w:t>
      </w:r>
    </w:p>
    <w:p w14:paraId="3C5109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14:paraId="0F33F4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0CEBFD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称：新疆世纪星工程咨询有限公司</w:t>
      </w:r>
    </w:p>
    <w:p w14:paraId="43F2F1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址：乌鲁木齐经济技术开发区二期黄山街一品九点阳光德港大厦B座20楼</w:t>
      </w:r>
    </w:p>
    <w:p w14:paraId="3A3739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联系方式：0991-3678303</w:t>
      </w:r>
    </w:p>
    <w:p w14:paraId="7755AC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57EBE4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马莉、</w:t>
      </w:r>
      <w:r>
        <w:rPr>
          <w:rFonts w:hint="eastAsia" w:ascii="仿宋" w:hAnsi="仿宋" w:eastAsia="仿宋" w:cs="仿宋"/>
          <w:sz w:val="24"/>
          <w:szCs w:val="24"/>
          <w:highlight w:val="none"/>
          <w:lang w:eastAsia="zh-CN"/>
        </w:rPr>
        <w:t>郑倩如、</w:t>
      </w:r>
      <w:r>
        <w:rPr>
          <w:rFonts w:hint="eastAsia" w:ascii="仿宋" w:hAnsi="仿宋" w:eastAsia="仿宋" w:cs="仿宋"/>
          <w:sz w:val="24"/>
          <w:szCs w:val="24"/>
          <w:highlight w:val="none"/>
          <w:lang w:val="en-US" w:eastAsia="zh-CN"/>
        </w:rPr>
        <w:t>毛文静</w:t>
      </w:r>
      <w:r>
        <w:rPr>
          <w:rFonts w:hint="eastAsia" w:ascii="仿宋" w:hAnsi="仿宋" w:eastAsia="仿宋" w:cs="仿宋"/>
          <w:sz w:val="24"/>
          <w:szCs w:val="24"/>
          <w:highlight w:val="none"/>
          <w:lang w:eastAsia="zh-CN"/>
        </w:rPr>
        <w:t>、李航、杜萍</w:t>
      </w:r>
    </w:p>
    <w:p w14:paraId="28EAE81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话：0991-3678303</w:t>
      </w:r>
    </w:p>
    <w:p w14:paraId="4DEF8C68">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34175473">
      <w:pPr>
        <w:pStyle w:val="2"/>
        <w:numPr>
          <w:ilvl w:val="0"/>
          <w:numId w:val="1"/>
        </w:numPr>
        <w:bidi w:val="0"/>
        <w:jc w:val="center"/>
        <w:rPr>
          <w:rFonts w:hint="eastAsia" w:ascii="仿宋" w:hAnsi="仿宋" w:eastAsia="仿宋" w:cs="仿宋"/>
          <w:sz w:val="32"/>
          <w:szCs w:val="32"/>
          <w:highlight w:val="none"/>
        </w:rPr>
      </w:pPr>
      <w:bookmarkStart w:id="8" w:name="_Toc31403"/>
      <w:r>
        <w:rPr>
          <w:rFonts w:hint="eastAsia" w:ascii="仿宋" w:hAnsi="仿宋" w:eastAsia="仿宋" w:cs="仿宋"/>
          <w:sz w:val="32"/>
          <w:szCs w:val="32"/>
          <w:highlight w:val="none"/>
        </w:rPr>
        <w:t>投标须知前附表</w:t>
      </w:r>
      <w:bookmarkEnd w:id="8"/>
    </w:p>
    <w:p w14:paraId="6BC3EB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本表是本招标项目的具体资料，是对投标人须知的具体补充和修改，如有矛盾，均以本资料表为准。标记“☑”的选项意为适用于本项目，标记“□”的选项意为不适用于本项目。</w:t>
      </w:r>
    </w:p>
    <w:p w14:paraId="27366E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highlight w:val="none"/>
        </w:rPr>
      </w:pP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1CD72C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2F9EE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条款号</w:t>
            </w:r>
          </w:p>
        </w:tc>
        <w:tc>
          <w:tcPr>
            <w:tcW w:w="6652" w:type="dxa"/>
            <w:tcBorders>
              <w:tl2br w:val="nil"/>
              <w:tr2bl w:val="nil"/>
            </w:tcBorders>
          </w:tcPr>
          <w:p w14:paraId="3AAB55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内容</w:t>
            </w:r>
          </w:p>
        </w:tc>
      </w:tr>
      <w:tr w14:paraId="720E87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D9CFE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6652" w:type="dxa"/>
            <w:tcBorders>
              <w:tl2br w:val="nil"/>
              <w:tr2bl w:val="nil"/>
            </w:tcBorders>
            <w:vAlign w:val="center"/>
          </w:tcPr>
          <w:p w14:paraId="433193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名 称：新疆医科大学第一附属医院</w:t>
            </w:r>
          </w:p>
          <w:p w14:paraId="132752C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址：新疆维吾尔自治区乌鲁木齐市新市区鲤鱼山南路137号</w:t>
            </w:r>
          </w:p>
          <w:p w14:paraId="4E91BC6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联系方式：0991-4362391</w:t>
            </w:r>
          </w:p>
        </w:tc>
      </w:tr>
      <w:tr w14:paraId="1B93BF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2FF4F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6652" w:type="dxa"/>
            <w:tcBorders>
              <w:tl2br w:val="nil"/>
              <w:tr2bl w:val="nil"/>
            </w:tcBorders>
            <w:vAlign w:val="center"/>
          </w:tcPr>
          <w:p w14:paraId="76D504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采购代理机构：新疆世纪星工程咨询有限公司 </w:t>
            </w:r>
          </w:p>
          <w:p w14:paraId="2E7A1E8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地址：乌鲁木齐经济技术开发区二期黄山街一品九点阳光德港大厦B座20楼 </w:t>
            </w:r>
          </w:p>
          <w:p w14:paraId="41B184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业务联系人：</w:t>
            </w:r>
            <w:r>
              <w:rPr>
                <w:rFonts w:hint="eastAsia" w:ascii="仿宋" w:hAnsi="仿宋" w:eastAsia="仿宋" w:cs="仿宋"/>
                <w:sz w:val="24"/>
                <w:szCs w:val="24"/>
                <w:highlight w:val="none"/>
                <w:lang w:val="en-US" w:eastAsia="zh-CN"/>
              </w:rPr>
              <w:t>马莉、</w:t>
            </w:r>
            <w:r>
              <w:rPr>
                <w:rFonts w:hint="eastAsia" w:ascii="仿宋" w:hAnsi="仿宋" w:eastAsia="仿宋" w:cs="仿宋"/>
                <w:sz w:val="24"/>
                <w:szCs w:val="24"/>
                <w:highlight w:val="none"/>
                <w:vertAlign w:val="baseline"/>
              </w:rPr>
              <w:t>郑倩如、</w:t>
            </w:r>
            <w:r>
              <w:rPr>
                <w:rFonts w:hint="eastAsia" w:ascii="仿宋" w:hAnsi="仿宋" w:eastAsia="仿宋" w:cs="仿宋"/>
                <w:sz w:val="24"/>
                <w:szCs w:val="24"/>
                <w:highlight w:val="none"/>
                <w:lang w:val="en-US" w:eastAsia="zh-CN"/>
              </w:rPr>
              <w:t>毛文静</w:t>
            </w:r>
            <w:r>
              <w:rPr>
                <w:rFonts w:hint="eastAsia" w:ascii="仿宋" w:hAnsi="仿宋" w:eastAsia="仿宋" w:cs="仿宋"/>
                <w:sz w:val="24"/>
                <w:szCs w:val="24"/>
                <w:highlight w:val="none"/>
                <w:vertAlign w:val="baseline"/>
              </w:rPr>
              <w:t>、李航、杜萍</w:t>
            </w:r>
          </w:p>
          <w:p w14:paraId="5A9121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电话：0991-3678303 </w:t>
            </w:r>
          </w:p>
          <w:p w14:paraId="35E9C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电子邮箱：</w:t>
            </w:r>
            <w:r>
              <w:rPr>
                <w:rFonts w:hint="eastAsia" w:ascii="仿宋" w:hAnsi="仿宋" w:eastAsia="仿宋" w:cs="仿宋"/>
                <w:sz w:val="24"/>
                <w:szCs w:val="24"/>
                <w:highlight w:val="none"/>
                <w:vertAlign w:val="baseline"/>
                <w:lang w:val="en-US" w:eastAsia="zh-CN"/>
              </w:rPr>
              <w:t>53534373@qq.com</w:t>
            </w:r>
          </w:p>
        </w:tc>
      </w:tr>
      <w:tr w14:paraId="2E0C83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C3A8A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6652" w:type="dxa"/>
            <w:tcBorders>
              <w:tl2br w:val="nil"/>
              <w:tr2bl w:val="nil"/>
            </w:tcBorders>
            <w:vAlign w:val="center"/>
          </w:tcPr>
          <w:p w14:paraId="306EBC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合格投标人的其他资格要求：</w:t>
            </w:r>
          </w:p>
          <w:p w14:paraId="149F1B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1</w:t>
            </w:r>
            <w:r>
              <w:rPr>
                <w:rFonts w:hint="eastAsia" w:ascii="仿宋" w:hAnsi="仿宋" w:eastAsia="仿宋" w:cs="仿宋"/>
                <w:sz w:val="24"/>
                <w:szCs w:val="24"/>
                <w:highlight w:val="none"/>
                <w:vertAlign w:val="baseline"/>
                <w:lang w:eastAsia="zh-CN"/>
              </w:rPr>
              <w:t>）投标人具有医疗器械经营资格；</w:t>
            </w:r>
            <w:r>
              <w:rPr>
                <w:rFonts w:hint="eastAsia" w:ascii="仿宋" w:hAnsi="仿宋" w:eastAsia="仿宋" w:cs="仿宋"/>
                <w:sz w:val="24"/>
                <w:szCs w:val="24"/>
                <w:highlight w:val="none"/>
                <w:vertAlign w:val="baseline"/>
                <w:lang w:val="en-US" w:eastAsia="zh-CN"/>
              </w:rPr>
              <w:t>属于医疗器械管理的产品需</w:t>
            </w:r>
            <w:r>
              <w:rPr>
                <w:rFonts w:hint="eastAsia" w:ascii="仿宋" w:hAnsi="仿宋" w:eastAsia="仿宋" w:cs="仿宋"/>
                <w:sz w:val="24"/>
                <w:szCs w:val="24"/>
                <w:highlight w:val="none"/>
                <w:vertAlign w:val="baseline"/>
                <w:lang w:eastAsia="zh-CN"/>
              </w:rPr>
              <w:t>根据《医疗器械监督管理条例》（国务院令第650号）有关内容办理医疗器械产品注册或备案。</w:t>
            </w:r>
          </w:p>
          <w:p w14:paraId="6EDBBF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vertAlign w:val="baseline"/>
                <w:lang w:val="en-US"/>
              </w:rPr>
            </w:pP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2</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所投产品属于消毒卫生产品的，所投产品（</w:t>
            </w:r>
            <w:r>
              <w:rPr>
                <w:rFonts w:hint="eastAsia" w:ascii="仿宋" w:hAnsi="仿宋" w:eastAsia="仿宋" w:cs="仿宋"/>
                <w:sz w:val="24"/>
                <w:szCs w:val="24"/>
                <w:highlight w:val="none"/>
                <w:vertAlign w:val="baseline"/>
                <w:lang w:eastAsia="zh-CN"/>
              </w:rPr>
              <w:t>过氧乙酸消毒液（一次性</w:t>
            </w:r>
            <w:r>
              <w:rPr>
                <w:rFonts w:hint="eastAsia" w:ascii="仿宋" w:hAnsi="仿宋" w:eastAsia="仿宋" w:cs="仿宋"/>
                <w:sz w:val="24"/>
                <w:szCs w:val="24"/>
                <w:highlight w:val="none"/>
                <w:vertAlign w:val="baseline"/>
                <w:lang w:val="en-US" w:eastAsia="zh-CN"/>
              </w:rPr>
              <w:t>））的生产厂家需具有《消毒产品生产企业卫生许可证》，并具备《消毒产品卫生安全评价报告》并备案。</w:t>
            </w:r>
          </w:p>
        </w:tc>
      </w:tr>
      <w:tr w14:paraId="6A17D8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591C4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6652" w:type="dxa"/>
            <w:tcBorders>
              <w:tl2br w:val="nil"/>
              <w:tr2bl w:val="nil"/>
            </w:tcBorders>
            <w:vAlign w:val="center"/>
          </w:tcPr>
          <w:p w14:paraId="18C763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是否允许采购进口产品：否</w:t>
            </w:r>
          </w:p>
        </w:tc>
      </w:tr>
      <w:tr w14:paraId="46AF2C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CFC51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6652" w:type="dxa"/>
            <w:tcBorders>
              <w:tl2br w:val="nil"/>
              <w:tr2bl w:val="nil"/>
            </w:tcBorders>
            <w:vAlign w:val="center"/>
          </w:tcPr>
          <w:p w14:paraId="6AF981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本项目采购标的对应的中小企业划分标准所属行业：</w:t>
            </w:r>
            <w:r>
              <w:rPr>
                <w:rFonts w:hint="eastAsia" w:ascii="仿宋" w:hAnsi="仿宋" w:eastAsia="仿宋" w:cs="仿宋"/>
                <w:sz w:val="24"/>
                <w:szCs w:val="24"/>
                <w:highlight w:val="none"/>
                <w:vertAlign w:val="baseline"/>
                <w:lang w:val="en-US" w:eastAsia="zh-CN"/>
              </w:rPr>
              <w:t>工业</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776"/>
              <w:gridCol w:w="2827"/>
            </w:tblGrid>
            <w:tr w14:paraId="29E2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5" w:type="dxa"/>
                </w:tcPr>
                <w:p w14:paraId="475EC7B6">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2776" w:type="dxa"/>
                </w:tcPr>
                <w:p w14:paraId="01C3477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标的名称</w:t>
                  </w:r>
                </w:p>
              </w:tc>
              <w:tc>
                <w:tcPr>
                  <w:tcW w:w="2827" w:type="dxa"/>
                </w:tcPr>
                <w:p w14:paraId="551D7F5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中小企业划分标准所属行业</w:t>
                  </w:r>
                </w:p>
              </w:tc>
            </w:tr>
            <w:tr w14:paraId="0E2A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5" w:type="dxa"/>
                  <w:vAlign w:val="center"/>
                </w:tcPr>
                <w:p w14:paraId="48F5554A">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2776" w:type="dxa"/>
                  <w:vAlign w:val="center"/>
                </w:tcPr>
                <w:p w14:paraId="0281F5D0">
                  <w:pPr>
                    <w:keepNext w:val="0"/>
                    <w:keepLines w:val="0"/>
                    <w:widowControl/>
                    <w:suppressLineNumbers w:val="0"/>
                    <w:jc w:val="center"/>
                    <w:textAlignment w:val="center"/>
                    <w:rPr>
                      <w:rFonts w:hint="eastAsia" w:ascii="仿宋" w:hAnsi="仿宋" w:eastAsia="仿宋" w:cs="仿宋"/>
                      <w:kern w:val="0"/>
                      <w:sz w:val="21"/>
                      <w:szCs w:val="21"/>
                      <w:highlight w:val="none"/>
                      <w:vertAlign w:val="baseline"/>
                      <w:lang w:val="en-US" w:eastAsia="zh-CN" w:bidi="ar-SA"/>
                    </w:rPr>
                  </w:pPr>
                  <w:r>
                    <w:rPr>
                      <w:rFonts w:hint="eastAsia" w:ascii="仿宋" w:hAnsi="仿宋" w:eastAsia="仿宋" w:cs="仿宋"/>
                      <w:kern w:val="0"/>
                      <w:sz w:val="21"/>
                      <w:szCs w:val="21"/>
                      <w:highlight w:val="none"/>
                      <w:vertAlign w:val="baseline"/>
                      <w:lang w:val="en-US" w:eastAsia="zh-CN" w:bidi="ar-SA"/>
                    </w:rPr>
                    <w:t>过氧乙酸消毒液（一次性）</w:t>
                  </w:r>
                </w:p>
              </w:tc>
              <w:tc>
                <w:tcPr>
                  <w:tcW w:w="2827" w:type="dxa"/>
                  <w:vAlign w:val="center"/>
                </w:tcPr>
                <w:p w14:paraId="79227EE0">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工业</w:t>
                  </w:r>
                </w:p>
              </w:tc>
            </w:tr>
            <w:tr w14:paraId="752F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5" w:type="dxa"/>
                  <w:vAlign w:val="center"/>
                </w:tcPr>
                <w:p w14:paraId="7ED16398">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2776" w:type="dxa"/>
                  <w:vAlign w:val="center"/>
                </w:tcPr>
                <w:p w14:paraId="4745633A">
                  <w:pPr>
                    <w:keepNext w:val="0"/>
                    <w:keepLines w:val="0"/>
                    <w:widowControl/>
                    <w:suppressLineNumbers w:val="0"/>
                    <w:jc w:val="center"/>
                    <w:textAlignment w:val="center"/>
                    <w:rPr>
                      <w:rFonts w:hint="eastAsia" w:ascii="仿宋" w:hAnsi="仿宋" w:eastAsia="仿宋" w:cs="仿宋"/>
                      <w:kern w:val="0"/>
                      <w:sz w:val="21"/>
                      <w:szCs w:val="21"/>
                      <w:highlight w:val="none"/>
                      <w:vertAlign w:val="baseline"/>
                      <w:lang w:val="en-US" w:eastAsia="zh-CN" w:bidi="ar-SA"/>
                    </w:rPr>
                  </w:pPr>
                  <w:r>
                    <w:rPr>
                      <w:rFonts w:hint="eastAsia" w:ascii="仿宋" w:hAnsi="仿宋" w:eastAsia="仿宋" w:cs="仿宋"/>
                      <w:kern w:val="0"/>
                      <w:sz w:val="21"/>
                      <w:szCs w:val="21"/>
                      <w:highlight w:val="none"/>
                      <w:vertAlign w:val="baseline"/>
                      <w:lang w:val="en-US" w:eastAsia="zh-CN" w:bidi="ar-SA"/>
                    </w:rPr>
                    <w:t>碘黏膜染色剂</w:t>
                  </w:r>
                </w:p>
              </w:tc>
              <w:tc>
                <w:tcPr>
                  <w:tcW w:w="2827" w:type="dxa"/>
                  <w:vAlign w:val="center"/>
                </w:tcPr>
                <w:p w14:paraId="27CF1B2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工业</w:t>
                  </w:r>
                </w:p>
              </w:tc>
            </w:tr>
            <w:tr w14:paraId="6FE4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5" w:type="dxa"/>
                  <w:vAlign w:val="center"/>
                </w:tcPr>
                <w:p w14:paraId="22FE0D5D">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2776" w:type="dxa"/>
                  <w:vAlign w:val="center"/>
                </w:tcPr>
                <w:p w14:paraId="3AF9BB9C">
                  <w:pPr>
                    <w:keepNext w:val="0"/>
                    <w:keepLines w:val="0"/>
                    <w:widowControl/>
                    <w:suppressLineNumbers w:val="0"/>
                    <w:jc w:val="center"/>
                    <w:textAlignment w:val="center"/>
                    <w:rPr>
                      <w:rFonts w:hint="eastAsia" w:ascii="仿宋" w:hAnsi="仿宋" w:eastAsia="仿宋" w:cs="仿宋"/>
                      <w:kern w:val="0"/>
                      <w:sz w:val="21"/>
                      <w:szCs w:val="21"/>
                      <w:highlight w:val="none"/>
                      <w:vertAlign w:val="baseline"/>
                      <w:lang w:val="en-US" w:eastAsia="zh-CN" w:bidi="ar-SA"/>
                    </w:rPr>
                  </w:pPr>
                  <w:r>
                    <w:rPr>
                      <w:rFonts w:hint="eastAsia" w:ascii="仿宋" w:hAnsi="仿宋" w:eastAsia="仿宋" w:cs="仿宋"/>
                      <w:kern w:val="0"/>
                      <w:sz w:val="21"/>
                      <w:szCs w:val="21"/>
                      <w:highlight w:val="none"/>
                      <w:vertAlign w:val="baseline"/>
                      <w:lang w:val="en-US" w:eastAsia="zh-CN" w:bidi="ar-SA"/>
                    </w:rPr>
                    <w:t>靛胭脂黏膜染色剂</w:t>
                  </w:r>
                </w:p>
              </w:tc>
              <w:tc>
                <w:tcPr>
                  <w:tcW w:w="2827" w:type="dxa"/>
                  <w:vAlign w:val="center"/>
                </w:tcPr>
                <w:p w14:paraId="7CA00499">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工业</w:t>
                  </w:r>
                </w:p>
              </w:tc>
            </w:tr>
          </w:tbl>
          <w:p w14:paraId="7AC2C76D">
            <w:pPr>
              <w:pStyle w:val="10"/>
              <w:ind w:left="0" w:leftChars="0" w:firstLine="0" w:firstLineChars="0"/>
              <w:rPr>
                <w:rFonts w:hint="eastAsia" w:ascii="仿宋" w:hAnsi="仿宋" w:eastAsia="仿宋" w:cs="仿宋"/>
                <w:highlight w:val="none"/>
              </w:rPr>
            </w:pPr>
          </w:p>
        </w:tc>
      </w:tr>
      <w:tr w14:paraId="257D40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F1B5C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w:t>
            </w:r>
          </w:p>
        </w:tc>
        <w:tc>
          <w:tcPr>
            <w:tcW w:w="6652" w:type="dxa"/>
            <w:tcBorders>
              <w:tl2br w:val="nil"/>
              <w:tr2bl w:val="nil"/>
            </w:tcBorders>
            <w:vAlign w:val="center"/>
          </w:tcPr>
          <w:p w14:paraId="3CD04B8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☑本项目不专门面向中小企业预留采购份额。</w:t>
            </w:r>
          </w:p>
          <w:p w14:paraId="768DFC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□本项目专门面向</w:t>
            </w:r>
            <w:r>
              <w:rPr>
                <w:rFonts w:hint="eastAsia" w:ascii="仿宋" w:hAnsi="仿宋" w:eastAsia="仿宋" w:cs="仿宋"/>
                <w:b/>
                <w:bCs/>
                <w:sz w:val="24"/>
                <w:szCs w:val="24"/>
                <w:highlight w:val="none"/>
                <w:vertAlign w:val="baseline"/>
                <w:lang w:val="en-US" w:eastAsia="zh-CN"/>
              </w:rPr>
              <w:t>□中小□小微企业</w:t>
            </w:r>
            <w:r>
              <w:rPr>
                <w:rFonts w:hint="eastAsia" w:ascii="仿宋" w:hAnsi="仿宋" w:eastAsia="仿宋" w:cs="仿宋"/>
                <w:sz w:val="24"/>
                <w:szCs w:val="24"/>
                <w:highlight w:val="none"/>
                <w:vertAlign w:val="baseline"/>
                <w:lang w:val="en-US" w:eastAsia="zh-CN"/>
              </w:rPr>
              <w:t xml:space="preserve"> 采购。即: 提供的货物全部由符合政策要求的□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企业制造、服务全部由符合政策要求的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企业承接。</w:t>
            </w:r>
          </w:p>
          <w:p w14:paraId="0D6574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4"/>
                <w:szCs w:val="24"/>
                <w:highlight w:val="none"/>
                <w:u w:val="single"/>
                <w:vertAlign w:val="baseline"/>
                <w:lang w:val="en-US" w:eastAsia="zh-CN"/>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tc>
      </w:tr>
      <w:tr w14:paraId="39DD76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83953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1.5.4</w:t>
            </w:r>
          </w:p>
        </w:tc>
        <w:tc>
          <w:tcPr>
            <w:tcW w:w="6652" w:type="dxa"/>
            <w:tcBorders>
              <w:tl2br w:val="nil"/>
              <w:tr2bl w:val="nil"/>
            </w:tcBorders>
            <w:vAlign w:val="center"/>
          </w:tcPr>
          <w:p w14:paraId="7B5D4B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本项目是否适用本国产品价格评审优惠政策：</w:t>
            </w:r>
          </w:p>
          <w:p w14:paraId="65FFFB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适用支持本国产品优惠政策。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F965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□不适用</w:t>
            </w:r>
          </w:p>
        </w:tc>
      </w:tr>
      <w:tr w14:paraId="49B733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9097A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6652" w:type="dxa"/>
            <w:tcBorders>
              <w:tl2br w:val="nil"/>
              <w:tr2bl w:val="nil"/>
            </w:tcBorders>
            <w:vAlign w:val="center"/>
          </w:tcPr>
          <w:p w14:paraId="1A77D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是否允许联合体投标：否</w:t>
            </w:r>
          </w:p>
          <w:p w14:paraId="12FDD7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联合体的其他资格要求：无</w:t>
            </w:r>
          </w:p>
        </w:tc>
      </w:tr>
      <w:tr w14:paraId="06028A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D4F92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6652" w:type="dxa"/>
            <w:tcBorders>
              <w:tl2br w:val="nil"/>
              <w:tr2bl w:val="nil"/>
            </w:tcBorders>
            <w:vAlign w:val="center"/>
          </w:tcPr>
          <w:p w14:paraId="30B8FC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项目预算金额：300000.00元</w:t>
            </w:r>
          </w:p>
          <w:p w14:paraId="0ECED1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最高限价：</w:t>
            </w:r>
            <w:r>
              <w:rPr>
                <w:rFonts w:hint="eastAsia" w:ascii="仿宋" w:hAnsi="仿宋" w:eastAsia="仿宋" w:cs="仿宋"/>
                <w:sz w:val="24"/>
                <w:szCs w:val="24"/>
                <w:highlight w:val="none"/>
              </w:rPr>
              <w:t>过氧乙酸消毒液（一次性）0.</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元/ml；碘黏膜染色剂</w:t>
            </w:r>
            <w:r>
              <w:rPr>
                <w:rFonts w:hint="eastAsia" w:ascii="仿宋" w:hAnsi="仿宋" w:eastAsia="仿宋" w:cs="仿宋"/>
                <w:sz w:val="24"/>
                <w:szCs w:val="24"/>
                <w:highlight w:val="none"/>
                <w:lang w:val="en-US" w:eastAsia="zh-CN"/>
              </w:rPr>
              <w:t>7.3</w:t>
            </w:r>
            <w:r>
              <w:rPr>
                <w:rFonts w:hint="eastAsia" w:ascii="仿宋" w:hAnsi="仿宋" w:eastAsia="仿宋" w:cs="仿宋"/>
                <w:sz w:val="24"/>
                <w:szCs w:val="24"/>
                <w:highlight w:val="none"/>
                <w:lang w:eastAsia="zh-CN"/>
              </w:rPr>
              <w:t>元/ml；靛胭脂黏膜染色剂</w:t>
            </w:r>
            <w:r>
              <w:rPr>
                <w:rFonts w:hint="eastAsia" w:ascii="仿宋" w:hAnsi="仿宋" w:eastAsia="仿宋" w:cs="仿宋"/>
                <w:sz w:val="24"/>
                <w:szCs w:val="24"/>
                <w:highlight w:val="none"/>
                <w:lang w:val="en-US" w:eastAsia="zh-CN"/>
              </w:rPr>
              <w:t>7.3</w:t>
            </w:r>
            <w:r>
              <w:rPr>
                <w:rFonts w:hint="eastAsia" w:ascii="仿宋" w:hAnsi="仿宋" w:eastAsia="仿宋" w:cs="仿宋"/>
                <w:sz w:val="24"/>
                <w:szCs w:val="24"/>
                <w:highlight w:val="none"/>
                <w:lang w:eastAsia="zh-CN"/>
              </w:rPr>
              <w:t>元/ml；</w:t>
            </w:r>
            <w:r>
              <w:rPr>
                <w:rFonts w:hint="eastAsia" w:ascii="仿宋" w:hAnsi="仿宋" w:eastAsia="仿宋" w:cs="仿宋"/>
                <w:sz w:val="24"/>
                <w:szCs w:val="24"/>
                <w:highlight w:val="none"/>
                <w:vertAlign w:val="baseline"/>
                <w:lang w:val="en-US" w:eastAsia="zh-CN"/>
              </w:rPr>
              <w:t xml:space="preserve">  </w:t>
            </w:r>
          </w:p>
          <w:p w14:paraId="449356D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bCs/>
                <w:sz w:val="24"/>
                <w:szCs w:val="28"/>
                <w:highlight w:val="none"/>
                <w:lang w:val="en-US" w:eastAsia="zh-CN"/>
              </w:rPr>
              <w:t>投标人投标报价不得高于最高投标限价（单价），否则其投标将被否决，视为重大偏离。</w:t>
            </w:r>
          </w:p>
        </w:tc>
      </w:tr>
      <w:tr w14:paraId="1267B5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4FBB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6652" w:type="dxa"/>
            <w:tcBorders>
              <w:tl2br w:val="nil"/>
              <w:tr2bl w:val="nil"/>
            </w:tcBorders>
            <w:vAlign w:val="center"/>
          </w:tcPr>
          <w:p w14:paraId="7858A2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是否组织现场考察或者召开答疑会：否 </w:t>
            </w:r>
          </w:p>
          <w:p w14:paraId="2D882D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14:paraId="5466A3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9FE90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5.7 </w:t>
            </w:r>
          </w:p>
        </w:tc>
        <w:tc>
          <w:tcPr>
            <w:tcW w:w="6652" w:type="dxa"/>
            <w:tcBorders>
              <w:tl2br w:val="nil"/>
              <w:tr2bl w:val="nil"/>
            </w:tcBorders>
            <w:vAlign w:val="center"/>
          </w:tcPr>
          <w:p w14:paraId="55CE5D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是否需要提供样品：否 </w:t>
            </w:r>
          </w:p>
          <w:p w14:paraId="704609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提供样品要求包括：</w:t>
            </w:r>
            <w:r>
              <w:rPr>
                <w:rFonts w:hint="eastAsia" w:ascii="仿宋" w:hAnsi="仿宋" w:eastAsia="仿宋" w:cs="仿宋"/>
                <w:sz w:val="24"/>
                <w:szCs w:val="24"/>
                <w:highlight w:val="none"/>
                <w:vertAlign w:val="baseline"/>
                <w:lang w:val="en-US" w:eastAsia="zh-CN"/>
              </w:rPr>
              <w:t>/</w:t>
            </w:r>
          </w:p>
        </w:tc>
      </w:tr>
      <w:tr w14:paraId="22CA51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59EA2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7.1 </w:t>
            </w:r>
          </w:p>
        </w:tc>
        <w:tc>
          <w:tcPr>
            <w:tcW w:w="6652" w:type="dxa"/>
            <w:tcBorders>
              <w:tl2br w:val="nil"/>
              <w:tr2bl w:val="nil"/>
            </w:tcBorders>
            <w:vAlign w:val="center"/>
          </w:tcPr>
          <w:p w14:paraId="7D9FF9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如投标人对多个包进行投标，可以中标</w:t>
            </w:r>
            <w:r>
              <w:rPr>
                <w:rFonts w:hint="eastAsia" w:ascii="仿宋" w:hAnsi="仿宋" w:eastAsia="仿宋" w:cs="仿宋"/>
                <w:b/>
                <w:bCs/>
                <w:sz w:val="24"/>
                <w:szCs w:val="24"/>
                <w:highlight w:val="none"/>
                <w:u w:val="single"/>
                <w:vertAlign w:val="baseline"/>
              </w:rPr>
              <w:t>多</w:t>
            </w:r>
            <w:r>
              <w:rPr>
                <w:rFonts w:hint="eastAsia" w:ascii="仿宋" w:hAnsi="仿宋" w:eastAsia="仿宋" w:cs="仿宋"/>
                <w:sz w:val="24"/>
                <w:szCs w:val="24"/>
                <w:highlight w:val="none"/>
                <w:vertAlign w:val="baseline"/>
              </w:rPr>
              <w:t>包（本项目不适用）</w:t>
            </w:r>
          </w:p>
        </w:tc>
      </w:tr>
      <w:tr w14:paraId="7F5C26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146AB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6652" w:type="dxa"/>
            <w:tcBorders>
              <w:tl2br w:val="nil"/>
              <w:tr2bl w:val="nil"/>
            </w:tcBorders>
            <w:vAlign w:val="center"/>
          </w:tcPr>
          <w:p w14:paraId="08ED3A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保证金形式：支票、汇票、本票、网上银行支付或者金融机构、担保机构出具的保函等</w:t>
            </w:r>
            <w:r>
              <w:rPr>
                <w:rFonts w:hint="eastAsia" w:ascii="仿宋" w:hAnsi="仿宋" w:eastAsia="仿宋" w:cs="仿宋"/>
                <w:sz w:val="24"/>
                <w:szCs w:val="24"/>
                <w:highlight w:val="none"/>
                <w:vertAlign w:val="baseline"/>
                <w:lang w:val="en-US" w:eastAsia="zh-CN"/>
              </w:rPr>
              <w:t>政府采购法律法规中要求的</w:t>
            </w:r>
            <w:r>
              <w:rPr>
                <w:rFonts w:hint="eastAsia" w:ascii="仿宋" w:hAnsi="仿宋" w:eastAsia="仿宋" w:cs="仿宋"/>
                <w:sz w:val="24"/>
                <w:szCs w:val="24"/>
                <w:highlight w:val="none"/>
                <w:vertAlign w:val="baseline"/>
              </w:rPr>
              <w:t>非现金形式</w:t>
            </w:r>
          </w:p>
          <w:p w14:paraId="19F38B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保证金数额：</w:t>
            </w:r>
            <w:r>
              <w:rPr>
                <w:rFonts w:hint="eastAsia" w:ascii="仿宋" w:hAnsi="仿宋" w:eastAsia="仿宋" w:cs="仿宋"/>
                <w:sz w:val="24"/>
                <w:szCs w:val="24"/>
                <w:highlight w:val="none"/>
                <w:vertAlign w:val="baseline"/>
                <w:lang w:val="en-US" w:eastAsia="zh-CN"/>
              </w:rPr>
              <w:t>6000</w:t>
            </w:r>
            <w:r>
              <w:rPr>
                <w:rFonts w:hint="eastAsia" w:ascii="仿宋" w:hAnsi="仿宋" w:eastAsia="仿宋" w:cs="仿宋"/>
                <w:sz w:val="24"/>
                <w:szCs w:val="24"/>
                <w:highlight w:val="none"/>
                <w:vertAlign w:val="baseline"/>
              </w:rPr>
              <w:t>元</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人民币陆仟元整</w:t>
            </w:r>
            <w:r>
              <w:rPr>
                <w:rFonts w:hint="eastAsia" w:ascii="仿宋" w:hAnsi="仿宋" w:eastAsia="仿宋" w:cs="仿宋"/>
                <w:sz w:val="24"/>
                <w:szCs w:val="24"/>
                <w:highlight w:val="none"/>
                <w:vertAlign w:val="baseline"/>
                <w:lang w:eastAsia="zh-CN"/>
              </w:rPr>
              <w:t>）</w:t>
            </w:r>
          </w:p>
          <w:p w14:paraId="2AADB3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如采用网上银行方式，采购代理机构账号信息如下：</w:t>
            </w:r>
          </w:p>
          <w:p w14:paraId="4EF7F2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保证金收款人：新疆世纪星工程咨询有限公司</w:t>
            </w:r>
          </w:p>
          <w:p w14:paraId="040444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保证金收款账号：512090100100073085</w:t>
            </w:r>
          </w:p>
          <w:p w14:paraId="0B50526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保证收款银行及行号: 兴业银行乌鲁木齐分行营业部309881002010</w:t>
            </w:r>
          </w:p>
          <w:p w14:paraId="3487DD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投标保证金到账（保函提交）截止时间同投标截止时间。</w:t>
            </w:r>
          </w:p>
          <w:p w14:paraId="147EE97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以支票、汇票、本票、网上银行支付等形式提交投标保证金的，应在投标截止时间前到账；</w:t>
            </w:r>
          </w:p>
          <w:p w14:paraId="317E20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3D1322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由于到账时间晚于投标截止时间的，或者票据错误、印鉴不清等原因导致不能到账的，其投标无效。</w:t>
            </w:r>
          </w:p>
          <w:p w14:paraId="41A51C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投标保证金（投标电子保函）有效期与投标有效期一致。</w:t>
            </w:r>
          </w:p>
        </w:tc>
      </w:tr>
      <w:tr w14:paraId="2A6717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BAC27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6652" w:type="dxa"/>
            <w:tcBorders>
              <w:tl2br w:val="nil"/>
              <w:tr2bl w:val="nil"/>
            </w:tcBorders>
            <w:vAlign w:val="center"/>
          </w:tcPr>
          <w:p w14:paraId="76E4E3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val="0"/>
                <w:bCs w:val="0"/>
                <w:sz w:val="24"/>
                <w:szCs w:val="24"/>
                <w:highlight w:val="none"/>
                <w:vertAlign w:val="baseline"/>
              </w:rPr>
              <w:t>投标有效期：90 日历日</w:t>
            </w:r>
          </w:p>
        </w:tc>
      </w:tr>
      <w:tr w14:paraId="080EEE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3C10A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13.1</w:t>
            </w:r>
          </w:p>
        </w:tc>
        <w:tc>
          <w:tcPr>
            <w:tcW w:w="6652" w:type="dxa"/>
            <w:tcBorders>
              <w:tl2br w:val="nil"/>
              <w:tr2bl w:val="nil"/>
            </w:tcBorders>
            <w:vAlign w:val="center"/>
          </w:tcPr>
          <w:p w14:paraId="6E7FC3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投标截止时间：</w:t>
            </w: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日 11:00（北京时间）</w:t>
            </w:r>
          </w:p>
        </w:tc>
      </w:tr>
      <w:tr w14:paraId="00B7B0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C8E81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14.1</w:t>
            </w:r>
          </w:p>
        </w:tc>
        <w:tc>
          <w:tcPr>
            <w:tcW w:w="6652" w:type="dxa"/>
            <w:tcBorders>
              <w:tl2br w:val="nil"/>
              <w:tr2bl w:val="nil"/>
            </w:tcBorders>
            <w:vAlign w:val="center"/>
          </w:tcPr>
          <w:p w14:paraId="7FEB30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开标时间：同投标截止时间 </w:t>
            </w:r>
          </w:p>
          <w:p w14:paraId="5694B1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开标地点：政采云平台（https://www.zcygov.cn/）不见面开标系统</w:t>
            </w:r>
          </w:p>
        </w:tc>
      </w:tr>
      <w:tr w14:paraId="7908F6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65E20D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18.1</w:t>
            </w:r>
          </w:p>
        </w:tc>
        <w:tc>
          <w:tcPr>
            <w:tcW w:w="6652" w:type="dxa"/>
            <w:tcBorders>
              <w:bottom w:val="single" w:color="auto" w:sz="4" w:space="0"/>
              <w:tl2br w:val="nil"/>
              <w:tr2bl w:val="nil"/>
            </w:tcBorders>
            <w:vAlign w:val="center"/>
          </w:tcPr>
          <w:p w14:paraId="4C3B4AC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采购人是否委托评标委员会直接确定中标人：否 </w:t>
            </w:r>
          </w:p>
        </w:tc>
      </w:tr>
      <w:tr w14:paraId="2B6155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47442E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21.5</w:t>
            </w:r>
          </w:p>
        </w:tc>
        <w:tc>
          <w:tcPr>
            <w:tcW w:w="6652" w:type="dxa"/>
            <w:tcBorders>
              <w:top w:val="single" w:color="auto" w:sz="4" w:space="0"/>
              <w:tl2br w:val="nil"/>
              <w:tr2bl w:val="nil"/>
            </w:tcBorders>
            <w:vAlign w:val="center"/>
          </w:tcPr>
          <w:p w14:paraId="191FA1E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本项目是否允许分包：</w:t>
            </w:r>
          </w:p>
          <w:p w14:paraId="49FF4F4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☑不允许</w:t>
            </w:r>
          </w:p>
          <w:p w14:paraId="69391F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□允许，具体要求：</w:t>
            </w:r>
          </w:p>
          <w:p w14:paraId="520857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（1）可以分包履行的具体内容：</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p w14:paraId="4D3F21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（2）允许分包的金额或者比例：</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p w14:paraId="736A0FE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（3）其他要求：</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tc>
      </w:tr>
      <w:tr w14:paraId="69EEFC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1B59E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22.1</w:t>
            </w:r>
          </w:p>
        </w:tc>
        <w:tc>
          <w:tcPr>
            <w:tcW w:w="6652" w:type="dxa"/>
            <w:tcBorders>
              <w:tl2br w:val="nil"/>
              <w:tr2bl w:val="nil"/>
            </w:tcBorders>
            <w:vAlign w:val="center"/>
          </w:tcPr>
          <w:p w14:paraId="132B6D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提交履约保证金的时间：/ </w:t>
            </w:r>
          </w:p>
          <w:p w14:paraId="3CC4F5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 </w:t>
            </w:r>
          </w:p>
          <w:p w14:paraId="32E8C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履约保证金形式：/</w:t>
            </w:r>
          </w:p>
        </w:tc>
      </w:tr>
      <w:tr w14:paraId="2D5A1C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1" w:hRule="atLeast"/>
        </w:trPr>
        <w:tc>
          <w:tcPr>
            <w:tcW w:w="1870" w:type="dxa"/>
            <w:tcBorders>
              <w:bottom w:val="single" w:color="auto" w:sz="4" w:space="0"/>
              <w:tl2br w:val="nil"/>
              <w:tr2bl w:val="nil"/>
            </w:tcBorders>
            <w:vAlign w:val="center"/>
          </w:tcPr>
          <w:p w14:paraId="427C05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23.1</w:t>
            </w:r>
          </w:p>
        </w:tc>
        <w:tc>
          <w:tcPr>
            <w:tcW w:w="6652" w:type="dxa"/>
            <w:tcBorders>
              <w:bottom w:val="single" w:color="auto" w:sz="4" w:space="0"/>
              <w:tl2br w:val="nil"/>
              <w:tr2bl w:val="nil"/>
            </w:tcBorders>
            <w:vAlign w:val="center"/>
          </w:tcPr>
          <w:p w14:paraId="39DBD7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是否由中标人缴纳招标代理费：是 </w:t>
            </w:r>
          </w:p>
          <w:p w14:paraId="4EF7171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招标代理费：成交供应商应按本招标文件的规定，在《成交通知书》核发时至核发后3天内，向采购代理机构支付成交服务费。按发改价格[2011]534 号及计价格[2002]1980号文件计算的招标代理服务收费标准下浮40%计取。</w:t>
            </w:r>
          </w:p>
        </w:tc>
      </w:tr>
      <w:tr w14:paraId="7D6F1F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24F8BA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24</w:t>
            </w:r>
          </w:p>
        </w:tc>
        <w:tc>
          <w:tcPr>
            <w:tcW w:w="6652" w:type="dxa"/>
            <w:tcBorders>
              <w:top w:val="single" w:color="auto" w:sz="4" w:space="0"/>
              <w:tl2br w:val="nil"/>
              <w:tr2bl w:val="nil"/>
            </w:tcBorders>
            <w:vAlign w:val="center"/>
          </w:tcPr>
          <w:p w14:paraId="3C3071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接收询问和质疑的联系方式：</w:t>
            </w:r>
          </w:p>
          <w:p w14:paraId="73043C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1、询问</w:t>
            </w:r>
          </w:p>
          <w:p w14:paraId="740124D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联系部门、联系电话、通讯地址：见第一章《招标公告》中的采购代理机构信息和项目联系方式。</w:t>
            </w:r>
          </w:p>
          <w:p w14:paraId="365D7A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2、质疑</w:t>
            </w:r>
          </w:p>
          <w:p w14:paraId="2EE35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联系部门：新疆世纪星工程咨询有限公司招标部</w:t>
            </w:r>
          </w:p>
          <w:p w14:paraId="7791A5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联系人、联系电话：李航、马莉   0991-3678303</w:t>
            </w:r>
          </w:p>
          <w:p w14:paraId="3B9C68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通讯地址：乌鲁木齐经济技术开发区二期黄山街一品九点阳光德港大厦B座20楼</w:t>
            </w:r>
          </w:p>
          <w:p w14:paraId="13189FE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其他要求：质疑书、授权委托书及报名成功截图PDF扫描件发送至代理机构邮箱，以上资料原件邮寄或送至代理机构。</w:t>
            </w:r>
          </w:p>
        </w:tc>
      </w:tr>
      <w:tr w14:paraId="610E9E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46F8C4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25</w:t>
            </w:r>
          </w:p>
        </w:tc>
        <w:tc>
          <w:tcPr>
            <w:tcW w:w="6652" w:type="dxa"/>
            <w:tcBorders>
              <w:top w:val="single" w:color="auto" w:sz="4" w:space="0"/>
              <w:tl2br w:val="nil"/>
              <w:tr2bl w:val="nil"/>
            </w:tcBorders>
            <w:vAlign w:val="center"/>
          </w:tcPr>
          <w:p w14:paraId="7275523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评分办法：综合评分法</w:t>
            </w:r>
          </w:p>
          <w:p w14:paraId="6829D6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评标委员会组成：招标采购单位依法组建评标委员会共5人组成，其中采购人代表1人和专家评委4人。</w:t>
            </w:r>
          </w:p>
          <w:p w14:paraId="199993F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小组确定方式：</w:t>
            </w:r>
          </w:p>
          <w:p w14:paraId="1DC992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☑计算机随机抽取语音通知方式</w:t>
            </w:r>
          </w:p>
          <w:p w14:paraId="33A8E4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□其他方式：/</w:t>
            </w:r>
          </w:p>
        </w:tc>
      </w:tr>
      <w:tr w14:paraId="03D33C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1C448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tc>
      </w:tr>
      <w:tr w14:paraId="736D54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870" w:type="dxa"/>
            <w:tcBorders>
              <w:top w:val="single" w:color="auto" w:sz="4" w:space="0"/>
              <w:bottom w:val="single" w:color="auto" w:sz="4" w:space="0"/>
              <w:tl2br w:val="nil"/>
              <w:tr2bl w:val="nil"/>
            </w:tcBorders>
            <w:vAlign w:val="center"/>
          </w:tcPr>
          <w:p w14:paraId="3A8C2D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6652" w:type="dxa"/>
            <w:tcBorders>
              <w:top w:val="single" w:color="auto" w:sz="4" w:space="0"/>
              <w:bottom w:val="single" w:color="auto" w:sz="4" w:space="0"/>
              <w:tl2br w:val="nil"/>
              <w:tr2bl w:val="nil"/>
            </w:tcBorders>
            <w:vAlign w:val="center"/>
          </w:tcPr>
          <w:p w14:paraId="6EE4BD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核心产品：</w:t>
            </w:r>
          </w:p>
          <w:p w14:paraId="69589B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w:t>
            </w:r>
            <w:r>
              <w:rPr>
                <w:rFonts w:hint="eastAsia" w:ascii="仿宋" w:hAnsi="仿宋" w:eastAsia="仿宋" w:cs="仿宋"/>
                <w:b w:val="0"/>
                <w:bCs w:val="0"/>
                <w:sz w:val="24"/>
                <w:szCs w:val="24"/>
                <w:highlight w:val="none"/>
                <w:u w:val="single"/>
                <w:vertAlign w:val="baseline"/>
                <w:lang w:val="en-US" w:eastAsia="zh-CN"/>
              </w:rPr>
              <w:t>标项一</w:t>
            </w:r>
            <w:r>
              <w:rPr>
                <w:rFonts w:hint="eastAsia" w:ascii="仿宋" w:hAnsi="仿宋" w:eastAsia="仿宋" w:cs="仿宋"/>
                <w:b w:val="0"/>
                <w:bCs w:val="0"/>
                <w:sz w:val="24"/>
                <w:szCs w:val="24"/>
                <w:highlight w:val="none"/>
                <w:vertAlign w:val="baseline"/>
                <w:lang w:val="en-US" w:eastAsia="zh-CN"/>
              </w:rPr>
              <w:t>为单一产品采购项目。</w:t>
            </w:r>
          </w:p>
          <w:p w14:paraId="404D8C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u w:val="singl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w:t>
            </w:r>
            <w:r>
              <w:rPr>
                <w:rFonts w:hint="eastAsia" w:ascii="仿宋" w:hAnsi="仿宋" w:eastAsia="仿宋" w:cs="仿宋"/>
                <w:b w:val="0"/>
                <w:bCs w:val="0"/>
                <w:sz w:val="24"/>
                <w:szCs w:val="24"/>
                <w:highlight w:val="none"/>
                <w:u w:val="single"/>
                <w:vertAlign w:val="baseline"/>
                <w:lang w:val="en-US" w:eastAsia="zh-CN"/>
              </w:rPr>
              <w:t>标项一</w:t>
            </w:r>
            <w:r>
              <w:rPr>
                <w:rFonts w:hint="eastAsia" w:ascii="仿宋" w:hAnsi="仿宋" w:eastAsia="仿宋" w:cs="仿宋"/>
                <w:b w:val="0"/>
                <w:bCs w:val="0"/>
                <w:sz w:val="24"/>
                <w:szCs w:val="24"/>
                <w:highlight w:val="none"/>
                <w:vertAlign w:val="baseline"/>
                <w:lang w:val="en-US" w:eastAsia="zh-CN"/>
              </w:rPr>
              <w:t>为非单一产品采购项目，</w:t>
            </w:r>
            <w:r>
              <w:rPr>
                <w:rFonts w:hint="eastAsia" w:ascii="仿宋" w:hAnsi="仿宋" w:eastAsia="仿宋" w:cs="仿宋"/>
                <w:b/>
                <w:bCs/>
                <w:color w:val="auto"/>
                <w:sz w:val="24"/>
                <w:szCs w:val="24"/>
                <w:highlight w:val="none"/>
                <w:u w:val="single"/>
                <w:vertAlign w:val="baseline"/>
                <w:lang w:val="en-US" w:eastAsia="zh-CN"/>
              </w:rPr>
              <w:t>核心产品为：过氧乙酸消毒液（一次性）。</w:t>
            </w:r>
          </w:p>
          <w:p w14:paraId="5318DB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b/>
                <w:bCs/>
                <w:sz w:val="24"/>
                <w:szCs w:val="24"/>
                <w:highlight w:val="none"/>
                <w:vertAlign w:val="baseline"/>
                <w:lang w:val="en-US" w:eastAsia="zh-CN"/>
              </w:rPr>
              <w:t>注：若不单独标明核心产品则所有产品均被视为核心产品</w:t>
            </w:r>
          </w:p>
        </w:tc>
      </w:tr>
      <w:tr w14:paraId="7DA4C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5EC2C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w:t>
            </w:r>
          </w:p>
        </w:tc>
        <w:tc>
          <w:tcPr>
            <w:tcW w:w="6652" w:type="dxa"/>
            <w:tcBorders>
              <w:top w:val="single" w:color="auto" w:sz="4" w:space="0"/>
              <w:bottom w:val="single" w:color="auto" w:sz="4" w:space="0"/>
              <w:tl2br w:val="nil"/>
              <w:tr2bl w:val="nil"/>
            </w:tcBorders>
            <w:vAlign w:val="center"/>
          </w:tcPr>
          <w:p w14:paraId="348417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综合评分法</w:t>
            </w:r>
          </w:p>
        </w:tc>
      </w:tr>
      <w:tr w14:paraId="724EB3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4458E6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项目属性</w:t>
            </w:r>
          </w:p>
        </w:tc>
        <w:tc>
          <w:tcPr>
            <w:tcW w:w="6652" w:type="dxa"/>
            <w:tcBorders>
              <w:top w:val="single" w:color="auto" w:sz="4" w:space="0"/>
              <w:tl2br w:val="nil"/>
              <w:tr2bl w:val="nil"/>
            </w:tcBorders>
            <w:vAlign w:val="center"/>
          </w:tcPr>
          <w:p w14:paraId="7586BA7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货物</w:t>
            </w:r>
          </w:p>
        </w:tc>
      </w:tr>
      <w:tr w14:paraId="6BF4FE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58F3E7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交货期</w:t>
            </w:r>
          </w:p>
        </w:tc>
        <w:tc>
          <w:tcPr>
            <w:tcW w:w="6652" w:type="dxa"/>
            <w:tcBorders>
              <w:top w:val="single" w:color="auto" w:sz="4" w:space="0"/>
              <w:tl2br w:val="nil"/>
              <w:tr2bl w:val="nil"/>
            </w:tcBorders>
            <w:vAlign w:val="center"/>
          </w:tcPr>
          <w:p w14:paraId="417A9AB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sz w:val="24"/>
                <w:szCs w:val="28"/>
                <w:highlight w:val="none"/>
              </w:rPr>
              <w:t>具体按照采购人采购计划及采购需求及时配送至指定地点，并配合采购人完成验收工作。具体以实际签订合同为准，响应采购人要求。</w:t>
            </w:r>
          </w:p>
        </w:tc>
      </w:tr>
      <w:tr w14:paraId="16A8C1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22B570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付款方式</w:t>
            </w:r>
          </w:p>
          <w:p w14:paraId="31A0BF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6652" w:type="dxa"/>
            <w:tcBorders>
              <w:top w:val="single" w:color="auto" w:sz="4" w:space="0"/>
              <w:tl2br w:val="nil"/>
              <w:tr2bl w:val="nil"/>
            </w:tcBorders>
            <w:vAlign w:val="center"/>
          </w:tcPr>
          <w:p w14:paraId="2B845A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1.乙方送货后按甲方要求及时携由甲方采购和库管人员签字确认的送货单办理入库手续，按规定出具增值税发票及相关财务票据。</w:t>
            </w:r>
          </w:p>
          <w:p w14:paraId="041011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2.取得入库手续后，乙方有权对该批供货书面申请付款，经甲方相关部门审核后，甲方根据计划予以支付，付款期限以医院付款周期为准。</w:t>
            </w:r>
          </w:p>
          <w:p w14:paraId="1236DD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 付款方式：由甲方通过银行转账或银行承兑方式或者银行保理方式向乙方结算货款。</w:t>
            </w:r>
          </w:p>
        </w:tc>
      </w:tr>
      <w:tr w14:paraId="576538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0EB051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Cs/>
                <w:sz w:val="24"/>
                <w:szCs w:val="28"/>
                <w:highlight w:val="none"/>
                <w:lang w:val="en-US" w:eastAsia="zh-CN"/>
              </w:rPr>
              <w:t>有效期</w:t>
            </w:r>
          </w:p>
        </w:tc>
        <w:tc>
          <w:tcPr>
            <w:tcW w:w="6652" w:type="dxa"/>
            <w:tcBorders>
              <w:top w:val="single" w:color="auto" w:sz="4" w:space="0"/>
              <w:tl2br w:val="nil"/>
              <w:tr2bl w:val="nil"/>
            </w:tcBorders>
            <w:vAlign w:val="center"/>
          </w:tcPr>
          <w:p w14:paraId="0C526BC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Cs/>
                <w:sz w:val="24"/>
                <w:szCs w:val="28"/>
                <w:highlight w:val="none"/>
                <w:lang w:val="en-US" w:eastAsia="zh-CN"/>
              </w:rPr>
              <w:t>具体以实际合同签订为准。</w:t>
            </w:r>
          </w:p>
        </w:tc>
      </w:tr>
      <w:tr w14:paraId="2E471E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0" w:hRule="atLeast"/>
        </w:trPr>
        <w:tc>
          <w:tcPr>
            <w:tcW w:w="8522" w:type="dxa"/>
            <w:gridSpan w:val="2"/>
            <w:tcBorders>
              <w:tl2br w:val="nil"/>
              <w:tr2bl w:val="nil"/>
            </w:tcBorders>
            <w:vAlign w:val="center"/>
          </w:tcPr>
          <w:p w14:paraId="7F49BC4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p w14:paraId="39C3468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1、关于本项目所有公告、公示在新疆政府采购网发布。</w:t>
            </w:r>
          </w:p>
          <w:p w14:paraId="2FB4E7E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2、请投标单位随时关注本项目的澄清、答疑、变更事项。</w:t>
            </w:r>
          </w:p>
          <w:p w14:paraId="7261618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241E5DE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0C13DB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1898DC3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4B7C28E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AA5CB5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sz w:val="24"/>
                <w:szCs w:val="24"/>
                <w:highlight w:val="none"/>
                <w:vertAlign w:val="baseline"/>
                <w:lang w:val="en-US" w:eastAsia="zh-CN"/>
              </w:rPr>
              <w:t>本项目投标文件解密时间定为30分钟，如投标人因自身原因导致在规定的时间无法正常解密，视为开标后撤销其投标文件，投标保证金招标人有权不予退还。</w:t>
            </w:r>
          </w:p>
          <w:p w14:paraId="5D8EA72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0F7289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10、异常低价审查：</w:t>
            </w:r>
            <w:r>
              <w:rPr>
                <w:rFonts w:hint="eastAsia" w:ascii="仿宋" w:hAnsi="仿宋" w:eastAsia="仿宋" w:cs="仿宋"/>
                <w:b w:val="0"/>
                <w:bCs w:val="0"/>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15218FF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01DF233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239626F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（3）投标（响应）报价低于采购项目最高限价45%的，即投标（响应）报价＜采购项目最高限价×45%；</w:t>
            </w:r>
          </w:p>
          <w:p w14:paraId="46DC83D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（4）评审委员会基于专业判断，认为供应商报价过低，有可能影响产品质量或者不能诚信履约的其他情形。</w:t>
            </w:r>
          </w:p>
          <w:p w14:paraId="3ADE4E2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8FCB94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lang w:val="en-US" w:eastAsia="zh-CN"/>
              </w:rPr>
            </w:pPr>
            <w:r>
              <w:rPr>
                <w:rFonts w:hint="eastAsia" w:ascii="仿宋" w:hAnsi="仿宋" w:eastAsia="仿宋" w:cs="仿宋"/>
                <w:b w:val="0"/>
                <w:bCs w:val="0"/>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1F5B7106">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6852B30C">
      <w:pPr>
        <w:pStyle w:val="2"/>
        <w:numPr>
          <w:ilvl w:val="0"/>
          <w:numId w:val="1"/>
        </w:numPr>
        <w:bidi w:val="0"/>
        <w:jc w:val="center"/>
        <w:rPr>
          <w:rFonts w:hint="eastAsia" w:ascii="仿宋" w:hAnsi="仿宋" w:eastAsia="仿宋" w:cs="仿宋"/>
          <w:sz w:val="32"/>
          <w:szCs w:val="32"/>
          <w:highlight w:val="none"/>
        </w:rPr>
      </w:pPr>
      <w:bookmarkStart w:id="9" w:name="_Toc27881"/>
      <w:r>
        <w:rPr>
          <w:rFonts w:hint="eastAsia" w:ascii="仿宋" w:hAnsi="仿宋" w:eastAsia="仿宋" w:cs="仿宋"/>
          <w:sz w:val="32"/>
          <w:szCs w:val="32"/>
          <w:highlight w:val="none"/>
        </w:rPr>
        <w:t>投标人须知</w:t>
      </w:r>
      <w:bookmarkEnd w:id="9"/>
    </w:p>
    <w:p w14:paraId="6C44A2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none"/>
        </w:rPr>
      </w:pPr>
    </w:p>
    <w:p w14:paraId="1085C7A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sz w:val="24"/>
          <w:szCs w:val="24"/>
          <w:highlight w:val="none"/>
        </w:rPr>
      </w:pPr>
      <w:bookmarkStart w:id="10" w:name="_Toc20936"/>
      <w:r>
        <w:rPr>
          <w:rFonts w:hint="eastAsia" w:ascii="仿宋" w:hAnsi="仿宋" w:eastAsia="仿宋" w:cs="仿宋"/>
          <w:b/>
          <w:bCs/>
          <w:sz w:val="24"/>
          <w:szCs w:val="24"/>
          <w:highlight w:val="none"/>
        </w:rPr>
        <w:t>说 明</w:t>
      </w:r>
      <w:bookmarkEnd w:id="10"/>
    </w:p>
    <w:p w14:paraId="46F316B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采购人、采购代理机构及投标人</w:t>
      </w:r>
    </w:p>
    <w:p w14:paraId="4BAF5E4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采购人：是指依法进行政府采购的国家机构、事业单位、团体组织。</w:t>
      </w:r>
    </w:p>
    <w:p w14:paraId="18D1A043">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采购代理机构：本次招标的采购代理机构为新疆世纪星工程咨询有限公司。</w:t>
      </w:r>
    </w:p>
    <w:p w14:paraId="6613532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投标人：是指向采购人提供货物、工程或者服务的法人、其他组织或者自然人。</w:t>
      </w:r>
    </w:p>
    <w:p w14:paraId="621F1AD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投标人须满足以下条件：</w:t>
      </w:r>
    </w:p>
    <w:p w14:paraId="07A12BF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具备《中华人民共和国政府采购法》第二十二条关于投标人条件的规定，遵守国家、本项目采购人本级和上级财政部门政府采购的有关规定。</w:t>
      </w:r>
    </w:p>
    <w:p w14:paraId="5920EC9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以招标文件规定的方式获得了本项目的招标文件。</w:t>
      </w:r>
    </w:p>
    <w:p w14:paraId="1CD35328">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中规定的其他资格要求。</w:t>
      </w:r>
    </w:p>
    <w:p w14:paraId="18254EC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中未写明允许采购进口产品，如投标人所投产品为进口产品，其投标将作为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 xml:space="preserve">被拒绝。 </w:t>
      </w:r>
    </w:p>
    <w:p w14:paraId="12750200">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37FAE5C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30E4CF7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，未达到上述比例的投标将被认定为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5E95978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B107C9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投标人提供的货物、工程或者服务符合下列情形的，享受中小企业扶持政策：</w:t>
      </w:r>
    </w:p>
    <w:p w14:paraId="06286AF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3D40E06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3FD50FE2">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0C04576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在货物采购项目中，投标人提供的货物既有中小企业制造货物，也有大型企业制造货物的，不享受中小企业扶持政策。 </w:t>
      </w:r>
    </w:p>
    <w:p w14:paraId="2A325BB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4538F60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2F24E0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74B9B3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214C45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lang w:val="en-US" w:eastAsia="zh-CN" w:bidi="ar-SA"/>
        </w:rPr>
        <w:t>（2）</w:t>
      </w: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53517B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lang w:val="en-US" w:eastAsia="zh-CN" w:bidi="ar-SA"/>
        </w:rPr>
        <w:t>（3）</w:t>
      </w: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049A16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lang w:val="en-US" w:eastAsia="zh-CN" w:bidi="ar-SA"/>
        </w:rPr>
        <w:t>（4）</w:t>
      </w: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43D7B2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lang w:val="en-US" w:eastAsia="zh-CN" w:bidi="ar-SA"/>
        </w:rPr>
        <w:t>（5）</w:t>
      </w: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424838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lang w:val="en-US" w:eastAsia="zh-CN" w:bidi="ar-SA"/>
        </w:rPr>
        <w:t>（6）</w:t>
      </w: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E95A1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1.5.4本国产品标准</w:t>
      </w:r>
    </w:p>
    <w:p w14:paraId="306E0D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本国产品应当符合以下条件：</w:t>
      </w:r>
    </w:p>
    <w:p w14:paraId="25B886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（一）在中国境内生产</w:t>
      </w:r>
    </w:p>
    <w:p w14:paraId="245494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产品应当在中国境内生产，即在中华人民共和国关境内实现从原材料、组件到产品的属性改变。</w:t>
      </w:r>
    </w:p>
    <w:p w14:paraId="12E020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属性改变是指经过制造、加工或者组装等工序，产生完全不同于原材料、组件的新产品，并具有新的名称和特征（用途）。属性改变不包括以下细微操作：</w:t>
      </w:r>
    </w:p>
    <w:p w14:paraId="6CF07B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1.为确保产品在运输或者储存期间保持某种状态而进行的操作；</w:t>
      </w:r>
    </w:p>
    <w:p w14:paraId="7FE44D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2.为产品运输或者销售进行的包装或者展示；</w:t>
      </w:r>
    </w:p>
    <w:p w14:paraId="1D1991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3.在产品或者其包装上粘贴或者印刷品牌、标志、标识以及其他用于区别的标记；</w:t>
      </w:r>
    </w:p>
    <w:p w14:paraId="70BAA7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4.简单的上漆、磨光和分装；</w:t>
      </w:r>
    </w:p>
    <w:p w14:paraId="51F026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5.其他不属于属性改变的情形。</w:t>
      </w:r>
    </w:p>
    <w:p w14:paraId="148544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（二）在中国境内生产的组件成本占比达到规定比例</w:t>
      </w:r>
    </w:p>
    <w:p w14:paraId="7327B2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产品在中国境内生产的组件成本占比应当达到规定比例，计算公式为：</w:t>
      </w:r>
    </w:p>
    <w:p w14:paraId="146DBF9E">
      <w:pPr>
        <w:pStyle w:val="1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drawing>
          <wp:anchor distT="0" distB="0" distL="114300" distR="114300" simplePos="0" relativeHeight="251665408" behindDoc="1" locked="0" layoutInCell="1" allowOverlap="1">
            <wp:simplePos x="0" y="0"/>
            <wp:positionH relativeFrom="column">
              <wp:posOffset>18415</wp:posOffset>
            </wp:positionH>
            <wp:positionV relativeFrom="paragraph">
              <wp:posOffset>79375</wp:posOffset>
            </wp:positionV>
            <wp:extent cx="2946400" cy="464820"/>
            <wp:effectExtent l="0" t="0" r="10160" b="7620"/>
            <wp:wrapNone/>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7"/>
                    <a:stretch>
                      <a:fillRect/>
                    </a:stretch>
                  </pic:blipFill>
                  <pic:spPr>
                    <a:xfrm>
                      <a:off x="0" y="0"/>
                      <a:ext cx="2946400" cy="464820"/>
                    </a:xfrm>
                    <a:prstGeom prst="rect">
                      <a:avLst/>
                    </a:prstGeom>
                    <a:noFill/>
                    <a:ln w="9525">
                      <a:noFill/>
                    </a:ln>
                  </pic:spPr>
                </pic:pic>
              </a:graphicData>
            </a:graphic>
          </wp:anchor>
        </w:drawing>
      </w:r>
    </w:p>
    <w:p w14:paraId="21583660">
      <w:pPr>
        <w:pStyle w:val="11"/>
        <w:rPr>
          <w:rFonts w:hint="eastAsia"/>
          <w:lang w:val="en-US" w:eastAsia="zh-CN"/>
        </w:rPr>
      </w:pPr>
    </w:p>
    <w:p w14:paraId="2369828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财政部会同有关行业主管部门，分产品确定在中国境内生产的组件成本占比应当达到的规定比例。在分产品的中国境内生产的组件成本占比相关要求实施前，符合第一条第（一）项条件的产品在政府采购活动中视同本国产品。</w:t>
      </w:r>
    </w:p>
    <w:p w14:paraId="19D298C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499F62E9">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2E4F710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DB3946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05AC171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63A2A8F8">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242A8B9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14:paraId="4550315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21DE66E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14:paraId="6F70304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351EB5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EAA71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12722D68">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D701B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采购需求标准</w:t>
      </w:r>
    </w:p>
    <w:p w14:paraId="47416A6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商品包装、快递包装政府采购需求标准（试行）</w:t>
      </w:r>
    </w:p>
    <w:p w14:paraId="2BAA0A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EBFD70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绿色数据中心政府采购需求标准（试行）</w:t>
      </w:r>
    </w:p>
    <w:p w14:paraId="6D5D61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590FF07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其他采购需求标准</w:t>
      </w:r>
    </w:p>
    <w:p w14:paraId="41462A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9E75850">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中允许联合体投标，对联合体规定如下：</w:t>
      </w:r>
    </w:p>
    <w:p w14:paraId="28146AF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两个以上投标人可以组成一个投标联合体，以一个投标人的身份投标。  </w:t>
      </w:r>
    </w:p>
    <w:p w14:paraId="2B25936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49C6009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采购人根据采购项目对投标人的特殊要求，联合体中至少应当有一方符合相关规定。</w:t>
      </w:r>
    </w:p>
    <w:p w14:paraId="3006263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0C6BB59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7FE1BCB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联合体中有同类资质的投标人按照联合体分工承担相同工作的，按照资质等级较低的投标人确定资质等级。</w:t>
      </w:r>
    </w:p>
    <w:p w14:paraId="5A4B16F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224C35B0">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14:paraId="4F368B2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51D7F5DD">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资金来源 </w:t>
      </w:r>
    </w:p>
    <w:p w14:paraId="1447F7E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6E7AD60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项目预算金额和最高限价见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7F4A0EB6">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投标人报价超过招标文件规定的预算金额或者最高限价的，其投标将被认定为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14:paraId="546AD515">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投标费用</w:t>
      </w:r>
    </w:p>
    <w:p w14:paraId="62C433F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326B11FA">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53A5953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0B8E32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14:paraId="75978F1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sz w:val="24"/>
          <w:szCs w:val="24"/>
          <w:highlight w:val="none"/>
          <w:lang w:val="en-US" w:eastAsia="zh-CN"/>
        </w:rPr>
      </w:pPr>
      <w:bookmarkStart w:id="11" w:name="_Toc6547"/>
      <w:r>
        <w:rPr>
          <w:rFonts w:hint="eastAsia" w:ascii="仿宋" w:hAnsi="仿宋" w:eastAsia="仿宋" w:cs="仿宋"/>
          <w:b/>
          <w:bCs/>
          <w:sz w:val="24"/>
          <w:szCs w:val="24"/>
          <w:highlight w:val="none"/>
          <w:lang w:val="en-US" w:eastAsia="zh-CN"/>
        </w:rPr>
        <w:t>招标文件</w:t>
      </w:r>
      <w:bookmarkEnd w:id="11"/>
    </w:p>
    <w:p w14:paraId="221AA4D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招标文件构成</w:t>
      </w:r>
    </w:p>
    <w:p w14:paraId="6EA01C2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招标文件包括以下部分：</w:t>
      </w:r>
    </w:p>
    <w:p w14:paraId="664A5DC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招标公告（投标邀请） </w:t>
      </w:r>
    </w:p>
    <w:p w14:paraId="7BEE51F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投标须知前附表 </w:t>
      </w:r>
    </w:p>
    <w:p w14:paraId="7E3C69C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投标人须知</w:t>
      </w:r>
    </w:p>
    <w:p w14:paraId="68D326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0B9002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4612F8F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62546FC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投标文件格式 </w:t>
      </w:r>
    </w:p>
    <w:p w14:paraId="727AAAC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46D89EB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sz w:val="24"/>
          <w:szCs w:val="24"/>
          <w:highlight w:val="none"/>
          <w:u w:val="none"/>
          <w:lang w:val="en-US" w:eastAsia="zh-CN"/>
        </w:rPr>
        <w:t>投标须知前附表</w:t>
      </w:r>
      <w:r>
        <w:rPr>
          <w:rFonts w:hint="eastAsia" w:ascii="仿宋" w:hAnsi="仿宋" w:eastAsia="仿宋" w:cs="仿宋"/>
          <w:b w:val="0"/>
          <w:bCs w:val="0"/>
          <w:sz w:val="24"/>
          <w:szCs w:val="24"/>
          <w:highlight w:val="none"/>
          <w:lang w:val="en-US" w:eastAsia="zh-CN"/>
        </w:rPr>
        <w:t>不涉及的内容，以编排在后的最后描述为准。</w:t>
      </w:r>
    </w:p>
    <w:p w14:paraId="4C51E9E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0B9FEC4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0DFE6FD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投标人自行承担踏勘现场发生的责任、风险和自身费用。</w:t>
      </w:r>
    </w:p>
    <w:p w14:paraId="0A43EA1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，对样品的评审方法及评审标准见招标文件第六章《评标程序、评标方法和评标标准》。</w:t>
      </w:r>
    </w:p>
    <w:p w14:paraId="5F75FF06">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招标文件规定投标人提交样品的，样品属于投标文件的组成部分。样品的生产、运输、安装、保全等一切费用由投标人自理。</w:t>
      </w:r>
    </w:p>
    <w:p w14:paraId="5F64EF9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4431EED">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对招标文件的澄清或修改</w:t>
      </w:r>
    </w:p>
    <w:p w14:paraId="3CFBF1C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5014BCA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E20223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5ECB295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34176CB6">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如更正公告有重新发布电子招标文件的，投标人应登录电子招投标平台下载最新发布的电子招标文件制作投标文件。</w:t>
      </w:r>
    </w:p>
    <w:p w14:paraId="22B1C81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7535459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14:paraId="566E636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2" w:name="_Toc9070"/>
      <w:r>
        <w:rPr>
          <w:rFonts w:hint="eastAsia" w:ascii="仿宋" w:hAnsi="仿宋" w:eastAsia="仿宋" w:cs="仿宋"/>
          <w:b/>
          <w:bCs/>
          <w:sz w:val="24"/>
          <w:szCs w:val="24"/>
          <w:highlight w:val="none"/>
          <w:lang w:val="en-US" w:eastAsia="zh-CN"/>
        </w:rPr>
        <w:t>投标文件的编制</w:t>
      </w:r>
      <w:bookmarkEnd w:id="12"/>
    </w:p>
    <w:p w14:paraId="5216CE13">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投标范围、投标文件中计量单位的使用及投标语言</w:t>
      </w:r>
    </w:p>
    <w:p w14:paraId="35439DA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投标人可对招标文件中一个或几个分包进行投标，除非在</w:t>
      </w:r>
      <w:r>
        <w:rPr>
          <w:rFonts w:hint="eastAsia" w:ascii="仿宋" w:hAnsi="仿宋" w:eastAsia="仿宋" w:cs="仿宋"/>
          <w:b w:val="0"/>
          <w:bCs w:val="0"/>
          <w:sz w:val="24"/>
          <w:szCs w:val="24"/>
          <w:highlight w:val="none"/>
          <w:u w:val="single"/>
          <w:lang w:val="en-US" w:eastAsia="zh-CN"/>
        </w:rPr>
        <w:t>投标须知前附表中另有规定</w:t>
      </w:r>
      <w:r>
        <w:rPr>
          <w:rFonts w:hint="eastAsia" w:ascii="仿宋" w:hAnsi="仿宋" w:eastAsia="仿宋" w:cs="仿宋"/>
          <w:b w:val="0"/>
          <w:bCs w:val="0"/>
          <w:sz w:val="24"/>
          <w:szCs w:val="24"/>
          <w:highlight w:val="none"/>
          <w:lang w:val="en-US" w:eastAsia="zh-CN"/>
        </w:rPr>
        <w:t xml:space="preserve">。 </w:t>
      </w:r>
    </w:p>
    <w:p w14:paraId="38AA665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215E042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无论招标文件中是否要求，投标人所投货物或服务均应符合国家强制性标准。</w:t>
      </w:r>
    </w:p>
    <w:p w14:paraId="38BCFBC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除招标文件有特殊要求外，本项目投标所使用的计量单位，应采用中华人民共和国法定计量单位。</w:t>
      </w:r>
    </w:p>
    <w:p w14:paraId="3EFE4A5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27BD5A3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投标文件构成</w:t>
      </w:r>
    </w:p>
    <w:p w14:paraId="0EA7DC6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4532A8A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30BB80D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53E3A5E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投标人认为应附的其他材料。</w:t>
      </w:r>
    </w:p>
    <w:p w14:paraId="47E0D2C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FA5E37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投标报价</w:t>
      </w:r>
    </w:p>
    <w:p w14:paraId="23CB778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所有投标均以人民币报价。</w:t>
      </w:r>
    </w:p>
    <w:p w14:paraId="0DB3D9D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szCs w:val="24"/>
          <w:highlight w:val="none"/>
          <w:lang w:val="en-US" w:eastAsia="zh-CN"/>
        </w:rPr>
        <w:t>投标被拒绝</w:t>
      </w:r>
      <w:r>
        <w:rPr>
          <w:rFonts w:hint="eastAsia" w:ascii="仿宋" w:hAnsi="仿宋" w:eastAsia="仿宋" w:cs="仿宋"/>
          <w:b w:val="0"/>
          <w:bCs w:val="0"/>
          <w:sz w:val="24"/>
          <w:szCs w:val="24"/>
          <w:highlight w:val="none"/>
          <w:lang w:val="en-US" w:eastAsia="zh-CN"/>
        </w:rPr>
        <w:t>。</w:t>
      </w:r>
    </w:p>
    <w:p w14:paraId="7717AF1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14:paraId="5E785FE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051B8D1D">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投标保证金</w:t>
      </w:r>
    </w:p>
    <w:p w14:paraId="2E86972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中规定的金额及要求交纳投标保证金，并作为其投标的一部分。</w:t>
      </w:r>
    </w:p>
    <w:p w14:paraId="344FE4F6">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2702114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3ED4B8A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。电子保函与纸质保函具有同样效力。</w:t>
      </w:r>
    </w:p>
    <w:p w14:paraId="26C570A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投标保证金（保函）有效期同投标有效期。</w:t>
      </w:r>
    </w:p>
    <w:p w14:paraId="09A1697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联合体投标的，可以由联合体中的一方或者共同提交投标保证金，以一方名义提交投标保证金的，对联合体各方均具有约束力。</w:t>
      </w:r>
    </w:p>
    <w:p w14:paraId="3EE9278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4122FC6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1F8560A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中标人的投标保证金，自采购合同签订之日起 5 个工作日内退还中标人。 </w:t>
      </w:r>
    </w:p>
    <w:p w14:paraId="435C1376">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未中标投标人的投标保证金，自中标通知书发出之日起 5 个工作日内退还未中标人。</w:t>
      </w:r>
    </w:p>
    <w:p w14:paraId="32222BB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终止采购活动的项目已经收取投标保证金的，自终止采购活动后 5 个工作日内退还已收取的投标保证金。</w:t>
      </w:r>
    </w:p>
    <w:p w14:paraId="08D85EF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有下列情形之一的，采购人或采购代理机构可以不予退还投标保证金：</w:t>
      </w:r>
    </w:p>
    <w:p w14:paraId="5E32FD5B">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在投标有效期内，投标人撤回投标的； </w:t>
      </w:r>
    </w:p>
    <w:p w14:paraId="1806D34F">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中标人不按本招标文件的规定与采购人签订合同的； </w:t>
      </w:r>
    </w:p>
    <w:p w14:paraId="4F5B0E70">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中标人不按本招标文件的规定提交履约保证金的； </w:t>
      </w:r>
    </w:p>
    <w:p w14:paraId="08128702">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中标人不按本招标文件的规定缴纳中标服务费的； </w:t>
      </w:r>
    </w:p>
    <w:p w14:paraId="6715C67F">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7F42E0A2">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14:paraId="3206BFAC">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法律、法规规定的其它情况。 </w:t>
      </w:r>
    </w:p>
    <w:p w14:paraId="3B86D927">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投标有效期</w:t>
      </w:r>
    </w:p>
    <w:p w14:paraId="6CD474C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投标文件应在</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中规定的投标有效期内保持有效，投标有效期少于招标文件规定期限的，其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2459050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4CC5D8E9">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投标文件的制作</w:t>
      </w:r>
    </w:p>
    <w:p w14:paraId="355F3E7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618078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投标人应使用电子招投标平台提供的投标客户端编制、标记、加密投标文件，成功加密后将生成指定格式的电子投标文件和电子备用投标文件</w:t>
      </w:r>
    </w:p>
    <w:p w14:paraId="558B48C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如有对多个采购包投标的，要对每个采购包独立制作电子投标文件。</w:t>
      </w:r>
    </w:p>
    <w:p w14:paraId="239BC33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投标人须对招标文件的对应要求给予唯一的实质性响应，否则将视为</w:t>
      </w:r>
      <w:r>
        <w:rPr>
          <w:rFonts w:hint="eastAsia" w:ascii="仿宋" w:hAnsi="仿宋" w:eastAsia="仿宋" w:cs="仿宋"/>
          <w:b/>
          <w:bCs/>
          <w:sz w:val="24"/>
          <w:szCs w:val="24"/>
          <w:highlight w:val="none"/>
          <w:lang w:val="en-US" w:eastAsia="zh-CN"/>
        </w:rPr>
        <w:t>不响应</w:t>
      </w:r>
      <w:r>
        <w:rPr>
          <w:rFonts w:hint="eastAsia" w:ascii="仿宋" w:hAnsi="仿宋" w:eastAsia="仿宋" w:cs="仿宋"/>
          <w:b w:val="0"/>
          <w:bCs w:val="0"/>
          <w:sz w:val="24"/>
          <w:szCs w:val="24"/>
          <w:highlight w:val="none"/>
          <w:lang w:val="en-US" w:eastAsia="zh-CN"/>
        </w:rPr>
        <w:t>。</w:t>
      </w:r>
    </w:p>
    <w:p w14:paraId="77DB1E4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招标文件中，凡标有“※”的地方均为实质性响应条款，投标人若有一项带“※”的条款未响应或不满足，将按无效投标处理。</w:t>
      </w:r>
    </w:p>
    <w:p w14:paraId="44AFF2B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049D6FB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14:paraId="76F7BE1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3" w:name="_Toc21719"/>
      <w:r>
        <w:rPr>
          <w:rFonts w:hint="eastAsia" w:ascii="仿宋" w:hAnsi="仿宋" w:eastAsia="仿宋" w:cs="仿宋"/>
          <w:b/>
          <w:bCs/>
          <w:sz w:val="24"/>
          <w:szCs w:val="24"/>
          <w:highlight w:val="none"/>
          <w:lang w:val="en-US" w:eastAsia="zh-CN"/>
        </w:rPr>
        <w:t>投标文件的提交</w:t>
      </w:r>
      <w:bookmarkEnd w:id="13"/>
    </w:p>
    <w:p w14:paraId="1CA9EB5D">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投标文件的提交</w:t>
      </w:r>
    </w:p>
    <w:p w14:paraId="7E4D599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投标人应在</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38ED8B4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代理机构对因不可抗力事件造成的投标文件的损坏、丢失的，不承担责任。</w:t>
      </w:r>
    </w:p>
    <w:p w14:paraId="4BA7BA1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出现下述情形之一，属于未成功提交投标文件，按无效</w:t>
      </w:r>
      <w:r>
        <w:rPr>
          <w:rFonts w:hint="eastAsia" w:ascii="仿宋" w:hAnsi="仿宋" w:eastAsia="仿宋" w:cs="仿宋"/>
          <w:b/>
          <w:bCs/>
          <w:sz w:val="24"/>
          <w:szCs w:val="24"/>
          <w:highlight w:val="none"/>
          <w:lang w:val="en-US" w:eastAsia="zh-CN"/>
        </w:rPr>
        <w:t>投标处理</w:t>
      </w:r>
      <w:r>
        <w:rPr>
          <w:rFonts w:hint="eastAsia" w:ascii="仿宋" w:hAnsi="仿宋" w:eastAsia="仿宋" w:cs="仿宋"/>
          <w:b w:val="0"/>
          <w:bCs w:val="0"/>
          <w:sz w:val="24"/>
          <w:szCs w:val="24"/>
          <w:highlight w:val="none"/>
          <w:lang w:val="en-US" w:eastAsia="zh-CN"/>
        </w:rPr>
        <w:t>：</w:t>
      </w:r>
    </w:p>
    <w:p w14:paraId="168CBD4A">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至提交投标文件截止时，投标文件未完整上传的。 </w:t>
      </w:r>
    </w:p>
    <w:p w14:paraId="0B77F191">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投标文件未按投标格式中注明需签字盖章的要求进行签名（含电子签名）和加盖电子印章，或签名（含电子签名）或电子印章不完整的。</w:t>
      </w:r>
    </w:p>
    <w:p w14:paraId="4DB53362">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投标文件损坏或格式不正确的。</w:t>
      </w:r>
    </w:p>
    <w:p w14:paraId="2CE16E0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投标文件的修改、撤回与撤销</w:t>
      </w:r>
    </w:p>
    <w:p w14:paraId="2CC918B4">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305ACFF4">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在提交投标文件截止时间后，投标人不得补充、修改和更换投标文件。</w:t>
      </w:r>
      <w:r>
        <w:rPr>
          <w:rFonts w:hint="eastAsia" w:ascii="仿宋" w:hAnsi="仿宋" w:eastAsia="仿宋" w:cs="仿宋"/>
          <w:b/>
          <w:bCs/>
          <w:sz w:val="24"/>
          <w:szCs w:val="24"/>
          <w:highlight w:val="none"/>
          <w:lang w:val="en-US" w:eastAsia="zh-CN"/>
        </w:rPr>
        <w:t xml:space="preserve"> </w:t>
      </w:r>
    </w:p>
    <w:p w14:paraId="37A083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14:paraId="3C4D03F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4" w:name="_Toc15263"/>
      <w:r>
        <w:rPr>
          <w:rFonts w:hint="eastAsia" w:ascii="仿宋" w:hAnsi="仿宋" w:eastAsia="仿宋" w:cs="仿宋"/>
          <w:b/>
          <w:bCs/>
          <w:sz w:val="24"/>
          <w:szCs w:val="24"/>
          <w:highlight w:val="none"/>
          <w:lang w:val="en-US" w:eastAsia="zh-CN"/>
        </w:rPr>
        <w:t>开标、资格审查及评标</w:t>
      </w:r>
      <w:bookmarkEnd w:id="14"/>
    </w:p>
    <w:p w14:paraId="2CAAB6A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0F8D2B09">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7ACDB38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4D183B2D">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5A9C2550">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16EDA90">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sz w:val="24"/>
          <w:szCs w:val="24"/>
          <w:highlight w:val="none"/>
          <w:lang w:val="en-US" w:eastAsia="zh-CN"/>
        </w:rPr>
        <w:t>投标处理</w:t>
      </w:r>
      <w:r>
        <w:rPr>
          <w:rFonts w:hint="eastAsia" w:ascii="仿宋" w:hAnsi="仿宋" w:eastAsia="仿宋" w:cs="仿宋"/>
          <w:b w:val="0"/>
          <w:bCs w:val="0"/>
          <w:sz w:val="24"/>
          <w:szCs w:val="24"/>
          <w:highlight w:val="none"/>
          <w:lang w:val="en-US" w:eastAsia="zh-CN"/>
        </w:rPr>
        <w:t>。</w:t>
      </w:r>
    </w:p>
    <w:p w14:paraId="03F7227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12A4B588">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投标截止时间后，投标人不足3家的，不得开标。同时，本次采购活动结束。</w:t>
      </w:r>
    </w:p>
    <w:p w14:paraId="11EC1476">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开标时出现下列情况的，视为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处理：</w:t>
      </w:r>
    </w:p>
    <w:p w14:paraId="2ED411F7">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因投标人自身原因，未在规定时间内完成电子投标文件解密的；</w:t>
      </w:r>
    </w:p>
    <w:p w14:paraId="5A4B3A12">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6DFCDEF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采购人或采购代理机构将对开标过程进行记录，由参加开标的各投标人代表和相关工作人员签字确认。</w:t>
      </w:r>
    </w:p>
    <w:p w14:paraId="2F8A7A4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659DE78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4AE7FAD4">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1F0A326A">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w:t>
      </w:r>
      <w:r>
        <w:rPr>
          <w:rFonts w:hint="eastAsia" w:ascii="仿宋" w:hAnsi="仿宋" w:eastAsia="仿宋" w:cs="仿宋"/>
          <w:b w:val="0"/>
          <w:bCs w:val="0"/>
          <w:sz w:val="24"/>
          <w:szCs w:val="24"/>
          <w:highlight w:val="none"/>
          <w:u w:val="none"/>
          <w:lang w:val="en-US" w:eastAsia="zh-CN"/>
        </w:rPr>
        <w:t>第六章《评标程序、评标方法和评标标准》</w:t>
      </w:r>
      <w:r>
        <w:rPr>
          <w:rFonts w:hint="eastAsia" w:ascii="仿宋" w:hAnsi="仿宋" w:eastAsia="仿宋" w:cs="仿宋"/>
          <w:b w:val="0"/>
          <w:bCs w:val="0"/>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3D0FF42">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评标委员会</w:t>
      </w:r>
    </w:p>
    <w:p w14:paraId="09AAD948">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评标委员会根据政府采购有关规定和本次招标采购项目的特点进行组建，并负责具体评标事务，独立履行职责。 </w:t>
      </w:r>
    </w:p>
    <w:p w14:paraId="5B17D809">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4AFAF9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45BC11C7">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78BA1B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7DCEDE92">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5" w:name="_Toc7787"/>
      <w:r>
        <w:rPr>
          <w:rFonts w:hint="eastAsia" w:ascii="仿宋" w:hAnsi="仿宋" w:eastAsia="仿宋" w:cs="仿宋"/>
          <w:b/>
          <w:bCs/>
          <w:sz w:val="24"/>
          <w:szCs w:val="24"/>
          <w:highlight w:val="none"/>
          <w:lang w:val="en-US" w:eastAsia="zh-CN"/>
        </w:rPr>
        <w:t>确定中标</w:t>
      </w:r>
      <w:bookmarkEnd w:id="15"/>
    </w:p>
    <w:p w14:paraId="15E4D4B1">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确定中标人</w:t>
      </w:r>
    </w:p>
    <w:p w14:paraId="4398F1E8">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2FCC24E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中标公告与中标通知书</w:t>
      </w:r>
    </w:p>
    <w:p w14:paraId="1B9F3BC2">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13020F77">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中标通知书对采购人和中标供应商均具有法律效力。中标通知书发出后，中标供应商放弃中标项目的，应当依法承担法律责任。</w:t>
      </w:r>
    </w:p>
    <w:p w14:paraId="04451D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39608186">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在招标采购中，出现下列情形之一的，应予废标：</w:t>
      </w:r>
    </w:p>
    <w:p w14:paraId="0BC1D6CD">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符合专业条件的供应商或者对招标文件作实质响应的供应商不足三家的；</w:t>
      </w:r>
    </w:p>
    <w:p w14:paraId="36AECB88">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625FE593">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投标人的报价均超过了采购预算，采购人不能支付的；</w:t>
      </w:r>
    </w:p>
    <w:p w14:paraId="0AB01E8A">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4FA43C61">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lang w:val="en-US" w:eastAsia="zh-CN"/>
        </w:rPr>
        <w:t>法律、法规规定的其他情形。</w:t>
      </w:r>
    </w:p>
    <w:p w14:paraId="608DAA5D">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废标后，采购人将废标理由通知所有投标人。</w:t>
      </w:r>
    </w:p>
    <w:p w14:paraId="3EC6375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47A53541">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63A997CD">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6D87F2E8">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联合体中标的，联合体各方应当共同与采购人签订合同，就中标项目向采购人承担连带责任。 </w:t>
      </w:r>
    </w:p>
    <w:p w14:paraId="50A9C15D">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。中标人就采购项目和分包项目向采购人负责，分包供应商就分包项目承担责任。</w:t>
      </w:r>
    </w:p>
    <w:p w14:paraId="45A8F72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04131134">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中标人应按照</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7A519C59">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经采购人同意，中标人也可以自愿采用其他履约保证金的提供方式。</w:t>
      </w:r>
    </w:p>
    <w:p w14:paraId="7B5097BE">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6A3EED3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0DA292C5">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收费对象、收费标准及缴纳时间见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 xml:space="preserve">。由中标人支付的，中标人须一次性向采购代理机构缴纳代理费，投标报价应包含代理费用。 </w:t>
      </w:r>
    </w:p>
    <w:p w14:paraId="379A3B3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1191DFE1">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1A1AC1EE">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07736B3E">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6E9D7058">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748A0B68">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35484D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（1）对招标文件提出质疑的，为获取招标文件之日或者招标文件获取期限届满之日；</w:t>
      </w:r>
    </w:p>
    <w:p w14:paraId="1D08A8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271C9E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（3）对中标结果提出质疑的，为中标结果公告期限届满之日。 </w:t>
      </w:r>
    </w:p>
    <w:p w14:paraId="67DA9F58">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6E87572">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22B9F9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2BF3C2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（1）投标人名称、地址、邮编、联系人及联系电话； </w:t>
      </w:r>
    </w:p>
    <w:p w14:paraId="10C9B4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70E31E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54689C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74E644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78DA36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p>
    <w:p w14:paraId="2E1DC1A7">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8349B5">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6335923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342A0134">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74DDFB7E">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4998244D">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适用于本投标人须知的额外增加的变动详见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14:paraId="7A9F5849">
      <w:pPr>
        <w:pStyle w:val="2"/>
        <w:numPr>
          <w:ilvl w:val="0"/>
          <w:numId w:val="1"/>
        </w:numPr>
        <w:bidi w:val="0"/>
        <w:jc w:val="center"/>
        <w:rPr>
          <w:rFonts w:hint="eastAsia" w:ascii="仿宋" w:hAnsi="仿宋" w:eastAsia="仿宋" w:cs="仿宋"/>
          <w:sz w:val="32"/>
          <w:szCs w:val="32"/>
          <w:highlight w:val="none"/>
          <w:lang w:val="en-US" w:eastAsia="zh-CN"/>
        </w:rPr>
      </w:pPr>
      <w:bookmarkStart w:id="16" w:name="_Toc22543"/>
      <w:r>
        <w:rPr>
          <w:rFonts w:hint="eastAsia" w:ascii="仿宋" w:hAnsi="仿宋" w:eastAsia="仿宋" w:cs="仿宋"/>
          <w:sz w:val="32"/>
          <w:szCs w:val="32"/>
          <w:highlight w:val="none"/>
          <w:lang w:val="en-US" w:eastAsia="zh-CN"/>
        </w:rPr>
        <w:t>政府采购合同</w:t>
      </w:r>
      <w:bookmarkEnd w:id="16"/>
    </w:p>
    <w:p w14:paraId="64852735">
      <w:pPr>
        <w:jc w:val="center"/>
        <w:rPr>
          <w:rFonts w:hint="eastAsia" w:ascii="仿宋" w:hAnsi="仿宋" w:eastAsia="仿宋" w:cs="仿宋"/>
          <w:bCs/>
          <w:color w:val="000000"/>
          <w:sz w:val="28"/>
          <w:highlight w:val="none"/>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Cs/>
          <w:color w:val="000000"/>
          <w:sz w:val="28"/>
          <w:highlight w:val="none"/>
        </w:rPr>
        <w:t>（具体以实际签订合同为主）</w:t>
      </w:r>
    </w:p>
    <w:p w14:paraId="11E66B8F">
      <w:pPr>
        <w:jc w:val="center"/>
        <w:rPr>
          <w:rFonts w:hint="eastAsia" w:ascii="仿宋" w:hAnsi="仿宋" w:eastAsia="仿宋" w:cs="仿宋"/>
          <w:color w:val="auto"/>
          <w:sz w:val="20"/>
          <w:szCs w:val="20"/>
          <w:highlight w:val="none"/>
        </w:rPr>
      </w:pPr>
      <w:r>
        <w:rPr>
          <w:rFonts w:hint="eastAsia" w:ascii="仿宋" w:hAnsi="仿宋" w:eastAsia="仿宋" w:cs="仿宋"/>
          <w:bCs/>
          <w:color w:val="000000"/>
          <w:sz w:val="28"/>
          <w:highlight w:val="none"/>
          <w:lang w:val="en-US" w:eastAsia="zh-CN"/>
        </w:rPr>
        <w:t xml:space="preserve">                </w:t>
      </w:r>
      <w:r>
        <w:rPr>
          <w:rFonts w:hint="eastAsia" w:ascii="仿宋" w:hAnsi="仿宋" w:eastAsia="仿宋" w:cs="仿宋"/>
          <w:b w:val="0"/>
          <w:color w:val="auto"/>
          <w:sz w:val="21"/>
          <w:szCs w:val="21"/>
          <w:highlight w:val="none"/>
        </w:rPr>
        <w:t>合同编号：</w:t>
      </w:r>
      <w:r>
        <w:rPr>
          <w:rFonts w:hint="eastAsia" w:ascii="仿宋" w:hAnsi="仿宋" w:eastAsia="仿宋" w:cs="仿宋"/>
          <w:b w:val="0"/>
          <w:color w:val="auto"/>
          <w:sz w:val="21"/>
          <w:szCs w:val="21"/>
          <w:highlight w:val="none"/>
          <w:u w:val="single"/>
        </w:rPr>
        <w:t xml:space="preserve"> </w:t>
      </w:r>
      <w:r>
        <w:rPr>
          <w:rFonts w:hint="eastAsia" w:ascii="仿宋" w:hAnsi="仿宋" w:eastAsia="仿宋" w:cs="仿宋"/>
          <w:b w:val="0"/>
          <w:color w:val="auto"/>
          <w:sz w:val="21"/>
          <w:szCs w:val="21"/>
          <w:highlight w:val="none"/>
          <w:u w:val="single"/>
          <w:lang w:val="en-US" w:eastAsia="zh-CN"/>
        </w:rPr>
        <w:t xml:space="preserve">                      </w:t>
      </w:r>
    </w:p>
    <w:p w14:paraId="3CFBC429">
      <w:pPr>
        <w:adjustRightInd w:val="0"/>
        <w:snapToGrid w:val="0"/>
        <w:spacing w:line="360" w:lineRule="auto"/>
        <w:rPr>
          <w:rFonts w:hint="eastAsia" w:ascii="仿宋" w:hAnsi="仿宋" w:eastAsia="仿宋" w:cs="仿宋"/>
          <w:color w:val="auto"/>
          <w:sz w:val="20"/>
          <w:szCs w:val="20"/>
          <w:highlight w:val="none"/>
        </w:rPr>
      </w:pPr>
      <w:r>
        <w:rPr>
          <w:rFonts w:hint="eastAsia" w:ascii="仿宋" w:hAnsi="仿宋" w:eastAsia="仿宋" w:cs="仿宋"/>
          <w:b w:val="0"/>
          <w:color w:val="auto"/>
          <w:sz w:val="21"/>
          <w:szCs w:val="21"/>
          <w:highlight w:val="none"/>
        </w:rPr>
        <w:t xml:space="preserve">                                             </w:t>
      </w:r>
      <w:r>
        <w:rPr>
          <w:rFonts w:hint="eastAsia" w:ascii="仿宋" w:hAnsi="仿宋" w:eastAsia="仿宋" w:cs="仿宋"/>
          <w:b w:val="0"/>
          <w:color w:val="auto"/>
          <w:sz w:val="21"/>
          <w:szCs w:val="21"/>
          <w:highlight w:val="none"/>
          <w:lang w:val="en-US" w:eastAsia="zh-CN"/>
        </w:rPr>
        <w:t>原</w:t>
      </w:r>
      <w:r>
        <w:rPr>
          <w:rFonts w:hint="eastAsia" w:ascii="仿宋" w:hAnsi="仿宋" w:eastAsia="仿宋" w:cs="仿宋"/>
          <w:b w:val="0"/>
          <w:color w:val="auto"/>
          <w:sz w:val="21"/>
          <w:szCs w:val="21"/>
          <w:highlight w:val="none"/>
        </w:rPr>
        <w:t>合同编号：</w:t>
      </w:r>
      <w:r>
        <w:rPr>
          <w:rFonts w:hint="eastAsia" w:ascii="仿宋" w:hAnsi="仿宋" w:eastAsia="仿宋" w:cs="仿宋"/>
          <w:b w:val="0"/>
          <w:color w:val="auto"/>
          <w:sz w:val="21"/>
          <w:szCs w:val="21"/>
          <w:highlight w:val="none"/>
          <w:u w:val="single"/>
        </w:rPr>
        <w:t xml:space="preserve"> </w:t>
      </w:r>
      <w:r>
        <w:rPr>
          <w:rFonts w:hint="eastAsia" w:ascii="仿宋" w:hAnsi="仿宋" w:eastAsia="仿宋" w:cs="仿宋"/>
          <w:b w:val="0"/>
          <w:color w:val="auto"/>
          <w:sz w:val="21"/>
          <w:szCs w:val="21"/>
          <w:highlight w:val="none"/>
          <w:u w:val="single"/>
          <w:lang w:val="en-US" w:eastAsia="zh-CN"/>
        </w:rPr>
        <w:t xml:space="preserve">                       </w:t>
      </w:r>
      <w:r>
        <w:rPr>
          <w:rFonts w:hint="eastAsia" w:ascii="仿宋" w:hAnsi="仿宋" w:eastAsia="仿宋" w:cs="仿宋"/>
          <w:b w:val="0"/>
          <w:color w:val="auto"/>
          <w:sz w:val="21"/>
          <w:szCs w:val="21"/>
          <w:highlight w:val="none"/>
          <w:u w:val="single"/>
        </w:rPr>
        <w:t xml:space="preserve">       </w:t>
      </w:r>
    </w:p>
    <w:p w14:paraId="7851D92C">
      <w:pPr>
        <w:adjustRightInd w:val="0"/>
        <w:snapToGrid w:val="0"/>
        <w:spacing w:line="360" w:lineRule="auto"/>
        <w:rPr>
          <w:rFonts w:hint="eastAsia" w:ascii="仿宋" w:hAnsi="仿宋" w:eastAsia="仿宋" w:cs="仿宋"/>
          <w:color w:val="auto"/>
          <w:sz w:val="20"/>
          <w:szCs w:val="20"/>
          <w:highlight w:val="none"/>
        </w:rPr>
      </w:pPr>
      <w:r>
        <w:rPr>
          <w:rFonts w:hint="eastAsia" w:ascii="仿宋" w:hAnsi="仿宋" w:eastAsia="仿宋" w:cs="仿宋"/>
          <w:b w:val="0"/>
          <w:color w:val="auto"/>
          <w:sz w:val="21"/>
          <w:szCs w:val="21"/>
          <w:highlight w:val="none"/>
        </w:rPr>
        <w:t xml:space="preserve">                                             </w:t>
      </w:r>
      <w:r>
        <w:rPr>
          <w:rFonts w:hint="eastAsia" w:ascii="仿宋" w:hAnsi="仿宋" w:eastAsia="仿宋" w:cs="仿宋"/>
          <w:b w:val="0"/>
          <w:color w:val="auto"/>
          <w:sz w:val="21"/>
          <w:szCs w:val="21"/>
          <w:highlight w:val="none"/>
          <w:lang w:val="en-US" w:eastAsia="zh-CN"/>
        </w:rPr>
        <w:t xml:space="preserve">            </w:t>
      </w:r>
      <w:r>
        <w:rPr>
          <w:rFonts w:hint="eastAsia" w:ascii="仿宋" w:hAnsi="仿宋" w:eastAsia="仿宋" w:cs="仿宋"/>
          <w:b w:val="0"/>
          <w:color w:val="auto"/>
          <w:sz w:val="21"/>
          <w:szCs w:val="21"/>
          <w:highlight w:val="none"/>
          <w:u w:val="single"/>
        </w:rPr>
        <w:t xml:space="preserve"> </w:t>
      </w:r>
      <w:r>
        <w:rPr>
          <w:rFonts w:hint="eastAsia" w:ascii="仿宋" w:hAnsi="仿宋" w:eastAsia="仿宋" w:cs="仿宋"/>
          <w:b w:val="0"/>
          <w:color w:val="auto"/>
          <w:sz w:val="21"/>
          <w:szCs w:val="21"/>
          <w:highlight w:val="none"/>
          <w:u w:val="single"/>
          <w:lang w:val="en-US" w:eastAsia="zh-CN"/>
        </w:rPr>
        <w:t xml:space="preserve">                       </w:t>
      </w:r>
      <w:r>
        <w:rPr>
          <w:rFonts w:hint="eastAsia" w:ascii="仿宋" w:hAnsi="仿宋" w:eastAsia="仿宋" w:cs="仿宋"/>
          <w:b w:val="0"/>
          <w:color w:val="auto"/>
          <w:sz w:val="21"/>
          <w:szCs w:val="21"/>
          <w:highlight w:val="none"/>
          <w:u w:val="single"/>
        </w:rPr>
        <w:t xml:space="preserve">       </w:t>
      </w:r>
    </w:p>
    <w:p w14:paraId="607ED712">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0BA8ACC2">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6D4DEC20">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76AB38CC">
      <w:pPr>
        <w:adjustRightInd w:val="0"/>
        <w:snapToGrid w:val="0"/>
        <w:spacing w:line="360" w:lineRule="auto"/>
        <w:jc w:val="center"/>
        <w:rPr>
          <w:rFonts w:hint="eastAsia" w:ascii="仿宋" w:hAnsi="仿宋" w:eastAsia="仿宋" w:cs="仿宋"/>
          <w:color w:val="auto"/>
          <w:sz w:val="52"/>
          <w:szCs w:val="36"/>
          <w:highlight w:val="none"/>
        </w:rPr>
      </w:pPr>
      <w:r>
        <w:rPr>
          <w:rFonts w:hint="eastAsia" w:ascii="仿宋" w:hAnsi="仿宋" w:eastAsia="仿宋" w:cs="仿宋"/>
          <w:color w:val="auto"/>
          <w:sz w:val="52"/>
          <w:szCs w:val="36"/>
          <w:highlight w:val="none"/>
        </w:rPr>
        <w:t>医用耗材（试剂）采购合同</w:t>
      </w:r>
    </w:p>
    <w:p w14:paraId="4C33D9DD">
      <w:pPr>
        <w:pStyle w:val="40"/>
        <w:overflowPunct w:val="0"/>
        <w:spacing w:line="535" w:lineRule="exact"/>
        <w:ind w:firstLine="420" w:firstLineChars="200"/>
        <w:rPr>
          <w:rStyle w:val="26"/>
          <w:rFonts w:hint="eastAsia" w:ascii="仿宋" w:hAnsi="仿宋" w:eastAsia="仿宋" w:cs="仿宋"/>
          <w:color w:val="auto"/>
          <w:szCs w:val="28"/>
          <w:highlight w:val="none"/>
          <w:lang w:eastAsia="zh-CN"/>
        </w:rPr>
      </w:pPr>
    </w:p>
    <w:p w14:paraId="0E7282F1">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0337BBAD">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4D3FA33B">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08A3C704">
      <w:pPr>
        <w:suppressAutoHyphens w:val="0"/>
        <w:overflowPunct w:val="0"/>
        <w:adjustRightInd w:val="0"/>
        <w:snapToGrid w:val="0"/>
        <w:spacing w:line="360" w:lineRule="auto"/>
        <w:ind w:firstLine="1750" w:firstLineChars="625"/>
        <w:rPr>
          <w:rFonts w:hint="eastAsia" w:ascii="仿宋" w:hAnsi="仿宋" w:eastAsia="仿宋" w:cs="仿宋"/>
          <w:b w:val="0"/>
          <w:color w:val="auto"/>
          <w:sz w:val="28"/>
          <w:szCs w:val="36"/>
          <w:highlight w:val="none"/>
          <w:u w:val="single"/>
        </w:rPr>
      </w:pPr>
      <w:r>
        <w:rPr>
          <w:rFonts w:hint="eastAsia" w:ascii="仿宋" w:hAnsi="仿宋" w:eastAsia="仿宋" w:cs="仿宋"/>
          <w:b w:val="0"/>
          <w:color w:val="auto"/>
          <w:sz w:val="28"/>
          <w:szCs w:val="36"/>
          <w:highlight w:val="none"/>
        </w:rPr>
        <w:t>甲  方：</w:t>
      </w:r>
      <w:r>
        <w:rPr>
          <w:rFonts w:hint="eastAsia" w:ascii="仿宋" w:hAnsi="仿宋" w:eastAsia="仿宋" w:cs="仿宋"/>
          <w:b w:val="0"/>
          <w:color w:val="auto"/>
          <w:sz w:val="28"/>
          <w:szCs w:val="36"/>
          <w:highlight w:val="none"/>
          <w:u w:val="single"/>
        </w:rPr>
        <w:t xml:space="preserve">   新疆医科大学第一附属医院  </w:t>
      </w:r>
    </w:p>
    <w:p w14:paraId="3B2DC6BE">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09BFDEE7">
      <w:pPr>
        <w:suppressAutoHyphens w:val="0"/>
        <w:overflowPunct w:val="0"/>
        <w:adjustRightInd w:val="0"/>
        <w:snapToGrid w:val="0"/>
        <w:spacing w:line="360" w:lineRule="auto"/>
        <w:ind w:firstLine="1750" w:firstLineChars="625"/>
        <w:rPr>
          <w:rFonts w:hint="eastAsia" w:ascii="仿宋" w:hAnsi="仿宋" w:eastAsia="仿宋" w:cs="仿宋"/>
          <w:b w:val="0"/>
          <w:color w:val="auto"/>
          <w:sz w:val="28"/>
          <w:szCs w:val="36"/>
          <w:highlight w:val="none"/>
        </w:rPr>
      </w:pPr>
      <w:r>
        <w:rPr>
          <w:rFonts w:hint="eastAsia" w:ascii="仿宋" w:hAnsi="仿宋" w:eastAsia="仿宋" w:cs="仿宋"/>
          <w:b w:val="0"/>
          <w:color w:val="auto"/>
          <w:sz w:val="28"/>
          <w:szCs w:val="36"/>
          <w:highlight w:val="none"/>
        </w:rPr>
        <w:t>乙  方：</w:t>
      </w:r>
      <w:r>
        <w:rPr>
          <w:rFonts w:hint="eastAsia" w:ascii="仿宋" w:hAnsi="仿宋" w:eastAsia="仿宋" w:cs="仿宋"/>
          <w:b w:val="0"/>
          <w:color w:val="auto"/>
          <w:sz w:val="28"/>
          <w:szCs w:val="36"/>
          <w:highlight w:val="none"/>
          <w:u w:val="single"/>
        </w:rPr>
        <w:t xml:space="preserve">                             </w:t>
      </w:r>
    </w:p>
    <w:p w14:paraId="0B137E99">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207310E5">
      <w:pPr>
        <w:suppressAutoHyphens w:val="0"/>
        <w:overflowPunct w:val="0"/>
        <w:adjustRightInd w:val="0"/>
        <w:snapToGrid w:val="0"/>
        <w:spacing w:line="360" w:lineRule="auto"/>
        <w:ind w:firstLine="1750" w:firstLineChars="625"/>
        <w:rPr>
          <w:rFonts w:hint="eastAsia" w:ascii="仿宋" w:hAnsi="仿宋" w:eastAsia="仿宋" w:cs="仿宋"/>
          <w:b w:val="0"/>
          <w:color w:val="auto"/>
          <w:sz w:val="28"/>
          <w:szCs w:val="36"/>
          <w:highlight w:val="none"/>
        </w:rPr>
      </w:pPr>
      <w:r>
        <w:rPr>
          <w:rFonts w:hint="eastAsia" w:ascii="仿宋" w:hAnsi="仿宋" w:eastAsia="仿宋" w:cs="仿宋"/>
          <w:b w:val="0"/>
          <w:color w:val="auto"/>
          <w:sz w:val="28"/>
          <w:szCs w:val="36"/>
          <w:highlight w:val="none"/>
        </w:rPr>
        <w:t>签订日期：</w:t>
      </w:r>
      <w:r>
        <w:rPr>
          <w:rFonts w:hint="eastAsia" w:ascii="仿宋" w:hAnsi="仿宋" w:eastAsia="仿宋" w:cs="仿宋"/>
          <w:b w:val="0"/>
          <w:color w:val="auto"/>
          <w:sz w:val="28"/>
          <w:szCs w:val="36"/>
          <w:highlight w:val="none"/>
          <w:u w:val="single"/>
        </w:rPr>
        <w:t xml:space="preserve">         </w:t>
      </w:r>
      <w:r>
        <w:rPr>
          <w:rFonts w:hint="eastAsia" w:ascii="仿宋" w:hAnsi="仿宋" w:eastAsia="仿宋" w:cs="仿宋"/>
          <w:b w:val="0"/>
          <w:color w:val="auto"/>
          <w:sz w:val="28"/>
          <w:szCs w:val="36"/>
          <w:highlight w:val="none"/>
        </w:rPr>
        <w:t>年</w:t>
      </w:r>
      <w:r>
        <w:rPr>
          <w:rFonts w:hint="eastAsia" w:ascii="仿宋" w:hAnsi="仿宋" w:eastAsia="仿宋" w:cs="仿宋"/>
          <w:b w:val="0"/>
          <w:color w:val="auto"/>
          <w:sz w:val="28"/>
          <w:szCs w:val="36"/>
          <w:highlight w:val="none"/>
          <w:u w:val="single"/>
        </w:rPr>
        <w:t xml:space="preserve">      </w:t>
      </w:r>
      <w:r>
        <w:rPr>
          <w:rFonts w:hint="eastAsia" w:ascii="仿宋" w:hAnsi="仿宋" w:eastAsia="仿宋" w:cs="仿宋"/>
          <w:b w:val="0"/>
          <w:color w:val="auto"/>
          <w:sz w:val="28"/>
          <w:szCs w:val="36"/>
          <w:highlight w:val="none"/>
        </w:rPr>
        <w:t>月</w:t>
      </w:r>
      <w:r>
        <w:rPr>
          <w:rFonts w:hint="eastAsia" w:ascii="仿宋" w:hAnsi="仿宋" w:eastAsia="仿宋" w:cs="仿宋"/>
          <w:b w:val="0"/>
          <w:color w:val="auto"/>
          <w:sz w:val="28"/>
          <w:szCs w:val="36"/>
          <w:highlight w:val="none"/>
          <w:u w:val="single"/>
        </w:rPr>
        <w:t xml:space="preserve">      </w:t>
      </w:r>
      <w:r>
        <w:rPr>
          <w:rFonts w:hint="eastAsia" w:ascii="仿宋" w:hAnsi="仿宋" w:eastAsia="仿宋" w:cs="仿宋"/>
          <w:b w:val="0"/>
          <w:color w:val="auto"/>
          <w:sz w:val="28"/>
          <w:szCs w:val="36"/>
          <w:highlight w:val="none"/>
        </w:rPr>
        <w:t>日</w:t>
      </w:r>
    </w:p>
    <w:p w14:paraId="6364E772">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78559839">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279A55DE">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3EDD910D">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10540D0C">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7915F1F6">
      <w:pPr>
        <w:pStyle w:val="40"/>
        <w:overflowPunct w:val="0"/>
        <w:spacing w:line="535" w:lineRule="exact"/>
        <w:ind w:firstLine="420" w:firstLineChars="200"/>
        <w:rPr>
          <w:rStyle w:val="26"/>
          <w:rFonts w:hint="eastAsia" w:ascii="仿宋" w:hAnsi="仿宋" w:eastAsia="仿宋" w:cs="仿宋"/>
          <w:color w:val="auto"/>
          <w:szCs w:val="28"/>
          <w:highlight w:val="none"/>
        </w:rPr>
      </w:pPr>
    </w:p>
    <w:p w14:paraId="406DDC86">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甲方：新疆医科大学第一附属医院</w:t>
      </w:r>
    </w:p>
    <w:p w14:paraId="46E2636C">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乙方：</w:t>
      </w:r>
    </w:p>
    <w:p w14:paraId="39E2913B">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26"/>
          <w:rFonts w:hint="eastAsia" w:ascii="仿宋" w:hAnsi="仿宋" w:eastAsia="仿宋" w:cs="仿宋"/>
          <w:color w:val="auto"/>
          <w:sz w:val="24"/>
          <w:szCs w:val="24"/>
          <w:highlight w:val="none"/>
          <w:lang w:eastAsia="zh-CN"/>
        </w:rPr>
        <w:t>相关</w:t>
      </w:r>
      <w:r>
        <w:rPr>
          <w:rStyle w:val="26"/>
          <w:rFonts w:hint="eastAsia" w:ascii="仿宋" w:hAnsi="仿宋" w:eastAsia="仿宋" w:cs="仿宋"/>
          <w:color w:val="auto"/>
          <w:sz w:val="24"/>
          <w:szCs w:val="24"/>
          <w:highlight w:val="none"/>
        </w:rPr>
        <w:t>规定，为明确甲乙双方关于医用耗材（试剂）采购方面的权利和义务，本着平等、诚实、信用的原则，经双方协商一致，就有关事项达成如下合同，双方共同遵守执行。</w:t>
      </w:r>
    </w:p>
    <w:p w14:paraId="5490FBA7">
      <w:pPr>
        <w:pStyle w:val="40"/>
        <w:overflowPunct w:val="0"/>
        <w:spacing w:line="535" w:lineRule="exact"/>
        <w:ind w:firstLine="482" w:firstLineChars="200"/>
        <w:rPr>
          <w:rStyle w:val="26"/>
          <w:rFonts w:hint="eastAsia" w:ascii="仿宋" w:hAnsi="仿宋" w:eastAsia="仿宋" w:cs="仿宋"/>
          <w:b/>
          <w:color w:val="auto"/>
          <w:sz w:val="24"/>
          <w:szCs w:val="24"/>
          <w:highlight w:val="none"/>
        </w:rPr>
      </w:pPr>
      <w:r>
        <w:rPr>
          <w:rStyle w:val="26"/>
          <w:rFonts w:hint="eastAsia" w:ascii="仿宋" w:hAnsi="仿宋" w:eastAsia="仿宋" w:cs="仿宋"/>
          <w:b/>
          <w:color w:val="auto"/>
          <w:sz w:val="24"/>
          <w:szCs w:val="24"/>
          <w:highlight w:val="none"/>
        </w:rPr>
        <w:t>第一条  产品及价格</w:t>
      </w:r>
    </w:p>
    <w:p w14:paraId="2A4C27F1">
      <w:pPr>
        <w:pStyle w:val="40"/>
        <w:overflowPunct w:val="0"/>
        <w:spacing w:line="535"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1.本合同范围内耗材（试剂）产品名称、规格型号、单位、单价、生产厂家</w:t>
      </w:r>
      <w:r>
        <w:rPr>
          <w:rFonts w:hint="eastAsia" w:ascii="仿宋" w:hAnsi="仿宋" w:eastAsia="仿宋" w:cs="仿宋"/>
          <w:color w:val="auto"/>
          <w:sz w:val="24"/>
          <w:szCs w:val="24"/>
          <w:highlight w:val="none"/>
          <w:lang w:val="en-US" w:eastAsia="zh-CN"/>
        </w:rPr>
        <w:t>必须</w:t>
      </w:r>
      <w:r>
        <w:rPr>
          <w:rFonts w:hint="eastAsia" w:ascii="仿宋" w:hAnsi="仿宋" w:eastAsia="仿宋" w:cs="仿宋"/>
          <w:color w:val="auto"/>
          <w:sz w:val="24"/>
          <w:szCs w:val="24"/>
          <w:highlight w:val="none"/>
        </w:rPr>
        <w:t>以中标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结果为准</w:t>
      </w:r>
      <w:r>
        <w:rPr>
          <w:rFonts w:hint="eastAsia" w:ascii="仿宋" w:hAnsi="仿宋" w:eastAsia="仿宋" w:cs="仿宋"/>
          <w:color w:val="auto"/>
          <w:sz w:val="24"/>
          <w:szCs w:val="24"/>
          <w:highlight w:val="none"/>
          <w:lang w:eastAsia="zh-CN"/>
        </w:rPr>
        <w:t>。</w:t>
      </w:r>
    </w:p>
    <w:p w14:paraId="1CF2B5CA">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Style w:val="26"/>
          <w:rFonts w:hint="eastAsia" w:ascii="仿宋" w:hAnsi="仿宋" w:eastAsia="仿宋" w:cs="仿宋"/>
          <w:color w:val="auto"/>
          <w:sz w:val="24"/>
          <w:szCs w:val="24"/>
          <w:highlight w:val="none"/>
        </w:rPr>
        <w:t>合同内产品价格按</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Style w:val="26"/>
          <w:rFonts w:hint="eastAsia" w:ascii="仿宋" w:hAnsi="仿宋" w:eastAsia="仿宋" w:cs="仿宋"/>
          <w:color w:val="auto"/>
          <w:sz w:val="24"/>
          <w:szCs w:val="24"/>
          <w:highlight w:val="none"/>
        </w:rPr>
        <w:t>价格执行,包含生产、销售、运输全部成本及税费、利润等全部项目。（详见</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Style w:val="26"/>
          <w:rFonts w:hint="eastAsia" w:ascii="仿宋" w:hAnsi="仿宋" w:eastAsia="仿宋" w:cs="仿宋"/>
          <w:color w:val="auto"/>
          <w:sz w:val="24"/>
          <w:szCs w:val="24"/>
          <w:highlight w:val="none"/>
        </w:rPr>
        <w:t>通知书及明细）</w:t>
      </w:r>
    </w:p>
    <w:p w14:paraId="446C9F13">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3.乙方承诺提供给甲方的所有产品的价格为全疆最低价。若招标后出现新的全疆最低价，乙方同意甲方按照新的全疆最低价进行结算。“因医保系统调价，厂家主动降价等原因调价的此合同依然有效”。</w:t>
      </w:r>
    </w:p>
    <w:p w14:paraId="3E16B325">
      <w:pPr>
        <w:pStyle w:val="4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rPr>
        <w:t>4.合同期内乙方所提供的所有产品不得上调价格。</w:t>
      </w:r>
    </w:p>
    <w:p w14:paraId="741CDB58">
      <w:pPr>
        <w:pStyle w:val="40"/>
        <w:overflowPunct w:val="0"/>
        <w:spacing w:line="535" w:lineRule="exact"/>
        <w:ind w:firstLine="482" w:firstLineChars="200"/>
        <w:rPr>
          <w:rStyle w:val="26"/>
          <w:rFonts w:hint="eastAsia" w:ascii="仿宋" w:hAnsi="仿宋" w:eastAsia="仿宋" w:cs="仿宋"/>
          <w:b/>
          <w:color w:val="auto"/>
          <w:sz w:val="24"/>
          <w:szCs w:val="24"/>
          <w:highlight w:val="none"/>
        </w:rPr>
      </w:pPr>
      <w:r>
        <w:rPr>
          <w:rStyle w:val="26"/>
          <w:rFonts w:hint="eastAsia" w:ascii="仿宋" w:hAnsi="仿宋" w:eastAsia="仿宋" w:cs="仿宋"/>
          <w:b/>
          <w:color w:val="auto"/>
          <w:sz w:val="24"/>
          <w:szCs w:val="24"/>
          <w:highlight w:val="none"/>
        </w:rPr>
        <w:t>第二条  供货方式及时间</w:t>
      </w:r>
    </w:p>
    <w:p w14:paraId="2B4B7819">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1.乙方应对所供产品适当备货，确保甲方需求。</w:t>
      </w:r>
    </w:p>
    <w:p w14:paraId="05612344">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2.乙方按甲方采购计划和要求及时配送，乙方承诺自接到甲方计划后</w:t>
      </w:r>
    </w:p>
    <w:p w14:paraId="60BF50E8">
      <w:pPr>
        <w:pStyle w:val="40"/>
        <w:overflowPunct w:val="0"/>
        <w:spacing w:line="535" w:lineRule="exact"/>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u w:val="single"/>
        </w:rPr>
        <w:t xml:space="preserve">      </w:t>
      </w:r>
      <w:r>
        <w:rPr>
          <w:rStyle w:val="26"/>
          <w:rFonts w:hint="eastAsia" w:ascii="仿宋" w:hAnsi="仿宋" w:eastAsia="仿宋" w:cs="仿宋"/>
          <w:color w:val="auto"/>
          <w:sz w:val="24"/>
          <w:szCs w:val="24"/>
          <w:highlight w:val="none"/>
        </w:rPr>
        <w:t>天内将产品送至甲方指定地点；急诊、抢救等紧急情况下，甲方随时下达计划，乙方必须保证随时供货，并在4小时内送达。不得因供货不及时影响甲方诊疗工作。</w:t>
      </w:r>
    </w:p>
    <w:p w14:paraId="3DBA4CA8">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1CACD72C">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4.甲方收货时，应验收产品的名称、规格、生产厂家、批号、数量、</w:t>
      </w:r>
      <w:r>
        <w:rPr>
          <w:rStyle w:val="26"/>
          <w:rFonts w:hint="eastAsia" w:ascii="仿宋" w:hAnsi="仿宋" w:eastAsia="仿宋" w:cs="仿宋"/>
          <w:color w:val="auto"/>
          <w:sz w:val="24"/>
          <w:szCs w:val="24"/>
          <w:highlight w:val="none"/>
          <w:lang w:eastAsia="zh-CN"/>
        </w:rPr>
        <w:t>注册证号、</w:t>
      </w:r>
      <w:r>
        <w:rPr>
          <w:rStyle w:val="26"/>
          <w:rFonts w:hint="eastAsia" w:ascii="仿宋" w:hAnsi="仿宋" w:eastAsia="仿宋" w:cs="仿宋"/>
          <w:color w:val="auto"/>
          <w:sz w:val="24"/>
          <w:szCs w:val="24"/>
          <w:highlight w:val="none"/>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4C7E1280">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5.供货配送过程中的破损、丢失、污染等损耗由乙方负责。</w:t>
      </w:r>
    </w:p>
    <w:p w14:paraId="0AFDFBFA">
      <w:pPr>
        <w:pStyle w:val="40"/>
        <w:overflowPunct w:val="0"/>
        <w:spacing w:line="535" w:lineRule="exact"/>
        <w:ind w:firstLine="480" w:firstLineChars="200"/>
        <w:rPr>
          <w:rStyle w:val="26"/>
          <w:rFonts w:hint="eastAsia" w:ascii="仿宋" w:hAnsi="仿宋" w:eastAsia="仿宋" w:cs="仿宋"/>
          <w:color w:val="000000"/>
          <w:sz w:val="24"/>
          <w:szCs w:val="24"/>
          <w:highlight w:val="none"/>
          <w:lang w:val="en-US" w:eastAsia="zh-CN"/>
        </w:rPr>
      </w:pPr>
      <w:r>
        <w:rPr>
          <w:rStyle w:val="26"/>
          <w:rFonts w:hint="eastAsia" w:ascii="仿宋" w:hAnsi="仿宋" w:eastAsia="仿宋" w:cs="仿宋"/>
          <w:color w:val="auto"/>
          <w:sz w:val="24"/>
          <w:szCs w:val="24"/>
          <w:highlight w:val="none"/>
          <w:lang w:val="en-US" w:eastAsia="zh-CN"/>
        </w:rPr>
        <w:t>6.限量限金额采购的产品应严格按照限定数量和金额送货，</w:t>
      </w:r>
      <w:r>
        <w:rPr>
          <w:rStyle w:val="26"/>
          <w:rFonts w:hint="eastAsia" w:ascii="仿宋" w:hAnsi="仿宋" w:eastAsia="仿宋" w:cs="仿宋"/>
          <w:color w:val="000000"/>
          <w:sz w:val="24"/>
          <w:szCs w:val="24"/>
          <w:highlight w:val="none"/>
          <w:lang w:val="en-US" w:eastAsia="zh-CN"/>
        </w:rPr>
        <w:t>超出部分甲方不予付款，损失由乙方自行承担。</w:t>
      </w:r>
    </w:p>
    <w:p w14:paraId="57CB1DFC">
      <w:pPr>
        <w:pStyle w:val="40"/>
        <w:overflowPunct w:val="0"/>
        <w:spacing w:line="535" w:lineRule="exact"/>
        <w:ind w:firstLine="482" w:firstLineChars="200"/>
        <w:rPr>
          <w:rStyle w:val="26"/>
          <w:rFonts w:hint="eastAsia" w:ascii="仿宋" w:hAnsi="仿宋" w:eastAsia="仿宋" w:cs="仿宋"/>
          <w:b/>
          <w:color w:val="auto"/>
          <w:sz w:val="24"/>
          <w:szCs w:val="24"/>
          <w:highlight w:val="none"/>
        </w:rPr>
      </w:pPr>
      <w:r>
        <w:rPr>
          <w:rStyle w:val="26"/>
          <w:rFonts w:hint="eastAsia" w:ascii="仿宋" w:hAnsi="仿宋" w:eastAsia="仿宋" w:cs="仿宋"/>
          <w:b/>
          <w:color w:val="auto"/>
          <w:sz w:val="24"/>
          <w:szCs w:val="24"/>
          <w:highlight w:val="none"/>
        </w:rPr>
        <w:t>第三条  资质及质量标准</w:t>
      </w:r>
    </w:p>
    <w:p w14:paraId="28079FCE">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1.乙方应向甲方提供企业及代理人的合法资格、本合同所涉及产品的合法性的相关证明文件或者复印件并加盖乙方公章，包括：</w:t>
      </w:r>
    </w:p>
    <w:p w14:paraId="4C25652B">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（1）营业执照；</w:t>
      </w:r>
    </w:p>
    <w:p w14:paraId="76CF1FEC">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（2）医疗器械生产许可证或者备案凭证；</w:t>
      </w:r>
    </w:p>
    <w:p w14:paraId="2A3BD8D8">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（3）医疗器械经营许可证或者备案凭证；</w:t>
      </w:r>
    </w:p>
    <w:p w14:paraId="6A9BCDFC">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（4）医疗器械注册证或者备案凭证；</w:t>
      </w:r>
    </w:p>
    <w:p w14:paraId="1E4F18D7">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（5）产品授权文件；</w:t>
      </w:r>
    </w:p>
    <w:p w14:paraId="284A170A">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（6）乙方法人代表或法定代表人身份证复印件、代理人的法人代表或法定代表人授权委托书、身份证复印件、联系方式；</w:t>
      </w:r>
    </w:p>
    <w:p w14:paraId="5A643FE9">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（7）汇款地址、账号。</w:t>
      </w:r>
    </w:p>
    <w:p w14:paraId="2CACC2EE">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AC7C330">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val="en-US" w:eastAsia="zh-CN"/>
        </w:rPr>
      </w:pPr>
      <w:r>
        <w:rPr>
          <w:rStyle w:val="26"/>
          <w:rFonts w:hint="eastAsia" w:ascii="仿宋" w:hAnsi="仿宋" w:eastAsia="仿宋" w:cs="仿宋"/>
          <w:color w:val="auto"/>
          <w:sz w:val="24"/>
          <w:szCs w:val="24"/>
          <w:highlight w:val="none"/>
          <w:lang w:eastAsia="zh-CN"/>
        </w:rPr>
        <w:t>3.</w:t>
      </w:r>
      <w:r>
        <w:rPr>
          <w:rStyle w:val="26"/>
          <w:rFonts w:hint="eastAsia" w:ascii="仿宋" w:hAnsi="仿宋" w:eastAsia="仿宋" w:cs="仿宋"/>
          <w:color w:val="auto"/>
          <w:sz w:val="24"/>
          <w:szCs w:val="24"/>
          <w:highlight w:val="none"/>
          <w:lang w:val="en-US" w:eastAsia="zh-CN"/>
        </w:rPr>
        <w:t>合同期内由于乙方（供应商）代理权限（产品授权）的转移、公司注销、产品变更等实质性原因，合同应终止，甲方（医院）不承担任何责任，同时甲方按医院相关规定重新招标。</w:t>
      </w:r>
    </w:p>
    <w:p w14:paraId="5E7E1258">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4.乙方保证所配送的产品是符合国家质量标准的合格产品，并与投标时的承诺相一致。出现质量问题，乙方应积极配合甲方的调查和处理。</w:t>
      </w:r>
    </w:p>
    <w:p w14:paraId="190FD20A">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val="en-US" w:eastAsia="zh-CN"/>
        </w:rPr>
        <w:t>5</w:t>
      </w:r>
      <w:r>
        <w:rPr>
          <w:rStyle w:val="26"/>
          <w:rFonts w:hint="eastAsia" w:ascii="仿宋" w:hAnsi="仿宋" w:eastAsia="仿宋" w:cs="仿宋"/>
          <w:color w:val="auto"/>
          <w:sz w:val="24"/>
          <w:szCs w:val="24"/>
          <w:highlight w:val="none"/>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3EBDFCE8">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6.乙方所提供的医用耗材的有效期自货物通过最终验收之日起计算，且有效期限不小于</w:t>
      </w:r>
      <w:r>
        <w:rPr>
          <w:rStyle w:val="26"/>
          <w:rFonts w:hint="eastAsia" w:ascii="仿宋" w:hAnsi="仿宋" w:eastAsia="仿宋" w:cs="仿宋"/>
          <w:color w:val="auto"/>
          <w:sz w:val="24"/>
          <w:szCs w:val="24"/>
          <w:highlight w:val="none"/>
          <w:lang w:val="en-US" w:eastAsia="zh-CN"/>
        </w:rPr>
        <w:t>12</w:t>
      </w:r>
      <w:r>
        <w:rPr>
          <w:rStyle w:val="26"/>
          <w:rFonts w:hint="eastAsia" w:ascii="仿宋" w:hAnsi="仿宋" w:eastAsia="仿宋" w:cs="仿宋"/>
          <w:color w:val="auto"/>
          <w:sz w:val="24"/>
          <w:szCs w:val="24"/>
          <w:highlight w:val="none"/>
          <w:lang w:eastAsia="zh-CN"/>
        </w:rPr>
        <w:t>个月</w:t>
      </w:r>
      <w:r>
        <w:rPr>
          <w:rStyle w:val="26"/>
          <w:rFonts w:hint="eastAsia" w:ascii="仿宋" w:hAnsi="仿宋" w:eastAsia="仿宋" w:cs="仿宋"/>
          <w:color w:val="auto"/>
          <w:sz w:val="24"/>
          <w:szCs w:val="24"/>
          <w:highlight w:val="none"/>
          <w:lang w:val="en-US" w:eastAsia="zh-CN"/>
        </w:rPr>
        <w:t>;</w:t>
      </w:r>
      <w:r>
        <w:rPr>
          <w:rStyle w:val="26"/>
          <w:rFonts w:hint="eastAsia" w:ascii="仿宋" w:hAnsi="仿宋" w:eastAsia="仿宋" w:cs="仿宋"/>
          <w:color w:val="auto"/>
          <w:sz w:val="24"/>
          <w:szCs w:val="24"/>
          <w:highlight w:val="none"/>
          <w:lang w:eastAsia="zh-CN"/>
        </w:rPr>
        <w:t>另对于库房库存效期低于3个月的产品，乙方应积极配合甲方予以免费更换。特殊产品双方另行协商。</w:t>
      </w:r>
    </w:p>
    <w:p w14:paraId="7FE34732">
      <w:pPr>
        <w:pStyle w:val="16"/>
        <w:suppressAutoHyphens w:val="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val="en-US" w:eastAsia="zh-CN"/>
        </w:rPr>
        <w:t>7.</w:t>
      </w:r>
      <w:r>
        <w:rPr>
          <w:rStyle w:val="26"/>
          <w:rFonts w:hint="eastAsia" w:ascii="仿宋" w:hAnsi="仿宋" w:eastAsia="仿宋" w:cs="仿宋"/>
          <w:color w:val="auto"/>
          <w:sz w:val="24"/>
          <w:szCs w:val="24"/>
          <w:highlight w:val="none"/>
          <w:lang w:eastAsia="zh-CN"/>
        </w:rPr>
        <w:t>乙方应保证提供给甲方的产品，不存在专利权、商标权、授权或保护期等知识产权方面的争议。与任何第三方产生的争议由乙方自行处理和承担责任。</w:t>
      </w:r>
    </w:p>
    <w:p w14:paraId="20F5F5A8">
      <w:pPr>
        <w:pStyle w:val="40"/>
        <w:overflowPunct w:val="0"/>
        <w:spacing w:line="535" w:lineRule="exact"/>
        <w:ind w:firstLine="482" w:firstLineChars="200"/>
        <w:rPr>
          <w:rStyle w:val="26"/>
          <w:rFonts w:hint="eastAsia" w:ascii="仿宋" w:hAnsi="仿宋" w:eastAsia="仿宋" w:cs="仿宋"/>
          <w:b/>
          <w:color w:val="auto"/>
          <w:sz w:val="24"/>
          <w:szCs w:val="24"/>
          <w:highlight w:val="none"/>
        </w:rPr>
      </w:pPr>
      <w:r>
        <w:rPr>
          <w:rStyle w:val="26"/>
          <w:rFonts w:hint="eastAsia" w:ascii="仿宋" w:hAnsi="仿宋" w:eastAsia="仿宋" w:cs="仿宋"/>
          <w:b/>
          <w:color w:val="auto"/>
          <w:sz w:val="24"/>
          <w:szCs w:val="24"/>
          <w:highlight w:val="none"/>
        </w:rPr>
        <w:t>第四条  付款</w:t>
      </w:r>
    </w:p>
    <w:p w14:paraId="3F65150E">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1.乙方送货后</w:t>
      </w:r>
      <w:r>
        <w:rPr>
          <w:rStyle w:val="26"/>
          <w:rFonts w:hint="eastAsia" w:ascii="仿宋" w:hAnsi="仿宋" w:eastAsia="仿宋" w:cs="仿宋"/>
          <w:color w:val="auto"/>
          <w:sz w:val="24"/>
          <w:szCs w:val="24"/>
          <w:highlight w:val="none"/>
          <w:lang w:eastAsia="zh-CN"/>
        </w:rPr>
        <w:t>当日</w:t>
      </w:r>
      <w:r>
        <w:rPr>
          <w:rStyle w:val="26"/>
          <w:rFonts w:hint="eastAsia" w:ascii="仿宋" w:hAnsi="仿宋" w:eastAsia="仿宋" w:cs="仿宋"/>
          <w:color w:val="auto"/>
          <w:sz w:val="24"/>
          <w:szCs w:val="24"/>
          <w:highlight w:val="none"/>
        </w:rPr>
        <w:t>办理</w:t>
      </w:r>
      <w:r>
        <w:rPr>
          <w:rStyle w:val="26"/>
          <w:rFonts w:hint="eastAsia" w:ascii="仿宋" w:hAnsi="仿宋" w:eastAsia="仿宋" w:cs="仿宋"/>
          <w:color w:val="auto"/>
          <w:sz w:val="24"/>
          <w:szCs w:val="24"/>
          <w:highlight w:val="none"/>
          <w:lang w:eastAsia="zh-CN"/>
        </w:rPr>
        <w:t>出</w:t>
      </w:r>
      <w:r>
        <w:rPr>
          <w:rStyle w:val="26"/>
          <w:rFonts w:hint="eastAsia" w:ascii="仿宋" w:hAnsi="仿宋" w:eastAsia="仿宋" w:cs="仿宋"/>
          <w:color w:val="auto"/>
          <w:sz w:val="24"/>
          <w:szCs w:val="24"/>
          <w:highlight w:val="none"/>
        </w:rPr>
        <w:t>入库手续，按规定出具增值税发票及相关财务票据。</w:t>
      </w:r>
    </w:p>
    <w:p w14:paraId="7859C446">
      <w:pPr>
        <w:pStyle w:val="40"/>
        <w:spacing w:line="360" w:lineRule="auto"/>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2.</w:t>
      </w:r>
      <w:r>
        <w:rPr>
          <w:rFonts w:hint="eastAsia" w:ascii="仿宋" w:hAnsi="仿宋" w:eastAsia="仿宋" w:cs="仿宋"/>
          <w:b w:val="0"/>
          <w:bCs w:val="0"/>
          <w:color w:val="auto"/>
          <w:sz w:val="24"/>
          <w:szCs w:val="24"/>
          <w:highlight w:val="none"/>
          <w:lang w:val="en-US" w:eastAsia="zh-CN"/>
        </w:rPr>
        <w:t>取得入库手续后，乙方有权对该批供货书面申请付款，经甲方相关部门审核后，甲方根据计划予以支付，付款期限以医院付款周期为准。</w:t>
      </w:r>
      <w:r>
        <w:rPr>
          <w:rStyle w:val="26"/>
          <w:rFonts w:hint="eastAsia" w:ascii="仿宋" w:hAnsi="仿宋" w:eastAsia="仿宋" w:cs="仿宋"/>
          <w:color w:val="auto"/>
          <w:sz w:val="24"/>
          <w:szCs w:val="24"/>
          <w:highlight w:val="none"/>
          <w:lang w:val="en-US" w:eastAsia="zh-CN"/>
        </w:rPr>
        <w:t>乙方开具发票前甲方有权拒绝支付任何费用，且不承担任何违约责任</w:t>
      </w:r>
      <w:r>
        <w:rPr>
          <w:rStyle w:val="26"/>
          <w:rFonts w:hint="eastAsia" w:ascii="仿宋" w:hAnsi="仿宋" w:eastAsia="仿宋" w:cs="仿宋"/>
          <w:color w:val="auto"/>
          <w:sz w:val="24"/>
          <w:szCs w:val="24"/>
          <w:highlight w:val="none"/>
        </w:rPr>
        <w:t>。</w:t>
      </w:r>
    </w:p>
    <w:p w14:paraId="739EAF27">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3.付款方式：由甲方通过银行转账、商业汇票、银行承兑、银行保理等方式向乙方结算货款。</w:t>
      </w:r>
    </w:p>
    <w:p w14:paraId="66D012C4">
      <w:pPr>
        <w:pStyle w:val="40"/>
        <w:overflowPunct w:val="0"/>
        <w:spacing w:line="535" w:lineRule="exact"/>
        <w:ind w:firstLine="482" w:firstLineChars="200"/>
        <w:rPr>
          <w:rStyle w:val="26"/>
          <w:rFonts w:hint="eastAsia" w:ascii="仿宋" w:hAnsi="仿宋" w:eastAsia="仿宋" w:cs="仿宋"/>
          <w:b/>
          <w:color w:val="auto"/>
          <w:sz w:val="24"/>
          <w:szCs w:val="24"/>
          <w:highlight w:val="none"/>
        </w:rPr>
      </w:pPr>
      <w:r>
        <w:rPr>
          <w:rStyle w:val="26"/>
          <w:rFonts w:hint="eastAsia" w:ascii="仿宋" w:hAnsi="仿宋" w:eastAsia="仿宋" w:cs="仿宋"/>
          <w:b/>
          <w:color w:val="auto"/>
          <w:sz w:val="24"/>
          <w:szCs w:val="24"/>
          <w:highlight w:val="none"/>
        </w:rPr>
        <w:t>第五条  反商业贿赂约定</w:t>
      </w:r>
    </w:p>
    <w:p w14:paraId="3B0F3F59">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乙方不得以任何形式在任何情况下对甲方人员进行商业贿赂。</w:t>
      </w:r>
    </w:p>
    <w:p w14:paraId="20B306DB">
      <w:pPr>
        <w:pStyle w:val="40"/>
        <w:overflowPunct w:val="0"/>
        <w:spacing w:line="535" w:lineRule="exact"/>
        <w:ind w:firstLine="482" w:firstLineChars="200"/>
        <w:rPr>
          <w:rStyle w:val="26"/>
          <w:rFonts w:hint="eastAsia" w:ascii="仿宋" w:hAnsi="仿宋" w:eastAsia="仿宋" w:cs="仿宋"/>
          <w:b/>
          <w:color w:val="auto"/>
          <w:sz w:val="24"/>
          <w:szCs w:val="24"/>
          <w:highlight w:val="none"/>
        </w:rPr>
      </w:pPr>
      <w:r>
        <w:rPr>
          <w:rStyle w:val="26"/>
          <w:rFonts w:hint="eastAsia" w:ascii="仿宋" w:hAnsi="仿宋" w:eastAsia="仿宋" w:cs="仿宋"/>
          <w:b/>
          <w:color w:val="auto"/>
          <w:sz w:val="24"/>
          <w:szCs w:val="24"/>
          <w:highlight w:val="none"/>
        </w:rPr>
        <w:t>第六条  违约责任</w:t>
      </w:r>
    </w:p>
    <w:p w14:paraId="35D56BB3">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1.乙方违反本合同第二条第3款约定的，甲方对该供货有权不予结算，同时乙方向甲方支付该供货等值的违约金。</w:t>
      </w:r>
    </w:p>
    <w:p w14:paraId="6629F055">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2.不按约定时间配送的，乙方按照每天承担逾期配送产品货款5%的标准向甲方支付违约金。违约金不足以弥补甲方损失的，乙方应另行赔偿损失。</w:t>
      </w:r>
    </w:p>
    <w:p w14:paraId="72ECE589">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3.乙方三次不按甲方采购计划配送，甲方有权</w:t>
      </w:r>
      <w:r>
        <w:rPr>
          <w:rFonts w:hint="eastAsia" w:ascii="仿宋" w:hAnsi="仿宋" w:eastAsia="仿宋" w:cs="仿宋"/>
          <w:color w:val="auto"/>
          <w:sz w:val="24"/>
          <w:szCs w:val="24"/>
          <w:highlight w:val="none"/>
        </w:rPr>
        <w:t>单方面</w:t>
      </w:r>
      <w:r>
        <w:rPr>
          <w:rStyle w:val="26"/>
          <w:rFonts w:hint="eastAsia" w:ascii="仿宋" w:hAnsi="仿宋" w:eastAsia="仿宋" w:cs="仿宋"/>
          <w:color w:val="auto"/>
          <w:sz w:val="24"/>
          <w:szCs w:val="24"/>
          <w:highlight w:val="none"/>
        </w:rPr>
        <w:t>终止合同，乙方按照本合同总金额的5%向甲方支付违约金。</w:t>
      </w:r>
    </w:p>
    <w:p w14:paraId="064546C7">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4.甲方如发现乙方所提供产品的价格不是全疆最低价，甲方有权终止本合同，对本合同期限内所有产品按全疆最低价执行，已结算供货的差额部分从未结款中扣除，不足部分由乙方另行支付。</w:t>
      </w:r>
    </w:p>
    <w:p w14:paraId="5C994B13">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5.乙方未按照本合同第三条第二款、第三款执行的，甲方有权</w:t>
      </w:r>
      <w:r>
        <w:rPr>
          <w:rFonts w:hint="eastAsia" w:ascii="仿宋" w:hAnsi="仿宋" w:eastAsia="仿宋" w:cs="仿宋"/>
          <w:color w:val="auto"/>
          <w:sz w:val="24"/>
          <w:szCs w:val="24"/>
          <w:highlight w:val="none"/>
        </w:rPr>
        <w:t>单方面</w:t>
      </w:r>
      <w:r>
        <w:rPr>
          <w:rStyle w:val="26"/>
          <w:rFonts w:hint="eastAsia" w:ascii="仿宋" w:hAnsi="仿宋" w:eastAsia="仿宋" w:cs="仿宋"/>
          <w:color w:val="auto"/>
          <w:sz w:val="24"/>
          <w:szCs w:val="24"/>
          <w:highlight w:val="none"/>
        </w:rPr>
        <w:t>终止合同，乙方按照本合同总金额的5％向甲方支付违约金，违约金不能补足甲方损失的，不足部分由乙方另行支付。</w:t>
      </w:r>
    </w:p>
    <w:p w14:paraId="15F1D942">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6B065C13">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7.乙方在合同期内出现任何失信、弄虚作假情况，甲方有权拒绝支付相关的货款，乙方向甲方支付相应货款的300%的违约金。同时，甲方有权解除合同，乙方自行承担因此产生的全部损失。</w:t>
      </w:r>
    </w:p>
    <w:p w14:paraId="06B73950">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8.乙方有商业贿赂等违法行为的，甲方有权解除合同，乙方自行承担因此产生的全部损失。</w:t>
      </w:r>
    </w:p>
    <w:p w14:paraId="3447E3D4">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9.乙方开具虚假发票的，乙方同意甲方对虚假发票所涉及金额货款不予支付，并甲方有权解除合同。</w:t>
      </w:r>
    </w:p>
    <w:p w14:paraId="09F7DB39">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10.将本合同约定的供货义务转让他人履行的，乙方向甲方支付本合同总金额10%的违约金，且甲方有权解除本合同。</w:t>
      </w:r>
    </w:p>
    <w:p w14:paraId="1CEFEBFC">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t>未按照本合同第二条第1款履行义务的，乙方除应当继续履行该义务同时向甲方支付违约金2000元，且甲方有权单方解除本合同。</w:t>
      </w:r>
    </w:p>
    <w:p w14:paraId="1068E156">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12.本合同履行期间，若国家、新疆维吾尔自治区、新疆医科大学等出台相应的采购政策，则按照上级采购政策执行，若政策影响合同实际实质性条款的则本合同终止，甲乙双方互不承担违约责任。</w:t>
      </w:r>
    </w:p>
    <w:p w14:paraId="7BF72243">
      <w:pPr>
        <w:pStyle w:val="40"/>
        <w:overflowPunct w:val="0"/>
        <w:spacing w:line="535" w:lineRule="exact"/>
        <w:ind w:firstLine="482" w:firstLineChars="200"/>
        <w:rPr>
          <w:rStyle w:val="26"/>
          <w:rFonts w:hint="eastAsia" w:ascii="仿宋" w:hAnsi="仿宋" w:eastAsia="仿宋" w:cs="仿宋"/>
          <w:b/>
          <w:bCs/>
          <w:color w:val="auto"/>
          <w:sz w:val="24"/>
          <w:szCs w:val="24"/>
          <w:highlight w:val="none"/>
        </w:rPr>
      </w:pPr>
      <w:r>
        <w:rPr>
          <w:rStyle w:val="26"/>
          <w:rFonts w:hint="eastAsia" w:ascii="仿宋" w:hAnsi="仿宋" w:eastAsia="仿宋" w:cs="仿宋"/>
          <w:b/>
          <w:bCs/>
          <w:color w:val="auto"/>
          <w:sz w:val="24"/>
          <w:szCs w:val="24"/>
          <w:highlight w:val="none"/>
        </w:rPr>
        <w:t>第七条  其他约定</w:t>
      </w:r>
    </w:p>
    <w:p w14:paraId="7E04EF89">
      <w:pPr>
        <w:suppressAutoHyphens w:val="0"/>
        <w:overflowPunct w:val="0"/>
        <w:spacing w:line="535"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1.甲乙双方已对本合同各条款全面、准确理解，双方对本合同的认识已达成完全的一致。</w:t>
      </w:r>
    </w:p>
    <w:p w14:paraId="0AEFDDF2">
      <w:pPr>
        <w:suppressAutoHyphens w:val="0"/>
        <w:overflowPunct w:val="0"/>
        <w:spacing w:line="535" w:lineRule="exact"/>
        <w:ind w:firstLine="472" w:firstLineChars="200"/>
        <w:rPr>
          <w:rFonts w:hint="eastAsia" w:ascii="仿宋" w:hAnsi="仿宋" w:eastAsia="仿宋" w:cs="仿宋"/>
          <w:b w:val="0"/>
          <w:color w:val="auto"/>
          <w:spacing w:val="-2"/>
          <w:sz w:val="24"/>
          <w:szCs w:val="24"/>
          <w:highlight w:val="none"/>
        </w:rPr>
      </w:pPr>
      <w:r>
        <w:rPr>
          <w:rFonts w:hint="eastAsia" w:ascii="仿宋" w:hAnsi="仿宋" w:eastAsia="仿宋" w:cs="仿宋"/>
          <w:b w:val="0"/>
          <w:color w:val="auto"/>
          <w:spacing w:val="-2"/>
          <w:sz w:val="24"/>
          <w:szCs w:val="24"/>
          <w:highlight w:val="none"/>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13FCEAB4">
      <w:pPr>
        <w:suppressAutoHyphens w:val="0"/>
        <w:overflowPunct w:val="0"/>
        <w:spacing w:line="535"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3D25FEC9">
      <w:pPr>
        <w:suppressAutoHyphens w:val="0"/>
        <w:overflowPunct w:val="0"/>
        <w:spacing w:line="535"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4.本合同的所列附件是本合同不可分割的一部份。</w:t>
      </w:r>
    </w:p>
    <w:p w14:paraId="0E9FC598">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（1）医疗卫生机构医药产品廉洁购销承诺。</w:t>
      </w:r>
    </w:p>
    <w:p w14:paraId="2192907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720" w:firstLineChars="300"/>
        <w:jc w:val="both"/>
        <w:textAlignment w:val="auto"/>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（2）</w:t>
      </w:r>
      <w:r>
        <w:rPr>
          <w:rFonts w:hint="eastAsia" w:ascii="仿宋" w:hAnsi="仿宋" w:eastAsia="仿宋" w:cs="仿宋"/>
          <w:b w:val="0"/>
          <w:bCs w:val="0"/>
          <w:color w:val="auto"/>
          <w:sz w:val="24"/>
          <w:szCs w:val="24"/>
          <w:highlight w:val="none"/>
          <w:lang w:eastAsia="zh-CN"/>
        </w:rPr>
        <w:t>法定代表人授权书或法定代表人身份证明书，附法定代表人及被授权人身份证复印件（正反面）。</w:t>
      </w:r>
    </w:p>
    <w:p w14:paraId="0C7B80E6">
      <w:pPr>
        <w:pStyle w:val="40"/>
        <w:overflowPunct w:val="0"/>
        <w:spacing w:line="535" w:lineRule="exact"/>
        <w:ind w:firstLine="480" w:firstLineChars="200"/>
        <w:rPr>
          <w:rStyle w:val="26"/>
          <w:rFonts w:hint="eastAsia" w:ascii="仿宋" w:hAnsi="仿宋" w:eastAsia="仿宋" w:cs="仿宋"/>
          <w:color w:val="auto"/>
          <w:sz w:val="24"/>
          <w:szCs w:val="24"/>
          <w:highlight w:val="none"/>
          <w:u w:val="single"/>
        </w:rPr>
      </w:pPr>
      <w:r>
        <w:rPr>
          <w:rStyle w:val="26"/>
          <w:rFonts w:hint="eastAsia" w:ascii="仿宋" w:hAnsi="仿宋" w:eastAsia="仿宋" w:cs="仿宋"/>
          <w:color w:val="auto"/>
          <w:sz w:val="24"/>
          <w:szCs w:val="24"/>
          <w:highlight w:val="none"/>
        </w:rPr>
        <w:t>（3）中标</w:t>
      </w:r>
      <w:r>
        <w:rPr>
          <w:rStyle w:val="26"/>
          <w:rFonts w:hint="eastAsia" w:ascii="仿宋" w:hAnsi="仿宋" w:eastAsia="仿宋" w:cs="仿宋"/>
          <w:color w:val="auto"/>
          <w:sz w:val="24"/>
          <w:szCs w:val="24"/>
          <w:highlight w:val="none"/>
          <w:lang w:val="en-US" w:eastAsia="zh-CN"/>
        </w:rPr>
        <w:t>/成交</w:t>
      </w:r>
      <w:r>
        <w:rPr>
          <w:rStyle w:val="26"/>
          <w:rFonts w:hint="eastAsia" w:ascii="仿宋" w:hAnsi="仿宋" w:eastAsia="仿宋" w:cs="仿宋"/>
          <w:color w:val="auto"/>
          <w:sz w:val="24"/>
          <w:szCs w:val="24"/>
          <w:highlight w:val="none"/>
        </w:rPr>
        <w:t xml:space="preserve">通知书及答疑函。 </w:t>
      </w:r>
    </w:p>
    <w:p w14:paraId="23382CF4">
      <w:pPr>
        <w:pStyle w:val="40"/>
        <w:overflowPunct w:val="0"/>
        <w:spacing w:line="535" w:lineRule="exact"/>
        <w:ind w:firstLine="480" w:firstLineChars="200"/>
        <w:rPr>
          <w:rStyle w:val="26"/>
          <w:rFonts w:hint="eastAsia" w:ascii="仿宋" w:hAnsi="仿宋" w:eastAsia="仿宋" w:cs="仿宋"/>
          <w:color w:val="auto"/>
          <w:sz w:val="24"/>
          <w:szCs w:val="24"/>
          <w:highlight w:val="none"/>
          <w:u w:val="single"/>
        </w:rPr>
      </w:pPr>
      <w:r>
        <w:rPr>
          <w:rStyle w:val="26"/>
          <w:rFonts w:hint="eastAsia" w:ascii="仿宋" w:hAnsi="仿宋" w:eastAsia="仿宋" w:cs="仿宋"/>
          <w:color w:val="auto"/>
          <w:sz w:val="24"/>
          <w:szCs w:val="24"/>
          <w:highlight w:val="none"/>
        </w:rPr>
        <w:t>（4）产品清单。</w:t>
      </w:r>
    </w:p>
    <w:p w14:paraId="129A9DFF">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5.与合同相关招投标备案资料、供应商承诺、价格谈判、会议纪要等其他附件均作为合同的有效组成部分，与合同具有同等法律效力。</w:t>
      </w:r>
    </w:p>
    <w:p w14:paraId="199E9DB1">
      <w:pPr>
        <w:pStyle w:val="40"/>
        <w:overflowPunct w:val="0"/>
        <w:spacing w:line="535" w:lineRule="exact"/>
        <w:ind w:firstLine="482"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b/>
          <w:color w:val="auto"/>
          <w:sz w:val="24"/>
          <w:szCs w:val="24"/>
          <w:highlight w:val="none"/>
        </w:rPr>
        <w:t xml:space="preserve">第八条  </w:t>
      </w:r>
      <w:r>
        <w:rPr>
          <w:rStyle w:val="26"/>
          <w:rFonts w:hint="eastAsia" w:ascii="仿宋" w:hAnsi="仿宋" w:eastAsia="仿宋" w:cs="仿宋"/>
          <w:color w:val="auto"/>
          <w:sz w:val="24"/>
          <w:szCs w:val="24"/>
          <w:highlight w:val="none"/>
        </w:rPr>
        <w:t>本合同未尽事宜双方协商解决。因本合同发生纠纷的，可向甲方所在地的人民法院提起诉讼。</w:t>
      </w:r>
    </w:p>
    <w:p w14:paraId="7CE75130">
      <w:pPr>
        <w:pStyle w:val="40"/>
        <w:overflowPunct w:val="0"/>
        <w:spacing w:line="535" w:lineRule="exact"/>
        <w:ind w:left="244" w:leftChars="116" w:firstLine="482"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b/>
          <w:color w:val="auto"/>
          <w:sz w:val="24"/>
          <w:szCs w:val="24"/>
          <w:highlight w:val="none"/>
        </w:rPr>
        <w:t xml:space="preserve">第九条  </w:t>
      </w:r>
      <w:r>
        <w:rPr>
          <w:rStyle w:val="26"/>
          <w:rFonts w:hint="eastAsia" w:ascii="仿宋" w:hAnsi="仿宋" w:eastAsia="仿宋" w:cs="仿宋"/>
          <w:color w:val="auto"/>
          <w:sz w:val="24"/>
          <w:szCs w:val="24"/>
          <w:highlight w:val="none"/>
        </w:rPr>
        <w:t>本合同有效期为</w:t>
      </w:r>
      <w:r>
        <w:rPr>
          <w:rStyle w:val="26"/>
          <w:rFonts w:hint="eastAsia" w:ascii="仿宋" w:hAnsi="仿宋" w:eastAsia="仿宋" w:cs="仿宋"/>
          <w:color w:val="auto"/>
          <w:sz w:val="24"/>
          <w:szCs w:val="24"/>
          <w:highlight w:val="none"/>
          <w:u w:val="single"/>
        </w:rPr>
        <w:t xml:space="preserve">        </w:t>
      </w:r>
      <w:r>
        <w:rPr>
          <w:rStyle w:val="26"/>
          <w:rFonts w:hint="eastAsia" w:ascii="仿宋" w:hAnsi="仿宋" w:eastAsia="仿宋" w:cs="仿宋"/>
          <w:color w:val="auto"/>
          <w:sz w:val="24"/>
          <w:szCs w:val="24"/>
          <w:highlight w:val="none"/>
        </w:rPr>
        <w:t>年，自</w:t>
      </w:r>
      <w:r>
        <w:rPr>
          <w:rStyle w:val="26"/>
          <w:rFonts w:hint="eastAsia" w:ascii="仿宋" w:hAnsi="仿宋" w:eastAsia="仿宋" w:cs="仿宋"/>
          <w:color w:val="auto"/>
          <w:sz w:val="24"/>
          <w:szCs w:val="24"/>
          <w:highlight w:val="none"/>
          <w:u w:val="single"/>
        </w:rPr>
        <w:t xml:space="preserve">       </w:t>
      </w:r>
      <w:r>
        <w:rPr>
          <w:rStyle w:val="26"/>
          <w:rFonts w:hint="eastAsia" w:ascii="仿宋" w:hAnsi="仿宋" w:eastAsia="仿宋" w:cs="仿宋"/>
          <w:color w:val="auto"/>
          <w:sz w:val="24"/>
          <w:szCs w:val="24"/>
          <w:highlight w:val="none"/>
        </w:rPr>
        <w:t>年</w:t>
      </w:r>
      <w:r>
        <w:rPr>
          <w:rStyle w:val="26"/>
          <w:rFonts w:hint="eastAsia" w:ascii="仿宋" w:hAnsi="仿宋" w:eastAsia="仿宋" w:cs="仿宋"/>
          <w:color w:val="auto"/>
          <w:sz w:val="24"/>
          <w:szCs w:val="24"/>
          <w:highlight w:val="none"/>
          <w:u w:val="single"/>
        </w:rPr>
        <w:t xml:space="preserve">     </w:t>
      </w:r>
      <w:r>
        <w:rPr>
          <w:rStyle w:val="26"/>
          <w:rFonts w:hint="eastAsia" w:ascii="仿宋" w:hAnsi="仿宋" w:eastAsia="仿宋" w:cs="仿宋"/>
          <w:color w:val="auto"/>
          <w:sz w:val="24"/>
          <w:szCs w:val="24"/>
          <w:highlight w:val="none"/>
        </w:rPr>
        <w:t>月</w:t>
      </w:r>
      <w:r>
        <w:rPr>
          <w:rStyle w:val="26"/>
          <w:rFonts w:hint="eastAsia" w:ascii="仿宋" w:hAnsi="仿宋" w:eastAsia="仿宋" w:cs="仿宋"/>
          <w:color w:val="auto"/>
          <w:sz w:val="24"/>
          <w:szCs w:val="24"/>
          <w:highlight w:val="none"/>
          <w:u w:val="single"/>
        </w:rPr>
        <w:t xml:space="preserve">     </w:t>
      </w:r>
      <w:r>
        <w:rPr>
          <w:rStyle w:val="26"/>
          <w:rFonts w:hint="eastAsia" w:ascii="仿宋" w:hAnsi="仿宋" w:eastAsia="仿宋" w:cs="仿宋"/>
          <w:color w:val="auto"/>
          <w:sz w:val="24"/>
          <w:szCs w:val="24"/>
          <w:highlight w:val="none"/>
        </w:rPr>
        <w:t>日起</w:t>
      </w:r>
      <w:r>
        <w:rPr>
          <w:rStyle w:val="26"/>
          <w:rFonts w:hint="eastAsia" w:ascii="仿宋" w:hAnsi="仿宋" w:eastAsia="仿宋" w:cs="仿宋"/>
          <w:color w:val="auto"/>
          <w:sz w:val="24"/>
          <w:szCs w:val="24"/>
          <w:highlight w:val="none"/>
          <w:u w:val="single"/>
        </w:rPr>
        <w:t xml:space="preserve">       </w:t>
      </w:r>
      <w:r>
        <w:rPr>
          <w:rStyle w:val="26"/>
          <w:rFonts w:hint="eastAsia" w:ascii="仿宋" w:hAnsi="仿宋" w:eastAsia="仿宋" w:cs="仿宋"/>
          <w:color w:val="auto"/>
          <w:sz w:val="24"/>
          <w:szCs w:val="24"/>
          <w:highlight w:val="none"/>
        </w:rPr>
        <w:t>年</w:t>
      </w:r>
      <w:r>
        <w:rPr>
          <w:rStyle w:val="26"/>
          <w:rFonts w:hint="eastAsia" w:ascii="仿宋" w:hAnsi="仿宋" w:eastAsia="仿宋" w:cs="仿宋"/>
          <w:color w:val="auto"/>
          <w:sz w:val="24"/>
          <w:szCs w:val="24"/>
          <w:highlight w:val="none"/>
          <w:u w:val="single"/>
        </w:rPr>
        <w:t xml:space="preserve">      </w:t>
      </w:r>
      <w:r>
        <w:rPr>
          <w:rStyle w:val="26"/>
          <w:rFonts w:hint="eastAsia" w:ascii="仿宋" w:hAnsi="仿宋" w:eastAsia="仿宋" w:cs="仿宋"/>
          <w:color w:val="auto"/>
          <w:sz w:val="24"/>
          <w:szCs w:val="24"/>
          <w:highlight w:val="none"/>
        </w:rPr>
        <w:t>月</w:t>
      </w:r>
      <w:r>
        <w:rPr>
          <w:rStyle w:val="26"/>
          <w:rFonts w:hint="eastAsia" w:ascii="仿宋" w:hAnsi="仿宋" w:eastAsia="仿宋" w:cs="仿宋"/>
          <w:color w:val="auto"/>
          <w:sz w:val="24"/>
          <w:szCs w:val="24"/>
          <w:highlight w:val="none"/>
          <w:u w:val="single"/>
        </w:rPr>
        <w:t xml:space="preserve">      </w:t>
      </w:r>
      <w:r>
        <w:rPr>
          <w:rStyle w:val="26"/>
          <w:rFonts w:hint="eastAsia" w:ascii="仿宋" w:hAnsi="仿宋" w:eastAsia="仿宋" w:cs="仿宋"/>
          <w:color w:val="auto"/>
          <w:sz w:val="24"/>
          <w:szCs w:val="24"/>
          <w:highlight w:val="none"/>
        </w:rPr>
        <w:t>日止，自双方</w:t>
      </w:r>
      <w:r>
        <w:rPr>
          <w:rStyle w:val="26"/>
          <w:rFonts w:hint="eastAsia" w:ascii="仿宋" w:hAnsi="仿宋" w:eastAsia="仿宋" w:cs="仿宋"/>
          <w:color w:val="auto"/>
          <w:sz w:val="24"/>
          <w:szCs w:val="24"/>
          <w:highlight w:val="none"/>
          <w:lang w:val="en-US" w:eastAsia="zh-CN"/>
        </w:rPr>
        <w:t>法定代表人或授权代表人签字并加盖单位公章</w:t>
      </w:r>
      <w:r>
        <w:rPr>
          <w:rStyle w:val="26"/>
          <w:rFonts w:hint="eastAsia" w:ascii="仿宋" w:hAnsi="仿宋" w:eastAsia="仿宋" w:cs="仿宋"/>
          <w:color w:val="auto"/>
          <w:sz w:val="24"/>
          <w:szCs w:val="24"/>
          <w:highlight w:val="none"/>
        </w:rPr>
        <w:t>之日起生效。</w:t>
      </w:r>
    </w:p>
    <w:p w14:paraId="39C17B64">
      <w:pPr>
        <w:pStyle w:val="40"/>
        <w:overflowPunct w:val="0"/>
        <w:spacing w:line="535" w:lineRule="exact"/>
        <w:ind w:firstLine="482"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b/>
          <w:color w:val="auto"/>
          <w:sz w:val="24"/>
          <w:szCs w:val="24"/>
          <w:highlight w:val="none"/>
        </w:rPr>
        <w:t xml:space="preserve">第十条  </w:t>
      </w:r>
      <w:r>
        <w:rPr>
          <w:rStyle w:val="26"/>
          <w:rFonts w:hint="eastAsia" w:ascii="仿宋" w:hAnsi="仿宋" w:eastAsia="仿宋" w:cs="仿宋"/>
          <w:color w:val="auto"/>
          <w:sz w:val="24"/>
          <w:szCs w:val="24"/>
          <w:highlight w:val="none"/>
        </w:rPr>
        <w:t>本合同一式伍份，甲方持肆份、乙方持壹份</w:t>
      </w:r>
      <w:r>
        <w:rPr>
          <w:rStyle w:val="26"/>
          <w:rFonts w:hint="eastAsia" w:ascii="仿宋" w:hAnsi="仿宋" w:eastAsia="仿宋" w:cs="仿宋"/>
          <w:color w:val="auto"/>
          <w:sz w:val="24"/>
          <w:szCs w:val="24"/>
          <w:highlight w:val="none"/>
          <w:lang w:eastAsia="zh-CN"/>
        </w:rPr>
        <w:t>，</w:t>
      </w:r>
      <w:r>
        <w:rPr>
          <w:rStyle w:val="26"/>
          <w:rFonts w:hint="eastAsia" w:ascii="仿宋" w:hAnsi="仿宋" w:eastAsia="仿宋" w:cs="仿宋"/>
          <w:color w:val="auto"/>
          <w:sz w:val="24"/>
          <w:szCs w:val="24"/>
          <w:highlight w:val="none"/>
          <w:lang w:val="en-US" w:eastAsia="zh-CN"/>
        </w:rPr>
        <w:t>具有同等法律效力</w:t>
      </w:r>
      <w:r>
        <w:rPr>
          <w:rStyle w:val="26"/>
          <w:rFonts w:hint="eastAsia" w:ascii="仿宋" w:hAnsi="仿宋" w:eastAsia="仿宋" w:cs="仿宋"/>
          <w:color w:val="auto"/>
          <w:sz w:val="24"/>
          <w:szCs w:val="24"/>
          <w:highlight w:val="none"/>
        </w:rPr>
        <w:t>。</w:t>
      </w:r>
    </w:p>
    <w:p w14:paraId="2A93E62C">
      <w:pPr>
        <w:pStyle w:val="40"/>
        <w:overflowPunct w:val="0"/>
        <w:spacing w:line="535" w:lineRule="exact"/>
        <w:ind w:firstLine="482"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第十一条</w:t>
      </w:r>
      <w:r>
        <w:rPr>
          <w:rStyle w:val="26"/>
          <w:rFonts w:hint="eastAsia" w:ascii="仿宋" w:hAnsi="仿宋" w:eastAsia="仿宋" w:cs="仿宋"/>
          <w:color w:val="auto"/>
          <w:sz w:val="24"/>
          <w:szCs w:val="24"/>
          <w:highlight w:val="none"/>
        </w:rPr>
        <w:t xml:space="preserve">  通知条款</w:t>
      </w:r>
    </w:p>
    <w:p w14:paraId="38BF7C51">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甲方确认通讯地址：新疆维吾尔自治区乌鲁木齐市鲤鱼山南路137号</w:t>
      </w:r>
    </w:p>
    <w:p w14:paraId="2FF537CF">
      <w:pPr>
        <w:pStyle w:val="40"/>
        <w:overflowPunct w:val="0"/>
        <w:spacing w:line="535" w:lineRule="exact"/>
        <w:ind w:firstLine="480" w:firstLineChars="200"/>
        <w:rPr>
          <w:rStyle w:val="26"/>
          <w:rFonts w:hint="eastAsia" w:ascii="仿宋" w:hAnsi="仿宋" w:eastAsia="仿宋" w:cs="仿宋"/>
          <w:color w:val="auto"/>
          <w:sz w:val="24"/>
          <w:szCs w:val="24"/>
          <w:highlight w:val="none"/>
          <w:lang w:eastAsia="zh-CN"/>
        </w:rPr>
      </w:pPr>
      <w:r>
        <w:rPr>
          <w:rStyle w:val="26"/>
          <w:rFonts w:hint="eastAsia" w:ascii="仿宋" w:hAnsi="仿宋" w:eastAsia="仿宋" w:cs="仿宋"/>
          <w:color w:val="auto"/>
          <w:sz w:val="24"/>
          <w:szCs w:val="24"/>
          <w:highlight w:val="none"/>
          <w:lang w:eastAsia="zh-CN"/>
        </w:rPr>
        <w:t>法人代表</w:t>
      </w:r>
      <w:r>
        <w:rPr>
          <w:rStyle w:val="26"/>
          <w:rFonts w:hint="eastAsia" w:ascii="仿宋" w:hAnsi="仿宋" w:eastAsia="仿宋" w:cs="仿宋"/>
          <w:color w:val="auto"/>
          <w:sz w:val="24"/>
          <w:szCs w:val="24"/>
          <w:highlight w:val="none"/>
        </w:rPr>
        <w:t>：</w:t>
      </w:r>
      <w:r>
        <w:rPr>
          <w:rStyle w:val="26"/>
          <w:rFonts w:hint="eastAsia" w:ascii="仿宋" w:hAnsi="仿宋" w:eastAsia="仿宋" w:cs="仿宋"/>
          <w:color w:val="auto"/>
          <w:sz w:val="24"/>
          <w:szCs w:val="24"/>
          <w:highlight w:val="none"/>
          <w:lang w:eastAsia="zh-CN"/>
        </w:rPr>
        <w:t>罗坤</w:t>
      </w:r>
    </w:p>
    <w:p w14:paraId="1B87E685">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电话传真：0991-4324139</w:t>
      </w:r>
    </w:p>
    <w:p w14:paraId="4C32F231">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电子邮箱：无</w:t>
      </w:r>
    </w:p>
    <w:p w14:paraId="133957BB">
      <w:pPr>
        <w:pStyle w:val="40"/>
        <w:overflowPunct w:val="0"/>
        <w:spacing w:line="535" w:lineRule="exact"/>
        <w:ind w:firstLine="480" w:firstLineChars="200"/>
        <w:rPr>
          <w:rStyle w:val="26"/>
          <w:rFonts w:hint="eastAsia" w:ascii="仿宋" w:hAnsi="仿宋" w:eastAsia="仿宋" w:cs="仿宋"/>
          <w:color w:val="auto"/>
          <w:sz w:val="24"/>
          <w:szCs w:val="24"/>
          <w:highlight w:val="none"/>
        </w:rPr>
      </w:pPr>
    </w:p>
    <w:p w14:paraId="3C7D80D5">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乙方确认通讯地址：</w:t>
      </w:r>
    </w:p>
    <w:p w14:paraId="083E73FD">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负责人：</w:t>
      </w:r>
    </w:p>
    <w:p w14:paraId="426F2C49">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电话传真：</w:t>
      </w:r>
    </w:p>
    <w:p w14:paraId="6E038B7C">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电子邮箱：</w:t>
      </w:r>
    </w:p>
    <w:p w14:paraId="1FED43F0">
      <w:pPr>
        <w:pStyle w:val="40"/>
        <w:overflowPunct w:val="0"/>
        <w:spacing w:line="535" w:lineRule="exact"/>
        <w:ind w:firstLine="480" w:firstLineChars="200"/>
        <w:rPr>
          <w:rStyle w:val="26"/>
          <w:rFonts w:hint="eastAsia" w:ascii="仿宋" w:hAnsi="仿宋" w:eastAsia="仿宋" w:cs="仿宋"/>
          <w:color w:val="auto"/>
          <w:sz w:val="24"/>
          <w:szCs w:val="24"/>
          <w:highlight w:val="none"/>
        </w:rPr>
      </w:pPr>
    </w:p>
    <w:p w14:paraId="31B02AD9">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3BAA2453">
      <w:pPr>
        <w:pStyle w:val="40"/>
        <w:overflowPunct w:val="0"/>
        <w:spacing w:line="535" w:lineRule="exact"/>
        <w:ind w:firstLine="480" w:firstLineChars="200"/>
        <w:rPr>
          <w:rStyle w:val="26"/>
          <w:rFonts w:hint="eastAsia" w:ascii="仿宋" w:hAnsi="仿宋" w:eastAsia="仿宋" w:cs="仿宋"/>
          <w:color w:val="auto"/>
          <w:sz w:val="24"/>
          <w:szCs w:val="24"/>
          <w:highlight w:val="none"/>
        </w:rPr>
      </w:pPr>
      <w:r>
        <w:rPr>
          <w:rStyle w:val="26"/>
          <w:rFonts w:hint="eastAsia" w:ascii="仿宋" w:hAnsi="仿宋" w:eastAsia="仿宋" w:cs="仿宋"/>
          <w:color w:val="auto"/>
          <w:sz w:val="24"/>
          <w:szCs w:val="24"/>
          <w:highlight w:val="none"/>
        </w:rPr>
        <w:t>2.如果一方故意拒收、找他人代收、邮件被退回或以其他理由逃避接收文件的，所有文书自发出之日视为送达。</w:t>
      </w:r>
    </w:p>
    <w:p w14:paraId="5FBFE6EF">
      <w:pPr>
        <w:pStyle w:val="40"/>
        <w:overflowPunct w:val="0"/>
        <w:spacing w:line="535" w:lineRule="exact"/>
        <w:ind w:firstLine="480" w:firstLineChars="200"/>
        <w:rPr>
          <w:rStyle w:val="26"/>
          <w:rFonts w:hint="eastAsia" w:ascii="仿宋" w:hAnsi="仿宋" w:eastAsia="仿宋" w:cs="仿宋"/>
          <w:color w:val="auto"/>
          <w:sz w:val="28"/>
          <w:szCs w:val="28"/>
          <w:highlight w:val="none"/>
        </w:rPr>
      </w:pPr>
      <w:r>
        <w:rPr>
          <w:rStyle w:val="26"/>
          <w:rFonts w:hint="eastAsia" w:ascii="仿宋" w:hAnsi="仿宋" w:eastAsia="仿宋" w:cs="仿宋"/>
          <w:color w:val="auto"/>
          <w:sz w:val="24"/>
          <w:szCs w:val="24"/>
          <w:highlight w:val="none"/>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53D9523C">
      <w:pPr>
        <w:pStyle w:val="40"/>
        <w:overflowPunct w:val="0"/>
        <w:spacing w:line="535" w:lineRule="exact"/>
        <w:ind w:firstLine="560" w:firstLineChars="200"/>
        <w:rPr>
          <w:rStyle w:val="26"/>
          <w:rFonts w:hint="eastAsia" w:ascii="仿宋" w:hAnsi="仿宋" w:eastAsia="仿宋" w:cs="仿宋"/>
          <w:color w:val="auto"/>
          <w:sz w:val="28"/>
          <w:szCs w:val="28"/>
          <w:highlight w:val="none"/>
        </w:rPr>
      </w:pPr>
    </w:p>
    <w:p w14:paraId="6B90A605">
      <w:pPr>
        <w:pStyle w:val="40"/>
        <w:overflowPunct w:val="0"/>
        <w:spacing w:line="535" w:lineRule="exact"/>
        <w:ind w:firstLine="560" w:firstLineChars="200"/>
        <w:rPr>
          <w:rStyle w:val="26"/>
          <w:rFonts w:hint="eastAsia" w:ascii="仿宋" w:hAnsi="仿宋" w:eastAsia="仿宋" w:cs="仿宋"/>
          <w:color w:val="auto"/>
          <w:sz w:val="28"/>
          <w:szCs w:val="28"/>
          <w:highlight w:val="none"/>
        </w:rPr>
      </w:pPr>
    </w:p>
    <w:p w14:paraId="3BBF6ECF">
      <w:pPr>
        <w:pStyle w:val="40"/>
        <w:overflowPunct w:val="0"/>
        <w:spacing w:line="535" w:lineRule="exact"/>
        <w:ind w:firstLine="560" w:firstLineChars="200"/>
        <w:rPr>
          <w:rStyle w:val="26"/>
          <w:rFonts w:hint="eastAsia" w:ascii="仿宋" w:hAnsi="仿宋" w:eastAsia="仿宋" w:cs="仿宋"/>
          <w:color w:val="auto"/>
          <w:sz w:val="28"/>
          <w:szCs w:val="28"/>
          <w:highlight w:val="none"/>
        </w:rPr>
      </w:pPr>
    </w:p>
    <w:tbl>
      <w:tblPr>
        <w:tblStyle w:val="22"/>
        <w:tblW w:w="9214" w:type="dxa"/>
        <w:jc w:val="center"/>
        <w:tblLayout w:type="fixed"/>
        <w:tblCellMar>
          <w:top w:w="0" w:type="dxa"/>
          <w:left w:w="108" w:type="dxa"/>
          <w:bottom w:w="0" w:type="dxa"/>
          <w:right w:w="108" w:type="dxa"/>
        </w:tblCellMar>
      </w:tblPr>
      <w:tblGrid>
        <w:gridCol w:w="4792"/>
        <w:gridCol w:w="4422"/>
      </w:tblGrid>
      <w:tr w14:paraId="5D757C83">
        <w:tblPrEx>
          <w:tblCellMar>
            <w:top w:w="0" w:type="dxa"/>
            <w:left w:w="108" w:type="dxa"/>
            <w:bottom w:w="0" w:type="dxa"/>
            <w:right w:w="108" w:type="dxa"/>
          </w:tblCellMar>
        </w:tblPrEx>
        <w:trPr>
          <w:trHeight w:val="369" w:hRule="atLeast"/>
          <w:jc w:val="center"/>
        </w:trPr>
        <w:tc>
          <w:tcPr>
            <w:tcW w:w="4792" w:type="dxa"/>
            <w:noWrap w:val="0"/>
            <w:vAlign w:val="center"/>
          </w:tcPr>
          <w:p w14:paraId="54164BDF">
            <w:pPr>
              <w:pStyle w:val="40"/>
              <w:overflowPunct w:val="0"/>
              <w:rPr>
                <w:rStyle w:val="26"/>
                <w:rFonts w:hint="eastAsia" w:ascii="仿宋" w:hAnsi="仿宋" w:eastAsia="仿宋" w:cs="仿宋"/>
                <w:caps/>
                <w:color w:val="auto"/>
                <w:spacing w:val="10"/>
                <w:sz w:val="24"/>
                <w:szCs w:val="24"/>
                <w:highlight w:val="none"/>
              </w:rPr>
            </w:pPr>
            <w:r>
              <w:rPr>
                <w:rStyle w:val="26"/>
                <w:rFonts w:hint="eastAsia" w:ascii="仿宋" w:hAnsi="仿宋" w:eastAsia="仿宋" w:cs="仿宋"/>
                <w:caps/>
                <w:color w:val="auto"/>
                <w:spacing w:val="10"/>
                <w:sz w:val="24"/>
                <w:szCs w:val="24"/>
                <w:highlight w:val="none"/>
              </w:rPr>
              <w:t>甲方：新疆医科大学第一附属医院</w:t>
            </w:r>
          </w:p>
          <w:p w14:paraId="78AD88D2">
            <w:pPr>
              <w:pStyle w:val="40"/>
              <w:tabs>
                <w:tab w:val="left" w:pos="1828"/>
              </w:tabs>
              <w:overflowPunct w:val="0"/>
              <w:rPr>
                <w:rStyle w:val="26"/>
                <w:rFonts w:hint="eastAsia" w:ascii="仿宋" w:hAnsi="仿宋" w:eastAsia="仿宋" w:cs="仿宋"/>
                <w:caps/>
                <w:color w:val="auto"/>
                <w:spacing w:val="10"/>
                <w:sz w:val="24"/>
                <w:szCs w:val="24"/>
                <w:highlight w:val="none"/>
              </w:rPr>
            </w:pPr>
            <w:r>
              <w:rPr>
                <w:rStyle w:val="26"/>
                <w:rFonts w:hint="eastAsia" w:ascii="仿宋" w:hAnsi="仿宋" w:eastAsia="仿宋" w:cs="仿宋"/>
                <w:caps/>
                <w:color w:val="auto"/>
                <w:spacing w:val="10"/>
                <w:sz w:val="24"/>
                <w:szCs w:val="24"/>
                <w:highlight w:val="none"/>
              </w:rPr>
              <w:t xml:space="preserve">           （盖章）</w:t>
            </w:r>
          </w:p>
        </w:tc>
        <w:tc>
          <w:tcPr>
            <w:tcW w:w="4422" w:type="dxa"/>
            <w:noWrap w:val="0"/>
            <w:vAlign w:val="center"/>
          </w:tcPr>
          <w:p w14:paraId="4374EDAB">
            <w:pPr>
              <w:pStyle w:val="40"/>
              <w:overflowPunct w:val="0"/>
              <w:rPr>
                <w:rStyle w:val="26"/>
                <w:rFonts w:hint="eastAsia" w:ascii="仿宋" w:hAnsi="仿宋" w:eastAsia="仿宋" w:cs="仿宋"/>
                <w:caps/>
                <w:color w:val="auto"/>
                <w:spacing w:val="10"/>
                <w:sz w:val="24"/>
                <w:szCs w:val="24"/>
                <w:highlight w:val="none"/>
              </w:rPr>
            </w:pPr>
            <w:r>
              <w:rPr>
                <w:rStyle w:val="26"/>
                <w:rFonts w:hint="eastAsia" w:ascii="仿宋" w:hAnsi="仿宋" w:eastAsia="仿宋" w:cs="仿宋"/>
                <w:caps/>
                <w:color w:val="auto"/>
                <w:spacing w:val="10"/>
                <w:sz w:val="24"/>
                <w:szCs w:val="24"/>
                <w:highlight w:val="none"/>
              </w:rPr>
              <w:t>乙方：</w:t>
            </w:r>
          </w:p>
          <w:p w14:paraId="77C32897">
            <w:pPr>
              <w:pStyle w:val="40"/>
              <w:overflowPunct w:val="0"/>
              <w:rPr>
                <w:rStyle w:val="26"/>
                <w:rFonts w:hint="eastAsia" w:ascii="仿宋" w:hAnsi="仿宋" w:eastAsia="仿宋" w:cs="仿宋"/>
                <w:caps/>
                <w:color w:val="auto"/>
                <w:spacing w:val="10"/>
                <w:sz w:val="24"/>
                <w:szCs w:val="24"/>
                <w:highlight w:val="none"/>
              </w:rPr>
            </w:pPr>
            <w:r>
              <w:rPr>
                <w:rStyle w:val="26"/>
                <w:rFonts w:hint="eastAsia" w:ascii="仿宋" w:hAnsi="仿宋" w:eastAsia="仿宋" w:cs="仿宋"/>
                <w:caps/>
                <w:color w:val="auto"/>
                <w:spacing w:val="10"/>
                <w:sz w:val="24"/>
                <w:szCs w:val="24"/>
                <w:highlight w:val="none"/>
              </w:rPr>
              <w:t xml:space="preserve">          （盖章）</w:t>
            </w:r>
          </w:p>
        </w:tc>
      </w:tr>
      <w:tr w14:paraId="0EB94632">
        <w:tblPrEx>
          <w:tblCellMar>
            <w:top w:w="0" w:type="dxa"/>
            <w:left w:w="108" w:type="dxa"/>
            <w:bottom w:w="0" w:type="dxa"/>
            <w:right w:w="108" w:type="dxa"/>
          </w:tblCellMar>
        </w:tblPrEx>
        <w:trPr>
          <w:trHeight w:val="1195" w:hRule="atLeast"/>
          <w:jc w:val="center"/>
        </w:trPr>
        <w:tc>
          <w:tcPr>
            <w:tcW w:w="4792" w:type="dxa"/>
            <w:noWrap w:val="0"/>
            <w:vAlign w:val="center"/>
          </w:tcPr>
          <w:p w14:paraId="4EA28805">
            <w:pPr>
              <w:pStyle w:val="40"/>
              <w:overflowPunct w:val="0"/>
              <w:rPr>
                <w:rStyle w:val="26"/>
                <w:rFonts w:hint="eastAsia" w:ascii="仿宋" w:hAnsi="仿宋" w:eastAsia="仿宋" w:cs="仿宋"/>
                <w:caps/>
                <w:color w:val="auto"/>
                <w:spacing w:val="10"/>
                <w:sz w:val="24"/>
                <w:szCs w:val="24"/>
                <w:highlight w:val="none"/>
              </w:rPr>
            </w:pPr>
            <w:r>
              <w:rPr>
                <w:rStyle w:val="26"/>
                <w:rFonts w:hint="eastAsia" w:ascii="仿宋" w:hAnsi="仿宋" w:eastAsia="仿宋" w:cs="仿宋"/>
                <w:caps/>
                <w:color w:val="auto"/>
                <w:spacing w:val="10"/>
                <w:sz w:val="24"/>
                <w:szCs w:val="24"/>
                <w:highlight w:val="none"/>
              </w:rPr>
              <w:t>法人代表：</w:t>
            </w:r>
          </w:p>
        </w:tc>
        <w:tc>
          <w:tcPr>
            <w:tcW w:w="4422" w:type="dxa"/>
            <w:noWrap w:val="0"/>
            <w:vAlign w:val="center"/>
          </w:tcPr>
          <w:p w14:paraId="428E205F">
            <w:pPr>
              <w:pStyle w:val="40"/>
              <w:overflowPunct w:val="0"/>
              <w:rPr>
                <w:rStyle w:val="26"/>
                <w:rFonts w:hint="eastAsia" w:ascii="仿宋" w:hAnsi="仿宋" w:eastAsia="仿宋" w:cs="仿宋"/>
                <w:caps/>
                <w:color w:val="auto"/>
                <w:spacing w:val="10"/>
                <w:sz w:val="24"/>
                <w:szCs w:val="24"/>
                <w:highlight w:val="none"/>
              </w:rPr>
            </w:pPr>
            <w:r>
              <w:rPr>
                <w:rStyle w:val="26"/>
                <w:rFonts w:hint="eastAsia" w:ascii="仿宋" w:hAnsi="仿宋" w:eastAsia="仿宋" w:cs="仿宋"/>
                <w:caps/>
                <w:color w:val="auto"/>
                <w:spacing w:val="10"/>
                <w:sz w:val="24"/>
                <w:szCs w:val="24"/>
                <w:highlight w:val="none"/>
              </w:rPr>
              <w:t>法人代表：</w:t>
            </w:r>
          </w:p>
        </w:tc>
      </w:tr>
      <w:tr w14:paraId="187119F6">
        <w:tblPrEx>
          <w:tblCellMar>
            <w:top w:w="0" w:type="dxa"/>
            <w:left w:w="108" w:type="dxa"/>
            <w:bottom w:w="0" w:type="dxa"/>
            <w:right w:w="108" w:type="dxa"/>
          </w:tblCellMar>
        </w:tblPrEx>
        <w:trPr>
          <w:trHeight w:val="278" w:hRule="atLeast"/>
          <w:jc w:val="center"/>
        </w:trPr>
        <w:tc>
          <w:tcPr>
            <w:tcW w:w="4792" w:type="dxa"/>
            <w:noWrap w:val="0"/>
            <w:vAlign w:val="center"/>
          </w:tcPr>
          <w:p w14:paraId="6F267B49">
            <w:pPr>
              <w:pStyle w:val="40"/>
              <w:tabs>
                <w:tab w:val="left" w:pos="720"/>
              </w:tabs>
              <w:overflowPunct w:val="0"/>
              <w:rPr>
                <w:rStyle w:val="26"/>
                <w:rFonts w:hint="eastAsia" w:ascii="仿宋" w:hAnsi="仿宋" w:eastAsia="仿宋" w:cs="仿宋"/>
                <w:caps/>
                <w:color w:val="auto"/>
                <w:spacing w:val="10"/>
                <w:sz w:val="24"/>
                <w:szCs w:val="24"/>
                <w:highlight w:val="none"/>
              </w:rPr>
            </w:pPr>
          </w:p>
        </w:tc>
        <w:tc>
          <w:tcPr>
            <w:tcW w:w="4422" w:type="dxa"/>
            <w:noWrap w:val="0"/>
            <w:vAlign w:val="center"/>
          </w:tcPr>
          <w:p w14:paraId="07658996">
            <w:pPr>
              <w:pStyle w:val="40"/>
              <w:overflowPunct w:val="0"/>
              <w:rPr>
                <w:rStyle w:val="26"/>
                <w:rFonts w:hint="eastAsia" w:ascii="仿宋" w:hAnsi="仿宋" w:eastAsia="仿宋" w:cs="仿宋"/>
                <w:caps/>
                <w:color w:val="auto"/>
                <w:spacing w:val="10"/>
                <w:sz w:val="24"/>
                <w:szCs w:val="24"/>
                <w:highlight w:val="none"/>
              </w:rPr>
            </w:pPr>
          </w:p>
        </w:tc>
      </w:tr>
      <w:tr w14:paraId="66F5138B">
        <w:tblPrEx>
          <w:tblCellMar>
            <w:top w:w="0" w:type="dxa"/>
            <w:left w:w="108" w:type="dxa"/>
            <w:bottom w:w="0" w:type="dxa"/>
            <w:right w:w="108" w:type="dxa"/>
          </w:tblCellMar>
        </w:tblPrEx>
        <w:trPr>
          <w:trHeight w:val="760" w:hRule="atLeast"/>
          <w:jc w:val="center"/>
        </w:trPr>
        <w:tc>
          <w:tcPr>
            <w:tcW w:w="4792" w:type="dxa"/>
            <w:noWrap w:val="0"/>
            <w:vAlign w:val="center"/>
          </w:tcPr>
          <w:p w14:paraId="1A706078">
            <w:pPr>
              <w:pStyle w:val="40"/>
              <w:overflowPunct w:val="0"/>
              <w:rPr>
                <w:rFonts w:hint="eastAsia" w:ascii="仿宋" w:hAnsi="仿宋" w:eastAsia="仿宋" w:cs="仿宋"/>
                <w:caps/>
                <w:color w:val="auto"/>
                <w:spacing w:val="10"/>
                <w:sz w:val="24"/>
                <w:szCs w:val="24"/>
                <w:highlight w:val="none"/>
                <w:lang w:val="zh-TW"/>
              </w:rPr>
            </w:pPr>
            <w:r>
              <w:rPr>
                <w:rStyle w:val="26"/>
                <w:rFonts w:hint="eastAsia" w:ascii="仿宋" w:hAnsi="仿宋" w:eastAsia="仿宋" w:cs="仿宋"/>
                <w:caps/>
                <w:color w:val="auto"/>
                <w:spacing w:val="10"/>
                <w:sz w:val="24"/>
                <w:szCs w:val="24"/>
                <w:highlight w:val="none"/>
              </w:rPr>
              <w:t>日期：      年    月    日</w:t>
            </w:r>
          </w:p>
        </w:tc>
        <w:tc>
          <w:tcPr>
            <w:tcW w:w="4422" w:type="dxa"/>
            <w:noWrap w:val="0"/>
            <w:vAlign w:val="center"/>
          </w:tcPr>
          <w:p w14:paraId="4C0F603B">
            <w:pPr>
              <w:pStyle w:val="40"/>
              <w:overflowPunct w:val="0"/>
              <w:rPr>
                <w:rFonts w:hint="eastAsia" w:ascii="仿宋" w:hAnsi="仿宋" w:eastAsia="仿宋" w:cs="仿宋"/>
                <w:caps/>
                <w:color w:val="auto"/>
                <w:spacing w:val="10"/>
                <w:sz w:val="24"/>
                <w:szCs w:val="24"/>
                <w:highlight w:val="none"/>
                <w:lang w:val="zh-TW"/>
              </w:rPr>
            </w:pPr>
            <w:r>
              <w:rPr>
                <w:rStyle w:val="26"/>
                <w:rFonts w:hint="eastAsia" w:ascii="仿宋" w:hAnsi="仿宋" w:eastAsia="仿宋" w:cs="仿宋"/>
                <w:caps/>
                <w:color w:val="auto"/>
                <w:spacing w:val="10"/>
                <w:sz w:val="24"/>
                <w:szCs w:val="24"/>
                <w:highlight w:val="none"/>
              </w:rPr>
              <w:t>日期：      年    月    日</w:t>
            </w:r>
          </w:p>
        </w:tc>
      </w:tr>
    </w:tbl>
    <w:p w14:paraId="01B28CDC">
      <w:pPr>
        <w:pStyle w:val="40"/>
        <w:spacing w:before="312" w:beforeLines="100" w:after="200" w:line="360" w:lineRule="auto"/>
        <w:ind w:firstLine="720"/>
        <w:jc w:val="center"/>
        <w:rPr>
          <w:rStyle w:val="26"/>
          <w:rFonts w:hint="eastAsia" w:ascii="仿宋" w:hAnsi="仿宋" w:eastAsia="仿宋" w:cs="仿宋"/>
          <w:b/>
          <w:bCs/>
          <w:color w:val="auto"/>
          <w:sz w:val="36"/>
          <w:szCs w:val="36"/>
          <w:highlight w:val="none"/>
        </w:rPr>
      </w:pPr>
    </w:p>
    <w:p w14:paraId="0EEA2CE0">
      <w:pPr>
        <w:rPr>
          <w:rStyle w:val="26"/>
          <w:rFonts w:hint="eastAsia" w:ascii="仿宋" w:hAnsi="仿宋" w:eastAsia="仿宋" w:cs="仿宋"/>
          <w:b w:val="0"/>
          <w:bCs/>
          <w:color w:val="auto"/>
          <w:sz w:val="36"/>
          <w:szCs w:val="36"/>
          <w:highlight w:val="none"/>
        </w:rPr>
      </w:pPr>
      <w:r>
        <w:rPr>
          <w:rStyle w:val="26"/>
          <w:rFonts w:hint="eastAsia" w:ascii="仿宋" w:hAnsi="仿宋" w:eastAsia="仿宋" w:cs="仿宋"/>
          <w:b w:val="0"/>
          <w:bCs/>
          <w:color w:val="auto"/>
          <w:sz w:val="36"/>
          <w:szCs w:val="36"/>
          <w:highlight w:val="none"/>
        </w:rPr>
        <w:br w:type="page"/>
      </w:r>
    </w:p>
    <w:p w14:paraId="4B5953F9">
      <w:pPr>
        <w:jc w:val="center"/>
        <w:rPr>
          <w:rFonts w:hint="eastAsia" w:ascii="仿宋" w:hAnsi="仿宋" w:eastAsia="仿宋" w:cs="仿宋"/>
          <w:b w:val="0"/>
          <w:color w:val="auto"/>
          <w:sz w:val="32"/>
          <w:szCs w:val="32"/>
          <w:highlight w:val="none"/>
        </w:rPr>
      </w:pPr>
      <w:r>
        <w:rPr>
          <w:rFonts w:hint="eastAsia" w:ascii="仿宋" w:hAnsi="仿宋" w:eastAsia="仿宋" w:cs="仿宋"/>
          <w:b w:val="0"/>
          <w:color w:val="auto"/>
          <w:sz w:val="32"/>
          <w:szCs w:val="32"/>
          <w:highlight w:val="none"/>
        </w:rPr>
        <w:t>医疗卫生机构医药产品廉洁购销承诺</w:t>
      </w:r>
    </w:p>
    <w:p w14:paraId="3CCDEDEF">
      <w:pPr>
        <w:rPr>
          <w:rFonts w:hint="eastAsia" w:ascii="仿宋" w:hAnsi="仿宋" w:eastAsia="仿宋" w:cs="仿宋"/>
          <w:b w:val="0"/>
          <w:color w:val="auto"/>
          <w:sz w:val="24"/>
          <w:szCs w:val="24"/>
          <w:highlight w:val="none"/>
        </w:rPr>
      </w:pPr>
    </w:p>
    <w:p w14:paraId="6BDE0278">
      <w:pPr>
        <w:keepNext w:val="0"/>
        <w:keepLines w:val="0"/>
        <w:pageBreakBefore w:val="0"/>
        <w:widowControl w:val="0"/>
        <w:suppressAutoHyphens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一、甲乙双方按照《民法典》及医药产品购销合同约定购销药品、医用设备、医用耗材等医药产品。</w:t>
      </w:r>
    </w:p>
    <w:p w14:paraId="504BFA3A">
      <w:pPr>
        <w:keepNext w:val="0"/>
        <w:keepLines w:val="0"/>
        <w:pageBreakBefore w:val="0"/>
        <w:widowControl w:val="0"/>
        <w:suppressAutoHyphens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二、甲方应当严格执行医药产品购销合同验收、入库制度，对采购医药产品及发票进行查验，不得违反有关规定合同外采购、违价采购或从非规定渠道采购。</w:t>
      </w:r>
    </w:p>
    <w:p w14:paraId="5D24E937">
      <w:pPr>
        <w:keepNext w:val="0"/>
        <w:keepLines w:val="0"/>
        <w:pageBreakBefore w:val="0"/>
        <w:widowControl w:val="0"/>
        <w:suppressAutoHyphens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213555F">
      <w:pPr>
        <w:keepNext w:val="0"/>
        <w:keepLines w:val="0"/>
        <w:pageBreakBefore w:val="0"/>
        <w:widowControl w:val="0"/>
        <w:suppressAutoHyphens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四、严禁甲方工作人员利用任何途径和方式，为乙方统计医师个人及临床科室有关医药产品用量信息，或为乙方统计提供便利。</w:t>
      </w:r>
    </w:p>
    <w:p w14:paraId="0AD9FD48">
      <w:pPr>
        <w:keepNext w:val="0"/>
        <w:keepLines w:val="0"/>
        <w:pageBreakBefore w:val="0"/>
        <w:widowControl w:val="0"/>
        <w:suppressAutoHyphens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五、乙方不得以回扣、宴请等方式影响甲方工作人员采购或使用医药产品的选择权，不得在学术活动中提供旅游、超标准支付食宿费用。</w:t>
      </w:r>
    </w:p>
    <w:p w14:paraId="5C983053">
      <w:pPr>
        <w:keepNext w:val="0"/>
        <w:keepLines w:val="0"/>
        <w:pageBreakBefore w:val="0"/>
        <w:widowControl w:val="0"/>
        <w:suppressAutoHyphens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3B5FDF5">
      <w:pPr>
        <w:keepNext w:val="0"/>
        <w:keepLines w:val="0"/>
        <w:pageBreakBefore w:val="0"/>
        <w:widowControl w:val="0"/>
        <w:suppressAutoHyphens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b w:val="0"/>
          <w:color w:val="auto"/>
          <w:sz w:val="24"/>
          <w:szCs w:val="24"/>
          <w:highlight w:val="none"/>
          <w:shd w:val="clear" w:color="auto" w:fill="FFFFFF"/>
        </w:rPr>
        <w:t>（国卫法制发〔2013〕50号）</w:t>
      </w:r>
      <w:r>
        <w:rPr>
          <w:rFonts w:hint="eastAsia" w:ascii="仿宋" w:hAnsi="仿宋" w:eastAsia="仿宋" w:cs="仿宋"/>
          <w:b w:val="0"/>
          <w:color w:val="auto"/>
          <w:sz w:val="24"/>
          <w:szCs w:val="24"/>
          <w:highlight w:val="none"/>
        </w:rPr>
        <w:t>相关规定处理。</w:t>
      </w:r>
    </w:p>
    <w:p w14:paraId="37198A16">
      <w:pPr>
        <w:keepNext w:val="0"/>
        <w:keepLines w:val="0"/>
        <w:pageBreakBefore w:val="0"/>
        <w:widowControl w:val="0"/>
        <w:suppressAutoHyphens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 w:val="0"/>
          <w:color w:val="auto"/>
          <w:sz w:val="24"/>
          <w:szCs w:val="24"/>
          <w:highlight w:val="none"/>
        </w:rPr>
      </w:pPr>
    </w:p>
    <w:p w14:paraId="7C0A0B30">
      <w:pPr>
        <w:spacing w:line="360" w:lineRule="auto"/>
        <w:rPr>
          <w:rFonts w:hint="eastAsia" w:ascii="仿宋" w:hAnsi="仿宋" w:eastAsia="仿宋" w:cs="仿宋"/>
          <w:b w:val="0"/>
          <w:color w:val="auto"/>
          <w:sz w:val="24"/>
          <w:szCs w:val="24"/>
          <w:highlight w:val="none"/>
        </w:rPr>
      </w:pPr>
    </w:p>
    <w:p w14:paraId="50916CE7">
      <w:pPr>
        <w:spacing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乙方（盖章）：</w:t>
      </w:r>
    </w:p>
    <w:p w14:paraId="241CF7B0">
      <w:pPr>
        <w:spacing w:line="360" w:lineRule="auto"/>
        <w:rPr>
          <w:rFonts w:hint="eastAsia" w:ascii="仿宋" w:hAnsi="仿宋" w:eastAsia="仿宋" w:cs="仿宋"/>
          <w:b w:val="0"/>
          <w:color w:val="auto"/>
          <w:sz w:val="24"/>
          <w:szCs w:val="24"/>
          <w:highlight w:val="none"/>
        </w:rPr>
      </w:pPr>
    </w:p>
    <w:p w14:paraId="76582463">
      <w:pPr>
        <w:spacing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法定代表人（负责人）：</w:t>
      </w:r>
    </w:p>
    <w:p w14:paraId="40A3AC49">
      <w:pPr>
        <w:spacing w:line="360" w:lineRule="auto"/>
        <w:jc w:val="right"/>
        <w:rPr>
          <w:rFonts w:hint="eastAsia" w:ascii="仿宋" w:hAnsi="仿宋" w:eastAsia="仿宋" w:cs="仿宋"/>
          <w:b w:val="0"/>
          <w:color w:val="auto"/>
          <w:sz w:val="24"/>
          <w:szCs w:val="24"/>
          <w:highlight w:val="none"/>
        </w:rPr>
      </w:pPr>
    </w:p>
    <w:p w14:paraId="0359E1E7">
      <w:pPr>
        <w:pStyle w:val="40"/>
        <w:spacing w:before="312" w:beforeLines="100" w:after="200" w:line="360" w:lineRule="auto"/>
        <w:ind w:firstLine="720"/>
        <w:rPr>
          <w:rStyle w:val="26"/>
          <w:rFonts w:hint="eastAsia" w:ascii="仿宋" w:hAnsi="仿宋" w:eastAsia="仿宋" w:cs="仿宋"/>
          <w:bCs/>
          <w:color w:val="auto"/>
          <w:sz w:val="32"/>
          <w:szCs w:val="32"/>
          <w:highlight w:val="none"/>
        </w:rPr>
      </w:pPr>
      <w:r>
        <w:rPr>
          <w:rFonts w:hint="eastAsia" w:ascii="仿宋" w:hAnsi="仿宋" w:eastAsia="仿宋" w:cs="仿宋"/>
          <w:color w:val="auto"/>
          <w:sz w:val="24"/>
          <w:szCs w:val="24"/>
          <w:highlight w:val="none"/>
        </w:rPr>
        <w:t xml:space="preserve">                                    年     月     日 </w:t>
      </w:r>
    </w:p>
    <w:p w14:paraId="3C1EB0B2">
      <w:pPr>
        <w:rPr>
          <w:rFonts w:hint="eastAsia" w:ascii="仿宋" w:hAnsi="仿宋" w:eastAsia="仿宋" w:cs="仿宋"/>
          <w:lang w:val="en-US" w:eastAsia="zh-CN"/>
        </w:rPr>
      </w:pPr>
      <w:r>
        <w:rPr>
          <w:rFonts w:hint="eastAsia" w:ascii="仿宋" w:hAnsi="仿宋" w:eastAsia="仿宋" w:cs="仿宋"/>
          <w:lang w:val="en-US" w:eastAsia="zh-CN"/>
        </w:rPr>
        <w:br w:type="page"/>
      </w:r>
    </w:p>
    <w:p w14:paraId="22507F42">
      <w:pPr>
        <w:pStyle w:val="2"/>
        <w:numPr>
          <w:ilvl w:val="0"/>
          <w:numId w:val="1"/>
        </w:numPr>
        <w:bidi w:val="0"/>
        <w:jc w:val="center"/>
        <w:rPr>
          <w:rFonts w:hint="eastAsia" w:ascii="仿宋" w:hAnsi="仿宋" w:eastAsia="仿宋" w:cs="仿宋"/>
          <w:sz w:val="32"/>
          <w:szCs w:val="32"/>
          <w:highlight w:val="none"/>
          <w:lang w:val="en-US" w:eastAsia="zh-CN"/>
        </w:rPr>
      </w:pPr>
      <w:bookmarkStart w:id="17" w:name="_Toc20159"/>
      <w:r>
        <w:rPr>
          <w:rFonts w:hint="eastAsia" w:ascii="仿宋" w:hAnsi="仿宋" w:eastAsia="仿宋" w:cs="仿宋"/>
          <w:sz w:val="32"/>
          <w:szCs w:val="32"/>
          <w:highlight w:val="none"/>
          <w:lang w:val="en-US" w:eastAsia="zh-CN"/>
        </w:rPr>
        <w:t>采购需求</w:t>
      </w:r>
      <w:bookmarkEnd w:id="17"/>
    </w:p>
    <w:tbl>
      <w:tblPr>
        <w:tblStyle w:val="22"/>
        <w:tblW w:w="8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
        <w:gridCol w:w="1672"/>
        <w:gridCol w:w="1471"/>
        <w:gridCol w:w="1757"/>
        <w:gridCol w:w="1814"/>
        <w:gridCol w:w="1072"/>
      </w:tblGrid>
      <w:tr w14:paraId="78C8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31" w:type="dxa"/>
            <w:tcBorders>
              <w:top w:val="single" w:color="000000" w:sz="4" w:space="0"/>
              <w:left w:val="single" w:color="000000" w:sz="4" w:space="0"/>
              <w:bottom w:val="single" w:color="000000" w:sz="4" w:space="0"/>
              <w:right w:val="single" w:color="000000" w:sz="4" w:space="0"/>
            </w:tcBorders>
            <w:noWrap w:val="0"/>
            <w:vAlign w:val="center"/>
          </w:tcPr>
          <w:p w14:paraId="79A1ED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237E58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055300A">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国产/进口</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4090A3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预计年采购金额(元)</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448F47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最高投标限价（单价/元）</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0332A9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单位</w:t>
            </w:r>
          </w:p>
        </w:tc>
      </w:tr>
      <w:tr w14:paraId="12EE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43F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09545">
            <w:pPr>
              <w:keepNext w:val="0"/>
              <w:keepLines w:val="0"/>
              <w:widowControl/>
              <w:suppressLineNumbers w:val="0"/>
              <w:tabs>
                <w:tab w:val="left" w:pos="431"/>
              </w:tabs>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过氧乙酸消毒液（一次性）</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917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国产</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FBA2">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200000.00</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315A2B4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rPr>
              <w:t>0.</w:t>
            </w:r>
            <w:r>
              <w:rPr>
                <w:rFonts w:hint="eastAsia" w:ascii="仿宋" w:hAnsi="仿宋" w:eastAsia="仿宋" w:cs="仿宋"/>
                <w:i w:val="0"/>
                <w:iCs w:val="0"/>
                <w:color w:val="auto"/>
                <w:sz w:val="24"/>
                <w:szCs w:val="24"/>
                <w:highlight w:val="none"/>
                <w:u w:val="none"/>
                <w:lang w:val="en-US" w:eastAsia="zh-CN"/>
              </w:rPr>
              <w:t>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DF62EA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sz w:val="24"/>
                <w:szCs w:val="24"/>
                <w:highlight w:val="none"/>
                <w:u w:val="none"/>
                <w:lang w:eastAsia="zh-CN"/>
              </w:rPr>
              <w:t>ml</w:t>
            </w:r>
          </w:p>
        </w:tc>
      </w:tr>
      <w:tr w14:paraId="10C3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7EBC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972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碘黏膜染色剂</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06A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国产</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0C6A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50000.00</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26ED8947">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6755EA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sz w:val="24"/>
                <w:szCs w:val="24"/>
                <w:highlight w:val="none"/>
                <w:u w:val="none"/>
                <w:lang w:val="en-US" w:eastAsia="zh-CN"/>
              </w:rPr>
              <w:t xml:space="preserve"> </w:t>
            </w:r>
            <w:r>
              <w:rPr>
                <w:rFonts w:hint="eastAsia" w:ascii="仿宋" w:hAnsi="仿宋" w:eastAsia="仿宋" w:cs="仿宋"/>
                <w:i w:val="0"/>
                <w:iCs w:val="0"/>
                <w:color w:val="auto"/>
                <w:sz w:val="24"/>
                <w:szCs w:val="24"/>
                <w:highlight w:val="none"/>
                <w:u w:val="none"/>
                <w:lang w:eastAsia="zh-CN"/>
              </w:rPr>
              <w:t>ml</w:t>
            </w:r>
          </w:p>
        </w:tc>
      </w:tr>
      <w:tr w14:paraId="451C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986E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610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靛胭脂黏膜染色剂</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C677">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国产</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11F8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50000.00</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1B54C511">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rPr>
              <w:t>7</w:t>
            </w:r>
            <w:r>
              <w:rPr>
                <w:rFonts w:hint="eastAsia" w:ascii="仿宋" w:hAnsi="仿宋" w:eastAsia="仿宋" w:cs="仿宋"/>
                <w:i w:val="0"/>
                <w:iCs w:val="0"/>
                <w:color w:val="auto"/>
                <w:sz w:val="24"/>
                <w:szCs w:val="24"/>
                <w:highlight w:val="none"/>
                <w:u w:val="none"/>
                <w:lang w:val="en-US" w:eastAsia="zh-CN"/>
              </w:rPr>
              <w:t>.3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A415B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 xml:space="preserve"> </w:t>
            </w:r>
            <w:r>
              <w:rPr>
                <w:rFonts w:hint="eastAsia" w:ascii="仿宋" w:hAnsi="仿宋" w:eastAsia="仿宋" w:cs="仿宋"/>
                <w:i w:val="0"/>
                <w:iCs w:val="0"/>
                <w:color w:val="auto"/>
                <w:sz w:val="24"/>
                <w:szCs w:val="24"/>
                <w:highlight w:val="none"/>
                <w:u w:val="none"/>
                <w:lang w:eastAsia="zh-CN"/>
              </w:rPr>
              <w:t>ml</w:t>
            </w:r>
          </w:p>
        </w:tc>
      </w:tr>
    </w:tbl>
    <w:p w14:paraId="0877CBA7">
      <w:pPr>
        <w:spacing w:line="520" w:lineRule="exact"/>
        <w:jc w:val="left"/>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rPr>
        <w:t>备注：</w:t>
      </w:r>
      <w:r>
        <w:rPr>
          <w:rFonts w:hint="eastAsia" w:ascii="仿宋" w:hAnsi="仿宋" w:eastAsia="仿宋" w:cs="仿宋"/>
          <w:color w:val="auto"/>
          <w:sz w:val="24"/>
          <w:szCs w:val="22"/>
          <w:highlight w:val="none"/>
          <w:lang w:val="en-US" w:eastAsia="zh-CN"/>
        </w:rPr>
        <w:t>1、各供应商需对第五章采购需求清单中所要求的所有规格及内容进行报价，单价各产品所标明规格进行报价。</w:t>
      </w:r>
    </w:p>
    <w:p w14:paraId="07F66845">
      <w:pPr>
        <w:numPr>
          <w:ilvl w:val="0"/>
          <w:numId w:val="8"/>
        </w:numPr>
        <w:spacing w:line="520" w:lineRule="exact"/>
        <w:jc w:val="left"/>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上述清单中的规格描述仅做参考，若有描述偏差，以供应商所报对应规格名称为准(需与该产品注册证/备案凭证内产品信息一致），各供应商的</w:t>
      </w:r>
      <w:r>
        <w:rPr>
          <w:rFonts w:hint="eastAsia" w:ascii="仿宋" w:hAnsi="仿宋" w:eastAsia="仿宋" w:cs="仿宋"/>
          <w:color w:val="auto"/>
          <w:sz w:val="24"/>
          <w:szCs w:val="22"/>
          <w:highlight w:val="none"/>
        </w:rPr>
        <w:t>投标报价不得超过最高限价</w:t>
      </w:r>
      <w:r>
        <w:rPr>
          <w:rFonts w:hint="eastAsia" w:ascii="仿宋" w:hAnsi="仿宋" w:eastAsia="仿宋" w:cs="仿宋"/>
          <w:color w:val="auto"/>
          <w:sz w:val="24"/>
          <w:szCs w:val="22"/>
          <w:highlight w:val="none"/>
          <w:lang w:val="en-US" w:eastAsia="zh-CN"/>
        </w:rPr>
        <w:t>单价合计及单价限价。</w:t>
      </w:r>
    </w:p>
    <w:p w14:paraId="7B30B46F">
      <w:pPr>
        <w:numPr>
          <w:ilvl w:val="0"/>
          <w:numId w:val="0"/>
        </w:numPr>
        <w:spacing w:line="520" w:lineRule="exact"/>
        <w:jc w:val="left"/>
        <w:rPr>
          <w:rFonts w:hint="eastAsia" w:ascii="仿宋" w:hAnsi="仿宋" w:eastAsia="仿宋" w:cs="仿宋"/>
          <w:color w:val="auto"/>
          <w:sz w:val="24"/>
          <w:szCs w:val="22"/>
          <w:highlight w:val="none"/>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9"/>
        <w:gridCol w:w="1605"/>
        <w:gridCol w:w="6055"/>
      </w:tblGrid>
      <w:tr w14:paraId="4ADB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504" w:type="pct"/>
            <w:tcBorders>
              <w:top w:val="single" w:color="000000" w:sz="4" w:space="0"/>
              <w:left w:val="single" w:color="000000" w:sz="4" w:space="0"/>
              <w:bottom w:val="single" w:color="000000" w:sz="4" w:space="0"/>
              <w:right w:val="single" w:color="000000" w:sz="4" w:space="0"/>
            </w:tcBorders>
            <w:noWrap w:val="0"/>
            <w:vAlign w:val="center"/>
          </w:tcPr>
          <w:p w14:paraId="67AA2F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01B3E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2ECB13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产品用途和基本参数</w:t>
            </w:r>
          </w:p>
        </w:tc>
      </w:tr>
      <w:tr w14:paraId="7912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418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9A0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过氧乙酸消毒液（一次性）</w:t>
            </w:r>
          </w:p>
        </w:tc>
        <w:tc>
          <w:tcPr>
            <w:tcW w:w="35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2F67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1、适用于内镜及器械高水平消毒或灭菌。</w:t>
            </w:r>
          </w:p>
          <w:p w14:paraId="610BBBF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2、所投产品可与科室现有洗消设备配合使用，保证现有设备可正常运转，达到消毒或灭菌效果，兼容性问题中标方负责解决及承担由此产生的相关费用；</w:t>
            </w:r>
          </w:p>
          <w:p w14:paraId="0BE319D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3、产品无刺激性气味产生、性能稳定，使用过程中稀释率低，以保证消毒灭菌的有效性，使用后可直接排放，提供排放说明；</w:t>
            </w:r>
          </w:p>
          <w:p w14:paraId="646A71A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4、提供原厂浓度检测试纸，检测试纸有备案资质；</w:t>
            </w:r>
          </w:p>
          <w:p w14:paraId="5B5A1C7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5、提供主流内镜机洗、手洗高水平消毒模拟现场试验报告；</w:t>
            </w:r>
          </w:p>
          <w:p w14:paraId="34D2AC8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6、提供消毒液各品牌洗消机兼容性证明文件。</w:t>
            </w:r>
          </w:p>
          <w:p w14:paraId="73A3064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二、主要技术参数</w:t>
            </w:r>
          </w:p>
          <w:p w14:paraId="57DC576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1、产品规格：一元包装、一次性使用过氧乙酸，大于等于5L/桶。</w:t>
            </w:r>
          </w:p>
          <w:p w14:paraId="584C3A4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2、产品为原液稀释一洗一排非重复式使用，洗消机抽取原液纯水稀释比例：≤1:49，无需活化、无需加热，直接使用。</w:t>
            </w:r>
          </w:p>
          <w:p w14:paraId="326FB19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3、主要有效成分为过氧乙酸且过氧乙酸含量4.5%-5.5%，对内镜外表面无腐蚀性；</w:t>
            </w:r>
          </w:p>
          <w:p w14:paraId="5A0F2E4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4、产品可高效杀菌，能够对病毒、细菌、真菌和芽孢实现有效灭杀。杀菌作用快速，灭菌谱广。灭菌≤10分钟接触时间，高水平消毒≤5分钟接触时间。</w:t>
            </w:r>
          </w:p>
          <w:p w14:paraId="2C5F385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5、要求对内镜、医疗器械消毒灭菌最低使用有效浓度1000mg/L。</w:t>
            </w:r>
          </w:p>
          <w:p w14:paraId="6EC934C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6、可采用热力和过氧乙酸联合杀菌的新技术，降低过氧乙酸的使用浓度，缩短杀菌时间，节约内镜洗消时间，提高内镜使用周转率。</w:t>
            </w:r>
          </w:p>
          <w:p w14:paraId="6B0A053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7、可兼容各种主流品牌的内镜，因消毒液腐蚀或结晶等原因造成内镜损坏，按实际损失赔付；</w:t>
            </w:r>
          </w:p>
          <w:p w14:paraId="06E0A4D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8、可兼容各种主流品牌的自动消毒机，因消毒液腐蚀或结晶等原因造成设备损坏，按实际损失赔付；</w:t>
            </w:r>
          </w:p>
          <w:p w14:paraId="0D9C412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9、</w:t>
            </w:r>
            <w:r>
              <w:rPr>
                <w:rFonts w:hint="default" w:ascii="仿宋" w:hAnsi="仿宋" w:eastAsia="仿宋" w:cs="仿宋"/>
                <w:i w:val="0"/>
                <w:iCs w:val="0"/>
                <w:color w:val="auto"/>
                <w:sz w:val="24"/>
                <w:szCs w:val="24"/>
                <w:highlight w:val="none"/>
                <w:u w:val="none"/>
                <w:lang w:val="en-US" w:eastAsia="zh-CN"/>
              </w:rPr>
              <w:t>承担合同期内使用该消毒液的自动洗消设备的维保。</w:t>
            </w:r>
          </w:p>
        </w:tc>
      </w:tr>
      <w:tr w14:paraId="29CE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6941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90A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碘黏膜染色剂</w:t>
            </w:r>
          </w:p>
        </w:tc>
        <w:tc>
          <w:tcPr>
            <w:tcW w:w="35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FE124">
            <w:pPr>
              <w:keepNext w:val="0"/>
              <w:keepLines w:val="0"/>
              <w:widowControl/>
              <w:numPr>
                <w:ilvl w:val="0"/>
                <w:numId w:val="9"/>
              </w:numPr>
              <w:suppressLineNumbers w:val="0"/>
              <w:tabs>
                <w:tab w:val="left" w:pos="2654"/>
              </w:tabs>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碘黏膜染色剂由碘、碘化钾、注射用水组成；                                2、产品配合内镜检查使用，适用于食道黏膜病变部位染色；                          </w:t>
            </w:r>
          </w:p>
          <w:p w14:paraId="54F0CDF8">
            <w:pPr>
              <w:keepNext w:val="0"/>
              <w:keepLines w:val="0"/>
              <w:widowControl/>
              <w:numPr>
                <w:ilvl w:val="0"/>
                <w:numId w:val="0"/>
              </w:numPr>
              <w:suppressLineNumbers w:val="0"/>
              <w:tabs>
                <w:tab w:val="left" w:pos="2654"/>
              </w:tabs>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3、产品PH值3.0-7.0之间；                   </w:t>
            </w:r>
          </w:p>
          <w:p w14:paraId="589FF663">
            <w:pPr>
              <w:keepNext w:val="0"/>
              <w:keepLines w:val="0"/>
              <w:widowControl/>
              <w:suppressLineNumbers w:val="0"/>
              <w:tabs>
                <w:tab w:val="left" w:pos="2654"/>
              </w:tabs>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4、产品碘含量＞1.0%（g/ml）；         </w:t>
            </w:r>
          </w:p>
          <w:p w14:paraId="1A4BDF67">
            <w:pPr>
              <w:keepNext w:val="0"/>
              <w:keepLines w:val="0"/>
              <w:widowControl/>
              <w:suppressLineNumbers w:val="0"/>
              <w:tabs>
                <w:tab w:val="left" w:pos="2654"/>
              </w:tabs>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5、产品注射器需符合GB 15810-2001标准规定中的有关规定；                         </w:t>
            </w:r>
          </w:p>
          <w:p w14:paraId="33AD438F">
            <w:pPr>
              <w:keepNext w:val="0"/>
              <w:keepLines w:val="0"/>
              <w:widowControl/>
              <w:suppressLineNumbers w:val="0"/>
              <w:tabs>
                <w:tab w:val="left" w:pos="2654"/>
              </w:tabs>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6、产品所含重金属不得超过千万分之一；   </w:t>
            </w:r>
          </w:p>
          <w:p w14:paraId="74ABD009">
            <w:pPr>
              <w:keepNext w:val="0"/>
              <w:keepLines w:val="0"/>
              <w:widowControl/>
              <w:suppressLineNumbers w:val="0"/>
              <w:tabs>
                <w:tab w:val="left" w:pos="2654"/>
              </w:tabs>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7、产品为棕红色澄明液体，无肉眼可见杂质；                                   8、产品碘化钾含量为3.0%±0.6%；              </w:t>
            </w:r>
          </w:p>
          <w:p w14:paraId="65408F5E">
            <w:pPr>
              <w:keepNext w:val="0"/>
              <w:keepLines w:val="0"/>
              <w:widowControl/>
              <w:suppressLineNumbers w:val="0"/>
              <w:tabs>
                <w:tab w:val="left" w:pos="2654"/>
              </w:tabs>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9、渗透压摩尔浓度为260-430mOsmol/kg； </w:t>
            </w:r>
          </w:p>
        </w:tc>
      </w:tr>
      <w:tr w14:paraId="4E05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3A41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bookmarkStart w:id="18" w:name="_Toc21893"/>
            <w:r>
              <w:rPr>
                <w:rFonts w:hint="eastAsia" w:ascii="仿宋" w:hAnsi="仿宋" w:eastAsia="仿宋" w:cs="仿宋"/>
                <w:i w:val="0"/>
                <w:iCs w:val="0"/>
                <w:color w:val="auto"/>
                <w:kern w:val="0"/>
                <w:sz w:val="24"/>
                <w:szCs w:val="24"/>
                <w:highlight w:val="none"/>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9F1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靛胭脂黏膜染色剂</w:t>
            </w:r>
          </w:p>
        </w:tc>
        <w:tc>
          <w:tcPr>
            <w:tcW w:w="35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36EC9">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1、由靛胭脂、抗坏血酸、枸极酸钠、亚硫酸氢钠、依地酸二钠、注射用水等组成；      </w:t>
            </w:r>
          </w:p>
          <w:p w14:paraId="6CED983E">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2、产品经湿热灭菌，一次性使用；         </w:t>
            </w:r>
          </w:p>
          <w:p w14:paraId="42D2AA8F">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3、产品配合内镜检查，适用于胃肠道黏膜病变部位的染色；                        </w:t>
            </w:r>
          </w:p>
          <w:p w14:paraId="7429231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4、产品的PH值＞1.0；                   </w:t>
            </w:r>
          </w:p>
          <w:p w14:paraId="3DB2897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5、靛胭脂含量大于等于0.15%（g/ml）；    </w:t>
            </w:r>
          </w:p>
          <w:p w14:paraId="6AA1D863">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6、产品所含重金属不得超过千万分之一；    </w:t>
            </w:r>
          </w:p>
          <w:p w14:paraId="018E5C74">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7、产品细菌内毒素含量每ml＜0.6EU；      </w:t>
            </w:r>
          </w:p>
          <w:p w14:paraId="59188BB4">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8、产品注射器需符合GB 15810-2001标准规定中的有关规定；                            </w:t>
            </w:r>
          </w:p>
          <w:p w14:paraId="55FBF4FF">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9、产品为深蓝色液体，无肉眼可见杂质；</w:t>
            </w:r>
          </w:p>
        </w:tc>
      </w:tr>
    </w:tbl>
    <w:p w14:paraId="67C27353">
      <w:pPr>
        <w:pStyle w:val="2"/>
        <w:numPr>
          <w:ilvl w:val="0"/>
          <w:numId w:val="1"/>
        </w:numPr>
        <w:bidi w:val="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评标程序、评标方法和评标标准</w:t>
      </w:r>
      <w:bookmarkEnd w:id="18"/>
    </w:p>
    <w:p w14:paraId="06B862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val="0"/>
          <w:bCs w:val="0"/>
          <w:sz w:val="24"/>
          <w:szCs w:val="24"/>
          <w:highlight w:val="none"/>
          <w:lang w:val="en-US" w:eastAsia="zh-CN"/>
        </w:rPr>
      </w:pPr>
    </w:p>
    <w:p w14:paraId="0358FCA3">
      <w:pPr>
        <w:keepNext w:val="0"/>
        <w:keepLines w:val="0"/>
        <w:pageBreakBefore w:val="0"/>
        <w:widowControl w:val="0"/>
        <w:numPr>
          <w:ilvl w:val="0"/>
          <w:numId w:val="10"/>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lang w:val="en-US" w:eastAsia="zh-CN"/>
        </w:rPr>
      </w:pPr>
      <w:bookmarkStart w:id="19" w:name="_Toc27440"/>
      <w:r>
        <w:rPr>
          <w:rFonts w:hint="eastAsia" w:ascii="仿宋" w:hAnsi="仿宋" w:eastAsia="仿宋" w:cs="仿宋"/>
          <w:b/>
          <w:bCs/>
          <w:sz w:val="24"/>
          <w:szCs w:val="24"/>
          <w:highlight w:val="none"/>
          <w:lang w:val="en-US" w:eastAsia="zh-CN"/>
        </w:rPr>
        <w:t>评标方法</w:t>
      </w:r>
      <w:bookmarkEnd w:id="19"/>
      <w:r>
        <w:rPr>
          <w:rFonts w:hint="eastAsia" w:ascii="仿宋" w:hAnsi="仿宋" w:eastAsia="仿宋" w:cs="仿宋"/>
          <w:b/>
          <w:bCs/>
          <w:sz w:val="24"/>
          <w:szCs w:val="24"/>
          <w:highlight w:val="none"/>
          <w:lang w:val="en-US" w:eastAsia="zh-CN"/>
        </w:rPr>
        <w:t xml:space="preserve"> </w:t>
      </w:r>
    </w:p>
    <w:p w14:paraId="059EB6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622001EA">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0" w:name="_Toc12617"/>
      <w:r>
        <w:rPr>
          <w:rFonts w:hint="eastAsia" w:ascii="仿宋" w:hAnsi="仿宋" w:eastAsia="仿宋" w:cs="仿宋"/>
          <w:b/>
          <w:bCs/>
          <w:sz w:val="24"/>
          <w:szCs w:val="24"/>
          <w:highlight w:val="none"/>
          <w:lang w:val="en-US" w:eastAsia="zh-CN"/>
        </w:rPr>
        <w:t>评标原则</w:t>
      </w:r>
      <w:bookmarkEnd w:id="20"/>
    </w:p>
    <w:p w14:paraId="3AD91B17">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评标活动遵循公平、公正、科学和择优的原则，以招标文件和投标文件为评标的基本依据，并按照招标文件规定的评标方法和评标标准进行评标。</w:t>
      </w:r>
    </w:p>
    <w:p w14:paraId="14B47297">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06952DBF">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1" w:name="_Toc6046"/>
      <w:r>
        <w:rPr>
          <w:rFonts w:hint="eastAsia" w:ascii="仿宋" w:hAnsi="仿宋" w:eastAsia="仿宋" w:cs="仿宋"/>
          <w:b/>
          <w:bCs/>
          <w:sz w:val="24"/>
          <w:szCs w:val="24"/>
          <w:highlight w:val="none"/>
          <w:lang w:val="en-US" w:eastAsia="zh-CN"/>
        </w:rPr>
        <w:t>资格审查</w:t>
      </w:r>
      <w:bookmarkEnd w:id="21"/>
    </w:p>
    <w:p w14:paraId="45524E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处理，不进入符合性审查。资格审查要求如下：</w:t>
      </w:r>
    </w:p>
    <w:p w14:paraId="22485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0144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39C8C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536" w:type="dxa"/>
            <w:vAlign w:val="center"/>
          </w:tcPr>
          <w:p w14:paraId="049308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228" w:type="dxa"/>
            <w:vAlign w:val="center"/>
          </w:tcPr>
          <w:p w14:paraId="28536C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0F29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CE867C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536" w:type="dxa"/>
            <w:vAlign w:val="center"/>
          </w:tcPr>
          <w:p w14:paraId="3A696DE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5228" w:type="dxa"/>
            <w:vAlign w:val="center"/>
          </w:tcPr>
          <w:p w14:paraId="5FD1767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243048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D68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1EA030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536" w:type="dxa"/>
            <w:vAlign w:val="center"/>
          </w:tcPr>
          <w:p w14:paraId="025675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5228" w:type="dxa"/>
            <w:vAlign w:val="center"/>
          </w:tcPr>
          <w:p w14:paraId="2B260DF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61D2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22A69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536" w:type="dxa"/>
            <w:vAlign w:val="center"/>
          </w:tcPr>
          <w:p w14:paraId="7D386B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5228" w:type="dxa"/>
            <w:vAlign w:val="center"/>
          </w:tcPr>
          <w:p w14:paraId="79B9EC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w:t>
            </w:r>
          </w:p>
        </w:tc>
      </w:tr>
      <w:tr w14:paraId="6525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0A31A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536" w:type="dxa"/>
            <w:vAlign w:val="center"/>
          </w:tcPr>
          <w:p w14:paraId="029EEC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5228" w:type="dxa"/>
            <w:vAlign w:val="center"/>
          </w:tcPr>
          <w:p w14:paraId="5B5167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7F3025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029B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6115CC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536" w:type="dxa"/>
            <w:vAlign w:val="center"/>
          </w:tcPr>
          <w:p w14:paraId="22D79CF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5228" w:type="dxa"/>
            <w:vAlign w:val="center"/>
          </w:tcPr>
          <w:p w14:paraId="437426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须提供声明函原件</w:t>
            </w:r>
          </w:p>
        </w:tc>
      </w:tr>
      <w:tr w14:paraId="2538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11046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536" w:type="dxa"/>
            <w:vAlign w:val="center"/>
          </w:tcPr>
          <w:p w14:paraId="0B97E23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投标人信用记录</w:t>
            </w:r>
          </w:p>
        </w:tc>
        <w:tc>
          <w:tcPr>
            <w:tcW w:w="5228" w:type="dxa"/>
            <w:vAlign w:val="center"/>
          </w:tcPr>
          <w:p w14:paraId="4D52E2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查询渠道：信用中国网站和中国政府采购网</w:t>
            </w:r>
          </w:p>
          <w:p w14:paraId="59676CF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查询时间：投标截止时间后至资格审查阶段完成；</w:t>
            </w:r>
          </w:p>
          <w:p w14:paraId="29062B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w:t>
            </w:r>
          </w:p>
          <w:p w14:paraId="27BB6B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无须投标人提供，由采购人或采购代理机构查询结果为准。</w:t>
            </w:r>
          </w:p>
        </w:tc>
      </w:tr>
      <w:tr w14:paraId="3711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7FC9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536" w:type="dxa"/>
            <w:vAlign w:val="center"/>
          </w:tcPr>
          <w:p w14:paraId="0108CC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w:t>
            </w:r>
          </w:p>
        </w:tc>
        <w:tc>
          <w:tcPr>
            <w:tcW w:w="5228" w:type="dxa"/>
            <w:vAlign w:val="center"/>
          </w:tcPr>
          <w:p w14:paraId="1D240C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（1）投标人具有医疗器械经营资格；属于医疗器械管理的产品需根据《医疗器械监督管理条例》（国务院令第650号）有关内容办理医疗器械产品注册或备案。</w:t>
            </w:r>
          </w:p>
          <w:p w14:paraId="524BD7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（2）所投产品属于消毒卫生产品的，所投产品（过氧乙酸消毒液（一次性））的生产厂家需具有《消毒产品生产企业卫生许可证》，并具备《消毒产品卫生安全评价报告》并备案。</w:t>
            </w:r>
          </w:p>
        </w:tc>
      </w:tr>
      <w:tr w14:paraId="4C3C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C32C1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536" w:type="dxa"/>
            <w:vAlign w:val="center"/>
          </w:tcPr>
          <w:p w14:paraId="72FF6C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其他1</w:t>
            </w:r>
          </w:p>
        </w:tc>
        <w:tc>
          <w:tcPr>
            <w:tcW w:w="5228" w:type="dxa"/>
            <w:vAlign w:val="center"/>
          </w:tcPr>
          <w:p w14:paraId="1B3BB6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法律、行政法规规定的其他条件</w:t>
            </w:r>
          </w:p>
        </w:tc>
      </w:tr>
      <w:tr w14:paraId="5683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29F45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2536" w:type="dxa"/>
            <w:vAlign w:val="center"/>
          </w:tcPr>
          <w:p w14:paraId="2BF289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其他2</w:t>
            </w:r>
          </w:p>
        </w:tc>
        <w:tc>
          <w:tcPr>
            <w:tcW w:w="5228" w:type="dxa"/>
            <w:vAlign w:val="center"/>
          </w:tcPr>
          <w:p w14:paraId="089D7B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单位负责人为同一人或者存在直接控股、管理关系的不同投标人，不得参加同一合同项下的政府采购活动。与采购人存在利害关系可能影响招标公正性的法人、其他组织或者个人，不得参加投标。</w:t>
            </w:r>
          </w:p>
          <w:p w14:paraId="1CFDE4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（投标时，投标人出具承诺函，加盖投标人公章）。</w:t>
            </w:r>
          </w:p>
        </w:tc>
      </w:tr>
    </w:tbl>
    <w:p w14:paraId="65F213F2">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2" w:name="_Toc4337"/>
      <w:r>
        <w:rPr>
          <w:rFonts w:hint="eastAsia" w:ascii="仿宋" w:hAnsi="仿宋" w:eastAsia="仿宋" w:cs="仿宋"/>
          <w:b/>
          <w:bCs/>
          <w:sz w:val="24"/>
          <w:szCs w:val="24"/>
          <w:highlight w:val="none"/>
          <w:lang w:val="en-US" w:eastAsia="zh-CN"/>
        </w:rPr>
        <w:t>符合性审查</w:t>
      </w:r>
      <w:bookmarkEnd w:id="22"/>
    </w:p>
    <w:p w14:paraId="0AD627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5EA13A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符合性审查要求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0C3A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301637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132" w:type="dxa"/>
            <w:vAlign w:val="center"/>
          </w:tcPr>
          <w:p w14:paraId="038FF9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573" w:type="dxa"/>
            <w:vAlign w:val="center"/>
          </w:tcPr>
          <w:p w14:paraId="001D050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58FC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A3F8A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132" w:type="dxa"/>
            <w:vAlign w:val="center"/>
          </w:tcPr>
          <w:p w14:paraId="14BD1B3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5573" w:type="dxa"/>
            <w:vAlign w:val="center"/>
          </w:tcPr>
          <w:p w14:paraId="64FABA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7367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73AD0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132" w:type="dxa"/>
            <w:vAlign w:val="center"/>
          </w:tcPr>
          <w:p w14:paraId="48F11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投标完整性</w:t>
            </w:r>
          </w:p>
        </w:tc>
        <w:tc>
          <w:tcPr>
            <w:tcW w:w="5573" w:type="dxa"/>
            <w:vAlign w:val="center"/>
          </w:tcPr>
          <w:p w14:paraId="11ACE78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未将一个采购包/标项中的内容拆开投标</w:t>
            </w:r>
          </w:p>
        </w:tc>
      </w:tr>
      <w:tr w14:paraId="16C4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A02D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132" w:type="dxa"/>
            <w:vAlign w:val="center"/>
          </w:tcPr>
          <w:p w14:paraId="635539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w:t>
            </w:r>
          </w:p>
        </w:tc>
        <w:tc>
          <w:tcPr>
            <w:tcW w:w="5573" w:type="dxa"/>
            <w:vAlign w:val="center"/>
          </w:tcPr>
          <w:p w14:paraId="7C6C3A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1414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73A1A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132" w:type="dxa"/>
            <w:vAlign w:val="center"/>
          </w:tcPr>
          <w:p w14:paraId="176A6A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5573" w:type="dxa"/>
            <w:vAlign w:val="center"/>
          </w:tcPr>
          <w:p w14:paraId="3415453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投标文件未出现可选择性或可调整的报价（招标文件另有规定的除外）</w:t>
            </w:r>
          </w:p>
        </w:tc>
      </w:tr>
      <w:tr w14:paraId="573D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83C74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132" w:type="dxa"/>
            <w:vAlign w:val="center"/>
          </w:tcPr>
          <w:p w14:paraId="005638F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投标有效期</w:t>
            </w:r>
          </w:p>
        </w:tc>
        <w:tc>
          <w:tcPr>
            <w:tcW w:w="5573" w:type="dxa"/>
            <w:vAlign w:val="center"/>
          </w:tcPr>
          <w:p w14:paraId="36A841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投标文件中承诺的投标有效期满足招标文件中载明的投标有效期的</w:t>
            </w:r>
          </w:p>
        </w:tc>
      </w:tr>
      <w:tr w14:paraId="5DD9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EA97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132" w:type="dxa"/>
            <w:vAlign w:val="center"/>
          </w:tcPr>
          <w:p w14:paraId="083C7D4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5573" w:type="dxa"/>
            <w:vAlign w:val="center"/>
          </w:tcPr>
          <w:p w14:paraId="514A16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按照招标文件要求签署、盖章的</w:t>
            </w:r>
          </w:p>
        </w:tc>
      </w:tr>
      <w:tr w14:paraId="4E2F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805E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132" w:type="dxa"/>
            <w:vAlign w:val="center"/>
          </w:tcPr>
          <w:p w14:paraId="5E051D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投标保证金</w:t>
            </w:r>
          </w:p>
        </w:tc>
        <w:tc>
          <w:tcPr>
            <w:tcW w:w="5573" w:type="dxa"/>
            <w:vAlign w:val="center"/>
          </w:tcPr>
          <w:p w14:paraId="0DA040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按照招标文件的规定提交投标保证金</w:t>
            </w:r>
          </w:p>
        </w:tc>
      </w:tr>
      <w:tr w14:paraId="40A7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1CE2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132" w:type="dxa"/>
            <w:vAlign w:val="center"/>
          </w:tcPr>
          <w:p w14:paraId="716059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5573" w:type="dxa"/>
            <w:vAlign w:val="center"/>
          </w:tcPr>
          <w:p w14:paraId="14F46FA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报价合理，或报价通过评标委员会异常低价投标(响应)审查</w:t>
            </w:r>
          </w:p>
        </w:tc>
      </w:tr>
      <w:tr w14:paraId="7A58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E7D3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2132" w:type="dxa"/>
            <w:vAlign w:val="center"/>
          </w:tcPr>
          <w:p w14:paraId="2C6244F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5573" w:type="dxa"/>
            <w:vAlign w:val="center"/>
          </w:tcPr>
          <w:p w14:paraId="70031F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投标文件未含有采购人不能接受的附加条件的</w:t>
            </w:r>
          </w:p>
        </w:tc>
      </w:tr>
      <w:tr w14:paraId="4789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437C6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2132" w:type="dxa"/>
            <w:vAlign w:val="center"/>
          </w:tcPr>
          <w:p w14:paraId="5D3000B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5573" w:type="dxa"/>
            <w:vAlign w:val="center"/>
          </w:tcPr>
          <w:p w14:paraId="765CDA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投标文件中不存在违反国家法律、法规和招标文件规定的其他无效情形</w:t>
            </w:r>
          </w:p>
        </w:tc>
      </w:tr>
    </w:tbl>
    <w:p w14:paraId="1E5689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030925A3">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3" w:name="_Toc23924"/>
      <w:r>
        <w:rPr>
          <w:rFonts w:hint="eastAsia" w:ascii="仿宋" w:hAnsi="仿宋" w:eastAsia="仿宋" w:cs="仿宋"/>
          <w:b/>
          <w:bCs/>
          <w:sz w:val="24"/>
          <w:szCs w:val="24"/>
          <w:highlight w:val="none"/>
          <w:lang w:val="en-US" w:eastAsia="zh-CN"/>
        </w:rPr>
        <w:t>投标文件有关事项的澄清或者说明</w:t>
      </w:r>
      <w:bookmarkEnd w:id="23"/>
    </w:p>
    <w:p w14:paraId="64E0D283">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43E6DAB8">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14:paraId="59BF0C45">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7F6BC471">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评标委员会不接受投标人主动提出的澄清、说明或补正。</w:t>
      </w:r>
    </w:p>
    <w:p w14:paraId="16C128F3">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评标委员会对投标人提交的澄清、说明或补正有疑问的，可以要求投标人进一步澄清、说明或补正。</w:t>
      </w:r>
    </w:p>
    <w:p w14:paraId="43E873F1">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对报价的计算错误按以下原则修正：</w:t>
      </w:r>
    </w:p>
    <w:p w14:paraId="41F16F14">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2560D7EF">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大写金额和小写金额不一致的，以大写金额为准；</w:t>
      </w:r>
    </w:p>
    <w:p w14:paraId="3663A376">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单价金额小数点或者百分比有明显错位的，以开标一览表的总价为准，并修改单价。</w:t>
      </w:r>
    </w:p>
    <w:p w14:paraId="645F5995">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14:paraId="46E0D39F">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33CF99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14:paraId="23549F7F">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4" w:name="_Toc22049"/>
      <w:r>
        <w:rPr>
          <w:rFonts w:hint="eastAsia" w:ascii="仿宋" w:hAnsi="仿宋" w:eastAsia="仿宋" w:cs="仿宋"/>
          <w:b/>
          <w:bCs/>
          <w:sz w:val="24"/>
          <w:szCs w:val="24"/>
          <w:highlight w:val="none"/>
          <w:lang w:val="en-US" w:eastAsia="zh-CN"/>
        </w:rPr>
        <w:t>详细评审</w:t>
      </w:r>
      <w:bookmarkEnd w:id="24"/>
    </w:p>
    <w:p w14:paraId="209159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309D943D">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235866A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详细评审标准</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14:paraId="7070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66" w:type="pct"/>
            <w:vAlign w:val="center"/>
          </w:tcPr>
          <w:p w14:paraId="35644B04">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评分因素</w:t>
            </w:r>
          </w:p>
        </w:tc>
        <w:tc>
          <w:tcPr>
            <w:tcW w:w="4233" w:type="pct"/>
            <w:vAlign w:val="center"/>
          </w:tcPr>
          <w:p w14:paraId="6A72D32D">
            <w:pPr>
              <w:ind w:right="733"/>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内容</w:t>
            </w:r>
          </w:p>
        </w:tc>
      </w:tr>
      <w:tr w14:paraId="60D0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766" w:type="pct"/>
            <w:vAlign w:val="center"/>
          </w:tcPr>
          <w:p w14:paraId="63ECB847">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价格因素（30分）</w:t>
            </w:r>
          </w:p>
        </w:tc>
        <w:tc>
          <w:tcPr>
            <w:tcW w:w="4233" w:type="pct"/>
            <w:vAlign w:val="center"/>
          </w:tcPr>
          <w:p w14:paraId="12847DA2">
            <w:pPr>
              <w:rPr>
                <w:rFonts w:hint="eastAsia" w:ascii="仿宋" w:hAnsi="仿宋" w:eastAsia="仿宋" w:cs="仿宋"/>
              </w:rPr>
            </w:pPr>
            <w:r>
              <w:rPr>
                <w:rFonts w:hint="eastAsia" w:ascii="仿宋" w:hAnsi="仿宋" w:eastAsia="仿宋" w:cs="仿宋"/>
                <w:color w:val="000000"/>
                <w:kern w:val="0"/>
                <w:sz w:val="24"/>
                <w:szCs w:val="24"/>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人的价格得分。</w:t>
            </w:r>
          </w:p>
        </w:tc>
      </w:tr>
      <w:tr w14:paraId="660B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trPr>
        <w:tc>
          <w:tcPr>
            <w:tcW w:w="766" w:type="pct"/>
            <w:vMerge w:val="restart"/>
            <w:vAlign w:val="center"/>
          </w:tcPr>
          <w:p w14:paraId="3EE4F929">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技术因素</w:t>
            </w:r>
          </w:p>
          <w:p w14:paraId="5F14E4B1">
            <w:pPr>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（50分）</w:t>
            </w:r>
          </w:p>
        </w:tc>
        <w:tc>
          <w:tcPr>
            <w:tcW w:w="4233" w:type="pct"/>
            <w:vAlign w:val="center"/>
          </w:tcPr>
          <w:p w14:paraId="3628DFE7">
            <w:pPr>
              <w:rPr>
                <w:rFonts w:hint="eastAsia" w:ascii="仿宋" w:hAnsi="仿宋" w:eastAsia="仿宋" w:cs="仿宋"/>
                <w:kern w:val="0"/>
                <w:sz w:val="24"/>
                <w:szCs w:val="24"/>
                <w:highlight w:val="none"/>
              </w:rPr>
            </w:pPr>
            <w:r>
              <w:rPr>
                <w:rFonts w:hint="eastAsia" w:ascii="仿宋" w:hAnsi="仿宋" w:eastAsia="仿宋" w:cs="仿宋"/>
                <w:bCs/>
                <w:color w:val="000000"/>
                <w:sz w:val="24"/>
                <w:szCs w:val="24"/>
                <w:highlight w:val="none"/>
              </w:rPr>
              <w:t>技术符合程度（</w:t>
            </w:r>
            <w:r>
              <w:rPr>
                <w:rFonts w:hint="eastAsia" w:ascii="仿宋" w:hAnsi="仿宋" w:eastAsia="仿宋" w:cs="仿宋"/>
                <w:bCs/>
                <w:color w:val="000000"/>
                <w:sz w:val="24"/>
                <w:szCs w:val="24"/>
                <w:highlight w:val="none"/>
                <w:lang w:val="en-US" w:eastAsia="zh-CN"/>
              </w:rPr>
              <w:t>33</w:t>
            </w:r>
            <w:r>
              <w:rPr>
                <w:rFonts w:hint="eastAsia" w:ascii="仿宋" w:hAnsi="仿宋" w:eastAsia="仿宋" w:cs="仿宋"/>
                <w:bCs/>
                <w:color w:val="000000"/>
                <w:sz w:val="24"/>
                <w:szCs w:val="24"/>
                <w:highlight w:val="none"/>
              </w:rPr>
              <w:t>分）：</w:t>
            </w:r>
            <w:r>
              <w:rPr>
                <w:rFonts w:hint="eastAsia" w:ascii="仿宋" w:hAnsi="仿宋" w:eastAsia="仿宋" w:cs="仿宋"/>
                <w:kern w:val="0"/>
                <w:sz w:val="24"/>
                <w:szCs w:val="24"/>
                <w:highlight w:val="none"/>
                <w:lang w:val="en-US" w:eastAsia="zh-CN"/>
              </w:rPr>
              <w:t>每有一项技术</w:t>
            </w:r>
            <w:r>
              <w:rPr>
                <w:rFonts w:hint="eastAsia" w:ascii="仿宋" w:hAnsi="仿宋" w:eastAsia="仿宋" w:cs="仿宋"/>
                <w:kern w:val="0"/>
                <w:sz w:val="24"/>
                <w:szCs w:val="24"/>
                <w:highlight w:val="none"/>
              </w:rPr>
              <w:t>参数</w:t>
            </w:r>
            <w:r>
              <w:rPr>
                <w:rFonts w:hint="eastAsia" w:ascii="仿宋" w:hAnsi="仿宋" w:eastAsia="仿宋" w:cs="仿宋"/>
                <w:kern w:val="0"/>
                <w:sz w:val="24"/>
                <w:szCs w:val="24"/>
                <w:highlight w:val="none"/>
                <w:lang w:val="en-US" w:eastAsia="zh-CN"/>
              </w:rPr>
              <w:t>存在</w:t>
            </w:r>
            <w:r>
              <w:rPr>
                <w:rFonts w:hint="eastAsia" w:ascii="仿宋" w:hAnsi="仿宋" w:eastAsia="仿宋" w:cs="仿宋"/>
                <w:kern w:val="0"/>
                <w:sz w:val="24"/>
                <w:szCs w:val="24"/>
                <w:highlight w:val="none"/>
              </w:rPr>
              <w:t>负偏离</w:t>
            </w:r>
            <w:r>
              <w:rPr>
                <w:rFonts w:hint="eastAsia" w:ascii="仿宋" w:hAnsi="仿宋" w:eastAsia="仿宋" w:cs="仿宋"/>
                <w:kern w:val="0"/>
                <w:sz w:val="24"/>
                <w:szCs w:val="24"/>
                <w:highlight w:val="none"/>
                <w:lang w:val="en-US" w:eastAsia="zh-CN"/>
              </w:rPr>
              <w:t>则</w:t>
            </w:r>
            <w:r>
              <w:rPr>
                <w:rFonts w:hint="eastAsia" w:ascii="仿宋" w:hAnsi="仿宋" w:eastAsia="仿宋" w:cs="仿宋"/>
                <w:kern w:val="0"/>
                <w:sz w:val="24"/>
                <w:szCs w:val="24"/>
                <w:highlight w:val="none"/>
              </w:rPr>
              <w:t>扣</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分</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满分33分，扣完为止。</w:t>
            </w:r>
          </w:p>
          <w:p w14:paraId="2F6C256B">
            <w:pP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注: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若投标文件中技术支持资料参数与技术规格偏离表应答不符或无支持资料应答，而投标人又未在投标文件中作出说明和解释的，视为不响应该条技术参数要求。</w:t>
            </w:r>
          </w:p>
        </w:tc>
      </w:tr>
      <w:tr w14:paraId="034C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66" w:type="pct"/>
            <w:vMerge w:val="continue"/>
            <w:vAlign w:val="center"/>
          </w:tcPr>
          <w:p w14:paraId="7CC79F57">
            <w:pPr>
              <w:jc w:val="center"/>
              <w:rPr>
                <w:rFonts w:hint="eastAsia" w:ascii="仿宋" w:hAnsi="仿宋" w:eastAsia="仿宋" w:cs="仿宋"/>
                <w:bCs/>
                <w:color w:val="000000"/>
                <w:sz w:val="24"/>
                <w:szCs w:val="24"/>
              </w:rPr>
            </w:pPr>
          </w:p>
        </w:tc>
        <w:tc>
          <w:tcPr>
            <w:tcW w:w="4233" w:type="pct"/>
            <w:vAlign w:val="center"/>
          </w:tcPr>
          <w:p w14:paraId="1ACC1F13">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技术先进性（</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分）：以利于临床工作需要为前提，参数高于招标要求的，每项得</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分，加满为止；否则不得分。</w:t>
            </w:r>
          </w:p>
        </w:tc>
      </w:tr>
      <w:tr w14:paraId="1548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766" w:type="pct"/>
            <w:vMerge w:val="continue"/>
            <w:vAlign w:val="center"/>
          </w:tcPr>
          <w:p w14:paraId="42CB1E3A">
            <w:pPr>
              <w:jc w:val="center"/>
              <w:rPr>
                <w:rFonts w:hint="eastAsia" w:ascii="仿宋" w:hAnsi="仿宋" w:eastAsia="仿宋" w:cs="仿宋"/>
                <w:bCs/>
                <w:color w:val="000000"/>
                <w:sz w:val="24"/>
                <w:szCs w:val="24"/>
              </w:rPr>
            </w:pPr>
          </w:p>
        </w:tc>
        <w:tc>
          <w:tcPr>
            <w:tcW w:w="4233" w:type="pct"/>
            <w:vAlign w:val="center"/>
          </w:tcPr>
          <w:p w14:paraId="3749266B">
            <w:pPr>
              <w:rPr>
                <w:rFonts w:hint="eastAsia" w:ascii="仿宋" w:hAnsi="仿宋" w:eastAsia="仿宋" w:cs="仿宋"/>
                <w:color w:val="000000"/>
                <w:kern w:val="0"/>
                <w:sz w:val="24"/>
                <w:szCs w:val="24"/>
                <w:lang w:eastAsia="zh-CN"/>
              </w:rPr>
            </w:pPr>
            <w:r>
              <w:rPr>
                <w:rFonts w:hint="eastAsia" w:ascii="仿宋" w:hAnsi="仿宋" w:eastAsia="仿宋" w:cs="仿宋"/>
                <w:sz w:val="24"/>
                <w:szCs w:val="24"/>
              </w:rPr>
              <w:t>用户使用评价</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分）</w:t>
            </w:r>
            <w:r>
              <w:rPr>
                <w:rFonts w:hint="eastAsia" w:ascii="仿宋" w:hAnsi="仿宋" w:eastAsia="仿宋" w:cs="仿宋"/>
                <w:color w:val="000000"/>
                <w:kern w:val="0"/>
                <w:sz w:val="24"/>
                <w:szCs w:val="24"/>
              </w:rPr>
              <w:t>：由甲方单位出具对投标人所提供的类似相关服务的供应评价，每提供一项评价满意或优秀的得1分，满分</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分。（须提供由甲方单位出具对供应商所提供的类似投标产品的有效评价）</w:t>
            </w:r>
            <w:r>
              <w:rPr>
                <w:rFonts w:hint="eastAsia" w:ascii="仿宋" w:hAnsi="仿宋" w:eastAsia="仿宋" w:cs="仿宋"/>
                <w:color w:val="000000"/>
                <w:kern w:val="0"/>
                <w:sz w:val="24"/>
                <w:szCs w:val="24"/>
                <w:lang w:eastAsia="zh-CN"/>
              </w:rPr>
              <w:t>。</w:t>
            </w:r>
          </w:p>
        </w:tc>
      </w:tr>
      <w:tr w14:paraId="3406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766" w:type="pct"/>
            <w:vMerge w:val="continue"/>
            <w:vAlign w:val="center"/>
          </w:tcPr>
          <w:p w14:paraId="048C0F8E">
            <w:pPr>
              <w:jc w:val="center"/>
              <w:rPr>
                <w:rFonts w:hint="eastAsia" w:ascii="仿宋" w:hAnsi="仿宋" w:eastAsia="仿宋" w:cs="仿宋"/>
                <w:bCs/>
                <w:color w:val="000000"/>
                <w:sz w:val="24"/>
                <w:szCs w:val="24"/>
              </w:rPr>
            </w:pPr>
          </w:p>
        </w:tc>
        <w:tc>
          <w:tcPr>
            <w:tcW w:w="4233" w:type="pct"/>
            <w:vAlign w:val="center"/>
          </w:tcPr>
          <w:p w14:paraId="79D6D42D">
            <w:pPr>
              <w:rPr>
                <w:rFonts w:hint="eastAsia" w:ascii="仿宋" w:hAnsi="仿宋" w:eastAsia="仿宋" w:cs="仿宋"/>
                <w:color w:val="000000"/>
                <w:kern w:val="0"/>
                <w:sz w:val="24"/>
                <w:szCs w:val="24"/>
              </w:rPr>
            </w:pPr>
            <w:bookmarkStart w:id="48" w:name="_GoBack"/>
            <w:r>
              <w:rPr>
                <w:rFonts w:hint="eastAsia" w:ascii="仿宋" w:hAnsi="仿宋" w:eastAsia="仿宋" w:cs="仿宋"/>
                <w:color w:val="000000"/>
                <w:kern w:val="0"/>
                <w:sz w:val="24"/>
                <w:szCs w:val="24"/>
              </w:rPr>
              <w:t>可操作、可维护性（</w:t>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分）：以便于临床工作需要为前提，根据设备配置符合程度综合评判；所投产品①配置齐全，②便于用户临床使用，③操作简便，④便于</w:t>
            </w:r>
            <w:r>
              <w:rPr>
                <w:rFonts w:hint="eastAsia" w:ascii="仿宋" w:hAnsi="仿宋" w:eastAsia="仿宋" w:cs="仿宋"/>
                <w:color w:val="000000"/>
                <w:kern w:val="0"/>
                <w:sz w:val="24"/>
                <w:szCs w:val="24"/>
                <w:highlight w:val="none"/>
              </w:rPr>
              <w:t>维护；每满足一</w:t>
            </w:r>
            <w:r>
              <w:rPr>
                <w:rFonts w:hint="eastAsia" w:ascii="仿宋" w:hAnsi="仿宋" w:eastAsia="仿宋" w:cs="仿宋"/>
                <w:color w:val="000000"/>
                <w:kern w:val="0"/>
                <w:sz w:val="24"/>
                <w:szCs w:val="24"/>
              </w:rPr>
              <w:t>项得</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分，最高得</w:t>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分。</w:t>
            </w:r>
            <w:bookmarkEnd w:id="48"/>
          </w:p>
        </w:tc>
      </w:tr>
      <w:tr w14:paraId="2925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66" w:type="pct"/>
            <w:vMerge w:val="continue"/>
            <w:vAlign w:val="center"/>
          </w:tcPr>
          <w:p w14:paraId="1FC41789">
            <w:pPr>
              <w:jc w:val="center"/>
              <w:rPr>
                <w:rFonts w:hint="eastAsia" w:ascii="仿宋" w:hAnsi="仿宋" w:eastAsia="仿宋" w:cs="仿宋"/>
                <w:bCs/>
                <w:color w:val="000000"/>
                <w:sz w:val="24"/>
                <w:szCs w:val="24"/>
              </w:rPr>
            </w:pPr>
          </w:p>
        </w:tc>
        <w:tc>
          <w:tcPr>
            <w:tcW w:w="4233" w:type="pct"/>
            <w:vAlign w:val="center"/>
          </w:tcPr>
          <w:p w14:paraId="24E85254">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其它技术因素（</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分）：其他有利于临床工作需求的优惠条件。有得</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分，无，不得分。</w:t>
            </w:r>
          </w:p>
        </w:tc>
      </w:tr>
      <w:tr w14:paraId="68E2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trPr>
        <w:tc>
          <w:tcPr>
            <w:tcW w:w="766" w:type="pct"/>
            <w:vMerge w:val="restart"/>
            <w:vAlign w:val="center"/>
          </w:tcPr>
          <w:p w14:paraId="152B4AC2">
            <w:pPr>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商务因素</w:t>
            </w:r>
          </w:p>
          <w:p w14:paraId="4753AEFC">
            <w:pPr>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（20分）</w:t>
            </w:r>
          </w:p>
        </w:tc>
        <w:tc>
          <w:tcPr>
            <w:tcW w:w="4233" w:type="pct"/>
            <w:tcBorders>
              <w:top w:val="single" w:color="auto" w:sz="4" w:space="0"/>
              <w:left w:val="single" w:color="auto" w:sz="4" w:space="0"/>
              <w:bottom w:val="single" w:color="auto" w:sz="4" w:space="0"/>
              <w:right w:val="single" w:color="auto" w:sz="4" w:space="0"/>
            </w:tcBorders>
            <w:vAlign w:val="center"/>
          </w:tcPr>
          <w:p w14:paraId="6C428E7A">
            <w:pPr>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服务方案：根据投标人提供的服务方案进行打分，服务分案须包括：产品质量管理方案、库存管理方案、产品出现问题的补救方案、配送方案。方案内容详实，阐述清晰，能够满足项目得2分，每缺失一项或不详实，阐述不清晰的扣1分，扣完为止。</w:t>
            </w:r>
          </w:p>
        </w:tc>
      </w:tr>
      <w:tr w14:paraId="15FD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66" w:type="pct"/>
            <w:vMerge w:val="continue"/>
            <w:vAlign w:val="center"/>
          </w:tcPr>
          <w:p w14:paraId="06D8EBED">
            <w:pPr>
              <w:jc w:val="left"/>
              <w:rPr>
                <w:rFonts w:hint="eastAsia" w:ascii="仿宋" w:hAnsi="仿宋" w:eastAsia="仿宋" w:cs="仿宋"/>
                <w:bCs/>
                <w:color w:val="000000"/>
                <w:sz w:val="24"/>
                <w:szCs w:val="24"/>
                <w:highlight w:val="none"/>
              </w:rPr>
            </w:pPr>
          </w:p>
        </w:tc>
        <w:tc>
          <w:tcPr>
            <w:tcW w:w="4233" w:type="pct"/>
            <w:tcBorders>
              <w:top w:val="single" w:color="auto" w:sz="4" w:space="0"/>
              <w:left w:val="single" w:color="auto" w:sz="4" w:space="0"/>
              <w:bottom w:val="single" w:color="auto" w:sz="4" w:space="0"/>
              <w:right w:val="single" w:color="auto" w:sz="4" w:space="0"/>
            </w:tcBorders>
            <w:vAlign w:val="center"/>
          </w:tcPr>
          <w:p w14:paraId="618D714B">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提供投标产品业绩，超过10项，得3分；提供5-9项得2分；提供1-4项得1分；无提供不得分。（需提供证明材料，如合同复印件等）</w:t>
            </w:r>
          </w:p>
          <w:p w14:paraId="32EA5C95">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临床评价（3分）：从产品的①稳定性、②故障（或失效）发生率、③产品便于临床操作使用进行评分综合评分，每满足一项得1分，最高得3分。</w:t>
            </w:r>
          </w:p>
        </w:tc>
      </w:tr>
      <w:tr w14:paraId="7893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766" w:type="pct"/>
            <w:vMerge w:val="continue"/>
            <w:vAlign w:val="center"/>
          </w:tcPr>
          <w:p w14:paraId="00AA5EEE">
            <w:pPr>
              <w:jc w:val="center"/>
              <w:rPr>
                <w:rFonts w:hint="eastAsia" w:ascii="仿宋" w:hAnsi="仿宋" w:eastAsia="仿宋" w:cs="仿宋"/>
                <w:bCs/>
                <w:color w:val="000000"/>
                <w:sz w:val="24"/>
                <w:szCs w:val="24"/>
                <w:highlight w:val="none"/>
              </w:rPr>
            </w:pPr>
          </w:p>
        </w:tc>
        <w:tc>
          <w:tcPr>
            <w:tcW w:w="4233" w:type="pct"/>
            <w:tcBorders>
              <w:top w:val="single" w:color="auto" w:sz="4" w:space="0"/>
              <w:left w:val="single" w:color="auto" w:sz="4" w:space="0"/>
              <w:bottom w:val="single" w:color="auto" w:sz="4" w:space="0"/>
              <w:right w:val="single" w:color="auto" w:sz="4" w:space="0"/>
            </w:tcBorders>
            <w:vAlign w:val="center"/>
          </w:tcPr>
          <w:p w14:paraId="54B6F8B6">
            <w:pPr>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培训（1分）：提供培训方案，内容明确得1分。否则不得分。</w:t>
            </w:r>
          </w:p>
        </w:tc>
      </w:tr>
      <w:tr w14:paraId="2728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atLeast"/>
        </w:trPr>
        <w:tc>
          <w:tcPr>
            <w:tcW w:w="766" w:type="pct"/>
            <w:vMerge w:val="continue"/>
            <w:vAlign w:val="center"/>
          </w:tcPr>
          <w:p w14:paraId="5ED0A1A3">
            <w:pPr>
              <w:jc w:val="center"/>
              <w:rPr>
                <w:rFonts w:hint="eastAsia" w:ascii="仿宋" w:hAnsi="仿宋" w:eastAsia="仿宋" w:cs="仿宋"/>
                <w:bCs/>
                <w:color w:val="000000"/>
                <w:sz w:val="24"/>
                <w:szCs w:val="24"/>
                <w:highlight w:val="none"/>
              </w:rPr>
            </w:pPr>
          </w:p>
        </w:tc>
        <w:tc>
          <w:tcPr>
            <w:tcW w:w="4233" w:type="pct"/>
            <w:tcBorders>
              <w:top w:val="single" w:color="auto" w:sz="4" w:space="0"/>
              <w:left w:val="single" w:color="auto" w:sz="4" w:space="0"/>
              <w:bottom w:val="single" w:color="auto" w:sz="4" w:space="0"/>
              <w:right w:val="single" w:color="auto" w:sz="4" w:space="0"/>
            </w:tcBorders>
            <w:vAlign w:val="center"/>
          </w:tcPr>
          <w:p w14:paraId="5AE20C51">
            <w:pPr>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售后服务体系（</w:t>
            </w:r>
            <w:r>
              <w:rPr>
                <w:rFonts w:hint="eastAsia" w:ascii="仿宋" w:hAnsi="仿宋" w:eastAsia="仿宋" w:cs="仿宋"/>
                <w:bCs/>
                <w:color w:val="000000"/>
                <w:sz w:val="24"/>
                <w:szCs w:val="24"/>
                <w:highlight w:val="none"/>
                <w:lang w:val="en-US" w:eastAsia="zh-CN"/>
              </w:rPr>
              <w:t>10</w:t>
            </w:r>
            <w:r>
              <w:rPr>
                <w:rFonts w:hint="eastAsia" w:ascii="仿宋" w:hAnsi="仿宋" w:eastAsia="仿宋" w:cs="仿宋"/>
                <w:bCs/>
                <w:color w:val="000000"/>
                <w:sz w:val="24"/>
                <w:szCs w:val="24"/>
                <w:highlight w:val="none"/>
              </w:rPr>
              <w:t>分）：</w:t>
            </w:r>
          </w:p>
          <w:p w14:paraId="34A5A8B8">
            <w:pPr>
              <w:pStyle w:val="41"/>
              <w:numPr>
                <w:ilvl w:val="0"/>
                <w:numId w:val="11"/>
              </w:numPr>
              <w:ind w:left="0" w:firstLine="0" w:firstLineChars="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具有专职</w:t>
            </w:r>
            <w:r>
              <w:rPr>
                <w:rFonts w:hint="eastAsia" w:ascii="仿宋" w:hAnsi="仿宋" w:eastAsia="仿宋" w:cs="仿宋"/>
                <w:bCs/>
                <w:color w:val="000000"/>
                <w:sz w:val="24"/>
                <w:szCs w:val="24"/>
                <w:highlight w:val="none"/>
                <w:lang w:val="en-US" w:eastAsia="zh-CN"/>
              </w:rPr>
              <w:t>维护人员</w:t>
            </w:r>
            <w:r>
              <w:rPr>
                <w:rFonts w:hint="eastAsia" w:ascii="仿宋" w:hAnsi="仿宋" w:eastAsia="仿宋" w:cs="仿宋"/>
                <w:bCs/>
                <w:color w:val="000000"/>
                <w:sz w:val="24"/>
                <w:szCs w:val="24"/>
                <w:highlight w:val="none"/>
              </w:rPr>
              <w:t>，保证</w:t>
            </w:r>
            <w:r>
              <w:rPr>
                <w:rFonts w:hint="eastAsia" w:ascii="仿宋" w:hAnsi="仿宋" w:eastAsia="仿宋" w:cs="仿宋"/>
                <w:bCs/>
                <w:color w:val="000000"/>
                <w:sz w:val="24"/>
                <w:szCs w:val="24"/>
                <w:highlight w:val="none"/>
                <w:lang w:val="en-US" w:eastAsia="zh-CN"/>
              </w:rPr>
              <w:t>产品</w:t>
            </w:r>
            <w:r>
              <w:rPr>
                <w:rFonts w:hint="eastAsia" w:ascii="仿宋" w:hAnsi="仿宋" w:eastAsia="仿宋" w:cs="仿宋"/>
                <w:bCs/>
                <w:color w:val="000000"/>
                <w:sz w:val="24"/>
                <w:szCs w:val="24"/>
                <w:highlight w:val="none"/>
              </w:rPr>
              <w:t>的日常维护及故障排除（</w:t>
            </w:r>
            <w:r>
              <w:rPr>
                <w:rFonts w:hint="eastAsia" w:ascii="仿宋" w:hAnsi="仿宋" w:eastAsia="仿宋" w:cs="仿宋"/>
                <w:bCs/>
                <w:color w:val="000000"/>
                <w:sz w:val="24"/>
                <w:szCs w:val="24"/>
                <w:highlight w:val="none"/>
                <w:lang w:val="en-US" w:eastAsia="zh-CN"/>
              </w:rPr>
              <w:t>2</w:t>
            </w:r>
            <w:r>
              <w:rPr>
                <w:rFonts w:hint="eastAsia" w:ascii="仿宋" w:hAnsi="仿宋" w:eastAsia="仿宋" w:cs="仿宋"/>
                <w:bCs/>
                <w:color w:val="000000"/>
                <w:sz w:val="24"/>
                <w:szCs w:val="24"/>
                <w:highlight w:val="none"/>
              </w:rPr>
              <w:t>分）；附专业人员认证资格证书等相应证明材料，否则不得分。</w:t>
            </w:r>
          </w:p>
          <w:p w14:paraId="13959AFC">
            <w:pPr>
              <w:pStyle w:val="41"/>
              <w:numPr>
                <w:ilvl w:val="0"/>
                <w:numId w:val="11"/>
              </w:numPr>
              <w:ind w:left="0" w:firstLine="0" w:firstLineChars="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生产厂家设有售后服务团队（2分），生产厂家拥有完善的售后服务保障体系（</w:t>
            </w:r>
            <w:r>
              <w:rPr>
                <w:rFonts w:hint="eastAsia" w:ascii="仿宋" w:hAnsi="仿宋" w:eastAsia="仿宋" w:cs="仿宋"/>
                <w:bCs/>
                <w:color w:val="000000"/>
                <w:sz w:val="24"/>
                <w:szCs w:val="24"/>
                <w:highlight w:val="none"/>
                <w:lang w:val="en-US" w:eastAsia="zh-CN"/>
              </w:rPr>
              <w:t>2</w:t>
            </w:r>
            <w:r>
              <w:rPr>
                <w:rFonts w:hint="eastAsia" w:ascii="仿宋" w:hAnsi="仿宋" w:eastAsia="仿宋" w:cs="仿宋"/>
                <w:bCs/>
                <w:color w:val="000000"/>
                <w:sz w:val="24"/>
                <w:szCs w:val="24"/>
                <w:highlight w:val="none"/>
              </w:rPr>
              <w:t>分），生产厂家设有常驻专业</w:t>
            </w:r>
            <w:r>
              <w:rPr>
                <w:rFonts w:hint="eastAsia" w:ascii="仿宋" w:hAnsi="仿宋" w:eastAsia="仿宋" w:cs="仿宋"/>
                <w:bCs/>
                <w:color w:val="000000"/>
                <w:sz w:val="24"/>
                <w:szCs w:val="24"/>
                <w:highlight w:val="none"/>
                <w:lang w:val="en-US" w:eastAsia="zh-CN"/>
              </w:rPr>
              <w:t>维护人员</w:t>
            </w:r>
            <w:r>
              <w:rPr>
                <w:rFonts w:hint="eastAsia" w:ascii="仿宋" w:hAnsi="仿宋" w:eastAsia="仿宋" w:cs="仿宋"/>
                <w:bCs/>
                <w:color w:val="000000"/>
                <w:sz w:val="24"/>
                <w:szCs w:val="24"/>
                <w:highlight w:val="none"/>
              </w:rPr>
              <w:t>以提供技术服务支持（2分），设有备件仓库保证常规配件供应（</w:t>
            </w:r>
            <w:r>
              <w:rPr>
                <w:rFonts w:hint="eastAsia" w:ascii="仿宋" w:hAnsi="仿宋" w:eastAsia="仿宋" w:cs="仿宋"/>
                <w:bCs/>
                <w:color w:val="000000"/>
                <w:sz w:val="24"/>
                <w:szCs w:val="24"/>
                <w:highlight w:val="none"/>
                <w:lang w:val="en-US" w:eastAsia="zh-CN"/>
              </w:rPr>
              <w:t>2</w:t>
            </w:r>
            <w:r>
              <w:rPr>
                <w:rFonts w:hint="eastAsia" w:ascii="仿宋" w:hAnsi="仿宋" w:eastAsia="仿宋" w:cs="仿宋"/>
                <w:bCs/>
                <w:color w:val="000000"/>
                <w:sz w:val="24"/>
                <w:szCs w:val="24"/>
                <w:highlight w:val="none"/>
              </w:rPr>
              <w:t>分）；</w:t>
            </w:r>
          </w:p>
          <w:p w14:paraId="02621E57">
            <w:pPr>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需附相应证明材料（房屋租赁合同、人员聘用劳动合同、厂家专业人员认证资格证书（培训合格证书）等），否则不得分。</w:t>
            </w:r>
          </w:p>
        </w:tc>
      </w:tr>
      <w:tr w14:paraId="2B57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66" w:type="pct"/>
            <w:vMerge w:val="continue"/>
            <w:vAlign w:val="center"/>
          </w:tcPr>
          <w:p w14:paraId="1251CD26">
            <w:pPr>
              <w:jc w:val="center"/>
              <w:rPr>
                <w:rFonts w:hint="eastAsia" w:ascii="仿宋" w:hAnsi="仿宋" w:eastAsia="仿宋" w:cs="仿宋"/>
                <w:bCs/>
                <w:color w:val="000000"/>
                <w:sz w:val="24"/>
                <w:szCs w:val="24"/>
                <w:highlight w:val="none"/>
              </w:rPr>
            </w:pPr>
          </w:p>
        </w:tc>
        <w:tc>
          <w:tcPr>
            <w:tcW w:w="4233" w:type="pct"/>
            <w:tcBorders>
              <w:top w:val="single" w:color="auto" w:sz="4" w:space="0"/>
              <w:left w:val="single" w:color="auto" w:sz="4" w:space="0"/>
              <w:bottom w:val="single" w:color="auto" w:sz="4" w:space="0"/>
              <w:right w:val="single" w:color="auto" w:sz="4" w:space="0"/>
            </w:tcBorders>
            <w:vAlign w:val="center"/>
          </w:tcPr>
          <w:p w14:paraId="07AEAE3D">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售后服务承诺（1分）：满足招标文件要求，内容全面并且可行得1分。否则不得分。</w:t>
            </w:r>
          </w:p>
        </w:tc>
      </w:tr>
    </w:tbl>
    <w:p w14:paraId="0DD793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14:paraId="470896A6">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30D78B2F">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落实中小企业政府采购政策的价格调整：</w:t>
      </w:r>
    </w:p>
    <w:p w14:paraId="1994D067">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sz w:val="24"/>
          <w:szCs w:val="24"/>
          <w:highlight w:val="none"/>
          <w:u w:val="single"/>
          <w:lang w:val="en-US" w:eastAsia="zh-CN"/>
        </w:rPr>
        <w:t xml:space="preserve"> 10 % </w:t>
      </w:r>
      <w:r>
        <w:rPr>
          <w:rFonts w:hint="eastAsia" w:ascii="仿宋" w:hAnsi="仿宋" w:eastAsia="仿宋" w:cs="仿宋"/>
          <w:b w:val="0"/>
          <w:bCs w:val="0"/>
          <w:sz w:val="24"/>
          <w:szCs w:val="24"/>
          <w:highlight w:val="none"/>
          <w:lang w:val="en-US" w:eastAsia="zh-CN"/>
        </w:rPr>
        <w:t>后参与评审。对于同时属于小微企业、监狱企业或残疾人福利性单位的，不重复进行投标报价扣除。</w:t>
      </w:r>
    </w:p>
    <w:p w14:paraId="632906E6">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sz w:val="24"/>
          <w:szCs w:val="24"/>
          <w:highlight w:val="none"/>
          <w:u w:val="single"/>
          <w:lang w:val="en-US" w:eastAsia="zh-CN"/>
        </w:rPr>
        <w:t xml:space="preserve"> 30 %</w:t>
      </w:r>
      <w:r>
        <w:rPr>
          <w:rFonts w:hint="eastAsia" w:ascii="仿宋" w:hAnsi="仿宋" w:eastAsia="仿宋" w:cs="仿宋"/>
          <w:b w:val="0"/>
          <w:bCs w:val="0"/>
          <w:sz w:val="24"/>
          <w:szCs w:val="24"/>
          <w:highlight w:val="none"/>
          <w:lang w:val="en-US" w:eastAsia="zh-CN"/>
        </w:rPr>
        <w:t>以上的联合体或者大中型企业的报价给予</w:t>
      </w:r>
      <w:r>
        <w:rPr>
          <w:rFonts w:hint="eastAsia" w:ascii="仿宋" w:hAnsi="仿宋" w:eastAsia="仿宋" w:cs="仿宋"/>
          <w:b w:val="0"/>
          <w:bCs w:val="0"/>
          <w:sz w:val="24"/>
          <w:szCs w:val="24"/>
          <w:highlight w:val="none"/>
          <w:u w:val="single"/>
          <w:lang w:val="en-US" w:eastAsia="zh-CN"/>
        </w:rPr>
        <w:t xml:space="preserve"> 4% </w:t>
      </w:r>
      <w:r>
        <w:rPr>
          <w:rFonts w:hint="eastAsia" w:ascii="仿宋" w:hAnsi="仿宋" w:eastAsia="仿宋" w:cs="仿宋"/>
          <w:b w:val="0"/>
          <w:bCs w:val="0"/>
          <w:sz w:val="24"/>
          <w:szCs w:val="24"/>
          <w:highlight w:val="none"/>
          <w:lang w:val="en-US" w:eastAsia="zh-CN"/>
        </w:rPr>
        <w:t>的扣除，用扣除后的价格参加评审。</w:t>
      </w:r>
    </w:p>
    <w:p w14:paraId="2814E6F0">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组成联合体或者接受分包的小微企业与联合体内其他企业、分包企业之间存在直接控股、管理关系的，不享受价格扣除优惠政策。</w:t>
      </w:r>
    </w:p>
    <w:p w14:paraId="5EE31E1F">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价格扣除比例对小型企业和微型企业同等对待，不作区分。</w:t>
      </w:r>
    </w:p>
    <w:p w14:paraId="6CB745EA">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中小企业参加政府采购活动，应当按照招标文件给定的格式出具《中小企业声明函》，否则不得享受相关中小企业扶持政策。</w:t>
      </w:r>
    </w:p>
    <w:p w14:paraId="37B434AE">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监狱企业提供了由省级以上监狱管理局、戒毒管理局（含新疆生产建设兵团）出具的属于监狱企业的证明文件的，视同小微企业。</w:t>
      </w:r>
    </w:p>
    <w:p w14:paraId="4D3634E0">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残疾人福利性单位按招标文件要求提供了《残疾人福利性单位声明函》（见附件）的，视同小微企业。</w:t>
      </w:r>
    </w:p>
    <w:p w14:paraId="41FA4E6E">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若投标人同时属于小型或微型企业、监狱企业、残疾人福利性单位中的两种及以上，将不重复享受小微企业价格扣减的优惠政策。</w:t>
      </w:r>
    </w:p>
    <w:p w14:paraId="1F98E684">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sz w:val="24"/>
          <w:szCs w:val="24"/>
          <w:highlight w:val="none"/>
          <w:u w:val="single"/>
          <w:lang w:val="en-US" w:eastAsia="zh-CN"/>
        </w:rPr>
        <w:t>综合得分相同时排名优先。</w:t>
      </w:r>
    </w:p>
    <w:p w14:paraId="069EECF7">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szCs w:val="24"/>
          <w:highlight w:val="none"/>
          <w:u w:val="none"/>
          <w:lang w:val="en-US" w:eastAsia="zh-CN"/>
        </w:rPr>
        <w:t>无效投标</w:t>
      </w:r>
      <w:r>
        <w:rPr>
          <w:rFonts w:hint="eastAsia" w:ascii="仿宋" w:hAnsi="仿宋" w:eastAsia="仿宋" w:cs="仿宋"/>
          <w:b w:val="0"/>
          <w:bCs w:val="0"/>
          <w:sz w:val="24"/>
          <w:szCs w:val="24"/>
          <w:highlight w:val="none"/>
          <w:u w:val="none"/>
          <w:lang w:val="en-US" w:eastAsia="zh-CN"/>
        </w:rPr>
        <w:t>被拒绝。</w:t>
      </w:r>
    </w:p>
    <w:p w14:paraId="60918A19">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sz w:val="24"/>
          <w:szCs w:val="24"/>
          <w:highlight w:val="none"/>
          <w:u w:val="single"/>
          <w:lang w:val="en-US" w:eastAsia="zh-CN"/>
        </w:rPr>
        <w:t>综合得分相同时排名优先 。</w:t>
      </w:r>
    </w:p>
    <w:p w14:paraId="43CBDDD4">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同品牌处理办法：</w:t>
      </w:r>
    </w:p>
    <w:p w14:paraId="2FEDAE54">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如采用最低评标办法，则：</w:t>
      </w:r>
      <w:r>
        <w:rPr>
          <w:rFonts w:hint="eastAsia" w:ascii="仿宋" w:hAnsi="仿宋" w:eastAsia="仿宋" w:cs="仿宋"/>
          <w:b w:val="0"/>
          <w:bCs w:val="0"/>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7172C791">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如采用综合评标法，则：</w:t>
      </w:r>
      <w:r>
        <w:rPr>
          <w:rFonts w:hint="eastAsia" w:ascii="仿宋" w:hAnsi="仿宋" w:eastAsia="仿宋" w:cs="仿宋"/>
          <w:b w:val="0"/>
          <w:bCs w:val="0"/>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D66BBB6">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如一个分包内包含多种产品的，采购人或采购代理机构将在</w:t>
      </w:r>
      <w:r>
        <w:rPr>
          <w:rFonts w:hint="eastAsia" w:ascii="仿宋" w:hAnsi="仿宋" w:eastAsia="仿宋" w:cs="仿宋"/>
          <w:b w:val="0"/>
          <w:bCs w:val="0"/>
          <w:sz w:val="24"/>
          <w:szCs w:val="24"/>
          <w:highlight w:val="none"/>
          <w:u w:val="single"/>
          <w:lang w:val="en-US" w:eastAsia="zh-CN"/>
        </w:rPr>
        <w:t>投标人须知前附表</w:t>
      </w:r>
      <w:r>
        <w:rPr>
          <w:rFonts w:hint="eastAsia" w:ascii="仿宋" w:hAnsi="仿宋" w:eastAsia="仿宋" w:cs="仿宋"/>
          <w:b w:val="0"/>
          <w:bCs w:val="0"/>
          <w:sz w:val="24"/>
          <w:szCs w:val="24"/>
          <w:highlight w:val="none"/>
          <w:u w:val="none"/>
          <w:lang w:val="en-US" w:eastAsia="zh-CN"/>
        </w:rPr>
        <w:t xml:space="preserve">中载明核心产品，多家投标人提供的所有核心产品品牌均相同的，按前两条规定处理。 </w:t>
      </w:r>
    </w:p>
    <w:p w14:paraId="1D9D9E6D">
      <w:pPr>
        <w:keepNext w:val="0"/>
        <w:keepLines w:val="0"/>
        <w:pageBreakBefore w:val="0"/>
        <w:widowControl w:val="0"/>
        <w:numPr>
          <w:ilvl w:val="1"/>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确定中标候选人名单</w:t>
      </w:r>
    </w:p>
    <w:p w14:paraId="7619B624">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7CB912E">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1B46A3BE">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评标委员会要对评分汇总情况进行复核，特别是对排名第一的、报价最低的、投标或响应文件被认定为无效的情形进行重点复核。</w:t>
      </w:r>
    </w:p>
    <w:p w14:paraId="3AF92A04">
      <w:pPr>
        <w:keepNext w:val="0"/>
        <w:keepLines w:val="0"/>
        <w:pageBreakBefore w:val="0"/>
        <w:widowControl w:val="0"/>
        <w:numPr>
          <w:ilvl w:val="2"/>
          <w:numId w:val="1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sz w:val="24"/>
          <w:szCs w:val="24"/>
          <w:highlight w:val="none"/>
          <w:u w:val="single"/>
          <w:lang w:val="en-US" w:eastAsia="zh-CN"/>
        </w:rPr>
        <w:t xml:space="preserve"> 1 </w:t>
      </w:r>
      <w:r>
        <w:rPr>
          <w:rFonts w:hint="eastAsia" w:ascii="仿宋" w:hAnsi="仿宋" w:eastAsia="仿宋" w:cs="仿宋"/>
          <w:b w:val="0"/>
          <w:bCs w:val="0"/>
          <w:sz w:val="24"/>
          <w:szCs w:val="24"/>
          <w:highlight w:val="none"/>
          <w:u w:val="none"/>
          <w:lang w:val="en-US" w:eastAsia="zh-CN"/>
        </w:rPr>
        <w:t>名中标候选人。</w:t>
      </w:r>
    </w:p>
    <w:p w14:paraId="454027AB">
      <w:pP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br w:type="page"/>
      </w:r>
    </w:p>
    <w:p w14:paraId="1F195053">
      <w:pPr>
        <w:pStyle w:val="2"/>
        <w:numPr>
          <w:ilvl w:val="0"/>
          <w:numId w:val="1"/>
        </w:numPr>
        <w:bidi w:val="0"/>
        <w:jc w:val="center"/>
        <w:rPr>
          <w:rFonts w:hint="eastAsia" w:ascii="仿宋" w:hAnsi="仿宋" w:eastAsia="仿宋" w:cs="仿宋"/>
          <w:sz w:val="32"/>
          <w:szCs w:val="32"/>
          <w:highlight w:val="none"/>
          <w:lang w:val="en-US" w:eastAsia="zh-CN"/>
        </w:rPr>
      </w:pPr>
      <w:bookmarkStart w:id="25" w:name="_Toc31337"/>
      <w:r>
        <w:rPr>
          <w:rFonts w:hint="eastAsia" w:ascii="仿宋" w:hAnsi="仿宋" w:eastAsia="仿宋" w:cs="仿宋"/>
          <w:sz w:val="32"/>
          <w:szCs w:val="32"/>
          <w:highlight w:val="none"/>
          <w:lang w:val="en-US" w:eastAsia="zh-CN"/>
        </w:rPr>
        <w:t>投标文件格式</w:t>
      </w:r>
      <w:bookmarkEnd w:id="25"/>
    </w:p>
    <w:p w14:paraId="499F77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u w:val="none"/>
          <w:lang w:val="en-US" w:eastAsia="zh-CN"/>
        </w:rPr>
      </w:pPr>
    </w:p>
    <w:p w14:paraId="5A4F4A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投标人编制文件须知</w:t>
      </w:r>
    </w:p>
    <w:p w14:paraId="76C93854">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为保证评标工作的顺利进行，各投标人需参照如下的格式，认真进行投标文件的编写工作。需建立详细的目录。</w:t>
      </w:r>
    </w:p>
    <w:p w14:paraId="35A57CF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各投标人提交文件中涉及商业机密的，应明确标明，采购人及最终用户将给予保密处理，否则视为公开资料。</w:t>
      </w:r>
    </w:p>
    <w:p w14:paraId="47A21270">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全部声明和问题的回答及所附材料必须是真实的、准确的和完整的。</w:t>
      </w:r>
    </w:p>
    <w:p w14:paraId="5386660B">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07843165">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“法定代表人（单位负责人）”指供应商营业执照或登记证书载明的“法定代表人”、“负责人”、“执行事务合伙人”、“投资人”等。</w:t>
      </w:r>
    </w:p>
    <w:p w14:paraId="7BE7ECA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634E47CE">
      <w:pP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br w:type="page"/>
      </w:r>
    </w:p>
    <w:p w14:paraId="2A3F93AA">
      <w:pPr>
        <w:keepNext w:val="0"/>
        <w:keepLines w:val="0"/>
        <w:widowControl/>
        <w:suppressLineNumbers w:val="0"/>
        <w:jc w:val="left"/>
        <w:rPr>
          <w:rFonts w:hint="eastAsia" w:ascii="仿宋" w:hAnsi="仿宋" w:eastAsia="仿宋" w:cs="仿宋"/>
          <w:b/>
          <w:bCs/>
          <w:color w:val="000000"/>
          <w:kern w:val="0"/>
          <w:sz w:val="24"/>
          <w:szCs w:val="24"/>
          <w:highlight w:val="none"/>
          <w:lang w:val="en-US" w:eastAsia="zh-CN" w:bidi="ar"/>
        </w:rPr>
      </w:pPr>
    </w:p>
    <w:p w14:paraId="46A2452E">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26" w:name="_Toc10196"/>
      <w:r>
        <w:rPr>
          <w:rFonts w:hint="eastAsia" w:ascii="仿宋" w:hAnsi="仿宋" w:eastAsia="仿宋" w:cs="仿宋"/>
          <w:b/>
          <w:bCs/>
          <w:color w:val="000000"/>
          <w:kern w:val="0"/>
          <w:sz w:val="24"/>
          <w:szCs w:val="24"/>
          <w:highlight w:val="none"/>
          <w:lang w:val="en-US" w:eastAsia="zh-CN" w:bidi="ar"/>
        </w:rPr>
        <w:t>投标文件封面（参考格式）</w:t>
      </w:r>
      <w:bookmarkEnd w:id="26"/>
    </w:p>
    <w:p w14:paraId="30CE0D33">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5C8D19C1">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7F23AE85">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投标文件</w:t>
      </w:r>
    </w:p>
    <w:p w14:paraId="5268B3CD">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0D371599">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1890A1D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14:paraId="6D6B6DFA">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56CCC08">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2A99CC0">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0CCB0B5">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507A901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 xml:space="preserve">项目编号/包号： </w:t>
      </w:r>
    </w:p>
    <w:p w14:paraId="67E2251B">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35444E6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投标人名称（盖公章）：</w:t>
      </w:r>
    </w:p>
    <w:p w14:paraId="1E925F39">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632D6E10">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040497F7">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840EE84">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B7005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459B83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1DFAEE1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14:paraId="13740A2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40F3167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1CABA53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8CD56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投标人具有良好的商业信誉和健全的财务会计制度的证明文件</w:t>
      </w:r>
    </w:p>
    <w:p w14:paraId="7FFE51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55B1F441">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27" w:name="_Toc16703"/>
      <w:r>
        <w:rPr>
          <w:rFonts w:hint="eastAsia" w:ascii="仿宋" w:hAnsi="仿宋" w:eastAsia="仿宋" w:cs="仿宋"/>
          <w:color w:val="000000"/>
          <w:kern w:val="0"/>
          <w:sz w:val="24"/>
          <w:highlight w:val="none"/>
          <w:u w:val="none"/>
          <w:lang w:bidi="ar"/>
        </w:rPr>
        <w:t>1、复印件并加盖本单位公章</w:t>
      </w:r>
      <w:bookmarkEnd w:id="27"/>
    </w:p>
    <w:p w14:paraId="687785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14:paraId="324ACA1A">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28" w:name="_Toc32425"/>
      <w:r>
        <w:rPr>
          <w:rFonts w:hint="eastAsia" w:ascii="仿宋" w:hAnsi="仿宋" w:eastAsia="仿宋" w:cs="仿宋"/>
          <w:color w:val="000000"/>
          <w:kern w:val="0"/>
          <w:sz w:val="24"/>
          <w:highlight w:val="none"/>
          <w:u w:val="none"/>
          <w:lang w:bidi="ar"/>
        </w:rPr>
        <w:t>3、如果是联合体投标，联合体各方均需提供上述证明。</w:t>
      </w:r>
      <w:bookmarkEnd w:id="28"/>
    </w:p>
    <w:p w14:paraId="5E0A0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68B837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29DA94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投标人缴纳税收的证明</w:t>
      </w:r>
    </w:p>
    <w:p w14:paraId="5C770F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3BD994F9">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29" w:name="_Toc7512"/>
      <w:r>
        <w:rPr>
          <w:rFonts w:hint="eastAsia" w:ascii="仿宋" w:hAnsi="仿宋" w:eastAsia="仿宋" w:cs="仿宋"/>
          <w:color w:val="000000"/>
          <w:kern w:val="0"/>
          <w:sz w:val="24"/>
          <w:highlight w:val="none"/>
          <w:u w:val="none"/>
          <w:lang w:bidi="ar"/>
        </w:rPr>
        <w:t>1、复印件并加盖本单位公章</w:t>
      </w:r>
      <w:bookmarkEnd w:id="29"/>
    </w:p>
    <w:p w14:paraId="7B81CE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14:paraId="13EA9DD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0" w:name="_Toc8376"/>
      <w:r>
        <w:rPr>
          <w:rFonts w:hint="eastAsia" w:ascii="仿宋" w:hAnsi="仿宋" w:eastAsia="仿宋" w:cs="仿宋"/>
          <w:color w:val="000000"/>
          <w:kern w:val="0"/>
          <w:sz w:val="24"/>
          <w:highlight w:val="none"/>
          <w:u w:val="none"/>
          <w:lang w:bidi="ar"/>
        </w:rPr>
        <w:t>3、如果是联合体投标，联合体各方均需提供上述证明。</w:t>
      </w:r>
      <w:r>
        <w:rPr>
          <w:rFonts w:hint="eastAsia" w:ascii="仿宋" w:hAnsi="仿宋" w:eastAsia="仿宋" w:cs="仿宋"/>
          <w:color w:val="000000"/>
          <w:kern w:val="0"/>
          <w:sz w:val="24"/>
          <w:highlight w:val="none"/>
          <w:u w:val="none"/>
          <w:lang w:bidi="ar"/>
        </w:rPr>
        <w:br w:type="page"/>
      </w:r>
      <w:bookmarkEnd w:id="30"/>
    </w:p>
    <w:p w14:paraId="4D31FD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投标人为职工缴纳社会保险的证明</w:t>
      </w:r>
    </w:p>
    <w:p w14:paraId="461CAA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83F96A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1" w:name="_Toc3006"/>
      <w:r>
        <w:rPr>
          <w:rFonts w:hint="eastAsia" w:ascii="仿宋" w:hAnsi="仿宋" w:eastAsia="仿宋" w:cs="仿宋"/>
          <w:color w:val="000000"/>
          <w:kern w:val="0"/>
          <w:sz w:val="24"/>
          <w:highlight w:val="none"/>
          <w:u w:val="none"/>
          <w:lang w:bidi="ar"/>
        </w:rPr>
        <w:t>1、复印件并加盖本单位公章</w:t>
      </w:r>
      <w:bookmarkEnd w:id="31"/>
    </w:p>
    <w:p w14:paraId="71751B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14:paraId="53647C0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2" w:name="_Toc28907"/>
      <w:r>
        <w:rPr>
          <w:rFonts w:hint="eastAsia" w:ascii="仿宋" w:hAnsi="仿宋" w:eastAsia="仿宋" w:cs="仿宋"/>
          <w:color w:val="000000"/>
          <w:kern w:val="0"/>
          <w:sz w:val="24"/>
          <w:highlight w:val="none"/>
          <w:u w:val="none"/>
          <w:lang w:bidi="ar"/>
        </w:rPr>
        <w:t>3、如果是联合体投标，联合体各方均需提供上述证明。</w:t>
      </w:r>
      <w:bookmarkEnd w:id="32"/>
    </w:p>
    <w:p w14:paraId="0C300D7B">
      <w:pPr>
        <w:rPr>
          <w:rFonts w:hint="eastAsia" w:ascii="仿宋" w:hAnsi="仿宋" w:eastAsia="仿宋" w:cs="仿宋"/>
          <w:color w:val="000000"/>
          <w:kern w:val="0"/>
          <w:sz w:val="24"/>
          <w:highlight w:val="none"/>
          <w:u w:val="none"/>
          <w:lang w:bidi="ar"/>
        </w:rPr>
      </w:pPr>
    </w:p>
    <w:p w14:paraId="2C286A64">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001C9B8C">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投标人资格声明书</w:t>
      </w:r>
    </w:p>
    <w:p w14:paraId="4C17AABF">
      <w:pPr>
        <w:rPr>
          <w:rFonts w:hint="eastAsia" w:ascii="仿宋" w:hAnsi="仿宋" w:eastAsia="仿宋" w:cs="仿宋"/>
          <w:color w:val="000000"/>
          <w:kern w:val="0"/>
          <w:sz w:val="24"/>
          <w:highlight w:val="none"/>
          <w:u w:val="none"/>
          <w:lang w:bidi="ar"/>
        </w:rPr>
      </w:pPr>
    </w:p>
    <w:p w14:paraId="2FB700E4">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14:paraId="7A484BB4">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A81991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6176C7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在参与本次项目投标中，我单位承诺： </w:t>
      </w:r>
    </w:p>
    <w:p w14:paraId="0A851E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630D7F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424DC3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2B1ACA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0422AA3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5A3143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614C8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3C37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6571BA67">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序号</w:t>
            </w:r>
          </w:p>
        </w:tc>
        <w:tc>
          <w:tcPr>
            <w:tcW w:w="3798" w:type="dxa"/>
            <w:vAlign w:val="center"/>
          </w:tcPr>
          <w:p w14:paraId="5836A0B6">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单位名称</w:t>
            </w:r>
          </w:p>
        </w:tc>
        <w:tc>
          <w:tcPr>
            <w:tcW w:w="3406" w:type="dxa"/>
            <w:vAlign w:val="center"/>
          </w:tcPr>
          <w:p w14:paraId="65B2FFDB">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相互关系</w:t>
            </w:r>
          </w:p>
        </w:tc>
      </w:tr>
      <w:tr w14:paraId="6BD2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0C4E298">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1</w:t>
            </w:r>
          </w:p>
        </w:tc>
        <w:tc>
          <w:tcPr>
            <w:tcW w:w="3798" w:type="dxa"/>
          </w:tcPr>
          <w:p w14:paraId="2F8447BE">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4A161CEF">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14:paraId="556C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C3635A9">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2</w:t>
            </w:r>
          </w:p>
        </w:tc>
        <w:tc>
          <w:tcPr>
            <w:tcW w:w="3798" w:type="dxa"/>
          </w:tcPr>
          <w:p w14:paraId="3BE7B09A">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7A9C83F0">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14:paraId="7EEF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62F8AF23">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w:t>
            </w:r>
          </w:p>
        </w:tc>
        <w:tc>
          <w:tcPr>
            <w:tcW w:w="3798" w:type="dxa"/>
          </w:tcPr>
          <w:p w14:paraId="49048839">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56F78153">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bl>
    <w:p w14:paraId="056279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050AC9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3BAB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2986A5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投标人名称：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14:paraId="00429BD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（签字或印鉴）</w:t>
      </w:r>
      <w:r>
        <w:rPr>
          <w:rFonts w:hint="eastAsia" w:ascii="仿宋" w:hAnsi="仿宋" w:eastAsia="仿宋" w:cs="仿宋"/>
          <w:color w:val="000000"/>
          <w:kern w:val="0"/>
          <w:sz w:val="24"/>
          <w:szCs w:val="24"/>
          <w:highlight w:val="none"/>
          <w:lang w:val="en-US" w:eastAsia="zh-CN" w:bidi="ar"/>
        </w:rPr>
        <w:tab/>
      </w:r>
    </w:p>
    <w:p w14:paraId="619F67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03C3AC4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0AB8680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说明：（1）单位负责人为同一人或者存在直接控股、管理关系的不同供应商，不得参加同一合同项下的政府采购活动。</w:t>
      </w:r>
    </w:p>
    <w:p w14:paraId="5E29A88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（2）本条所指单位负责人为同一人指单位法定代表人或者法律、行政法规规定代表单位行使职权的主要负责人。</w:t>
      </w:r>
    </w:p>
    <w:p w14:paraId="70AB809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（3）本条所指控股关系指单位或股东的控股关系。控股股东指:</w:t>
      </w:r>
    </w:p>
    <w:p w14:paraId="47EB7FA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a.出资额占有限责任公司资本总额百分之五十以上或者其持有的股份占股份有限公司股本总额百分之五十以上的股东；</w:t>
      </w:r>
    </w:p>
    <w:p w14:paraId="5F0B21B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75E37DF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（4）本条所指管理关系指不具有出资持股关系的其他单位之间存在的管理与被管理关系。</w:t>
      </w:r>
    </w:p>
    <w:p w14:paraId="41CB4CE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（5）本条所指的控股、管理关系仅限于直接控股、直接管理关系，不包括间接控股或管理关系。</w:t>
      </w:r>
    </w:p>
    <w:p w14:paraId="7A27A17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（6）如无相关情况，请在相应栏填写“无”。</w:t>
      </w:r>
    </w:p>
    <w:p w14:paraId="5D9351BF">
      <w:pPr>
        <w:rPr>
          <w:rFonts w:hint="eastAsia" w:ascii="仿宋" w:hAnsi="仿宋" w:eastAsia="仿宋" w:cs="仿宋"/>
          <w:color w:val="000000"/>
          <w:kern w:val="0"/>
          <w:sz w:val="24"/>
          <w:szCs w:val="24"/>
          <w:highlight w:val="none"/>
          <w:lang w:val="en-US" w:eastAsia="zh-CN" w:bidi="ar"/>
        </w:rPr>
      </w:pPr>
    </w:p>
    <w:p w14:paraId="755A5FC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6BAF2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3" w:name="_Toc32152"/>
      <w:r>
        <w:rPr>
          <w:rFonts w:hint="eastAsia" w:ascii="仿宋" w:hAnsi="仿宋" w:eastAsia="仿宋" w:cs="仿宋"/>
          <w:color w:val="000000"/>
          <w:kern w:val="0"/>
          <w:sz w:val="24"/>
          <w:szCs w:val="24"/>
          <w:highlight w:val="none"/>
          <w:lang w:val="en-US" w:eastAsia="zh-CN" w:bidi="ar"/>
        </w:rPr>
        <w:t>2 落实政府采购政策需满足的资格要求（如有）</w:t>
      </w:r>
      <w:bookmarkEnd w:id="33"/>
      <w:r>
        <w:rPr>
          <w:rFonts w:hint="eastAsia" w:ascii="仿宋" w:hAnsi="仿宋" w:eastAsia="仿宋" w:cs="仿宋"/>
          <w:color w:val="000000"/>
          <w:kern w:val="0"/>
          <w:sz w:val="24"/>
          <w:szCs w:val="24"/>
          <w:highlight w:val="none"/>
          <w:lang w:val="en-US" w:eastAsia="zh-CN" w:bidi="ar"/>
        </w:rPr>
        <w:t xml:space="preserve"> </w:t>
      </w:r>
    </w:p>
    <w:p w14:paraId="109E50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14:paraId="1D1A61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17963D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 </w:t>
      </w:r>
    </w:p>
    <w:p w14:paraId="238AC0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6D1247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92894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级以上监狱管理局、戒毒管理局（含新疆生产建设兵团）出具的属于监狱企业</w:t>
      </w:r>
    </w:p>
    <w:p w14:paraId="07B517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的证明文件，还须同时提供《拟分包情况说明》及《分包意向协议》，且建议</w:t>
      </w:r>
    </w:p>
    <w:p w14:paraId="08D89E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在资格证明文件部分提供。 </w:t>
      </w:r>
    </w:p>
    <w:p w14:paraId="0C89A3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2A2CF2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578E041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748DA6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2）对于联合体中由中小企业承担的部分，或者分包给中小企业的部分，必须全</w:t>
      </w:r>
    </w:p>
    <w:p w14:paraId="1B094E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部由中小企业制造、承建或者承接。供应商应当在声明函“标的名称”部分标明</w:t>
      </w:r>
    </w:p>
    <w:p w14:paraId="197041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联合体中中小企业承担的具体内容或者中小企业的具体分包内容。 </w:t>
      </w:r>
    </w:p>
    <w:p w14:paraId="0A8EDE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31F95C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2797E9">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F075A3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25"/>
          <w:rFonts w:hint="eastAsia" w:ascii="仿宋" w:hAnsi="仿宋" w:eastAsia="仿宋" w:cs="仿宋"/>
          <w:i w:val="0"/>
          <w:iCs w:val="0"/>
          <w:caps w:val="0"/>
          <w:color w:val="000000"/>
          <w:spacing w:val="0"/>
          <w:sz w:val="32"/>
          <w:szCs w:val="32"/>
          <w:highlight w:val="none"/>
        </w:rPr>
        <w:t>中小企业声明函</w:t>
      </w:r>
      <w:r>
        <w:rPr>
          <w:rStyle w:val="25"/>
          <w:rFonts w:hint="eastAsia" w:ascii="仿宋" w:hAnsi="仿宋" w:eastAsia="仿宋" w:cs="仿宋"/>
          <w:i w:val="0"/>
          <w:iCs w:val="0"/>
          <w:caps w:val="0"/>
          <w:color w:val="000000"/>
          <w:spacing w:val="0"/>
          <w:sz w:val="32"/>
          <w:szCs w:val="32"/>
          <w:highlight w:val="none"/>
          <w:lang w:eastAsia="zh-CN"/>
        </w:rPr>
        <w:t>（</w:t>
      </w:r>
      <w:r>
        <w:rPr>
          <w:rStyle w:val="25"/>
          <w:rFonts w:hint="eastAsia" w:ascii="仿宋" w:hAnsi="仿宋" w:eastAsia="仿宋" w:cs="仿宋"/>
          <w:i w:val="0"/>
          <w:iCs w:val="0"/>
          <w:caps w:val="0"/>
          <w:color w:val="000000"/>
          <w:spacing w:val="0"/>
          <w:sz w:val="32"/>
          <w:szCs w:val="32"/>
          <w:highlight w:val="none"/>
        </w:rPr>
        <w:t>货物</w:t>
      </w:r>
      <w:r>
        <w:rPr>
          <w:rStyle w:val="25"/>
          <w:rFonts w:hint="eastAsia" w:ascii="仿宋" w:hAnsi="仿宋" w:eastAsia="仿宋" w:cs="仿宋"/>
          <w:i w:val="0"/>
          <w:iCs w:val="0"/>
          <w:caps w:val="0"/>
          <w:color w:val="000000"/>
          <w:spacing w:val="0"/>
          <w:sz w:val="32"/>
          <w:szCs w:val="32"/>
          <w:highlight w:val="none"/>
          <w:lang w:eastAsia="zh-CN"/>
        </w:rPr>
        <w:t>）</w:t>
      </w:r>
    </w:p>
    <w:p w14:paraId="441DAA12">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14:paraId="7D16E0C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14:paraId="760CD20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645D9AA1">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7E3CD96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14:paraId="1E9C5B2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07A34AF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14:paraId="4C6775B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14:paraId="3557DBB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4E4CE7C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43941AD9">
      <w:pPr>
        <w:rPr>
          <w:rFonts w:hint="eastAsia" w:ascii="仿宋" w:hAnsi="仿宋" w:eastAsia="仿宋" w:cs="仿宋"/>
          <w:b w:val="0"/>
          <w:bCs w:val="0"/>
          <w:color w:val="000000"/>
          <w:kern w:val="0"/>
          <w:sz w:val="21"/>
          <w:szCs w:val="21"/>
          <w:highlight w:val="none"/>
          <w:lang w:val="en-US" w:eastAsia="zh-CN" w:bidi="ar"/>
        </w:rPr>
      </w:pPr>
    </w:p>
    <w:p w14:paraId="671D4511">
      <w:pPr>
        <w:rPr>
          <w:rFonts w:hint="eastAsia" w:ascii="仿宋" w:hAnsi="仿宋" w:eastAsia="仿宋" w:cs="仿宋"/>
          <w:b w:val="0"/>
          <w:bCs w:val="0"/>
          <w:color w:val="000000"/>
          <w:kern w:val="0"/>
          <w:sz w:val="21"/>
          <w:szCs w:val="21"/>
          <w:highlight w:val="none"/>
          <w:lang w:val="en-US" w:eastAsia="zh-CN" w:bidi="ar"/>
        </w:rPr>
      </w:pPr>
    </w:p>
    <w:p w14:paraId="7134AC88">
      <w:pPr>
        <w:rPr>
          <w:rFonts w:hint="eastAsia" w:ascii="仿宋" w:hAnsi="仿宋" w:eastAsia="仿宋" w:cs="仿宋"/>
          <w:b w:val="0"/>
          <w:bCs w:val="0"/>
          <w:color w:val="000000"/>
          <w:kern w:val="0"/>
          <w:sz w:val="21"/>
          <w:szCs w:val="21"/>
          <w:highlight w:val="none"/>
          <w:lang w:val="en-US" w:eastAsia="zh-CN" w:bidi="ar"/>
        </w:rPr>
      </w:pPr>
    </w:p>
    <w:p w14:paraId="4AF3811B">
      <w:pPr>
        <w:rPr>
          <w:rFonts w:hint="eastAsia" w:ascii="仿宋" w:hAnsi="仿宋" w:eastAsia="仿宋" w:cs="仿宋"/>
          <w:b w:val="0"/>
          <w:bCs w:val="0"/>
          <w:color w:val="000000"/>
          <w:kern w:val="0"/>
          <w:sz w:val="21"/>
          <w:szCs w:val="21"/>
          <w:highlight w:val="none"/>
          <w:lang w:val="en-US" w:eastAsia="zh-CN" w:bidi="ar"/>
        </w:rPr>
      </w:pPr>
    </w:p>
    <w:p w14:paraId="79861381">
      <w:pPr>
        <w:rPr>
          <w:rFonts w:hint="eastAsia" w:ascii="仿宋" w:hAnsi="仿宋" w:eastAsia="仿宋" w:cs="仿宋"/>
          <w:b w:val="0"/>
          <w:bCs w:val="0"/>
          <w:color w:val="000000"/>
          <w:kern w:val="0"/>
          <w:sz w:val="21"/>
          <w:szCs w:val="21"/>
          <w:highlight w:val="none"/>
          <w:lang w:val="en-US" w:eastAsia="zh-CN" w:bidi="ar"/>
        </w:rPr>
      </w:pPr>
    </w:p>
    <w:p w14:paraId="6F3084EF">
      <w:pPr>
        <w:rPr>
          <w:rFonts w:hint="eastAsia" w:ascii="仿宋" w:hAnsi="仿宋" w:eastAsia="仿宋" w:cs="仿宋"/>
          <w:b w:val="0"/>
          <w:bCs w:val="0"/>
          <w:color w:val="000000"/>
          <w:kern w:val="0"/>
          <w:sz w:val="21"/>
          <w:szCs w:val="21"/>
          <w:highlight w:val="none"/>
          <w:lang w:val="en-US" w:eastAsia="zh-CN" w:bidi="ar"/>
        </w:rPr>
      </w:pPr>
    </w:p>
    <w:p w14:paraId="57537CA1">
      <w:pPr>
        <w:rPr>
          <w:rFonts w:hint="eastAsia" w:ascii="仿宋" w:hAnsi="仿宋" w:eastAsia="仿宋" w:cs="仿宋"/>
          <w:b w:val="0"/>
          <w:bCs w:val="0"/>
          <w:color w:val="000000"/>
          <w:kern w:val="0"/>
          <w:sz w:val="21"/>
          <w:szCs w:val="21"/>
          <w:highlight w:val="none"/>
          <w:lang w:val="en-US" w:eastAsia="zh-CN" w:bidi="ar"/>
        </w:rPr>
      </w:pPr>
    </w:p>
    <w:p w14:paraId="0511C775">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4E19713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F6C76B4">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72BD7C1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2B4B436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71B37ADC">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56C70A6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11171AB4">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1520935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A6D4B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B5811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50E0DF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0B5FECA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C009E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2-2 拟分包情况说明及分包意向协议 </w:t>
      </w:r>
    </w:p>
    <w:p w14:paraId="2B4A57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4D7B5B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14:paraId="49D4AC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595BF1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6745CF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我单位参加贵单位组织采购的项目编号为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（填写包号） </w:t>
      </w:r>
      <w:r>
        <w:rPr>
          <w:rFonts w:hint="eastAsia" w:ascii="仿宋" w:hAnsi="仿宋" w:eastAsia="仿宋" w:cs="仿宋"/>
          <w:color w:val="000000"/>
          <w:kern w:val="0"/>
          <w:sz w:val="24"/>
          <w:szCs w:val="24"/>
          <w:highlight w:val="none"/>
          <w:lang w:val="en-US" w:eastAsia="zh-CN" w:bidi="ar"/>
        </w:rPr>
        <w:t xml:space="preserve">包的投标。拟签订分包合同的单位情况如下表所示，我单 </w:t>
      </w:r>
    </w:p>
    <w:p w14:paraId="24ACBE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2066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4A218F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323" w:type="dxa"/>
            <w:vAlign w:val="center"/>
          </w:tcPr>
          <w:p w14:paraId="7011DC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14:paraId="10976B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38" w:type="dxa"/>
            <w:vAlign w:val="center"/>
          </w:tcPr>
          <w:p w14:paraId="053AE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14:paraId="0C2A3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14:paraId="5486E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1123" w:type="dxa"/>
            <w:vAlign w:val="center"/>
          </w:tcPr>
          <w:p w14:paraId="556BD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54" w:type="dxa"/>
            <w:vAlign w:val="center"/>
          </w:tcPr>
          <w:p w14:paraId="7E50D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2D8AC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39" w:type="dxa"/>
            <w:vAlign w:val="center"/>
          </w:tcPr>
          <w:p w14:paraId="60764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695A4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14:paraId="25B0E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422" w:type="dxa"/>
            <w:vAlign w:val="center"/>
          </w:tcPr>
          <w:p w14:paraId="689A3D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14:paraId="3366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78E66A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1</w:t>
            </w:r>
          </w:p>
        </w:tc>
        <w:tc>
          <w:tcPr>
            <w:tcW w:w="1323" w:type="dxa"/>
            <w:vAlign w:val="center"/>
          </w:tcPr>
          <w:p w14:paraId="4D0564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14:paraId="7EE0728A">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2859B761">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14:paraId="548A10B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14:paraId="635BC19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14:paraId="732D0D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14:paraId="6DC27C4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17E3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E72DF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2</w:t>
            </w:r>
          </w:p>
        </w:tc>
        <w:tc>
          <w:tcPr>
            <w:tcW w:w="1323" w:type="dxa"/>
            <w:vAlign w:val="center"/>
          </w:tcPr>
          <w:p w14:paraId="3F64CDE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14:paraId="1AE21BC3">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11886B95">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14:paraId="4DE736D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14:paraId="6737C6A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14:paraId="5706A2A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14:paraId="2CFBAA3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3735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8EC373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w:t>
            </w:r>
          </w:p>
        </w:tc>
        <w:tc>
          <w:tcPr>
            <w:tcW w:w="1323" w:type="dxa"/>
            <w:vAlign w:val="center"/>
          </w:tcPr>
          <w:p w14:paraId="02CC8B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14:paraId="24E6946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23" w:type="dxa"/>
            <w:vAlign w:val="center"/>
          </w:tcPr>
          <w:p w14:paraId="23C2D4E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14:paraId="031EBC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14:paraId="63B9FA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14:paraId="34FAFF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0FDA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3A368B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合计</w:t>
            </w:r>
          </w:p>
        </w:tc>
        <w:tc>
          <w:tcPr>
            <w:tcW w:w="1439" w:type="dxa"/>
            <w:vAlign w:val="center"/>
          </w:tcPr>
          <w:p w14:paraId="01CCB35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14:paraId="3164950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32317D3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5BC93B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u w:val="single"/>
          <w:lang w:val="en-US"/>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p>
    <w:p w14:paraId="4CBF17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5209B85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99B75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4E659F14">
      <w:pPr>
        <w:keepNext w:val="0"/>
        <w:keepLines w:val="0"/>
        <w:pageBreakBefore w:val="0"/>
        <w:widowControl/>
        <w:numPr>
          <w:ilvl w:val="0"/>
          <w:numId w:val="13"/>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本表仅在投标人“为落实政府采购政策”而向中小企业分包时填写。</w:t>
      </w:r>
    </w:p>
    <w:p w14:paraId="393FCDC4">
      <w:pPr>
        <w:keepNext w:val="0"/>
        <w:keepLines w:val="0"/>
        <w:pageBreakBefore w:val="0"/>
        <w:widowControl/>
        <w:numPr>
          <w:ilvl w:val="0"/>
          <w:numId w:val="13"/>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 xml:space="preserve">。 </w:t>
      </w:r>
    </w:p>
    <w:p w14:paraId="6D692B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（3）投标人与上述拟分包承担主体签署的《分包意向协议》后附。</w:t>
      </w:r>
    </w:p>
    <w:p w14:paraId="3B7F204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3533DA3">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14:paraId="21840E94">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4C59B41C">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39AB64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甲方（投标人）：</w:t>
      </w:r>
      <w:r>
        <w:rPr>
          <w:rFonts w:hint="eastAsia" w:ascii="仿宋" w:hAnsi="仿宋" w:eastAsia="仿宋" w:cs="仿宋"/>
          <w:color w:val="000000"/>
          <w:kern w:val="0"/>
          <w:sz w:val="24"/>
          <w:szCs w:val="24"/>
          <w:highlight w:val="none"/>
          <w:u w:val="single"/>
          <w:lang w:val="en-US" w:eastAsia="zh-CN" w:bidi="ar"/>
        </w:rPr>
        <w:t xml:space="preserve">                 </w:t>
      </w:r>
    </w:p>
    <w:p w14:paraId="630D7C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乙方（拟分包单位）：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199C6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甲方承诺，一旦在</w:t>
      </w:r>
      <w:r>
        <w:rPr>
          <w:rFonts w:hint="eastAsia" w:ascii="仿宋" w:hAnsi="仿宋" w:eastAsia="仿宋" w:cs="仿宋"/>
          <w:color w:val="000000"/>
          <w:kern w:val="0"/>
          <w:sz w:val="24"/>
          <w:szCs w:val="24"/>
          <w:highlight w:val="none"/>
          <w:u w:val="single"/>
          <w:lang w:val="en-US" w:eastAsia="zh-CN" w:bidi="ar"/>
        </w:rPr>
        <w:t xml:space="preserve">（采购项目名称）（项目编号/包号为：     </w:t>
      </w:r>
      <w:r>
        <w:rPr>
          <w:rFonts w:hint="eastAsia" w:ascii="仿宋" w:hAnsi="仿宋" w:eastAsia="仿宋" w:cs="仿宋"/>
          <w:color w:val="000000"/>
          <w:kern w:val="0"/>
          <w:sz w:val="24"/>
          <w:szCs w:val="24"/>
          <w:highlight w:val="none"/>
          <w:lang w:val="en-US" w:eastAsia="zh-CN" w:bidi="ar"/>
        </w:rPr>
        <w:t xml:space="preserve">）招标采购项目中获得采购合同，将按照下述约定将合同项下部分内容分包给乙方： </w:t>
      </w:r>
    </w:p>
    <w:p w14:paraId="41CDB4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4" w:name="_Toc22054"/>
      <w:r>
        <w:rPr>
          <w:rFonts w:hint="eastAsia" w:ascii="仿宋" w:hAnsi="仿宋" w:eastAsia="仿宋" w:cs="仿宋"/>
          <w:color w:val="000000"/>
          <w:kern w:val="0"/>
          <w:sz w:val="24"/>
          <w:szCs w:val="24"/>
          <w:highlight w:val="none"/>
          <w:lang w:val="en-US" w:eastAsia="zh-CN" w:bidi="ar"/>
        </w:rPr>
        <w:t>1.分包内容：</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34"/>
      <w:r>
        <w:rPr>
          <w:rFonts w:hint="eastAsia" w:ascii="仿宋" w:hAnsi="仿宋" w:eastAsia="仿宋" w:cs="仿宋"/>
          <w:color w:val="000000"/>
          <w:kern w:val="0"/>
          <w:sz w:val="24"/>
          <w:szCs w:val="24"/>
          <w:highlight w:val="none"/>
          <w:lang w:val="en-US" w:eastAsia="zh-CN" w:bidi="ar"/>
        </w:rPr>
        <w:t xml:space="preserve"> </w:t>
      </w:r>
    </w:p>
    <w:p w14:paraId="5F3735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2.分包金额：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，该金额占该采购包预算总金额的比例为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A64D3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乙方承诺将在上述情况下与甲方签订分包合同。 </w:t>
      </w:r>
    </w:p>
    <w:p w14:paraId="02B78C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本协议自各方盖章之日起生效，如甲方未在该项目（采购包）中标，本协议自动终止。 </w:t>
      </w:r>
    </w:p>
    <w:p w14:paraId="1992507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AF5F9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79B76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74C89F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DC439D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3063A2A9">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A637C91">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14:paraId="4E2B85B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602807B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0EB7B6B5">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3968C9D5">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14:paraId="7E2C409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06E46C8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38C314B">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  投标保证金凭证/交款单据电子件</w:t>
      </w:r>
    </w:p>
    <w:p w14:paraId="3EDA1C6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0DFECC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4E28FB6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2AE77C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31584BC1">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14:paraId="5CCD85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483C9A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14:paraId="5F65C9F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07945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12E164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（项目名称，项目编号/包号）</w:t>
      </w:r>
      <w:r>
        <w:rPr>
          <w:rFonts w:hint="eastAsia" w:ascii="仿宋" w:hAnsi="仿宋" w:eastAsia="仿宋" w:cs="仿宋"/>
          <w:color w:val="000000"/>
          <w:kern w:val="0"/>
          <w:sz w:val="24"/>
          <w:szCs w:val="24"/>
          <w:highlight w:val="none"/>
          <w:lang w:val="en-US" w:eastAsia="zh-CN" w:bidi="ar"/>
        </w:rPr>
        <w:t xml:space="preserve">组织的招标活动，并对 </w:t>
      </w:r>
    </w:p>
    <w:p w14:paraId="79AC16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此项目进行投标。 </w:t>
      </w:r>
    </w:p>
    <w:p w14:paraId="71AA7A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5"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35"/>
      <w:r>
        <w:rPr>
          <w:rFonts w:hint="eastAsia" w:ascii="仿宋" w:hAnsi="仿宋" w:eastAsia="仿宋" w:cs="仿宋"/>
          <w:color w:val="000000"/>
          <w:kern w:val="0"/>
          <w:sz w:val="24"/>
          <w:szCs w:val="24"/>
          <w:highlight w:val="none"/>
          <w:lang w:val="en-US" w:eastAsia="zh-CN" w:bidi="ar"/>
        </w:rPr>
        <w:t xml:space="preserve"> </w:t>
      </w:r>
    </w:p>
    <w:p w14:paraId="7A416E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7379C8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14:paraId="7B31265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6B8ABC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0C0DBA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6"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36"/>
      <w:r>
        <w:rPr>
          <w:rFonts w:hint="eastAsia" w:ascii="仿宋" w:hAnsi="仿宋" w:eastAsia="仿宋" w:cs="仿宋"/>
          <w:color w:val="000000"/>
          <w:kern w:val="0"/>
          <w:sz w:val="24"/>
          <w:szCs w:val="24"/>
          <w:highlight w:val="none"/>
          <w:lang w:val="en-US" w:eastAsia="zh-CN" w:bidi="ar"/>
        </w:rPr>
        <w:t xml:space="preserve"> </w:t>
      </w:r>
    </w:p>
    <w:p w14:paraId="0897A9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58D50B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353055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3F6552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2F33F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DBAE59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E178D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7" w:name="_Toc6076"/>
      <w:r>
        <w:rPr>
          <w:rFonts w:hint="eastAsia" w:ascii="仿宋" w:hAnsi="仿宋" w:eastAsia="仿宋" w:cs="仿宋"/>
          <w:color w:val="000000"/>
          <w:kern w:val="0"/>
          <w:sz w:val="24"/>
          <w:szCs w:val="24"/>
          <w:highlight w:val="none"/>
          <w:lang w:val="en-US" w:eastAsia="zh-CN" w:bidi="ar"/>
        </w:rPr>
        <w:t>6  授权委托书</w:t>
      </w:r>
      <w:bookmarkEnd w:id="37"/>
      <w:r>
        <w:rPr>
          <w:rFonts w:hint="eastAsia" w:ascii="仿宋" w:hAnsi="仿宋" w:eastAsia="仿宋" w:cs="仿宋"/>
          <w:color w:val="000000"/>
          <w:kern w:val="0"/>
          <w:sz w:val="24"/>
          <w:szCs w:val="24"/>
          <w:highlight w:val="none"/>
          <w:lang w:val="en-US" w:eastAsia="zh-CN" w:bidi="ar"/>
        </w:rPr>
        <w:t xml:space="preserve"> </w:t>
      </w:r>
    </w:p>
    <w:p w14:paraId="0DE8921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1C8339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4944D8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4E9C83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14:paraId="7431F31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3137769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78EA1B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61680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B0416B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5689A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41B5A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58E4E3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D7EB7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0AF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585B6C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7682033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B2D55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F70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0250571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1C24CF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3D3604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1A19126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2C2FFF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8" w:name="_Toc18807"/>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38"/>
    </w:p>
    <w:p w14:paraId="0F0B444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1A545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0FA36F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2E88B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33CC3D9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0A0A10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31923F8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56B346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5FAB6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92E80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490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51C1DB5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6CA4A27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408E0E3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0E569E3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03764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CD20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6C3C35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2545E28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3AC8E11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35077B4">
      <w:pPr>
        <w:outlineLvl w:val="1"/>
        <w:rPr>
          <w:rFonts w:hint="eastAsia" w:ascii="仿宋" w:hAnsi="仿宋" w:eastAsia="仿宋" w:cs="仿宋"/>
          <w:sz w:val="24"/>
          <w:szCs w:val="24"/>
          <w:highlight w:val="none"/>
          <w:lang w:val="en-US" w:eastAsia="zh-CN"/>
        </w:rPr>
      </w:pPr>
      <w:bookmarkStart w:id="39" w:name="_Toc23107"/>
      <w:r>
        <w:rPr>
          <w:rFonts w:hint="eastAsia" w:ascii="仿宋" w:hAnsi="仿宋" w:eastAsia="仿宋" w:cs="仿宋"/>
          <w:sz w:val="24"/>
          <w:szCs w:val="24"/>
          <w:highlight w:val="none"/>
          <w:lang w:val="en-US" w:eastAsia="zh-CN"/>
        </w:rPr>
        <w:t>7-1  开标一览表</w:t>
      </w:r>
      <w:bookmarkEnd w:id="39"/>
    </w:p>
    <w:p w14:paraId="3E061FB7">
      <w:pPr>
        <w:rPr>
          <w:rFonts w:hint="eastAsia" w:ascii="仿宋" w:hAnsi="仿宋" w:eastAsia="仿宋" w:cs="仿宋"/>
          <w:highlight w:val="none"/>
          <w:lang w:val="en-US" w:eastAsia="zh-CN"/>
        </w:rPr>
      </w:pPr>
    </w:p>
    <w:p w14:paraId="10B40C1B">
      <w:pPr>
        <w:spacing w:line="360" w:lineRule="auto"/>
        <w:jc w:val="center"/>
        <w:outlineLvl w:val="1"/>
        <w:rPr>
          <w:rFonts w:hint="eastAsia" w:ascii="仿宋" w:hAnsi="仿宋" w:eastAsia="仿宋" w:cs="仿宋"/>
          <w:bCs/>
          <w:sz w:val="28"/>
          <w:szCs w:val="28"/>
        </w:rPr>
      </w:pPr>
      <w:r>
        <w:rPr>
          <w:rFonts w:hint="eastAsia" w:ascii="仿宋" w:hAnsi="仿宋" w:eastAsia="仿宋" w:cs="仿宋"/>
          <w:bCs/>
          <w:sz w:val="28"/>
          <w:szCs w:val="28"/>
        </w:rPr>
        <w:t>开标一览表</w:t>
      </w:r>
    </w:p>
    <w:p w14:paraId="19107C20">
      <w:pPr>
        <w:tabs>
          <w:tab w:val="left" w:pos="9135"/>
        </w:tabs>
        <w:spacing w:line="360" w:lineRule="auto"/>
        <w:rPr>
          <w:rFonts w:hint="eastAsia" w:ascii="仿宋" w:hAnsi="仿宋" w:eastAsia="仿宋" w:cs="仿宋"/>
          <w:bCs/>
          <w:sz w:val="24"/>
          <w:szCs w:val="24"/>
          <w:u w:val="single"/>
        </w:rPr>
      </w:pPr>
      <w:r>
        <w:rPr>
          <w:rFonts w:hint="eastAsia" w:ascii="仿宋" w:hAnsi="仿宋" w:eastAsia="仿宋" w:cs="仿宋"/>
          <w:bCs/>
          <w:sz w:val="24"/>
          <w:szCs w:val="24"/>
        </w:rPr>
        <w:t>项目名称：　　　　　　　　　　</w:t>
      </w:r>
    </w:p>
    <w:p w14:paraId="51A6B9A5">
      <w:pPr>
        <w:tabs>
          <w:tab w:val="left" w:pos="9135"/>
        </w:tabs>
        <w:spacing w:line="360" w:lineRule="auto"/>
        <w:rPr>
          <w:rFonts w:hint="default" w:ascii="仿宋" w:hAnsi="仿宋" w:eastAsia="仿宋" w:cs="仿宋"/>
          <w:bCs/>
          <w:sz w:val="24"/>
          <w:szCs w:val="24"/>
          <w:u w:val="single"/>
          <w:lang w:val="en-US" w:eastAsia="zh-CN"/>
        </w:rPr>
      </w:pPr>
      <w:r>
        <w:rPr>
          <w:rFonts w:hint="eastAsia" w:ascii="仿宋" w:hAnsi="仿宋" w:eastAsia="仿宋" w:cs="仿宋"/>
          <w:bCs/>
          <w:sz w:val="24"/>
          <w:szCs w:val="24"/>
        </w:rPr>
        <w:t>项目编号：　　　　　　　　　　</w:t>
      </w:r>
      <w:r>
        <w:rPr>
          <w:rFonts w:hint="eastAsia" w:ascii="仿宋" w:hAnsi="仿宋" w:eastAsia="仿宋" w:cs="仿宋"/>
          <w:bCs/>
        </w:rPr>
        <w:t xml:space="preserve">                            单    位：</w:t>
      </w:r>
      <w:r>
        <w:rPr>
          <w:rFonts w:hint="eastAsia" w:ascii="仿宋" w:hAnsi="仿宋" w:eastAsia="仿宋" w:cs="仿宋"/>
          <w:bCs/>
          <w:highlight w:val="none"/>
        </w:rPr>
        <w:t>元/</w:t>
      </w:r>
      <w:r>
        <w:rPr>
          <w:rFonts w:hint="eastAsia" w:ascii="仿宋" w:hAnsi="仿宋" w:eastAsia="仿宋" w:cs="仿宋"/>
          <w:bCs/>
          <w:highlight w:val="none"/>
          <w:lang w:val="en-US" w:eastAsia="zh-CN"/>
        </w:rPr>
        <w:t>ml/L</w:t>
      </w:r>
    </w:p>
    <w:tbl>
      <w:tblPr>
        <w:tblStyle w:val="22"/>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7797"/>
      </w:tblGrid>
      <w:tr w14:paraId="5D3D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447" w:type="dxa"/>
            <w:gridSpan w:val="2"/>
            <w:noWrap w:val="0"/>
            <w:vAlign w:val="center"/>
          </w:tcPr>
          <w:p w14:paraId="1D215908">
            <w:pPr>
              <w:tabs>
                <w:tab w:val="left" w:pos="9135"/>
              </w:tabs>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项目</w:t>
            </w:r>
            <w:r>
              <w:rPr>
                <w:rFonts w:hint="eastAsia" w:ascii="仿宋" w:hAnsi="仿宋" w:eastAsia="仿宋" w:cs="仿宋"/>
                <w:bCs/>
                <w:sz w:val="24"/>
                <w:szCs w:val="24"/>
              </w:rPr>
              <w:t>名称</w:t>
            </w:r>
            <w:r>
              <w:rPr>
                <w:rFonts w:hint="eastAsia" w:ascii="仿宋" w:hAnsi="仿宋" w:eastAsia="仿宋" w:cs="仿宋"/>
                <w:bCs/>
                <w:sz w:val="24"/>
                <w:szCs w:val="24"/>
                <w:lang w:eastAsia="zh-CN"/>
              </w:rPr>
              <w:t>：</w:t>
            </w:r>
          </w:p>
        </w:tc>
      </w:tr>
      <w:tr w14:paraId="4874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650" w:type="dxa"/>
            <w:noWrap w:val="0"/>
            <w:vAlign w:val="center"/>
          </w:tcPr>
          <w:p w14:paraId="0750DEF4">
            <w:pPr>
              <w:tabs>
                <w:tab w:val="left" w:pos="9135"/>
              </w:tabs>
              <w:spacing w:line="360" w:lineRule="auto"/>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rPr>
              <w:t>投标报价</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单价合计</w:t>
            </w:r>
            <w:r>
              <w:rPr>
                <w:rFonts w:hint="eastAsia" w:ascii="仿宋" w:hAnsi="仿宋" w:eastAsia="仿宋" w:cs="仿宋"/>
                <w:bCs/>
                <w:sz w:val="24"/>
                <w:szCs w:val="24"/>
                <w:highlight w:val="none"/>
                <w:lang w:eastAsia="zh-CN"/>
              </w:rPr>
              <w:t>）</w:t>
            </w:r>
          </w:p>
        </w:tc>
        <w:tc>
          <w:tcPr>
            <w:tcW w:w="7797" w:type="dxa"/>
            <w:noWrap w:val="0"/>
            <w:vAlign w:val="center"/>
          </w:tcPr>
          <w:p w14:paraId="21DC23C7">
            <w:pPr>
              <w:tabs>
                <w:tab w:val="left" w:pos="9135"/>
              </w:tabs>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小写</w:t>
            </w:r>
            <w:r>
              <w:rPr>
                <w:rFonts w:hint="eastAsia" w:ascii="仿宋" w:hAnsi="仿宋" w:eastAsia="仿宋" w:cs="仿宋"/>
                <w:bCs/>
                <w:highlight w:val="none"/>
              </w:rPr>
              <w:t>（元/</w:t>
            </w:r>
            <w:r>
              <w:rPr>
                <w:rFonts w:hint="eastAsia" w:ascii="仿宋" w:hAnsi="仿宋" w:eastAsia="仿宋" w:cs="仿宋"/>
                <w:bCs/>
                <w:highlight w:val="none"/>
                <w:lang w:val="en-US" w:eastAsia="zh-CN"/>
              </w:rPr>
              <w:t>ml/L</w:t>
            </w:r>
            <w:r>
              <w:rPr>
                <w:rFonts w:hint="eastAsia" w:ascii="仿宋" w:hAnsi="仿宋" w:eastAsia="仿宋" w:cs="仿宋"/>
                <w:bCs/>
                <w:highlight w:val="none"/>
              </w:rPr>
              <w:t>）：</w:t>
            </w:r>
          </w:p>
          <w:p w14:paraId="1A676BFA">
            <w:pPr>
              <w:tabs>
                <w:tab w:val="left" w:pos="9135"/>
              </w:tabs>
              <w:spacing w:line="360" w:lineRule="auto"/>
              <w:jc w:val="both"/>
              <w:rPr>
                <w:rFonts w:hint="eastAsia" w:ascii="仿宋" w:hAnsi="仿宋" w:eastAsia="仿宋" w:cs="仿宋"/>
                <w:bCs/>
                <w:sz w:val="24"/>
                <w:szCs w:val="24"/>
                <w:highlight w:val="none"/>
              </w:rPr>
            </w:pPr>
            <w:r>
              <w:rPr>
                <w:rFonts w:hint="eastAsia" w:ascii="仿宋" w:hAnsi="仿宋" w:eastAsia="仿宋" w:cs="仿宋"/>
                <w:bCs/>
                <w:highlight w:val="none"/>
              </w:rPr>
              <w:t>大写（元/</w:t>
            </w:r>
            <w:r>
              <w:rPr>
                <w:rFonts w:hint="eastAsia" w:ascii="仿宋" w:hAnsi="仿宋" w:eastAsia="仿宋" w:cs="仿宋"/>
                <w:bCs/>
                <w:highlight w:val="none"/>
                <w:lang w:val="en-US" w:eastAsia="zh-CN"/>
              </w:rPr>
              <w:t>ml/L</w:t>
            </w:r>
            <w:r>
              <w:rPr>
                <w:rFonts w:hint="eastAsia" w:ascii="仿宋" w:hAnsi="仿宋" w:eastAsia="仿宋" w:cs="仿宋"/>
                <w:bCs/>
                <w:highlight w:val="none"/>
              </w:rPr>
              <w:t>）：</w:t>
            </w:r>
          </w:p>
        </w:tc>
      </w:tr>
      <w:tr w14:paraId="3216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650" w:type="dxa"/>
            <w:noWrap w:val="0"/>
            <w:vAlign w:val="center"/>
          </w:tcPr>
          <w:p w14:paraId="7D373FB7">
            <w:pPr>
              <w:tabs>
                <w:tab w:val="left" w:pos="9135"/>
              </w:tabs>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交货期</w:t>
            </w:r>
          </w:p>
        </w:tc>
        <w:tc>
          <w:tcPr>
            <w:tcW w:w="7797" w:type="dxa"/>
            <w:noWrap w:val="0"/>
            <w:vAlign w:val="center"/>
          </w:tcPr>
          <w:p w14:paraId="14A7B50C">
            <w:pPr>
              <w:tabs>
                <w:tab w:val="left" w:pos="9135"/>
              </w:tabs>
              <w:spacing w:line="360" w:lineRule="auto"/>
              <w:jc w:val="center"/>
              <w:rPr>
                <w:rFonts w:hint="eastAsia" w:ascii="仿宋" w:hAnsi="仿宋" w:eastAsia="仿宋" w:cs="仿宋"/>
                <w:bCs/>
                <w:sz w:val="24"/>
                <w:szCs w:val="24"/>
                <w:highlight w:val="none"/>
              </w:rPr>
            </w:pPr>
          </w:p>
        </w:tc>
      </w:tr>
      <w:tr w14:paraId="4821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650" w:type="dxa"/>
            <w:noWrap w:val="0"/>
            <w:vAlign w:val="center"/>
          </w:tcPr>
          <w:p w14:paraId="6F07F3E0">
            <w:pPr>
              <w:tabs>
                <w:tab w:val="left" w:pos="9135"/>
              </w:tabs>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质保期</w:t>
            </w:r>
          </w:p>
        </w:tc>
        <w:tc>
          <w:tcPr>
            <w:tcW w:w="7797" w:type="dxa"/>
            <w:noWrap w:val="0"/>
            <w:vAlign w:val="center"/>
          </w:tcPr>
          <w:p w14:paraId="040BD914">
            <w:pPr>
              <w:tabs>
                <w:tab w:val="left" w:pos="9135"/>
              </w:tabs>
              <w:spacing w:line="360" w:lineRule="auto"/>
              <w:jc w:val="center"/>
              <w:rPr>
                <w:rFonts w:hint="eastAsia" w:ascii="仿宋" w:hAnsi="仿宋" w:eastAsia="仿宋" w:cs="仿宋"/>
                <w:bCs/>
                <w:sz w:val="24"/>
                <w:szCs w:val="24"/>
                <w:highlight w:val="none"/>
              </w:rPr>
            </w:pPr>
          </w:p>
        </w:tc>
      </w:tr>
    </w:tbl>
    <w:p w14:paraId="755BA50D">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p>
    <w:p w14:paraId="64234CAC">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p>
    <w:p w14:paraId="2BAC0F2E">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bCs/>
          <w:sz w:val="24"/>
          <w:szCs w:val="24"/>
        </w:rPr>
        <w:t>注：1、</w:t>
      </w:r>
      <w:r>
        <w:rPr>
          <w:rFonts w:hint="eastAsia" w:ascii="仿宋" w:hAnsi="仿宋" w:eastAsia="仿宋" w:cs="仿宋"/>
          <w:bCs/>
          <w:sz w:val="24"/>
          <w:szCs w:val="24"/>
          <w:lang w:val="en-US" w:eastAsia="zh-CN"/>
        </w:rPr>
        <w:t>各供应商需对第三章技术参数中所要求的所有规格及内容进行报价，单价以各产品对应规格进行报价。</w:t>
      </w:r>
    </w:p>
    <w:p w14:paraId="43208E83">
      <w:pPr>
        <w:keepNext w:val="0"/>
        <w:keepLines w:val="0"/>
        <w:pageBreakBefore w:val="0"/>
        <w:widowControl w:val="0"/>
        <w:numPr>
          <w:ilvl w:val="0"/>
          <w:numId w:val="14"/>
        </w:numPr>
        <w:tabs>
          <w:tab w:val="left" w:pos="9135"/>
        </w:tabs>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bCs/>
          <w:sz w:val="24"/>
          <w:szCs w:val="24"/>
        </w:rPr>
        <w:t>折扣条件与折扣声明应在表下注明。</w:t>
      </w:r>
    </w:p>
    <w:p w14:paraId="4B068087">
      <w:pPr>
        <w:keepNext w:val="0"/>
        <w:keepLines w:val="0"/>
        <w:pageBreakBefore w:val="0"/>
        <w:widowControl w:val="0"/>
        <w:numPr>
          <w:ilvl w:val="0"/>
          <w:numId w:val="14"/>
        </w:numPr>
        <w:tabs>
          <w:tab w:val="left" w:pos="9135"/>
        </w:tabs>
        <w:kinsoku/>
        <w:wordWrap/>
        <w:overflowPunct/>
        <w:topLinePunct w:val="0"/>
        <w:autoSpaceDE/>
        <w:autoSpaceDN/>
        <w:bidi w:val="0"/>
        <w:adjustRightInd/>
        <w:snapToGrid/>
        <w:spacing w:line="400" w:lineRule="exac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r>
        <w:rPr>
          <w:rFonts w:hint="eastAsia" w:ascii="仿宋" w:hAnsi="仿宋" w:eastAsia="仿宋" w:cs="仿宋"/>
          <w:b/>
          <w:bCs w:val="0"/>
          <w:sz w:val="24"/>
          <w:szCs w:val="24"/>
          <w:lang w:eastAsia="zh-CN"/>
        </w:rPr>
        <w:t>。</w:t>
      </w:r>
    </w:p>
    <w:p w14:paraId="7851BFCD">
      <w:pPr>
        <w:ind w:firstLine="4320" w:firstLineChars="1800"/>
        <w:jc w:val="center"/>
        <w:rPr>
          <w:rFonts w:hint="eastAsia" w:ascii="仿宋" w:hAnsi="仿宋" w:eastAsia="仿宋" w:cs="仿宋"/>
          <w:bCs/>
          <w:sz w:val="24"/>
          <w:szCs w:val="24"/>
        </w:rPr>
      </w:pPr>
    </w:p>
    <w:p w14:paraId="297650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E881C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30EC8AE">
      <w:pPr>
        <w:rPr>
          <w:rFonts w:hint="eastAsia" w:ascii="仿宋" w:hAnsi="仿宋" w:eastAsia="仿宋" w:cs="仿宋"/>
          <w:highlight w:val="none"/>
          <w:lang w:val="en-US" w:eastAsia="zh-CN"/>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highlight w:val="none"/>
          <w:lang w:val="en-US" w:eastAsia="zh-CN"/>
        </w:rPr>
        <w:br w:type="page"/>
      </w:r>
    </w:p>
    <w:p w14:paraId="094AA827">
      <w:pPr>
        <w:pStyle w:val="10"/>
        <w:ind w:left="0" w:leftChars="0" w:firstLine="0" w:firstLineChars="0"/>
        <w:outlineLvl w:val="1"/>
        <w:rPr>
          <w:rFonts w:hint="eastAsia" w:ascii="仿宋" w:hAnsi="仿宋" w:eastAsia="仿宋" w:cs="仿宋"/>
          <w:sz w:val="24"/>
          <w:szCs w:val="24"/>
          <w:highlight w:val="none"/>
          <w:lang w:val="en-US" w:eastAsia="zh-CN"/>
        </w:rPr>
      </w:pPr>
      <w:bookmarkStart w:id="40" w:name="_Toc7007"/>
      <w:r>
        <w:rPr>
          <w:rFonts w:hint="eastAsia" w:ascii="仿宋" w:hAnsi="仿宋" w:eastAsia="仿宋" w:cs="仿宋"/>
          <w:sz w:val="24"/>
          <w:szCs w:val="24"/>
          <w:highlight w:val="none"/>
          <w:lang w:val="en-US" w:eastAsia="zh-CN"/>
        </w:rPr>
        <w:t>7-2  投标分项报价表</w:t>
      </w:r>
      <w:bookmarkEnd w:id="40"/>
    </w:p>
    <w:p w14:paraId="49ED6C3C">
      <w:pPr>
        <w:spacing w:line="360" w:lineRule="auto"/>
        <w:jc w:val="center"/>
        <w:outlineLvl w:val="1"/>
        <w:rPr>
          <w:rFonts w:hint="eastAsia" w:ascii="仿宋" w:hAnsi="仿宋" w:eastAsia="仿宋" w:cs="仿宋"/>
          <w:bCs/>
          <w:sz w:val="28"/>
          <w:szCs w:val="28"/>
        </w:rPr>
      </w:pPr>
      <w:r>
        <w:rPr>
          <w:rFonts w:hint="eastAsia" w:ascii="仿宋" w:hAnsi="仿宋" w:eastAsia="仿宋" w:cs="仿宋"/>
          <w:bCs/>
          <w:sz w:val="28"/>
          <w:szCs w:val="28"/>
        </w:rPr>
        <w:t>分项报价表</w:t>
      </w:r>
    </w:p>
    <w:p w14:paraId="697262CE">
      <w:pPr>
        <w:spacing w:line="400" w:lineRule="atLeast"/>
        <w:rPr>
          <w:rFonts w:hint="eastAsia" w:ascii="仿宋" w:hAnsi="仿宋" w:eastAsia="仿宋" w:cs="仿宋"/>
          <w:bCs/>
          <w:sz w:val="24"/>
        </w:rPr>
      </w:pPr>
    </w:p>
    <w:p w14:paraId="76B17214">
      <w:pPr>
        <w:spacing w:line="400" w:lineRule="atLeast"/>
        <w:jc w:val="left"/>
        <w:rPr>
          <w:rFonts w:hint="eastAsia" w:ascii="仿宋" w:hAnsi="仿宋" w:eastAsia="仿宋" w:cs="仿宋"/>
          <w:bCs/>
          <w:sz w:val="24"/>
        </w:rPr>
      </w:pPr>
      <w:r>
        <w:rPr>
          <w:rFonts w:hint="eastAsia" w:ascii="仿宋" w:hAnsi="仿宋" w:eastAsia="仿宋" w:cs="仿宋"/>
          <w:bCs/>
          <w:sz w:val="24"/>
        </w:rPr>
        <w:t xml:space="preserve">项目名称：　　　　　　　　　　                  </w:t>
      </w:r>
    </w:p>
    <w:p w14:paraId="4E4A29F7">
      <w:pPr>
        <w:spacing w:line="400" w:lineRule="atLeast"/>
        <w:jc w:val="left"/>
        <w:rPr>
          <w:rFonts w:hint="eastAsia" w:ascii="仿宋" w:hAnsi="仿宋" w:eastAsia="仿宋" w:cs="仿宋"/>
          <w:bCs/>
          <w:sz w:val="24"/>
        </w:rPr>
      </w:pPr>
      <w:r>
        <w:rPr>
          <w:rFonts w:hint="eastAsia" w:ascii="仿宋" w:hAnsi="仿宋" w:eastAsia="仿宋" w:cs="仿宋"/>
          <w:bCs/>
          <w:sz w:val="24"/>
        </w:rPr>
        <w:t>项目编号：　　　　　　　　　　                       单    位：</w:t>
      </w:r>
      <w:r>
        <w:rPr>
          <w:rFonts w:hint="eastAsia" w:ascii="仿宋" w:hAnsi="仿宋" w:eastAsia="仿宋" w:cs="仿宋"/>
          <w:bCs/>
          <w:highlight w:val="none"/>
        </w:rPr>
        <w:t>元/</w:t>
      </w:r>
      <w:r>
        <w:rPr>
          <w:rFonts w:hint="eastAsia" w:ascii="仿宋" w:hAnsi="仿宋" w:eastAsia="仿宋" w:cs="仿宋"/>
          <w:bCs/>
          <w:highlight w:val="none"/>
          <w:lang w:val="en-US" w:eastAsia="zh-CN"/>
        </w:rPr>
        <w:t>ml/L</w:t>
      </w:r>
    </w:p>
    <w:tbl>
      <w:tblPr>
        <w:tblStyle w:val="22"/>
        <w:tblW w:w="10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60"/>
        <w:gridCol w:w="1590"/>
        <w:gridCol w:w="1193"/>
        <w:gridCol w:w="1229"/>
        <w:gridCol w:w="1030"/>
        <w:gridCol w:w="1536"/>
        <w:gridCol w:w="1224"/>
        <w:gridCol w:w="1059"/>
      </w:tblGrid>
      <w:tr w14:paraId="7850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blHeader/>
          <w:jc w:val="center"/>
        </w:trPr>
        <w:tc>
          <w:tcPr>
            <w:tcW w:w="717" w:type="dxa"/>
            <w:vMerge w:val="restart"/>
            <w:noWrap w:val="0"/>
            <w:vAlign w:val="center"/>
          </w:tcPr>
          <w:p w14:paraId="47CAA75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序号</w:t>
            </w:r>
          </w:p>
        </w:tc>
        <w:tc>
          <w:tcPr>
            <w:tcW w:w="1360" w:type="dxa"/>
            <w:vMerge w:val="restart"/>
            <w:noWrap w:val="0"/>
            <w:vAlign w:val="center"/>
          </w:tcPr>
          <w:p w14:paraId="108B5C0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产品名称</w:t>
            </w:r>
          </w:p>
        </w:tc>
        <w:tc>
          <w:tcPr>
            <w:tcW w:w="6578" w:type="dxa"/>
            <w:gridSpan w:val="5"/>
            <w:noWrap w:val="0"/>
            <w:vAlign w:val="center"/>
          </w:tcPr>
          <w:p w14:paraId="3E0B14BD">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投标产品信息</w:t>
            </w:r>
          </w:p>
          <w:p w14:paraId="1D8CE23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（应与医疗器械注册证或备案证信息一致）</w:t>
            </w:r>
          </w:p>
        </w:tc>
        <w:tc>
          <w:tcPr>
            <w:tcW w:w="1224" w:type="dxa"/>
            <w:vMerge w:val="restart"/>
            <w:noWrap w:val="0"/>
            <w:vAlign w:val="center"/>
          </w:tcPr>
          <w:p w14:paraId="3DE1CB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单价（</w:t>
            </w:r>
            <w:r>
              <w:rPr>
                <w:rFonts w:hint="eastAsia" w:ascii="仿宋" w:hAnsi="仿宋" w:eastAsia="仿宋" w:cs="仿宋"/>
                <w:bCs/>
                <w:highlight w:val="none"/>
              </w:rPr>
              <w:t>元/</w:t>
            </w:r>
            <w:r>
              <w:rPr>
                <w:rFonts w:hint="eastAsia" w:ascii="仿宋" w:hAnsi="仿宋" w:eastAsia="仿宋" w:cs="仿宋"/>
                <w:bCs/>
                <w:highlight w:val="none"/>
                <w:lang w:val="en-US" w:eastAsia="zh-CN"/>
              </w:rPr>
              <w:t>ml/L</w:t>
            </w:r>
            <w:r>
              <w:rPr>
                <w:rFonts w:hint="eastAsia" w:ascii="仿宋" w:hAnsi="仿宋" w:eastAsia="仿宋" w:cs="仿宋"/>
                <w:bCs/>
                <w:sz w:val="24"/>
                <w:szCs w:val="24"/>
                <w:lang w:val="en-US" w:eastAsia="zh-CN"/>
              </w:rPr>
              <w:t>）</w:t>
            </w:r>
          </w:p>
        </w:tc>
        <w:tc>
          <w:tcPr>
            <w:tcW w:w="1059" w:type="dxa"/>
            <w:vMerge w:val="restart"/>
            <w:noWrap w:val="0"/>
            <w:vAlign w:val="center"/>
          </w:tcPr>
          <w:p w14:paraId="2BEFD96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备注（包装规格）</w:t>
            </w:r>
          </w:p>
        </w:tc>
      </w:tr>
      <w:tr w14:paraId="5EF2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blHeader/>
          <w:jc w:val="center"/>
        </w:trPr>
        <w:tc>
          <w:tcPr>
            <w:tcW w:w="717" w:type="dxa"/>
            <w:vMerge w:val="continue"/>
            <w:noWrap w:val="0"/>
            <w:vAlign w:val="center"/>
          </w:tcPr>
          <w:p w14:paraId="3922EBE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rPr>
            </w:pPr>
          </w:p>
        </w:tc>
        <w:tc>
          <w:tcPr>
            <w:tcW w:w="1360" w:type="dxa"/>
            <w:vMerge w:val="continue"/>
            <w:noWrap w:val="0"/>
            <w:vAlign w:val="center"/>
          </w:tcPr>
          <w:p w14:paraId="5344CDF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rPr>
            </w:pPr>
          </w:p>
        </w:tc>
        <w:tc>
          <w:tcPr>
            <w:tcW w:w="1590" w:type="dxa"/>
            <w:noWrap w:val="0"/>
            <w:vAlign w:val="center"/>
          </w:tcPr>
          <w:p w14:paraId="46BB3B2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投标产品注册证名称</w:t>
            </w:r>
          </w:p>
        </w:tc>
        <w:tc>
          <w:tcPr>
            <w:tcW w:w="1193" w:type="dxa"/>
            <w:noWrap w:val="0"/>
            <w:vAlign w:val="center"/>
          </w:tcPr>
          <w:p w14:paraId="45F33BB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规格型号</w:t>
            </w:r>
          </w:p>
        </w:tc>
        <w:tc>
          <w:tcPr>
            <w:tcW w:w="1229" w:type="dxa"/>
            <w:noWrap w:val="0"/>
            <w:vAlign w:val="center"/>
          </w:tcPr>
          <w:p w14:paraId="332F296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rPr>
            </w:pPr>
            <w:r>
              <w:rPr>
                <w:rFonts w:hint="eastAsia" w:ascii="仿宋" w:hAnsi="仿宋" w:eastAsia="仿宋" w:cs="仿宋"/>
                <w:bCs/>
                <w:sz w:val="24"/>
                <w:szCs w:val="24"/>
              </w:rPr>
              <w:t>生产厂家</w:t>
            </w:r>
          </w:p>
        </w:tc>
        <w:tc>
          <w:tcPr>
            <w:tcW w:w="1030" w:type="dxa"/>
            <w:noWrap w:val="0"/>
            <w:vAlign w:val="center"/>
          </w:tcPr>
          <w:p w14:paraId="55B64ED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产地</w:t>
            </w:r>
          </w:p>
        </w:tc>
        <w:tc>
          <w:tcPr>
            <w:tcW w:w="1536" w:type="dxa"/>
            <w:noWrap w:val="0"/>
            <w:vAlign w:val="center"/>
          </w:tcPr>
          <w:p w14:paraId="06AB8CF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注册证号</w:t>
            </w:r>
          </w:p>
        </w:tc>
        <w:tc>
          <w:tcPr>
            <w:tcW w:w="1224" w:type="dxa"/>
            <w:vMerge w:val="continue"/>
            <w:noWrap w:val="0"/>
            <w:vAlign w:val="center"/>
          </w:tcPr>
          <w:p w14:paraId="363E2058">
            <w:pPr>
              <w:tabs>
                <w:tab w:val="left" w:pos="9135"/>
              </w:tabs>
              <w:spacing w:line="360" w:lineRule="auto"/>
              <w:jc w:val="center"/>
              <w:rPr>
                <w:rFonts w:hint="eastAsia" w:ascii="仿宋" w:hAnsi="仿宋" w:eastAsia="仿宋" w:cs="仿宋"/>
                <w:bCs/>
                <w:sz w:val="24"/>
                <w:szCs w:val="24"/>
                <w:lang w:val="en-US"/>
              </w:rPr>
            </w:pPr>
          </w:p>
        </w:tc>
        <w:tc>
          <w:tcPr>
            <w:tcW w:w="1059" w:type="dxa"/>
            <w:vMerge w:val="continue"/>
            <w:noWrap w:val="0"/>
            <w:vAlign w:val="center"/>
          </w:tcPr>
          <w:p w14:paraId="1F6899B5">
            <w:pPr>
              <w:tabs>
                <w:tab w:val="left" w:pos="9135"/>
              </w:tabs>
              <w:spacing w:line="360" w:lineRule="auto"/>
              <w:jc w:val="center"/>
              <w:rPr>
                <w:rFonts w:hint="eastAsia" w:ascii="仿宋" w:hAnsi="仿宋" w:eastAsia="仿宋" w:cs="仿宋"/>
                <w:bCs/>
                <w:sz w:val="24"/>
                <w:szCs w:val="24"/>
                <w:lang w:val="en-US"/>
              </w:rPr>
            </w:pPr>
          </w:p>
        </w:tc>
      </w:tr>
      <w:tr w14:paraId="26F2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7" w:type="dxa"/>
            <w:noWrap w:val="0"/>
            <w:vAlign w:val="center"/>
          </w:tcPr>
          <w:p w14:paraId="7CAC70ED">
            <w:pPr>
              <w:tabs>
                <w:tab w:val="left" w:pos="9135"/>
              </w:tabs>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360" w:type="dxa"/>
            <w:noWrap w:val="0"/>
            <w:vAlign w:val="center"/>
          </w:tcPr>
          <w:p w14:paraId="1B86B58C">
            <w:pPr>
              <w:tabs>
                <w:tab w:val="left" w:pos="9135"/>
              </w:tabs>
              <w:spacing w:line="360" w:lineRule="auto"/>
              <w:jc w:val="center"/>
              <w:rPr>
                <w:rFonts w:hint="eastAsia" w:ascii="仿宋" w:hAnsi="仿宋" w:eastAsia="仿宋" w:cs="仿宋"/>
                <w:bCs/>
                <w:sz w:val="24"/>
                <w:szCs w:val="24"/>
              </w:rPr>
            </w:pPr>
          </w:p>
        </w:tc>
        <w:tc>
          <w:tcPr>
            <w:tcW w:w="1590" w:type="dxa"/>
            <w:noWrap w:val="0"/>
            <w:vAlign w:val="center"/>
          </w:tcPr>
          <w:p w14:paraId="7680E071">
            <w:pPr>
              <w:tabs>
                <w:tab w:val="left" w:pos="9135"/>
              </w:tabs>
              <w:spacing w:line="360" w:lineRule="auto"/>
              <w:jc w:val="center"/>
              <w:rPr>
                <w:rFonts w:hint="eastAsia" w:ascii="仿宋" w:hAnsi="仿宋" w:eastAsia="仿宋" w:cs="仿宋"/>
                <w:bCs/>
                <w:sz w:val="24"/>
                <w:szCs w:val="24"/>
              </w:rPr>
            </w:pPr>
          </w:p>
        </w:tc>
        <w:tc>
          <w:tcPr>
            <w:tcW w:w="1193" w:type="dxa"/>
            <w:noWrap w:val="0"/>
            <w:vAlign w:val="center"/>
          </w:tcPr>
          <w:p w14:paraId="1449C85A">
            <w:pPr>
              <w:tabs>
                <w:tab w:val="left" w:pos="9135"/>
              </w:tabs>
              <w:spacing w:line="360" w:lineRule="auto"/>
              <w:jc w:val="center"/>
              <w:rPr>
                <w:rFonts w:hint="eastAsia" w:ascii="仿宋" w:hAnsi="仿宋" w:eastAsia="仿宋" w:cs="仿宋"/>
                <w:bCs/>
                <w:sz w:val="24"/>
                <w:szCs w:val="24"/>
              </w:rPr>
            </w:pPr>
          </w:p>
        </w:tc>
        <w:tc>
          <w:tcPr>
            <w:tcW w:w="1229" w:type="dxa"/>
            <w:noWrap w:val="0"/>
            <w:vAlign w:val="center"/>
          </w:tcPr>
          <w:p w14:paraId="39CFBE07">
            <w:pPr>
              <w:tabs>
                <w:tab w:val="left" w:pos="9135"/>
              </w:tabs>
              <w:spacing w:line="360" w:lineRule="auto"/>
              <w:jc w:val="center"/>
              <w:rPr>
                <w:rFonts w:hint="eastAsia" w:ascii="仿宋" w:hAnsi="仿宋" w:eastAsia="仿宋" w:cs="仿宋"/>
                <w:bCs/>
                <w:sz w:val="24"/>
                <w:szCs w:val="24"/>
              </w:rPr>
            </w:pPr>
          </w:p>
        </w:tc>
        <w:tc>
          <w:tcPr>
            <w:tcW w:w="1030" w:type="dxa"/>
            <w:noWrap w:val="0"/>
            <w:vAlign w:val="center"/>
          </w:tcPr>
          <w:p w14:paraId="100CFE53">
            <w:pPr>
              <w:tabs>
                <w:tab w:val="left" w:pos="9135"/>
              </w:tabs>
              <w:spacing w:line="360" w:lineRule="auto"/>
              <w:jc w:val="center"/>
              <w:rPr>
                <w:rFonts w:hint="eastAsia" w:ascii="仿宋" w:hAnsi="仿宋" w:eastAsia="仿宋" w:cs="仿宋"/>
                <w:bCs/>
                <w:sz w:val="24"/>
                <w:szCs w:val="24"/>
              </w:rPr>
            </w:pPr>
          </w:p>
        </w:tc>
        <w:tc>
          <w:tcPr>
            <w:tcW w:w="1536" w:type="dxa"/>
            <w:noWrap w:val="0"/>
            <w:vAlign w:val="center"/>
          </w:tcPr>
          <w:p w14:paraId="1806CE87">
            <w:pPr>
              <w:tabs>
                <w:tab w:val="left" w:pos="9135"/>
              </w:tabs>
              <w:spacing w:line="360" w:lineRule="auto"/>
              <w:jc w:val="center"/>
              <w:rPr>
                <w:rFonts w:hint="eastAsia" w:ascii="仿宋" w:hAnsi="仿宋" w:eastAsia="仿宋" w:cs="仿宋"/>
                <w:bCs/>
                <w:sz w:val="24"/>
                <w:szCs w:val="24"/>
              </w:rPr>
            </w:pPr>
          </w:p>
        </w:tc>
        <w:tc>
          <w:tcPr>
            <w:tcW w:w="1224" w:type="dxa"/>
            <w:noWrap w:val="0"/>
            <w:vAlign w:val="top"/>
          </w:tcPr>
          <w:p w14:paraId="586E8E88">
            <w:pPr>
              <w:tabs>
                <w:tab w:val="left" w:pos="9135"/>
              </w:tabs>
              <w:spacing w:line="360" w:lineRule="auto"/>
              <w:rPr>
                <w:rFonts w:hint="eastAsia" w:ascii="仿宋" w:hAnsi="仿宋" w:eastAsia="仿宋" w:cs="仿宋"/>
                <w:bCs/>
                <w:sz w:val="24"/>
                <w:szCs w:val="24"/>
              </w:rPr>
            </w:pPr>
          </w:p>
        </w:tc>
        <w:tc>
          <w:tcPr>
            <w:tcW w:w="1059" w:type="dxa"/>
            <w:noWrap w:val="0"/>
            <w:vAlign w:val="top"/>
          </w:tcPr>
          <w:p w14:paraId="405F2292">
            <w:pPr>
              <w:tabs>
                <w:tab w:val="left" w:pos="9135"/>
              </w:tabs>
              <w:spacing w:line="360" w:lineRule="auto"/>
              <w:rPr>
                <w:rFonts w:hint="eastAsia" w:ascii="仿宋" w:hAnsi="仿宋" w:eastAsia="仿宋" w:cs="仿宋"/>
                <w:bCs/>
                <w:sz w:val="24"/>
                <w:szCs w:val="24"/>
              </w:rPr>
            </w:pPr>
          </w:p>
        </w:tc>
      </w:tr>
      <w:tr w14:paraId="0BEF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7" w:type="dxa"/>
            <w:noWrap w:val="0"/>
            <w:vAlign w:val="center"/>
          </w:tcPr>
          <w:p w14:paraId="095ADB43">
            <w:pPr>
              <w:tabs>
                <w:tab w:val="left" w:pos="9135"/>
              </w:tabs>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1360" w:type="dxa"/>
            <w:noWrap w:val="0"/>
            <w:vAlign w:val="center"/>
          </w:tcPr>
          <w:p w14:paraId="7EFF463A">
            <w:pPr>
              <w:tabs>
                <w:tab w:val="left" w:pos="9135"/>
              </w:tabs>
              <w:spacing w:line="360" w:lineRule="auto"/>
              <w:jc w:val="center"/>
              <w:rPr>
                <w:rFonts w:hint="eastAsia" w:ascii="仿宋" w:hAnsi="仿宋" w:eastAsia="仿宋" w:cs="仿宋"/>
                <w:bCs/>
                <w:sz w:val="24"/>
                <w:szCs w:val="24"/>
              </w:rPr>
            </w:pPr>
          </w:p>
        </w:tc>
        <w:tc>
          <w:tcPr>
            <w:tcW w:w="1590" w:type="dxa"/>
            <w:noWrap w:val="0"/>
            <w:vAlign w:val="center"/>
          </w:tcPr>
          <w:p w14:paraId="0B4FD05E">
            <w:pPr>
              <w:tabs>
                <w:tab w:val="left" w:pos="9135"/>
              </w:tabs>
              <w:spacing w:line="360" w:lineRule="auto"/>
              <w:jc w:val="center"/>
              <w:rPr>
                <w:rFonts w:hint="eastAsia" w:ascii="仿宋" w:hAnsi="仿宋" w:eastAsia="仿宋" w:cs="仿宋"/>
                <w:bCs/>
                <w:sz w:val="24"/>
                <w:szCs w:val="24"/>
              </w:rPr>
            </w:pPr>
          </w:p>
        </w:tc>
        <w:tc>
          <w:tcPr>
            <w:tcW w:w="1193" w:type="dxa"/>
            <w:noWrap w:val="0"/>
            <w:vAlign w:val="center"/>
          </w:tcPr>
          <w:p w14:paraId="3BEFE81F">
            <w:pPr>
              <w:tabs>
                <w:tab w:val="left" w:pos="9135"/>
              </w:tabs>
              <w:spacing w:line="360" w:lineRule="auto"/>
              <w:jc w:val="center"/>
              <w:rPr>
                <w:rFonts w:hint="eastAsia" w:ascii="仿宋" w:hAnsi="仿宋" w:eastAsia="仿宋" w:cs="仿宋"/>
                <w:bCs/>
                <w:sz w:val="24"/>
                <w:szCs w:val="24"/>
              </w:rPr>
            </w:pPr>
          </w:p>
        </w:tc>
        <w:tc>
          <w:tcPr>
            <w:tcW w:w="1229" w:type="dxa"/>
            <w:noWrap w:val="0"/>
            <w:vAlign w:val="center"/>
          </w:tcPr>
          <w:p w14:paraId="33E6F302">
            <w:pPr>
              <w:tabs>
                <w:tab w:val="left" w:pos="9135"/>
              </w:tabs>
              <w:spacing w:line="360" w:lineRule="auto"/>
              <w:jc w:val="center"/>
              <w:rPr>
                <w:rFonts w:hint="eastAsia" w:ascii="仿宋" w:hAnsi="仿宋" w:eastAsia="仿宋" w:cs="仿宋"/>
                <w:bCs/>
                <w:sz w:val="24"/>
                <w:szCs w:val="24"/>
              </w:rPr>
            </w:pPr>
          </w:p>
        </w:tc>
        <w:tc>
          <w:tcPr>
            <w:tcW w:w="1030" w:type="dxa"/>
            <w:noWrap w:val="0"/>
            <w:vAlign w:val="center"/>
          </w:tcPr>
          <w:p w14:paraId="73461278">
            <w:pPr>
              <w:tabs>
                <w:tab w:val="left" w:pos="9135"/>
              </w:tabs>
              <w:spacing w:line="360" w:lineRule="auto"/>
              <w:jc w:val="center"/>
              <w:rPr>
                <w:rFonts w:hint="eastAsia" w:ascii="仿宋" w:hAnsi="仿宋" w:eastAsia="仿宋" w:cs="仿宋"/>
                <w:bCs/>
                <w:sz w:val="24"/>
                <w:szCs w:val="24"/>
              </w:rPr>
            </w:pPr>
          </w:p>
        </w:tc>
        <w:tc>
          <w:tcPr>
            <w:tcW w:w="1536" w:type="dxa"/>
            <w:noWrap w:val="0"/>
            <w:vAlign w:val="center"/>
          </w:tcPr>
          <w:p w14:paraId="61C65734">
            <w:pPr>
              <w:tabs>
                <w:tab w:val="left" w:pos="9135"/>
              </w:tabs>
              <w:spacing w:line="360" w:lineRule="auto"/>
              <w:jc w:val="center"/>
              <w:rPr>
                <w:rFonts w:hint="eastAsia" w:ascii="仿宋" w:hAnsi="仿宋" w:eastAsia="仿宋" w:cs="仿宋"/>
                <w:bCs/>
                <w:sz w:val="24"/>
                <w:szCs w:val="24"/>
              </w:rPr>
            </w:pPr>
          </w:p>
        </w:tc>
        <w:tc>
          <w:tcPr>
            <w:tcW w:w="1224" w:type="dxa"/>
            <w:noWrap w:val="0"/>
            <w:vAlign w:val="top"/>
          </w:tcPr>
          <w:p w14:paraId="0E67BE48">
            <w:pPr>
              <w:tabs>
                <w:tab w:val="left" w:pos="9135"/>
              </w:tabs>
              <w:spacing w:line="360" w:lineRule="auto"/>
              <w:rPr>
                <w:rFonts w:hint="eastAsia" w:ascii="仿宋" w:hAnsi="仿宋" w:eastAsia="仿宋" w:cs="仿宋"/>
                <w:bCs/>
                <w:sz w:val="24"/>
                <w:szCs w:val="24"/>
              </w:rPr>
            </w:pPr>
          </w:p>
        </w:tc>
        <w:tc>
          <w:tcPr>
            <w:tcW w:w="1059" w:type="dxa"/>
            <w:noWrap w:val="0"/>
            <w:vAlign w:val="top"/>
          </w:tcPr>
          <w:p w14:paraId="6BF0B8A4">
            <w:pPr>
              <w:tabs>
                <w:tab w:val="left" w:pos="9135"/>
              </w:tabs>
              <w:spacing w:line="360" w:lineRule="auto"/>
              <w:rPr>
                <w:rFonts w:hint="eastAsia" w:ascii="仿宋" w:hAnsi="仿宋" w:eastAsia="仿宋" w:cs="仿宋"/>
                <w:bCs/>
                <w:sz w:val="24"/>
                <w:szCs w:val="24"/>
              </w:rPr>
            </w:pPr>
          </w:p>
        </w:tc>
      </w:tr>
      <w:tr w14:paraId="6C4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7" w:type="dxa"/>
            <w:noWrap w:val="0"/>
            <w:vAlign w:val="center"/>
          </w:tcPr>
          <w:p w14:paraId="74F96276">
            <w:pPr>
              <w:tabs>
                <w:tab w:val="left" w:pos="9135"/>
              </w:tabs>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c>
          <w:tcPr>
            <w:tcW w:w="1360" w:type="dxa"/>
            <w:noWrap w:val="0"/>
            <w:vAlign w:val="center"/>
          </w:tcPr>
          <w:p w14:paraId="114C2E8F">
            <w:pPr>
              <w:tabs>
                <w:tab w:val="left" w:pos="9135"/>
              </w:tabs>
              <w:spacing w:line="360" w:lineRule="auto"/>
              <w:jc w:val="center"/>
              <w:rPr>
                <w:rFonts w:hint="eastAsia" w:ascii="仿宋" w:hAnsi="仿宋" w:eastAsia="仿宋" w:cs="仿宋"/>
                <w:bCs/>
                <w:sz w:val="24"/>
                <w:szCs w:val="24"/>
              </w:rPr>
            </w:pPr>
          </w:p>
        </w:tc>
        <w:tc>
          <w:tcPr>
            <w:tcW w:w="1590" w:type="dxa"/>
            <w:noWrap w:val="0"/>
            <w:vAlign w:val="center"/>
          </w:tcPr>
          <w:p w14:paraId="2A19E0DB">
            <w:pPr>
              <w:tabs>
                <w:tab w:val="left" w:pos="9135"/>
              </w:tabs>
              <w:spacing w:line="360" w:lineRule="auto"/>
              <w:jc w:val="center"/>
              <w:rPr>
                <w:rFonts w:hint="eastAsia" w:ascii="仿宋" w:hAnsi="仿宋" w:eastAsia="仿宋" w:cs="仿宋"/>
                <w:bCs/>
                <w:sz w:val="24"/>
                <w:szCs w:val="24"/>
              </w:rPr>
            </w:pPr>
          </w:p>
        </w:tc>
        <w:tc>
          <w:tcPr>
            <w:tcW w:w="1193" w:type="dxa"/>
            <w:noWrap w:val="0"/>
            <w:vAlign w:val="center"/>
          </w:tcPr>
          <w:p w14:paraId="492D6680">
            <w:pPr>
              <w:tabs>
                <w:tab w:val="left" w:pos="9135"/>
              </w:tabs>
              <w:spacing w:line="360" w:lineRule="auto"/>
              <w:jc w:val="center"/>
              <w:rPr>
                <w:rFonts w:hint="eastAsia" w:ascii="仿宋" w:hAnsi="仿宋" w:eastAsia="仿宋" w:cs="仿宋"/>
                <w:bCs/>
                <w:sz w:val="24"/>
                <w:szCs w:val="24"/>
              </w:rPr>
            </w:pPr>
          </w:p>
        </w:tc>
        <w:tc>
          <w:tcPr>
            <w:tcW w:w="1229" w:type="dxa"/>
            <w:noWrap w:val="0"/>
            <w:vAlign w:val="center"/>
          </w:tcPr>
          <w:p w14:paraId="79D8586C">
            <w:pPr>
              <w:tabs>
                <w:tab w:val="left" w:pos="9135"/>
              </w:tabs>
              <w:spacing w:line="360" w:lineRule="auto"/>
              <w:jc w:val="center"/>
              <w:rPr>
                <w:rFonts w:hint="eastAsia" w:ascii="仿宋" w:hAnsi="仿宋" w:eastAsia="仿宋" w:cs="仿宋"/>
                <w:bCs/>
                <w:sz w:val="24"/>
                <w:szCs w:val="24"/>
              </w:rPr>
            </w:pPr>
          </w:p>
        </w:tc>
        <w:tc>
          <w:tcPr>
            <w:tcW w:w="1030" w:type="dxa"/>
            <w:noWrap w:val="0"/>
            <w:vAlign w:val="center"/>
          </w:tcPr>
          <w:p w14:paraId="199050E9">
            <w:pPr>
              <w:tabs>
                <w:tab w:val="left" w:pos="9135"/>
              </w:tabs>
              <w:spacing w:line="360" w:lineRule="auto"/>
              <w:jc w:val="center"/>
              <w:rPr>
                <w:rFonts w:hint="eastAsia" w:ascii="仿宋" w:hAnsi="仿宋" w:eastAsia="仿宋" w:cs="仿宋"/>
                <w:bCs/>
                <w:sz w:val="24"/>
                <w:szCs w:val="24"/>
              </w:rPr>
            </w:pPr>
          </w:p>
        </w:tc>
        <w:tc>
          <w:tcPr>
            <w:tcW w:w="1536" w:type="dxa"/>
            <w:noWrap w:val="0"/>
            <w:vAlign w:val="center"/>
          </w:tcPr>
          <w:p w14:paraId="5849A876">
            <w:pPr>
              <w:tabs>
                <w:tab w:val="left" w:pos="9135"/>
              </w:tabs>
              <w:spacing w:line="360" w:lineRule="auto"/>
              <w:jc w:val="center"/>
              <w:rPr>
                <w:rFonts w:hint="eastAsia" w:ascii="仿宋" w:hAnsi="仿宋" w:eastAsia="仿宋" w:cs="仿宋"/>
                <w:bCs/>
                <w:sz w:val="24"/>
                <w:szCs w:val="24"/>
              </w:rPr>
            </w:pPr>
          </w:p>
        </w:tc>
        <w:tc>
          <w:tcPr>
            <w:tcW w:w="1224" w:type="dxa"/>
            <w:noWrap w:val="0"/>
            <w:vAlign w:val="top"/>
          </w:tcPr>
          <w:p w14:paraId="00EB5B83">
            <w:pPr>
              <w:tabs>
                <w:tab w:val="left" w:pos="9135"/>
              </w:tabs>
              <w:spacing w:line="360" w:lineRule="auto"/>
              <w:rPr>
                <w:rFonts w:hint="eastAsia" w:ascii="仿宋" w:hAnsi="仿宋" w:eastAsia="仿宋" w:cs="仿宋"/>
                <w:bCs/>
                <w:sz w:val="24"/>
                <w:szCs w:val="24"/>
              </w:rPr>
            </w:pPr>
          </w:p>
        </w:tc>
        <w:tc>
          <w:tcPr>
            <w:tcW w:w="1059" w:type="dxa"/>
            <w:noWrap w:val="0"/>
            <w:vAlign w:val="top"/>
          </w:tcPr>
          <w:p w14:paraId="27686B3A">
            <w:pPr>
              <w:tabs>
                <w:tab w:val="left" w:pos="9135"/>
              </w:tabs>
              <w:spacing w:line="360" w:lineRule="auto"/>
              <w:rPr>
                <w:rFonts w:hint="eastAsia" w:ascii="仿宋" w:hAnsi="仿宋" w:eastAsia="仿宋" w:cs="仿宋"/>
                <w:bCs/>
                <w:sz w:val="24"/>
                <w:szCs w:val="24"/>
              </w:rPr>
            </w:pPr>
          </w:p>
        </w:tc>
      </w:tr>
      <w:tr w14:paraId="6020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38" w:type="dxa"/>
            <w:gridSpan w:val="9"/>
            <w:noWrap w:val="0"/>
            <w:vAlign w:val="center"/>
          </w:tcPr>
          <w:p w14:paraId="53042BCD">
            <w:pPr>
              <w:tabs>
                <w:tab w:val="left" w:pos="9135"/>
              </w:tabs>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合计：</w:t>
            </w:r>
          </w:p>
        </w:tc>
      </w:tr>
    </w:tbl>
    <w:p w14:paraId="6D2E9640">
      <w:pPr>
        <w:spacing w:line="400" w:lineRule="atLeast"/>
        <w:rPr>
          <w:rFonts w:hint="eastAsia" w:ascii="仿宋" w:hAnsi="仿宋" w:eastAsia="仿宋" w:cs="仿宋"/>
          <w:bCs/>
          <w:sz w:val="24"/>
        </w:rPr>
      </w:pPr>
      <w:r>
        <w:rPr>
          <w:rFonts w:hint="eastAsia" w:ascii="仿宋" w:hAnsi="仿宋" w:eastAsia="仿宋" w:cs="仿宋"/>
          <w:bCs/>
          <w:sz w:val="24"/>
        </w:rPr>
        <w:t>注：</w:t>
      </w:r>
      <w:r>
        <w:rPr>
          <w:rFonts w:hint="eastAsia" w:ascii="仿宋" w:hAnsi="仿宋" w:eastAsia="仿宋" w:cs="仿宋"/>
          <w:bCs/>
          <w:sz w:val="24"/>
          <w:lang w:val="en-US" w:eastAsia="zh-CN"/>
        </w:rPr>
        <w:t>1、</w:t>
      </w:r>
      <w:r>
        <w:rPr>
          <w:rFonts w:hint="eastAsia" w:ascii="仿宋" w:hAnsi="仿宋" w:eastAsia="仿宋" w:cs="仿宋"/>
          <w:bCs/>
          <w:sz w:val="24"/>
        </w:rPr>
        <w:t>此表需详列投标的每种产品及配置清单。</w:t>
      </w:r>
    </w:p>
    <w:p w14:paraId="3A60774D">
      <w:pPr>
        <w:spacing w:line="400" w:lineRule="atLeast"/>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2、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AAF9D">
      <w:pPr>
        <w:spacing w:line="400" w:lineRule="atLeast"/>
        <w:rPr>
          <w:rFonts w:hint="eastAsia" w:ascii="仿宋" w:hAnsi="仿宋" w:eastAsia="仿宋" w:cs="仿宋"/>
          <w:bCs/>
          <w:sz w:val="24"/>
          <w:lang w:val="en-US" w:eastAsia="zh-CN"/>
        </w:rPr>
      </w:pPr>
    </w:p>
    <w:p w14:paraId="1AF419BF">
      <w:pPr>
        <w:spacing w:line="400" w:lineRule="atLeast"/>
        <w:jc w:val="center"/>
        <w:rPr>
          <w:rFonts w:hint="eastAsia" w:ascii="仿宋" w:hAnsi="仿宋" w:eastAsia="仿宋" w:cs="仿宋"/>
          <w:bCs/>
          <w:sz w:val="24"/>
        </w:rPr>
      </w:pPr>
    </w:p>
    <w:p w14:paraId="251B8E76">
      <w:pPr>
        <w:spacing w:line="400" w:lineRule="atLeast"/>
        <w:jc w:val="center"/>
        <w:rPr>
          <w:rFonts w:hint="eastAsia" w:ascii="仿宋" w:hAnsi="仿宋" w:eastAsia="仿宋" w:cs="仿宋"/>
          <w:bCs/>
          <w:sz w:val="24"/>
        </w:rPr>
      </w:pPr>
    </w:p>
    <w:p w14:paraId="2E74CC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BCA9F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52FA07A">
      <w:pPr>
        <w:rPr>
          <w:rFonts w:hint="eastAsia" w:ascii="仿宋" w:hAnsi="仿宋" w:eastAsia="仿宋" w:cs="仿宋"/>
          <w:highlight w:val="none"/>
          <w:lang w:val="en-US" w:eastAsia="zh-CN"/>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highlight w:val="none"/>
          <w:lang w:val="en-US" w:eastAsia="zh-CN"/>
        </w:rPr>
        <w:br w:type="page"/>
      </w:r>
    </w:p>
    <w:p w14:paraId="798D5F68">
      <w:pPr>
        <w:pStyle w:val="12"/>
        <w:ind w:left="0" w:leftChars="0" w:firstLine="0" w:firstLineChars="0"/>
        <w:jc w:val="left"/>
        <w:outlineLvl w:val="1"/>
        <w:rPr>
          <w:rFonts w:hint="eastAsia" w:ascii="仿宋" w:hAnsi="仿宋" w:eastAsia="仿宋" w:cs="仿宋"/>
          <w:sz w:val="24"/>
          <w:szCs w:val="24"/>
          <w:highlight w:val="none"/>
          <w:lang w:val="en-US" w:eastAsia="zh-CN"/>
        </w:rPr>
      </w:pPr>
      <w:bookmarkStart w:id="41" w:name="_Toc6119"/>
      <w:r>
        <w:rPr>
          <w:rFonts w:hint="eastAsia" w:ascii="仿宋" w:hAnsi="仿宋" w:eastAsia="仿宋" w:cs="仿宋"/>
          <w:sz w:val="24"/>
          <w:szCs w:val="24"/>
          <w:highlight w:val="none"/>
          <w:lang w:val="en-US" w:eastAsia="zh-CN"/>
        </w:rPr>
        <w:t>8  合同条款偏离表</w:t>
      </w:r>
      <w:bookmarkEnd w:id="41"/>
    </w:p>
    <w:p w14:paraId="3404385D">
      <w:pPr>
        <w:pStyle w:val="12"/>
        <w:ind w:left="0" w:leftChars="0" w:firstLine="0" w:firstLineChars="0"/>
        <w:jc w:val="center"/>
        <w:rPr>
          <w:rFonts w:hint="eastAsia" w:ascii="仿宋" w:hAnsi="仿宋" w:eastAsia="仿宋" w:cs="仿宋"/>
          <w:sz w:val="32"/>
          <w:szCs w:val="32"/>
          <w:highlight w:val="none"/>
          <w:lang w:val="en-US" w:eastAsia="zh-CN"/>
        </w:rPr>
      </w:pPr>
    </w:p>
    <w:p w14:paraId="2EBA3EAB">
      <w:pPr>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1E223BFD">
      <w:pPr>
        <w:pStyle w:val="10"/>
        <w:ind w:left="0" w:leftChars="0" w:firstLine="0" w:firstLineChars="0"/>
        <w:rPr>
          <w:rFonts w:hint="eastAsia" w:ascii="仿宋" w:hAnsi="仿宋" w:eastAsia="仿宋" w:cs="仿宋"/>
          <w:highlight w:val="none"/>
          <w:lang w:val="en-US" w:eastAsia="zh-CN"/>
        </w:rPr>
      </w:pPr>
    </w:p>
    <w:p w14:paraId="4E4F8624">
      <w:pPr>
        <w:pStyle w:val="12"/>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1C43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76A1ED3F">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49C47E30">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08B903B0">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2AA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FD91A0F">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14:paraId="60DA60FB">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14:paraId="14D0DA34">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14:paraId="2CA9E2C4">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14:paraId="32AB54C1">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14:paraId="574BF714">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14:paraId="7E8B8DE7">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14:paraId="6E1F6B56">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02E4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6DD272DA">
            <w:pPr>
              <w:rPr>
                <w:rFonts w:hint="eastAsia" w:ascii="仿宋" w:hAnsi="仿宋" w:eastAsia="仿宋" w:cs="仿宋"/>
                <w:sz w:val="24"/>
                <w:szCs w:val="24"/>
                <w:highlight w:val="none"/>
                <w:vertAlign w:val="baseline"/>
                <w:lang w:val="en-US" w:eastAsia="zh-CN"/>
              </w:rPr>
            </w:pPr>
          </w:p>
        </w:tc>
        <w:tc>
          <w:tcPr>
            <w:tcW w:w="1421" w:type="dxa"/>
          </w:tcPr>
          <w:p w14:paraId="273B7213">
            <w:pPr>
              <w:rPr>
                <w:rFonts w:hint="eastAsia" w:ascii="仿宋" w:hAnsi="仿宋" w:eastAsia="仿宋" w:cs="仿宋"/>
                <w:sz w:val="24"/>
                <w:szCs w:val="24"/>
                <w:highlight w:val="none"/>
                <w:vertAlign w:val="baseline"/>
                <w:lang w:val="en-US" w:eastAsia="zh-CN"/>
              </w:rPr>
            </w:pPr>
          </w:p>
        </w:tc>
        <w:tc>
          <w:tcPr>
            <w:tcW w:w="1901" w:type="dxa"/>
          </w:tcPr>
          <w:p w14:paraId="481CD8C3">
            <w:pPr>
              <w:rPr>
                <w:rFonts w:hint="eastAsia" w:ascii="仿宋" w:hAnsi="仿宋" w:eastAsia="仿宋" w:cs="仿宋"/>
                <w:sz w:val="24"/>
                <w:szCs w:val="24"/>
                <w:highlight w:val="none"/>
                <w:vertAlign w:val="baseline"/>
                <w:lang w:val="en-US" w:eastAsia="zh-CN"/>
              </w:rPr>
            </w:pPr>
          </w:p>
        </w:tc>
        <w:tc>
          <w:tcPr>
            <w:tcW w:w="1753" w:type="dxa"/>
          </w:tcPr>
          <w:p w14:paraId="38884A50">
            <w:pPr>
              <w:rPr>
                <w:rFonts w:hint="eastAsia" w:ascii="仿宋" w:hAnsi="仿宋" w:eastAsia="仿宋" w:cs="仿宋"/>
                <w:sz w:val="24"/>
                <w:szCs w:val="24"/>
                <w:highlight w:val="none"/>
                <w:vertAlign w:val="baseline"/>
                <w:lang w:val="en-US" w:eastAsia="zh-CN"/>
              </w:rPr>
            </w:pPr>
          </w:p>
        </w:tc>
        <w:tc>
          <w:tcPr>
            <w:tcW w:w="1561" w:type="dxa"/>
          </w:tcPr>
          <w:p w14:paraId="003F0CE3">
            <w:pPr>
              <w:rPr>
                <w:rFonts w:hint="eastAsia" w:ascii="仿宋" w:hAnsi="仿宋" w:eastAsia="仿宋" w:cs="仿宋"/>
                <w:sz w:val="24"/>
                <w:szCs w:val="24"/>
                <w:highlight w:val="none"/>
                <w:vertAlign w:val="baseline"/>
                <w:lang w:val="en-US" w:eastAsia="zh-CN"/>
              </w:rPr>
            </w:pPr>
          </w:p>
        </w:tc>
        <w:tc>
          <w:tcPr>
            <w:tcW w:w="1052" w:type="dxa"/>
          </w:tcPr>
          <w:p w14:paraId="7126AF6B">
            <w:pPr>
              <w:rPr>
                <w:rFonts w:hint="eastAsia" w:ascii="仿宋" w:hAnsi="仿宋" w:eastAsia="仿宋" w:cs="仿宋"/>
                <w:sz w:val="24"/>
                <w:szCs w:val="24"/>
                <w:highlight w:val="none"/>
                <w:vertAlign w:val="baseline"/>
                <w:lang w:val="en-US" w:eastAsia="zh-CN"/>
              </w:rPr>
            </w:pPr>
          </w:p>
        </w:tc>
      </w:tr>
      <w:tr w14:paraId="24D4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15C9A48A">
            <w:pPr>
              <w:rPr>
                <w:rFonts w:hint="eastAsia" w:ascii="仿宋" w:hAnsi="仿宋" w:eastAsia="仿宋" w:cs="仿宋"/>
                <w:sz w:val="24"/>
                <w:szCs w:val="24"/>
                <w:highlight w:val="none"/>
                <w:vertAlign w:val="baseline"/>
                <w:lang w:val="en-US" w:eastAsia="zh-CN"/>
              </w:rPr>
            </w:pPr>
          </w:p>
        </w:tc>
        <w:tc>
          <w:tcPr>
            <w:tcW w:w="1421" w:type="dxa"/>
          </w:tcPr>
          <w:p w14:paraId="7544E1E6">
            <w:pPr>
              <w:rPr>
                <w:rFonts w:hint="eastAsia" w:ascii="仿宋" w:hAnsi="仿宋" w:eastAsia="仿宋" w:cs="仿宋"/>
                <w:sz w:val="24"/>
                <w:szCs w:val="24"/>
                <w:highlight w:val="none"/>
                <w:vertAlign w:val="baseline"/>
                <w:lang w:val="en-US" w:eastAsia="zh-CN"/>
              </w:rPr>
            </w:pPr>
          </w:p>
        </w:tc>
        <w:tc>
          <w:tcPr>
            <w:tcW w:w="1901" w:type="dxa"/>
          </w:tcPr>
          <w:p w14:paraId="2F55BAA3">
            <w:pPr>
              <w:rPr>
                <w:rFonts w:hint="eastAsia" w:ascii="仿宋" w:hAnsi="仿宋" w:eastAsia="仿宋" w:cs="仿宋"/>
                <w:sz w:val="24"/>
                <w:szCs w:val="24"/>
                <w:highlight w:val="none"/>
                <w:vertAlign w:val="baseline"/>
                <w:lang w:val="en-US" w:eastAsia="zh-CN"/>
              </w:rPr>
            </w:pPr>
          </w:p>
        </w:tc>
        <w:tc>
          <w:tcPr>
            <w:tcW w:w="1753" w:type="dxa"/>
          </w:tcPr>
          <w:p w14:paraId="1655421E">
            <w:pPr>
              <w:rPr>
                <w:rFonts w:hint="eastAsia" w:ascii="仿宋" w:hAnsi="仿宋" w:eastAsia="仿宋" w:cs="仿宋"/>
                <w:sz w:val="24"/>
                <w:szCs w:val="24"/>
                <w:highlight w:val="none"/>
                <w:vertAlign w:val="baseline"/>
                <w:lang w:val="en-US" w:eastAsia="zh-CN"/>
              </w:rPr>
            </w:pPr>
          </w:p>
        </w:tc>
        <w:tc>
          <w:tcPr>
            <w:tcW w:w="1561" w:type="dxa"/>
          </w:tcPr>
          <w:p w14:paraId="15365911">
            <w:pPr>
              <w:rPr>
                <w:rFonts w:hint="eastAsia" w:ascii="仿宋" w:hAnsi="仿宋" w:eastAsia="仿宋" w:cs="仿宋"/>
                <w:sz w:val="24"/>
                <w:szCs w:val="24"/>
                <w:highlight w:val="none"/>
                <w:vertAlign w:val="baseline"/>
                <w:lang w:val="en-US" w:eastAsia="zh-CN"/>
              </w:rPr>
            </w:pPr>
          </w:p>
        </w:tc>
        <w:tc>
          <w:tcPr>
            <w:tcW w:w="1052" w:type="dxa"/>
          </w:tcPr>
          <w:p w14:paraId="06D739DC">
            <w:pPr>
              <w:rPr>
                <w:rFonts w:hint="eastAsia" w:ascii="仿宋" w:hAnsi="仿宋" w:eastAsia="仿宋" w:cs="仿宋"/>
                <w:sz w:val="24"/>
                <w:szCs w:val="24"/>
                <w:highlight w:val="none"/>
                <w:vertAlign w:val="baseline"/>
                <w:lang w:val="en-US" w:eastAsia="zh-CN"/>
              </w:rPr>
            </w:pPr>
          </w:p>
        </w:tc>
      </w:tr>
      <w:tr w14:paraId="10B2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A1E0FA2">
            <w:pPr>
              <w:rPr>
                <w:rFonts w:hint="eastAsia" w:ascii="仿宋" w:hAnsi="仿宋" w:eastAsia="仿宋" w:cs="仿宋"/>
                <w:sz w:val="24"/>
                <w:szCs w:val="24"/>
                <w:highlight w:val="none"/>
                <w:vertAlign w:val="baseline"/>
                <w:lang w:val="en-US" w:eastAsia="zh-CN"/>
              </w:rPr>
            </w:pPr>
          </w:p>
        </w:tc>
        <w:tc>
          <w:tcPr>
            <w:tcW w:w="1421" w:type="dxa"/>
          </w:tcPr>
          <w:p w14:paraId="2E7FCB06">
            <w:pPr>
              <w:rPr>
                <w:rFonts w:hint="eastAsia" w:ascii="仿宋" w:hAnsi="仿宋" w:eastAsia="仿宋" w:cs="仿宋"/>
                <w:sz w:val="24"/>
                <w:szCs w:val="24"/>
                <w:highlight w:val="none"/>
                <w:vertAlign w:val="baseline"/>
                <w:lang w:val="en-US" w:eastAsia="zh-CN"/>
              </w:rPr>
            </w:pPr>
          </w:p>
        </w:tc>
        <w:tc>
          <w:tcPr>
            <w:tcW w:w="1901" w:type="dxa"/>
          </w:tcPr>
          <w:p w14:paraId="3372AA34">
            <w:pPr>
              <w:rPr>
                <w:rFonts w:hint="eastAsia" w:ascii="仿宋" w:hAnsi="仿宋" w:eastAsia="仿宋" w:cs="仿宋"/>
                <w:sz w:val="24"/>
                <w:szCs w:val="24"/>
                <w:highlight w:val="none"/>
                <w:vertAlign w:val="baseline"/>
                <w:lang w:val="en-US" w:eastAsia="zh-CN"/>
              </w:rPr>
            </w:pPr>
          </w:p>
        </w:tc>
        <w:tc>
          <w:tcPr>
            <w:tcW w:w="1753" w:type="dxa"/>
          </w:tcPr>
          <w:p w14:paraId="770D7B13">
            <w:pPr>
              <w:rPr>
                <w:rFonts w:hint="eastAsia" w:ascii="仿宋" w:hAnsi="仿宋" w:eastAsia="仿宋" w:cs="仿宋"/>
                <w:sz w:val="24"/>
                <w:szCs w:val="24"/>
                <w:highlight w:val="none"/>
                <w:vertAlign w:val="baseline"/>
                <w:lang w:val="en-US" w:eastAsia="zh-CN"/>
              </w:rPr>
            </w:pPr>
          </w:p>
        </w:tc>
        <w:tc>
          <w:tcPr>
            <w:tcW w:w="1561" w:type="dxa"/>
          </w:tcPr>
          <w:p w14:paraId="6EFC034F">
            <w:pPr>
              <w:rPr>
                <w:rFonts w:hint="eastAsia" w:ascii="仿宋" w:hAnsi="仿宋" w:eastAsia="仿宋" w:cs="仿宋"/>
                <w:sz w:val="24"/>
                <w:szCs w:val="24"/>
                <w:highlight w:val="none"/>
                <w:vertAlign w:val="baseline"/>
                <w:lang w:val="en-US" w:eastAsia="zh-CN"/>
              </w:rPr>
            </w:pPr>
          </w:p>
        </w:tc>
        <w:tc>
          <w:tcPr>
            <w:tcW w:w="1052" w:type="dxa"/>
          </w:tcPr>
          <w:p w14:paraId="36C9767A">
            <w:pPr>
              <w:rPr>
                <w:rFonts w:hint="eastAsia" w:ascii="仿宋" w:hAnsi="仿宋" w:eastAsia="仿宋" w:cs="仿宋"/>
                <w:sz w:val="24"/>
                <w:szCs w:val="24"/>
                <w:highlight w:val="none"/>
                <w:vertAlign w:val="baseline"/>
                <w:lang w:val="en-US" w:eastAsia="zh-CN"/>
              </w:rPr>
            </w:pPr>
          </w:p>
        </w:tc>
      </w:tr>
      <w:tr w14:paraId="02B9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735659A">
            <w:pPr>
              <w:rPr>
                <w:rFonts w:hint="eastAsia" w:ascii="仿宋" w:hAnsi="仿宋" w:eastAsia="仿宋" w:cs="仿宋"/>
                <w:sz w:val="24"/>
                <w:szCs w:val="24"/>
                <w:highlight w:val="none"/>
                <w:vertAlign w:val="baseline"/>
                <w:lang w:val="en-US" w:eastAsia="zh-CN"/>
              </w:rPr>
            </w:pPr>
          </w:p>
        </w:tc>
        <w:tc>
          <w:tcPr>
            <w:tcW w:w="1421" w:type="dxa"/>
          </w:tcPr>
          <w:p w14:paraId="1AB73DF4">
            <w:pPr>
              <w:rPr>
                <w:rFonts w:hint="eastAsia" w:ascii="仿宋" w:hAnsi="仿宋" w:eastAsia="仿宋" w:cs="仿宋"/>
                <w:sz w:val="24"/>
                <w:szCs w:val="24"/>
                <w:highlight w:val="none"/>
                <w:vertAlign w:val="baseline"/>
                <w:lang w:val="en-US" w:eastAsia="zh-CN"/>
              </w:rPr>
            </w:pPr>
          </w:p>
        </w:tc>
        <w:tc>
          <w:tcPr>
            <w:tcW w:w="1901" w:type="dxa"/>
          </w:tcPr>
          <w:p w14:paraId="3595CA9C">
            <w:pPr>
              <w:rPr>
                <w:rFonts w:hint="eastAsia" w:ascii="仿宋" w:hAnsi="仿宋" w:eastAsia="仿宋" w:cs="仿宋"/>
                <w:sz w:val="24"/>
                <w:szCs w:val="24"/>
                <w:highlight w:val="none"/>
                <w:vertAlign w:val="baseline"/>
                <w:lang w:val="en-US" w:eastAsia="zh-CN"/>
              </w:rPr>
            </w:pPr>
          </w:p>
        </w:tc>
        <w:tc>
          <w:tcPr>
            <w:tcW w:w="1753" w:type="dxa"/>
          </w:tcPr>
          <w:p w14:paraId="73CAC815">
            <w:pPr>
              <w:rPr>
                <w:rFonts w:hint="eastAsia" w:ascii="仿宋" w:hAnsi="仿宋" w:eastAsia="仿宋" w:cs="仿宋"/>
                <w:sz w:val="24"/>
                <w:szCs w:val="24"/>
                <w:highlight w:val="none"/>
                <w:vertAlign w:val="baseline"/>
                <w:lang w:val="en-US" w:eastAsia="zh-CN"/>
              </w:rPr>
            </w:pPr>
          </w:p>
        </w:tc>
        <w:tc>
          <w:tcPr>
            <w:tcW w:w="1561" w:type="dxa"/>
          </w:tcPr>
          <w:p w14:paraId="27755A82">
            <w:pPr>
              <w:rPr>
                <w:rFonts w:hint="eastAsia" w:ascii="仿宋" w:hAnsi="仿宋" w:eastAsia="仿宋" w:cs="仿宋"/>
                <w:sz w:val="24"/>
                <w:szCs w:val="24"/>
                <w:highlight w:val="none"/>
                <w:vertAlign w:val="baseline"/>
                <w:lang w:val="en-US" w:eastAsia="zh-CN"/>
              </w:rPr>
            </w:pPr>
          </w:p>
        </w:tc>
        <w:tc>
          <w:tcPr>
            <w:tcW w:w="1052" w:type="dxa"/>
          </w:tcPr>
          <w:p w14:paraId="3D5ECE8C">
            <w:pPr>
              <w:rPr>
                <w:rFonts w:hint="eastAsia" w:ascii="仿宋" w:hAnsi="仿宋" w:eastAsia="仿宋" w:cs="仿宋"/>
                <w:sz w:val="24"/>
                <w:szCs w:val="24"/>
                <w:highlight w:val="none"/>
                <w:vertAlign w:val="baseline"/>
                <w:lang w:val="en-US" w:eastAsia="zh-CN"/>
              </w:rPr>
            </w:pPr>
          </w:p>
        </w:tc>
      </w:tr>
      <w:tr w14:paraId="46A7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30103CCE">
            <w:pPr>
              <w:rPr>
                <w:rFonts w:hint="eastAsia" w:ascii="仿宋" w:hAnsi="仿宋" w:eastAsia="仿宋" w:cs="仿宋"/>
                <w:sz w:val="24"/>
                <w:szCs w:val="24"/>
                <w:highlight w:val="none"/>
                <w:vertAlign w:val="baseline"/>
                <w:lang w:val="en-US" w:eastAsia="zh-CN"/>
              </w:rPr>
            </w:pPr>
          </w:p>
        </w:tc>
        <w:tc>
          <w:tcPr>
            <w:tcW w:w="1421" w:type="dxa"/>
          </w:tcPr>
          <w:p w14:paraId="4B16C9F2">
            <w:pPr>
              <w:rPr>
                <w:rFonts w:hint="eastAsia" w:ascii="仿宋" w:hAnsi="仿宋" w:eastAsia="仿宋" w:cs="仿宋"/>
                <w:sz w:val="24"/>
                <w:szCs w:val="24"/>
                <w:highlight w:val="none"/>
                <w:vertAlign w:val="baseline"/>
                <w:lang w:val="en-US" w:eastAsia="zh-CN"/>
              </w:rPr>
            </w:pPr>
          </w:p>
        </w:tc>
        <w:tc>
          <w:tcPr>
            <w:tcW w:w="1901" w:type="dxa"/>
          </w:tcPr>
          <w:p w14:paraId="31CC37BC">
            <w:pPr>
              <w:rPr>
                <w:rFonts w:hint="eastAsia" w:ascii="仿宋" w:hAnsi="仿宋" w:eastAsia="仿宋" w:cs="仿宋"/>
                <w:sz w:val="24"/>
                <w:szCs w:val="24"/>
                <w:highlight w:val="none"/>
                <w:vertAlign w:val="baseline"/>
                <w:lang w:val="en-US" w:eastAsia="zh-CN"/>
              </w:rPr>
            </w:pPr>
          </w:p>
        </w:tc>
        <w:tc>
          <w:tcPr>
            <w:tcW w:w="1753" w:type="dxa"/>
          </w:tcPr>
          <w:p w14:paraId="69D2892B">
            <w:pPr>
              <w:rPr>
                <w:rFonts w:hint="eastAsia" w:ascii="仿宋" w:hAnsi="仿宋" w:eastAsia="仿宋" w:cs="仿宋"/>
                <w:sz w:val="24"/>
                <w:szCs w:val="24"/>
                <w:highlight w:val="none"/>
                <w:vertAlign w:val="baseline"/>
                <w:lang w:val="en-US" w:eastAsia="zh-CN"/>
              </w:rPr>
            </w:pPr>
          </w:p>
        </w:tc>
        <w:tc>
          <w:tcPr>
            <w:tcW w:w="1561" w:type="dxa"/>
          </w:tcPr>
          <w:p w14:paraId="42EA4A76">
            <w:pPr>
              <w:rPr>
                <w:rFonts w:hint="eastAsia" w:ascii="仿宋" w:hAnsi="仿宋" w:eastAsia="仿宋" w:cs="仿宋"/>
                <w:sz w:val="24"/>
                <w:szCs w:val="24"/>
                <w:highlight w:val="none"/>
                <w:vertAlign w:val="baseline"/>
                <w:lang w:val="en-US" w:eastAsia="zh-CN"/>
              </w:rPr>
            </w:pPr>
          </w:p>
        </w:tc>
        <w:tc>
          <w:tcPr>
            <w:tcW w:w="1052" w:type="dxa"/>
          </w:tcPr>
          <w:p w14:paraId="0712C978">
            <w:pPr>
              <w:rPr>
                <w:rFonts w:hint="eastAsia" w:ascii="仿宋" w:hAnsi="仿宋" w:eastAsia="仿宋" w:cs="仿宋"/>
                <w:sz w:val="24"/>
                <w:szCs w:val="24"/>
                <w:highlight w:val="none"/>
                <w:vertAlign w:val="baseline"/>
                <w:lang w:val="en-US" w:eastAsia="zh-CN"/>
              </w:rPr>
            </w:pPr>
          </w:p>
        </w:tc>
      </w:tr>
    </w:tbl>
    <w:p w14:paraId="241CCA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A82AB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对合同条款中的所有要求，除本表所列明的所有偏离外，均视作供应商已对之理解和响应。</w:t>
      </w:r>
    </w:p>
    <w:p w14:paraId="3C5C157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42" w:name="_Toc6441"/>
      <w:r>
        <w:rPr>
          <w:rFonts w:hint="eastAsia" w:ascii="仿宋" w:hAnsi="仿宋" w:eastAsia="仿宋" w:cs="仿宋"/>
          <w:sz w:val="24"/>
          <w:szCs w:val="24"/>
          <w:highlight w:val="none"/>
          <w:lang w:val="en-US" w:eastAsia="zh-CN"/>
        </w:rPr>
        <w:t>2. “偏离情况”列应据实填写“正偏离”或“负偏离”。</w:t>
      </w:r>
      <w:bookmarkEnd w:id="42"/>
    </w:p>
    <w:p w14:paraId="63AA3E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4F1B8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A278E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投标人名称（加盖公章）： </w:t>
      </w:r>
    </w:p>
    <w:p w14:paraId="626972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69CA4592">
      <w:pPr>
        <w:pStyle w:val="10"/>
        <w:rPr>
          <w:rFonts w:hint="eastAsia" w:ascii="仿宋" w:hAnsi="仿宋" w:eastAsia="仿宋" w:cs="仿宋"/>
          <w:sz w:val="24"/>
          <w:szCs w:val="24"/>
          <w:highlight w:val="none"/>
          <w:lang w:val="en-US" w:eastAsia="zh-CN"/>
        </w:rPr>
      </w:pPr>
    </w:p>
    <w:p w14:paraId="2C9AB6D1">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6DF546A">
      <w:pPr>
        <w:pStyle w:val="12"/>
        <w:ind w:left="0" w:leftChars="0" w:firstLine="0" w:firstLineChars="0"/>
        <w:outlineLvl w:val="1"/>
        <w:rPr>
          <w:rFonts w:hint="eastAsia" w:ascii="仿宋" w:hAnsi="仿宋" w:eastAsia="仿宋" w:cs="仿宋"/>
          <w:sz w:val="24"/>
          <w:szCs w:val="24"/>
          <w:highlight w:val="none"/>
          <w:lang w:val="en-US" w:eastAsia="zh-CN"/>
        </w:rPr>
      </w:pPr>
      <w:bookmarkStart w:id="43" w:name="_Toc7042"/>
      <w:r>
        <w:rPr>
          <w:rFonts w:hint="eastAsia" w:ascii="仿宋" w:hAnsi="仿宋" w:eastAsia="仿宋" w:cs="仿宋"/>
          <w:sz w:val="24"/>
          <w:szCs w:val="24"/>
          <w:highlight w:val="none"/>
          <w:lang w:val="en-US" w:eastAsia="zh-CN"/>
        </w:rPr>
        <w:t xml:space="preserve">9  </w:t>
      </w:r>
      <w:bookmarkEnd w:id="43"/>
      <w:r>
        <w:rPr>
          <w:rFonts w:hint="eastAsia" w:ascii="仿宋" w:hAnsi="仿宋" w:eastAsia="仿宋" w:cs="仿宋"/>
          <w:sz w:val="24"/>
          <w:szCs w:val="24"/>
          <w:highlight w:val="none"/>
          <w:lang w:val="en-US" w:eastAsia="zh-CN"/>
        </w:rPr>
        <w:t>采购需求偏离表</w:t>
      </w:r>
    </w:p>
    <w:p w14:paraId="7E5C02DE">
      <w:pPr>
        <w:pStyle w:val="12"/>
        <w:ind w:left="0" w:leftChars="0" w:firstLine="0" w:firstLineChars="0"/>
        <w:rPr>
          <w:rFonts w:hint="eastAsia" w:ascii="仿宋" w:hAnsi="仿宋" w:eastAsia="仿宋" w:cs="仿宋"/>
          <w:sz w:val="24"/>
          <w:szCs w:val="24"/>
          <w:highlight w:val="none"/>
          <w:lang w:val="en-US" w:eastAsia="zh-CN"/>
        </w:rPr>
      </w:pPr>
    </w:p>
    <w:p w14:paraId="323B48AD">
      <w:pPr>
        <w:pStyle w:val="12"/>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4A973A76">
      <w:pPr>
        <w:pStyle w:val="12"/>
        <w:ind w:left="0" w:leftChars="0" w:firstLine="0" w:firstLineChars="0"/>
        <w:rPr>
          <w:rFonts w:hint="eastAsia" w:ascii="仿宋" w:hAnsi="仿宋" w:eastAsia="仿宋" w:cs="仿宋"/>
          <w:sz w:val="24"/>
          <w:szCs w:val="24"/>
          <w:highlight w:val="none"/>
          <w:lang w:val="en-US" w:eastAsia="zh-CN"/>
        </w:rPr>
      </w:pPr>
    </w:p>
    <w:p w14:paraId="23C1470C">
      <w:pPr>
        <w:pStyle w:val="12"/>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项目编号：                 项目名称：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4B2E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66217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14:paraId="623671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14:paraId="3F2E4A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14:paraId="6669FD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14:paraId="5F491E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投标响应内容</w:t>
            </w:r>
          </w:p>
        </w:tc>
        <w:tc>
          <w:tcPr>
            <w:tcW w:w="1421" w:type="dxa"/>
            <w:vAlign w:val="center"/>
          </w:tcPr>
          <w:p w14:paraId="27A391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14:paraId="633AF4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1054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60971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495965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724D28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1E7309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060F1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F2F48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306B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B8461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2D5CB9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7B7CE6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C8189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71BA5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D1F52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4E1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C594E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67CCB3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0B22AE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221C82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0E4398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641EC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401A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624AC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62FC50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3990CA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5817F1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58B928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47AC23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786B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54EC8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5FF2CA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1BA567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0E1A87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FD50D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50CDFB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2B4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62BA0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6BEE3C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192F5E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6B251C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42828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5AAD4B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14:paraId="439BB7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9A2BB7C">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04735498">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22CCB560">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84E2E0D">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“偏离情况”列应据实填写“正偏离”、“负偏离”或“无偏离”。</w:t>
      </w:r>
    </w:p>
    <w:p w14:paraId="33DD86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53383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 ____________</w:t>
      </w:r>
    </w:p>
    <w:p w14:paraId="6E6D02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12A98CA5">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F8226AA">
      <w:pPr>
        <w:pStyle w:val="11"/>
        <w:numPr>
          <w:ilvl w:val="0"/>
          <w:numId w:val="0"/>
        </w:numPr>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 xml:space="preserve">10  </w:t>
      </w:r>
      <w:r>
        <w:rPr>
          <w:rFonts w:hint="eastAsia" w:ascii="仿宋" w:hAnsi="仿宋" w:eastAsia="仿宋" w:cs="仿宋"/>
          <w:kern w:val="2"/>
          <w:sz w:val="24"/>
          <w:szCs w:val="24"/>
          <w:highlight w:val="none"/>
          <w:lang w:val="en-US" w:eastAsia="zh-CN" w:bidi="ar-SA"/>
        </w:rPr>
        <w:t>业绩一览表（格式）</w:t>
      </w:r>
    </w:p>
    <w:p w14:paraId="44C9C318">
      <w:pPr>
        <w:pStyle w:val="11"/>
        <w:numPr>
          <w:ilvl w:val="0"/>
          <w:numId w:val="0"/>
        </w:numPr>
        <w:ind w:leftChars="0"/>
        <w:rPr>
          <w:rFonts w:hint="eastAsia" w:ascii="仿宋" w:hAnsi="仿宋" w:eastAsia="仿宋" w:cs="仿宋"/>
          <w:kern w:val="2"/>
          <w:sz w:val="24"/>
          <w:szCs w:val="24"/>
          <w:highlight w:val="none"/>
          <w:lang w:val="en-US" w:eastAsia="zh-CN" w:bidi="ar-SA"/>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15"/>
        <w:gridCol w:w="1414"/>
        <w:gridCol w:w="1062"/>
        <w:gridCol w:w="1062"/>
        <w:gridCol w:w="1062"/>
        <w:gridCol w:w="1063"/>
        <w:gridCol w:w="1063"/>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57" w:type="dxa"/>
          </w:tcPr>
          <w:p w14:paraId="47F386DD">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1115" w:type="dxa"/>
          </w:tcPr>
          <w:p w14:paraId="35503AF6">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订货时间</w:t>
            </w:r>
          </w:p>
        </w:tc>
        <w:tc>
          <w:tcPr>
            <w:tcW w:w="1414" w:type="dxa"/>
          </w:tcPr>
          <w:p w14:paraId="52FD392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型号（规格）</w:t>
            </w:r>
          </w:p>
        </w:tc>
        <w:tc>
          <w:tcPr>
            <w:tcW w:w="1062" w:type="dxa"/>
          </w:tcPr>
          <w:p w14:paraId="627AB27F">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数量（台/套）</w:t>
            </w:r>
          </w:p>
        </w:tc>
        <w:tc>
          <w:tcPr>
            <w:tcW w:w="1062" w:type="dxa"/>
          </w:tcPr>
          <w:p w14:paraId="2F6D24D2">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合同签订时间</w:t>
            </w:r>
          </w:p>
        </w:tc>
        <w:tc>
          <w:tcPr>
            <w:tcW w:w="1062" w:type="dxa"/>
          </w:tcPr>
          <w:p w14:paraId="6467EBA8">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采购单位</w:t>
            </w:r>
          </w:p>
        </w:tc>
        <w:tc>
          <w:tcPr>
            <w:tcW w:w="1063" w:type="dxa"/>
          </w:tcPr>
          <w:p w14:paraId="17DD252B">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联系人及</w:t>
            </w:r>
          </w:p>
          <w:p w14:paraId="475A4952">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电话</w:t>
            </w:r>
          </w:p>
        </w:tc>
        <w:tc>
          <w:tcPr>
            <w:tcW w:w="1063" w:type="dxa"/>
          </w:tcPr>
          <w:p w14:paraId="5EBEE56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5E7AF5C2">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115" w:type="dxa"/>
          </w:tcPr>
          <w:p w14:paraId="413996C0">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414" w:type="dxa"/>
          </w:tcPr>
          <w:p w14:paraId="6AE8F531">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604E4607">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79D37109">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060E46ED">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3" w:type="dxa"/>
          </w:tcPr>
          <w:p w14:paraId="4CE2439B">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3" w:type="dxa"/>
          </w:tcPr>
          <w:p w14:paraId="10DC3099">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6B0C80C5">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115" w:type="dxa"/>
          </w:tcPr>
          <w:p w14:paraId="245FBA9B">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414" w:type="dxa"/>
          </w:tcPr>
          <w:p w14:paraId="64686D4A">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43C12B3F">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26D623D0">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60F0C3DE">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3" w:type="dxa"/>
          </w:tcPr>
          <w:p w14:paraId="684A816A">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3" w:type="dxa"/>
          </w:tcPr>
          <w:p w14:paraId="3FDFFF0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72C20741">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115" w:type="dxa"/>
          </w:tcPr>
          <w:p w14:paraId="0BB4B9A8">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414" w:type="dxa"/>
          </w:tcPr>
          <w:p w14:paraId="434C6787">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22BF518B">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7692F673">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2" w:type="dxa"/>
          </w:tcPr>
          <w:p w14:paraId="6DE5B735">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3" w:type="dxa"/>
          </w:tcPr>
          <w:p w14:paraId="6DA70D23">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c>
          <w:tcPr>
            <w:tcW w:w="1063" w:type="dxa"/>
          </w:tcPr>
          <w:p w14:paraId="42D5ED56">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p>
        </w:tc>
      </w:tr>
    </w:tbl>
    <w:p w14:paraId="05F6FF6F">
      <w:pPr>
        <w:pStyle w:val="11"/>
        <w:numPr>
          <w:ilvl w:val="0"/>
          <w:numId w:val="0"/>
        </w:numPr>
        <w:ind w:left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  </w:t>
      </w:r>
    </w:p>
    <w:p w14:paraId="4BD457A9">
      <w:pPr>
        <w:pStyle w:val="11"/>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0079B945">
      <w:pPr>
        <w:pStyle w:val="11"/>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1.投标人应如实列出以上情况，如有虚假，一经查实将导致其投标无效并被拒绝。 2.投标人应按照采购文件第六章评标程序、评标方法和评标标准中的要求提供业绩证明材料。</w:t>
      </w:r>
    </w:p>
    <w:p w14:paraId="2FFA81F1">
      <w:pPr>
        <w:pStyle w:val="11"/>
        <w:ind w:left="0" w:leftChars="0" w:firstLine="0" w:firstLineChars="0"/>
        <w:rPr>
          <w:rFonts w:hint="eastAsia" w:ascii="仿宋" w:hAnsi="仿宋" w:eastAsia="仿宋" w:cs="仿宋"/>
          <w:kern w:val="2"/>
          <w:sz w:val="24"/>
          <w:szCs w:val="24"/>
          <w:highlight w:val="none"/>
          <w:lang w:val="en-US" w:eastAsia="zh-CN" w:bidi="ar-SA"/>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投标人名称：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法定代表人或授权代表：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日期：                                         </w:t>
      </w:r>
    </w:p>
    <w:p w14:paraId="1CE4B262">
      <w:pPr>
        <w:pStyle w:val="10"/>
        <w:rPr>
          <w:rFonts w:hint="eastAsia" w:ascii="仿宋" w:hAnsi="仿宋" w:eastAsia="仿宋" w:cs="仿宋"/>
          <w:kern w:val="2"/>
          <w:sz w:val="24"/>
          <w:szCs w:val="24"/>
          <w:highlight w:val="none"/>
          <w:lang w:val="en-US" w:eastAsia="zh-CN" w:bidi="ar-SA"/>
        </w:rPr>
      </w:pPr>
    </w:p>
    <w:p w14:paraId="4B7DBE15">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br w:type="page"/>
      </w:r>
    </w:p>
    <w:p w14:paraId="73262297">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11、供应商所投的产品，符合节能产品、环境标志产品政策要求的，按以下格式提供说明</w:t>
      </w:r>
    </w:p>
    <w:p w14:paraId="47DF6476">
      <w:pPr>
        <w:numPr>
          <w:ilvl w:val="0"/>
          <w:numId w:val="0"/>
        </w:numPr>
        <w:rPr>
          <w:rFonts w:hint="eastAsia" w:ascii="仿宋" w:hAnsi="仿宋" w:eastAsia="仿宋" w:cs="仿宋"/>
          <w:kern w:val="2"/>
          <w:sz w:val="24"/>
          <w:szCs w:val="24"/>
          <w:highlight w:val="none"/>
          <w:lang w:val="en-US" w:eastAsia="zh-CN" w:bidi="ar-SA"/>
        </w:rPr>
      </w:pPr>
    </w:p>
    <w:p w14:paraId="68A255F3">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节能产品说明：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194B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7182AB3">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1335" w:type="dxa"/>
            <w:vAlign w:val="center"/>
          </w:tcPr>
          <w:p w14:paraId="2ACC86AE">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产品名称</w:t>
            </w:r>
          </w:p>
        </w:tc>
        <w:tc>
          <w:tcPr>
            <w:tcW w:w="2185" w:type="dxa"/>
            <w:vAlign w:val="center"/>
          </w:tcPr>
          <w:p w14:paraId="224375CD">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对应《节能产品政府采购品目清单》的品目序号</w:t>
            </w:r>
          </w:p>
        </w:tc>
        <w:tc>
          <w:tcPr>
            <w:tcW w:w="2472" w:type="dxa"/>
            <w:vAlign w:val="center"/>
          </w:tcPr>
          <w:p w14:paraId="25982DEE">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产品认证证书所在投标文件页码</w:t>
            </w:r>
          </w:p>
        </w:tc>
        <w:tc>
          <w:tcPr>
            <w:tcW w:w="1080" w:type="dxa"/>
            <w:vAlign w:val="center"/>
          </w:tcPr>
          <w:p w14:paraId="44FB98CD">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产品报价（元）</w:t>
            </w:r>
          </w:p>
        </w:tc>
        <w:tc>
          <w:tcPr>
            <w:tcW w:w="710" w:type="dxa"/>
            <w:vAlign w:val="center"/>
          </w:tcPr>
          <w:p w14:paraId="601529A2">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备注</w:t>
            </w:r>
          </w:p>
        </w:tc>
      </w:tr>
      <w:tr w14:paraId="15F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CC76941">
            <w:pPr>
              <w:numPr>
                <w:ilvl w:val="0"/>
                <w:numId w:val="0"/>
              </w:numPr>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（一）强制节能产品</w:t>
            </w:r>
          </w:p>
        </w:tc>
      </w:tr>
      <w:tr w14:paraId="710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468BEC8">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1335" w:type="dxa"/>
            <w:vAlign w:val="center"/>
          </w:tcPr>
          <w:p w14:paraId="5E534065">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6A69CDAF">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474E6C99">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4FCE01A9">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08F7F0E9">
            <w:pPr>
              <w:numPr>
                <w:ilvl w:val="0"/>
                <w:numId w:val="0"/>
              </w:numPr>
              <w:jc w:val="center"/>
              <w:rPr>
                <w:rFonts w:hint="eastAsia" w:ascii="仿宋" w:hAnsi="仿宋" w:eastAsia="仿宋" w:cs="仿宋"/>
                <w:kern w:val="2"/>
                <w:sz w:val="24"/>
                <w:szCs w:val="24"/>
                <w:highlight w:val="none"/>
                <w:lang w:val="en-US" w:eastAsia="zh-CN" w:bidi="ar-SA"/>
              </w:rPr>
            </w:pPr>
          </w:p>
        </w:tc>
      </w:tr>
      <w:tr w14:paraId="3EA5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8905BF3">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335" w:type="dxa"/>
            <w:vAlign w:val="center"/>
          </w:tcPr>
          <w:p w14:paraId="6E060E6E">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3263A2A6">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5CAA1569">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60757FED">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7E65648A">
            <w:pPr>
              <w:numPr>
                <w:ilvl w:val="0"/>
                <w:numId w:val="0"/>
              </w:numPr>
              <w:jc w:val="center"/>
              <w:rPr>
                <w:rFonts w:hint="eastAsia" w:ascii="仿宋" w:hAnsi="仿宋" w:eastAsia="仿宋" w:cs="仿宋"/>
                <w:kern w:val="2"/>
                <w:sz w:val="24"/>
                <w:szCs w:val="24"/>
                <w:highlight w:val="none"/>
                <w:lang w:val="en-US" w:eastAsia="zh-CN" w:bidi="ar-SA"/>
              </w:rPr>
            </w:pPr>
          </w:p>
        </w:tc>
      </w:tr>
      <w:tr w14:paraId="6C4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D5BD866">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w:t>
            </w:r>
          </w:p>
        </w:tc>
        <w:tc>
          <w:tcPr>
            <w:tcW w:w="1335" w:type="dxa"/>
            <w:vAlign w:val="center"/>
          </w:tcPr>
          <w:p w14:paraId="41745AC3">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295958E9">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5EB1910E">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43239E66">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0704EC00">
            <w:pPr>
              <w:numPr>
                <w:ilvl w:val="0"/>
                <w:numId w:val="0"/>
              </w:numPr>
              <w:jc w:val="center"/>
              <w:rPr>
                <w:rFonts w:hint="eastAsia" w:ascii="仿宋" w:hAnsi="仿宋" w:eastAsia="仿宋" w:cs="仿宋"/>
                <w:kern w:val="2"/>
                <w:sz w:val="24"/>
                <w:szCs w:val="24"/>
                <w:highlight w:val="none"/>
                <w:lang w:val="en-US" w:eastAsia="zh-CN" w:bidi="ar-SA"/>
              </w:rPr>
            </w:pPr>
          </w:p>
        </w:tc>
      </w:tr>
      <w:tr w14:paraId="22F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47420E8">
            <w:pPr>
              <w:numPr>
                <w:ilvl w:val="0"/>
                <w:numId w:val="0"/>
              </w:num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（二）优先采购节能产品</w:t>
            </w:r>
          </w:p>
        </w:tc>
      </w:tr>
      <w:tr w14:paraId="33D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2003C4C">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1335" w:type="dxa"/>
            <w:vAlign w:val="center"/>
          </w:tcPr>
          <w:p w14:paraId="56A83CDB">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00FA909E">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2E4B5ABD">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6B4796EB">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697376B4">
            <w:pPr>
              <w:numPr>
                <w:ilvl w:val="0"/>
                <w:numId w:val="0"/>
              </w:numPr>
              <w:jc w:val="center"/>
              <w:rPr>
                <w:rFonts w:hint="eastAsia" w:ascii="仿宋" w:hAnsi="仿宋" w:eastAsia="仿宋" w:cs="仿宋"/>
                <w:kern w:val="2"/>
                <w:sz w:val="24"/>
                <w:szCs w:val="24"/>
                <w:highlight w:val="none"/>
                <w:lang w:val="en-US" w:eastAsia="zh-CN" w:bidi="ar-SA"/>
              </w:rPr>
            </w:pPr>
          </w:p>
        </w:tc>
      </w:tr>
      <w:tr w14:paraId="4717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060782D">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335" w:type="dxa"/>
            <w:vAlign w:val="center"/>
          </w:tcPr>
          <w:p w14:paraId="419F02BD">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3A69980D">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6B73D905">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00D8FD2F">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5682F174">
            <w:pPr>
              <w:numPr>
                <w:ilvl w:val="0"/>
                <w:numId w:val="0"/>
              </w:numPr>
              <w:jc w:val="center"/>
              <w:rPr>
                <w:rFonts w:hint="eastAsia" w:ascii="仿宋" w:hAnsi="仿宋" w:eastAsia="仿宋" w:cs="仿宋"/>
                <w:kern w:val="2"/>
                <w:sz w:val="24"/>
                <w:szCs w:val="24"/>
                <w:highlight w:val="none"/>
                <w:lang w:val="en-US" w:eastAsia="zh-CN" w:bidi="ar-SA"/>
              </w:rPr>
            </w:pPr>
          </w:p>
        </w:tc>
      </w:tr>
      <w:tr w14:paraId="78ED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64C2757">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w:t>
            </w:r>
          </w:p>
        </w:tc>
        <w:tc>
          <w:tcPr>
            <w:tcW w:w="1335" w:type="dxa"/>
            <w:vAlign w:val="center"/>
          </w:tcPr>
          <w:p w14:paraId="29A4C877">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42303185">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2E1734FE">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23513C73">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03A06CFF">
            <w:pPr>
              <w:numPr>
                <w:ilvl w:val="0"/>
                <w:numId w:val="0"/>
              </w:numPr>
              <w:jc w:val="center"/>
              <w:rPr>
                <w:rFonts w:hint="eastAsia" w:ascii="仿宋" w:hAnsi="仿宋" w:eastAsia="仿宋" w:cs="仿宋"/>
                <w:kern w:val="2"/>
                <w:sz w:val="24"/>
                <w:szCs w:val="24"/>
                <w:highlight w:val="none"/>
                <w:lang w:val="en-US" w:eastAsia="zh-CN" w:bidi="ar-SA"/>
              </w:rPr>
            </w:pPr>
          </w:p>
        </w:tc>
      </w:tr>
    </w:tbl>
    <w:p w14:paraId="56E7E097">
      <w:pPr>
        <w:numPr>
          <w:ilvl w:val="0"/>
          <w:numId w:val="0"/>
        </w:numPr>
        <w:rPr>
          <w:rFonts w:hint="eastAsia" w:ascii="仿宋" w:hAnsi="仿宋" w:eastAsia="仿宋" w:cs="仿宋"/>
          <w:kern w:val="2"/>
          <w:sz w:val="24"/>
          <w:szCs w:val="24"/>
          <w:highlight w:val="none"/>
          <w:lang w:val="en-US" w:eastAsia="zh-CN" w:bidi="ar-SA"/>
        </w:rPr>
      </w:pPr>
    </w:p>
    <w:p w14:paraId="736BCE8D">
      <w:pPr>
        <w:numPr>
          <w:ilvl w:val="0"/>
          <w:numId w:val="0"/>
        </w:numPr>
        <w:rPr>
          <w:rFonts w:hint="eastAsia" w:ascii="仿宋" w:hAnsi="仿宋" w:eastAsia="仿宋" w:cs="仿宋"/>
          <w:kern w:val="2"/>
          <w:sz w:val="24"/>
          <w:szCs w:val="24"/>
          <w:highlight w:val="none"/>
          <w:lang w:val="en-US" w:eastAsia="zh-CN" w:bidi="ar-SA"/>
        </w:rPr>
      </w:pPr>
    </w:p>
    <w:p w14:paraId="334834FD">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投标人名称（盖章）：</w:t>
      </w:r>
    </w:p>
    <w:p w14:paraId="3C1BAF5D">
      <w:pPr>
        <w:numPr>
          <w:ilvl w:val="0"/>
          <w:numId w:val="0"/>
        </w:numPr>
        <w:rPr>
          <w:rFonts w:hint="eastAsia" w:ascii="仿宋" w:hAnsi="仿宋" w:eastAsia="仿宋" w:cs="仿宋"/>
          <w:kern w:val="2"/>
          <w:sz w:val="24"/>
          <w:szCs w:val="24"/>
          <w:highlight w:val="none"/>
          <w:lang w:val="en-US" w:eastAsia="zh-CN" w:bidi="ar-SA"/>
        </w:rPr>
      </w:pPr>
    </w:p>
    <w:p w14:paraId="0D7D061B">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日期： 年 月 日</w:t>
      </w:r>
    </w:p>
    <w:p w14:paraId="0840F5F9">
      <w:pPr>
        <w:numPr>
          <w:ilvl w:val="0"/>
          <w:numId w:val="0"/>
        </w:numPr>
        <w:rPr>
          <w:rFonts w:hint="eastAsia" w:ascii="仿宋" w:hAnsi="仿宋" w:eastAsia="仿宋" w:cs="仿宋"/>
          <w:kern w:val="2"/>
          <w:sz w:val="24"/>
          <w:szCs w:val="24"/>
          <w:highlight w:val="none"/>
          <w:lang w:val="en-US" w:eastAsia="zh-CN" w:bidi="ar-SA"/>
        </w:rPr>
      </w:pPr>
    </w:p>
    <w:p w14:paraId="7E07D425">
      <w:pPr>
        <w:numPr>
          <w:ilvl w:val="0"/>
          <w:numId w:val="0"/>
        </w:numPr>
        <w:rPr>
          <w:rFonts w:hint="eastAsia" w:ascii="仿宋" w:hAnsi="仿宋" w:eastAsia="仿宋" w:cs="仿宋"/>
          <w:kern w:val="2"/>
          <w:sz w:val="24"/>
          <w:szCs w:val="24"/>
          <w:highlight w:val="none"/>
          <w:lang w:val="en-US" w:eastAsia="zh-CN" w:bidi="ar-SA"/>
        </w:rPr>
      </w:pPr>
    </w:p>
    <w:p w14:paraId="372B4F36">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br w:type="page"/>
      </w:r>
    </w:p>
    <w:p w14:paraId="61D8E7C6">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环境标志产品说明: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640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B6A8B53">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1335" w:type="dxa"/>
            <w:vAlign w:val="center"/>
          </w:tcPr>
          <w:p w14:paraId="47A6B71D">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产品名称</w:t>
            </w:r>
          </w:p>
        </w:tc>
        <w:tc>
          <w:tcPr>
            <w:tcW w:w="2185" w:type="dxa"/>
            <w:vAlign w:val="center"/>
          </w:tcPr>
          <w:p w14:paraId="73A91085">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对应《节能产品政府采购品目清单》的品目序号</w:t>
            </w:r>
          </w:p>
        </w:tc>
        <w:tc>
          <w:tcPr>
            <w:tcW w:w="2472" w:type="dxa"/>
            <w:vAlign w:val="center"/>
          </w:tcPr>
          <w:p w14:paraId="7E567251">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产品认证证书所在投标文件页码</w:t>
            </w:r>
          </w:p>
        </w:tc>
        <w:tc>
          <w:tcPr>
            <w:tcW w:w="1080" w:type="dxa"/>
            <w:vAlign w:val="center"/>
          </w:tcPr>
          <w:p w14:paraId="0A4AD986">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产品报价（元）</w:t>
            </w:r>
          </w:p>
        </w:tc>
        <w:tc>
          <w:tcPr>
            <w:tcW w:w="710" w:type="dxa"/>
            <w:vAlign w:val="center"/>
          </w:tcPr>
          <w:p w14:paraId="692C8DF0">
            <w:pPr>
              <w:numPr>
                <w:ilvl w:val="0"/>
                <w:numId w:val="0"/>
              </w:num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备注</w:t>
            </w:r>
          </w:p>
        </w:tc>
      </w:tr>
      <w:tr w14:paraId="359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DA8FBBC">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1335" w:type="dxa"/>
            <w:vAlign w:val="center"/>
          </w:tcPr>
          <w:p w14:paraId="3338C65C">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7FD4C7E5">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7B8E5E30">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46D6028D">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2415250F">
            <w:pPr>
              <w:numPr>
                <w:ilvl w:val="0"/>
                <w:numId w:val="0"/>
              </w:numPr>
              <w:jc w:val="center"/>
              <w:rPr>
                <w:rFonts w:hint="eastAsia" w:ascii="仿宋" w:hAnsi="仿宋" w:eastAsia="仿宋" w:cs="仿宋"/>
                <w:kern w:val="2"/>
                <w:sz w:val="24"/>
                <w:szCs w:val="24"/>
                <w:highlight w:val="none"/>
                <w:lang w:val="en-US" w:eastAsia="zh-CN" w:bidi="ar-SA"/>
              </w:rPr>
            </w:pPr>
          </w:p>
        </w:tc>
      </w:tr>
      <w:tr w14:paraId="59B4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4406A42">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335" w:type="dxa"/>
            <w:vAlign w:val="center"/>
          </w:tcPr>
          <w:p w14:paraId="5E427235">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72D588CE">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58E4135F">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6F6F9D03">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34F9E3C2">
            <w:pPr>
              <w:numPr>
                <w:ilvl w:val="0"/>
                <w:numId w:val="0"/>
              </w:numPr>
              <w:jc w:val="center"/>
              <w:rPr>
                <w:rFonts w:hint="eastAsia" w:ascii="仿宋" w:hAnsi="仿宋" w:eastAsia="仿宋" w:cs="仿宋"/>
                <w:kern w:val="2"/>
                <w:sz w:val="24"/>
                <w:szCs w:val="24"/>
                <w:highlight w:val="none"/>
                <w:lang w:val="en-US" w:eastAsia="zh-CN" w:bidi="ar-SA"/>
              </w:rPr>
            </w:pPr>
          </w:p>
        </w:tc>
      </w:tr>
      <w:tr w14:paraId="21A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A353746">
            <w:pPr>
              <w:numPr>
                <w:ilvl w:val="0"/>
                <w:numId w:val="0"/>
              </w:num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w:t>
            </w:r>
          </w:p>
        </w:tc>
        <w:tc>
          <w:tcPr>
            <w:tcW w:w="1335" w:type="dxa"/>
            <w:vAlign w:val="center"/>
          </w:tcPr>
          <w:p w14:paraId="0582AC0A">
            <w:pPr>
              <w:numPr>
                <w:ilvl w:val="0"/>
                <w:numId w:val="0"/>
              </w:numPr>
              <w:jc w:val="center"/>
              <w:rPr>
                <w:rFonts w:hint="eastAsia" w:ascii="仿宋" w:hAnsi="仿宋" w:eastAsia="仿宋" w:cs="仿宋"/>
                <w:kern w:val="2"/>
                <w:sz w:val="24"/>
                <w:szCs w:val="24"/>
                <w:highlight w:val="none"/>
                <w:lang w:val="en-US" w:eastAsia="zh-CN" w:bidi="ar-SA"/>
              </w:rPr>
            </w:pPr>
          </w:p>
        </w:tc>
        <w:tc>
          <w:tcPr>
            <w:tcW w:w="2185" w:type="dxa"/>
            <w:vAlign w:val="center"/>
          </w:tcPr>
          <w:p w14:paraId="4B1F3AC6">
            <w:pPr>
              <w:numPr>
                <w:ilvl w:val="0"/>
                <w:numId w:val="0"/>
              </w:numPr>
              <w:jc w:val="center"/>
              <w:rPr>
                <w:rFonts w:hint="eastAsia" w:ascii="仿宋" w:hAnsi="仿宋" w:eastAsia="仿宋" w:cs="仿宋"/>
                <w:kern w:val="2"/>
                <w:sz w:val="24"/>
                <w:szCs w:val="24"/>
                <w:highlight w:val="none"/>
                <w:lang w:val="en-US" w:eastAsia="zh-CN" w:bidi="ar-SA"/>
              </w:rPr>
            </w:pPr>
          </w:p>
        </w:tc>
        <w:tc>
          <w:tcPr>
            <w:tcW w:w="2472" w:type="dxa"/>
            <w:vAlign w:val="center"/>
          </w:tcPr>
          <w:p w14:paraId="0366F048">
            <w:pPr>
              <w:numPr>
                <w:ilvl w:val="0"/>
                <w:numId w:val="0"/>
              </w:numPr>
              <w:jc w:val="center"/>
              <w:rPr>
                <w:rFonts w:hint="eastAsia" w:ascii="仿宋" w:hAnsi="仿宋" w:eastAsia="仿宋" w:cs="仿宋"/>
                <w:kern w:val="2"/>
                <w:sz w:val="24"/>
                <w:szCs w:val="24"/>
                <w:highlight w:val="none"/>
                <w:lang w:val="en-US" w:eastAsia="zh-CN" w:bidi="ar-SA"/>
              </w:rPr>
            </w:pPr>
          </w:p>
        </w:tc>
        <w:tc>
          <w:tcPr>
            <w:tcW w:w="1080" w:type="dxa"/>
            <w:vAlign w:val="center"/>
          </w:tcPr>
          <w:p w14:paraId="769EA2DD">
            <w:pPr>
              <w:numPr>
                <w:ilvl w:val="0"/>
                <w:numId w:val="0"/>
              </w:numPr>
              <w:jc w:val="center"/>
              <w:rPr>
                <w:rFonts w:hint="eastAsia" w:ascii="仿宋" w:hAnsi="仿宋" w:eastAsia="仿宋" w:cs="仿宋"/>
                <w:kern w:val="2"/>
                <w:sz w:val="24"/>
                <w:szCs w:val="24"/>
                <w:highlight w:val="none"/>
                <w:lang w:val="en-US" w:eastAsia="zh-CN" w:bidi="ar-SA"/>
              </w:rPr>
            </w:pPr>
          </w:p>
        </w:tc>
        <w:tc>
          <w:tcPr>
            <w:tcW w:w="710" w:type="dxa"/>
            <w:vAlign w:val="center"/>
          </w:tcPr>
          <w:p w14:paraId="0F23DC6B">
            <w:pPr>
              <w:numPr>
                <w:ilvl w:val="0"/>
                <w:numId w:val="0"/>
              </w:numPr>
              <w:jc w:val="center"/>
              <w:rPr>
                <w:rFonts w:hint="eastAsia" w:ascii="仿宋" w:hAnsi="仿宋" w:eastAsia="仿宋" w:cs="仿宋"/>
                <w:kern w:val="2"/>
                <w:sz w:val="24"/>
                <w:szCs w:val="24"/>
                <w:highlight w:val="none"/>
                <w:lang w:val="en-US" w:eastAsia="zh-CN" w:bidi="ar-SA"/>
              </w:rPr>
            </w:pPr>
          </w:p>
        </w:tc>
      </w:tr>
    </w:tbl>
    <w:p w14:paraId="4E300812">
      <w:pPr>
        <w:numPr>
          <w:ilvl w:val="0"/>
          <w:numId w:val="0"/>
        </w:numPr>
        <w:rPr>
          <w:rFonts w:hint="eastAsia" w:ascii="仿宋" w:hAnsi="仿宋" w:eastAsia="仿宋" w:cs="仿宋"/>
          <w:kern w:val="2"/>
          <w:sz w:val="24"/>
          <w:szCs w:val="24"/>
          <w:highlight w:val="none"/>
          <w:lang w:val="en-US" w:eastAsia="zh-CN" w:bidi="ar-SA"/>
        </w:rPr>
      </w:pPr>
    </w:p>
    <w:p w14:paraId="6E3E1512">
      <w:pPr>
        <w:numPr>
          <w:ilvl w:val="0"/>
          <w:numId w:val="0"/>
        </w:numPr>
        <w:rPr>
          <w:rFonts w:hint="eastAsia" w:ascii="仿宋" w:hAnsi="仿宋" w:eastAsia="仿宋" w:cs="仿宋"/>
          <w:kern w:val="2"/>
          <w:sz w:val="24"/>
          <w:szCs w:val="24"/>
          <w:highlight w:val="none"/>
          <w:lang w:val="en-US" w:eastAsia="zh-CN" w:bidi="ar-SA"/>
        </w:rPr>
      </w:pPr>
    </w:p>
    <w:p w14:paraId="5655A207">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投标人名称（盖章）：</w:t>
      </w:r>
    </w:p>
    <w:p w14:paraId="40BDEADD">
      <w:pPr>
        <w:numPr>
          <w:ilvl w:val="0"/>
          <w:numId w:val="0"/>
        </w:numPr>
        <w:rPr>
          <w:rFonts w:hint="eastAsia" w:ascii="仿宋" w:hAnsi="仿宋" w:eastAsia="仿宋" w:cs="仿宋"/>
          <w:kern w:val="2"/>
          <w:sz w:val="24"/>
          <w:szCs w:val="24"/>
          <w:highlight w:val="none"/>
          <w:lang w:val="en-US" w:eastAsia="zh-CN" w:bidi="ar-SA"/>
        </w:rPr>
      </w:pPr>
    </w:p>
    <w:p w14:paraId="4B2EFE94">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日期： 年 月 日</w:t>
      </w:r>
    </w:p>
    <w:p w14:paraId="47C8C061">
      <w:pPr>
        <w:numPr>
          <w:ilvl w:val="0"/>
          <w:numId w:val="0"/>
        </w:numPr>
        <w:rPr>
          <w:rFonts w:hint="eastAsia" w:ascii="仿宋" w:hAnsi="仿宋" w:eastAsia="仿宋" w:cs="仿宋"/>
          <w:kern w:val="2"/>
          <w:sz w:val="24"/>
          <w:szCs w:val="24"/>
          <w:highlight w:val="none"/>
          <w:lang w:val="en-US" w:eastAsia="zh-CN" w:bidi="ar-SA"/>
        </w:rPr>
      </w:pPr>
    </w:p>
    <w:p w14:paraId="2DDB0F26">
      <w:pPr>
        <w:keepNext w:val="0"/>
        <w:keepLines w:val="0"/>
        <w:widowControl/>
        <w:numPr>
          <w:ilvl w:val="0"/>
          <w:numId w:val="0"/>
        </w:numPr>
        <w:suppressLineNumbers w:val="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1.供应商提供的节能产品、环境标志产品须为《节能产品政府采购品目清单》、《环境标志产品政府采购品目清单》中的产品，产品认证证书处于有效期内，且发证机构为国家确定的认证机构，才可享受政策优惠。 </w:t>
      </w:r>
    </w:p>
    <w:p w14:paraId="5E705A99">
      <w:pPr>
        <w:keepNext w:val="0"/>
        <w:keepLines w:val="0"/>
        <w:widowControl/>
        <w:numPr>
          <w:ilvl w:val="0"/>
          <w:numId w:val="0"/>
        </w:numPr>
        <w:suppressLineNumbers w:val="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2.供应商在《关于印发环境标志产品政府采购品目清单的通知》（财库〔2019〕18号）、《关于印发节能产品政府采购品目清单的通知》（财库〔2019〕19号）中可以查到对应的清单目录。如后续有更新的，则以更新后的文件为准。 </w:t>
      </w:r>
    </w:p>
    <w:p w14:paraId="2EF7305C">
      <w:pPr>
        <w:keepNext w:val="0"/>
        <w:keepLines w:val="0"/>
        <w:widowControl/>
        <w:suppressLineNumbers w:val="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3.国家确定的认证机构可在《市场监管总局关于发布参与实施政府采购节能产品、环境标志产品认证机构名录的公告》（2019年第16号）中查询。如后续有更新的，则以更新后的文件为准。</w:t>
      </w:r>
    </w:p>
    <w:p w14:paraId="09224988">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br w:type="page"/>
      </w:r>
    </w:p>
    <w:p w14:paraId="7E5308D4">
      <w:pPr>
        <w:numPr>
          <w:ilvl w:val="0"/>
          <w:numId w:val="0"/>
        </w:num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12、关于符合本国产品标准的声明函等有关证明文件（如适用）</w:t>
      </w:r>
    </w:p>
    <w:p w14:paraId="52904815">
      <w:pPr>
        <w:numPr>
          <w:ilvl w:val="0"/>
          <w:numId w:val="0"/>
        </w:numPr>
        <w:rPr>
          <w:rFonts w:hint="eastAsia" w:ascii="仿宋" w:hAnsi="仿宋" w:eastAsia="仿宋" w:cs="仿宋"/>
          <w:kern w:val="2"/>
          <w:sz w:val="24"/>
          <w:szCs w:val="24"/>
          <w:highlight w:val="none"/>
          <w:lang w:val="en-US" w:eastAsia="zh-CN" w:bidi="ar-SA"/>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kern w:val="2"/>
          <w:sz w:val="24"/>
          <w:szCs w:val="24"/>
          <w:highlight w:val="none"/>
          <w:lang w:val="en-US" w:eastAsia="zh-CN" w:bidi="ar-SA"/>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DCA5B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Style w:val="28"/>
          <w:rFonts w:hint="eastAsia" w:ascii="仿宋" w:hAnsi="仿宋" w:eastAsia="仿宋" w:cs="仿宋"/>
          <w:i w:val="0"/>
          <w:iCs w:val="0"/>
          <w:caps w:val="0"/>
          <w:color w:val="000000"/>
          <w:spacing w:val="0"/>
          <w:sz w:val="24"/>
          <w:szCs w:val="24"/>
          <w:highlight w:val="none"/>
          <w:shd w:val="clear" w:fill="FFFFFF"/>
          <w:vertAlign w:val="baseline"/>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（厂名）</w:t>
      </w:r>
      <w:r>
        <w:rPr>
          <w:rStyle w:val="28"/>
          <w:rFonts w:hint="eastAsia" w:ascii="仿宋" w:hAnsi="仿宋" w:eastAsia="仿宋" w:cs="仿宋"/>
          <w:i w:val="0"/>
          <w:iCs w:val="0"/>
          <w:caps w:val="0"/>
          <w:color w:val="000000"/>
          <w:spacing w:val="0"/>
          <w:sz w:val="24"/>
          <w:szCs w:val="24"/>
          <w:highlight w:val="none"/>
          <w:shd w:val="clear" w:fill="FFFFFF"/>
          <w:vertAlign w:val="baseline"/>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（规定比例）</w:t>
      </w:r>
      <w:r>
        <w:rPr>
          <w:rStyle w:val="28"/>
          <w:rFonts w:hint="eastAsia" w:ascii="仿宋" w:hAnsi="仿宋" w:eastAsia="仿宋" w:cs="仿宋"/>
          <w:i w:val="0"/>
          <w:iCs w:val="0"/>
          <w:caps w:val="0"/>
          <w:color w:val="000000"/>
          <w:spacing w:val="0"/>
          <w:sz w:val="24"/>
          <w:szCs w:val="24"/>
          <w:highlight w:val="none"/>
          <w:shd w:val="clear" w:fill="FFFFFF"/>
          <w:vertAlign w:val="baseline"/>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（关键组件）</w:t>
      </w:r>
      <w:r>
        <w:rPr>
          <w:rStyle w:val="28"/>
          <w:rFonts w:hint="eastAsia" w:ascii="仿宋" w:hAnsi="仿宋" w:eastAsia="仿宋" w:cs="仿宋"/>
          <w:i w:val="0"/>
          <w:iCs w:val="0"/>
          <w:caps w:val="0"/>
          <w:color w:val="000000"/>
          <w:spacing w:val="0"/>
          <w:sz w:val="24"/>
          <w:szCs w:val="24"/>
          <w:highlight w:val="none"/>
          <w:shd w:val="clear" w:fill="FFFFFF"/>
          <w:vertAlign w:val="baseline"/>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（关键工序）</w:t>
      </w:r>
      <w:r>
        <w:rPr>
          <w:rStyle w:val="28"/>
          <w:rFonts w:hint="eastAsia" w:ascii="仿宋" w:hAnsi="仿宋" w:eastAsia="仿宋" w:cs="仿宋"/>
          <w:i w:val="0"/>
          <w:iCs w:val="0"/>
          <w:caps w:val="0"/>
          <w:color w:val="000000"/>
          <w:spacing w:val="0"/>
          <w:sz w:val="24"/>
          <w:szCs w:val="24"/>
          <w:highlight w:val="none"/>
          <w:shd w:val="clear" w:fill="FFFFFF"/>
          <w:vertAlign w:val="baseline"/>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3B126EB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8"/>
          <w:rFonts w:hint="eastAsia" w:ascii="仿宋" w:hAnsi="仿宋" w:eastAsia="仿宋" w:cs="仿宋"/>
          <w:i w:val="0"/>
          <w:iCs w:val="0"/>
          <w:caps w:val="0"/>
          <w:color w:val="000000"/>
          <w:spacing w:val="0"/>
          <w:sz w:val="24"/>
          <w:szCs w:val="24"/>
          <w:highlight w:val="none"/>
          <w:u w:val="single"/>
          <w:shd w:val="clear" w:fill="FFFFFF"/>
          <w:vertAlign w:val="baseline"/>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46D27E64">
      <w:pPr>
        <w:pStyle w:val="4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4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4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4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4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4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5B015F93">
      <w:pPr>
        <w:pStyle w:val="11"/>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674B610B">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46932FF7">
      <w:pPr>
        <w:pStyle w:val="11"/>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  招标文件要求提供或投标人认为应附的其他材料</w:t>
      </w:r>
    </w:p>
    <w:p w14:paraId="36E409BE">
      <w:pPr>
        <w:pStyle w:val="12"/>
        <w:rPr>
          <w:rFonts w:hint="eastAsia" w:ascii="仿宋" w:hAnsi="仿宋" w:eastAsia="仿宋" w:cs="仿宋"/>
          <w:highlight w:val="none"/>
          <w:lang w:val="en-US" w:eastAsia="zh-CN"/>
        </w:rPr>
      </w:pPr>
    </w:p>
    <w:p w14:paraId="5A98FBE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3056DB5">
      <w:pPr>
        <w:widowControl w:val="0"/>
        <w:kinsoku/>
        <w:overflowPunct/>
        <w:autoSpaceDE w:val="0"/>
        <w:autoSpaceDN w:val="0"/>
        <w:bidi w:val="0"/>
        <w:spacing w:line="360" w:lineRule="auto"/>
        <w:ind w:right="1400"/>
        <w:jc w:val="both"/>
        <w:rPr>
          <w:rFonts w:hint="eastAsia" w:ascii="仿宋" w:hAnsi="仿宋" w:eastAsia="仿宋" w:cs="仿宋"/>
          <w:szCs w:val="21"/>
        </w:rPr>
      </w:pPr>
      <w:r>
        <w:rPr>
          <w:rFonts w:hint="eastAsia" w:ascii="仿宋" w:hAnsi="仿宋" w:eastAsia="仿宋" w:cs="仿宋"/>
          <w:b/>
          <w:szCs w:val="21"/>
          <w:lang w:val="en-US" w:eastAsia="zh-CN"/>
        </w:rPr>
        <w:t xml:space="preserve">14 </w:t>
      </w:r>
      <w:r>
        <w:rPr>
          <w:rFonts w:hint="eastAsia" w:ascii="仿宋" w:hAnsi="仿宋" w:eastAsia="仿宋" w:cs="仿宋"/>
          <w:b/>
          <w:szCs w:val="21"/>
        </w:rPr>
        <w:t>不参与围标串标承诺书</w:t>
      </w:r>
    </w:p>
    <w:p w14:paraId="6CAF9E36">
      <w:pPr>
        <w:keepNext/>
        <w:keepLines/>
        <w:widowControl w:val="0"/>
        <w:spacing w:before="0" w:after="0" w:line="578" w:lineRule="auto"/>
        <w:jc w:val="center"/>
        <w:outlineLvl w:val="9"/>
        <w:rPr>
          <w:rFonts w:hint="eastAsia" w:ascii="仿宋" w:hAnsi="仿宋" w:eastAsia="仿宋" w:cs="仿宋"/>
          <w:b w:val="0"/>
          <w:bCs/>
          <w:kern w:val="44"/>
          <w:sz w:val="36"/>
          <w:szCs w:val="36"/>
          <w:lang w:val="zh-CN" w:eastAsia="zh-CN" w:bidi="ar-SA"/>
        </w:rPr>
      </w:pPr>
      <w:r>
        <w:rPr>
          <w:rFonts w:hint="eastAsia" w:ascii="仿宋" w:hAnsi="仿宋" w:eastAsia="仿宋" w:cs="仿宋"/>
          <w:b w:val="0"/>
          <w:bCs/>
          <w:kern w:val="44"/>
          <w:sz w:val="36"/>
          <w:szCs w:val="36"/>
          <w:lang w:val="zh-CN" w:eastAsia="zh-CN" w:bidi="ar-SA"/>
        </w:rPr>
        <w:t>不参与围标串标承诺书</w:t>
      </w:r>
    </w:p>
    <w:p w14:paraId="20ED5864">
      <w:pPr>
        <w:widowControl w:val="0"/>
        <w:autoSpaceDE w:val="0"/>
        <w:autoSpaceDN w:val="0"/>
        <w:adjustRightInd w:val="0"/>
        <w:spacing w:line="560" w:lineRule="exact"/>
        <w:ind w:left="420" w:leftChars="200"/>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6E7E58CC">
      <w:pPr>
        <w:widowControl w:val="0"/>
        <w:autoSpaceDE w:val="0"/>
        <w:autoSpaceDN w:val="0"/>
        <w:adjustRightInd w:val="0"/>
        <w:spacing w:line="560" w:lineRule="exact"/>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6248103D">
      <w:pPr>
        <w:widowControl w:val="0"/>
        <w:autoSpaceDE w:val="0"/>
        <w:autoSpaceDN w:val="0"/>
        <w:adjustRightInd w:val="0"/>
        <w:spacing w:line="560" w:lineRule="exact"/>
        <w:ind w:firstLine="482"/>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866D741">
      <w:pPr>
        <w:widowControl w:val="0"/>
        <w:autoSpaceDE w:val="0"/>
        <w:autoSpaceDN w:val="0"/>
        <w:adjustRightInd w:val="0"/>
        <w:spacing w:line="560" w:lineRule="exact"/>
        <w:ind w:firstLine="482"/>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F16D317">
      <w:pPr>
        <w:widowControl w:val="0"/>
        <w:autoSpaceDE w:val="0"/>
        <w:autoSpaceDN w:val="0"/>
        <w:adjustRightInd w:val="0"/>
        <w:spacing w:line="560" w:lineRule="exact"/>
        <w:ind w:firstLine="482"/>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0FAB3F6D">
      <w:pPr>
        <w:widowControl w:val="0"/>
        <w:autoSpaceDE w:val="0"/>
        <w:autoSpaceDN w:val="0"/>
        <w:adjustRightInd w:val="0"/>
        <w:spacing w:line="560" w:lineRule="exact"/>
        <w:ind w:firstLine="482"/>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0FF7F591">
      <w:pPr>
        <w:widowControl w:val="0"/>
        <w:autoSpaceDE w:val="0"/>
        <w:autoSpaceDN w:val="0"/>
        <w:adjustRightInd w:val="0"/>
        <w:spacing w:line="560" w:lineRule="exact"/>
        <w:jc w:val="both"/>
        <w:rPr>
          <w:rFonts w:hint="eastAsia" w:ascii="仿宋" w:hAnsi="仿宋" w:eastAsia="仿宋" w:cs="仿宋"/>
          <w:bCs/>
          <w:kern w:val="0"/>
          <w:sz w:val="24"/>
          <w:szCs w:val="24"/>
          <w:lang w:val="zh-CN"/>
        </w:rPr>
      </w:pPr>
    </w:p>
    <w:p w14:paraId="45A34020">
      <w:pPr>
        <w:widowControl w:val="0"/>
        <w:autoSpaceDE w:val="0"/>
        <w:autoSpaceDN w:val="0"/>
        <w:adjustRightInd w:val="0"/>
        <w:spacing w:line="560" w:lineRule="exact"/>
        <w:jc w:val="both"/>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6E35EC7">
      <w:pPr>
        <w:widowControl w:val="0"/>
        <w:autoSpaceDE w:val="0"/>
        <w:autoSpaceDN w:val="0"/>
        <w:adjustRightInd w:val="0"/>
        <w:spacing w:line="560" w:lineRule="exact"/>
        <w:jc w:val="both"/>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E1B2300">
      <w:pPr>
        <w:widowControl w:val="0"/>
        <w:spacing w:line="560" w:lineRule="exact"/>
        <w:jc w:val="both"/>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7347B8EA">
      <w:pPr>
        <w:widowControl w:val="0"/>
        <w:kinsoku/>
        <w:overflowPunct/>
        <w:autoSpaceDE w:val="0"/>
        <w:autoSpaceDN w:val="0"/>
        <w:bidi w:val="0"/>
        <w:spacing w:line="360" w:lineRule="auto"/>
        <w:ind w:right="1400"/>
        <w:jc w:val="both"/>
        <w:rPr>
          <w:rFonts w:hint="eastAsia" w:ascii="仿宋" w:hAnsi="仿宋" w:eastAsia="仿宋" w:cs="仿宋"/>
          <w:b/>
          <w:szCs w:val="21"/>
        </w:rPr>
      </w:pPr>
      <w:r>
        <w:rPr>
          <w:rFonts w:hint="eastAsia" w:ascii="仿宋" w:hAnsi="仿宋" w:eastAsia="仿宋" w:cs="仿宋"/>
          <w:bCs/>
          <w:kern w:val="0"/>
          <w:sz w:val="21"/>
          <w:szCs w:val="21"/>
          <w:lang w:val="zh-CN"/>
        </w:rPr>
        <w:br w:type="page"/>
      </w:r>
      <w:r>
        <w:rPr>
          <w:rFonts w:hint="eastAsia" w:ascii="仿宋" w:hAnsi="仿宋" w:eastAsia="仿宋" w:cs="仿宋"/>
          <w:b/>
          <w:szCs w:val="21"/>
          <w:lang w:val="en-US" w:eastAsia="zh-CN"/>
        </w:rPr>
        <w:t xml:space="preserve">15  </w:t>
      </w:r>
      <w:r>
        <w:rPr>
          <w:rFonts w:hint="eastAsia" w:ascii="仿宋" w:hAnsi="仿宋" w:eastAsia="仿宋" w:cs="仿宋"/>
          <w:b/>
          <w:szCs w:val="21"/>
        </w:rPr>
        <w:t>供应商诚信承诺书</w:t>
      </w:r>
    </w:p>
    <w:p w14:paraId="6E6D462E">
      <w:pPr>
        <w:widowControl w:val="0"/>
        <w:autoSpaceDE w:val="0"/>
        <w:autoSpaceDN w:val="0"/>
        <w:adjustRightInd w:val="0"/>
        <w:spacing w:line="40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3FB475C4">
      <w:pPr>
        <w:widowControl w:val="0"/>
        <w:autoSpaceDE w:val="0"/>
        <w:autoSpaceDN w:val="0"/>
        <w:adjustRightInd w:val="0"/>
        <w:spacing w:line="400" w:lineRule="exact"/>
        <w:jc w:val="both"/>
        <w:rPr>
          <w:rFonts w:hint="eastAsia" w:ascii="仿宋" w:hAnsi="仿宋" w:eastAsia="仿宋" w:cs="仿宋"/>
          <w:color w:val="000000"/>
          <w:sz w:val="36"/>
          <w:szCs w:val="36"/>
        </w:rPr>
      </w:pPr>
    </w:p>
    <w:p w14:paraId="4CF69B6F">
      <w:pPr>
        <w:widowControl w:val="0"/>
        <w:autoSpaceDE w:val="0"/>
        <w:autoSpaceDN w:val="0"/>
        <w:adjustRightInd w:val="0"/>
        <w:spacing w:line="400" w:lineRule="exact"/>
        <w:ind w:firstLine="480"/>
        <w:jc w:val="both"/>
        <w:rPr>
          <w:rFonts w:hint="eastAsia" w:ascii="仿宋" w:hAnsi="仿宋" w:eastAsia="仿宋" w:cs="仿宋"/>
          <w:kern w:val="0"/>
          <w:sz w:val="24"/>
          <w:szCs w:val="20"/>
          <w:lang w:val="zh-CN"/>
        </w:rPr>
      </w:pPr>
      <w:bookmarkStart w:id="44" w:name="_Hlk182910040"/>
      <w:r>
        <w:rPr>
          <w:rFonts w:hint="eastAsia" w:ascii="仿宋" w:hAnsi="仿宋" w:eastAsia="仿宋" w:cs="仿宋"/>
          <w:kern w:val="0"/>
          <w:sz w:val="24"/>
          <w:szCs w:val="20"/>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0"/>
          <w:lang w:val="zh-CN"/>
        </w:rPr>
        <w:t>采购活动，愿就以下内容作出承诺：</w:t>
      </w:r>
    </w:p>
    <w:bookmarkEnd w:id="44"/>
    <w:p w14:paraId="1018D4C1">
      <w:pPr>
        <w:widowControl w:val="0"/>
        <w:autoSpaceDE w:val="0"/>
        <w:autoSpaceDN w:val="0"/>
        <w:adjustRightInd w:val="0"/>
        <w:spacing w:line="400" w:lineRule="exact"/>
        <w:ind w:firstLine="480"/>
        <w:jc w:val="both"/>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一、自觉遵守各项法律、法规、规章、制度以及社会公德，维护廉洁环境，与同场竞争的供应商平等参加招采购活动。</w:t>
      </w:r>
    </w:p>
    <w:p w14:paraId="50D5616D">
      <w:pPr>
        <w:widowControl w:val="0"/>
        <w:autoSpaceDE w:val="0"/>
        <w:autoSpaceDN w:val="0"/>
        <w:adjustRightInd w:val="0"/>
        <w:spacing w:line="400" w:lineRule="exact"/>
        <w:ind w:firstLine="480"/>
        <w:jc w:val="both"/>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二、参加采购代理机构组织的采购活动时，严格按照</w:t>
      </w:r>
      <w:r>
        <w:rPr>
          <w:rFonts w:hint="eastAsia" w:ascii="仿宋" w:hAnsi="仿宋" w:eastAsia="仿宋" w:cs="仿宋"/>
          <w:kern w:val="0"/>
          <w:sz w:val="24"/>
          <w:szCs w:val="20"/>
        </w:rPr>
        <w:t>招标</w:t>
      </w:r>
      <w:r>
        <w:rPr>
          <w:rFonts w:hint="eastAsia" w:ascii="仿宋" w:hAnsi="仿宋" w:eastAsia="仿宋" w:cs="仿宋"/>
          <w:kern w:val="0"/>
          <w:sz w:val="24"/>
          <w:szCs w:val="20"/>
          <w:lang w:val="zh-CN"/>
        </w:rPr>
        <w:t>文件的规定和要求提供所需的相关材料，并对所提供的各类资料的真实性负责，不虚假应标，不虚列业绩；不以他人名义投标或者以其他方式弄虚作假，骗取中标。</w:t>
      </w:r>
    </w:p>
    <w:p w14:paraId="6928A0C8">
      <w:pPr>
        <w:widowControl w:val="0"/>
        <w:autoSpaceDE w:val="0"/>
        <w:autoSpaceDN w:val="0"/>
        <w:adjustRightInd w:val="0"/>
        <w:spacing w:line="400" w:lineRule="exact"/>
        <w:ind w:firstLine="480"/>
        <w:jc w:val="both"/>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三、尊重参与采购活动各相关方的合法行为，接受采购活动依法形成的意见、结果。</w:t>
      </w:r>
    </w:p>
    <w:p w14:paraId="5CC390CB">
      <w:pPr>
        <w:widowControl w:val="0"/>
        <w:autoSpaceDE w:val="0"/>
        <w:autoSpaceDN w:val="0"/>
        <w:adjustRightInd w:val="0"/>
        <w:spacing w:line="400" w:lineRule="exact"/>
        <w:ind w:firstLine="480"/>
        <w:jc w:val="both"/>
        <w:rPr>
          <w:rFonts w:hint="eastAsia" w:ascii="仿宋" w:hAnsi="仿宋" w:eastAsia="仿宋" w:cs="仿宋"/>
          <w:kern w:val="0"/>
          <w:sz w:val="24"/>
          <w:szCs w:val="20"/>
          <w:lang w:val="zh-CN"/>
        </w:rPr>
      </w:pPr>
      <w:bookmarkStart w:id="45" w:name="_Hlk182909516"/>
      <w:r>
        <w:rPr>
          <w:rFonts w:hint="eastAsia" w:ascii="仿宋" w:hAnsi="仿宋" w:eastAsia="仿宋" w:cs="仿宋"/>
          <w:kern w:val="0"/>
          <w:sz w:val="24"/>
          <w:szCs w:val="20"/>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45"/>
    <w:p w14:paraId="05535E48">
      <w:pPr>
        <w:widowControl w:val="0"/>
        <w:autoSpaceDE w:val="0"/>
        <w:autoSpaceDN w:val="0"/>
        <w:adjustRightInd w:val="0"/>
        <w:spacing w:line="400" w:lineRule="exact"/>
        <w:ind w:firstLine="480"/>
        <w:jc w:val="both"/>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A612FE3">
      <w:pPr>
        <w:widowControl w:val="0"/>
        <w:autoSpaceDE w:val="0"/>
        <w:autoSpaceDN w:val="0"/>
        <w:adjustRightInd w:val="0"/>
        <w:spacing w:line="400" w:lineRule="exact"/>
        <w:ind w:firstLine="480"/>
        <w:jc w:val="both"/>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六、积极推动采购活动健康开展，对采购活动有疑问、异议时，按法律规定的程序实名（加盖单位章和法定代表人签名）反映情况，不恶意中伤、无事生非，以和谐、平等的心态参加采购活动。</w:t>
      </w:r>
    </w:p>
    <w:p w14:paraId="1C197DCA">
      <w:pPr>
        <w:widowControl w:val="0"/>
        <w:autoSpaceDE w:val="0"/>
        <w:autoSpaceDN w:val="0"/>
        <w:adjustRightInd w:val="0"/>
        <w:spacing w:line="400" w:lineRule="exact"/>
        <w:ind w:firstLine="480"/>
        <w:jc w:val="both"/>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七、认真履行成交人应承担的责任和义务，全面执行采购合同规定的各项内容，保质保量地按时提供采购物品。</w:t>
      </w:r>
    </w:p>
    <w:p w14:paraId="15232D20">
      <w:pPr>
        <w:widowControl w:val="0"/>
        <w:autoSpaceDE w:val="0"/>
        <w:autoSpaceDN w:val="0"/>
        <w:adjustRightInd w:val="0"/>
        <w:spacing w:line="400" w:lineRule="exact"/>
        <w:ind w:firstLine="480" w:firstLineChars="200"/>
        <w:jc w:val="both"/>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若本企业（单位）发生有悖于上述承诺的行为或形成恶意投诉，我们自愿接受《政府采购法》等有关法律法规中对供应商的相关处理：</w:t>
      </w:r>
      <w:bookmarkStart w:id="46" w:name="_Hlk182910718"/>
      <w:r>
        <w:rPr>
          <w:rFonts w:hint="eastAsia" w:ascii="仿宋" w:hAnsi="仿宋" w:eastAsia="仿宋" w:cs="仿宋"/>
          <w:kern w:val="0"/>
          <w:sz w:val="24"/>
          <w:szCs w:val="20"/>
          <w:lang w:val="zh-CN"/>
        </w:rPr>
        <w:t>自愿放弃中标资格、限制以后投标、记入不良信用档案、没收本次投标保证金，并愿意承担由此引起的其他法律责任。</w:t>
      </w:r>
      <w:bookmarkEnd w:id="46"/>
    </w:p>
    <w:p w14:paraId="720E7F46">
      <w:pPr>
        <w:widowControl w:val="0"/>
        <w:autoSpaceDE w:val="0"/>
        <w:autoSpaceDN w:val="0"/>
        <w:adjustRightInd w:val="0"/>
        <w:spacing w:line="400" w:lineRule="exact"/>
        <w:ind w:firstLine="4435" w:firstLineChars="1848"/>
        <w:jc w:val="both"/>
        <w:rPr>
          <w:rFonts w:hint="eastAsia" w:ascii="仿宋" w:hAnsi="仿宋" w:eastAsia="仿宋" w:cs="仿宋"/>
          <w:bCs/>
          <w:kern w:val="0"/>
          <w:sz w:val="24"/>
          <w:szCs w:val="20"/>
          <w:lang w:val="zh-CN"/>
        </w:rPr>
      </w:pPr>
      <w:bookmarkStart w:id="47" w:name="_Hlk182910783"/>
      <w:r>
        <w:rPr>
          <w:rFonts w:hint="eastAsia" w:ascii="仿宋" w:hAnsi="仿宋" w:eastAsia="仿宋" w:cs="仿宋"/>
          <w:bCs/>
          <w:kern w:val="0"/>
          <w:sz w:val="24"/>
          <w:szCs w:val="20"/>
          <w:lang w:val="zh-CN"/>
        </w:rPr>
        <w:t>供应商：             （公章）</w:t>
      </w:r>
    </w:p>
    <w:p w14:paraId="7D487C32">
      <w:pPr>
        <w:widowControl w:val="0"/>
        <w:autoSpaceDE w:val="0"/>
        <w:autoSpaceDN w:val="0"/>
        <w:adjustRightInd w:val="0"/>
        <w:spacing w:line="400" w:lineRule="exact"/>
        <w:jc w:val="both"/>
        <w:rPr>
          <w:rFonts w:hint="eastAsia" w:ascii="仿宋" w:hAnsi="仿宋" w:eastAsia="仿宋" w:cs="仿宋"/>
          <w:bCs/>
          <w:kern w:val="0"/>
          <w:sz w:val="24"/>
          <w:szCs w:val="20"/>
          <w:lang w:val="zh-CN"/>
        </w:rPr>
      </w:pPr>
      <w:r>
        <w:rPr>
          <w:rFonts w:hint="eastAsia" w:ascii="仿宋" w:hAnsi="仿宋" w:eastAsia="仿宋" w:cs="仿宋"/>
          <w:bCs/>
          <w:kern w:val="0"/>
          <w:sz w:val="24"/>
          <w:szCs w:val="20"/>
          <w:lang w:val="zh-CN"/>
        </w:rPr>
        <w:t xml:space="preserve">                     法定代表人或委托代理人：             （签字）</w:t>
      </w:r>
    </w:p>
    <w:p w14:paraId="69E17447">
      <w:pPr>
        <w:widowControl w:val="0"/>
        <w:jc w:val="both"/>
        <w:rPr>
          <w:rFonts w:hint="eastAsia" w:ascii="仿宋" w:hAnsi="仿宋" w:eastAsia="仿宋" w:cs="仿宋"/>
          <w:szCs w:val="20"/>
          <w:lang w:val="en-US" w:eastAsia="zh-CN"/>
        </w:rPr>
      </w:pPr>
      <w:r>
        <w:rPr>
          <w:rFonts w:hint="eastAsia" w:ascii="仿宋" w:hAnsi="仿宋" w:eastAsia="仿宋" w:cs="仿宋"/>
          <w:bCs/>
          <w:kern w:val="0"/>
          <w:sz w:val="24"/>
          <w:szCs w:val="20"/>
          <w:lang w:val="zh-CN"/>
        </w:rPr>
        <w:t xml:space="preserve">                                         年   月   日</w:t>
      </w:r>
      <w:bookmarkEnd w:id="47"/>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51E99251-C443-416B-9038-0578EC2ADCCC}"/>
  </w:font>
  <w:font w:name="楷体">
    <w:panose1 w:val="02010609060101010101"/>
    <w:charset w:val="86"/>
    <w:family w:val="modern"/>
    <w:pitch w:val="default"/>
    <w:sig w:usb0="800002BF" w:usb1="38CF7CFA" w:usb2="00000016" w:usb3="00000000" w:csb0="00040001" w:csb1="00000000"/>
  </w:font>
  <w:font w:name="宋体t...驵.">
    <w:altName w:val="宋体"/>
    <w:panose1 w:val="00000000000000000000"/>
    <w:charset w:val="86"/>
    <w:family w:val="roman"/>
    <w:pitch w:val="default"/>
    <w:sig w:usb0="00000000" w:usb1="00000000" w:usb2="0000001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ABC943B4-58E5-4354-B09C-EBD096541A36}"/>
  </w:font>
  <w:font w:name="微软雅黑">
    <w:panose1 w:val="020B0503020204020204"/>
    <w:charset w:val="86"/>
    <w:family w:val="auto"/>
    <w:pitch w:val="default"/>
    <w:sig w:usb0="80000287" w:usb1="2ACF3C50" w:usb2="00000016" w:usb3="00000000" w:csb0="0004001F" w:csb1="00000000"/>
    <w:embedRegular r:id="rId3" w:fontKey="{F84025AA-2577-4B58-B5A8-9B45C9711CEF}"/>
  </w:font>
  <w:font w:name="Microsoft JhengHei UI">
    <w:panose1 w:val="020B0604030504040204"/>
    <w:charset w:val="88"/>
    <w:family w:val="auto"/>
    <w:pitch w:val="default"/>
    <w:sig w:usb0="000002A7" w:usb1="28CF4400" w:usb2="00000016" w:usb3="00000000" w:csb0="00100009" w:csb1="00000000"/>
    <w:embedRegular r:id="rId4" w:fontKey="{99F5A199-D950-4533-B91E-51D4F5215F36}"/>
  </w:font>
  <w:font w:name="WPSEMBED1">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A95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3C10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B3C10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03B7">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E55A7F8">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896A3290"/>
    <w:multiLevelType w:val="singleLevel"/>
    <w:tmpl w:val="896A3290"/>
    <w:lvl w:ilvl="0" w:tentative="0">
      <w:start w:val="2"/>
      <w:numFmt w:val="decimal"/>
      <w:suff w:val="nothing"/>
      <w:lvlText w:val="%1、"/>
      <w:lvlJc w:val="left"/>
    </w:lvl>
  </w:abstractNum>
  <w:abstractNum w:abstractNumId="4">
    <w:nsid w:val="97A16D1F"/>
    <w:multiLevelType w:val="singleLevel"/>
    <w:tmpl w:val="97A16D1F"/>
    <w:lvl w:ilvl="0" w:tentative="0">
      <w:start w:val="2"/>
      <w:numFmt w:val="decimal"/>
      <w:suff w:val="nothing"/>
      <w:lvlText w:val="%1、"/>
      <w:lvlJc w:val="left"/>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6712C17"/>
    <w:multiLevelType w:val="multilevel"/>
    <w:tmpl w:val="46712C1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6B7994"/>
    <w:multiLevelType w:val="singleLevel"/>
    <w:tmpl w:val="476B7994"/>
    <w:lvl w:ilvl="0" w:tentative="0">
      <w:start w:val="1"/>
      <w:numFmt w:val="decimal"/>
      <w:suff w:val="nothing"/>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4"/>
  </w:num>
  <w:num w:numId="3">
    <w:abstractNumId w:val="13"/>
  </w:num>
  <w:num w:numId="4">
    <w:abstractNumId w:val="7"/>
  </w:num>
  <w:num w:numId="5">
    <w:abstractNumId w:val="5"/>
  </w:num>
  <w:num w:numId="6">
    <w:abstractNumId w:val="1"/>
  </w:num>
  <w:num w:numId="7">
    <w:abstractNumId w:val="8"/>
  </w:num>
  <w:num w:numId="8">
    <w:abstractNumId w:val="4"/>
  </w:num>
  <w:num w:numId="9">
    <w:abstractNumId w:val="11"/>
  </w:num>
  <w:num w:numId="10">
    <w:abstractNumId w:val="12"/>
  </w:num>
  <w:num w:numId="11">
    <w:abstractNumId w:val="10"/>
  </w:num>
  <w:num w:numId="12">
    <w:abstractNumId w:val="9"/>
  </w:num>
  <w:num w:numId="13">
    <w:abstractNumId w:val="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7C1966"/>
    <w:rsid w:val="007D6A53"/>
    <w:rsid w:val="00EF7950"/>
    <w:rsid w:val="00F9257D"/>
    <w:rsid w:val="011210FD"/>
    <w:rsid w:val="01293FDF"/>
    <w:rsid w:val="016D4D19"/>
    <w:rsid w:val="01B12E58"/>
    <w:rsid w:val="01B327A1"/>
    <w:rsid w:val="01D86637"/>
    <w:rsid w:val="01DD3AC3"/>
    <w:rsid w:val="02005C3A"/>
    <w:rsid w:val="02D36DFE"/>
    <w:rsid w:val="037C7496"/>
    <w:rsid w:val="03F569C0"/>
    <w:rsid w:val="040C75CD"/>
    <w:rsid w:val="040E43DE"/>
    <w:rsid w:val="04513203"/>
    <w:rsid w:val="04A22F2C"/>
    <w:rsid w:val="04D836CC"/>
    <w:rsid w:val="04DF1A8A"/>
    <w:rsid w:val="0502680E"/>
    <w:rsid w:val="052E656D"/>
    <w:rsid w:val="055F4854"/>
    <w:rsid w:val="05775429"/>
    <w:rsid w:val="05BB6053"/>
    <w:rsid w:val="061A2D1E"/>
    <w:rsid w:val="0636392C"/>
    <w:rsid w:val="068C3E93"/>
    <w:rsid w:val="06A64F55"/>
    <w:rsid w:val="06F16BC5"/>
    <w:rsid w:val="073267E9"/>
    <w:rsid w:val="07391925"/>
    <w:rsid w:val="073A569E"/>
    <w:rsid w:val="07600879"/>
    <w:rsid w:val="07A74594"/>
    <w:rsid w:val="07AF3996"/>
    <w:rsid w:val="082320BB"/>
    <w:rsid w:val="083500E3"/>
    <w:rsid w:val="08B374B6"/>
    <w:rsid w:val="08FE75D7"/>
    <w:rsid w:val="09322AD0"/>
    <w:rsid w:val="096174F4"/>
    <w:rsid w:val="09EF36DF"/>
    <w:rsid w:val="09FE6BD3"/>
    <w:rsid w:val="0A03621B"/>
    <w:rsid w:val="0A7D5FCD"/>
    <w:rsid w:val="0ADA51CD"/>
    <w:rsid w:val="0AE93662"/>
    <w:rsid w:val="0B21104E"/>
    <w:rsid w:val="0B3A5C6C"/>
    <w:rsid w:val="0B927856"/>
    <w:rsid w:val="0BA54947"/>
    <w:rsid w:val="0C724D1B"/>
    <w:rsid w:val="0CB97065"/>
    <w:rsid w:val="0D166265"/>
    <w:rsid w:val="0D2F0B75"/>
    <w:rsid w:val="0D3861DB"/>
    <w:rsid w:val="0D5D1B80"/>
    <w:rsid w:val="0D6151BA"/>
    <w:rsid w:val="0D676AC1"/>
    <w:rsid w:val="0D774F56"/>
    <w:rsid w:val="0DD515CD"/>
    <w:rsid w:val="0DF67252"/>
    <w:rsid w:val="0E0D58BA"/>
    <w:rsid w:val="0E3D7B44"/>
    <w:rsid w:val="0E417312"/>
    <w:rsid w:val="0E6D0107"/>
    <w:rsid w:val="0E8266C5"/>
    <w:rsid w:val="0E9C5859"/>
    <w:rsid w:val="0EF60F7D"/>
    <w:rsid w:val="0EFB2854"/>
    <w:rsid w:val="0F1F3AF7"/>
    <w:rsid w:val="0F33766C"/>
    <w:rsid w:val="0F5C3E92"/>
    <w:rsid w:val="0FAC4A5B"/>
    <w:rsid w:val="10173C40"/>
    <w:rsid w:val="108571AB"/>
    <w:rsid w:val="108F4B64"/>
    <w:rsid w:val="10E36DA6"/>
    <w:rsid w:val="10E54CB1"/>
    <w:rsid w:val="10EC6CF5"/>
    <w:rsid w:val="11ED63EA"/>
    <w:rsid w:val="12157E9E"/>
    <w:rsid w:val="12371157"/>
    <w:rsid w:val="12677DFE"/>
    <w:rsid w:val="12753A67"/>
    <w:rsid w:val="12986F2D"/>
    <w:rsid w:val="13B642FE"/>
    <w:rsid w:val="147C72F5"/>
    <w:rsid w:val="15567B46"/>
    <w:rsid w:val="15673B02"/>
    <w:rsid w:val="159D0B42"/>
    <w:rsid w:val="15E348F4"/>
    <w:rsid w:val="16192669"/>
    <w:rsid w:val="16344EC6"/>
    <w:rsid w:val="164F0354"/>
    <w:rsid w:val="16651E05"/>
    <w:rsid w:val="16970417"/>
    <w:rsid w:val="16C66BE6"/>
    <w:rsid w:val="171E28E6"/>
    <w:rsid w:val="17340529"/>
    <w:rsid w:val="179B7A92"/>
    <w:rsid w:val="17CC0594"/>
    <w:rsid w:val="185145F5"/>
    <w:rsid w:val="18610CDC"/>
    <w:rsid w:val="1890336F"/>
    <w:rsid w:val="197C38F4"/>
    <w:rsid w:val="198E49C8"/>
    <w:rsid w:val="199B6470"/>
    <w:rsid w:val="1A02029D"/>
    <w:rsid w:val="1A176155"/>
    <w:rsid w:val="1A7F342E"/>
    <w:rsid w:val="1A815666"/>
    <w:rsid w:val="1AB31597"/>
    <w:rsid w:val="1AB53523"/>
    <w:rsid w:val="1ABE221D"/>
    <w:rsid w:val="1AC00AF1"/>
    <w:rsid w:val="1B011FED"/>
    <w:rsid w:val="1B3E5305"/>
    <w:rsid w:val="1B44195B"/>
    <w:rsid w:val="1BB42AAF"/>
    <w:rsid w:val="1C35495A"/>
    <w:rsid w:val="1CD02907"/>
    <w:rsid w:val="1D0929C7"/>
    <w:rsid w:val="1D331864"/>
    <w:rsid w:val="1D6848BB"/>
    <w:rsid w:val="1D8B7ED2"/>
    <w:rsid w:val="1DE91501"/>
    <w:rsid w:val="1E4C7D38"/>
    <w:rsid w:val="1E694901"/>
    <w:rsid w:val="1E761259"/>
    <w:rsid w:val="1E88173F"/>
    <w:rsid w:val="1E8A6AB3"/>
    <w:rsid w:val="1ECF5C08"/>
    <w:rsid w:val="1F954B60"/>
    <w:rsid w:val="1FAD2A59"/>
    <w:rsid w:val="200D1749"/>
    <w:rsid w:val="20370574"/>
    <w:rsid w:val="20392799"/>
    <w:rsid w:val="207B66B3"/>
    <w:rsid w:val="210E49CA"/>
    <w:rsid w:val="21AB6DAE"/>
    <w:rsid w:val="21B31E7D"/>
    <w:rsid w:val="21B53E47"/>
    <w:rsid w:val="22007E08"/>
    <w:rsid w:val="222861C8"/>
    <w:rsid w:val="227A59DD"/>
    <w:rsid w:val="227B47ED"/>
    <w:rsid w:val="22C96D6A"/>
    <w:rsid w:val="22E83DA8"/>
    <w:rsid w:val="233C34DF"/>
    <w:rsid w:val="23A61C99"/>
    <w:rsid w:val="23AC3027"/>
    <w:rsid w:val="23E629DD"/>
    <w:rsid w:val="23F433CC"/>
    <w:rsid w:val="2460183D"/>
    <w:rsid w:val="2463402E"/>
    <w:rsid w:val="24D34D10"/>
    <w:rsid w:val="25494FD2"/>
    <w:rsid w:val="256E67E6"/>
    <w:rsid w:val="25EA2DD8"/>
    <w:rsid w:val="26143832"/>
    <w:rsid w:val="261536C1"/>
    <w:rsid w:val="262319BC"/>
    <w:rsid w:val="26887D7C"/>
    <w:rsid w:val="26B446CD"/>
    <w:rsid w:val="26BD0A9C"/>
    <w:rsid w:val="26D44D6F"/>
    <w:rsid w:val="26DB2065"/>
    <w:rsid w:val="27190664"/>
    <w:rsid w:val="276205CD"/>
    <w:rsid w:val="279C2E01"/>
    <w:rsid w:val="28003E99"/>
    <w:rsid w:val="280C0B44"/>
    <w:rsid w:val="28292E99"/>
    <w:rsid w:val="283F090E"/>
    <w:rsid w:val="28560F12"/>
    <w:rsid w:val="28905BB2"/>
    <w:rsid w:val="28BE1833"/>
    <w:rsid w:val="28C332ED"/>
    <w:rsid w:val="28DB0637"/>
    <w:rsid w:val="28F434A6"/>
    <w:rsid w:val="29001E4B"/>
    <w:rsid w:val="29361D11"/>
    <w:rsid w:val="293715E5"/>
    <w:rsid w:val="29DA30FE"/>
    <w:rsid w:val="29F65C17"/>
    <w:rsid w:val="2A331DAD"/>
    <w:rsid w:val="2A9C76A8"/>
    <w:rsid w:val="2AB22388"/>
    <w:rsid w:val="2AE5754B"/>
    <w:rsid w:val="2AF07C9E"/>
    <w:rsid w:val="2B042389"/>
    <w:rsid w:val="2B1A70C9"/>
    <w:rsid w:val="2B1E1887"/>
    <w:rsid w:val="2B620B9B"/>
    <w:rsid w:val="2B885F42"/>
    <w:rsid w:val="2B8F1B4F"/>
    <w:rsid w:val="2C3D33B6"/>
    <w:rsid w:val="2D4349FC"/>
    <w:rsid w:val="2DB71F51"/>
    <w:rsid w:val="2DEA30CA"/>
    <w:rsid w:val="2E393998"/>
    <w:rsid w:val="2E4072A5"/>
    <w:rsid w:val="2E7B3D22"/>
    <w:rsid w:val="2F3C4154"/>
    <w:rsid w:val="2F835584"/>
    <w:rsid w:val="2F96046C"/>
    <w:rsid w:val="2FD309CC"/>
    <w:rsid w:val="2FE20F33"/>
    <w:rsid w:val="2FE73D65"/>
    <w:rsid w:val="2FFD5337"/>
    <w:rsid w:val="30007685"/>
    <w:rsid w:val="30322DED"/>
    <w:rsid w:val="30B60B19"/>
    <w:rsid w:val="30BC6FA0"/>
    <w:rsid w:val="30CA6146"/>
    <w:rsid w:val="30EF096B"/>
    <w:rsid w:val="31294F6D"/>
    <w:rsid w:val="313D6184"/>
    <w:rsid w:val="315A5808"/>
    <w:rsid w:val="319E66A5"/>
    <w:rsid w:val="32393423"/>
    <w:rsid w:val="324C06E6"/>
    <w:rsid w:val="327775A4"/>
    <w:rsid w:val="329B7A40"/>
    <w:rsid w:val="33380434"/>
    <w:rsid w:val="337C0B48"/>
    <w:rsid w:val="33B01385"/>
    <w:rsid w:val="33EF7FB2"/>
    <w:rsid w:val="341A78AC"/>
    <w:rsid w:val="3421711A"/>
    <w:rsid w:val="34272E4C"/>
    <w:rsid w:val="343926B5"/>
    <w:rsid w:val="34B22B87"/>
    <w:rsid w:val="34F459D3"/>
    <w:rsid w:val="356674DA"/>
    <w:rsid w:val="36154FE2"/>
    <w:rsid w:val="3671332B"/>
    <w:rsid w:val="36BD5820"/>
    <w:rsid w:val="36CE17DB"/>
    <w:rsid w:val="371148E4"/>
    <w:rsid w:val="37492C0F"/>
    <w:rsid w:val="37944C14"/>
    <w:rsid w:val="38643D37"/>
    <w:rsid w:val="38765C86"/>
    <w:rsid w:val="38A26A7B"/>
    <w:rsid w:val="38A64043"/>
    <w:rsid w:val="38C500B3"/>
    <w:rsid w:val="38C613AA"/>
    <w:rsid w:val="38CB5299"/>
    <w:rsid w:val="38EC419A"/>
    <w:rsid w:val="390E4110"/>
    <w:rsid w:val="39317DFF"/>
    <w:rsid w:val="3934226D"/>
    <w:rsid w:val="3969383E"/>
    <w:rsid w:val="39893797"/>
    <w:rsid w:val="39B27389"/>
    <w:rsid w:val="39C57920"/>
    <w:rsid w:val="39D709A6"/>
    <w:rsid w:val="39DA2245"/>
    <w:rsid w:val="3A5A30A6"/>
    <w:rsid w:val="3AB42122"/>
    <w:rsid w:val="3AE03859"/>
    <w:rsid w:val="3AE404B2"/>
    <w:rsid w:val="3BE70C49"/>
    <w:rsid w:val="3C2E6878"/>
    <w:rsid w:val="3C634773"/>
    <w:rsid w:val="3CFB4C5D"/>
    <w:rsid w:val="3D60459C"/>
    <w:rsid w:val="3D6A1B31"/>
    <w:rsid w:val="3D9F3012"/>
    <w:rsid w:val="3DC56D68"/>
    <w:rsid w:val="3DCB0822"/>
    <w:rsid w:val="3DD07BE6"/>
    <w:rsid w:val="3E502AD5"/>
    <w:rsid w:val="3E895FE7"/>
    <w:rsid w:val="3F0062A9"/>
    <w:rsid w:val="3F2E212C"/>
    <w:rsid w:val="3F7647BE"/>
    <w:rsid w:val="3F942E96"/>
    <w:rsid w:val="3FA0183A"/>
    <w:rsid w:val="3FBD4153"/>
    <w:rsid w:val="3FC90D91"/>
    <w:rsid w:val="40022408"/>
    <w:rsid w:val="40066116"/>
    <w:rsid w:val="406960D0"/>
    <w:rsid w:val="408E78A6"/>
    <w:rsid w:val="40B3559D"/>
    <w:rsid w:val="41C23657"/>
    <w:rsid w:val="41E910AE"/>
    <w:rsid w:val="41EC520B"/>
    <w:rsid w:val="41F540C0"/>
    <w:rsid w:val="4206121C"/>
    <w:rsid w:val="421B789E"/>
    <w:rsid w:val="42255765"/>
    <w:rsid w:val="424D3EFC"/>
    <w:rsid w:val="426D00FA"/>
    <w:rsid w:val="42AE426E"/>
    <w:rsid w:val="43064193"/>
    <w:rsid w:val="431D7E88"/>
    <w:rsid w:val="43560B8E"/>
    <w:rsid w:val="445D7CFA"/>
    <w:rsid w:val="44910D58"/>
    <w:rsid w:val="44D2693A"/>
    <w:rsid w:val="44E22175"/>
    <w:rsid w:val="44F3065E"/>
    <w:rsid w:val="456F23DB"/>
    <w:rsid w:val="4597548E"/>
    <w:rsid w:val="45CF4C28"/>
    <w:rsid w:val="45FD1795"/>
    <w:rsid w:val="460A043B"/>
    <w:rsid w:val="46CB1893"/>
    <w:rsid w:val="47025732"/>
    <w:rsid w:val="475573AE"/>
    <w:rsid w:val="47970D33"/>
    <w:rsid w:val="48181044"/>
    <w:rsid w:val="484511D1"/>
    <w:rsid w:val="48881EB5"/>
    <w:rsid w:val="490D6193"/>
    <w:rsid w:val="49421E5C"/>
    <w:rsid w:val="49771967"/>
    <w:rsid w:val="49C5081B"/>
    <w:rsid w:val="49EF0BDA"/>
    <w:rsid w:val="4A2354EB"/>
    <w:rsid w:val="4A241463"/>
    <w:rsid w:val="4AEC627C"/>
    <w:rsid w:val="4AFE4074"/>
    <w:rsid w:val="4B155BCD"/>
    <w:rsid w:val="4B275E1B"/>
    <w:rsid w:val="4BD71EB9"/>
    <w:rsid w:val="4BF3578C"/>
    <w:rsid w:val="4C0E2F1B"/>
    <w:rsid w:val="4C503F4A"/>
    <w:rsid w:val="4C831EDD"/>
    <w:rsid w:val="4CA15422"/>
    <w:rsid w:val="4CA800BC"/>
    <w:rsid w:val="4CB608EF"/>
    <w:rsid w:val="4D023B34"/>
    <w:rsid w:val="4D7B5AD0"/>
    <w:rsid w:val="4DEE5E67"/>
    <w:rsid w:val="4E0631B0"/>
    <w:rsid w:val="4EAD5D22"/>
    <w:rsid w:val="4FE57E6A"/>
    <w:rsid w:val="501C315F"/>
    <w:rsid w:val="503B4C68"/>
    <w:rsid w:val="50B01F03"/>
    <w:rsid w:val="50EC48E0"/>
    <w:rsid w:val="5101103A"/>
    <w:rsid w:val="510559A1"/>
    <w:rsid w:val="51085492"/>
    <w:rsid w:val="516D3D99"/>
    <w:rsid w:val="51AF240B"/>
    <w:rsid w:val="524B6554"/>
    <w:rsid w:val="52674F43"/>
    <w:rsid w:val="528E4FD1"/>
    <w:rsid w:val="52E8557B"/>
    <w:rsid w:val="53E94EE7"/>
    <w:rsid w:val="54143903"/>
    <w:rsid w:val="548968E9"/>
    <w:rsid w:val="54905ECA"/>
    <w:rsid w:val="549738AF"/>
    <w:rsid w:val="54994D7E"/>
    <w:rsid w:val="54C33BA9"/>
    <w:rsid w:val="54E35FFA"/>
    <w:rsid w:val="54F75F49"/>
    <w:rsid w:val="550C692B"/>
    <w:rsid w:val="55110DB9"/>
    <w:rsid w:val="553A6FC3"/>
    <w:rsid w:val="553C5CE7"/>
    <w:rsid w:val="55903B4D"/>
    <w:rsid w:val="55A0038E"/>
    <w:rsid w:val="55C45E2B"/>
    <w:rsid w:val="55D65293"/>
    <w:rsid w:val="560E354A"/>
    <w:rsid w:val="56AD4B11"/>
    <w:rsid w:val="56BF4844"/>
    <w:rsid w:val="56C703BD"/>
    <w:rsid w:val="57245238"/>
    <w:rsid w:val="573E2CD0"/>
    <w:rsid w:val="577B69BD"/>
    <w:rsid w:val="57807D09"/>
    <w:rsid w:val="57B95690"/>
    <w:rsid w:val="57F86260"/>
    <w:rsid w:val="581F37ED"/>
    <w:rsid w:val="584B2834"/>
    <w:rsid w:val="58A106A5"/>
    <w:rsid w:val="58B24186"/>
    <w:rsid w:val="58F509F1"/>
    <w:rsid w:val="596F4300"/>
    <w:rsid w:val="59A95F7B"/>
    <w:rsid w:val="5A054C64"/>
    <w:rsid w:val="5A0802B0"/>
    <w:rsid w:val="5A542EE5"/>
    <w:rsid w:val="5ADE798F"/>
    <w:rsid w:val="5AFC1BC3"/>
    <w:rsid w:val="5B0311A3"/>
    <w:rsid w:val="5B4D241F"/>
    <w:rsid w:val="5B9B762E"/>
    <w:rsid w:val="5C1178F0"/>
    <w:rsid w:val="5C30704C"/>
    <w:rsid w:val="5C393517"/>
    <w:rsid w:val="5C5A7F7F"/>
    <w:rsid w:val="5D227DEB"/>
    <w:rsid w:val="5D5A2308"/>
    <w:rsid w:val="5DD168A1"/>
    <w:rsid w:val="5E6F08FE"/>
    <w:rsid w:val="5E987E55"/>
    <w:rsid w:val="5E993BCD"/>
    <w:rsid w:val="5F0D14AD"/>
    <w:rsid w:val="5F182D44"/>
    <w:rsid w:val="5FDE21DF"/>
    <w:rsid w:val="5FF7504F"/>
    <w:rsid w:val="606C77EB"/>
    <w:rsid w:val="608B1E77"/>
    <w:rsid w:val="608C6AC8"/>
    <w:rsid w:val="60DF620F"/>
    <w:rsid w:val="61170069"/>
    <w:rsid w:val="61357BDD"/>
    <w:rsid w:val="61C572D3"/>
    <w:rsid w:val="61F62764"/>
    <w:rsid w:val="62347F47"/>
    <w:rsid w:val="62685D90"/>
    <w:rsid w:val="627C4C03"/>
    <w:rsid w:val="6297415B"/>
    <w:rsid w:val="62F31AFE"/>
    <w:rsid w:val="63293771"/>
    <w:rsid w:val="635B76A3"/>
    <w:rsid w:val="63776BBF"/>
    <w:rsid w:val="63C33BC6"/>
    <w:rsid w:val="63C96D02"/>
    <w:rsid w:val="63D25BB7"/>
    <w:rsid w:val="63EC3C2E"/>
    <w:rsid w:val="64195594"/>
    <w:rsid w:val="64320204"/>
    <w:rsid w:val="64CD45D0"/>
    <w:rsid w:val="65085608"/>
    <w:rsid w:val="65423A05"/>
    <w:rsid w:val="65536958"/>
    <w:rsid w:val="65907AD8"/>
    <w:rsid w:val="65A9656A"/>
    <w:rsid w:val="666F3B91"/>
    <w:rsid w:val="66A762C2"/>
    <w:rsid w:val="66B45A48"/>
    <w:rsid w:val="66EF082E"/>
    <w:rsid w:val="66F66060"/>
    <w:rsid w:val="670C13E0"/>
    <w:rsid w:val="671E1113"/>
    <w:rsid w:val="672E75A8"/>
    <w:rsid w:val="67902011"/>
    <w:rsid w:val="67915D89"/>
    <w:rsid w:val="67B65075"/>
    <w:rsid w:val="67BB4BB4"/>
    <w:rsid w:val="67ED07E2"/>
    <w:rsid w:val="68832A45"/>
    <w:rsid w:val="691B0000"/>
    <w:rsid w:val="69FF522C"/>
    <w:rsid w:val="6A0171F6"/>
    <w:rsid w:val="6A07121D"/>
    <w:rsid w:val="6A152E0B"/>
    <w:rsid w:val="6A436604"/>
    <w:rsid w:val="6A69266A"/>
    <w:rsid w:val="6A727570"/>
    <w:rsid w:val="6AA819B9"/>
    <w:rsid w:val="6B5A5079"/>
    <w:rsid w:val="6B7D0AFE"/>
    <w:rsid w:val="6B7E03D2"/>
    <w:rsid w:val="6BE75870"/>
    <w:rsid w:val="6C163F72"/>
    <w:rsid w:val="6C2A5DBB"/>
    <w:rsid w:val="6CC83FFB"/>
    <w:rsid w:val="6CFA1CDB"/>
    <w:rsid w:val="6D0E48E8"/>
    <w:rsid w:val="6D206CFF"/>
    <w:rsid w:val="6DAF0D17"/>
    <w:rsid w:val="6DB553EA"/>
    <w:rsid w:val="6DD30EA9"/>
    <w:rsid w:val="6DE5298B"/>
    <w:rsid w:val="6E1E5238"/>
    <w:rsid w:val="6ECD2C16"/>
    <w:rsid w:val="6EDC1070"/>
    <w:rsid w:val="6F5508A8"/>
    <w:rsid w:val="6FC54073"/>
    <w:rsid w:val="6FE078AE"/>
    <w:rsid w:val="705E150A"/>
    <w:rsid w:val="7064403B"/>
    <w:rsid w:val="70F76C5D"/>
    <w:rsid w:val="70FE623D"/>
    <w:rsid w:val="71445C1A"/>
    <w:rsid w:val="71527F65"/>
    <w:rsid w:val="715F2A54"/>
    <w:rsid w:val="716A5681"/>
    <w:rsid w:val="71C51DA1"/>
    <w:rsid w:val="71C56D5B"/>
    <w:rsid w:val="71DE7825"/>
    <w:rsid w:val="727341FB"/>
    <w:rsid w:val="728118F5"/>
    <w:rsid w:val="7298085C"/>
    <w:rsid w:val="73084FC0"/>
    <w:rsid w:val="73683E42"/>
    <w:rsid w:val="737F2F3A"/>
    <w:rsid w:val="73AA3099"/>
    <w:rsid w:val="746B40D6"/>
    <w:rsid w:val="74806F69"/>
    <w:rsid w:val="74BB2697"/>
    <w:rsid w:val="752B5127"/>
    <w:rsid w:val="752C0E9F"/>
    <w:rsid w:val="756E3266"/>
    <w:rsid w:val="758B3E18"/>
    <w:rsid w:val="75C7104C"/>
    <w:rsid w:val="75EF6062"/>
    <w:rsid w:val="75F776FF"/>
    <w:rsid w:val="760E1033"/>
    <w:rsid w:val="76564426"/>
    <w:rsid w:val="76763C1C"/>
    <w:rsid w:val="768E1E11"/>
    <w:rsid w:val="76B850E0"/>
    <w:rsid w:val="77B27C24"/>
    <w:rsid w:val="77E06D61"/>
    <w:rsid w:val="782B2DC7"/>
    <w:rsid w:val="788B1CC4"/>
    <w:rsid w:val="78A05E2C"/>
    <w:rsid w:val="78FB3062"/>
    <w:rsid w:val="790A14F7"/>
    <w:rsid w:val="792D659B"/>
    <w:rsid w:val="79490272"/>
    <w:rsid w:val="795F5CE7"/>
    <w:rsid w:val="79A33E26"/>
    <w:rsid w:val="79A951B4"/>
    <w:rsid w:val="7A067F11"/>
    <w:rsid w:val="7AD1051F"/>
    <w:rsid w:val="7B2014A6"/>
    <w:rsid w:val="7B567D67"/>
    <w:rsid w:val="7B5A6766"/>
    <w:rsid w:val="7BA43E85"/>
    <w:rsid w:val="7C0B4345"/>
    <w:rsid w:val="7C336FB7"/>
    <w:rsid w:val="7C684EB3"/>
    <w:rsid w:val="7D8319BF"/>
    <w:rsid w:val="7D9C24E7"/>
    <w:rsid w:val="7E665422"/>
    <w:rsid w:val="7E8F0526"/>
    <w:rsid w:val="7EF822F8"/>
    <w:rsid w:val="7F0F5AB9"/>
    <w:rsid w:val="7F222F3F"/>
    <w:rsid w:val="7F347476"/>
    <w:rsid w:val="7F376DBE"/>
    <w:rsid w:val="7F651B7D"/>
    <w:rsid w:val="7F8F3E2E"/>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1"/>
    <w:pPr>
      <w:widowControl w:val="0"/>
      <w:jc w:val="both"/>
    </w:pPr>
    <w:rPr>
      <w:rFonts w:ascii="楷体" w:hAnsi="楷体" w:eastAsia="楷体" w:cs="楷体"/>
      <w:kern w:val="2"/>
      <w:sz w:val="24"/>
      <w:szCs w:val="24"/>
      <w:lang w:val="zh-CN" w:eastAsia="zh-CN" w:bidi="zh-CN"/>
    </w:rPr>
  </w:style>
  <w:style w:type="paragraph" w:styleId="9">
    <w:name w:val="Body Text Indent"/>
    <w:basedOn w:val="1"/>
    <w:next w:val="10"/>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0">
    <w:name w:val="Body Text First Indent 2"/>
    <w:basedOn w:val="9"/>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paragraph" w:styleId="11">
    <w:name w:val="Body Text First Indent"/>
    <w:basedOn w:val="8"/>
    <w:next w:val="12"/>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3">
    <w:name w:val="toc 5"/>
    <w:basedOn w:val="1"/>
    <w:next w:val="1"/>
    <w:unhideWhenUsed/>
    <w:qFormat/>
    <w:uiPriority w:val="39"/>
    <w:pPr>
      <w:ind w:left="1680" w:leftChars="800"/>
    </w:pPr>
    <w:rPr>
      <w:rFonts w:ascii="Calibri" w:hAnsi="Calibri"/>
      <w:szCs w:val="22"/>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footnote text"/>
    <w:basedOn w:val="1"/>
    <w:qFormat/>
    <w:uiPriority w:val="0"/>
    <w:pPr>
      <w:snapToGrid w:val="0"/>
      <w:jc w:val="left"/>
    </w:pPr>
    <w:rPr>
      <w:sz w:val="18"/>
      <w:szCs w:val="18"/>
    </w:rPr>
  </w:style>
  <w:style w:type="paragraph" w:styleId="20">
    <w:name w:val="HTML Preformatted"/>
    <w:basedOn w:val="1"/>
    <w:qFormat/>
    <w:uiPriority w:val="0"/>
    <w:rPr>
      <w:rFonts w:ascii="Courier New" w:hAnsi="Courier New"/>
      <w:sz w:val="20"/>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7"/>
    <w:qFormat/>
    <w:uiPriority w:val="0"/>
    <w:rPr>
      <w:lang w:val="zh-TW" w:eastAsia="zh-TW"/>
    </w:rPr>
  </w:style>
  <w:style w:type="character" w:customStyle="1" w:styleId="27">
    <w:name w:val="默认段落字体11"/>
    <w:qFormat/>
    <w:uiPriority w:val="0"/>
  </w:style>
  <w:style w:type="character" w:styleId="28">
    <w:name w:val="Emphasis"/>
    <w:basedOn w:val="24"/>
    <w:qFormat/>
    <w:uiPriority w:val="0"/>
    <w:rPr>
      <w:i/>
    </w:rPr>
  </w:style>
  <w:style w:type="paragraph" w:customStyle="1" w:styleId="29">
    <w:name w:val="UserStyle_0"/>
    <w:basedOn w:val="1"/>
    <w:qFormat/>
    <w:uiPriority w:val="0"/>
    <w:pPr>
      <w:widowControl/>
      <w:spacing w:after="120"/>
      <w:textAlignment w:val="baseline"/>
    </w:p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37">
    <w:name w:val="UserStyle_2"/>
    <w:qFormat/>
    <w:uiPriority w:val="0"/>
    <w:pPr>
      <w:textAlignment w:val="baseline"/>
    </w:pPr>
    <w:rPr>
      <w:rFonts w:ascii="宋体t...驵." w:hAnsi="Calibri" w:eastAsia="宋体t...驵." w:cstheme="minorBidi"/>
      <w:color w:val="000000"/>
      <w:kern w:val="0"/>
      <w:sz w:val="24"/>
      <w:szCs w:val="24"/>
      <w:lang w:val="en-US" w:eastAsia="zh-CN" w:bidi="ar-SA"/>
    </w:rPr>
  </w:style>
  <w:style w:type="paragraph" w:customStyle="1" w:styleId="38">
    <w:name w:val="正文缩进1"/>
    <w:basedOn w:val="39"/>
    <w:next w:val="9"/>
    <w:qFormat/>
    <w:uiPriority w:val="0"/>
    <w:pPr>
      <w:autoSpaceDE w:val="0"/>
      <w:autoSpaceDN w:val="0"/>
      <w:adjustRightInd w:val="0"/>
      <w:ind w:firstLine="420"/>
      <w:jc w:val="left"/>
    </w:pPr>
    <w:rPr>
      <w:rFonts w:ascii="宋体" w:hAnsi="宋体" w:eastAsia="宋体"/>
      <w:kern w:val="0"/>
      <w:sz w:val="24"/>
      <w:szCs w:val="20"/>
    </w:rPr>
  </w:style>
  <w:style w:type="paragraph" w:customStyle="1" w:styleId="39">
    <w:name w:val="正文2"/>
    <w:next w:val="1"/>
    <w:qFormat/>
    <w:uiPriority w:val="0"/>
    <w:rPr>
      <w:rFonts w:ascii="Times New Roman" w:hAnsi="Times New Roman" w:eastAsia="Times New Roman" w:cs="Times New Roman"/>
      <w:sz w:val="24"/>
      <w:szCs w:val="24"/>
      <w:lang w:val="en-US" w:eastAsia="zh-CN" w:bidi="ar-SA"/>
    </w:rPr>
  </w:style>
  <w:style w:type="paragraph" w:customStyle="1" w:styleId="4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41">
    <w:name w:val="List Paragraph"/>
    <w:basedOn w:val="1"/>
    <w:qFormat/>
    <w:uiPriority w:val="34"/>
    <w:pPr>
      <w:ind w:firstLine="420" w:firstLineChars="200"/>
    </w:pPr>
    <w:rPr>
      <w:rFonts w:ascii="黑体" w:hAnsi="黑体"/>
      <w:szCs w:val="22"/>
    </w:rPr>
  </w:style>
  <w:style w:type="paragraph" w:customStyle="1" w:styleId="4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3">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1771</Words>
  <Characters>2059</Characters>
  <Lines>0</Lines>
  <Paragraphs>0</Paragraphs>
  <TotalTime>26</TotalTime>
  <ScaleCrop>false</ScaleCrop>
  <LinksUpToDate>false</LinksUpToDate>
  <CharactersWithSpaces>2171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NTKO</cp:lastModifiedBy>
  <cp:lastPrinted>2026-05-12T08:11:00Z</cp:lastPrinted>
  <dcterms:modified xsi:type="dcterms:W3CDTF">2026-05-12T09:04:08Z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3C4863922AB54ADAA0E5F9D9E7E8AA08_13</vt:lpwstr>
  </property>
  <property fmtid="{D5CDD505-2E9C-101B-9397-08002B2CF9AE}" pid="4" name="KSOTemplateDocerSaveRecord">
    <vt:lpwstr>eyJoZGlkIjoiMWJjZGU5Mzg4YjQ0YjAwZWM3N2JkNDYyMjgyNDI0NjQiLCJ1c2VySWQiOiI0NTE3ODAxODIifQ==</vt:lpwstr>
  </property>
</Properties>
</file>