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0DC8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2" w:hRule="atLeast"/>
        </w:trPr>
        <w:tc>
          <w:tcPr>
            <w:tcW w:w="8748" w:type="dxa"/>
          </w:tcPr>
          <w:p w14:paraId="6E361930">
            <w:pPr>
              <w:numPr>
                <w:ilvl w:val="0"/>
                <w:numId w:val="0"/>
              </w:numPr>
              <w:tabs>
                <w:tab w:val="left" w:pos="3748"/>
              </w:tabs>
              <w:autoSpaceDE w:val="0"/>
              <w:autoSpaceDN w:val="0"/>
              <w:adjustRightInd w:val="0"/>
              <w:spacing w:line="360" w:lineRule="auto"/>
              <w:rPr>
                <w:rFonts w:hint="eastAsia" w:ascii="宋体" w:hAnsi="宋体" w:cs="宋体"/>
                <w:color w:val="000000"/>
                <w:szCs w:val="21"/>
              </w:rPr>
            </w:pPr>
            <w:r>
              <w:rPr>
                <w:rFonts w:hint="eastAsia" w:ascii="宋体" w:hAnsi="宋体" w:eastAsia="宋体" w:cs="宋体"/>
                <w:color w:val="000000"/>
                <w:kern w:val="2"/>
                <w:sz w:val="21"/>
                <w:szCs w:val="21"/>
                <w:lang w:val="en-US" w:eastAsia="zh-CN" w:bidi="ar-SA"/>
              </w:rPr>
              <w:t>一、</w:t>
            </w:r>
            <w:r>
              <w:rPr>
                <w:rFonts w:hint="eastAsia" w:hAnsi="宋体" w:cs="宋体"/>
                <w:color w:val="000000"/>
              </w:rPr>
              <w:t>工程概</w:t>
            </w:r>
            <w:r>
              <w:rPr>
                <w:rFonts w:hint="eastAsia" w:ascii="宋体" w:hAnsi="宋体" w:cs="宋体"/>
                <w:color w:val="000000"/>
                <w:szCs w:val="21"/>
              </w:rPr>
              <w:t>况：</w:t>
            </w:r>
            <w:r>
              <w:rPr>
                <w:rFonts w:hint="eastAsia" w:ascii="宋体" w:hAnsi="宋体" w:cs="宋体"/>
                <w:color w:val="000000"/>
                <w:szCs w:val="21"/>
                <w:lang w:eastAsia="zh-CN"/>
              </w:rPr>
              <w:tab/>
            </w:r>
          </w:p>
          <w:p w14:paraId="1F76AE0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rPr>
            </w:pPr>
            <w:r>
              <w:rPr>
                <w:rFonts w:hint="eastAsia" w:ascii="宋体" w:hAnsi="宋体" w:cs="宋体"/>
                <w:color w:val="000000"/>
                <w:szCs w:val="21"/>
                <w:lang w:val="en-US" w:eastAsia="zh-CN"/>
              </w:rPr>
              <w:t>本项目为</w:t>
            </w:r>
            <w:r>
              <w:rPr>
                <w:rFonts w:hint="eastAsia" w:ascii="宋体" w:hAnsi="宋体" w:cs="宋体"/>
                <w:color w:val="000000"/>
                <w:szCs w:val="21"/>
                <w:highlight w:val="none"/>
                <w:lang w:val="en-US" w:eastAsia="zh-CN"/>
              </w:rPr>
              <w:t>教学楼环境提升改造项目</w:t>
            </w:r>
            <w:r>
              <w:rPr>
                <w:rFonts w:hint="eastAsia" w:ascii="宋体" w:hAnsi="宋体" w:cs="宋体"/>
                <w:color w:val="000000"/>
                <w:szCs w:val="21"/>
                <w:lang w:eastAsia="zh-CN"/>
              </w:rPr>
              <w:t>，</w:t>
            </w:r>
            <w:r>
              <w:rPr>
                <w:rFonts w:hint="eastAsia" w:ascii="宋体" w:hAnsi="宋体" w:cs="宋体"/>
                <w:color w:val="000000"/>
                <w:szCs w:val="21"/>
                <w:lang w:val="en-US" w:eastAsia="zh-CN"/>
              </w:rPr>
              <w:t>涉及装饰面积约2450平方米，具体详见工程量清单</w:t>
            </w:r>
            <w:r>
              <w:rPr>
                <w:rFonts w:hint="eastAsia" w:ascii="宋体" w:hAnsi="宋体" w:cs="宋体"/>
                <w:color w:val="000000"/>
                <w:szCs w:val="21"/>
              </w:rPr>
              <w:t>。</w:t>
            </w:r>
          </w:p>
          <w:p w14:paraId="54C2A8B6">
            <w:pPr>
              <w:pStyle w:val="6"/>
              <w:numPr>
                <w:ilvl w:val="0"/>
                <w:numId w:val="0"/>
              </w:numPr>
            </w:pPr>
          </w:p>
          <w:p w14:paraId="1D708EAB">
            <w:pPr>
              <w:numPr>
                <w:ilvl w:val="0"/>
                <w:numId w:val="0"/>
              </w:numPr>
              <w:autoSpaceDE w:val="0"/>
              <w:autoSpaceDN w:val="0"/>
              <w:adjustRightInd w:val="0"/>
              <w:spacing w:line="360" w:lineRule="auto"/>
              <w:ind w:left="0" w:leftChars="0" w:firstLine="0" w:firstLineChars="0"/>
              <w:rPr>
                <w:rFonts w:hint="eastAsia" w:ascii="宋体" w:hAnsi="宋体" w:cs="宋体"/>
                <w:color w:val="000000"/>
                <w:szCs w:val="21"/>
              </w:rPr>
            </w:pPr>
            <w:r>
              <w:rPr>
                <w:rFonts w:hint="eastAsia" w:ascii="宋体" w:hAnsi="宋体" w:eastAsia="宋体" w:cs="宋体"/>
                <w:color w:val="000000"/>
                <w:kern w:val="2"/>
                <w:sz w:val="21"/>
                <w:szCs w:val="21"/>
                <w:lang w:val="en-US" w:eastAsia="zh-CN" w:bidi="ar-SA"/>
              </w:rPr>
              <w:t>二、</w:t>
            </w:r>
            <w:r>
              <w:rPr>
                <w:rFonts w:hint="eastAsia" w:ascii="宋体" w:hAnsi="宋体" w:cs="宋体"/>
                <w:color w:val="000000"/>
                <w:szCs w:val="21"/>
              </w:rPr>
              <w:t>工程招标范围：</w:t>
            </w:r>
          </w:p>
          <w:p w14:paraId="78D1CCD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textAlignment w:val="auto"/>
              <w:rPr>
                <w:rFonts w:hint="eastAsia" w:ascii="宋体" w:hAnsi="宋体" w:cs="宋体"/>
                <w:color w:val="000000"/>
                <w:szCs w:val="21"/>
                <w:highlight w:val="yellow"/>
                <w:lang w:val="en-US" w:eastAsia="zh-CN"/>
              </w:rPr>
            </w:pPr>
            <w:r>
              <w:rPr>
                <w:rFonts w:hint="eastAsia" w:ascii="宋体" w:hAnsi="宋体" w:cs="宋体"/>
                <w:color w:val="000000"/>
                <w:szCs w:val="21"/>
                <w:highlight w:val="none"/>
                <w:lang w:val="en-US" w:eastAsia="zh-CN"/>
              </w:rPr>
              <w:t>施工图范围内的装饰工程、电气工程、给排水工程、智能化工程工程。</w:t>
            </w:r>
          </w:p>
          <w:p w14:paraId="44485578">
            <w:pPr>
              <w:pStyle w:val="6"/>
              <w:numPr>
                <w:ilvl w:val="0"/>
                <w:numId w:val="0"/>
              </w:numPr>
              <w:ind w:leftChars="0"/>
              <w:rPr>
                <w:rFonts w:hint="default"/>
                <w:lang w:val="en-US"/>
              </w:rPr>
            </w:pPr>
          </w:p>
          <w:p w14:paraId="1D2E3486">
            <w:pPr>
              <w:autoSpaceDE w:val="0"/>
              <w:autoSpaceDN w:val="0"/>
              <w:adjustRightInd w:val="0"/>
              <w:spacing w:line="360" w:lineRule="auto"/>
              <w:rPr>
                <w:rFonts w:hAnsi="宋体" w:cs="宋体"/>
                <w:color w:val="000000"/>
              </w:rPr>
            </w:pPr>
            <w:r>
              <w:rPr>
                <w:rFonts w:hint="eastAsia" w:hAnsi="宋体" w:cs="宋体"/>
                <w:color w:val="000000"/>
              </w:rPr>
              <w:t>三、编制依据：</w:t>
            </w:r>
          </w:p>
          <w:p w14:paraId="34F2905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51ADA26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37D414A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1A0065D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3FD00F2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．《关于印发建设工程工程量计算规范（2013）浙江省补充规定的通知》（浙建站计﹝2013﹞63号）；</w:t>
            </w:r>
          </w:p>
          <w:p w14:paraId="2D59C42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162BF71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．《浙江省建设工程计价规则》（2018版）；</w:t>
            </w:r>
          </w:p>
          <w:p w14:paraId="4C48D69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8.《关于增值税调整后我省建设工程计价依据增值税税率及有关计价调整的通知》（浙建建发[2019]92号 ）；</w:t>
            </w:r>
          </w:p>
          <w:p w14:paraId="2C344C6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9.省建设厅关于调整我省 2018 版建筑安装工程安全文明施工费的通知（浙建建函〔2025〕320号）；</w:t>
            </w:r>
          </w:p>
          <w:p w14:paraId="228AF28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．省、市建设行政主管部门以及工程造价管理机构颁发的相关计价办法和计价规定；</w:t>
            </w:r>
          </w:p>
          <w:p w14:paraId="1AB60E6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．其他与工程项目有关的规范、标准和技术资料；</w:t>
            </w:r>
          </w:p>
          <w:p w14:paraId="51C38E2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．施工现场实际情况、工程特点、常规施工方案；</w:t>
            </w:r>
          </w:p>
          <w:p w14:paraId="578FEF5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．省、市建设行政主管部门以及工程造价管理机构颁发的相关计价办法和计价规定；</w:t>
            </w:r>
          </w:p>
          <w:p w14:paraId="5D580D9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．由</w:t>
            </w:r>
            <w:r>
              <w:rPr>
                <w:rFonts w:hint="eastAsia" w:ascii="宋体" w:hAnsi="宋体" w:cs="宋体"/>
                <w:color w:val="000000"/>
                <w:szCs w:val="21"/>
                <w:highlight w:val="none"/>
                <w:lang w:val="en-US" w:eastAsia="zh-CN"/>
              </w:rPr>
              <w:t>规划建筑园林设计有限公司设计的图纸</w:t>
            </w:r>
            <w:r>
              <w:rPr>
                <w:rFonts w:hint="eastAsia" w:ascii="宋体" w:hAnsi="宋体" w:cs="宋体"/>
                <w:color w:val="000000"/>
                <w:szCs w:val="21"/>
                <w:highlight w:val="none"/>
              </w:rPr>
              <w:t>及</w:t>
            </w:r>
            <w:r>
              <w:rPr>
                <w:rFonts w:hint="eastAsia" w:ascii="宋体" w:hAnsi="宋体" w:cs="宋体"/>
                <w:color w:val="000000"/>
                <w:szCs w:val="21"/>
                <w:highlight w:val="none"/>
                <w:lang w:val="en-US" w:eastAsia="zh-CN"/>
              </w:rPr>
              <w:t>相关</w:t>
            </w:r>
            <w:r>
              <w:rPr>
                <w:rFonts w:hint="eastAsia" w:ascii="宋体" w:hAnsi="宋体" w:cs="宋体"/>
                <w:color w:val="000000"/>
                <w:szCs w:val="21"/>
                <w:highlight w:val="none"/>
              </w:rPr>
              <w:t>回复。</w:t>
            </w:r>
          </w:p>
          <w:p w14:paraId="2E214C99">
            <w:pPr>
              <w:pStyle w:val="6"/>
              <w:rPr>
                <w:rFonts w:hint="eastAsia"/>
              </w:rPr>
            </w:pPr>
          </w:p>
          <w:p w14:paraId="5F77D49A">
            <w:pPr>
              <w:pStyle w:val="2"/>
              <w:numPr>
                <w:ilvl w:val="0"/>
                <w:numId w:val="0"/>
              </w:numPr>
              <w:tabs>
                <w:tab w:val="left" w:pos="3060"/>
              </w:tabs>
              <w:spacing w:line="360" w:lineRule="auto"/>
              <w:ind w:left="0" w:leftChars="0" w:firstLine="0" w:firstLineChars="0"/>
              <w:rPr>
                <w:rFonts w:hint="eastAsia" w:hAnsi="宋体" w:cs="宋体"/>
                <w:color w:val="000000"/>
                <w:highlight w:val="none"/>
                <w:lang w:val="en-US" w:eastAsia="zh-CN"/>
              </w:rPr>
            </w:pPr>
            <w:r>
              <w:rPr>
                <w:rFonts w:hint="eastAsia" w:hAnsi="宋体" w:cs="宋体"/>
                <w:color w:val="000000"/>
                <w:kern w:val="2"/>
                <w:sz w:val="21"/>
                <w:szCs w:val="21"/>
                <w:lang w:val="en-US" w:eastAsia="zh-CN" w:bidi="ar-SA"/>
              </w:rPr>
              <w:t>四</w:t>
            </w:r>
            <w:r>
              <w:rPr>
                <w:rFonts w:hint="eastAsia" w:ascii="宋体" w:hAnsi="宋体" w:eastAsia="宋体" w:cs="宋体"/>
                <w:color w:val="000000"/>
                <w:kern w:val="2"/>
                <w:sz w:val="21"/>
                <w:szCs w:val="21"/>
                <w:lang w:val="en-US" w:eastAsia="zh-CN" w:bidi="ar-SA"/>
              </w:rPr>
              <w:t>、</w:t>
            </w:r>
            <w:r>
              <w:rPr>
                <w:rFonts w:hint="eastAsia" w:hAnsi="宋体" w:cs="宋体"/>
                <w:color w:val="000000"/>
                <w:highlight w:val="none"/>
                <w:lang w:val="en-US" w:eastAsia="zh-CN"/>
              </w:rPr>
              <w:t>本工程设置暂列金项目、暂定价情况：</w:t>
            </w:r>
          </w:p>
          <w:p w14:paraId="04B73EFD">
            <w:pPr>
              <w:pStyle w:val="2"/>
              <w:widowControl w:val="0"/>
              <w:numPr>
                <w:ilvl w:val="0"/>
                <w:numId w:val="0"/>
              </w:numPr>
              <w:tabs>
                <w:tab w:val="left" w:pos="3060"/>
              </w:tabs>
              <w:spacing w:line="360" w:lineRule="auto"/>
              <w:jc w:val="both"/>
              <w:rPr>
                <w:rFonts w:hint="default" w:hAnsi="宋体" w:cs="宋体"/>
                <w:color w:val="000000"/>
                <w:highlight w:val="none"/>
                <w:lang w:val="en-US" w:eastAsia="zh-CN"/>
              </w:rPr>
            </w:pPr>
            <w:r>
              <w:rPr>
                <w:rFonts w:hint="eastAsia" w:hAnsi="宋体" w:cs="宋体"/>
                <w:color w:val="000000"/>
                <w:highlight w:val="none"/>
                <w:lang w:val="en-US" w:eastAsia="zh-CN"/>
              </w:rPr>
              <w:t xml:space="preserve">    </w:t>
            </w:r>
            <w:r>
              <w:rPr>
                <w:rFonts w:hint="eastAsia" w:hAnsi="宋体" w:cs="宋体"/>
                <w:b/>
                <w:bCs/>
                <w:color w:val="000000"/>
                <w:highlight w:val="none"/>
                <w:lang w:val="en-US" w:eastAsia="zh-CN"/>
              </w:rPr>
              <w:t>本项目设置暂列金20000元（不含税），暂列金仅计税金，不得竞争。</w:t>
            </w:r>
          </w:p>
          <w:p w14:paraId="04160BEB">
            <w:pPr>
              <w:pStyle w:val="2"/>
              <w:numPr>
                <w:ilvl w:val="0"/>
                <w:numId w:val="0"/>
              </w:numPr>
              <w:tabs>
                <w:tab w:val="left" w:pos="3060"/>
              </w:tabs>
              <w:spacing w:line="360" w:lineRule="auto"/>
              <w:ind w:leftChars="0"/>
              <w:rPr>
                <w:rFonts w:hint="default" w:hAnsi="宋体" w:cs="宋体"/>
                <w:color w:val="000000"/>
                <w:highlight w:val="red"/>
                <w:lang w:val="en-US" w:eastAsia="zh-CN"/>
              </w:rPr>
            </w:pPr>
          </w:p>
          <w:p w14:paraId="41368CBD">
            <w:pPr>
              <w:pStyle w:val="2"/>
              <w:tabs>
                <w:tab w:val="left" w:pos="3060"/>
              </w:tabs>
              <w:spacing w:line="360" w:lineRule="auto"/>
              <w:ind w:firstLine="1"/>
              <w:rPr>
                <w:rFonts w:hAnsi="宋体" w:cs="宋体"/>
                <w:color w:val="000000"/>
              </w:rPr>
            </w:pPr>
            <w:r>
              <w:rPr>
                <w:rFonts w:hint="eastAsia" w:hAnsi="宋体" w:cs="宋体"/>
                <w:color w:val="000000"/>
                <w:lang w:val="en-US" w:eastAsia="zh-CN"/>
              </w:rPr>
              <w:t>五</w:t>
            </w:r>
            <w:r>
              <w:rPr>
                <w:rFonts w:hint="eastAsia" w:hAnsi="宋体" w:cs="宋体"/>
                <w:color w:val="000000"/>
              </w:rPr>
              <w:t>、报价要求：</w:t>
            </w:r>
          </w:p>
          <w:p w14:paraId="2ABF178C">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1651E0ED">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57548E54">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AFEC2C4">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Ansi="宋体" w:cs="宋体"/>
                <w:color w:val="000000"/>
                <w:highlight w:val="none"/>
              </w:rPr>
            </w:pPr>
            <w:r>
              <w:rPr>
                <w:rFonts w:hAnsi="宋体" w:cs="宋体"/>
                <w:color w:val="000000"/>
              </w:rPr>
              <w:t>4</w:t>
            </w:r>
            <w:r>
              <w:rPr>
                <w:rFonts w:hint="eastAsia" w:hAnsi="宋体" w:cs="宋体"/>
                <w:color w:val="000000"/>
              </w:rPr>
              <w:t>．安全文明施工基本费费率不得低于《浙江省建设工程计价规则》（2018版）规定的下限，按市区工程计取</w:t>
            </w:r>
            <w:r>
              <w:rPr>
                <w:rFonts w:hint="eastAsia" w:hAnsi="宋体" w:cs="宋体"/>
                <w:color w:val="000000"/>
                <w:highlight w:val="none"/>
              </w:rPr>
              <w:t>，其中疫情常态化防控及“智慧工地”费用计取按照：浙建建发[2022]37号文件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1A95D1E5">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6.43</w:t>
            </w:r>
            <w:r>
              <w:rPr>
                <w:rFonts w:hint="eastAsia" w:hAnsi="宋体" w:cs="宋体"/>
                <w:color w:val="000000"/>
                <w:highlight w:val="none"/>
              </w:rPr>
              <w:t>%；</w:t>
            </w:r>
          </w:p>
          <w:p w14:paraId="7B54444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default" w:eastAsiaTheme="majorEastAsia"/>
                <w:lang w:val="en-US" w:eastAsia="zh-CN"/>
              </w:rPr>
            </w:pPr>
            <w:r>
              <w:rPr>
                <w:rFonts w:hint="eastAsia" w:cs="宋体" w:asciiTheme="majorEastAsia" w:hAnsiTheme="majorEastAsia" w:eastAsiaTheme="majorEastAsia"/>
                <w:color w:val="000000"/>
                <w:szCs w:val="21"/>
                <w:highlight w:val="none"/>
                <w:lang w:val="en-US" w:eastAsia="zh-CN"/>
              </w:rPr>
              <w:t>安装工程：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7.99</w:t>
            </w:r>
            <w:r>
              <w:rPr>
                <w:rFonts w:hint="eastAsia" w:cs="宋体" w:asciiTheme="majorEastAsia" w:hAnsiTheme="majorEastAsia" w:eastAsiaTheme="majorEastAsia"/>
                <w:color w:val="000000"/>
                <w:szCs w:val="21"/>
                <w:highlight w:val="none"/>
              </w:rPr>
              <w:t>%；</w:t>
            </w:r>
          </w:p>
          <w:p w14:paraId="688A1CD0">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54D8EAB3">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int="eastAsia" w:hAnsi="宋体" w:cs="宋体"/>
                <w:color w:val="000000"/>
                <w:highlight w:val="none"/>
              </w:rPr>
            </w:pPr>
            <w:r>
              <w:rPr>
                <w:rFonts w:hint="eastAsia" w:hAnsi="宋体" w:cs="宋体"/>
                <w:color w:val="000000"/>
                <w:highlight w:val="none"/>
              </w:rPr>
              <w:t>装饰工程</w:t>
            </w:r>
            <w:r>
              <w:rPr>
                <w:rFonts w:hint="eastAsia" w:hAnsi="宋体" w:cs="宋体"/>
                <w:color w:val="000000"/>
                <w:highlight w:val="none"/>
                <w:lang w:val="en-US" w:eastAsia="zh-CN"/>
              </w:rPr>
              <w:t>及加固工程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机械费”，最低费率为：8.38%；</w:t>
            </w:r>
          </w:p>
          <w:p w14:paraId="3E979A5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default" w:eastAsiaTheme="majorEastAsia"/>
                <w:lang w:val="en-US" w:eastAsia="zh-CN"/>
              </w:rPr>
            </w:pPr>
            <w:r>
              <w:rPr>
                <w:rFonts w:hint="eastAsia" w:cs="宋体" w:asciiTheme="majorEastAsia" w:hAnsiTheme="majorEastAsia" w:eastAsiaTheme="majorEastAsia"/>
                <w:color w:val="000000"/>
                <w:szCs w:val="21"/>
                <w:highlight w:val="none"/>
                <w:lang w:val="en-US" w:eastAsia="zh-CN"/>
              </w:rPr>
              <w:t>安装工程：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9.19</w:t>
            </w:r>
            <w:r>
              <w:rPr>
                <w:rFonts w:hint="eastAsia" w:cs="宋体" w:asciiTheme="majorEastAsia" w:hAnsiTheme="majorEastAsia" w:eastAsiaTheme="majorEastAsia"/>
                <w:color w:val="000000"/>
                <w:szCs w:val="21"/>
                <w:highlight w:val="none"/>
              </w:rPr>
              <w:t>%；</w:t>
            </w:r>
          </w:p>
          <w:p w14:paraId="4CA5B6A6">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Ansi="宋体" w:cs="宋体"/>
                <w:color w:val="000000"/>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w:t>
            </w:r>
            <w:r>
              <w:rPr>
                <w:rFonts w:hint="eastAsia" w:hAnsi="宋体" w:cs="宋体"/>
                <w:color w:val="000000"/>
              </w:rPr>
              <w:t>在相应的清单明细表中</w:t>
            </w:r>
            <w:r>
              <w:rPr>
                <w:rFonts w:hint="eastAsia" w:hAnsi="宋体" w:cs="宋体"/>
                <w:color w:val="000000"/>
                <w:lang w:val="en-US" w:eastAsia="zh-CN"/>
              </w:rPr>
              <w:t>(表2-5)</w:t>
            </w:r>
            <w:r>
              <w:rPr>
                <w:rFonts w:hint="eastAsia" w:hAnsi="宋体" w:cs="宋体"/>
                <w:color w:val="000000"/>
              </w:rPr>
              <w:t>进行单独费用报价分析。具体如下：</w:t>
            </w:r>
          </w:p>
          <w:p w14:paraId="0710DEAE">
            <w:pPr>
              <w:pStyle w:val="2"/>
              <w:keepNext w:val="0"/>
              <w:keepLines w:val="0"/>
              <w:pageBreakBefore w:val="0"/>
              <w:widowControl w:val="0"/>
              <w:tabs>
                <w:tab w:val="left" w:pos="3330"/>
              </w:tabs>
              <w:kinsoku/>
              <w:wordWrap/>
              <w:overflowPunct/>
              <w:topLinePunct w:val="0"/>
              <w:bidi w:val="0"/>
              <w:adjustRightInd w:val="0"/>
              <w:snapToGrid/>
              <w:spacing w:line="360" w:lineRule="auto"/>
              <w:ind w:firstLine="420" w:firstLineChars="200"/>
              <w:textAlignment w:val="auto"/>
              <w:rPr>
                <w:rFonts w:hint="eastAsia" w:hAnsi="宋体" w:cs="宋体"/>
                <w:color w:val="000000"/>
                <w:lang w:eastAsia="zh-CN"/>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机械费”，最低费率为：2.28%</w:t>
            </w:r>
            <w:r>
              <w:rPr>
                <w:rFonts w:hint="eastAsia" w:hAnsi="宋体" w:cs="宋体"/>
                <w:color w:val="000000"/>
                <w:lang w:eastAsia="zh-CN"/>
              </w:rPr>
              <w:t>；</w:t>
            </w:r>
          </w:p>
          <w:p w14:paraId="43CC591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default" w:eastAsiaTheme="majorEastAsia"/>
                <w:lang w:val="en-US" w:eastAsia="zh-CN"/>
              </w:rPr>
            </w:pPr>
            <w:r>
              <w:rPr>
                <w:rFonts w:hint="eastAsia" w:cs="宋体" w:asciiTheme="majorEastAsia" w:hAnsiTheme="majorEastAsia" w:eastAsiaTheme="majorEastAsia"/>
                <w:color w:val="000000"/>
                <w:szCs w:val="21"/>
                <w:highlight w:val="none"/>
                <w:lang w:val="en-US" w:eastAsia="zh-CN"/>
              </w:rPr>
              <w:t>安装工程：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3.26</w:t>
            </w:r>
            <w:r>
              <w:rPr>
                <w:rFonts w:hint="eastAsia" w:cs="宋体" w:asciiTheme="majorEastAsia" w:hAnsiTheme="majorEastAsia" w:eastAsiaTheme="majorEastAsia"/>
                <w:color w:val="000000"/>
                <w:szCs w:val="21"/>
                <w:highlight w:val="none"/>
              </w:rPr>
              <w:t>%；</w:t>
            </w:r>
          </w:p>
          <w:p w14:paraId="7FA04213">
            <w:pPr>
              <w:pStyle w:val="2"/>
              <w:keepNext w:val="0"/>
              <w:keepLines w:val="0"/>
              <w:pageBreakBefore w:val="0"/>
              <w:widowControl w:val="0"/>
              <w:numPr>
                <w:ilvl w:val="0"/>
                <w:numId w:val="1"/>
              </w:numPr>
              <w:tabs>
                <w:tab w:val="left" w:pos="3330"/>
              </w:tabs>
              <w:kinsoku/>
              <w:wordWrap/>
              <w:overflowPunct/>
              <w:topLinePunct w:val="0"/>
              <w:bidi w:val="0"/>
              <w:adjustRightInd w:val="0"/>
              <w:snapToGrid/>
              <w:spacing w:line="360" w:lineRule="auto"/>
              <w:ind w:firstLine="420" w:firstLineChars="200"/>
              <w:textAlignment w:val="auto"/>
              <w:rPr>
                <w:rFonts w:hint="eastAsia" w:hAnsi="宋体" w:cs="宋体"/>
                <w:color w:val="000000"/>
                <w:lang w:eastAsia="zh-CN"/>
              </w:rPr>
            </w:pPr>
            <w:r>
              <w:rPr>
                <w:rFonts w:hint="eastAsia" w:hAnsi="宋体" w:cs="宋体"/>
                <w:color w:val="000000"/>
              </w:rPr>
              <w:t>税金应根据《浙江省建设工程计价规则》（2018版）的规定及浙建建发[2019]92号的相关规定以（税前工程造价）为取费基数, 取费费率为：9%</w:t>
            </w:r>
            <w:r>
              <w:rPr>
                <w:rFonts w:hint="eastAsia" w:hAnsi="宋体" w:cs="宋体"/>
                <w:color w:val="000000"/>
                <w:lang w:eastAsia="zh-CN"/>
              </w:rPr>
              <w:t>。</w:t>
            </w:r>
          </w:p>
          <w:p w14:paraId="5F75EBD6">
            <w:pPr>
              <w:pStyle w:val="2"/>
              <w:numPr>
                <w:ilvl w:val="0"/>
                <w:numId w:val="0"/>
              </w:numPr>
              <w:tabs>
                <w:tab w:val="left" w:pos="3330"/>
              </w:tabs>
              <w:spacing w:line="360" w:lineRule="auto"/>
              <w:rPr>
                <w:rFonts w:hint="eastAsia" w:hAnsi="宋体" w:cs="宋体"/>
                <w:color w:val="000000"/>
                <w:lang w:val="en-US" w:eastAsia="zh-CN"/>
              </w:rPr>
            </w:pPr>
          </w:p>
          <w:p w14:paraId="1978ADD8">
            <w:pPr>
              <w:pStyle w:val="2"/>
              <w:numPr>
                <w:ilvl w:val="0"/>
                <w:numId w:val="2"/>
              </w:numPr>
              <w:spacing w:line="360" w:lineRule="auto"/>
              <w:rPr>
                <w:rFonts w:hint="eastAsia" w:hAnsi="宋体" w:cs="宋体"/>
                <w:color w:val="000000"/>
                <w:highlight w:val="none"/>
              </w:rPr>
            </w:pPr>
            <w:r>
              <w:rPr>
                <w:rFonts w:hint="eastAsia" w:hAnsi="宋体" w:cs="宋体"/>
                <w:color w:val="000000"/>
                <w:highlight w:val="none"/>
                <w:lang w:val="en-US" w:eastAsia="zh-CN"/>
              </w:rPr>
              <w:t>编制说明</w:t>
            </w:r>
            <w:r>
              <w:rPr>
                <w:rFonts w:hint="eastAsia" w:hAnsi="宋体" w:cs="宋体"/>
                <w:color w:val="000000"/>
                <w:highlight w:val="none"/>
              </w:rPr>
              <w:t>：</w:t>
            </w:r>
          </w:p>
          <w:p w14:paraId="5EA1514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hAnsi="宋体" w:cs="宋体"/>
                <w:color w:val="000000"/>
                <w:lang w:val="en-US" w:eastAsia="zh-CN"/>
              </w:rPr>
            </w:pPr>
            <w:r>
              <w:rPr>
                <w:rFonts w:hint="eastAsia" w:hAnsi="宋体" w:cs="宋体"/>
                <w:color w:val="000000"/>
                <w:lang w:val="en-US" w:eastAsia="zh-CN"/>
              </w:rPr>
              <w:t>1、按建设单位要求，屋面给排水不计入本次预算。</w:t>
            </w:r>
          </w:p>
          <w:p w14:paraId="51DB056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lang w:val="en-US" w:eastAsia="zh-CN"/>
              </w:rPr>
            </w:pPr>
            <w:r>
              <w:rPr>
                <w:rFonts w:hint="eastAsia" w:hAnsi="宋体" w:cs="宋体"/>
                <w:color w:val="000000"/>
                <w:lang w:val="en-US" w:eastAsia="zh-CN"/>
              </w:rPr>
              <w:t>2、按建设单位要求，本次预算仅计入10套蹲便器。</w:t>
            </w:r>
          </w:p>
          <w:p w14:paraId="5C177C1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lang w:val="en-US" w:eastAsia="zh-CN"/>
              </w:rPr>
            </w:pPr>
            <w:r>
              <w:rPr>
                <w:rFonts w:hint="eastAsia" w:hAnsi="宋体" w:cs="宋体"/>
                <w:color w:val="000000"/>
                <w:lang w:val="en-US" w:eastAsia="zh-CN"/>
              </w:rPr>
              <w:t>3、按建设单位要求，热水系统不计入本次预算。</w:t>
            </w:r>
          </w:p>
          <w:p w14:paraId="780ED18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hAnsi="宋体" w:cs="宋体"/>
                <w:color w:val="000000"/>
                <w:lang w:val="en-US" w:eastAsia="zh-CN"/>
              </w:rPr>
            </w:pPr>
            <w:r>
              <w:rPr>
                <w:rFonts w:hint="eastAsia" w:hAnsi="宋体" w:cs="宋体"/>
                <w:color w:val="000000"/>
                <w:lang w:val="en-US" w:eastAsia="zh-CN"/>
              </w:rPr>
              <w:t>4、按建设单位要求，水控器不计入本次预算。</w:t>
            </w:r>
          </w:p>
          <w:p w14:paraId="7B0C3D8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hAnsi="宋体" w:cs="宋体"/>
                <w:color w:val="000000"/>
                <w:lang w:val="en-US" w:eastAsia="zh-CN"/>
              </w:rPr>
            </w:pPr>
            <w:r>
              <w:rPr>
                <w:rFonts w:hint="eastAsia" w:hAnsi="宋体" w:cs="宋体"/>
                <w:color w:val="000000"/>
                <w:lang w:val="en-US" w:eastAsia="zh-CN"/>
              </w:rPr>
              <w:t>5、按建设单位要求，一层照明不计入本次预算。</w:t>
            </w:r>
          </w:p>
          <w:p w14:paraId="6967905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lang w:val="en-US" w:eastAsia="zh-CN"/>
              </w:rPr>
            </w:pPr>
            <w:r>
              <w:rPr>
                <w:rFonts w:hint="eastAsia" w:hAnsi="宋体" w:cs="宋体"/>
                <w:color w:val="000000"/>
                <w:lang w:val="en-US" w:eastAsia="zh-CN"/>
              </w:rPr>
              <w:t>6、最终清单编制范围已根据建设单位要求调整，如遇到施工</w:t>
            </w:r>
            <w:bookmarkStart w:id="0" w:name="_GoBack"/>
            <w:bookmarkEnd w:id="0"/>
            <w:r>
              <w:rPr>
                <w:rFonts w:hint="eastAsia" w:hAnsi="宋体" w:cs="宋体"/>
                <w:color w:val="000000"/>
                <w:lang w:val="en-US" w:eastAsia="zh-CN"/>
              </w:rPr>
              <w:t>范围图纸与清单不一致的，以清单为准。</w:t>
            </w:r>
            <w:r>
              <w:rPr>
                <w:rFonts w:hint="eastAsia" w:hAnsi="宋体" w:cs="宋体"/>
                <w:b/>
                <w:bCs/>
                <w:color w:val="000000"/>
                <w:lang w:val="en-US" w:eastAsia="zh-CN"/>
              </w:rPr>
              <w:t>实际施工前，应与建设单位及设计单位确认施工范围后实施。</w:t>
            </w:r>
          </w:p>
          <w:p w14:paraId="7DC4D53A">
            <w:pPr>
              <w:pStyle w:val="2"/>
              <w:spacing w:line="360" w:lineRule="auto"/>
              <w:rPr>
                <w:rFonts w:hint="eastAsia" w:hAnsi="宋体" w:cs="宋体"/>
                <w:color w:val="000000"/>
              </w:rPr>
            </w:pPr>
          </w:p>
          <w:p w14:paraId="2984250B">
            <w:pPr>
              <w:pStyle w:val="2"/>
              <w:numPr>
                <w:ilvl w:val="0"/>
                <w:numId w:val="3"/>
              </w:numPr>
              <w:spacing w:line="360" w:lineRule="auto"/>
              <w:rPr>
                <w:rFonts w:hint="eastAsia" w:hAnsi="宋体" w:cs="宋体"/>
                <w:color w:val="000000"/>
              </w:rPr>
            </w:pPr>
            <w:r>
              <w:rPr>
                <w:rFonts w:hint="eastAsia" w:hAnsi="宋体" w:cs="宋体"/>
                <w:color w:val="000000"/>
                <w:lang w:eastAsia="zh-CN"/>
              </w:rPr>
              <w:t>材料</w:t>
            </w:r>
            <w:r>
              <w:rPr>
                <w:rFonts w:hint="eastAsia" w:hAnsi="宋体" w:cs="宋体"/>
                <w:color w:val="000000"/>
              </w:rPr>
              <w:t>：</w:t>
            </w:r>
          </w:p>
          <w:p w14:paraId="4AA3A741">
            <w:pPr>
              <w:pStyle w:val="2"/>
              <w:widowControl w:val="0"/>
              <w:numPr>
                <w:ilvl w:val="0"/>
                <w:numId w:val="4"/>
              </w:numPr>
              <w:spacing w:line="360" w:lineRule="auto"/>
              <w:ind w:left="420" w:leftChars="0" w:firstLine="0" w:firstLineChars="0"/>
              <w:jc w:val="both"/>
              <w:rPr>
                <w:rFonts w:hint="eastAsia" w:hAnsi="宋体" w:cs="宋体"/>
                <w:color w:val="000000"/>
                <w:lang w:val="en-US" w:eastAsia="zh-CN"/>
              </w:rPr>
            </w:pPr>
            <w:r>
              <w:rPr>
                <w:rFonts w:hint="eastAsia" w:hAnsi="宋体" w:cs="宋体"/>
                <w:color w:val="000000"/>
                <w:lang w:val="en-US" w:eastAsia="zh-CN"/>
              </w:rPr>
              <w:t>主要材料品牌推荐：</w:t>
            </w:r>
          </w:p>
          <w:p w14:paraId="10F6EDB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lang w:val="en-US" w:eastAsia="zh-CN"/>
              </w:rPr>
            </w:pPr>
            <w:r>
              <w:rPr>
                <w:rFonts w:hint="eastAsia" w:hAnsi="宋体" w:cs="宋体"/>
                <w:color w:val="000000"/>
                <w:lang w:val="en-US" w:eastAsia="zh-CN"/>
              </w:rPr>
              <w:t>1、</w:t>
            </w:r>
            <w:r>
              <w:rPr>
                <w:rFonts w:hint="default" w:hAnsi="宋体" w:cs="宋体"/>
                <w:color w:val="000000"/>
                <w:lang w:val="en-US" w:eastAsia="zh-CN"/>
              </w:rPr>
              <w:t>轻钢龙骨、石膏板：泰山、龙牌、可耐福</w:t>
            </w:r>
            <w:r>
              <w:rPr>
                <w:rFonts w:hint="eastAsia" w:hAnsi="宋体" w:cs="宋体"/>
                <w:color w:val="000000"/>
                <w:lang w:val="en-US" w:eastAsia="zh-CN"/>
              </w:rPr>
              <w:t>或同档次及以上</w:t>
            </w:r>
          </w:p>
          <w:p w14:paraId="36F2844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lang w:val="en-US" w:eastAsia="zh-CN"/>
              </w:rPr>
            </w:pPr>
            <w:r>
              <w:rPr>
                <w:rFonts w:hint="eastAsia" w:hAnsi="宋体" w:cs="宋体"/>
                <w:color w:val="000000"/>
                <w:lang w:val="en-US" w:eastAsia="zh-CN"/>
              </w:rPr>
              <w:t>2、</w:t>
            </w:r>
            <w:r>
              <w:rPr>
                <w:rFonts w:hint="default" w:hAnsi="宋体" w:cs="宋体"/>
                <w:color w:val="000000"/>
                <w:lang w:val="en-US" w:eastAsia="zh-CN"/>
              </w:rPr>
              <w:t>多层板、细木工板：兔宝宝、千年舟、莫干山</w:t>
            </w:r>
            <w:r>
              <w:rPr>
                <w:rFonts w:hint="eastAsia" w:hAnsi="宋体" w:cs="宋体"/>
                <w:color w:val="000000"/>
                <w:lang w:val="en-US" w:eastAsia="zh-CN"/>
              </w:rPr>
              <w:t>或同档次及以上</w:t>
            </w:r>
          </w:p>
          <w:p w14:paraId="43D6265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lang w:val="en-US" w:eastAsia="zh-CN"/>
              </w:rPr>
            </w:pPr>
            <w:r>
              <w:rPr>
                <w:rFonts w:hint="eastAsia" w:hAnsi="宋体" w:cs="宋体"/>
                <w:color w:val="000000"/>
                <w:lang w:val="en-US" w:eastAsia="zh-CN"/>
              </w:rPr>
              <w:t>3、</w:t>
            </w:r>
            <w:r>
              <w:rPr>
                <w:rFonts w:hint="default" w:hAnsi="宋体" w:cs="宋体"/>
                <w:color w:val="000000"/>
                <w:lang w:val="en-US" w:eastAsia="zh-CN"/>
              </w:rPr>
              <w:t>白色乳胶漆、无机涂料：立邦、三棵树、多乐士</w:t>
            </w:r>
            <w:r>
              <w:rPr>
                <w:rFonts w:hint="eastAsia" w:hAnsi="宋体" w:cs="宋体"/>
                <w:color w:val="000000"/>
                <w:lang w:val="en-US" w:eastAsia="zh-CN"/>
              </w:rPr>
              <w:t>或同档次及以上</w:t>
            </w:r>
          </w:p>
          <w:p w14:paraId="10D9B21F">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4、</w:t>
            </w:r>
            <w:r>
              <w:rPr>
                <w:rFonts w:hint="default" w:hAnsi="宋体" w:cs="宋体"/>
                <w:color w:val="000000"/>
                <w:highlight w:val="none"/>
                <w:lang w:val="en-US" w:eastAsia="zh-CN"/>
              </w:rPr>
              <w:t>给水管</w:t>
            </w:r>
            <w:r>
              <w:rPr>
                <w:rFonts w:hint="eastAsia" w:hAnsi="宋体" w:cs="宋体"/>
                <w:color w:val="000000"/>
                <w:highlight w:val="none"/>
                <w:lang w:val="en-US" w:eastAsia="zh-CN"/>
              </w:rPr>
              <w:t>：</w:t>
            </w:r>
            <w:r>
              <w:rPr>
                <w:rFonts w:hint="default" w:hAnsi="宋体" w:cs="宋体"/>
                <w:color w:val="000000"/>
                <w:highlight w:val="none"/>
                <w:lang w:val="en-US" w:eastAsia="zh-CN"/>
              </w:rPr>
              <w:t>公元、中财、联塑</w:t>
            </w:r>
            <w:r>
              <w:rPr>
                <w:rFonts w:hint="eastAsia" w:hAnsi="宋体" w:cs="宋体"/>
                <w:color w:val="000000"/>
                <w:highlight w:val="none"/>
                <w:lang w:val="en-US" w:eastAsia="zh-CN"/>
              </w:rPr>
              <w:t>或同档次及以上</w:t>
            </w:r>
          </w:p>
          <w:p w14:paraId="784F54C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5、</w:t>
            </w:r>
            <w:r>
              <w:rPr>
                <w:rFonts w:hint="default" w:hAnsi="宋体" w:cs="宋体"/>
                <w:color w:val="000000"/>
                <w:highlight w:val="none"/>
                <w:lang w:val="en-US" w:eastAsia="zh-CN"/>
              </w:rPr>
              <w:t>排水管</w:t>
            </w:r>
            <w:r>
              <w:rPr>
                <w:rFonts w:hint="eastAsia" w:hAnsi="宋体" w:cs="宋体"/>
                <w:color w:val="000000"/>
                <w:highlight w:val="none"/>
                <w:lang w:val="en-US" w:eastAsia="zh-CN"/>
              </w:rPr>
              <w:t>：</w:t>
            </w:r>
            <w:r>
              <w:rPr>
                <w:rFonts w:hint="default" w:hAnsi="宋体" w:cs="宋体"/>
                <w:color w:val="000000"/>
                <w:highlight w:val="none"/>
                <w:lang w:val="en-US" w:eastAsia="zh-CN"/>
              </w:rPr>
              <w:t>公元、中财、联塑</w:t>
            </w:r>
            <w:r>
              <w:rPr>
                <w:rFonts w:hint="eastAsia" w:hAnsi="宋体" w:cs="宋体"/>
                <w:color w:val="000000"/>
                <w:highlight w:val="none"/>
                <w:lang w:val="en-US" w:eastAsia="zh-CN"/>
              </w:rPr>
              <w:t>或同档次及以上</w:t>
            </w:r>
          </w:p>
          <w:p w14:paraId="16BC1A7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6、</w:t>
            </w:r>
            <w:r>
              <w:rPr>
                <w:rFonts w:hint="default" w:hAnsi="宋体" w:cs="宋体"/>
                <w:color w:val="000000"/>
                <w:highlight w:val="none"/>
                <w:lang w:val="en-US" w:eastAsia="zh-CN"/>
              </w:rPr>
              <w:t>截止阀、闸阀</w:t>
            </w:r>
            <w:r>
              <w:rPr>
                <w:rFonts w:hint="eastAsia" w:hAnsi="宋体" w:cs="宋体"/>
                <w:color w:val="000000"/>
                <w:highlight w:val="none"/>
                <w:lang w:val="en-US" w:eastAsia="zh-CN"/>
              </w:rPr>
              <w:t>：</w:t>
            </w:r>
            <w:r>
              <w:rPr>
                <w:rFonts w:hint="default" w:hAnsi="宋体" w:cs="宋体"/>
                <w:color w:val="000000"/>
                <w:highlight w:val="none"/>
                <w:lang w:val="en-US" w:eastAsia="zh-CN"/>
              </w:rPr>
              <w:t>埃美柯、科勒、</w:t>
            </w:r>
            <w:r>
              <w:rPr>
                <w:rFonts w:hint="eastAsia" w:hAnsi="宋体" w:cs="宋体"/>
                <w:color w:val="000000"/>
                <w:highlight w:val="none"/>
                <w:lang w:val="en-US" w:eastAsia="zh-CN"/>
              </w:rPr>
              <w:t>TOTO或同档次及以上</w:t>
            </w:r>
          </w:p>
          <w:p w14:paraId="1224C66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7、</w:t>
            </w:r>
            <w:r>
              <w:rPr>
                <w:rFonts w:hint="default" w:hAnsi="宋体" w:cs="宋体"/>
                <w:color w:val="000000"/>
                <w:highlight w:val="none"/>
                <w:lang w:val="en-US" w:eastAsia="zh-CN"/>
              </w:rPr>
              <w:t>地漏</w:t>
            </w:r>
            <w:r>
              <w:rPr>
                <w:rFonts w:hint="eastAsia" w:hAnsi="宋体" w:cs="宋体"/>
                <w:color w:val="000000"/>
                <w:highlight w:val="none"/>
                <w:lang w:val="en-US" w:eastAsia="zh-CN"/>
              </w:rPr>
              <w:t>：</w:t>
            </w:r>
            <w:r>
              <w:rPr>
                <w:rFonts w:hint="default" w:hAnsi="宋体" w:cs="宋体"/>
                <w:color w:val="000000"/>
                <w:highlight w:val="none"/>
                <w:lang w:val="en-US" w:eastAsia="zh-CN"/>
              </w:rPr>
              <w:t>埃美柯、科勒、</w:t>
            </w:r>
            <w:r>
              <w:rPr>
                <w:rFonts w:hint="eastAsia" w:hAnsi="宋体" w:cs="宋体"/>
                <w:color w:val="000000"/>
                <w:highlight w:val="none"/>
                <w:lang w:val="en-US" w:eastAsia="zh-CN"/>
              </w:rPr>
              <w:t>TOTO或同档次及以上</w:t>
            </w:r>
          </w:p>
          <w:p w14:paraId="434D908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8、</w:t>
            </w:r>
            <w:r>
              <w:rPr>
                <w:rFonts w:hint="default" w:hAnsi="宋体" w:cs="宋体"/>
                <w:color w:val="000000"/>
                <w:highlight w:val="none"/>
                <w:lang w:val="en-US" w:eastAsia="zh-CN"/>
              </w:rPr>
              <w:t>洁具、水池、水龙头、三角阀：埃美柯、科勒、</w:t>
            </w:r>
            <w:r>
              <w:rPr>
                <w:rFonts w:hint="eastAsia" w:hAnsi="宋体" w:cs="宋体"/>
                <w:color w:val="000000"/>
                <w:highlight w:val="none"/>
                <w:lang w:val="en-US" w:eastAsia="zh-CN"/>
              </w:rPr>
              <w:t>TOTO或同档次及以上</w:t>
            </w:r>
          </w:p>
          <w:p w14:paraId="08BB886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9、</w:t>
            </w:r>
            <w:r>
              <w:rPr>
                <w:rFonts w:hint="default" w:hAnsi="宋体" w:cs="宋体"/>
                <w:color w:val="000000"/>
                <w:highlight w:val="none"/>
                <w:lang w:val="en-US" w:eastAsia="zh-CN"/>
              </w:rPr>
              <w:t>配电箱元器件：施耐德、ABB、西门子</w:t>
            </w:r>
            <w:r>
              <w:rPr>
                <w:rFonts w:hint="eastAsia" w:hAnsi="宋体" w:cs="宋体"/>
                <w:color w:val="000000"/>
                <w:highlight w:val="none"/>
                <w:lang w:val="en-US" w:eastAsia="zh-CN"/>
              </w:rPr>
              <w:t>或同档次及以上</w:t>
            </w:r>
          </w:p>
          <w:p w14:paraId="356A336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10、</w:t>
            </w:r>
            <w:r>
              <w:rPr>
                <w:rFonts w:hint="default" w:hAnsi="宋体" w:cs="宋体"/>
                <w:color w:val="000000"/>
                <w:highlight w:val="none"/>
                <w:lang w:val="en-US" w:eastAsia="zh-CN"/>
              </w:rPr>
              <w:t>插座、断路器、开关插座：施耐德、ABB、西门子</w:t>
            </w:r>
            <w:r>
              <w:rPr>
                <w:rFonts w:hint="eastAsia" w:hAnsi="宋体" w:cs="宋体"/>
                <w:color w:val="000000"/>
                <w:highlight w:val="none"/>
                <w:lang w:val="en-US" w:eastAsia="zh-CN"/>
              </w:rPr>
              <w:t>或同档次及以上</w:t>
            </w:r>
          </w:p>
          <w:p w14:paraId="1016B52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11、</w:t>
            </w:r>
            <w:r>
              <w:rPr>
                <w:rFonts w:hint="default" w:hAnsi="宋体" w:cs="宋体"/>
                <w:color w:val="000000"/>
                <w:highlight w:val="none"/>
                <w:lang w:val="en-US" w:eastAsia="zh-CN"/>
              </w:rPr>
              <w:t>电缆、电线：江南、杭州中策、</w:t>
            </w:r>
            <w:r>
              <w:rPr>
                <w:rFonts w:hint="eastAsia" w:hAnsi="宋体" w:cs="宋体"/>
                <w:color w:val="000000"/>
                <w:highlight w:val="none"/>
                <w:lang w:val="en-US" w:eastAsia="zh-CN"/>
              </w:rPr>
              <w:t>起帆或同档次及以上</w:t>
            </w:r>
          </w:p>
          <w:p w14:paraId="49A220E0">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12、</w:t>
            </w:r>
            <w:r>
              <w:rPr>
                <w:rFonts w:hint="default" w:hAnsi="宋体" w:cs="宋体"/>
                <w:color w:val="000000"/>
                <w:highlight w:val="none"/>
                <w:lang w:val="en-US" w:eastAsia="zh-CN"/>
              </w:rPr>
              <w:t>灯具照明：飞利浦、欧普、雷士</w:t>
            </w:r>
            <w:r>
              <w:rPr>
                <w:rFonts w:hint="eastAsia" w:hAnsi="宋体" w:cs="宋体"/>
                <w:color w:val="000000"/>
                <w:highlight w:val="none"/>
                <w:lang w:val="en-US" w:eastAsia="zh-CN"/>
              </w:rPr>
              <w:t>或同档次及以上</w:t>
            </w:r>
          </w:p>
          <w:p w14:paraId="3D25DCD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13、</w:t>
            </w:r>
            <w:r>
              <w:rPr>
                <w:rFonts w:hint="default" w:hAnsi="宋体" w:cs="宋体"/>
                <w:color w:val="000000"/>
                <w:highlight w:val="none"/>
                <w:lang w:val="en-US" w:eastAsia="zh-CN"/>
              </w:rPr>
              <w:t>六类网线，光纤，理线架、水晶头：</w:t>
            </w:r>
            <w:r>
              <w:rPr>
                <w:rFonts w:hint="eastAsia" w:hAnsi="宋体" w:cs="宋体"/>
                <w:color w:val="000000"/>
                <w:highlight w:val="none"/>
                <w:lang w:val="en-US" w:eastAsia="zh-CN"/>
              </w:rPr>
              <w:t>清华同方、TP-LINK、TCL或同档次及以上</w:t>
            </w:r>
          </w:p>
          <w:p w14:paraId="226F838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hAnsi="宋体" w:cs="宋体"/>
                <w:color w:val="000000"/>
                <w:highlight w:val="none"/>
                <w:lang w:val="en-US" w:eastAsia="zh-CN"/>
              </w:rPr>
            </w:pPr>
            <w:r>
              <w:rPr>
                <w:rFonts w:hint="eastAsia" w:hAnsi="宋体" w:cs="宋体"/>
                <w:color w:val="000000"/>
                <w:highlight w:val="none"/>
                <w:lang w:val="en-US" w:eastAsia="zh-CN"/>
              </w:rPr>
              <w:t>14、</w:t>
            </w:r>
            <w:r>
              <w:rPr>
                <w:rFonts w:hint="default" w:hAnsi="宋体" w:cs="宋体"/>
                <w:color w:val="000000"/>
                <w:highlight w:val="none"/>
                <w:lang w:val="en-US" w:eastAsia="zh-CN"/>
              </w:rPr>
              <w:t>网络插座：</w:t>
            </w:r>
            <w:r>
              <w:rPr>
                <w:rFonts w:hint="eastAsia" w:hAnsi="宋体" w:cs="宋体"/>
                <w:color w:val="000000"/>
                <w:highlight w:val="none"/>
                <w:lang w:val="en-US" w:eastAsia="zh-CN"/>
              </w:rPr>
              <w:t>清华同方、施耐德、TCL或同档次及以上</w:t>
            </w:r>
          </w:p>
          <w:p w14:paraId="56F902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eastAsia="宋体" w:cs="Times New Roman"/>
                <w:szCs w:val="21"/>
              </w:rPr>
              <w:t>（</w:t>
            </w:r>
            <w:r>
              <w:rPr>
                <w:rFonts w:hint="eastAsia" w:ascii="宋体" w:hAnsi="宋体" w:cs="Times New Roman"/>
                <w:szCs w:val="21"/>
                <w:lang w:val="en-US" w:eastAsia="zh-CN"/>
              </w:rPr>
              <w:t>二</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012B0D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三</w:t>
            </w:r>
            <w:r>
              <w:rPr>
                <w:rFonts w:hint="eastAsia" w:ascii="宋体" w:hAnsi="宋体"/>
                <w:szCs w:val="21"/>
              </w:rPr>
              <w:t>）其他的设备、材料等采购：</w:t>
            </w:r>
          </w:p>
          <w:p w14:paraId="582C1F7E">
            <w:pPr>
              <w:pStyle w:val="2"/>
              <w:keepNext w:val="0"/>
              <w:keepLines w:val="0"/>
              <w:pageBreakBefore w:val="0"/>
              <w:widowControl w:val="0"/>
              <w:tabs>
                <w:tab w:val="left" w:pos="3330"/>
              </w:tabs>
              <w:kinsoku/>
              <w:wordWrap/>
              <w:overflowPunct/>
              <w:topLinePunct w:val="0"/>
              <w:autoSpaceDE/>
              <w:autoSpaceDN/>
              <w:bidi w:val="0"/>
              <w:adjustRightInd/>
              <w:snapToGrid/>
              <w:spacing w:line="360" w:lineRule="auto"/>
              <w:ind w:firstLine="420" w:firstLineChars="200"/>
              <w:textAlignment w:val="auto"/>
              <w:rPr>
                <w:rFonts w:hint="eastAsia" w:hAnsi="宋体" w:cs="宋体"/>
                <w:color w:val="000000"/>
                <w:lang w:val="en-US" w:eastAsia="zh-CN"/>
              </w:rPr>
            </w:pPr>
            <w:r>
              <w:rPr>
                <w:rFonts w:hint="eastAsia" w:hAnsi="宋体" w:cs="宋体"/>
                <w:color w:val="000000"/>
                <w:lang w:val="en-US" w:eastAsia="zh-CN"/>
              </w:rPr>
              <w:t>1.所有招标人未确定品牌厂家的材料必须采用信誉好、品牌好、知名度高、同等行业中规模中等以上的生产厂家的产品，产品必须满足国家质量标准，由投标人自行采购；</w:t>
            </w:r>
          </w:p>
          <w:p w14:paraId="01E55351">
            <w:pPr>
              <w:pStyle w:val="2"/>
              <w:keepNext w:val="0"/>
              <w:keepLines w:val="0"/>
              <w:pageBreakBefore w:val="0"/>
              <w:widowControl w:val="0"/>
              <w:tabs>
                <w:tab w:val="left" w:pos="3330"/>
              </w:tabs>
              <w:kinsoku/>
              <w:wordWrap/>
              <w:overflowPunct/>
              <w:topLinePunct w:val="0"/>
              <w:autoSpaceDE/>
              <w:autoSpaceDN/>
              <w:bidi w:val="0"/>
              <w:adjustRightInd/>
              <w:snapToGrid/>
              <w:spacing w:line="360" w:lineRule="auto"/>
              <w:ind w:firstLine="420" w:firstLineChars="200"/>
              <w:textAlignment w:val="auto"/>
              <w:rPr>
                <w:rFonts w:hint="eastAsia" w:hAnsi="宋体" w:cs="宋体"/>
                <w:color w:val="000000"/>
                <w:lang w:val="en-US" w:eastAsia="zh-CN"/>
              </w:rPr>
            </w:pPr>
            <w:r>
              <w:rPr>
                <w:rFonts w:hint="eastAsia" w:hAnsi="宋体" w:cs="宋体"/>
                <w:color w:val="000000"/>
                <w:lang w:val="en-US" w:eastAsia="zh-CN"/>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2B3BDED1">
            <w:pPr>
              <w:pStyle w:val="2"/>
              <w:keepNext w:val="0"/>
              <w:keepLines w:val="0"/>
              <w:pageBreakBefore w:val="0"/>
              <w:widowControl w:val="0"/>
              <w:tabs>
                <w:tab w:val="left" w:pos="3330"/>
              </w:tabs>
              <w:kinsoku/>
              <w:wordWrap/>
              <w:overflowPunct/>
              <w:topLinePunct w:val="0"/>
              <w:autoSpaceDE/>
              <w:autoSpaceDN/>
              <w:bidi w:val="0"/>
              <w:adjustRightInd/>
              <w:snapToGrid/>
              <w:spacing w:line="360" w:lineRule="auto"/>
              <w:ind w:firstLine="420" w:firstLineChars="200"/>
              <w:textAlignment w:val="auto"/>
              <w:rPr>
                <w:rFonts w:hint="eastAsia" w:hAnsi="宋体" w:cs="宋体"/>
                <w:color w:val="000000"/>
                <w:lang w:val="zh-CN" w:eastAsia="zh-CN"/>
              </w:rPr>
            </w:pPr>
            <w:r>
              <w:rPr>
                <w:rFonts w:hint="eastAsia" w:hAnsi="宋体" w:cs="宋体"/>
                <w:color w:val="000000"/>
                <w:lang w:val="en-US" w:eastAsia="zh-CN"/>
              </w:rPr>
              <w:t>3.招标人有权对材料品牌进行变更，投标人应服从并做好配合工作。</w:t>
            </w:r>
            <w:r>
              <w:rPr>
                <w:rFonts w:hint="eastAsia" w:hAnsi="宋体" w:cs="宋体"/>
                <w:color w:val="000000"/>
                <w:lang w:val="zh-CN" w:eastAsia="zh-CN"/>
              </w:rPr>
              <w:t xml:space="preserve"> </w:t>
            </w:r>
          </w:p>
          <w:p w14:paraId="1D1F771F">
            <w:pPr>
              <w:pStyle w:val="2"/>
              <w:keepNext w:val="0"/>
              <w:keepLines w:val="0"/>
              <w:pageBreakBefore w:val="0"/>
              <w:widowControl w:val="0"/>
              <w:tabs>
                <w:tab w:val="left" w:pos="3330"/>
              </w:tabs>
              <w:kinsoku/>
              <w:wordWrap/>
              <w:overflowPunct/>
              <w:topLinePunct w:val="0"/>
              <w:autoSpaceDE/>
              <w:autoSpaceDN/>
              <w:bidi w:val="0"/>
              <w:adjustRightInd/>
              <w:snapToGrid/>
              <w:spacing w:line="360" w:lineRule="auto"/>
              <w:ind w:firstLine="420" w:firstLineChars="200"/>
              <w:textAlignment w:val="auto"/>
              <w:rPr>
                <w:rFonts w:hint="eastAsia" w:hAnsi="宋体" w:cs="宋体"/>
                <w:color w:val="000000"/>
                <w:lang w:val="zh-CN" w:eastAsia="zh-CN"/>
              </w:rPr>
            </w:pPr>
            <w:r>
              <w:rPr>
                <w:rFonts w:hint="eastAsia" w:hAnsi="宋体" w:cs="宋体"/>
                <w:color w:val="000000"/>
                <w:lang w:val="zh-CN" w:eastAsia="zh-CN"/>
              </w:rPr>
              <w:t xml:space="preserve">  </w:t>
            </w:r>
          </w:p>
          <w:p w14:paraId="12F320D5">
            <w:pPr>
              <w:pStyle w:val="2"/>
              <w:spacing w:line="360" w:lineRule="auto"/>
              <w:rPr>
                <w:rFonts w:hint="eastAsia" w:hAnsi="宋体" w:cs="宋体"/>
                <w:color w:val="000000"/>
                <w:lang w:val="en-US" w:eastAsia="zh-CN"/>
              </w:rPr>
            </w:pPr>
            <w:r>
              <w:rPr>
                <w:rFonts w:hint="eastAsia" w:hAnsi="宋体" w:cs="宋体"/>
                <w:color w:val="000000"/>
                <w:lang w:val="en-US" w:eastAsia="zh-CN"/>
              </w:rPr>
              <w:t>八、其他说明：</w:t>
            </w:r>
          </w:p>
          <w:p w14:paraId="2690EDE6">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1、本工程投标人在投标前应对现场进行全面踏勘，并以工程量清单结合设计图纸和现场实际情况进行报价。</w:t>
            </w:r>
          </w:p>
          <w:p w14:paraId="42FDF67F">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2、投标人应充分考虑到场地因素带来的工效降低，其费用应在措施项目清单报价中充分考虑。</w:t>
            </w:r>
          </w:p>
          <w:p w14:paraId="718A7BF1">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3、投标人应充分考虑施工现场周边实际情况对施工的影响，编制施工方案，并作出报价。</w:t>
            </w:r>
          </w:p>
          <w:p w14:paraId="6E9C5FC1">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4、分部分项工程量清单中对工程项目的项目特征及具体做法只做重点描述，详细情况见施工图设计、技术说明及相关标准图集。各投标单位在进行综合单价报价时必须结合施工图、招标文件中的相关条款及清单描述进行报价，组价时应结合投标人现场勘察情况包括完成所有工序工作内容的全部费用。清单子目中未能对各节点详图进行完全性描述的必须结合施工图详细节点进行报价，清单描述中未及的施工工艺必须结合施工图纸要求进行报价，否则视为已计入相应项目综合单价中，中标后将不调整综合单价；若招标文件中的相关条款与清单有冲突，或清单项目及描述与施工图纸有矛盾，投标单位在答疑时提出疑问，未提出的以招标人解释为准。</w:t>
            </w:r>
          </w:p>
          <w:p w14:paraId="364C4920">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5、投标人在报价时应充分考虑本工程的质量要求，对本工程各项工艺、材料的检查、检验、试验、测试等所需费用和时间应充分考虑，报价应包括从制作、安装、施工、竣工验收，检测合格过程中其他所需要的一切措施费用在内。</w:t>
            </w:r>
          </w:p>
          <w:p w14:paraId="6E7AB2C1">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6、投标人在投标报价时应充分领会《浙江省建设工程量清单计价指引》中各项目所组合的工程内容。</w:t>
            </w:r>
          </w:p>
          <w:p w14:paraId="7C6DDD38">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 xml:space="preserve">7、本工程量清单中的分部分项工程量及措施项目工程量均是根据本工程施工图，按照“工程量计算规范”的规定进行计算的，仅作为施工企业投标报价的共同基础，不能作为最终结算与支付价款的依据，工程量的变化调整以业主与承包商签字的合同约定为准，或按《建设工程工程量清单计价规范》有关规定执行。 </w:t>
            </w:r>
          </w:p>
          <w:p w14:paraId="7BE18F8B">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8、本工程量清单仅提供清单工程量实际内容，工程投标报价按《建设工程工程量清单计价规范》、《房屋建筑与装饰工程工程量计算规范》的规定及要求，使用表格及格式以招标文件提供的投标文件格式为准或按《建设工程工程量清单计价规范》要求执行，有更正的以勘误和解释为准。　　　　　　</w:t>
            </w:r>
          </w:p>
          <w:p w14:paraId="2852143B">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9、工程量清单及其计价格式中的任何内容不得随意删除或涂改，若有错误，在招标答疑时及时提出，以“补遗”资料为准。</w:t>
            </w:r>
          </w:p>
          <w:p w14:paraId="3072295D">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10、工程量清单中每一个项目，都需填入综合单价及合价，对于没有填入综合单价及合价的项目，不同单项及单位工程中的分部分项工程量清单中相同项目（项目特征及工作内容相同）的报价应统一，如有差异，按最低一个报价进行结算。</w:t>
            </w:r>
          </w:p>
          <w:p w14:paraId="51A0C6C3">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11、《承包人提供材料和工程设备一览表》中的材料价格应与综合单价及《综合单价分析表》中的材料价格一致。</w:t>
            </w:r>
          </w:p>
          <w:p w14:paraId="1E9A8A36">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12、本说明未尽事项，以计价规范、工程量计算规范、计价管理办法、招标文件以及有关的法律、法规、建设行政主管部门颁发的文件为准。</w:t>
            </w:r>
          </w:p>
          <w:p w14:paraId="374DE9A7">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13、所有材料必须符合设计及招标人要求，由投标人根据招标文件及施工图的要求明确规格型号并报价。有推荐品牌的，投标人须在推荐品牌中选择，并在主要材料设备表中备注栏中标明品牌、型号；无推荐品牌、型号的，投标人必须在备注栏中明确品牌、型号。若投标人未列出，在施工期间，招标人可根据工程需要提出要求，投标人必须按照招标人的要求提供材料（设备），费用差价风险由投标人自行承担。未作特别要求的材料都必须采用中档以上品牌或国内外知名厂家生产，在采购前报监理和发包人确认。</w:t>
            </w:r>
          </w:p>
          <w:p w14:paraId="43B800BF">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14、所有吊顶、墙面、地面及其他部位等需要安装相关设备、灯具等而需在相关面层上预留孔洞或者开孔的开孔费及加固费，投标人应综合考虑，费用计入所涉及项目综合单价。</w:t>
            </w:r>
          </w:p>
          <w:p w14:paraId="34663AF4">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15、装修所用的块料（各类墙面砖、地砖）、石材（大理石、花岗岩）以及石材线条等的倒角、磨边、铣槽、切割以及因切割造成的损耗的费用，投标人应充分考虑，在相应清单子目内报价；</w:t>
            </w:r>
          </w:p>
          <w:p w14:paraId="0B4735FD">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16、根据现有施工场地等实际情况，投标人应充分考虑必须发生和可能发生的费用，如材料、设备的存储堆放、二次搬运、保管、水平运输、垂直运输、临时安全消防、临时设施租用、装修垃圾清运、夜间施工、赶工措施、限电限水拉闸（应有相应的应急供水供电专项措施）、工程变更造成的窝工等产生的费用。</w:t>
            </w:r>
          </w:p>
          <w:p w14:paraId="4B685D1C">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17、招标人提供的技术措施项目及计价表已列的项目投标人不得修改，投标人可依据各自的施工方案自行增加项目，若今后施工图范围内的工程实施中发生新的措施项目，但投标人未列入的项目，按投标人在风险费或其他项目中已考虑，今后不得增加。</w:t>
            </w:r>
          </w:p>
          <w:p w14:paraId="20898FBC">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18、下列子项不再单独计列或在特征描述中描述，应综合考虑计入相应项目报价：</w:t>
            </w:r>
          </w:p>
          <w:p w14:paraId="6AA3DDFF">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（1）墙面砖类阳角收口条；</w:t>
            </w:r>
          </w:p>
          <w:p w14:paraId="26B4187C">
            <w:pPr>
              <w:pStyle w:val="2"/>
              <w:spacing w:line="360" w:lineRule="auto"/>
              <w:ind w:firstLine="420" w:firstLineChars="200"/>
              <w:rPr>
                <w:rFonts w:hint="default" w:hAnsi="宋体" w:cs="宋体"/>
                <w:color w:val="000000"/>
                <w:lang w:val="en-US" w:eastAsia="zh-CN"/>
              </w:rPr>
            </w:pPr>
            <w:r>
              <w:rPr>
                <w:rFonts w:hint="eastAsia" w:hAnsi="宋体" w:cs="宋体"/>
                <w:color w:val="000000"/>
                <w:lang w:val="en-US" w:eastAsia="zh-CN"/>
              </w:rPr>
              <w:t>（2）吊顶和墙面基层若无预留吊环、钢筋而所需打入膨胀螺栓的费用；</w:t>
            </w:r>
          </w:p>
          <w:p w14:paraId="3E69BB88">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（3）墙面遇到暗门（如消火栓处）所增加的费用；</w:t>
            </w:r>
          </w:p>
          <w:p w14:paraId="0D64FB94">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（4）除已在清单(安装部分)内列出预留套管以外的其他预留套管、预留孔的预留、开孔及封堵；</w:t>
            </w:r>
          </w:p>
          <w:p w14:paraId="242350CC">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（5）石材、块料面层（如大理石、花岗岩、地砖、墙砖）的磨边、倒角、割槽、六面防护等后期加工；</w:t>
            </w:r>
          </w:p>
          <w:p w14:paraId="6D159435">
            <w:pPr>
              <w:pStyle w:val="2"/>
              <w:spacing w:line="360" w:lineRule="auto"/>
              <w:ind w:firstLine="420" w:firstLineChars="200"/>
              <w:rPr>
                <w:rFonts w:hint="eastAsia" w:hAnsi="宋体" w:cs="宋体"/>
                <w:color w:val="000000"/>
                <w:lang w:val="en-US" w:eastAsia="zh-CN"/>
              </w:rPr>
            </w:pPr>
            <w:r>
              <w:rPr>
                <w:rFonts w:hint="eastAsia" w:hAnsi="宋体" w:cs="宋体"/>
                <w:color w:val="000000"/>
                <w:lang w:val="en-US" w:eastAsia="zh-CN"/>
              </w:rPr>
              <w:t>（6）凡涉及对原有结构调整的破坏，如在砖墙面预埋管线，报价中请自行考虑恢复的费用；结算时不再调整。</w:t>
            </w:r>
          </w:p>
          <w:p w14:paraId="4060B685">
            <w:pPr>
              <w:pStyle w:val="2"/>
              <w:spacing w:line="360" w:lineRule="auto"/>
              <w:rPr>
                <w:rFonts w:ascii="宋体" w:hAnsi="宋体" w:cs="宋体"/>
                <w:color w:val="000000"/>
                <w:szCs w:val="21"/>
              </w:rPr>
            </w:pPr>
            <w:r>
              <w:rPr>
                <w:rFonts w:hint="eastAsia" w:hAnsi="宋体" w:cs="宋体"/>
                <w:color w:val="000000"/>
                <w:lang w:val="en-US" w:eastAsia="zh-CN"/>
              </w:rPr>
              <w:t>九</w:t>
            </w:r>
            <w:r>
              <w:rPr>
                <w:rFonts w:hint="eastAsia" w:ascii="宋体" w:hAnsi="宋体" w:eastAsia="宋体" w:cs="宋体"/>
                <w:color w:val="000000"/>
                <w:lang w:val="zh-CN" w:eastAsia="zh-CN"/>
              </w:rPr>
              <w:t>、其他不详之处，详见国家及地方标准。</w:t>
            </w:r>
          </w:p>
        </w:tc>
      </w:tr>
    </w:tbl>
    <w:p w14:paraId="7378B2D6">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E73AA">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54685"/>
              <wp:effectExtent l="4445" t="4445" r="10160" b="13970"/>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5468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15305C9">
                          <w:pPr>
                            <w:pStyle w:val="2"/>
                            <w:tabs>
                              <w:tab w:val="left" w:pos="0"/>
                            </w:tabs>
                            <w:jc w:val="center"/>
                            <w:rPr>
                              <w:b/>
                              <w:sz w:val="48"/>
                              <w:szCs w:val="48"/>
                            </w:rPr>
                          </w:pPr>
                          <w:r>
                            <w:rPr>
                              <w:rFonts w:hint="eastAsia"/>
                              <w:b/>
                              <w:sz w:val="48"/>
                              <w:szCs w:val="48"/>
                            </w:rPr>
                            <w:t>工程量清单编制总说明</w:t>
                          </w:r>
                        </w:p>
                        <w:p w14:paraId="76EE4CB3">
                          <w:pPr>
                            <w:jc w:val="left"/>
                          </w:pPr>
                          <w:r>
                            <w:rPr>
                              <w:rFonts w:hint="eastAsia"/>
                              <w:sz w:val="22"/>
                              <w:szCs w:val="22"/>
                            </w:rPr>
                            <w:t xml:space="preserve">工程名称: </w:t>
                          </w:r>
                          <w:r>
                            <w:rPr>
                              <w:rFonts w:hint="eastAsia" w:ascii="宋体" w:hAnsi="宋体" w:cs="宋体"/>
                              <w:color w:val="000000"/>
                              <w:szCs w:val="21"/>
                              <w:highlight w:val="none"/>
                              <w:lang w:val="en-US" w:eastAsia="zh-CN"/>
                            </w:rPr>
                            <w:t>教学楼环境提升改造项目</w:t>
                          </w:r>
                          <w:r>
                            <w:rPr>
                              <w:rFonts w:hint="eastAsia"/>
                              <w:sz w:val="22"/>
                              <w:szCs w:val="22"/>
                              <w:lang w:val="en-US" w:eastAsia="zh-CN"/>
                            </w:rPr>
                            <w:t xml:space="preserve">                                 </w:t>
                          </w:r>
                          <w:r>
                            <w:rPr>
                              <w:rFonts w:hint="eastAsia" w:asciiTheme="minorEastAsia" w:hAnsiTheme="minorEastAsia" w:eastAsiaTheme="minorEastAsia" w:cstheme="minorEastAsia"/>
                              <w:sz w:val="20"/>
                              <w:szCs w:val="20"/>
                            </w:rPr>
                            <w:t>第</w:t>
                          </w:r>
                          <w:r>
                            <w:rPr>
                              <w:rFonts w:hint="eastAsia" w:asciiTheme="minorEastAsia" w:hAnsiTheme="minorEastAsia" w:eastAsiaTheme="minorEastAsia" w:cstheme="minorEastAsia"/>
                              <w:sz w:val="20"/>
                              <w:szCs w:val="20"/>
                            </w:rPr>
                            <w:fldChar w:fldCharType="begin"/>
                          </w:r>
                          <w:r>
                            <w:rPr>
                              <w:rFonts w:hint="eastAsia" w:asciiTheme="minorEastAsia" w:hAnsiTheme="minorEastAsia" w:eastAsiaTheme="minorEastAsia" w:cstheme="minorEastAsia"/>
                              <w:sz w:val="20"/>
                              <w:szCs w:val="20"/>
                            </w:rPr>
                            <w:instrText xml:space="preserve">PAGE  \* Arabic  \* MERGEFORMAT</w:instrText>
                          </w:r>
                          <w:r>
                            <w:rPr>
                              <w:rFonts w:hint="eastAsia" w:asciiTheme="minorEastAsia" w:hAnsiTheme="minorEastAsia" w:eastAsiaTheme="minorEastAsia" w:cstheme="minorEastAsia"/>
                              <w:sz w:val="20"/>
                              <w:szCs w:val="20"/>
                            </w:rPr>
                            <w:fldChar w:fldCharType="separate"/>
                          </w:r>
                          <w:r>
                            <w:rPr>
                              <w:rFonts w:asciiTheme="minorEastAsia" w:hAnsiTheme="minorEastAsia" w:eastAsiaTheme="minorEastAsia" w:cstheme="minorEastAsia"/>
                              <w:sz w:val="20"/>
                              <w:szCs w:val="20"/>
                            </w:rPr>
                            <w:t>1</w:t>
                          </w:r>
                          <w:r>
                            <w:rPr>
                              <w:rFonts w:hint="eastAsia" w:asciiTheme="minorEastAsia" w:hAnsiTheme="minorEastAsia" w:eastAsiaTheme="minorEastAsia" w:cstheme="minorEastAsia"/>
                              <w:sz w:val="20"/>
                              <w:szCs w:val="20"/>
                            </w:rPr>
                            <w:fldChar w:fldCharType="end"/>
                          </w:r>
                          <w:r>
                            <w:rPr>
                              <w:rFonts w:hint="eastAsia" w:asciiTheme="minorEastAsia" w:hAnsiTheme="minorEastAsia" w:eastAsiaTheme="minorEastAsia" w:cstheme="minorEastAsia"/>
                              <w:sz w:val="20"/>
                              <w:szCs w:val="20"/>
                            </w:rPr>
                            <w:t>页，共</w:t>
                          </w:r>
                          <w:r>
                            <w:rPr>
                              <w:rFonts w:hint="eastAsia" w:asciiTheme="minorEastAsia" w:hAnsiTheme="minorEastAsia" w:eastAsiaTheme="minorEastAsia" w:cstheme="minorEastAsia"/>
                              <w:sz w:val="20"/>
                              <w:szCs w:val="20"/>
                              <w:lang w:val="en-US" w:eastAsia="zh-CN"/>
                            </w:rPr>
                            <w:t>6页</w:t>
                          </w:r>
                        </w:p>
                      </w:txbxContent>
                    </wps:txbx>
                    <wps:bodyPr vert="horz" anchor="t" upright="1"/>
                  </wps:wsp>
                </a:graphicData>
              </a:graphic>
            </wp:anchor>
          </w:drawing>
        </mc:Choice>
        <mc:Fallback>
          <w:pict>
            <v:shape id="文本框 2" o:spid="_x0000_s1026" o:spt="202" type="#_x0000_t202" style="position:absolute;left:0pt;margin-left:-6.85pt;margin-top:16.7pt;height:51.55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wm3i9kAAAAKAQAADwAA&#10;AAAAAAABACAAAAAiAAAAZHJzL2Rvd25yZXYueG1sUEsBAhQAFAAAAAgAh07iQJrksn0VAgAATQQA&#10;AA4AAAAAAAAAAQAgAAAAKAEAAGRycy9lMm9Eb2MueG1sUEsFBgAAAAAGAAYAWQEAAK8FAAAAAA==&#10;">
              <v:fill on="t" focussize="0,0"/>
              <v:stroke color="#FFFFFF" joinstyle="miter"/>
              <v:imagedata o:title=""/>
              <o:lock v:ext="edit" aspectratio="f"/>
              <v:textbox>
                <w:txbxContent>
                  <w:p w14:paraId="615305C9">
                    <w:pPr>
                      <w:pStyle w:val="2"/>
                      <w:tabs>
                        <w:tab w:val="left" w:pos="0"/>
                      </w:tabs>
                      <w:jc w:val="center"/>
                      <w:rPr>
                        <w:b/>
                        <w:sz w:val="48"/>
                        <w:szCs w:val="48"/>
                      </w:rPr>
                    </w:pPr>
                    <w:r>
                      <w:rPr>
                        <w:rFonts w:hint="eastAsia"/>
                        <w:b/>
                        <w:sz w:val="48"/>
                        <w:szCs w:val="48"/>
                      </w:rPr>
                      <w:t>工程量清单编制总说明</w:t>
                    </w:r>
                  </w:p>
                  <w:p w14:paraId="76EE4CB3">
                    <w:pPr>
                      <w:jc w:val="left"/>
                    </w:pPr>
                    <w:r>
                      <w:rPr>
                        <w:rFonts w:hint="eastAsia"/>
                        <w:sz w:val="22"/>
                        <w:szCs w:val="22"/>
                      </w:rPr>
                      <w:t xml:space="preserve">工程名称: </w:t>
                    </w:r>
                    <w:r>
                      <w:rPr>
                        <w:rFonts w:hint="eastAsia" w:ascii="宋体" w:hAnsi="宋体" w:cs="宋体"/>
                        <w:color w:val="000000"/>
                        <w:szCs w:val="21"/>
                        <w:highlight w:val="none"/>
                        <w:lang w:val="en-US" w:eastAsia="zh-CN"/>
                      </w:rPr>
                      <w:t>教学楼环境提升改造项目</w:t>
                    </w:r>
                    <w:r>
                      <w:rPr>
                        <w:rFonts w:hint="eastAsia"/>
                        <w:sz w:val="22"/>
                        <w:szCs w:val="22"/>
                        <w:lang w:val="en-US" w:eastAsia="zh-CN"/>
                      </w:rPr>
                      <w:t xml:space="preserve">                                 </w:t>
                    </w:r>
                    <w:r>
                      <w:rPr>
                        <w:rFonts w:hint="eastAsia" w:asciiTheme="minorEastAsia" w:hAnsiTheme="minorEastAsia" w:eastAsiaTheme="minorEastAsia" w:cstheme="minorEastAsia"/>
                        <w:sz w:val="20"/>
                        <w:szCs w:val="20"/>
                      </w:rPr>
                      <w:t>第</w:t>
                    </w:r>
                    <w:r>
                      <w:rPr>
                        <w:rFonts w:hint="eastAsia" w:asciiTheme="minorEastAsia" w:hAnsiTheme="minorEastAsia" w:eastAsiaTheme="minorEastAsia" w:cstheme="minorEastAsia"/>
                        <w:sz w:val="20"/>
                        <w:szCs w:val="20"/>
                      </w:rPr>
                      <w:fldChar w:fldCharType="begin"/>
                    </w:r>
                    <w:r>
                      <w:rPr>
                        <w:rFonts w:hint="eastAsia" w:asciiTheme="minorEastAsia" w:hAnsiTheme="minorEastAsia" w:eastAsiaTheme="minorEastAsia" w:cstheme="minorEastAsia"/>
                        <w:sz w:val="20"/>
                        <w:szCs w:val="20"/>
                      </w:rPr>
                      <w:instrText xml:space="preserve">PAGE  \* Arabic  \* MERGEFORMAT</w:instrText>
                    </w:r>
                    <w:r>
                      <w:rPr>
                        <w:rFonts w:hint="eastAsia" w:asciiTheme="minorEastAsia" w:hAnsiTheme="minorEastAsia" w:eastAsiaTheme="minorEastAsia" w:cstheme="minorEastAsia"/>
                        <w:sz w:val="20"/>
                        <w:szCs w:val="20"/>
                      </w:rPr>
                      <w:fldChar w:fldCharType="separate"/>
                    </w:r>
                    <w:r>
                      <w:rPr>
                        <w:rFonts w:asciiTheme="minorEastAsia" w:hAnsiTheme="minorEastAsia" w:eastAsiaTheme="minorEastAsia" w:cstheme="minorEastAsia"/>
                        <w:sz w:val="20"/>
                        <w:szCs w:val="20"/>
                      </w:rPr>
                      <w:t>1</w:t>
                    </w:r>
                    <w:r>
                      <w:rPr>
                        <w:rFonts w:hint="eastAsia" w:asciiTheme="minorEastAsia" w:hAnsiTheme="minorEastAsia" w:eastAsiaTheme="minorEastAsia" w:cstheme="minorEastAsia"/>
                        <w:sz w:val="20"/>
                        <w:szCs w:val="20"/>
                      </w:rPr>
                      <w:fldChar w:fldCharType="end"/>
                    </w:r>
                    <w:r>
                      <w:rPr>
                        <w:rFonts w:hint="eastAsia" w:asciiTheme="minorEastAsia" w:hAnsiTheme="minorEastAsia" w:eastAsiaTheme="minorEastAsia" w:cstheme="minorEastAsia"/>
                        <w:sz w:val="20"/>
                        <w:szCs w:val="20"/>
                      </w:rPr>
                      <w:t>页，共</w:t>
                    </w:r>
                    <w:r>
                      <w:rPr>
                        <w:rFonts w:hint="eastAsia" w:asciiTheme="minorEastAsia" w:hAnsiTheme="minorEastAsia" w:eastAsiaTheme="minorEastAsia" w:cstheme="minorEastAsia"/>
                        <w:sz w:val="20"/>
                        <w:szCs w:val="20"/>
                        <w:lang w:val="en-US" w:eastAsia="zh-CN"/>
                      </w:rPr>
                      <w:t>6页</w:t>
                    </w: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E636E"/>
    <w:multiLevelType w:val="singleLevel"/>
    <w:tmpl w:val="F3AE636E"/>
    <w:lvl w:ilvl="0" w:tentative="0">
      <w:start w:val="1"/>
      <w:numFmt w:val="chineseCounting"/>
      <w:suff w:val="nothing"/>
      <w:lvlText w:val="（%1）"/>
      <w:lvlJc w:val="left"/>
      <w:pPr>
        <w:ind w:left="420" w:leftChars="0" w:firstLine="0" w:firstLineChars="0"/>
      </w:pPr>
      <w:rPr>
        <w:rFonts w:hint="eastAsia"/>
      </w:rPr>
    </w:lvl>
  </w:abstractNum>
  <w:abstractNum w:abstractNumId="1">
    <w:nsid w:val="2AEB5A54"/>
    <w:multiLevelType w:val="singleLevel"/>
    <w:tmpl w:val="2AEB5A54"/>
    <w:lvl w:ilvl="0" w:tentative="0">
      <w:start w:val="6"/>
      <w:numFmt w:val="chineseCounting"/>
      <w:suff w:val="nothing"/>
      <w:lvlText w:val="%1、"/>
      <w:lvlJc w:val="left"/>
      <w:rPr>
        <w:rFonts w:hint="eastAsia"/>
      </w:rPr>
    </w:lvl>
  </w:abstractNum>
  <w:abstractNum w:abstractNumId="2">
    <w:nsid w:val="455AF3DE"/>
    <w:multiLevelType w:val="singleLevel"/>
    <w:tmpl w:val="455AF3DE"/>
    <w:lvl w:ilvl="0" w:tentative="0">
      <w:start w:val="7"/>
      <w:numFmt w:val="chineseCounting"/>
      <w:suff w:val="nothing"/>
      <w:lvlText w:val="%1、"/>
      <w:lvlJc w:val="left"/>
      <w:rPr>
        <w:rFonts w:hint="eastAsia"/>
      </w:rPr>
    </w:lvl>
  </w:abstractNum>
  <w:abstractNum w:abstractNumId="3">
    <w:nsid w:val="73462CE2"/>
    <w:multiLevelType w:val="singleLevel"/>
    <w:tmpl w:val="73462CE2"/>
    <w:lvl w:ilvl="0" w:tentative="0">
      <w:start w:val="7"/>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zZmIzZTYzNjQyMzU2NTg4MTQyYzEzZDBlNGNlYmY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16D3"/>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6E3BF4"/>
    <w:rsid w:val="02BB16AD"/>
    <w:rsid w:val="03366EA6"/>
    <w:rsid w:val="05E04A2F"/>
    <w:rsid w:val="09D969F0"/>
    <w:rsid w:val="0A342878"/>
    <w:rsid w:val="0B612A61"/>
    <w:rsid w:val="0C1E1616"/>
    <w:rsid w:val="0E613268"/>
    <w:rsid w:val="0F090DE9"/>
    <w:rsid w:val="0F933B8E"/>
    <w:rsid w:val="1008596F"/>
    <w:rsid w:val="11477444"/>
    <w:rsid w:val="126C75D4"/>
    <w:rsid w:val="12BF28AB"/>
    <w:rsid w:val="13347445"/>
    <w:rsid w:val="158F443B"/>
    <w:rsid w:val="16E11692"/>
    <w:rsid w:val="17A4103D"/>
    <w:rsid w:val="17B943BD"/>
    <w:rsid w:val="17CF0540"/>
    <w:rsid w:val="18E13BCB"/>
    <w:rsid w:val="1A0062D3"/>
    <w:rsid w:val="1AEE7B63"/>
    <w:rsid w:val="1B617245"/>
    <w:rsid w:val="1B6E25C4"/>
    <w:rsid w:val="1CA97C35"/>
    <w:rsid w:val="1CDE4C96"/>
    <w:rsid w:val="1D641E26"/>
    <w:rsid w:val="1DA820BC"/>
    <w:rsid w:val="1E2313E6"/>
    <w:rsid w:val="1E320A25"/>
    <w:rsid w:val="1FB44D03"/>
    <w:rsid w:val="1FD04999"/>
    <w:rsid w:val="20E97AC1"/>
    <w:rsid w:val="227B58D9"/>
    <w:rsid w:val="22837BD7"/>
    <w:rsid w:val="246C2EE2"/>
    <w:rsid w:val="24AB704C"/>
    <w:rsid w:val="25537BFE"/>
    <w:rsid w:val="2583364F"/>
    <w:rsid w:val="25A12658"/>
    <w:rsid w:val="263D1151"/>
    <w:rsid w:val="2714160F"/>
    <w:rsid w:val="27160108"/>
    <w:rsid w:val="28136AE6"/>
    <w:rsid w:val="282402AC"/>
    <w:rsid w:val="2AFC6642"/>
    <w:rsid w:val="2B3C5B66"/>
    <w:rsid w:val="2B8D57C9"/>
    <w:rsid w:val="2C183950"/>
    <w:rsid w:val="2C5C1736"/>
    <w:rsid w:val="2CD75B2A"/>
    <w:rsid w:val="2E3A3D2E"/>
    <w:rsid w:val="2E490A13"/>
    <w:rsid w:val="2E6115DE"/>
    <w:rsid w:val="2EE638B2"/>
    <w:rsid w:val="32421F05"/>
    <w:rsid w:val="3251196A"/>
    <w:rsid w:val="32BB0ABA"/>
    <w:rsid w:val="32D541E9"/>
    <w:rsid w:val="344572AC"/>
    <w:rsid w:val="34F63469"/>
    <w:rsid w:val="36053F19"/>
    <w:rsid w:val="36715DA0"/>
    <w:rsid w:val="37314D7D"/>
    <w:rsid w:val="37D706DD"/>
    <w:rsid w:val="3A0A169F"/>
    <w:rsid w:val="3B464036"/>
    <w:rsid w:val="3BD76FFA"/>
    <w:rsid w:val="3E33138F"/>
    <w:rsid w:val="4033368A"/>
    <w:rsid w:val="40CB28E7"/>
    <w:rsid w:val="41795A2E"/>
    <w:rsid w:val="41F8359A"/>
    <w:rsid w:val="4208719A"/>
    <w:rsid w:val="422A6698"/>
    <w:rsid w:val="43C024AB"/>
    <w:rsid w:val="453B44DF"/>
    <w:rsid w:val="455429D4"/>
    <w:rsid w:val="4698326B"/>
    <w:rsid w:val="497242D2"/>
    <w:rsid w:val="49951CE4"/>
    <w:rsid w:val="49A41BDF"/>
    <w:rsid w:val="4A037596"/>
    <w:rsid w:val="4A3F4DA2"/>
    <w:rsid w:val="4A62606A"/>
    <w:rsid w:val="4A652AEB"/>
    <w:rsid w:val="4B90280D"/>
    <w:rsid w:val="4C1C277B"/>
    <w:rsid w:val="4D5C3ABE"/>
    <w:rsid w:val="4E110852"/>
    <w:rsid w:val="4F5379BB"/>
    <w:rsid w:val="50B60EBE"/>
    <w:rsid w:val="50C721ED"/>
    <w:rsid w:val="518C1C1F"/>
    <w:rsid w:val="526B2003"/>
    <w:rsid w:val="53973ACB"/>
    <w:rsid w:val="54016821"/>
    <w:rsid w:val="56C63E25"/>
    <w:rsid w:val="57255D0E"/>
    <w:rsid w:val="585821BA"/>
    <w:rsid w:val="587766E0"/>
    <w:rsid w:val="588C69A8"/>
    <w:rsid w:val="591F3539"/>
    <w:rsid w:val="5B6D3D38"/>
    <w:rsid w:val="5C5F065B"/>
    <w:rsid w:val="5CE9261B"/>
    <w:rsid w:val="5D221689"/>
    <w:rsid w:val="5E751221"/>
    <w:rsid w:val="5F681F1D"/>
    <w:rsid w:val="5FDE3F8D"/>
    <w:rsid w:val="608038FB"/>
    <w:rsid w:val="60A14060"/>
    <w:rsid w:val="62572584"/>
    <w:rsid w:val="63EC7582"/>
    <w:rsid w:val="644A7BC0"/>
    <w:rsid w:val="64E565B0"/>
    <w:rsid w:val="65614110"/>
    <w:rsid w:val="6563635E"/>
    <w:rsid w:val="6776313A"/>
    <w:rsid w:val="68352A03"/>
    <w:rsid w:val="6A781BB6"/>
    <w:rsid w:val="6B1D0764"/>
    <w:rsid w:val="6C264CF2"/>
    <w:rsid w:val="6CD01D7A"/>
    <w:rsid w:val="6D07065E"/>
    <w:rsid w:val="6D6D06FE"/>
    <w:rsid w:val="6D723ADE"/>
    <w:rsid w:val="6F07626B"/>
    <w:rsid w:val="717F3467"/>
    <w:rsid w:val="722577FA"/>
    <w:rsid w:val="72353E17"/>
    <w:rsid w:val="72435ED2"/>
    <w:rsid w:val="730C00E3"/>
    <w:rsid w:val="73621405"/>
    <w:rsid w:val="743D43AE"/>
    <w:rsid w:val="744C72C0"/>
    <w:rsid w:val="74890514"/>
    <w:rsid w:val="74A233F6"/>
    <w:rsid w:val="74B03CF2"/>
    <w:rsid w:val="74B2104F"/>
    <w:rsid w:val="756248C1"/>
    <w:rsid w:val="75631EA5"/>
    <w:rsid w:val="762A53DF"/>
    <w:rsid w:val="76740D50"/>
    <w:rsid w:val="77122EE5"/>
    <w:rsid w:val="773744A0"/>
    <w:rsid w:val="77D722A1"/>
    <w:rsid w:val="787E6B5A"/>
    <w:rsid w:val="794A4EA4"/>
    <w:rsid w:val="7B945AB5"/>
    <w:rsid w:val="7BE44282"/>
    <w:rsid w:val="7CCD2F68"/>
    <w:rsid w:val="7D8B76B8"/>
    <w:rsid w:val="7E435130"/>
    <w:rsid w:val="7F2F50D8"/>
    <w:rsid w:val="7F6B1E8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4"/>
    <w:autoRedefine/>
    <w:qFormat/>
    <w:uiPriority w:val="0"/>
    <w:pPr>
      <w:tabs>
        <w:tab w:val="center" w:pos="4153"/>
        <w:tab w:val="right" w:pos="8306"/>
      </w:tabs>
      <w:snapToGrid w:val="0"/>
      <w:jc w:val="left"/>
    </w:pPr>
    <w:rPr>
      <w:sz w:val="18"/>
      <w:szCs w:val="18"/>
    </w:rPr>
  </w:style>
  <w:style w:type="paragraph" w:styleId="5">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spacing w:before="120" w:after="120"/>
      <w:jc w:val="left"/>
    </w:pPr>
    <w:rPr>
      <w:rFonts w:ascii="Calibri" w:hAnsi="Calibri"/>
      <w:b/>
      <w:bCs/>
      <w:caps/>
      <w:sz w:val="20"/>
    </w:rPr>
  </w:style>
  <w:style w:type="table" w:styleId="8">
    <w:name w:val="Table Grid"/>
    <w:basedOn w:val="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paragraph" w:customStyle="1" w:styleId="11">
    <w:name w:val="Char"/>
    <w:basedOn w:val="1"/>
    <w:autoRedefine/>
    <w:qFormat/>
    <w:uiPriority w:val="0"/>
    <w:rPr>
      <w:rFonts w:ascii="仿宋_GB2312" w:eastAsia="仿宋_GB2312"/>
      <w:b/>
      <w:sz w:val="32"/>
      <w:szCs w:val="32"/>
    </w:rPr>
  </w:style>
  <w:style w:type="paragraph" w:customStyle="1" w:styleId="12">
    <w:name w:val="_Style 10"/>
    <w:basedOn w:val="1"/>
    <w:autoRedefine/>
    <w:qFormat/>
    <w:uiPriority w:val="0"/>
    <w:pPr>
      <w:ind w:firstLine="480"/>
    </w:pPr>
  </w:style>
  <w:style w:type="character" w:customStyle="1" w:styleId="13">
    <w:name w:val="页眉 字符"/>
    <w:basedOn w:val="9"/>
    <w:link w:val="5"/>
    <w:autoRedefine/>
    <w:qFormat/>
    <w:uiPriority w:val="0"/>
    <w:rPr>
      <w:kern w:val="2"/>
      <w:sz w:val="18"/>
      <w:szCs w:val="18"/>
    </w:rPr>
  </w:style>
  <w:style w:type="character" w:customStyle="1" w:styleId="14">
    <w:name w:val="页脚 字符"/>
    <w:basedOn w:val="9"/>
    <w:link w:val="4"/>
    <w:autoRedefine/>
    <w:qFormat/>
    <w:uiPriority w:val="0"/>
    <w:rPr>
      <w:kern w:val="2"/>
      <w:sz w:val="18"/>
      <w:szCs w:val="18"/>
    </w:rPr>
  </w:style>
  <w:style w:type="character" w:customStyle="1" w:styleId="15">
    <w:name w:val="纯文本 字符"/>
    <w:basedOn w:val="9"/>
    <w:link w:val="2"/>
    <w:autoRedefine/>
    <w:qFormat/>
    <w:uiPriority w:val="0"/>
    <w:rPr>
      <w:rFonts w:ascii="宋体" w:hAnsi="Courier New" w:cs="Courier New"/>
      <w:kern w:val="2"/>
      <w:sz w:val="21"/>
      <w:szCs w:val="21"/>
    </w:rPr>
  </w:style>
  <w:style w:type="paragraph" w:styleId="1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4427</Words>
  <Characters>4603</Characters>
  <Lines>13</Lines>
  <Paragraphs>3</Paragraphs>
  <TotalTime>11</TotalTime>
  <ScaleCrop>false</ScaleCrop>
  <LinksUpToDate>false</LinksUpToDate>
  <CharactersWithSpaces>4622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阮晓威</cp:lastModifiedBy>
  <cp:lastPrinted>2024-03-22T06:12:00Z</cp:lastPrinted>
  <dcterms:modified xsi:type="dcterms:W3CDTF">2026-06-03T08:37:48Z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CC07AE87BEEE4EF0BA3A4B2C2397955B</vt:lpwstr>
  </property>
  <property fmtid="{D5CDD505-2E9C-101B-9397-08002B2CF9AE}" pid="4" name="KSOTemplateDocerSaveRecord">
    <vt:lpwstr>eyJoZGlkIjoiNmE4YWE2NWM2NjkyMzUxOGRkNDNkNjJlMmYxYjJlZDkiLCJ1c2VySWQiOiIxNDc3OTA5MTU1In0=</vt:lpwstr>
  </property>
</Properties>
</file>