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8A5A8">
      <w:pPr>
        <w:rPr>
          <w:rFonts w:hint="default" w:asciiTheme="minorEastAsia" w:hAnsiTheme="minorEastAsia" w:eastAsiaTheme="minorEastAsia"/>
          <w:color w:val="auto"/>
          <w:sz w:val="24"/>
          <w:lang w:val="en-US" w:eastAsia="zh-CN"/>
        </w:rPr>
      </w:pPr>
      <w:bookmarkStart w:id="0" w:name="_Toc247096243"/>
      <w:bookmarkStart w:id="1" w:name="_Toc246996900"/>
      <w:bookmarkStart w:id="2" w:name="_Toc296602401"/>
      <w:bookmarkStart w:id="3" w:name="_Toc246996157"/>
      <w:bookmarkStart w:id="4" w:name="_Toc247085671"/>
      <w:r>
        <w:rPr>
          <w:rFonts w:hint="eastAsia" w:asciiTheme="minorEastAsia" w:hAnsiTheme="minorEastAsia" w:eastAsiaTheme="minorEastAsia"/>
          <w:color w:val="auto"/>
          <w:sz w:val="24"/>
        </w:rPr>
        <w:t>项目编号：采购计划-[202</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00090</w:t>
      </w:r>
      <w:r>
        <w:rPr>
          <w:rFonts w:hint="eastAsia" w:asciiTheme="minorEastAsia" w:hAnsiTheme="minorEastAsia" w:eastAsiaTheme="minorEastAsia"/>
          <w:color w:val="auto"/>
          <w:sz w:val="24"/>
        </w:rPr>
        <w:t>号</w:t>
      </w:r>
      <w:r>
        <w:rPr>
          <w:rFonts w:hint="eastAsia" w:asciiTheme="minorEastAsia" w:hAnsiTheme="minorEastAsia" w:eastAsiaTheme="minorEastAsia"/>
          <w:color w:val="auto"/>
          <w:sz w:val="24"/>
          <w:lang w:val="en-US" w:eastAsia="zh-CN"/>
        </w:rPr>
        <w:t>-JLHY2026-GHY005</w:t>
      </w:r>
    </w:p>
    <w:p w14:paraId="315B1CC0">
      <w:pPr>
        <w:spacing w:line="400" w:lineRule="exact"/>
        <w:jc w:val="center"/>
        <w:rPr>
          <w:rFonts w:asciiTheme="minorEastAsia" w:hAnsiTheme="minorEastAsia" w:eastAsiaTheme="minorEastAsia"/>
          <w:color w:val="auto"/>
        </w:rPr>
      </w:pPr>
    </w:p>
    <w:p w14:paraId="5BEEBF94">
      <w:pPr>
        <w:spacing w:line="400" w:lineRule="exact"/>
        <w:jc w:val="center"/>
        <w:rPr>
          <w:rFonts w:asciiTheme="minorEastAsia" w:hAnsiTheme="minorEastAsia" w:eastAsiaTheme="minorEastAsia"/>
          <w:color w:val="auto"/>
        </w:rPr>
      </w:pPr>
    </w:p>
    <w:p w14:paraId="6FE15CF0">
      <w:pPr>
        <w:spacing w:line="400" w:lineRule="exact"/>
        <w:jc w:val="center"/>
        <w:rPr>
          <w:rFonts w:asciiTheme="minorEastAsia" w:hAnsiTheme="minorEastAsia" w:eastAsiaTheme="minorEastAsia"/>
          <w:color w:val="auto"/>
        </w:rPr>
      </w:pPr>
    </w:p>
    <w:p w14:paraId="7E6D832D">
      <w:pPr>
        <w:spacing w:line="360" w:lineRule="auto"/>
        <w:jc w:val="center"/>
        <w:rPr>
          <w:rFonts w:hint="eastAsia" w:asciiTheme="minorEastAsia" w:hAnsiTheme="minorEastAsia" w:eastAsiaTheme="minorEastAsia"/>
          <w:b/>
          <w:color w:val="auto"/>
          <w:sz w:val="44"/>
          <w:szCs w:val="32"/>
          <w:lang w:eastAsia="zh-CN"/>
        </w:rPr>
      </w:pPr>
      <w:r>
        <w:rPr>
          <w:rFonts w:hint="eastAsia" w:asciiTheme="minorEastAsia" w:hAnsiTheme="minorEastAsia" w:eastAsiaTheme="minorEastAsia"/>
          <w:b/>
          <w:color w:val="auto"/>
          <w:sz w:val="44"/>
          <w:szCs w:val="32"/>
          <w:lang w:eastAsia="zh-CN"/>
        </w:rPr>
        <w:t xml:space="preserve"> 延吉市农村社会福利服务中心劳务外包服务项目</w:t>
      </w:r>
    </w:p>
    <w:p w14:paraId="78E356A5">
      <w:pPr>
        <w:spacing w:line="360" w:lineRule="auto"/>
        <w:jc w:val="center"/>
        <w:rPr>
          <w:rFonts w:asciiTheme="minorEastAsia" w:hAnsiTheme="minorEastAsia" w:eastAsiaTheme="minorEastAsia"/>
          <w:b/>
          <w:color w:val="auto"/>
          <w:sz w:val="44"/>
          <w:szCs w:val="32"/>
        </w:rPr>
      </w:pPr>
    </w:p>
    <w:p w14:paraId="2015564D">
      <w:pPr>
        <w:spacing w:line="360" w:lineRule="auto"/>
        <w:jc w:val="center"/>
        <w:rPr>
          <w:rFonts w:asciiTheme="minorEastAsia" w:hAnsiTheme="minorEastAsia" w:eastAsiaTheme="minorEastAsia"/>
          <w:color w:val="auto"/>
          <w:sz w:val="72"/>
          <w:szCs w:val="72"/>
        </w:rPr>
      </w:pPr>
      <w:r>
        <w:rPr>
          <w:rFonts w:hint="eastAsia" w:asciiTheme="minorEastAsia" w:hAnsiTheme="minorEastAsia" w:eastAsiaTheme="minorEastAsia"/>
          <w:color w:val="auto"/>
          <w:sz w:val="72"/>
          <w:szCs w:val="72"/>
        </w:rPr>
        <w:t>竞争性磋商文件</w:t>
      </w:r>
    </w:p>
    <w:p w14:paraId="74BA030B">
      <w:pPr>
        <w:spacing w:line="360" w:lineRule="auto"/>
        <w:jc w:val="center"/>
        <w:rPr>
          <w:rFonts w:asciiTheme="minorEastAsia" w:hAnsiTheme="minorEastAsia" w:eastAsiaTheme="minorEastAsia"/>
          <w:color w:val="auto"/>
        </w:rPr>
      </w:pPr>
    </w:p>
    <w:p w14:paraId="03461AD4">
      <w:pPr>
        <w:spacing w:line="400" w:lineRule="exact"/>
        <w:jc w:val="center"/>
        <w:rPr>
          <w:rFonts w:asciiTheme="minorEastAsia" w:hAnsiTheme="minorEastAsia" w:eastAsiaTheme="minorEastAsia"/>
          <w:color w:val="auto"/>
        </w:rPr>
      </w:pPr>
    </w:p>
    <w:p w14:paraId="0767A654">
      <w:pPr>
        <w:spacing w:line="400" w:lineRule="exact"/>
        <w:jc w:val="center"/>
        <w:rPr>
          <w:rFonts w:asciiTheme="minorEastAsia" w:hAnsiTheme="minorEastAsia" w:eastAsiaTheme="minorEastAsia"/>
          <w:color w:val="auto"/>
        </w:rPr>
      </w:pPr>
    </w:p>
    <w:p w14:paraId="11FCE633">
      <w:pPr>
        <w:spacing w:line="400" w:lineRule="exact"/>
        <w:jc w:val="center"/>
        <w:rPr>
          <w:rFonts w:asciiTheme="minorEastAsia" w:hAnsiTheme="minorEastAsia" w:eastAsiaTheme="minorEastAsia"/>
          <w:color w:val="auto"/>
        </w:rPr>
      </w:pPr>
    </w:p>
    <w:p w14:paraId="15B7FB23">
      <w:pPr>
        <w:spacing w:line="400" w:lineRule="exact"/>
        <w:jc w:val="center"/>
        <w:rPr>
          <w:rFonts w:asciiTheme="minorEastAsia" w:hAnsiTheme="minorEastAsia" w:eastAsiaTheme="minorEastAsia"/>
          <w:color w:val="auto"/>
        </w:rPr>
      </w:pPr>
    </w:p>
    <w:p w14:paraId="3DEC2BB9">
      <w:pPr>
        <w:spacing w:line="400" w:lineRule="exact"/>
        <w:jc w:val="center"/>
        <w:rPr>
          <w:rFonts w:asciiTheme="minorEastAsia" w:hAnsiTheme="minorEastAsia" w:eastAsiaTheme="minorEastAsia"/>
          <w:color w:val="auto"/>
        </w:rPr>
      </w:pPr>
    </w:p>
    <w:p w14:paraId="084E71ED">
      <w:pPr>
        <w:spacing w:line="400" w:lineRule="exact"/>
        <w:jc w:val="center"/>
        <w:rPr>
          <w:rFonts w:asciiTheme="minorEastAsia" w:hAnsiTheme="minorEastAsia" w:eastAsiaTheme="minorEastAsia"/>
          <w:color w:val="auto"/>
        </w:rPr>
      </w:pPr>
    </w:p>
    <w:p w14:paraId="58EB9DCF">
      <w:pPr>
        <w:spacing w:line="400" w:lineRule="exact"/>
        <w:jc w:val="center"/>
        <w:rPr>
          <w:rFonts w:asciiTheme="minorEastAsia" w:hAnsiTheme="minorEastAsia" w:eastAsiaTheme="minorEastAsia"/>
          <w:color w:val="auto"/>
        </w:rPr>
      </w:pPr>
    </w:p>
    <w:p w14:paraId="4C440A3E">
      <w:pPr>
        <w:spacing w:line="400" w:lineRule="exact"/>
        <w:jc w:val="center"/>
        <w:rPr>
          <w:rFonts w:asciiTheme="minorEastAsia" w:hAnsiTheme="minorEastAsia" w:eastAsiaTheme="minorEastAsia"/>
          <w:color w:val="auto"/>
        </w:rPr>
      </w:pPr>
    </w:p>
    <w:p w14:paraId="480F3B7A">
      <w:pPr>
        <w:spacing w:line="400" w:lineRule="exact"/>
        <w:jc w:val="center"/>
        <w:rPr>
          <w:rFonts w:asciiTheme="minorEastAsia" w:hAnsiTheme="minorEastAsia" w:eastAsiaTheme="minorEastAsia"/>
          <w:color w:val="auto"/>
        </w:rPr>
      </w:pPr>
    </w:p>
    <w:p w14:paraId="35FE52FC">
      <w:pPr>
        <w:spacing w:line="400" w:lineRule="exact"/>
        <w:jc w:val="center"/>
        <w:rPr>
          <w:rFonts w:asciiTheme="minorEastAsia" w:hAnsiTheme="minorEastAsia" w:eastAsiaTheme="minorEastAsia"/>
          <w:color w:val="auto"/>
        </w:rPr>
      </w:pPr>
    </w:p>
    <w:p w14:paraId="387FA4FD">
      <w:pPr>
        <w:spacing w:line="360" w:lineRule="auto"/>
        <w:jc w:val="center"/>
        <w:rPr>
          <w:rFonts w:ascii="宋体" w:hAnsi="宋体" w:eastAsia="宋体" w:cs="Times New Roman"/>
          <w:b/>
          <w:color w:val="auto"/>
          <w:sz w:val="28"/>
          <w:szCs w:val="28"/>
        </w:rPr>
      </w:pPr>
      <w:r>
        <w:rPr>
          <w:rFonts w:hint="eastAsia" w:ascii="宋体" w:hAnsi="宋体" w:eastAsia="宋体" w:cs="Times New Roman"/>
          <w:b/>
          <w:color w:val="auto"/>
          <w:sz w:val="28"/>
          <w:szCs w:val="28"/>
          <w:lang w:eastAsia="zh-CN"/>
        </w:rPr>
        <w:t>采购</w:t>
      </w:r>
      <w:r>
        <w:rPr>
          <w:rFonts w:hint="eastAsia" w:ascii="宋体" w:hAnsi="宋体" w:eastAsia="宋体" w:cs="Times New Roman"/>
          <w:b/>
          <w:color w:val="auto"/>
          <w:sz w:val="28"/>
          <w:szCs w:val="28"/>
        </w:rPr>
        <w:t>人：</w:t>
      </w:r>
      <w:r>
        <w:rPr>
          <w:rFonts w:hint="eastAsia" w:ascii="宋体" w:hAnsi="宋体" w:eastAsia="宋体" w:cs="Times New Roman"/>
          <w:b/>
          <w:color w:val="auto"/>
          <w:sz w:val="28"/>
          <w:szCs w:val="28"/>
          <w:u w:val="single"/>
        </w:rPr>
        <w:t xml:space="preserve">                    （</w:t>
      </w:r>
      <w:r>
        <w:rPr>
          <w:rFonts w:hint="eastAsia" w:ascii="宋体" w:hAnsi="宋体" w:eastAsia="宋体" w:cs="Times New Roman"/>
          <w:b/>
          <w:color w:val="auto"/>
          <w:sz w:val="28"/>
          <w:szCs w:val="28"/>
        </w:rPr>
        <w:t>盖单位章）</w:t>
      </w:r>
    </w:p>
    <w:p w14:paraId="252481DB">
      <w:pPr>
        <w:spacing w:line="360" w:lineRule="auto"/>
        <w:rPr>
          <w:rFonts w:ascii="宋体" w:hAnsi="宋体" w:eastAsia="宋体" w:cs="Times New Roman"/>
          <w:b/>
          <w:color w:val="auto"/>
          <w:sz w:val="28"/>
          <w:szCs w:val="28"/>
        </w:rPr>
      </w:pPr>
    </w:p>
    <w:p w14:paraId="5464C572">
      <w:pPr>
        <w:spacing w:line="360" w:lineRule="auto"/>
        <w:ind w:firstLine="1654" w:firstLineChars="591"/>
        <w:rPr>
          <w:rFonts w:ascii="宋体" w:hAnsi="宋体" w:eastAsia="宋体" w:cs="Times New Roman"/>
          <w:b/>
          <w:color w:val="auto"/>
          <w:sz w:val="28"/>
          <w:szCs w:val="28"/>
        </w:rPr>
      </w:pPr>
    </w:p>
    <w:p w14:paraId="620BDF3E">
      <w:pPr>
        <w:spacing w:line="360" w:lineRule="auto"/>
        <w:ind w:firstLine="1654" w:firstLineChars="591"/>
        <w:rPr>
          <w:rFonts w:ascii="宋体" w:hAnsi="宋体" w:eastAsia="宋体" w:cs="Times New Roman"/>
          <w:b/>
          <w:color w:val="auto"/>
          <w:sz w:val="28"/>
          <w:szCs w:val="28"/>
        </w:rPr>
      </w:pPr>
    </w:p>
    <w:p w14:paraId="6ADBCD58">
      <w:pPr>
        <w:spacing w:line="360" w:lineRule="auto"/>
        <w:ind w:firstLine="1680" w:firstLineChars="600"/>
        <w:rPr>
          <w:rFonts w:ascii="宋体" w:hAnsi="宋体" w:eastAsia="宋体" w:cs="Times New Roman"/>
          <w:b/>
          <w:color w:val="auto"/>
          <w:sz w:val="28"/>
          <w:szCs w:val="28"/>
        </w:rPr>
      </w:pPr>
      <w:r>
        <w:rPr>
          <w:rFonts w:hint="eastAsia" w:ascii="宋体" w:hAnsi="宋体" w:eastAsia="宋体" w:cs="Times New Roman"/>
          <w:b/>
          <w:color w:val="auto"/>
          <w:sz w:val="28"/>
          <w:szCs w:val="28"/>
          <w:lang w:eastAsia="zh-CN"/>
        </w:rPr>
        <w:t>采购</w:t>
      </w:r>
      <w:r>
        <w:rPr>
          <w:rFonts w:hint="eastAsia" w:ascii="宋体" w:hAnsi="宋体" w:eastAsia="宋体" w:cs="Times New Roman"/>
          <w:b/>
          <w:color w:val="auto"/>
          <w:sz w:val="28"/>
          <w:szCs w:val="28"/>
        </w:rPr>
        <w:t>代理机构：</w:t>
      </w:r>
      <w:r>
        <w:rPr>
          <w:rFonts w:hint="eastAsia" w:ascii="宋体" w:hAnsi="宋体" w:eastAsia="宋体" w:cs="Times New Roman"/>
          <w:b/>
          <w:color w:val="auto"/>
          <w:sz w:val="28"/>
          <w:szCs w:val="28"/>
          <w:u w:val="single"/>
        </w:rPr>
        <w:t xml:space="preserve">                  </w:t>
      </w:r>
      <w:r>
        <w:rPr>
          <w:rFonts w:hint="eastAsia" w:ascii="宋体" w:hAnsi="宋体" w:eastAsia="宋体" w:cs="Times New Roman"/>
          <w:b/>
          <w:color w:val="auto"/>
          <w:sz w:val="28"/>
          <w:szCs w:val="28"/>
        </w:rPr>
        <w:t>（盖单位章）</w:t>
      </w:r>
    </w:p>
    <w:p w14:paraId="27F1832F">
      <w:pPr>
        <w:spacing w:line="360" w:lineRule="auto"/>
        <w:ind w:firstLine="1932" w:firstLineChars="690"/>
        <w:rPr>
          <w:rFonts w:ascii="宋体" w:hAnsi="宋体" w:eastAsia="宋体" w:cs="Times New Roman"/>
          <w:b/>
          <w:color w:val="auto"/>
          <w:sz w:val="28"/>
          <w:szCs w:val="28"/>
        </w:rPr>
      </w:pPr>
    </w:p>
    <w:p w14:paraId="498DEB8D">
      <w:pPr>
        <w:spacing w:line="360" w:lineRule="auto"/>
        <w:ind w:firstLine="1932" w:firstLineChars="690"/>
        <w:rPr>
          <w:rFonts w:ascii="宋体" w:hAnsi="宋体" w:eastAsia="宋体" w:cs="Times New Roman"/>
          <w:b/>
          <w:color w:val="auto"/>
          <w:sz w:val="28"/>
          <w:szCs w:val="28"/>
        </w:rPr>
      </w:pPr>
    </w:p>
    <w:p w14:paraId="6FDC57CC">
      <w:pPr>
        <w:spacing w:line="400" w:lineRule="exact"/>
        <w:ind w:left="210" w:leftChars="100"/>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202</w:t>
      </w:r>
      <w:r>
        <w:rPr>
          <w:rFonts w:hint="eastAsia" w:ascii="宋体" w:hAnsi="宋体" w:cs="Times New Roman"/>
          <w:b/>
          <w:color w:val="auto"/>
          <w:sz w:val="28"/>
          <w:szCs w:val="28"/>
          <w:lang w:val="en-US" w:eastAsia="zh-CN"/>
        </w:rPr>
        <w:t>6</w:t>
      </w:r>
      <w:r>
        <w:rPr>
          <w:rFonts w:hint="eastAsia" w:ascii="宋体" w:hAnsi="宋体" w:eastAsia="宋体" w:cs="Times New Roman"/>
          <w:b/>
          <w:color w:val="auto"/>
          <w:sz w:val="28"/>
          <w:szCs w:val="28"/>
        </w:rPr>
        <w:t>年</w:t>
      </w:r>
      <w:r>
        <w:rPr>
          <w:rFonts w:hint="eastAsia" w:ascii="宋体" w:hAnsi="宋体" w:cs="Times New Roman"/>
          <w:b/>
          <w:color w:val="auto"/>
          <w:sz w:val="28"/>
          <w:szCs w:val="28"/>
          <w:lang w:val="en-US" w:eastAsia="zh-CN"/>
        </w:rPr>
        <w:t>5</w:t>
      </w:r>
      <w:r>
        <w:rPr>
          <w:rFonts w:hint="eastAsia" w:ascii="宋体" w:hAnsi="宋体" w:eastAsia="宋体" w:cs="Times New Roman"/>
          <w:b/>
          <w:color w:val="auto"/>
          <w:sz w:val="28"/>
          <w:szCs w:val="28"/>
        </w:rPr>
        <w:t>月</w:t>
      </w:r>
    </w:p>
    <w:p w14:paraId="206A6CDF">
      <w:pPr>
        <w:spacing w:line="360" w:lineRule="auto"/>
        <w:jc w:val="center"/>
        <w:rPr>
          <w:rFonts w:asciiTheme="minorEastAsia" w:hAnsiTheme="minorEastAsia" w:eastAsiaTheme="minorEastAsia"/>
          <w:b/>
          <w:color w:val="auto"/>
          <w:sz w:val="72"/>
          <w:szCs w:val="72"/>
        </w:rPr>
      </w:pPr>
    </w:p>
    <w:p w14:paraId="725860B5">
      <w:pPr>
        <w:jc w:val="center"/>
        <w:rPr>
          <w:b/>
          <w:bCs/>
          <w:color w:val="auto"/>
          <w:sz w:val="36"/>
          <w:szCs w:val="36"/>
        </w:rPr>
      </w:pPr>
      <w:r>
        <w:rPr>
          <w:rFonts w:hint="eastAsia" w:ascii="宋体" w:hAnsi="宋体" w:cs="宋体"/>
          <w:b/>
          <w:color w:val="auto"/>
          <w:sz w:val="44"/>
          <w:szCs w:val="44"/>
        </w:rPr>
        <w:t>目　　录</w:t>
      </w:r>
    </w:p>
    <w:p w14:paraId="489020F8">
      <w:pPr>
        <w:pStyle w:val="19"/>
        <w:rPr>
          <w:rFonts w:hAnsi="宋体"/>
          <w:color w:val="auto"/>
          <w:sz w:val="28"/>
          <w:szCs w:val="28"/>
        </w:rPr>
      </w:pPr>
    </w:p>
    <w:p w14:paraId="4CA7832A">
      <w:pPr>
        <w:pStyle w:val="24"/>
        <w:tabs>
          <w:tab w:val="right" w:leader="dot" w:pos="8400"/>
        </w:tabs>
        <w:snapToGrid w:val="0"/>
        <w:spacing w:before="0" w:after="0" w:line="480" w:lineRule="auto"/>
        <w:ind w:left="178" w:leftChars="85" w:firstLine="210" w:firstLineChars="75"/>
        <w:rPr>
          <w:rFonts w:ascii="宋体" w:hAnsi="宋体" w:cs="宋体"/>
          <w:caps w:val="0"/>
          <w:color w:val="auto"/>
          <w:sz w:val="28"/>
          <w:szCs w:val="28"/>
        </w:rPr>
      </w:pPr>
      <w:r>
        <w:rPr>
          <w:rFonts w:hint="eastAsia" w:ascii="宋体" w:hAnsi="宋体" w:cs="宋体"/>
          <w:caps w:val="0"/>
          <w:color w:val="auto"/>
          <w:sz w:val="28"/>
          <w:szCs w:val="28"/>
        </w:rPr>
        <w:fldChar w:fldCharType="begin"/>
      </w:r>
      <w:r>
        <w:rPr>
          <w:rFonts w:hint="eastAsia" w:ascii="宋体" w:hAnsi="宋体" w:cs="宋体"/>
          <w:caps w:val="0"/>
          <w:color w:val="auto"/>
          <w:sz w:val="28"/>
          <w:szCs w:val="28"/>
        </w:rPr>
        <w:instrText xml:space="preserve"> TOC \o "1-3" \h \z \u </w:instrText>
      </w:r>
      <w:r>
        <w:rPr>
          <w:rFonts w:hint="eastAsia" w:ascii="宋体" w:hAnsi="宋体" w:cs="宋体"/>
          <w:caps w:val="0"/>
          <w:color w:val="auto"/>
          <w:sz w:val="28"/>
          <w:szCs w:val="28"/>
        </w:rPr>
        <w:fldChar w:fldCharType="separate"/>
      </w:r>
      <w:r>
        <w:rPr>
          <w:color w:val="auto"/>
        </w:rPr>
        <w:fldChar w:fldCharType="begin"/>
      </w:r>
      <w:r>
        <w:rPr>
          <w:color w:val="auto"/>
        </w:rPr>
        <w:instrText xml:space="preserve"> HYPERLINK \l "_Toc31550" </w:instrText>
      </w:r>
      <w:r>
        <w:rPr>
          <w:color w:val="auto"/>
        </w:rPr>
        <w:fldChar w:fldCharType="separate"/>
      </w:r>
      <w:r>
        <w:rPr>
          <w:rFonts w:hint="eastAsia" w:ascii="宋体" w:hAnsi="宋体" w:cs="宋体"/>
          <w:caps w:val="0"/>
          <w:color w:val="auto"/>
          <w:sz w:val="28"/>
          <w:szCs w:val="28"/>
        </w:rPr>
        <w:t>第一章 竞争性磋商公告</w:t>
      </w:r>
      <w:r>
        <w:rPr>
          <w:rFonts w:hint="eastAsia" w:ascii="宋体" w:hAnsi="宋体" w:cs="宋体"/>
          <w:caps w:val="0"/>
          <w:color w:val="auto"/>
          <w:sz w:val="28"/>
          <w:szCs w:val="28"/>
        </w:rPr>
        <w:tab/>
      </w:r>
      <w:r>
        <w:rPr>
          <w:rFonts w:hint="eastAsia" w:ascii="宋体" w:hAnsi="宋体" w:cs="宋体"/>
          <w:caps w:val="0"/>
          <w:color w:val="auto"/>
          <w:sz w:val="28"/>
          <w:szCs w:val="28"/>
        </w:rPr>
        <w:t>1</w:t>
      </w:r>
      <w:r>
        <w:rPr>
          <w:rFonts w:hint="eastAsia" w:ascii="宋体" w:hAnsi="宋体" w:cs="宋体"/>
          <w:caps w:val="0"/>
          <w:color w:val="auto"/>
          <w:sz w:val="28"/>
          <w:szCs w:val="28"/>
        </w:rPr>
        <w:fldChar w:fldCharType="end"/>
      </w:r>
    </w:p>
    <w:p w14:paraId="094A8F3B">
      <w:pPr>
        <w:pStyle w:val="24"/>
        <w:tabs>
          <w:tab w:val="right" w:leader="dot" w:pos="8400"/>
        </w:tabs>
        <w:snapToGrid w:val="0"/>
        <w:spacing w:before="0" w:after="0" w:line="480" w:lineRule="auto"/>
        <w:ind w:left="178" w:leftChars="85" w:firstLine="150" w:firstLineChars="75"/>
        <w:rPr>
          <w:rFonts w:ascii="宋体" w:hAnsi="宋体" w:cs="宋体"/>
          <w:caps w:val="0"/>
          <w:color w:val="auto"/>
          <w:sz w:val="28"/>
          <w:szCs w:val="28"/>
        </w:rPr>
      </w:pPr>
      <w:r>
        <w:rPr>
          <w:color w:val="auto"/>
        </w:rPr>
        <w:fldChar w:fldCharType="begin"/>
      </w:r>
      <w:r>
        <w:rPr>
          <w:color w:val="auto"/>
        </w:rPr>
        <w:instrText xml:space="preserve"> HYPERLINK \l "_Toc7381" </w:instrText>
      </w:r>
      <w:r>
        <w:rPr>
          <w:color w:val="auto"/>
        </w:rPr>
        <w:fldChar w:fldCharType="separate"/>
      </w:r>
      <w:r>
        <w:rPr>
          <w:rFonts w:hint="eastAsia" w:ascii="宋体" w:hAnsi="宋体" w:cs="宋体"/>
          <w:caps w:val="0"/>
          <w:color w:val="auto"/>
          <w:sz w:val="28"/>
          <w:szCs w:val="28"/>
        </w:rPr>
        <w:t xml:space="preserve">第二章 </w:t>
      </w:r>
      <w:r>
        <w:rPr>
          <w:rFonts w:hint="eastAsia" w:ascii="宋体" w:hAnsi="宋体" w:cs="宋体"/>
          <w:caps w:val="0"/>
          <w:color w:val="auto"/>
          <w:sz w:val="28"/>
          <w:szCs w:val="28"/>
          <w:lang w:eastAsia="zh-CN"/>
        </w:rPr>
        <w:t>供应商</w:t>
      </w:r>
      <w:r>
        <w:rPr>
          <w:rFonts w:hint="eastAsia" w:ascii="宋体" w:hAnsi="宋体" w:cs="宋体"/>
          <w:caps w:val="0"/>
          <w:color w:val="auto"/>
          <w:sz w:val="28"/>
          <w:szCs w:val="28"/>
        </w:rPr>
        <w:t>须知</w:t>
      </w:r>
      <w:r>
        <w:rPr>
          <w:rFonts w:hint="eastAsia" w:ascii="宋体" w:hAnsi="宋体" w:cs="宋体"/>
          <w:caps w:val="0"/>
          <w:color w:val="auto"/>
          <w:sz w:val="28"/>
          <w:szCs w:val="28"/>
        </w:rPr>
        <w:tab/>
      </w:r>
      <w:r>
        <w:rPr>
          <w:rFonts w:hint="eastAsia" w:ascii="宋体" w:hAnsi="宋体" w:cs="宋体"/>
          <w:caps w:val="0"/>
          <w:color w:val="auto"/>
          <w:sz w:val="28"/>
          <w:szCs w:val="28"/>
        </w:rPr>
        <w:t>6</w:t>
      </w:r>
      <w:r>
        <w:rPr>
          <w:rFonts w:hint="eastAsia" w:ascii="宋体" w:hAnsi="宋体" w:cs="宋体"/>
          <w:caps w:val="0"/>
          <w:color w:val="auto"/>
          <w:sz w:val="28"/>
          <w:szCs w:val="28"/>
        </w:rPr>
        <w:fldChar w:fldCharType="end"/>
      </w:r>
    </w:p>
    <w:p w14:paraId="634BE875">
      <w:pPr>
        <w:pStyle w:val="24"/>
        <w:tabs>
          <w:tab w:val="right" w:leader="dot" w:pos="8400"/>
        </w:tabs>
        <w:snapToGrid w:val="0"/>
        <w:spacing w:before="0" w:after="0" w:line="480" w:lineRule="auto"/>
        <w:ind w:left="178" w:leftChars="85" w:firstLine="150" w:firstLineChars="75"/>
        <w:rPr>
          <w:rFonts w:ascii="宋体" w:hAnsi="宋体" w:cs="宋体"/>
          <w:caps w:val="0"/>
          <w:color w:val="auto"/>
          <w:sz w:val="28"/>
          <w:szCs w:val="28"/>
        </w:rPr>
      </w:pPr>
      <w:r>
        <w:rPr>
          <w:color w:val="auto"/>
        </w:rPr>
        <w:fldChar w:fldCharType="begin"/>
      </w:r>
      <w:r>
        <w:rPr>
          <w:color w:val="auto"/>
        </w:rPr>
        <w:instrText xml:space="preserve"> HYPERLINK \l "_Toc2950" </w:instrText>
      </w:r>
      <w:r>
        <w:rPr>
          <w:color w:val="auto"/>
        </w:rPr>
        <w:fldChar w:fldCharType="separate"/>
      </w:r>
      <w:r>
        <w:rPr>
          <w:rFonts w:hint="eastAsia" w:ascii="宋体" w:hAnsi="宋体" w:cs="宋体"/>
          <w:caps w:val="0"/>
          <w:color w:val="auto"/>
          <w:sz w:val="28"/>
          <w:szCs w:val="28"/>
        </w:rPr>
        <w:t>第三章 评审办法（综合评分法）</w:t>
      </w:r>
      <w:r>
        <w:rPr>
          <w:rFonts w:hint="eastAsia" w:ascii="宋体" w:hAnsi="宋体" w:cs="宋体"/>
          <w:caps w:val="0"/>
          <w:color w:val="auto"/>
          <w:sz w:val="28"/>
          <w:szCs w:val="28"/>
        </w:rPr>
        <w:tab/>
      </w:r>
      <w:r>
        <w:rPr>
          <w:rFonts w:hint="eastAsia" w:ascii="宋体" w:hAnsi="宋体" w:cs="宋体"/>
          <w:caps w:val="0"/>
          <w:color w:val="auto"/>
          <w:sz w:val="28"/>
          <w:szCs w:val="28"/>
        </w:rPr>
        <w:t>2</w:t>
      </w:r>
      <w:r>
        <w:rPr>
          <w:rFonts w:hint="eastAsia" w:ascii="宋体" w:hAnsi="宋体" w:cs="宋体"/>
          <w:caps w:val="0"/>
          <w:color w:val="auto"/>
          <w:sz w:val="28"/>
          <w:szCs w:val="28"/>
          <w:lang w:val="en-US" w:eastAsia="zh-CN"/>
        </w:rPr>
        <w:t>8</w:t>
      </w:r>
      <w:r>
        <w:rPr>
          <w:rFonts w:hint="eastAsia" w:ascii="宋体" w:hAnsi="宋体" w:cs="宋体"/>
          <w:caps w:val="0"/>
          <w:color w:val="auto"/>
          <w:sz w:val="28"/>
          <w:szCs w:val="28"/>
        </w:rPr>
        <w:fldChar w:fldCharType="end"/>
      </w:r>
    </w:p>
    <w:p w14:paraId="5408D536">
      <w:pPr>
        <w:pStyle w:val="24"/>
        <w:tabs>
          <w:tab w:val="right" w:leader="dot" w:pos="8400"/>
        </w:tabs>
        <w:snapToGrid w:val="0"/>
        <w:spacing w:before="0" w:after="0" w:line="480" w:lineRule="auto"/>
        <w:ind w:left="178" w:leftChars="85" w:firstLine="150" w:firstLineChars="75"/>
        <w:rPr>
          <w:rFonts w:hint="eastAsia" w:ascii="宋体" w:hAnsi="宋体" w:eastAsia="宋体" w:cs="宋体"/>
          <w:caps w:val="0"/>
          <w:color w:val="auto"/>
          <w:sz w:val="28"/>
          <w:szCs w:val="28"/>
          <w:lang w:val="en-US" w:eastAsia="zh-CN"/>
        </w:rPr>
      </w:pPr>
      <w:r>
        <w:rPr>
          <w:color w:val="auto"/>
        </w:rPr>
        <w:fldChar w:fldCharType="begin"/>
      </w:r>
      <w:r>
        <w:rPr>
          <w:color w:val="auto"/>
        </w:rPr>
        <w:instrText xml:space="preserve"> HYPERLINK \l "_Toc13444" </w:instrText>
      </w:r>
      <w:r>
        <w:rPr>
          <w:color w:val="auto"/>
        </w:rPr>
        <w:fldChar w:fldCharType="separate"/>
      </w:r>
      <w:r>
        <w:rPr>
          <w:rFonts w:hint="eastAsia" w:ascii="宋体" w:hAnsi="宋体" w:cs="宋体"/>
          <w:caps w:val="0"/>
          <w:color w:val="auto"/>
          <w:sz w:val="28"/>
          <w:szCs w:val="28"/>
        </w:rPr>
        <w:t>第四章 合同条款及格式</w:t>
      </w:r>
      <w:r>
        <w:rPr>
          <w:rFonts w:hint="eastAsia" w:ascii="宋体" w:hAnsi="宋体" w:cs="宋体"/>
          <w:caps w:val="0"/>
          <w:color w:val="auto"/>
          <w:sz w:val="28"/>
          <w:szCs w:val="28"/>
        </w:rPr>
        <w:tab/>
      </w:r>
      <w:r>
        <w:rPr>
          <w:rFonts w:hint="eastAsia" w:ascii="宋体" w:hAnsi="宋体" w:cs="宋体"/>
          <w:caps w:val="0"/>
          <w:color w:val="auto"/>
          <w:sz w:val="28"/>
          <w:szCs w:val="28"/>
          <w:lang w:val="en-US" w:eastAsia="zh-CN"/>
        </w:rPr>
        <w:t>4</w:t>
      </w:r>
      <w:r>
        <w:rPr>
          <w:rFonts w:hint="eastAsia" w:ascii="宋体" w:hAnsi="宋体" w:cs="宋体"/>
          <w:caps w:val="0"/>
          <w:color w:val="auto"/>
          <w:sz w:val="28"/>
          <w:szCs w:val="28"/>
        </w:rPr>
        <w:fldChar w:fldCharType="end"/>
      </w:r>
      <w:r>
        <w:rPr>
          <w:rFonts w:hint="eastAsia" w:ascii="宋体" w:hAnsi="宋体" w:cs="宋体"/>
          <w:caps w:val="0"/>
          <w:color w:val="auto"/>
          <w:sz w:val="28"/>
          <w:szCs w:val="28"/>
          <w:lang w:val="en-US" w:eastAsia="zh-CN"/>
        </w:rPr>
        <w:t>3</w:t>
      </w:r>
    </w:p>
    <w:p w14:paraId="698F837D">
      <w:pPr>
        <w:pStyle w:val="24"/>
        <w:tabs>
          <w:tab w:val="right" w:leader="dot" w:pos="8400"/>
        </w:tabs>
        <w:snapToGrid w:val="0"/>
        <w:spacing w:before="0" w:after="0" w:line="480" w:lineRule="auto"/>
        <w:ind w:left="178" w:leftChars="85" w:firstLine="150" w:firstLineChars="75"/>
        <w:rPr>
          <w:rFonts w:hint="eastAsia" w:ascii="宋体" w:hAnsi="宋体" w:eastAsia="宋体" w:cs="宋体"/>
          <w:caps w:val="0"/>
          <w:color w:val="auto"/>
          <w:sz w:val="28"/>
          <w:szCs w:val="28"/>
          <w:lang w:val="en-US" w:eastAsia="zh-CN"/>
        </w:rPr>
      </w:pPr>
      <w:r>
        <w:rPr>
          <w:color w:val="auto"/>
        </w:rPr>
        <w:fldChar w:fldCharType="begin"/>
      </w:r>
      <w:r>
        <w:rPr>
          <w:color w:val="auto"/>
        </w:rPr>
        <w:instrText xml:space="preserve"> HYPERLINK \l "_Toc19464" </w:instrText>
      </w:r>
      <w:r>
        <w:rPr>
          <w:color w:val="auto"/>
        </w:rPr>
        <w:fldChar w:fldCharType="separate"/>
      </w:r>
      <w:r>
        <w:rPr>
          <w:rFonts w:hint="eastAsia" w:ascii="宋体" w:hAnsi="宋体" w:cs="宋体"/>
          <w:caps w:val="0"/>
          <w:color w:val="auto"/>
          <w:sz w:val="28"/>
          <w:szCs w:val="28"/>
        </w:rPr>
        <w:t>第五章 服务内容及要求</w:t>
      </w:r>
      <w:r>
        <w:rPr>
          <w:rFonts w:hint="eastAsia" w:ascii="宋体" w:hAnsi="宋体" w:cs="宋体"/>
          <w:caps w:val="0"/>
          <w:color w:val="auto"/>
          <w:sz w:val="28"/>
          <w:szCs w:val="28"/>
        </w:rPr>
        <w:tab/>
      </w:r>
      <w:r>
        <w:rPr>
          <w:rFonts w:hint="eastAsia" w:ascii="宋体" w:hAnsi="宋体" w:cs="宋体"/>
          <w:caps w:val="0"/>
          <w:color w:val="auto"/>
          <w:sz w:val="28"/>
          <w:szCs w:val="28"/>
          <w:lang w:val="en-US" w:eastAsia="zh-CN"/>
        </w:rPr>
        <w:t>4</w:t>
      </w:r>
      <w:r>
        <w:rPr>
          <w:rFonts w:hint="eastAsia" w:ascii="宋体" w:hAnsi="宋体" w:cs="宋体"/>
          <w:caps w:val="0"/>
          <w:color w:val="auto"/>
          <w:sz w:val="28"/>
          <w:szCs w:val="28"/>
        </w:rPr>
        <w:fldChar w:fldCharType="end"/>
      </w:r>
      <w:r>
        <w:rPr>
          <w:rFonts w:hint="eastAsia" w:ascii="宋体" w:hAnsi="宋体" w:cs="宋体"/>
          <w:caps w:val="0"/>
          <w:color w:val="auto"/>
          <w:sz w:val="28"/>
          <w:szCs w:val="28"/>
          <w:lang w:val="en-US" w:eastAsia="zh-CN"/>
        </w:rPr>
        <w:t>4</w:t>
      </w:r>
    </w:p>
    <w:p w14:paraId="01A17BAB">
      <w:pPr>
        <w:pStyle w:val="24"/>
        <w:tabs>
          <w:tab w:val="right" w:leader="dot" w:pos="8400"/>
        </w:tabs>
        <w:snapToGrid w:val="0"/>
        <w:spacing w:before="0" w:after="0" w:line="480" w:lineRule="auto"/>
        <w:ind w:left="178" w:leftChars="85" w:firstLine="150" w:firstLineChars="75"/>
        <w:rPr>
          <w:rFonts w:hint="eastAsia" w:ascii="宋体" w:hAnsi="宋体" w:eastAsia="宋体" w:cs="宋体"/>
          <w:caps w:val="0"/>
          <w:color w:val="auto"/>
          <w:sz w:val="28"/>
          <w:szCs w:val="28"/>
          <w:lang w:val="en-US" w:eastAsia="zh-CN"/>
        </w:rPr>
      </w:pPr>
      <w:r>
        <w:rPr>
          <w:color w:val="auto"/>
        </w:rPr>
        <w:fldChar w:fldCharType="begin"/>
      </w:r>
      <w:r>
        <w:rPr>
          <w:color w:val="auto"/>
        </w:rPr>
        <w:instrText xml:space="preserve"> HYPERLINK \l "_Toc14579" </w:instrText>
      </w:r>
      <w:r>
        <w:rPr>
          <w:color w:val="auto"/>
        </w:rPr>
        <w:fldChar w:fldCharType="separate"/>
      </w:r>
      <w:r>
        <w:rPr>
          <w:rFonts w:hint="eastAsia" w:ascii="宋体" w:hAnsi="宋体" w:cs="宋体"/>
          <w:caps w:val="0"/>
          <w:color w:val="auto"/>
          <w:sz w:val="28"/>
          <w:szCs w:val="28"/>
        </w:rPr>
        <w:t>第六章 竞争性磋商响应文件格式</w:t>
      </w:r>
      <w:r>
        <w:rPr>
          <w:rFonts w:hint="eastAsia" w:ascii="宋体" w:hAnsi="宋体" w:cs="宋体"/>
          <w:caps w:val="0"/>
          <w:color w:val="auto"/>
          <w:sz w:val="28"/>
          <w:szCs w:val="28"/>
        </w:rPr>
        <w:tab/>
      </w:r>
      <w:r>
        <w:rPr>
          <w:rFonts w:hint="eastAsia" w:ascii="宋体" w:hAnsi="宋体" w:cs="宋体"/>
          <w:caps w:val="0"/>
          <w:color w:val="auto"/>
          <w:sz w:val="28"/>
          <w:szCs w:val="28"/>
          <w:lang w:val="en-US" w:eastAsia="zh-CN"/>
        </w:rPr>
        <w:t>4</w:t>
      </w:r>
      <w:r>
        <w:rPr>
          <w:rFonts w:hint="eastAsia" w:ascii="宋体" w:hAnsi="宋体" w:cs="宋体"/>
          <w:caps w:val="0"/>
          <w:color w:val="auto"/>
          <w:sz w:val="28"/>
          <w:szCs w:val="28"/>
        </w:rPr>
        <w:fldChar w:fldCharType="end"/>
      </w:r>
      <w:r>
        <w:rPr>
          <w:rFonts w:hint="eastAsia" w:ascii="宋体" w:hAnsi="宋体" w:cs="宋体"/>
          <w:caps w:val="0"/>
          <w:color w:val="auto"/>
          <w:sz w:val="28"/>
          <w:szCs w:val="28"/>
          <w:lang w:val="en-US" w:eastAsia="zh-CN"/>
        </w:rPr>
        <w:t>5</w:t>
      </w:r>
    </w:p>
    <w:p w14:paraId="40CEB90D">
      <w:pPr>
        <w:spacing w:line="360" w:lineRule="auto"/>
        <w:jc w:val="center"/>
        <w:rPr>
          <w:rFonts w:asciiTheme="minorEastAsia" w:hAnsiTheme="minorEastAsia" w:eastAsiaTheme="minorEastAsia"/>
          <w:color w:val="auto"/>
          <w:sz w:val="32"/>
          <w:szCs w:val="32"/>
        </w:rPr>
      </w:pPr>
      <w:r>
        <w:rPr>
          <w:rFonts w:hint="eastAsia" w:ascii="宋体" w:hAnsi="宋体" w:cs="宋体"/>
          <w:b/>
          <w:bCs/>
          <w:color w:val="auto"/>
          <w:sz w:val="28"/>
          <w:szCs w:val="28"/>
        </w:rPr>
        <w:fldChar w:fldCharType="end"/>
      </w:r>
    </w:p>
    <w:p w14:paraId="19866B9A">
      <w:pPr>
        <w:spacing w:line="360" w:lineRule="auto"/>
        <w:jc w:val="center"/>
        <w:rPr>
          <w:rFonts w:asciiTheme="minorEastAsia" w:hAnsiTheme="minorEastAsia" w:eastAsiaTheme="minorEastAsia"/>
          <w:color w:val="auto"/>
          <w:sz w:val="32"/>
          <w:szCs w:val="32"/>
        </w:rPr>
      </w:pPr>
    </w:p>
    <w:p w14:paraId="573F8381">
      <w:pPr>
        <w:spacing w:line="360" w:lineRule="auto"/>
        <w:jc w:val="center"/>
        <w:rPr>
          <w:rFonts w:asciiTheme="minorEastAsia" w:hAnsiTheme="minorEastAsia" w:eastAsiaTheme="minorEastAsia"/>
          <w:color w:val="auto"/>
          <w:sz w:val="32"/>
          <w:szCs w:val="32"/>
        </w:rPr>
      </w:pPr>
    </w:p>
    <w:p w14:paraId="25032C9B">
      <w:pPr>
        <w:spacing w:line="360" w:lineRule="auto"/>
        <w:jc w:val="center"/>
        <w:rPr>
          <w:rFonts w:asciiTheme="minorEastAsia" w:hAnsiTheme="minorEastAsia" w:eastAsiaTheme="minorEastAsia"/>
          <w:color w:val="auto"/>
          <w:sz w:val="32"/>
          <w:szCs w:val="32"/>
        </w:rPr>
      </w:pPr>
    </w:p>
    <w:p w14:paraId="3425E61F">
      <w:pPr>
        <w:spacing w:line="360" w:lineRule="auto"/>
        <w:jc w:val="center"/>
        <w:rPr>
          <w:rFonts w:asciiTheme="minorEastAsia" w:hAnsiTheme="minorEastAsia" w:eastAsiaTheme="minorEastAsia"/>
          <w:color w:val="auto"/>
          <w:sz w:val="32"/>
          <w:szCs w:val="32"/>
        </w:rPr>
      </w:pPr>
    </w:p>
    <w:p w14:paraId="74933E29">
      <w:pPr>
        <w:rPr>
          <w:rFonts w:asciiTheme="minorEastAsia" w:hAnsiTheme="minorEastAsia" w:eastAsiaTheme="minorEastAsia"/>
          <w:color w:val="auto"/>
          <w:sz w:val="32"/>
          <w:szCs w:val="32"/>
        </w:rPr>
      </w:pPr>
    </w:p>
    <w:p w14:paraId="790EBC21">
      <w:pPr>
        <w:ind w:left="1188"/>
        <w:rPr>
          <w:rFonts w:asciiTheme="minorEastAsia" w:hAnsiTheme="minorEastAsia" w:eastAsiaTheme="minorEastAsia"/>
          <w:color w:val="auto"/>
          <w:sz w:val="32"/>
          <w:szCs w:val="32"/>
        </w:rPr>
      </w:pPr>
    </w:p>
    <w:p w14:paraId="608A97EA">
      <w:pPr>
        <w:rPr>
          <w:rFonts w:asciiTheme="minorEastAsia" w:hAnsiTheme="minorEastAsia" w:eastAsiaTheme="minorEastAsia"/>
          <w:color w:val="auto"/>
          <w:sz w:val="32"/>
          <w:szCs w:val="32"/>
        </w:rPr>
      </w:pPr>
    </w:p>
    <w:p w14:paraId="42D7D5BF">
      <w:pPr>
        <w:rPr>
          <w:rFonts w:asciiTheme="minorEastAsia" w:hAnsiTheme="minorEastAsia" w:eastAsiaTheme="minorEastAsia"/>
          <w:color w:val="auto"/>
          <w:sz w:val="32"/>
          <w:szCs w:val="32"/>
        </w:rPr>
      </w:pPr>
    </w:p>
    <w:p w14:paraId="73E28711">
      <w:pPr>
        <w:rPr>
          <w:rFonts w:asciiTheme="minorEastAsia" w:hAnsiTheme="minorEastAsia" w:eastAsiaTheme="minorEastAsia"/>
          <w:color w:val="auto"/>
        </w:rPr>
      </w:pPr>
    </w:p>
    <w:p w14:paraId="01F77024">
      <w:pPr>
        <w:rPr>
          <w:rFonts w:asciiTheme="minorEastAsia" w:hAnsiTheme="minorEastAsia" w:eastAsiaTheme="minorEastAsia"/>
          <w:color w:val="auto"/>
        </w:rPr>
      </w:pPr>
    </w:p>
    <w:p w14:paraId="0FE22B8C">
      <w:pPr>
        <w:rPr>
          <w:rFonts w:asciiTheme="minorEastAsia" w:hAnsiTheme="minorEastAsia" w:eastAsiaTheme="minorEastAsia"/>
          <w:color w:val="auto"/>
        </w:rPr>
      </w:pPr>
    </w:p>
    <w:p w14:paraId="3F82E0D1">
      <w:pPr>
        <w:rPr>
          <w:rFonts w:asciiTheme="minorEastAsia" w:hAnsiTheme="minorEastAsia" w:eastAsiaTheme="minorEastAsia"/>
          <w:color w:val="auto"/>
        </w:rPr>
      </w:pPr>
    </w:p>
    <w:p w14:paraId="7457BF5A">
      <w:pPr>
        <w:rPr>
          <w:rFonts w:asciiTheme="minorEastAsia" w:hAnsiTheme="minorEastAsia" w:eastAsiaTheme="minorEastAsia"/>
          <w:color w:val="auto"/>
        </w:rPr>
      </w:pPr>
    </w:p>
    <w:bookmarkEnd w:id="0"/>
    <w:bookmarkEnd w:id="1"/>
    <w:bookmarkEnd w:id="2"/>
    <w:bookmarkEnd w:id="3"/>
    <w:bookmarkEnd w:id="4"/>
    <w:p w14:paraId="7A6DD9A9">
      <w:pPr>
        <w:pStyle w:val="2"/>
        <w:spacing w:line="240" w:lineRule="auto"/>
        <w:jc w:val="center"/>
        <w:rPr>
          <w:rFonts w:asciiTheme="minorEastAsia" w:hAnsiTheme="minorEastAsia" w:eastAsiaTheme="minorEastAsia"/>
          <w:color w:val="auto"/>
        </w:rPr>
      </w:pPr>
      <w:bookmarkStart w:id="5" w:name="OLE_LINK1"/>
      <w:bookmarkStart w:id="6" w:name="OLE_LINK2"/>
      <w:r>
        <w:rPr>
          <w:rFonts w:hint="eastAsia"/>
          <w:color w:val="auto"/>
        </w:rPr>
        <w:t>第一章 竞争性磋商公告</w:t>
      </w:r>
    </w:p>
    <w:p w14:paraId="2BA2525F">
      <w:pPr>
        <w:autoSpaceDE w:val="0"/>
        <w:autoSpaceDN w:val="0"/>
        <w:adjustRightInd w:val="0"/>
        <w:jc w:val="center"/>
        <w:rPr>
          <w:rFonts w:cs="宋体" w:asciiTheme="minorEastAsia" w:hAnsiTheme="minorEastAsia" w:eastAsiaTheme="minorEastAsia"/>
          <w:color w:val="auto"/>
          <w:szCs w:val="21"/>
          <w:lang w:val="zh-CN"/>
        </w:rPr>
      </w:pPr>
      <w:bookmarkStart w:id="7" w:name="_Toc247085687"/>
      <w:bookmarkStart w:id="8" w:name="_Toc144974495"/>
      <w:bookmarkStart w:id="9" w:name="_Toc246996173"/>
      <w:bookmarkStart w:id="10" w:name="_Toc296602418"/>
      <w:bookmarkStart w:id="11" w:name="_Toc246996916"/>
      <w:bookmarkStart w:id="12" w:name="_Toc152042303"/>
      <w:bookmarkStart w:id="13" w:name="_Toc152045527"/>
      <w:bookmarkStart w:id="14" w:name="_Toc179632544"/>
      <w:r>
        <w:rPr>
          <w:rFonts w:hint="eastAsia" w:cs="宋体" w:asciiTheme="minorEastAsia" w:hAnsiTheme="minorEastAsia" w:eastAsiaTheme="minorEastAsia"/>
          <w:color w:val="auto"/>
          <w:szCs w:val="21"/>
          <w:lang w:val="zh-CN"/>
        </w:rPr>
        <w:t>采用资格后审方式</w:t>
      </w:r>
    </w:p>
    <w:p w14:paraId="07A3062C">
      <w:pPr>
        <w:pBdr>
          <w:top w:val="single" w:color="auto" w:sz="4" w:space="1"/>
          <w:left w:val="single" w:color="auto" w:sz="4" w:space="4"/>
          <w:bottom w:val="single" w:color="auto" w:sz="4" w:space="1"/>
          <w:right w:val="single" w:color="auto" w:sz="4" w:space="4"/>
        </w:pBdr>
        <w:spacing w:line="360" w:lineRule="auto"/>
        <w:ind w:firstLine="42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rPr>
        <w:t>项目概况：</w:t>
      </w:r>
    </w:p>
    <w:p w14:paraId="6D7FDD87">
      <w:pPr>
        <w:pBdr>
          <w:top w:val="single" w:color="auto" w:sz="4" w:space="1"/>
          <w:left w:val="single" w:color="auto" w:sz="4" w:space="4"/>
          <w:bottom w:val="single" w:color="auto" w:sz="4" w:space="1"/>
          <w:right w:val="single" w:color="auto" w:sz="4" w:space="4"/>
        </w:pBdr>
        <w:spacing w:line="360" w:lineRule="auto"/>
        <w:ind w:firstLine="42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u w:val="single"/>
          <w:lang w:eastAsia="zh-CN"/>
        </w:rPr>
        <w:t xml:space="preserve"> 延吉市农村社会福利服务中心劳务外包服务项目</w:t>
      </w:r>
      <w:r>
        <w:rPr>
          <w:rFonts w:hint="eastAsia" w:cs="宋体" w:asciiTheme="minorEastAsia" w:hAnsiTheme="minorEastAsia" w:eastAsiaTheme="minorEastAsia"/>
          <w:color w:val="auto"/>
        </w:rPr>
        <w:t>招标项目的潜在</w:t>
      </w:r>
      <w:r>
        <w:rPr>
          <w:rFonts w:hint="eastAsia" w:cs="宋体" w:asciiTheme="minorEastAsia" w:hAnsiTheme="minorEastAsia" w:eastAsiaTheme="minorEastAsia"/>
          <w:color w:val="auto"/>
          <w:lang w:eastAsia="zh-CN"/>
        </w:rPr>
        <w:t>供应商</w:t>
      </w:r>
      <w:r>
        <w:rPr>
          <w:rFonts w:hint="eastAsia" w:cs="宋体" w:asciiTheme="minorEastAsia" w:hAnsiTheme="minorEastAsia" w:eastAsiaTheme="minorEastAsia"/>
          <w:color w:val="auto"/>
        </w:rPr>
        <w:t>应在</w:t>
      </w:r>
      <w:r>
        <w:rPr>
          <w:rFonts w:hint="eastAsia" w:cs="宋体" w:asciiTheme="minorEastAsia" w:hAnsiTheme="minorEastAsia" w:eastAsiaTheme="minorEastAsia"/>
          <w:color w:val="auto"/>
          <w:u w:val="single"/>
          <w:lang w:eastAsia="zh-CN"/>
        </w:rPr>
        <w:t>政府采购云平台(详见“三、获取竞争性磋商文件”)获取竞争性磋商文件</w:t>
      </w:r>
      <w:r>
        <w:rPr>
          <w:rFonts w:hint="eastAsia" w:cs="宋体" w:asciiTheme="minorEastAsia" w:hAnsiTheme="minorEastAsia" w:eastAsiaTheme="minorEastAsia"/>
          <w:color w:val="auto"/>
        </w:rPr>
        <w:t>，并于</w:t>
      </w:r>
      <w:r>
        <w:rPr>
          <w:rFonts w:hint="eastAsia" w:cs="宋体" w:asciiTheme="minorEastAsia" w:hAnsiTheme="minorEastAsia" w:eastAsiaTheme="minorEastAsia"/>
          <w:color w:val="auto"/>
          <w:u w:val="single"/>
        </w:rPr>
        <w:t xml:space="preserve"> 202</w:t>
      </w:r>
      <w:r>
        <w:rPr>
          <w:rFonts w:hint="eastAsia" w:cs="宋体" w:asciiTheme="minorEastAsia" w:hAnsiTheme="minorEastAsia" w:eastAsiaTheme="minorEastAsia"/>
          <w:color w:val="auto"/>
          <w:u w:val="single"/>
          <w:lang w:val="en-US" w:eastAsia="zh-CN"/>
        </w:rPr>
        <w:t>6</w:t>
      </w:r>
      <w:r>
        <w:rPr>
          <w:rFonts w:hint="eastAsia" w:cs="宋体" w:asciiTheme="minorEastAsia" w:hAnsiTheme="minorEastAsia" w:eastAsiaTheme="minorEastAsia"/>
          <w:color w:val="auto"/>
          <w:u w:val="single"/>
        </w:rPr>
        <w:t>年</w:t>
      </w:r>
      <w:r>
        <w:rPr>
          <w:rFonts w:hint="eastAsia" w:cs="宋体" w:asciiTheme="minorEastAsia" w:hAnsiTheme="minorEastAsia" w:eastAsiaTheme="minorEastAsia"/>
          <w:color w:val="auto"/>
          <w:u w:val="single"/>
          <w:lang w:val="en-US" w:eastAsia="zh-CN"/>
        </w:rPr>
        <w:t>6</w:t>
      </w:r>
      <w:r>
        <w:rPr>
          <w:rFonts w:hint="eastAsia" w:cs="宋体" w:asciiTheme="minorEastAsia" w:hAnsiTheme="minorEastAsia" w:eastAsiaTheme="minorEastAsia"/>
          <w:color w:val="auto"/>
          <w:u w:val="single"/>
        </w:rPr>
        <w:t>月</w:t>
      </w:r>
      <w:r>
        <w:rPr>
          <w:rFonts w:hint="eastAsia" w:cs="宋体" w:asciiTheme="minorEastAsia" w:hAnsiTheme="minorEastAsia" w:eastAsiaTheme="minorEastAsia"/>
          <w:color w:val="auto"/>
          <w:u w:val="single"/>
          <w:lang w:val="en-US" w:eastAsia="zh-CN"/>
        </w:rPr>
        <w:t>4</w:t>
      </w:r>
      <w:r>
        <w:rPr>
          <w:rFonts w:hint="eastAsia" w:cs="宋体" w:asciiTheme="minorEastAsia" w:hAnsiTheme="minorEastAsia" w:eastAsiaTheme="minorEastAsia"/>
          <w:color w:val="auto"/>
          <w:u w:val="single"/>
        </w:rPr>
        <w:t>日</w:t>
      </w:r>
      <w:r>
        <w:rPr>
          <w:rFonts w:hint="eastAsia" w:cs="宋体" w:asciiTheme="minorEastAsia" w:hAnsiTheme="minorEastAsia" w:eastAsiaTheme="minorEastAsia"/>
          <w:color w:val="auto"/>
          <w:u w:val="single"/>
          <w:lang w:val="en-US" w:eastAsia="zh-CN"/>
        </w:rPr>
        <w:t>13时3</w:t>
      </w:r>
      <w:r>
        <w:rPr>
          <w:rFonts w:hint="eastAsia" w:cs="宋体" w:asciiTheme="minorEastAsia" w:hAnsiTheme="minorEastAsia" w:eastAsiaTheme="minorEastAsia"/>
          <w:color w:val="auto"/>
          <w:u w:val="single"/>
        </w:rPr>
        <w:t>0分</w:t>
      </w:r>
      <w:r>
        <w:rPr>
          <w:rFonts w:hint="eastAsia" w:cs="宋体" w:asciiTheme="minorEastAsia" w:hAnsiTheme="minorEastAsia" w:eastAsiaTheme="minorEastAsia"/>
          <w:bCs/>
          <w:color w:val="auto"/>
          <w:u w:val="single"/>
        </w:rPr>
        <w:t>（</w:t>
      </w:r>
      <w:r>
        <w:rPr>
          <w:rFonts w:hint="eastAsia" w:cs="宋体" w:asciiTheme="minorEastAsia" w:hAnsiTheme="minorEastAsia" w:eastAsiaTheme="minorEastAsia"/>
          <w:bCs/>
          <w:color w:val="auto"/>
        </w:rPr>
        <w:t>北京时间）前</w:t>
      </w:r>
      <w:r>
        <w:rPr>
          <w:rFonts w:hint="eastAsia" w:cs="宋体" w:asciiTheme="minorEastAsia" w:hAnsiTheme="minorEastAsia" w:eastAsiaTheme="minorEastAsia"/>
          <w:bCs/>
          <w:color w:val="auto"/>
          <w:lang w:eastAsia="zh-CN"/>
        </w:rPr>
        <w:t>上传响应</w:t>
      </w:r>
      <w:r>
        <w:rPr>
          <w:rFonts w:hint="eastAsia" w:cs="宋体" w:asciiTheme="minorEastAsia" w:hAnsiTheme="minorEastAsia" w:eastAsiaTheme="minorEastAsia"/>
          <w:bCs/>
          <w:color w:val="auto"/>
        </w:rPr>
        <w:t>文件</w:t>
      </w:r>
      <w:r>
        <w:rPr>
          <w:rFonts w:hint="eastAsia" w:cs="宋体" w:asciiTheme="minorEastAsia" w:hAnsiTheme="minorEastAsia" w:eastAsiaTheme="minorEastAsia"/>
          <w:color w:val="auto"/>
        </w:rPr>
        <w:t>。</w:t>
      </w:r>
    </w:p>
    <w:p w14:paraId="683D8C31">
      <w:pPr>
        <w:autoSpaceDE w:val="0"/>
        <w:autoSpaceDN w:val="0"/>
        <w:adjustRightInd w:val="0"/>
        <w:jc w:val="center"/>
        <w:rPr>
          <w:rFonts w:cs="宋体" w:asciiTheme="minorEastAsia" w:hAnsiTheme="minorEastAsia" w:eastAsiaTheme="minorEastAsia"/>
          <w:color w:val="auto"/>
          <w:szCs w:val="21"/>
        </w:rPr>
      </w:pPr>
    </w:p>
    <w:p w14:paraId="5B88E338">
      <w:pPr>
        <w:spacing w:before="312" w:beforeLines="100" w:after="312" w:afterLines="100"/>
        <w:rPr>
          <w:rFonts w:asciiTheme="minorEastAsia" w:hAnsiTheme="minorEastAsia" w:eastAsiaTheme="minorEastAsia"/>
          <w:b/>
          <w:color w:val="auto"/>
          <w:sz w:val="24"/>
        </w:rPr>
      </w:pPr>
      <w:r>
        <w:rPr>
          <w:rFonts w:hint="eastAsia" w:asciiTheme="minorEastAsia" w:hAnsiTheme="minorEastAsia" w:eastAsiaTheme="minorEastAsia"/>
          <w:b/>
          <w:color w:val="auto"/>
          <w:sz w:val="24"/>
        </w:rPr>
        <w:t>一.项目概况与招标范围</w:t>
      </w:r>
    </w:p>
    <w:p w14:paraId="5CBD05D5">
      <w:pPr>
        <w:spacing w:line="360" w:lineRule="auto"/>
        <w:ind w:firstLine="420" w:firstLineChars="200"/>
        <w:rPr>
          <w:rFonts w:hint="default" w:cs="宋体" w:asciiTheme="minorEastAsia" w:hAnsiTheme="minorEastAsia" w:eastAsiaTheme="minorEastAsia"/>
          <w:color w:val="auto"/>
          <w:lang w:val="en-US" w:eastAsia="zh-CN"/>
        </w:rPr>
      </w:pPr>
      <w:r>
        <w:rPr>
          <w:rFonts w:hint="eastAsia" w:cs="宋体" w:asciiTheme="minorEastAsia" w:hAnsiTheme="minorEastAsia" w:eastAsiaTheme="minorEastAsia"/>
          <w:color w:val="auto"/>
        </w:rPr>
        <w:t>1、采购计划编号：采购计划-[2026]-00090号-JLHY2026-GHY005</w:t>
      </w:r>
    </w:p>
    <w:p w14:paraId="4AC3EE6E">
      <w:pPr>
        <w:spacing w:line="360" w:lineRule="auto"/>
        <w:ind w:firstLine="420" w:firstLineChars="200"/>
        <w:rPr>
          <w:rFonts w:hint="eastAsia" w:cs="宋体" w:asciiTheme="minorEastAsia" w:hAnsiTheme="minorEastAsia" w:eastAsiaTheme="minorEastAsia"/>
          <w:color w:val="auto"/>
          <w:lang w:eastAsia="zh-CN"/>
        </w:rPr>
      </w:pPr>
      <w:r>
        <w:rPr>
          <w:rFonts w:hint="eastAsia" w:cs="宋体" w:asciiTheme="minorEastAsia" w:hAnsiTheme="minorEastAsia" w:eastAsiaTheme="minorEastAsia"/>
          <w:color w:val="auto"/>
        </w:rPr>
        <w:t>2、招标方式：</w:t>
      </w:r>
      <w:r>
        <w:rPr>
          <w:rFonts w:hint="eastAsia" w:cs="宋体" w:asciiTheme="minorEastAsia" w:hAnsiTheme="minorEastAsia" w:eastAsiaTheme="minorEastAsia"/>
          <w:color w:val="auto"/>
          <w:lang w:eastAsia="zh-CN"/>
        </w:rPr>
        <w:t>竞争性磋商</w:t>
      </w:r>
    </w:p>
    <w:p w14:paraId="7089F626">
      <w:pPr>
        <w:spacing w:line="360" w:lineRule="auto"/>
        <w:ind w:firstLine="420" w:firstLineChars="200"/>
        <w:rPr>
          <w:rFonts w:hint="eastAsia" w:cs="宋体" w:asciiTheme="minorEastAsia" w:hAnsiTheme="minorEastAsia" w:eastAsiaTheme="minorEastAsia"/>
          <w:color w:val="auto"/>
          <w:lang w:eastAsia="zh-CN"/>
        </w:rPr>
      </w:pPr>
      <w:r>
        <w:rPr>
          <w:rFonts w:hint="eastAsia" w:cs="宋体" w:asciiTheme="minorEastAsia" w:hAnsiTheme="minorEastAsia" w:eastAsiaTheme="minorEastAsia"/>
          <w:color w:val="auto"/>
        </w:rPr>
        <w:t>3、项目名称：</w:t>
      </w:r>
      <w:r>
        <w:rPr>
          <w:rFonts w:hint="eastAsia" w:cs="宋体" w:asciiTheme="minorEastAsia" w:hAnsiTheme="minorEastAsia" w:eastAsiaTheme="minorEastAsia"/>
          <w:color w:val="auto"/>
          <w:lang w:eastAsia="zh-CN"/>
        </w:rPr>
        <w:t xml:space="preserve"> 延吉市农村社会福利服务中心劳务外包服务项目</w:t>
      </w:r>
    </w:p>
    <w:p w14:paraId="0CDAAE3D">
      <w:pPr>
        <w:spacing w:line="360" w:lineRule="auto"/>
        <w:ind w:firstLine="42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rPr>
        <w:t>4、标段划分：一个；</w:t>
      </w:r>
    </w:p>
    <w:p w14:paraId="7B2A1245">
      <w:pPr>
        <w:spacing w:line="360" w:lineRule="auto"/>
        <w:ind w:firstLine="420" w:firstLineChars="200"/>
        <w:rPr>
          <w:rFonts w:hint="eastAsia" w:cs="宋体" w:asciiTheme="minorEastAsia" w:hAnsiTheme="minorEastAsia" w:eastAsiaTheme="minorEastAsia"/>
          <w:color w:val="auto"/>
          <w:lang w:val="en-US" w:eastAsia="zh-CN"/>
        </w:rPr>
      </w:pPr>
      <w:r>
        <w:rPr>
          <w:rFonts w:hint="eastAsia" w:cs="宋体" w:asciiTheme="minorEastAsia" w:hAnsiTheme="minorEastAsia" w:eastAsiaTheme="minorEastAsia"/>
          <w:color w:val="auto"/>
        </w:rPr>
        <w:t>5、预算金额：</w:t>
      </w:r>
      <w:r>
        <w:rPr>
          <w:rFonts w:hint="eastAsia" w:cs="宋体" w:asciiTheme="minorEastAsia" w:hAnsiTheme="minorEastAsia" w:eastAsiaTheme="minorEastAsia"/>
          <w:color w:val="auto"/>
          <w:lang w:val="en-US" w:eastAsia="zh-CN"/>
        </w:rPr>
        <w:t>72.0000</w:t>
      </w:r>
      <w:r>
        <w:rPr>
          <w:rFonts w:hint="eastAsia" w:cs="宋体" w:asciiTheme="minorEastAsia" w:hAnsiTheme="minorEastAsia" w:eastAsiaTheme="minorEastAsia"/>
          <w:color w:val="auto"/>
        </w:rPr>
        <w:t>万元</w:t>
      </w:r>
    </w:p>
    <w:p w14:paraId="5AE33F4E">
      <w:pPr>
        <w:spacing w:line="360" w:lineRule="auto"/>
        <w:ind w:firstLine="420" w:firstLineChars="200"/>
        <w:rPr>
          <w:rFonts w:hint="default" w:cs="宋体" w:asciiTheme="minorEastAsia" w:hAnsiTheme="minorEastAsia" w:eastAsiaTheme="minorEastAsia"/>
          <w:color w:val="auto"/>
          <w:lang w:val="en-US" w:eastAsia="zh-CN"/>
        </w:rPr>
      </w:pPr>
      <w:r>
        <w:rPr>
          <w:rFonts w:hint="eastAsia" w:cs="宋体" w:asciiTheme="minorEastAsia" w:hAnsiTheme="minorEastAsia" w:eastAsiaTheme="minorEastAsia"/>
          <w:color w:val="auto"/>
        </w:rPr>
        <w:t>6、最高投标限价：</w:t>
      </w:r>
      <w:r>
        <w:rPr>
          <w:rFonts w:hint="eastAsia" w:cs="宋体" w:asciiTheme="minorEastAsia" w:hAnsiTheme="minorEastAsia" w:eastAsiaTheme="minorEastAsia"/>
          <w:color w:val="auto"/>
          <w:lang w:val="en-US" w:eastAsia="zh-CN"/>
        </w:rPr>
        <w:t>72.0000万元</w:t>
      </w:r>
    </w:p>
    <w:p w14:paraId="170A7B65">
      <w:pPr>
        <w:spacing w:line="360" w:lineRule="auto"/>
        <w:ind w:firstLine="420" w:firstLineChars="200"/>
        <w:rPr>
          <w:rFonts w:cs="宋体" w:asciiTheme="minorEastAsia" w:hAnsiTheme="minorEastAsia" w:eastAsiaTheme="minorEastAsia"/>
          <w:color w:val="auto"/>
          <w:u w:val="single"/>
        </w:rPr>
      </w:pPr>
      <w:r>
        <w:rPr>
          <w:rFonts w:hint="eastAsia" w:cs="宋体" w:asciiTheme="minorEastAsia" w:hAnsiTheme="minorEastAsia" w:eastAsiaTheme="minorEastAsia"/>
          <w:color w:val="auto"/>
        </w:rPr>
        <w:t>7、服务内容：</w:t>
      </w:r>
      <w:r>
        <w:rPr>
          <w:rFonts w:hint="eastAsia" w:cs="宋体" w:asciiTheme="minorEastAsia" w:hAnsiTheme="minorEastAsia" w:eastAsiaTheme="minorEastAsia"/>
          <w:color w:val="auto"/>
          <w:lang w:eastAsia="zh-CN"/>
        </w:rPr>
        <w:t>劳务外包人员12名（护理员6名、厨房人员4名、值班员2名）及劳务外包服务</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lang w:eastAsia="zh-CN"/>
        </w:rPr>
        <w:t>具体要求详见第五章服务内容及要求</w:t>
      </w:r>
      <w:r>
        <w:rPr>
          <w:rFonts w:hint="eastAsia" w:cs="宋体" w:asciiTheme="minorEastAsia" w:hAnsiTheme="minorEastAsia" w:eastAsiaTheme="minorEastAsia"/>
          <w:color w:val="auto"/>
        </w:rPr>
        <w:t>）</w:t>
      </w:r>
    </w:p>
    <w:p w14:paraId="2A902464">
      <w:pPr>
        <w:spacing w:line="360" w:lineRule="auto"/>
        <w:ind w:firstLine="42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rPr>
        <w:t>8、服务地点：甲方指定地点；</w:t>
      </w:r>
    </w:p>
    <w:p w14:paraId="2D74B144">
      <w:pPr>
        <w:spacing w:line="360" w:lineRule="auto"/>
        <w:ind w:firstLine="420" w:firstLineChars="200"/>
        <w:rPr>
          <w:rFonts w:hint="default" w:cs="宋体" w:asciiTheme="minorEastAsia" w:hAnsiTheme="minorEastAsia" w:eastAsiaTheme="minorEastAsia"/>
          <w:color w:val="auto"/>
          <w:lang w:val="en-US" w:eastAsia="zh-CN"/>
        </w:rPr>
      </w:pPr>
      <w:r>
        <w:rPr>
          <w:rFonts w:hint="eastAsia" w:cs="宋体" w:asciiTheme="minorEastAsia" w:hAnsiTheme="minorEastAsia" w:eastAsiaTheme="minorEastAsia"/>
          <w:color w:val="auto"/>
        </w:rPr>
        <w:t>9、</w:t>
      </w:r>
      <w:r>
        <w:rPr>
          <w:rFonts w:hint="eastAsia" w:cs="宋体" w:asciiTheme="minorEastAsia" w:hAnsiTheme="minorEastAsia" w:eastAsiaTheme="minorEastAsia"/>
          <w:color w:val="auto"/>
          <w:lang w:eastAsia="zh-CN"/>
        </w:rPr>
        <w:t>合同履行</w:t>
      </w:r>
      <w:r>
        <w:rPr>
          <w:rFonts w:hint="eastAsia" w:cs="宋体" w:asciiTheme="minorEastAsia" w:hAnsiTheme="minorEastAsia" w:eastAsiaTheme="minorEastAsia"/>
          <w:color w:val="auto"/>
        </w:rPr>
        <w:t>期限：</w:t>
      </w:r>
      <w:r>
        <w:rPr>
          <w:rFonts w:hint="eastAsia" w:cs="宋体" w:asciiTheme="minorEastAsia" w:hAnsiTheme="minorEastAsia" w:eastAsiaTheme="minorEastAsia"/>
          <w:color w:val="auto"/>
          <w:lang w:eastAsia="zh-CN"/>
        </w:rPr>
        <w:t>签订合同之日起</w:t>
      </w:r>
      <w:r>
        <w:rPr>
          <w:rFonts w:hint="eastAsia" w:cs="宋体" w:asciiTheme="minorEastAsia" w:hAnsiTheme="minorEastAsia" w:eastAsiaTheme="minorEastAsia"/>
          <w:color w:val="auto"/>
          <w:lang w:val="en-US" w:eastAsia="zh-CN"/>
        </w:rPr>
        <w:t>一年。</w:t>
      </w:r>
    </w:p>
    <w:p w14:paraId="2294027F">
      <w:pPr>
        <w:spacing w:line="360" w:lineRule="auto"/>
        <w:ind w:firstLine="42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rPr>
        <w:t>10、本项目不接受联合体投标。</w:t>
      </w:r>
    </w:p>
    <w:p w14:paraId="25EC1EB6">
      <w:pPr>
        <w:spacing w:before="312" w:beforeLines="100" w:after="312" w:afterLines="100"/>
        <w:rPr>
          <w:rFonts w:hint="eastAsia" w:asciiTheme="minorEastAsia" w:hAnsiTheme="minorEastAsia" w:eastAsiaTheme="minorEastAsia"/>
          <w:b/>
          <w:color w:val="auto"/>
          <w:sz w:val="24"/>
          <w:lang w:eastAsia="zh-CN"/>
        </w:rPr>
      </w:pPr>
      <w:r>
        <w:rPr>
          <w:rFonts w:hint="eastAsia" w:asciiTheme="minorEastAsia" w:hAnsiTheme="minorEastAsia" w:eastAsiaTheme="minorEastAsia"/>
          <w:b/>
          <w:color w:val="auto"/>
          <w:sz w:val="24"/>
        </w:rPr>
        <w:t>二.</w:t>
      </w:r>
      <w:r>
        <w:rPr>
          <w:rFonts w:hint="eastAsia" w:asciiTheme="minorEastAsia" w:hAnsiTheme="minorEastAsia" w:eastAsiaTheme="minorEastAsia"/>
          <w:b/>
          <w:color w:val="auto"/>
          <w:sz w:val="24"/>
          <w:lang w:eastAsia="zh-CN"/>
        </w:rPr>
        <w:t>供应商资格要求</w:t>
      </w:r>
    </w:p>
    <w:p w14:paraId="35D32FB3">
      <w:pPr>
        <w:tabs>
          <w:tab w:val="left" w:pos="0"/>
          <w:tab w:val="left" w:pos="420"/>
        </w:tabs>
        <w:autoSpaceDE w:val="0"/>
        <w:autoSpaceDN w:val="0"/>
        <w:adjustRightInd w:val="0"/>
        <w:spacing w:line="360" w:lineRule="auto"/>
        <w:ind w:firstLine="630" w:firstLineChars="300"/>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rPr>
        <w:t>1、</w:t>
      </w:r>
      <w:r>
        <w:rPr>
          <w:rFonts w:hint="eastAsia" w:cs="宋体" w:asciiTheme="minorEastAsia" w:hAnsiTheme="minorEastAsia" w:eastAsiaTheme="minorEastAsia"/>
          <w:color w:val="auto"/>
          <w:shd w:val="clear" w:color="auto" w:fill="FFFFFF"/>
        </w:rPr>
        <w:t>满足《中华人民共和国政府采购法》第二十二条的规定；</w:t>
      </w:r>
    </w:p>
    <w:p w14:paraId="6E1DFF90">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落实政府采购政策需满足的资格要求：</w:t>
      </w:r>
    </w:p>
    <w:p w14:paraId="424D2094">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（1）根据《政府采购促进中小企业发展管理办法》规定，本项目专门面向中小企业采购，不接受非中小企业参与本项目采购。本项目采购标的对应的中小企业划分标准所属行业为租赁和商务服务业。</w:t>
      </w:r>
    </w:p>
    <w:p w14:paraId="608A39B9">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（2）根据《关于政府采购支持监狱企业发展有关问题的通知》规定，在政府采购活动中，监狱企业视同小型、微型企业，享受预留份额、评审中价格扣除等政府采购促进中小企业发展的政府采购政策。</w:t>
      </w:r>
    </w:p>
    <w:p w14:paraId="2657FAE9">
      <w:pPr>
        <w:tabs>
          <w:tab w:val="left" w:pos="-1418"/>
          <w:tab w:val="left" w:pos="0"/>
        </w:tabs>
        <w:autoSpaceDE w:val="0"/>
        <w:autoSpaceDN w:val="0"/>
        <w:adjustRightInd w:val="0"/>
        <w:spacing w:line="360" w:lineRule="auto"/>
        <w:ind w:firstLine="420" w:firstLineChars="200"/>
        <w:jc w:val="left"/>
        <w:rPr>
          <w:rFonts w:cs="宋体" w:asciiTheme="minorEastAsia" w:hAnsiTheme="minorEastAsia" w:eastAsiaTheme="minorEastAsia"/>
          <w:color w:val="auto"/>
          <w:lang w:val="zh-CN"/>
        </w:rPr>
      </w:pPr>
      <w:r>
        <w:rPr>
          <w:rFonts w:hint="eastAsia" w:ascii="宋体" w:hAnsi="宋体" w:eastAsia="宋体" w:cs="宋体"/>
          <w:color w:val="auto"/>
          <w:kern w:val="2"/>
          <w:sz w:val="21"/>
          <w:szCs w:val="21"/>
          <w:lang w:val="en-US" w:eastAsia="zh-CN" w:bidi="ar-SA"/>
        </w:rPr>
        <w:t>（3）根据《关于促进残疾人就业政府采购政策的通知》规定，在政府采购活动中，残疾人福利性单位视同小型、微型企业，享受预留份额、评审中价格扣除等促进中小企业发展的政府采购政策。</w:t>
      </w:r>
    </w:p>
    <w:p w14:paraId="20239843">
      <w:pPr>
        <w:widowControl/>
        <w:snapToGrid w:val="0"/>
        <w:spacing w:line="360" w:lineRule="auto"/>
        <w:ind w:firstLine="408"/>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3、本项目的特定资格要求：</w:t>
      </w:r>
    </w:p>
    <w:p w14:paraId="4257E022">
      <w:pPr>
        <w:widowControl/>
        <w:snapToGrid w:val="0"/>
        <w:spacing w:line="360" w:lineRule="auto"/>
        <w:ind w:firstLine="408"/>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r>
        <w:rPr>
          <w:rFonts w:hint="eastAsia" w:cs="宋体" w:asciiTheme="minorEastAsia" w:hAnsiTheme="minorEastAsia" w:eastAsiaTheme="minorEastAsia"/>
          <w:color w:val="auto"/>
          <w:kern w:val="0"/>
          <w:szCs w:val="21"/>
          <w:lang w:eastAsia="zh-CN"/>
        </w:rPr>
        <w:t>供应商</w:t>
      </w:r>
      <w:r>
        <w:rPr>
          <w:rFonts w:hint="eastAsia" w:cs="宋体" w:asciiTheme="minorEastAsia" w:hAnsiTheme="minorEastAsia" w:eastAsiaTheme="minorEastAsia"/>
          <w:color w:val="auto"/>
          <w:kern w:val="0"/>
          <w:szCs w:val="21"/>
        </w:rPr>
        <w:t>须是在中华人民共和国境内注册的，有能力提供相应服务的供应商，须符合《中华人民共和国政府采购法》第二十二条第一款规定的条件；</w:t>
      </w:r>
    </w:p>
    <w:p w14:paraId="07FD187B">
      <w:pPr>
        <w:widowControl/>
        <w:snapToGrid w:val="0"/>
        <w:spacing w:line="360" w:lineRule="auto"/>
        <w:ind w:firstLine="408"/>
        <w:jc w:val="left"/>
        <w:rPr>
          <w:rFonts w:cs="Arial" w:asciiTheme="minorEastAsia" w:hAnsiTheme="minorEastAsia" w:eastAsiaTheme="minorEastAsia"/>
          <w:color w:val="auto"/>
          <w:szCs w:val="21"/>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w:t>
      </w:r>
      <w:r>
        <w:rPr>
          <w:rFonts w:hint="eastAsia" w:cs="宋体" w:asciiTheme="minorEastAsia" w:hAnsiTheme="minorEastAsia" w:eastAsiaTheme="minorEastAsia"/>
          <w:color w:val="auto"/>
          <w:kern w:val="0"/>
          <w:szCs w:val="21"/>
        </w:rPr>
        <w:t>202</w:t>
      </w: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年度财务审计报告或财务报表（含资产负债表、现金流量表、利润表）（若供应商为202</w:t>
      </w:r>
      <w:r>
        <w:rPr>
          <w:rFonts w:hint="eastAsia" w:cs="宋体" w:asciiTheme="minorEastAsia" w:hAnsiTheme="minorEastAsia" w:eastAsiaTheme="minorEastAsia"/>
          <w:color w:val="auto"/>
          <w:kern w:val="0"/>
          <w:szCs w:val="21"/>
          <w:lang w:val="en-US" w:eastAsia="zh-CN"/>
        </w:rPr>
        <w:t>6</w:t>
      </w:r>
      <w:r>
        <w:rPr>
          <w:rFonts w:hint="eastAsia" w:cs="宋体" w:asciiTheme="minorEastAsia" w:hAnsiTheme="minorEastAsia" w:eastAsiaTheme="minorEastAsia"/>
          <w:color w:val="auto"/>
          <w:kern w:val="0"/>
          <w:szCs w:val="21"/>
        </w:rPr>
        <w:t>年以后注册成立公司的，须提供银行资信证明）；</w:t>
      </w:r>
    </w:p>
    <w:p w14:paraId="6B20365D">
      <w:pPr>
        <w:tabs>
          <w:tab w:val="left" w:pos="-1418"/>
        </w:tabs>
        <w:autoSpaceDE w:val="0"/>
        <w:autoSpaceDN w:val="0"/>
        <w:adjustRightInd w:val="0"/>
        <w:spacing w:line="360" w:lineRule="auto"/>
        <w:ind w:left="8" w:firstLine="411" w:firstLineChars="196"/>
        <w:jc w:val="left"/>
        <w:rPr>
          <w:rFonts w:asciiTheme="minorEastAsia" w:hAnsiTheme="minorEastAsia" w:eastAsiaTheme="minorEastAsia"/>
          <w:color w:val="auto"/>
        </w:rPr>
      </w:pPr>
      <w:r>
        <w:rPr>
          <w:rFonts w:hint="eastAsia" w:cs="宋体" w:asciiTheme="minorEastAsia" w:hAnsiTheme="minorEastAsia" w:eastAsiaTheme="minorEastAsia"/>
          <w:color w:val="auto"/>
          <w:lang w:val="zh-CN"/>
        </w:rPr>
        <w:t>（</w:t>
      </w:r>
      <w:r>
        <w:rPr>
          <w:rFonts w:hint="eastAsia" w:cs="宋体" w:asciiTheme="minorEastAsia" w:hAnsiTheme="minorEastAsia" w:eastAsiaTheme="minorEastAsia"/>
          <w:color w:val="auto"/>
          <w:lang w:val="en-US" w:eastAsia="zh-CN"/>
        </w:rPr>
        <w:t>3</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lang w:val="zh-CN"/>
        </w:rPr>
        <w:t>近六个月内（任意一个月）依法缴纳税收和社会保障资金的相关证明材料，依法免税的供应商须提供相应文件证明其依法免税</w:t>
      </w:r>
      <w:r>
        <w:rPr>
          <w:rFonts w:hint="eastAsia" w:asciiTheme="minorEastAsia" w:hAnsiTheme="minorEastAsia" w:eastAsiaTheme="minorEastAsia"/>
          <w:color w:val="auto"/>
        </w:rPr>
        <w:t>；</w:t>
      </w:r>
    </w:p>
    <w:p w14:paraId="6EFD7C61">
      <w:pPr>
        <w:tabs>
          <w:tab w:val="left" w:pos="-1418"/>
        </w:tabs>
        <w:autoSpaceDE w:val="0"/>
        <w:autoSpaceDN w:val="0"/>
        <w:adjustRightInd w:val="0"/>
        <w:spacing w:line="360" w:lineRule="auto"/>
        <w:ind w:left="8" w:firstLine="411" w:firstLineChars="196"/>
        <w:jc w:val="left"/>
        <w:rPr>
          <w:rFonts w:ascii="宋体" w:hAnsi="宋体" w:cs="宋体"/>
          <w:color w:val="auto"/>
          <w:lang w:val="zh-CN"/>
        </w:rPr>
      </w:pPr>
      <w:r>
        <w:rPr>
          <w:rFonts w:hint="eastAsia" w:ascii="宋体" w:hAnsi="宋体" w:cs="宋体"/>
          <w:color w:val="auto"/>
          <w:lang w:val="zh-CN"/>
        </w:rPr>
        <w:t>（</w:t>
      </w:r>
      <w:r>
        <w:rPr>
          <w:rFonts w:hint="eastAsia" w:ascii="宋体" w:hAnsi="宋体" w:cs="宋体"/>
          <w:color w:val="auto"/>
          <w:lang w:val="en-US" w:eastAsia="zh-CN"/>
        </w:rPr>
        <w:t>4</w:t>
      </w:r>
      <w:r>
        <w:rPr>
          <w:rFonts w:hint="eastAsia" w:ascii="宋体" w:hAnsi="宋体" w:cs="宋体"/>
          <w:color w:val="auto"/>
        </w:rPr>
        <w:t>）具有投资参股关系的关联企业,或具有直接管理和被管理关系的母子公司，或同一母公司的子公司，或法定代表人为同一人的两个及两个以上法人不得同时对同一标段磋商，否则均按废标处理。与采购人存在利害关系可能影响磋商公正性的法人、其他组织或者个人，不得参加磋商。单位负责人为同一人或者存在控股、管理关系的不同单位，不得参加同一标段磋商或者未划分标段的同一项目磋商。违反上述规定的，相关磋商均无效；</w:t>
      </w:r>
    </w:p>
    <w:p w14:paraId="571E00A3">
      <w:pPr>
        <w:tabs>
          <w:tab w:val="left" w:pos="-1418"/>
        </w:tabs>
        <w:autoSpaceDE w:val="0"/>
        <w:autoSpaceDN w:val="0"/>
        <w:adjustRightInd w:val="0"/>
        <w:spacing w:line="360" w:lineRule="auto"/>
        <w:ind w:left="8" w:firstLine="411" w:firstLineChars="196"/>
        <w:jc w:val="left"/>
        <w:rPr>
          <w:rFonts w:ascii="宋体" w:hAnsi="宋体" w:cs="宋体"/>
          <w:color w:val="auto"/>
        </w:rPr>
      </w:pPr>
      <w:r>
        <w:rPr>
          <w:rFonts w:hint="eastAsia" w:ascii="宋体" w:hAnsi="宋体" w:cs="宋体"/>
          <w:color w:val="auto"/>
          <w:lang w:val="zh-CN"/>
        </w:rPr>
        <w:t>（</w:t>
      </w:r>
      <w:r>
        <w:rPr>
          <w:rFonts w:hint="eastAsia" w:ascii="宋体" w:hAnsi="宋体" w:cs="宋体"/>
          <w:color w:val="auto"/>
          <w:lang w:val="en-US" w:eastAsia="zh-CN"/>
        </w:rPr>
        <w:t>5</w:t>
      </w:r>
      <w:r>
        <w:rPr>
          <w:rFonts w:hint="eastAsia" w:ascii="宋体" w:hAnsi="宋体" w:cs="宋体"/>
          <w:color w:val="auto"/>
          <w:lang w:val="zh-CN"/>
        </w:rPr>
        <w:t>）</w:t>
      </w:r>
      <w:r>
        <w:rPr>
          <w:rFonts w:hint="eastAsia" w:ascii="宋体" w:hAnsi="宋体"/>
          <w:color w:val="auto"/>
        </w:rPr>
        <w:t>供应商必须未被列入“信用中国” 网站(www.creditchina.gov.cn)、中国政府采购网(www.ccgp.gov.cn)等渠道信用记录失信被执行人、重大税收违法案件当事人名单、政府采购严重违法失信行为记录名单</w:t>
      </w:r>
      <w:r>
        <w:rPr>
          <w:rFonts w:hint="eastAsia" w:ascii="宋体" w:hAnsi="宋体" w:cs="宋体"/>
          <w:color w:val="auto"/>
          <w:lang w:val="zh-CN"/>
        </w:rPr>
        <w:t>；</w:t>
      </w:r>
    </w:p>
    <w:p w14:paraId="5D8D2C82">
      <w:pPr>
        <w:tabs>
          <w:tab w:val="left" w:pos="-1418"/>
        </w:tabs>
        <w:autoSpaceDE w:val="0"/>
        <w:autoSpaceDN w:val="0"/>
        <w:adjustRightInd w:val="0"/>
        <w:spacing w:line="360" w:lineRule="auto"/>
        <w:ind w:left="8" w:firstLine="411" w:firstLineChars="196"/>
        <w:jc w:val="left"/>
        <w:rPr>
          <w:rFonts w:ascii="宋体" w:hAnsi="宋体" w:cs="宋体"/>
          <w:color w:val="auto"/>
          <w:lang w:val="zh-CN"/>
        </w:rPr>
      </w:pPr>
      <w:r>
        <w:rPr>
          <w:rFonts w:hint="eastAsia" w:ascii="宋体" w:hAnsi="宋体" w:cs="宋体"/>
          <w:color w:val="auto"/>
          <w:lang w:val="zh-CN"/>
        </w:rPr>
        <w:t>（</w:t>
      </w:r>
      <w:r>
        <w:rPr>
          <w:rFonts w:hint="eastAsia" w:ascii="宋体" w:hAnsi="宋体" w:cs="宋体"/>
          <w:color w:val="auto"/>
          <w:lang w:val="en-US" w:eastAsia="zh-CN"/>
        </w:rPr>
        <w:t>6</w:t>
      </w:r>
      <w:r>
        <w:rPr>
          <w:rFonts w:hint="eastAsia" w:ascii="宋体" w:hAnsi="宋体" w:cs="宋体"/>
          <w:color w:val="auto"/>
          <w:lang w:val="zh-CN"/>
        </w:rPr>
        <w:t>）拒绝列入政府取消磋商资格记录期间的企业或个人参加本次磋商；</w:t>
      </w:r>
    </w:p>
    <w:p w14:paraId="06842104">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三、获取</w:t>
      </w:r>
      <w:r>
        <w:rPr>
          <w:rFonts w:hint="eastAsia" w:asciiTheme="minorEastAsia" w:hAnsiTheme="minorEastAsia" w:eastAsiaTheme="minorEastAsia"/>
          <w:b/>
          <w:color w:val="auto"/>
          <w:sz w:val="24"/>
          <w:lang w:eastAsia="zh-CN"/>
        </w:rPr>
        <w:t>竞争性磋商</w:t>
      </w:r>
      <w:r>
        <w:rPr>
          <w:rFonts w:hint="eastAsia" w:asciiTheme="minorEastAsia" w:hAnsiTheme="minorEastAsia" w:eastAsiaTheme="minorEastAsia"/>
          <w:b/>
          <w:color w:val="auto"/>
          <w:sz w:val="24"/>
        </w:rPr>
        <w:t>文件</w:t>
      </w:r>
    </w:p>
    <w:p w14:paraId="6CE06FA6">
      <w:pPr>
        <w:spacing w:line="360" w:lineRule="auto"/>
        <w:ind w:firstLine="420" w:firstLineChars="200"/>
        <w:jc w:val="left"/>
        <w:rPr>
          <w:rFonts w:hint="eastAsia"/>
          <w:color w:val="auto"/>
          <w:lang w:val="en-US" w:eastAsia="zh-CN"/>
        </w:rPr>
      </w:pPr>
      <w:bookmarkStart w:id="15" w:name="_Toc35393793"/>
      <w:bookmarkStart w:id="16" w:name="_Toc28359082"/>
      <w:bookmarkStart w:id="17" w:name="_Toc35393624"/>
      <w:bookmarkStart w:id="18" w:name="_Toc28359005"/>
      <w:bookmarkStart w:id="19" w:name="_Toc35393626"/>
      <w:bookmarkStart w:id="20" w:name="_Toc35393795"/>
      <w:r>
        <w:rPr>
          <w:rFonts w:hint="eastAsia"/>
          <w:color w:val="auto"/>
          <w:lang w:val="en-US" w:eastAsia="zh-CN"/>
        </w:rPr>
        <w:t>1.时间：2026年5月21日8时00分至2026年5月28日16时00分（北京时间）。</w:t>
      </w:r>
    </w:p>
    <w:p w14:paraId="438CF0AF">
      <w:pPr>
        <w:spacing w:line="360" w:lineRule="auto"/>
        <w:ind w:firstLine="420" w:firstLineChars="200"/>
        <w:jc w:val="left"/>
        <w:rPr>
          <w:rFonts w:hint="eastAsia"/>
          <w:color w:val="auto"/>
          <w:lang w:val="en-US" w:eastAsia="zh-CN"/>
        </w:rPr>
      </w:pPr>
      <w:r>
        <w:rPr>
          <w:rFonts w:hint="eastAsia"/>
          <w:color w:val="auto"/>
          <w:lang w:val="en-US" w:eastAsia="zh-CN"/>
        </w:rPr>
        <w:t>2.地点：政府采购云平台（https://www.zcygov.cn/）</w:t>
      </w:r>
    </w:p>
    <w:p w14:paraId="5FAD8DD1">
      <w:pPr>
        <w:spacing w:line="360" w:lineRule="auto"/>
        <w:ind w:firstLine="420" w:firstLineChars="200"/>
        <w:jc w:val="left"/>
        <w:rPr>
          <w:rFonts w:hint="eastAsia"/>
          <w:color w:val="auto"/>
          <w:lang w:val="en-US" w:eastAsia="zh-CN"/>
        </w:rPr>
      </w:pPr>
      <w:r>
        <w:rPr>
          <w:rFonts w:hint="eastAsia"/>
          <w:color w:val="auto"/>
          <w:lang w:val="en-US" w:eastAsia="zh-CN"/>
        </w:rPr>
        <w:t>3.获取方式:网上下载。供应商可自行在“政采云”平台（https://www.zcygov.cn/） 下载采购文件（操作路径：登录“政采云 ”平台-项目采购-获取采购文件-找到本项目- 点击“ 申请获取采购文件 ”），电子响应文件制作需要基于“政采云 ”平台获取的采购 文件编制。</w:t>
      </w:r>
    </w:p>
    <w:p w14:paraId="5497C31F">
      <w:pPr>
        <w:pageBreakBefore w:val="0"/>
        <w:tabs>
          <w:tab w:val="left" w:pos="720"/>
        </w:tabs>
        <w:autoSpaceDE w:val="0"/>
        <w:autoSpaceDN w:val="0"/>
        <w:bidi w:val="0"/>
        <w:adjustRightInd w:val="0"/>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4.售价：0.00元。</w:t>
      </w:r>
    </w:p>
    <w:bookmarkEnd w:id="15"/>
    <w:bookmarkEnd w:id="16"/>
    <w:bookmarkEnd w:id="17"/>
    <w:bookmarkEnd w:id="18"/>
    <w:p w14:paraId="656CCA70">
      <w:pPr>
        <w:spacing w:line="48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四、响应文件提交：</w:t>
      </w:r>
    </w:p>
    <w:p w14:paraId="20714140">
      <w:pPr>
        <w:spacing w:line="480" w:lineRule="auto"/>
        <w:ind w:firstLine="420" w:firstLineChars="200"/>
        <w:rPr>
          <w:rFonts w:hint="eastAsia" w:cs="宋体" w:asciiTheme="minorEastAsia" w:hAnsiTheme="minorEastAsia" w:eastAsiaTheme="minorEastAsia"/>
          <w:bCs/>
          <w:color w:val="auto"/>
        </w:rPr>
      </w:pPr>
      <w:r>
        <w:rPr>
          <w:rFonts w:hint="eastAsia" w:cs="宋体" w:asciiTheme="minorEastAsia" w:hAnsiTheme="minorEastAsia" w:eastAsiaTheme="minorEastAsia"/>
          <w:bCs/>
          <w:color w:val="auto"/>
        </w:rPr>
        <w:t>1.截止时间：202</w:t>
      </w:r>
      <w:r>
        <w:rPr>
          <w:rFonts w:hint="eastAsia" w:cs="宋体" w:asciiTheme="minorEastAsia" w:hAnsiTheme="minorEastAsia" w:eastAsiaTheme="minorEastAsia"/>
          <w:bCs/>
          <w:color w:val="auto"/>
          <w:lang w:val="en-US" w:eastAsia="zh-CN"/>
        </w:rPr>
        <w:t>6</w:t>
      </w:r>
      <w:r>
        <w:rPr>
          <w:rFonts w:hint="eastAsia" w:cs="宋体" w:asciiTheme="minorEastAsia" w:hAnsiTheme="minorEastAsia" w:eastAsiaTheme="minorEastAsia"/>
          <w:bCs/>
          <w:color w:val="auto"/>
        </w:rPr>
        <w:t>年</w:t>
      </w:r>
      <w:r>
        <w:rPr>
          <w:rFonts w:hint="eastAsia" w:cs="宋体" w:asciiTheme="minorEastAsia" w:hAnsiTheme="minorEastAsia" w:eastAsiaTheme="minorEastAsia"/>
          <w:bCs/>
          <w:color w:val="auto"/>
          <w:lang w:val="en-US" w:eastAsia="zh-CN"/>
        </w:rPr>
        <w:t>6</w:t>
      </w:r>
      <w:r>
        <w:rPr>
          <w:rFonts w:hint="eastAsia" w:cs="宋体" w:asciiTheme="minorEastAsia" w:hAnsiTheme="minorEastAsia" w:eastAsiaTheme="minorEastAsia"/>
          <w:bCs/>
          <w:color w:val="auto"/>
        </w:rPr>
        <w:t>月</w:t>
      </w:r>
      <w:r>
        <w:rPr>
          <w:rFonts w:hint="eastAsia" w:cs="宋体" w:asciiTheme="minorEastAsia" w:hAnsiTheme="minorEastAsia" w:eastAsiaTheme="minorEastAsia"/>
          <w:bCs/>
          <w:color w:val="auto"/>
          <w:lang w:val="en-US" w:eastAsia="zh-CN"/>
        </w:rPr>
        <w:t>4</w:t>
      </w:r>
      <w:r>
        <w:rPr>
          <w:rFonts w:hint="eastAsia" w:cs="宋体" w:asciiTheme="minorEastAsia" w:hAnsiTheme="minorEastAsia" w:eastAsiaTheme="minorEastAsia"/>
          <w:bCs/>
          <w:color w:val="auto"/>
        </w:rPr>
        <w:t>日</w:t>
      </w:r>
      <w:r>
        <w:rPr>
          <w:rFonts w:hint="eastAsia" w:cs="宋体" w:asciiTheme="minorEastAsia" w:hAnsiTheme="minorEastAsia" w:eastAsiaTheme="minorEastAsia"/>
          <w:bCs/>
          <w:color w:val="auto"/>
          <w:lang w:val="en-US" w:eastAsia="zh-CN"/>
        </w:rPr>
        <w:t>13时3</w:t>
      </w:r>
      <w:r>
        <w:rPr>
          <w:rFonts w:hint="eastAsia" w:cs="宋体" w:asciiTheme="minorEastAsia" w:hAnsiTheme="minorEastAsia" w:eastAsiaTheme="minorEastAsia"/>
          <w:bCs/>
          <w:color w:val="auto"/>
        </w:rPr>
        <w:t>0分（北京时间）</w:t>
      </w:r>
    </w:p>
    <w:p w14:paraId="009D1A1C">
      <w:pPr>
        <w:spacing w:line="360" w:lineRule="auto"/>
        <w:ind w:firstLine="420" w:firstLineChars="200"/>
        <w:rPr>
          <w:rFonts w:hint="eastAsia" w:ascii="宋体" w:hAnsi="宋体" w:eastAsia="宋体" w:cs="宋体"/>
          <w:color w:val="auto"/>
          <w:szCs w:val="21"/>
          <w:lang w:val="zh-CN" w:eastAsia="zh-CN"/>
        </w:rPr>
      </w:pPr>
      <w:r>
        <w:rPr>
          <w:rFonts w:hint="eastAsia" w:ascii="宋体" w:hAnsi="宋体" w:eastAsia="宋体" w:cs="宋体"/>
          <w:color w:val="auto"/>
          <w:szCs w:val="21"/>
          <w:lang w:val="en-US" w:eastAsia="zh-CN"/>
        </w:rPr>
        <w:t>2.开标</w:t>
      </w:r>
      <w:r>
        <w:rPr>
          <w:rFonts w:hint="eastAsia" w:ascii="宋体" w:hAnsi="宋体" w:eastAsia="宋体" w:cs="宋体"/>
          <w:color w:val="auto"/>
          <w:szCs w:val="21"/>
          <w:lang w:val="zh-CN" w:eastAsia="zh-CN"/>
        </w:rPr>
        <w:t>地点：</w:t>
      </w:r>
      <w:r>
        <w:rPr>
          <w:rFonts w:hint="eastAsia" w:ascii="宋体" w:hAnsi="宋体" w:eastAsia="宋体" w:cs="宋体"/>
          <w:color w:val="auto"/>
          <w:szCs w:val="21"/>
          <w:lang w:val="en-US" w:eastAsia="zh-CN"/>
        </w:rPr>
        <w:t>“政采云”平台(http：//www.zcygov.cn)，逾期未上传电子响应文件，将不予受理。</w:t>
      </w:r>
    </w:p>
    <w:p w14:paraId="1921DBC4">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3.提交方式：本项目为全流程电子化采购项目，通过</w:t>
      </w:r>
      <w:r>
        <w:rPr>
          <w:rFonts w:hint="eastAsia" w:ascii="宋体" w:hAnsi="宋体" w:eastAsia="宋体" w:cs="宋体"/>
          <w:color w:val="auto"/>
          <w:szCs w:val="21"/>
          <w:lang w:val="zh-CN" w:eastAsia="zh-CN"/>
        </w:rPr>
        <w:t>政府采购云平台</w:t>
      </w:r>
      <w:r>
        <w:rPr>
          <w:rFonts w:hint="eastAsia" w:ascii="宋体" w:hAnsi="宋体" w:eastAsia="宋体" w:cs="宋体"/>
          <w:color w:val="auto"/>
          <w:szCs w:val="21"/>
          <w:lang w:val="en-US" w:eastAsia="zh-CN"/>
        </w:rPr>
        <w:t>实行在线电子投标，响应文件应加密并在提交截止时间前通过政府采购云平台在线提交。</w:t>
      </w:r>
    </w:p>
    <w:p w14:paraId="3901E8E1">
      <w:pPr>
        <w:spacing w:line="360" w:lineRule="auto"/>
        <w:ind w:firstLine="420" w:firstLineChars="200"/>
        <w:rPr>
          <w:rFonts w:hint="eastAsia" w:ascii="宋体" w:hAnsi="宋体" w:eastAsia="宋体" w:cs="宋体"/>
          <w:color w:val="auto"/>
          <w:szCs w:val="21"/>
          <w:lang w:val="zh-CN" w:eastAsia="zh-CN"/>
        </w:rPr>
      </w:pPr>
      <w:r>
        <w:rPr>
          <w:rFonts w:hint="eastAsia" w:ascii="宋体" w:hAnsi="宋体" w:eastAsia="宋体" w:cs="宋体"/>
          <w:color w:val="auto"/>
          <w:szCs w:val="21"/>
          <w:lang w:val="en-US" w:eastAsia="zh-CN"/>
        </w:rPr>
        <w:t>4.</w:t>
      </w:r>
      <w:r>
        <w:rPr>
          <w:rFonts w:hint="eastAsia" w:ascii="宋体" w:hAnsi="宋体" w:eastAsia="宋体" w:cs="宋体"/>
          <w:color w:val="auto"/>
          <w:szCs w:val="21"/>
          <w:lang w:val="zh-CN" w:eastAsia="zh-CN"/>
        </w:rPr>
        <w:t>操作流程：</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lang w:val="zh-CN" w:eastAsia="zh-CN"/>
        </w:rPr>
        <w:t>在政府采购云平台网注册入库成为正式</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lang w:val="zh-CN" w:eastAsia="zh-CN"/>
        </w:rPr>
        <w:t>后，在平台上按《政府采购项目电子交易管理操作指南-供应商》进行投标操作。未进行政府采购云平台注册并办理数字证书（CA认证）的供应商将无法参与本项目政府采购活动，潜在供应商应当在响应</w:t>
      </w:r>
      <w:r>
        <w:rPr>
          <w:rFonts w:hint="eastAsia" w:ascii="宋体" w:hAnsi="宋体" w:eastAsia="宋体" w:cs="宋体"/>
          <w:color w:val="auto"/>
          <w:szCs w:val="21"/>
          <w:lang w:val="en-US" w:eastAsia="zh-CN"/>
        </w:rPr>
        <w:t>文件提交</w:t>
      </w:r>
      <w:r>
        <w:rPr>
          <w:rFonts w:hint="eastAsia" w:ascii="宋体" w:hAnsi="宋体" w:eastAsia="宋体" w:cs="宋体"/>
          <w:color w:val="auto"/>
          <w:szCs w:val="21"/>
          <w:lang w:val="zh-CN" w:eastAsia="zh-CN"/>
        </w:rPr>
        <w:t>截止时间前，完成政采云平台上的CA数字证书办理及响应文件的提交。</w:t>
      </w:r>
    </w:p>
    <w:p w14:paraId="7408FD3A">
      <w:pPr>
        <w:keepNext/>
        <w:keepLines/>
        <w:spacing w:before="260" w:after="260" w:line="360" w:lineRule="auto"/>
        <w:outlineLvl w:val="1"/>
        <w:rPr>
          <w:rFonts w:cs="宋体" w:asciiTheme="minorEastAsia" w:hAnsiTheme="minorEastAsia" w:eastAsiaTheme="minorEastAsia"/>
          <w:b/>
          <w:bCs/>
          <w:color w:val="auto"/>
          <w:szCs w:val="21"/>
        </w:rPr>
      </w:pPr>
      <w:bookmarkStart w:id="21" w:name="_Toc35393802"/>
      <w:bookmarkStart w:id="22" w:name="_Toc28359016"/>
      <w:bookmarkStart w:id="23" w:name="_Toc35393633"/>
      <w:bookmarkStart w:id="24" w:name="_Toc28359093"/>
      <w:r>
        <w:rPr>
          <w:rFonts w:hint="eastAsia" w:cs="宋体" w:asciiTheme="minorEastAsia" w:hAnsiTheme="minorEastAsia" w:eastAsiaTheme="minorEastAsia"/>
          <w:b/>
          <w:bCs/>
          <w:color w:val="auto"/>
          <w:sz w:val="24"/>
          <w:szCs w:val="21"/>
        </w:rPr>
        <w:t>五、</w:t>
      </w:r>
      <w:r>
        <w:rPr>
          <w:rFonts w:hint="eastAsia" w:cs="宋体" w:asciiTheme="minorEastAsia" w:hAnsiTheme="minorEastAsia" w:eastAsiaTheme="minorEastAsia"/>
          <w:b/>
          <w:bCs/>
          <w:color w:val="auto"/>
          <w:szCs w:val="21"/>
        </w:rPr>
        <w:t>开启</w:t>
      </w:r>
      <w:bookmarkEnd w:id="21"/>
      <w:bookmarkEnd w:id="22"/>
      <w:bookmarkEnd w:id="23"/>
      <w:bookmarkEnd w:id="24"/>
    </w:p>
    <w:p w14:paraId="1F8A3087">
      <w:pPr>
        <w:spacing w:line="360" w:lineRule="auto"/>
        <w:ind w:firstLine="630" w:firstLineChars="300"/>
        <w:rPr>
          <w:rFonts w:hint="eastAsia" w:ascii="宋体" w:hAnsi="宋体" w:eastAsia="宋体" w:cs="宋体"/>
          <w:color w:val="auto"/>
          <w:szCs w:val="21"/>
          <w:lang w:val="zh-CN" w:eastAsia="zh-CN"/>
        </w:rPr>
      </w:pPr>
      <w:bookmarkStart w:id="25" w:name="_Toc35393634"/>
      <w:bookmarkStart w:id="26" w:name="_Toc28359094"/>
      <w:bookmarkStart w:id="27" w:name="_Toc35393803"/>
      <w:bookmarkStart w:id="28" w:name="_Toc28359017"/>
      <w:r>
        <w:rPr>
          <w:rFonts w:hint="eastAsia" w:ascii="宋体" w:hAnsi="宋体" w:eastAsia="宋体" w:cs="宋体"/>
          <w:color w:val="auto"/>
          <w:szCs w:val="21"/>
          <w:lang w:val="en-US" w:eastAsia="zh-CN"/>
        </w:rPr>
        <w:t>1.</w:t>
      </w:r>
      <w:r>
        <w:rPr>
          <w:rFonts w:hint="eastAsia" w:ascii="宋体" w:hAnsi="宋体" w:eastAsia="宋体" w:cs="宋体"/>
          <w:color w:val="auto"/>
          <w:szCs w:val="21"/>
          <w:lang w:val="zh-CN" w:eastAsia="zh-CN"/>
        </w:rPr>
        <w:t>时间（</w:t>
      </w:r>
      <w:r>
        <w:rPr>
          <w:rFonts w:hint="eastAsia" w:ascii="宋体" w:hAnsi="宋体" w:eastAsia="宋体" w:cs="宋体"/>
          <w:color w:val="auto"/>
          <w:szCs w:val="21"/>
          <w:lang w:val="en-US" w:eastAsia="zh-CN"/>
        </w:rPr>
        <w:t>解密时间）</w:t>
      </w:r>
      <w:r>
        <w:rPr>
          <w:rFonts w:hint="eastAsia" w:ascii="宋体" w:hAnsi="宋体" w:eastAsia="宋体" w:cs="宋体"/>
          <w:color w:val="auto"/>
          <w:szCs w:val="21"/>
          <w:lang w:val="zh-CN" w:eastAsia="zh-CN"/>
        </w:rPr>
        <w:t>：202</w:t>
      </w:r>
      <w:r>
        <w:rPr>
          <w:rFonts w:hint="eastAsia" w:ascii="宋体" w:hAnsi="宋体" w:cs="宋体"/>
          <w:color w:val="auto"/>
          <w:szCs w:val="21"/>
          <w:lang w:val="en-US" w:eastAsia="zh-CN"/>
        </w:rPr>
        <w:t>6</w:t>
      </w:r>
      <w:r>
        <w:rPr>
          <w:rFonts w:hint="eastAsia" w:ascii="宋体" w:hAnsi="宋体" w:eastAsia="宋体" w:cs="宋体"/>
          <w:color w:val="auto"/>
          <w:szCs w:val="21"/>
          <w:lang w:val="zh-CN" w:eastAsia="zh-CN"/>
        </w:rPr>
        <w:t>年</w:t>
      </w:r>
      <w:r>
        <w:rPr>
          <w:rFonts w:hint="eastAsia" w:ascii="宋体" w:hAnsi="宋体" w:cs="宋体"/>
          <w:color w:val="auto"/>
          <w:szCs w:val="21"/>
          <w:lang w:val="en-US" w:eastAsia="zh-CN"/>
        </w:rPr>
        <w:t>6</w:t>
      </w:r>
      <w:r>
        <w:rPr>
          <w:rFonts w:hint="eastAsia" w:ascii="宋体" w:hAnsi="宋体" w:eastAsia="宋体" w:cs="宋体"/>
          <w:color w:val="auto"/>
          <w:szCs w:val="21"/>
          <w:lang w:val="zh-CN" w:eastAsia="zh-CN"/>
        </w:rPr>
        <w:t>月</w:t>
      </w:r>
      <w:r>
        <w:rPr>
          <w:rFonts w:hint="eastAsia" w:ascii="宋体" w:hAnsi="宋体" w:cs="宋体"/>
          <w:color w:val="auto"/>
          <w:szCs w:val="21"/>
          <w:lang w:val="en-US" w:eastAsia="zh-CN"/>
        </w:rPr>
        <w:t>4</w:t>
      </w:r>
      <w:r>
        <w:rPr>
          <w:rFonts w:hint="eastAsia" w:ascii="宋体" w:hAnsi="宋体" w:eastAsia="宋体" w:cs="宋体"/>
          <w:color w:val="auto"/>
          <w:szCs w:val="21"/>
          <w:lang w:val="zh-CN" w:eastAsia="zh-CN"/>
        </w:rPr>
        <w:t>日</w:t>
      </w:r>
      <w:r>
        <w:rPr>
          <w:rFonts w:hint="eastAsia" w:ascii="宋体" w:hAnsi="宋体" w:cs="宋体"/>
          <w:color w:val="auto"/>
          <w:szCs w:val="21"/>
          <w:lang w:val="en-US" w:eastAsia="zh-CN"/>
        </w:rPr>
        <w:t>13</w:t>
      </w:r>
      <w:r>
        <w:rPr>
          <w:rFonts w:hint="eastAsia" w:ascii="宋体" w:hAnsi="宋体" w:eastAsia="宋体" w:cs="宋体"/>
          <w:color w:val="auto"/>
          <w:szCs w:val="21"/>
          <w:lang w:val="zh-CN" w:eastAsia="zh-CN"/>
        </w:rPr>
        <w:t>时</w:t>
      </w:r>
      <w:r>
        <w:rPr>
          <w:rFonts w:hint="eastAsia" w:ascii="宋体" w:hAnsi="宋体" w:cs="宋体"/>
          <w:color w:val="auto"/>
          <w:szCs w:val="21"/>
          <w:lang w:val="en-US" w:eastAsia="zh-CN"/>
        </w:rPr>
        <w:t>30</w:t>
      </w:r>
      <w:r>
        <w:rPr>
          <w:rFonts w:hint="eastAsia" w:ascii="宋体" w:hAnsi="宋体" w:eastAsia="宋体" w:cs="宋体"/>
          <w:color w:val="auto"/>
          <w:szCs w:val="21"/>
          <w:lang w:val="zh-CN" w:eastAsia="zh-CN"/>
        </w:rPr>
        <w:t>分（北京时间）</w:t>
      </w:r>
    </w:p>
    <w:p w14:paraId="549F73E6">
      <w:pPr>
        <w:spacing w:line="360" w:lineRule="auto"/>
        <w:ind w:firstLine="630" w:firstLineChars="300"/>
        <w:rPr>
          <w:rFonts w:hint="eastAsia" w:ascii="宋体" w:hAnsi="宋体" w:eastAsia="宋体" w:cs="宋体"/>
          <w:color w:val="auto"/>
          <w:szCs w:val="21"/>
          <w:lang w:val="zh-CN"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eastAsia="zh-CN"/>
        </w:rPr>
        <w:t>地点：</w:t>
      </w:r>
      <w:r>
        <w:rPr>
          <w:rFonts w:hint="eastAsia" w:ascii="宋体" w:hAnsi="宋体" w:eastAsia="宋体" w:cs="宋体"/>
          <w:color w:val="auto"/>
          <w:szCs w:val="21"/>
          <w:lang w:val="en-US" w:eastAsia="zh-CN"/>
        </w:rPr>
        <w:t>“政采云”平台(http：//www.zcygov.cn)</w:t>
      </w:r>
    </w:p>
    <w:p w14:paraId="2ABE1FF5">
      <w:pPr>
        <w:spacing w:line="360" w:lineRule="auto"/>
        <w:ind w:firstLine="630" w:firstLineChars="3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开启（解密）方式：电子响应文件解密期限及方式：开启时间后30分钟内，由供应商持制作该电子响应文件的同一数字证书（CA锁）及电脑进行远程解密（各投标人开标前及网上开评标系统公布投标人名单前，不要提前进行远程解密），没有在规定时间内解密成功的，视为无效响应。</w:t>
      </w:r>
    </w:p>
    <w:p w14:paraId="297FA2C7">
      <w:pPr>
        <w:keepNext/>
        <w:keepLines/>
        <w:spacing w:before="260" w:after="260" w:line="360" w:lineRule="auto"/>
        <w:outlineLvl w:val="1"/>
        <w:rPr>
          <w:rFonts w:cs="宋体" w:asciiTheme="minorEastAsia" w:hAnsiTheme="minorEastAsia" w:eastAsiaTheme="minorEastAsia"/>
          <w:b/>
          <w:bCs/>
          <w:color w:val="auto"/>
          <w:sz w:val="24"/>
          <w:szCs w:val="21"/>
        </w:rPr>
      </w:pPr>
      <w:r>
        <w:rPr>
          <w:rFonts w:hint="eastAsia" w:cs="宋体" w:asciiTheme="minorEastAsia" w:hAnsiTheme="minorEastAsia" w:eastAsiaTheme="minorEastAsia"/>
          <w:b/>
          <w:bCs/>
          <w:color w:val="auto"/>
          <w:sz w:val="24"/>
          <w:szCs w:val="21"/>
        </w:rPr>
        <w:t>六、公告期限</w:t>
      </w:r>
      <w:bookmarkEnd w:id="25"/>
      <w:bookmarkEnd w:id="26"/>
      <w:bookmarkEnd w:id="27"/>
      <w:bookmarkEnd w:id="28"/>
    </w:p>
    <w:p w14:paraId="0201470C">
      <w:pPr>
        <w:spacing w:line="360" w:lineRule="auto"/>
        <w:ind w:firstLine="420" w:firstLineChars="200"/>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自本公告发布之日起5个工作日。</w:t>
      </w:r>
    </w:p>
    <w:p w14:paraId="4E068621">
      <w:pPr>
        <w:keepNext/>
        <w:keepLines/>
        <w:spacing w:before="260" w:after="260" w:line="360" w:lineRule="auto"/>
        <w:outlineLvl w:val="1"/>
        <w:rPr>
          <w:rFonts w:cs="宋体" w:asciiTheme="minorEastAsia" w:hAnsiTheme="minorEastAsia" w:eastAsiaTheme="minorEastAsia"/>
          <w:b/>
          <w:bCs/>
          <w:color w:val="auto"/>
          <w:sz w:val="24"/>
          <w:szCs w:val="21"/>
        </w:rPr>
      </w:pPr>
      <w:bookmarkStart w:id="29" w:name="_Toc35393804"/>
      <w:bookmarkStart w:id="30" w:name="_Toc35393635"/>
      <w:r>
        <w:rPr>
          <w:rFonts w:hint="eastAsia" w:cs="宋体" w:asciiTheme="minorEastAsia" w:hAnsiTheme="minorEastAsia" w:eastAsiaTheme="minorEastAsia"/>
          <w:b/>
          <w:bCs/>
          <w:color w:val="auto"/>
          <w:sz w:val="24"/>
          <w:szCs w:val="21"/>
        </w:rPr>
        <w:t>七、其他补充事宜</w:t>
      </w:r>
      <w:bookmarkEnd w:id="29"/>
      <w:bookmarkEnd w:id="30"/>
    </w:p>
    <w:bookmarkEnd w:id="19"/>
    <w:bookmarkEnd w:id="20"/>
    <w:p w14:paraId="4FA8FAEA">
      <w:pPr>
        <w:spacing w:line="360" w:lineRule="auto"/>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1.供应商须在响应文件递交截止时间前，应按照有关规定提供磋商保证金或担保公司开具的保函或银行保函。</w:t>
      </w:r>
    </w:p>
    <w:p w14:paraId="5A8E4695">
      <w:pPr>
        <w:spacing w:line="360" w:lineRule="auto"/>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2.未下载采购文件的、逾期上传或者没有在规定时间内解密成功的响应文件，采购人不予受理；</w:t>
      </w:r>
    </w:p>
    <w:p w14:paraId="69EFAD09">
      <w:pPr>
        <w:spacing w:line="360" w:lineRule="auto"/>
        <w:ind w:firstLine="420" w:firstLineChars="200"/>
        <w:rPr>
          <w:rFonts w:hint="eastAsia" w:ascii="宋体" w:hAnsi="宋体"/>
          <w:color w:val="auto"/>
          <w:szCs w:val="21"/>
        </w:rPr>
      </w:pPr>
      <w:r>
        <w:rPr>
          <w:rFonts w:hint="eastAsia" w:ascii="宋体" w:hAnsi="宋体" w:cs="宋体"/>
          <w:color w:val="auto"/>
          <w:kern w:val="0"/>
          <w:szCs w:val="21"/>
          <w:lang w:val="en-US" w:eastAsia="zh-CN"/>
        </w:rPr>
        <w:t>3.本次竞争性磋商公告在“政采云”平台（http://www.zcygov.cn）发布，同步推送到吉林省政府采购网（http://www.ccgp-jilin.gov.cn/）、中国政府采购网发布</w:t>
      </w:r>
      <w:r>
        <w:rPr>
          <w:rFonts w:hint="eastAsia" w:ascii="宋体" w:hAnsi="宋体"/>
          <w:color w:val="auto"/>
          <w:szCs w:val="21"/>
        </w:rPr>
        <w:t>.</w:t>
      </w:r>
    </w:p>
    <w:p w14:paraId="726D6097">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lang w:val="en-US" w:eastAsia="zh-CN"/>
        </w:rPr>
        <w:t>4.</w:t>
      </w:r>
      <w:r>
        <w:rPr>
          <w:rFonts w:hint="eastAsia" w:ascii="宋体" w:hAnsi="宋体" w:eastAsia="宋体" w:cs="宋体"/>
          <w:color w:val="auto"/>
          <w:highlight w:val="none"/>
          <w:lang w:val="en-US" w:eastAsia="zh-CN"/>
        </w:rPr>
        <w:t>若对项目采购电子交易系统操作有疑问，可登录“政采云”平台（</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"https://www.zcygov.cn/"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https://www.zcygov.cn/</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），点击右侧咨询小采，获取采小蜜智能服务管家帮助，或拨打政采云服务热线</w:t>
      </w:r>
      <w:r>
        <w:rPr>
          <w:rFonts w:hint="eastAsia" w:ascii="宋体" w:hAnsi="宋体" w:cs="宋体"/>
          <w:color w:val="auto"/>
          <w:highlight w:val="none"/>
          <w:lang w:val="en-US" w:eastAsia="zh-CN"/>
        </w:rPr>
        <w:t>95763</w:t>
      </w:r>
      <w:r>
        <w:rPr>
          <w:rFonts w:hint="eastAsia" w:ascii="宋体" w:hAnsi="宋体" w:eastAsia="宋体" w:cs="宋体"/>
          <w:color w:val="auto"/>
          <w:highlight w:val="none"/>
          <w:lang w:val="en-US" w:eastAsia="zh-CN"/>
        </w:rPr>
        <w:t>获取热线服务帮助。</w:t>
      </w:r>
    </w:p>
    <w:p w14:paraId="718880C0">
      <w:pPr>
        <w:pStyle w:val="10"/>
        <w:rPr>
          <w:color w:val="auto"/>
        </w:rPr>
      </w:pPr>
    </w:p>
    <w:p w14:paraId="1B3FD8A2">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八、对本次招标提出询问，请按以下方式联系。</w:t>
      </w:r>
    </w:p>
    <w:p w14:paraId="6625FF4C">
      <w:pPr>
        <w:widowControl/>
        <w:spacing w:line="360" w:lineRule="auto"/>
        <w:ind w:firstLine="420" w:firstLineChars="200"/>
        <w:jc w:val="left"/>
        <w:rPr>
          <w:rFonts w:hint="eastAsia" w:cs="宋体" w:asciiTheme="minorEastAsia" w:hAnsiTheme="minorEastAsia" w:eastAsiaTheme="minorEastAsia"/>
          <w:color w:val="auto"/>
          <w:kern w:val="0"/>
          <w:szCs w:val="20"/>
        </w:rPr>
      </w:pPr>
      <w:r>
        <w:rPr>
          <w:rFonts w:hint="eastAsia" w:cs="宋体" w:asciiTheme="minorEastAsia" w:hAnsiTheme="minorEastAsia" w:eastAsiaTheme="minorEastAsia"/>
          <w:color w:val="auto"/>
          <w:kern w:val="0"/>
          <w:szCs w:val="20"/>
        </w:rPr>
        <w:t>1、</w:t>
      </w:r>
      <w:r>
        <w:rPr>
          <w:rFonts w:hint="eastAsia" w:cs="宋体" w:asciiTheme="minorEastAsia" w:hAnsiTheme="minorEastAsia" w:eastAsiaTheme="minorEastAsia"/>
          <w:color w:val="auto"/>
          <w:kern w:val="0"/>
          <w:szCs w:val="20"/>
          <w:lang w:eastAsia="zh-CN"/>
        </w:rPr>
        <w:t>采购</w:t>
      </w:r>
      <w:r>
        <w:rPr>
          <w:rFonts w:hint="eastAsia" w:cs="宋体" w:asciiTheme="minorEastAsia" w:hAnsiTheme="minorEastAsia" w:eastAsiaTheme="minorEastAsia"/>
          <w:color w:val="auto"/>
          <w:kern w:val="0"/>
          <w:szCs w:val="20"/>
        </w:rPr>
        <w:t>人：</w:t>
      </w:r>
      <w:r>
        <w:rPr>
          <w:rFonts w:hint="eastAsia" w:cs="宋体" w:asciiTheme="minorEastAsia" w:hAnsiTheme="minorEastAsia" w:eastAsiaTheme="minorEastAsia"/>
          <w:color w:val="auto"/>
          <w:kern w:val="0"/>
          <w:szCs w:val="20"/>
          <w:lang w:val="en-US" w:eastAsia="zh-CN"/>
        </w:rPr>
        <w:t>延吉市农村社会福利服务中心</w:t>
      </w:r>
      <w:r>
        <w:rPr>
          <w:rFonts w:hint="eastAsia" w:cs="宋体" w:asciiTheme="minorEastAsia" w:hAnsiTheme="minorEastAsia" w:eastAsiaTheme="minorEastAsia"/>
          <w:color w:val="auto"/>
          <w:kern w:val="0"/>
          <w:szCs w:val="20"/>
        </w:rPr>
        <w:t xml:space="preserve">     </w:t>
      </w:r>
    </w:p>
    <w:p w14:paraId="2047F452">
      <w:pPr>
        <w:widowControl/>
        <w:spacing w:line="360" w:lineRule="auto"/>
        <w:ind w:firstLine="420" w:firstLineChars="200"/>
        <w:jc w:val="left"/>
        <w:rPr>
          <w:rFonts w:hint="eastAsia" w:cs="宋体" w:asciiTheme="minorEastAsia" w:hAnsiTheme="minorEastAsia" w:eastAsiaTheme="minorEastAsia"/>
          <w:color w:val="auto"/>
          <w:kern w:val="0"/>
          <w:szCs w:val="20"/>
        </w:rPr>
      </w:pPr>
      <w:r>
        <w:rPr>
          <w:rFonts w:hint="eastAsia" w:cs="宋体" w:asciiTheme="minorEastAsia" w:hAnsiTheme="minorEastAsia" w:eastAsiaTheme="minorEastAsia"/>
          <w:color w:val="auto"/>
          <w:kern w:val="0"/>
          <w:szCs w:val="20"/>
        </w:rPr>
        <w:t>联系人：</w:t>
      </w:r>
      <w:r>
        <w:rPr>
          <w:rFonts w:hint="eastAsia" w:cs="宋体" w:asciiTheme="minorEastAsia" w:hAnsiTheme="minorEastAsia" w:eastAsiaTheme="minorEastAsia"/>
          <w:color w:val="auto"/>
          <w:kern w:val="0"/>
          <w:szCs w:val="20"/>
          <w:lang w:val="en-US" w:eastAsia="zh-CN"/>
        </w:rPr>
        <w:t>许明淑</w:t>
      </w:r>
      <w:r>
        <w:rPr>
          <w:rFonts w:hint="eastAsia" w:cs="宋体" w:asciiTheme="minorEastAsia" w:hAnsiTheme="minorEastAsia" w:eastAsiaTheme="minorEastAsia"/>
          <w:color w:val="auto"/>
          <w:kern w:val="0"/>
          <w:szCs w:val="20"/>
        </w:rPr>
        <w:t xml:space="preserve">    </w:t>
      </w:r>
    </w:p>
    <w:p w14:paraId="61E5CFA5">
      <w:pPr>
        <w:widowControl/>
        <w:spacing w:line="360" w:lineRule="auto"/>
        <w:ind w:firstLine="420" w:firstLineChars="200"/>
        <w:jc w:val="left"/>
        <w:rPr>
          <w:rFonts w:hint="default" w:cs="宋体" w:asciiTheme="minorEastAsia" w:hAnsiTheme="minorEastAsia" w:eastAsiaTheme="minorEastAsia"/>
          <w:color w:val="auto"/>
          <w:kern w:val="0"/>
          <w:szCs w:val="20"/>
          <w:lang w:val="en-US" w:eastAsia="zh-CN"/>
        </w:rPr>
      </w:pPr>
      <w:r>
        <w:rPr>
          <w:rFonts w:hint="eastAsia" w:cs="宋体" w:asciiTheme="minorEastAsia" w:hAnsiTheme="minorEastAsia" w:eastAsiaTheme="minorEastAsia"/>
          <w:color w:val="auto"/>
          <w:kern w:val="0"/>
          <w:szCs w:val="20"/>
        </w:rPr>
        <w:t>电话：</w:t>
      </w:r>
      <w:r>
        <w:rPr>
          <w:rFonts w:hint="eastAsia" w:cs="宋体" w:asciiTheme="minorEastAsia" w:hAnsiTheme="minorEastAsia" w:eastAsiaTheme="minorEastAsia"/>
          <w:color w:val="auto"/>
          <w:kern w:val="0"/>
          <w:szCs w:val="20"/>
          <w:lang w:val="en-US" w:eastAsia="zh-CN"/>
        </w:rPr>
        <w:t>13704487407</w:t>
      </w:r>
    </w:p>
    <w:p w14:paraId="4680CB8E">
      <w:pPr>
        <w:widowControl/>
        <w:spacing w:line="360" w:lineRule="auto"/>
        <w:ind w:firstLine="420" w:firstLineChars="200"/>
        <w:jc w:val="left"/>
        <w:rPr>
          <w:rFonts w:cs="宋体" w:asciiTheme="minorEastAsia" w:hAnsiTheme="minorEastAsia" w:eastAsiaTheme="minorEastAsia"/>
          <w:color w:val="auto"/>
          <w:kern w:val="0"/>
          <w:szCs w:val="20"/>
        </w:rPr>
      </w:pPr>
      <w:r>
        <w:rPr>
          <w:rFonts w:hint="eastAsia" w:cs="宋体" w:asciiTheme="minorEastAsia" w:hAnsiTheme="minorEastAsia" w:eastAsiaTheme="minorEastAsia"/>
          <w:color w:val="auto"/>
          <w:kern w:val="0"/>
          <w:szCs w:val="20"/>
        </w:rPr>
        <w:t>地址：延吉市朝阳川镇朝阳村1001号；</w:t>
      </w:r>
    </w:p>
    <w:p w14:paraId="6EB75A7A">
      <w:pPr>
        <w:widowControl/>
        <w:spacing w:line="480" w:lineRule="auto"/>
        <w:ind w:firstLine="210" w:firstLineChars="100"/>
        <w:jc w:val="left"/>
        <w:rPr>
          <w:rFonts w:ascii="宋体" w:hAnsi="宋体" w:cs="宋体"/>
          <w:color w:val="auto"/>
          <w:kern w:val="0"/>
          <w:szCs w:val="20"/>
        </w:rPr>
      </w:pPr>
      <w:r>
        <w:rPr>
          <w:rFonts w:hint="eastAsia" w:ascii="宋体" w:hAnsi="宋体" w:cs="宋体"/>
          <w:color w:val="auto"/>
          <w:kern w:val="0"/>
          <w:szCs w:val="20"/>
        </w:rPr>
        <w:t>2、</w:t>
      </w:r>
      <w:r>
        <w:rPr>
          <w:rFonts w:hint="eastAsia" w:ascii="宋体" w:hAnsi="宋体" w:cs="宋体"/>
          <w:color w:val="auto"/>
          <w:kern w:val="0"/>
          <w:szCs w:val="20"/>
          <w:lang w:eastAsia="zh-CN"/>
        </w:rPr>
        <w:t>采购</w:t>
      </w:r>
      <w:r>
        <w:rPr>
          <w:rFonts w:hint="eastAsia" w:ascii="宋体" w:hAnsi="宋体" w:cs="宋体"/>
          <w:color w:val="auto"/>
          <w:kern w:val="0"/>
          <w:szCs w:val="20"/>
        </w:rPr>
        <w:t>代理机构：</w:t>
      </w:r>
      <w:r>
        <w:rPr>
          <w:rFonts w:hint="eastAsia" w:ascii="宋体" w:hAnsi="宋体" w:cs="宋体"/>
          <w:color w:val="auto"/>
          <w:kern w:val="0"/>
          <w:szCs w:val="20"/>
          <w:lang w:eastAsia="zh-CN"/>
        </w:rPr>
        <w:t>吉林泓远项目管理有限公司</w:t>
      </w:r>
      <w:r>
        <w:rPr>
          <w:rFonts w:hint="eastAsia" w:ascii="宋体" w:hAnsi="宋体" w:cs="宋体"/>
          <w:color w:val="auto"/>
          <w:kern w:val="0"/>
          <w:szCs w:val="20"/>
        </w:rPr>
        <w:t>；</w:t>
      </w:r>
    </w:p>
    <w:p w14:paraId="6DEE8E3D">
      <w:pPr>
        <w:widowControl/>
        <w:spacing w:line="480" w:lineRule="auto"/>
        <w:ind w:right="231" w:rightChars="110" w:firstLine="420" w:firstLineChars="200"/>
        <w:jc w:val="left"/>
        <w:rPr>
          <w:rFonts w:hint="eastAsia" w:ascii="宋体" w:hAnsi="宋体" w:cs="宋体"/>
          <w:color w:val="auto"/>
          <w:kern w:val="0"/>
          <w:szCs w:val="20"/>
        </w:rPr>
      </w:pPr>
      <w:r>
        <w:rPr>
          <w:rFonts w:hint="eastAsia" w:ascii="宋体" w:hAnsi="宋体" w:cs="宋体"/>
          <w:color w:val="auto"/>
          <w:kern w:val="0"/>
          <w:szCs w:val="20"/>
        </w:rPr>
        <w:t xml:space="preserve">地址：延边州延吉市太平街202号6001；    </w:t>
      </w:r>
    </w:p>
    <w:p w14:paraId="0F65C23B">
      <w:pPr>
        <w:widowControl/>
        <w:spacing w:line="480" w:lineRule="auto"/>
        <w:ind w:right="231" w:rightChars="110" w:firstLine="420" w:firstLineChars="200"/>
        <w:jc w:val="left"/>
        <w:rPr>
          <w:rFonts w:ascii="宋体" w:hAnsi="宋体" w:cs="宋体"/>
          <w:color w:val="auto"/>
          <w:kern w:val="0"/>
          <w:szCs w:val="20"/>
        </w:rPr>
      </w:pPr>
      <w:r>
        <w:rPr>
          <w:rFonts w:hint="eastAsia" w:ascii="宋体" w:hAnsi="宋体" w:cs="宋体"/>
          <w:color w:val="auto"/>
          <w:kern w:val="0"/>
          <w:szCs w:val="20"/>
        </w:rPr>
        <w:t>联系人：孙妍；</w:t>
      </w:r>
    </w:p>
    <w:p w14:paraId="2623B0E3">
      <w:pPr>
        <w:widowControl/>
        <w:spacing w:line="480" w:lineRule="auto"/>
        <w:ind w:right="231" w:rightChars="110" w:firstLine="420" w:firstLineChars="200"/>
        <w:jc w:val="left"/>
        <w:rPr>
          <w:rFonts w:hint="eastAsia" w:ascii="宋体" w:hAnsi="宋体" w:cs="宋体"/>
          <w:color w:val="auto"/>
          <w:kern w:val="0"/>
          <w:szCs w:val="20"/>
        </w:rPr>
      </w:pPr>
      <w:r>
        <w:rPr>
          <w:rFonts w:hint="eastAsia" w:ascii="宋体" w:hAnsi="宋体" w:cs="宋体"/>
          <w:color w:val="auto"/>
          <w:kern w:val="0"/>
          <w:szCs w:val="20"/>
        </w:rPr>
        <w:t xml:space="preserve">电话：0433-2867005；                 </w:t>
      </w:r>
    </w:p>
    <w:p w14:paraId="61195CCB">
      <w:pPr>
        <w:widowControl/>
        <w:spacing w:line="480" w:lineRule="auto"/>
        <w:ind w:right="231" w:rightChars="110" w:firstLine="420" w:firstLineChars="200"/>
        <w:jc w:val="left"/>
        <w:rPr>
          <w:rFonts w:ascii="宋体" w:hAnsi="宋体" w:cs="宋体"/>
          <w:color w:val="auto"/>
          <w:kern w:val="0"/>
          <w:szCs w:val="20"/>
        </w:rPr>
      </w:pPr>
      <w:r>
        <w:rPr>
          <w:rFonts w:hint="eastAsia" w:ascii="宋体" w:hAnsi="宋体" w:cs="宋体"/>
          <w:color w:val="auto"/>
          <w:kern w:val="0"/>
          <w:szCs w:val="20"/>
        </w:rPr>
        <w:t>邮箱：</w:t>
      </w:r>
      <w:r>
        <w:rPr>
          <w:color w:val="auto"/>
        </w:rPr>
        <w:fldChar w:fldCharType="begin"/>
      </w:r>
      <w:r>
        <w:rPr>
          <w:color w:val="auto"/>
        </w:rPr>
        <w:instrText xml:space="preserve"> HYPERLINK "mailto:pp8503@126.com" </w:instrText>
      </w:r>
      <w:r>
        <w:rPr>
          <w:color w:val="auto"/>
        </w:rPr>
        <w:fldChar w:fldCharType="separate"/>
      </w:r>
      <w:r>
        <w:rPr>
          <w:rFonts w:hint="eastAsia" w:ascii="宋体" w:hAnsi="宋体" w:cs="宋体"/>
          <w:color w:val="auto"/>
          <w:kern w:val="0"/>
          <w:szCs w:val="20"/>
        </w:rPr>
        <w:t>pp8503@126.com</w:t>
      </w:r>
      <w:r>
        <w:rPr>
          <w:rFonts w:hint="eastAsia" w:ascii="宋体" w:hAnsi="宋体" w:cs="宋体"/>
          <w:color w:val="auto"/>
          <w:kern w:val="0"/>
          <w:szCs w:val="20"/>
        </w:rPr>
        <w:fldChar w:fldCharType="end"/>
      </w:r>
      <w:r>
        <w:rPr>
          <w:rFonts w:hint="eastAsia" w:ascii="宋体" w:hAnsi="宋体" w:cs="宋体"/>
          <w:color w:val="auto"/>
          <w:kern w:val="0"/>
          <w:szCs w:val="20"/>
        </w:rPr>
        <w:t>；</w:t>
      </w:r>
    </w:p>
    <w:p w14:paraId="17F37FA5">
      <w:pPr>
        <w:rPr>
          <w:rFonts w:hint="eastAsia" w:ascii="宋体" w:hAnsi="宋体"/>
          <w:color w:val="auto"/>
          <w:szCs w:val="20"/>
        </w:rPr>
      </w:pPr>
      <w:r>
        <w:rPr>
          <w:rFonts w:hint="eastAsia" w:ascii="宋体" w:hAnsi="宋体" w:eastAsia="宋体"/>
          <w:color w:val="auto"/>
          <w:sz w:val="21"/>
          <w:szCs w:val="21"/>
          <w:lang w:val="en-US" w:eastAsia="zh-CN"/>
        </w:rPr>
        <w:t>3</w:t>
      </w:r>
      <w:r>
        <w:rPr>
          <w:rFonts w:hint="eastAsia" w:ascii="宋体" w:hAnsi="宋体" w:eastAsia="宋体"/>
          <w:color w:val="auto"/>
          <w:sz w:val="21"/>
          <w:szCs w:val="21"/>
        </w:rPr>
        <w:t>.</w:t>
      </w:r>
      <w:r>
        <w:rPr>
          <w:rFonts w:hint="eastAsia" w:ascii="宋体" w:hAnsi="宋体" w:cs="宋体"/>
          <w:color w:val="auto"/>
          <w:sz w:val="21"/>
          <w:szCs w:val="21"/>
          <w:highlight w:val="none"/>
        </w:rPr>
        <w:t>监督</w:t>
      </w:r>
      <w:r>
        <w:rPr>
          <w:rFonts w:hint="eastAsia" w:ascii="宋体" w:hAnsi="宋体" w:cs="宋体"/>
          <w:color w:val="auto"/>
          <w:sz w:val="21"/>
          <w:szCs w:val="21"/>
          <w:highlight w:val="none"/>
          <w:lang w:val="en-US" w:eastAsia="zh-CN"/>
        </w:rPr>
        <w:t>管理</w:t>
      </w:r>
      <w:r>
        <w:rPr>
          <w:rFonts w:hint="eastAsia" w:ascii="宋体" w:hAnsi="宋体" w:cs="宋体"/>
          <w:color w:val="auto"/>
          <w:sz w:val="21"/>
          <w:szCs w:val="21"/>
          <w:highlight w:val="none"/>
        </w:rPr>
        <w:t>部门：</w:t>
      </w:r>
      <w:r>
        <w:rPr>
          <w:rFonts w:hint="eastAsia" w:ascii="宋体" w:hAnsi="宋体" w:cs="宋体"/>
          <w:color w:val="auto"/>
          <w:sz w:val="21"/>
          <w:szCs w:val="21"/>
          <w:highlight w:val="none"/>
          <w:lang w:val="en-US" w:eastAsia="zh-CN"/>
        </w:rPr>
        <w:t>延吉</w:t>
      </w:r>
      <w:r>
        <w:rPr>
          <w:rFonts w:hint="eastAsia" w:ascii="宋体" w:hAnsi="宋体" w:cs="宋体"/>
          <w:color w:val="auto"/>
          <w:sz w:val="21"/>
          <w:szCs w:val="21"/>
          <w:lang w:val="en-US" w:eastAsia="zh-CN"/>
        </w:rPr>
        <w:t>市</w:t>
      </w:r>
      <w:r>
        <w:rPr>
          <w:rFonts w:hint="eastAsia" w:ascii="宋体" w:hAnsi="宋体" w:eastAsia="宋体" w:cs="宋体"/>
          <w:color w:val="auto"/>
          <w:sz w:val="21"/>
          <w:szCs w:val="21"/>
          <w:lang w:val="en-US" w:eastAsia="zh-CN"/>
        </w:rPr>
        <w:t>财政局</w:t>
      </w:r>
      <w:r>
        <w:rPr>
          <w:rFonts w:hint="eastAsia" w:ascii="宋体" w:hAnsi="宋体" w:cs="宋体"/>
          <w:color w:val="auto"/>
          <w:sz w:val="21"/>
          <w:szCs w:val="21"/>
          <w:highlight w:val="none"/>
          <w:lang w:val="en-US" w:eastAsia="zh-CN"/>
        </w:rPr>
        <w:t>政府采购管理工作办公室</w:t>
      </w:r>
    </w:p>
    <w:p w14:paraId="14372E2B">
      <w:pPr>
        <w:widowControl/>
        <w:spacing w:line="480" w:lineRule="auto"/>
        <w:ind w:right="231" w:rightChars="110" w:firstLine="4305" w:firstLineChars="2050"/>
        <w:jc w:val="left"/>
        <w:rPr>
          <w:rFonts w:hint="eastAsia" w:ascii="宋体" w:hAnsi="宋体" w:cs="宋体"/>
          <w:color w:val="auto"/>
          <w:kern w:val="0"/>
          <w:szCs w:val="20"/>
        </w:rPr>
      </w:pPr>
    </w:p>
    <w:p w14:paraId="2BEAC9C6">
      <w:pPr>
        <w:widowControl/>
        <w:spacing w:line="480" w:lineRule="auto"/>
        <w:ind w:right="231" w:rightChars="110" w:firstLine="6405" w:firstLineChars="3050"/>
        <w:jc w:val="left"/>
        <w:rPr>
          <w:rFonts w:ascii="宋体" w:hAnsi="宋体" w:cs="宋体"/>
          <w:color w:val="auto"/>
          <w:kern w:val="0"/>
          <w:szCs w:val="20"/>
        </w:rPr>
      </w:pPr>
      <w:r>
        <w:rPr>
          <w:rFonts w:hint="eastAsia" w:ascii="宋体" w:hAnsi="宋体" w:cs="宋体"/>
          <w:color w:val="auto"/>
          <w:kern w:val="0"/>
          <w:szCs w:val="20"/>
          <w:lang w:eastAsia="zh-CN"/>
        </w:rPr>
        <w:t>吉林泓远项目管理有限公司</w:t>
      </w:r>
    </w:p>
    <w:p w14:paraId="60C3D1E5">
      <w:pPr>
        <w:widowControl/>
        <w:snapToGrid w:val="0"/>
        <w:spacing w:line="480" w:lineRule="auto"/>
        <w:jc w:val="center"/>
        <w:rPr>
          <w:rFonts w:hint="eastAsia" w:ascii="宋体" w:hAnsi="宋体"/>
          <w:color w:val="auto"/>
          <w:szCs w:val="20"/>
        </w:rPr>
      </w:pPr>
      <w:r>
        <w:rPr>
          <w:rFonts w:hint="eastAsia" w:ascii="宋体" w:hAnsi="宋体"/>
          <w:color w:val="auto"/>
          <w:szCs w:val="20"/>
        </w:rPr>
        <w:t xml:space="preserve">                                 </w:t>
      </w:r>
      <w:r>
        <w:rPr>
          <w:rFonts w:hint="eastAsia" w:ascii="宋体" w:hAnsi="宋体"/>
          <w:color w:val="auto"/>
          <w:szCs w:val="20"/>
          <w:lang w:val="en-US" w:eastAsia="zh-CN"/>
        </w:rPr>
        <w:t xml:space="preserve">                             </w:t>
      </w:r>
      <w:r>
        <w:rPr>
          <w:rFonts w:hint="eastAsia" w:ascii="宋体" w:hAnsi="宋体"/>
          <w:color w:val="auto"/>
          <w:szCs w:val="20"/>
        </w:rPr>
        <w:t xml:space="preserve"> 202</w:t>
      </w:r>
      <w:r>
        <w:rPr>
          <w:rFonts w:hint="eastAsia" w:ascii="宋体" w:hAnsi="宋体"/>
          <w:color w:val="auto"/>
          <w:szCs w:val="20"/>
          <w:lang w:val="en-US" w:eastAsia="zh-CN"/>
        </w:rPr>
        <w:t>6</w:t>
      </w:r>
      <w:r>
        <w:rPr>
          <w:rFonts w:hint="eastAsia" w:ascii="宋体" w:hAnsi="宋体"/>
          <w:color w:val="auto"/>
          <w:szCs w:val="20"/>
        </w:rPr>
        <w:t>年</w:t>
      </w:r>
      <w:r>
        <w:rPr>
          <w:rFonts w:hint="eastAsia" w:ascii="宋体" w:hAnsi="宋体"/>
          <w:color w:val="auto"/>
          <w:szCs w:val="20"/>
          <w:lang w:val="en-US" w:eastAsia="zh-CN"/>
        </w:rPr>
        <w:t>5</w:t>
      </w:r>
      <w:r>
        <w:rPr>
          <w:rFonts w:hint="eastAsia" w:ascii="宋体" w:hAnsi="宋体"/>
          <w:color w:val="auto"/>
          <w:szCs w:val="20"/>
        </w:rPr>
        <w:t>月</w:t>
      </w:r>
      <w:r>
        <w:rPr>
          <w:rFonts w:hint="eastAsia" w:ascii="宋体" w:hAnsi="宋体"/>
          <w:color w:val="auto"/>
          <w:szCs w:val="20"/>
          <w:lang w:val="en-US" w:eastAsia="zh-CN"/>
        </w:rPr>
        <w:t>21</w:t>
      </w:r>
      <w:r>
        <w:rPr>
          <w:rFonts w:hint="eastAsia" w:ascii="宋体" w:hAnsi="宋体"/>
          <w:color w:val="auto"/>
          <w:szCs w:val="20"/>
        </w:rPr>
        <w:t>日</w:t>
      </w:r>
    </w:p>
    <w:p w14:paraId="537B9F16">
      <w:pPr>
        <w:widowControl/>
        <w:snapToGrid w:val="0"/>
        <w:spacing w:line="480" w:lineRule="auto"/>
        <w:jc w:val="center"/>
        <w:rPr>
          <w:rFonts w:hint="eastAsia" w:ascii="宋体" w:hAnsi="宋体"/>
          <w:color w:val="auto"/>
          <w:szCs w:val="20"/>
        </w:rPr>
      </w:pPr>
    </w:p>
    <w:p w14:paraId="552CB240">
      <w:pPr>
        <w:widowControl/>
        <w:snapToGrid w:val="0"/>
        <w:spacing w:line="480" w:lineRule="auto"/>
        <w:jc w:val="center"/>
        <w:rPr>
          <w:rFonts w:hint="eastAsia" w:ascii="宋体" w:hAnsi="宋体"/>
          <w:color w:val="auto"/>
          <w:szCs w:val="20"/>
        </w:rPr>
      </w:pPr>
    </w:p>
    <w:p w14:paraId="6D7D91CF">
      <w:pPr>
        <w:pStyle w:val="33"/>
        <w:rPr>
          <w:rFonts w:hint="eastAsia" w:ascii="宋体" w:hAnsi="宋体"/>
          <w:color w:val="auto"/>
          <w:szCs w:val="20"/>
        </w:rPr>
      </w:pPr>
    </w:p>
    <w:p w14:paraId="68045214">
      <w:pPr>
        <w:rPr>
          <w:rFonts w:hint="eastAsia" w:ascii="宋体" w:hAnsi="宋体"/>
          <w:color w:val="auto"/>
          <w:szCs w:val="20"/>
        </w:rPr>
      </w:pPr>
    </w:p>
    <w:p w14:paraId="41E2034B">
      <w:pPr>
        <w:pStyle w:val="33"/>
        <w:rPr>
          <w:rFonts w:hint="eastAsia" w:ascii="宋体" w:hAnsi="宋体"/>
          <w:color w:val="auto"/>
          <w:szCs w:val="20"/>
        </w:rPr>
      </w:pPr>
    </w:p>
    <w:p w14:paraId="4E4EB851">
      <w:pPr>
        <w:rPr>
          <w:rFonts w:hint="eastAsia" w:ascii="宋体" w:hAnsi="宋体"/>
          <w:color w:val="auto"/>
          <w:szCs w:val="20"/>
        </w:rPr>
      </w:pPr>
    </w:p>
    <w:p w14:paraId="4042ABF1">
      <w:pPr>
        <w:pStyle w:val="33"/>
        <w:rPr>
          <w:rFonts w:hint="eastAsia" w:ascii="宋体" w:hAnsi="宋体"/>
          <w:color w:val="auto"/>
          <w:szCs w:val="20"/>
        </w:rPr>
      </w:pPr>
    </w:p>
    <w:p w14:paraId="18125D16">
      <w:pPr>
        <w:rPr>
          <w:rFonts w:hint="eastAsia" w:ascii="宋体" w:hAnsi="宋体"/>
          <w:color w:val="auto"/>
          <w:szCs w:val="20"/>
        </w:rPr>
      </w:pPr>
    </w:p>
    <w:p w14:paraId="14A1D890">
      <w:pPr>
        <w:pStyle w:val="33"/>
        <w:rPr>
          <w:rFonts w:hint="eastAsia" w:ascii="宋体" w:hAnsi="宋体"/>
          <w:color w:val="auto"/>
          <w:szCs w:val="20"/>
        </w:rPr>
      </w:pPr>
    </w:p>
    <w:p w14:paraId="36287E92">
      <w:pPr>
        <w:rPr>
          <w:rFonts w:hint="eastAsia" w:ascii="宋体" w:hAnsi="宋体"/>
          <w:color w:val="auto"/>
          <w:szCs w:val="20"/>
        </w:rPr>
      </w:pPr>
    </w:p>
    <w:p w14:paraId="6C334704">
      <w:pPr>
        <w:rPr>
          <w:rFonts w:hint="eastAsia" w:ascii="宋体" w:hAnsi="宋体"/>
          <w:color w:val="auto"/>
          <w:szCs w:val="20"/>
        </w:rPr>
      </w:pPr>
    </w:p>
    <w:p w14:paraId="35C35CDD">
      <w:pPr>
        <w:rPr>
          <w:rFonts w:hint="eastAsia" w:ascii="宋体" w:hAnsi="宋体"/>
          <w:color w:val="auto"/>
          <w:szCs w:val="20"/>
        </w:rPr>
      </w:pPr>
    </w:p>
    <w:p w14:paraId="1DFAAA79">
      <w:pPr>
        <w:rPr>
          <w:rFonts w:hint="eastAsia" w:ascii="宋体" w:hAnsi="宋体"/>
          <w:color w:val="auto"/>
          <w:szCs w:val="20"/>
        </w:rPr>
      </w:pPr>
    </w:p>
    <w:p w14:paraId="60C194A5">
      <w:pPr>
        <w:rPr>
          <w:rFonts w:hint="eastAsia" w:ascii="宋体" w:hAnsi="宋体"/>
          <w:color w:val="auto"/>
          <w:szCs w:val="20"/>
        </w:rPr>
      </w:pPr>
    </w:p>
    <w:p w14:paraId="7C8AA635">
      <w:pPr>
        <w:rPr>
          <w:rFonts w:hint="eastAsia" w:ascii="宋体" w:hAnsi="宋体"/>
          <w:color w:val="auto"/>
          <w:szCs w:val="20"/>
        </w:rPr>
      </w:pPr>
    </w:p>
    <w:p w14:paraId="1505E56A">
      <w:pPr>
        <w:rPr>
          <w:rFonts w:hint="eastAsia" w:ascii="宋体" w:hAnsi="宋体"/>
          <w:color w:val="auto"/>
          <w:szCs w:val="20"/>
        </w:rPr>
      </w:pPr>
    </w:p>
    <w:p w14:paraId="32A6D877">
      <w:pPr>
        <w:rPr>
          <w:rFonts w:hint="eastAsia" w:ascii="宋体" w:hAnsi="宋体"/>
          <w:color w:val="auto"/>
          <w:szCs w:val="20"/>
        </w:rPr>
      </w:pPr>
    </w:p>
    <w:p w14:paraId="6DF2E7D8">
      <w:pPr>
        <w:rPr>
          <w:rFonts w:hint="eastAsia" w:ascii="宋体" w:hAnsi="宋体"/>
          <w:color w:val="auto"/>
          <w:szCs w:val="20"/>
        </w:rPr>
      </w:pPr>
    </w:p>
    <w:p w14:paraId="32F0F758">
      <w:pPr>
        <w:pStyle w:val="33"/>
        <w:rPr>
          <w:rFonts w:hint="eastAsia" w:ascii="宋体" w:hAnsi="宋体"/>
          <w:color w:val="auto"/>
          <w:szCs w:val="20"/>
        </w:rPr>
      </w:pPr>
    </w:p>
    <w:p w14:paraId="1F7D2DB4">
      <w:pPr>
        <w:rPr>
          <w:rFonts w:hint="eastAsia" w:ascii="宋体" w:hAnsi="宋体"/>
          <w:color w:val="auto"/>
          <w:szCs w:val="20"/>
        </w:rPr>
      </w:pPr>
    </w:p>
    <w:p w14:paraId="3A9FFB1E">
      <w:pPr>
        <w:pStyle w:val="33"/>
        <w:rPr>
          <w:rFonts w:hint="eastAsia" w:ascii="宋体" w:hAnsi="宋体"/>
          <w:color w:val="auto"/>
          <w:szCs w:val="20"/>
        </w:rPr>
      </w:pPr>
    </w:p>
    <w:p w14:paraId="085A0E40">
      <w:pPr>
        <w:rPr>
          <w:rFonts w:hint="eastAsia" w:ascii="宋体" w:hAnsi="宋体"/>
          <w:color w:val="auto"/>
          <w:szCs w:val="20"/>
        </w:rPr>
      </w:pPr>
    </w:p>
    <w:p w14:paraId="6604FC5C">
      <w:pPr>
        <w:pStyle w:val="33"/>
        <w:rPr>
          <w:rFonts w:hint="eastAsia" w:ascii="宋体" w:hAnsi="宋体"/>
          <w:color w:val="auto"/>
          <w:szCs w:val="20"/>
        </w:rPr>
      </w:pPr>
    </w:p>
    <w:p w14:paraId="0F4BFAB5">
      <w:pPr>
        <w:rPr>
          <w:rFonts w:hint="eastAsia" w:ascii="宋体" w:hAnsi="宋体"/>
          <w:color w:val="auto"/>
          <w:szCs w:val="20"/>
        </w:rPr>
      </w:pPr>
    </w:p>
    <w:bookmarkEnd w:id="5"/>
    <w:bookmarkEnd w:id="6"/>
    <w:p w14:paraId="7CCB22E3">
      <w:pPr>
        <w:spacing w:line="276" w:lineRule="auto"/>
        <w:jc w:val="center"/>
        <w:rPr>
          <w:rFonts w:asciiTheme="minorEastAsia" w:hAnsiTheme="minorEastAsia" w:eastAsiaTheme="minorEastAsia"/>
          <w:b/>
          <w:color w:val="auto"/>
          <w:sz w:val="44"/>
          <w:szCs w:val="44"/>
        </w:rPr>
      </w:pPr>
      <w:r>
        <w:rPr>
          <w:rFonts w:hint="eastAsia" w:asciiTheme="minorEastAsia" w:hAnsiTheme="minorEastAsia" w:eastAsiaTheme="minorEastAsia"/>
          <w:b/>
          <w:color w:val="auto"/>
          <w:sz w:val="44"/>
          <w:szCs w:val="44"/>
        </w:rPr>
        <w:t>第二章</w:t>
      </w:r>
      <w:r>
        <w:rPr>
          <w:rFonts w:hint="eastAsia" w:asciiTheme="minorEastAsia" w:hAnsiTheme="minorEastAsia" w:eastAsiaTheme="minorEastAsia"/>
          <w:b/>
          <w:color w:val="auto"/>
          <w:sz w:val="44"/>
          <w:szCs w:val="44"/>
          <w:lang w:val="en-US" w:eastAsia="zh-CN"/>
        </w:rPr>
        <w:t xml:space="preserve"> </w:t>
      </w:r>
      <w:r>
        <w:rPr>
          <w:rFonts w:hint="eastAsia" w:asciiTheme="minorEastAsia" w:hAnsiTheme="minorEastAsia" w:eastAsiaTheme="minorEastAsia"/>
          <w:b/>
          <w:color w:val="auto"/>
          <w:sz w:val="44"/>
          <w:szCs w:val="44"/>
          <w:lang w:eastAsia="zh-CN"/>
        </w:rPr>
        <w:t>供应商</w:t>
      </w:r>
      <w:r>
        <w:rPr>
          <w:rFonts w:hint="eastAsia" w:asciiTheme="minorEastAsia" w:hAnsiTheme="minorEastAsia" w:eastAsiaTheme="minorEastAsia"/>
          <w:b/>
          <w:color w:val="auto"/>
          <w:sz w:val="44"/>
          <w:szCs w:val="44"/>
        </w:rPr>
        <w:t>须知</w:t>
      </w:r>
      <w:bookmarkEnd w:id="7"/>
      <w:bookmarkEnd w:id="8"/>
      <w:bookmarkEnd w:id="9"/>
      <w:bookmarkEnd w:id="10"/>
      <w:bookmarkEnd w:id="11"/>
      <w:bookmarkEnd w:id="12"/>
      <w:bookmarkEnd w:id="13"/>
      <w:bookmarkEnd w:id="14"/>
    </w:p>
    <w:p w14:paraId="7780E113">
      <w:pPr>
        <w:pStyle w:val="3"/>
        <w:spacing w:line="276" w:lineRule="auto"/>
        <w:rPr>
          <w:rFonts w:asciiTheme="minorEastAsia" w:hAnsiTheme="minorEastAsia" w:eastAsiaTheme="minorEastAsia"/>
          <w:color w:val="auto"/>
          <w:sz w:val="28"/>
        </w:rPr>
      </w:pPr>
      <w:bookmarkStart w:id="31" w:name="_Toc296602419"/>
      <w:bookmarkStart w:id="32" w:name="_Toc246996917"/>
      <w:bookmarkStart w:id="33" w:name="_Toc247085688"/>
      <w:bookmarkStart w:id="34" w:name="_Toc179632545"/>
      <w:bookmarkStart w:id="35" w:name="_Toc144974496"/>
      <w:bookmarkStart w:id="36" w:name="_Toc152045528"/>
      <w:bookmarkStart w:id="37" w:name="_Toc152042304"/>
      <w:bookmarkStart w:id="38" w:name="_Toc246996174"/>
      <w:r>
        <w:rPr>
          <w:rFonts w:hint="eastAsia" w:asciiTheme="minorEastAsia" w:hAnsiTheme="minorEastAsia" w:eastAsiaTheme="minorEastAsia"/>
          <w:color w:val="auto"/>
          <w:sz w:val="28"/>
          <w:lang w:eastAsia="zh-CN"/>
        </w:rPr>
        <w:t>供应商</w:t>
      </w:r>
      <w:r>
        <w:rPr>
          <w:rFonts w:hint="eastAsia" w:asciiTheme="minorEastAsia" w:hAnsiTheme="minorEastAsia" w:eastAsiaTheme="minorEastAsia"/>
          <w:color w:val="auto"/>
          <w:sz w:val="28"/>
        </w:rPr>
        <w:t>须知前附表</w:t>
      </w:r>
      <w:bookmarkEnd w:id="31"/>
      <w:bookmarkEnd w:id="32"/>
      <w:bookmarkEnd w:id="33"/>
      <w:bookmarkEnd w:id="34"/>
      <w:bookmarkEnd w:id="35"/>
      <w:bookmarkEnd w:id="36"/>
      <w:bookmarkEnd w:id="37"/>
      <w:bookmarkEnd w:id="38"/>
    </w:p>
    <w:tbl>
      <w:tblPr>
        <w:tblStyle w:val="34"/>
        <w:tblW w:w="974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8"/>
        <w:gridCol w:w="3103"/>
        <w:gridCol w:w="5636"/>
      </w:tblGrid>
      <w:tr w14:paraId="3E432A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1008" w:type="dxa"/>
            <w:vAlign w:val="center"/>
          </w:tcPr>
          <w:p w14:paraId="78E163CD">
            <w:pPr>
              <w:spacing w:line="440" w:lineRule="exact"/>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条款号</w:t>
            </w:r>
          </w:p>
        </w:tc>
        <w:tc>
          <w:tcPr>
            <w:tcW w:w="3103" w:type="dxa"/>
            <w:vAlign w:val="center"/>
          </w:tcPr>
          <w:p w14:paraId="275C2BDC">
            <w:pPr>
              <w:spacing w:line="440" w:lineRule="exact"/>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条款名称</w:t>
            </w:r>
          </w:p>
        </w:tc>
        <w:tc>
          <w:tcPr>
            <w:tcW w:w="5636" w:type="dxa"/>
            <w:vAlign w:val="center"/>
          </w:tcPr>
          <w:p w14:paraId="57DE72AF">
            <w:pPr>
              <w:spacing w:line="440" w:lineRule="exact"/>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编列内容</w:t>
            </w:r>
          </w:p>
        </w:tc>
      </w:tr>
      <w:tr w14:paraId="59628A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043F311A">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1.1.2</w:t>
            </w:r>
          </w:p>
        </w:tc>
        <w:tc>
          <w:tcPr>
            <w:tcW w:w="3103" w:type="dxa"/>
            <w:vAlign w:val="center"/>
          </w:tcPr>
          <w:p w14:paraId="2F64CA16">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采购</w:t>
            </w:r>
            <w:r>
              <w:rPr>
                <w:rFonts w:asciiTheme="minorEastAsia" w:hAnsiTheme="minorEastAsia" w:eastAsiaTheme="minorEastAsia"/>
                <w:color w:val="auto"/>
                <w:szCs w:val="21"/>
              </w:rPr>
              <w:t>人</w:t>
            </w:r>
          </w:p>
        </w:tc>
        <w:tc>
          <w:tcPr>
            <w:tcW w:w="5636" w:type="dxa"/>
            <w:vAlign w:val="center"/>
          </w:tcPr>
          <w:p w14:paraId="7B870CD0">
            <w:pPr>
              <w:spacing w:line="440" w:lineRule="exact"/>
              <w:rPr>
                <w:rFonts w:hint="eastAsia" w:ascii="宋体" w:hAnsi="宋体"/>
                <w:color w:val="auto"/>
                <w:szCs w:val="21"/>
              </w:rPr>
            </w:pPr>
            <w:r>
              <w:rPr>
                <w:rFonts w:hint="eastAsia" w:ascii="宋体" w:hAnsi="宋体"/>
                <w:color w:val="auto"/>
                <w:szCs w:val="21"/>
              </w:rPr>
              <w:t xml:space="preserve">名称：延吉市农村社会福利服务中心     </w:t>
            </w:r>
          </w:p>
          <w:p w14:paraId="4D1A4192">
            <w:pPr>
              <w:spacing w:line="440" w:lineRule="exact"/>
              <w:rPr>
                <w:rFonts w:hint="eastAsia" w:ascii="宋体" w:hAnsi="宋体"/>
                <w:color w:val="auto"/>
                <w:szCs w:val="21"/>
              </w:rPr>
            </w:pPr>
            <w:r>
              <w:rPr>
                <w:rFonts w:hint="eastAsia" w:ascii="宋体" w:hAnsi="宋体"/>
                <w:color w:val="auto"/>
                <w:szCs w:val="21"/>
              </w:rPr>
              <w:t>联系人：</w:t>
            </w:r>
            <w:r>
              <w:rPr>
                <w:rFonts w:hint="eastAsia" w:cs="宋体" w:asciiTheme="minorEastAsia" w:hAnsiTheme="minorEastAsia" w:eastAsiaTheme="minorEastAsia"/>
                <w:color w:val="auto"/>
                <w:kern w:val="0"/>
                <w:szCs w:val="20"/>
                <w:lang w:val="en-US" w:eastAsia="zh-CN"/>
              </w:rPr>
              <w:t>许明淑</w:t>
            </w:r>
            <w:r>
              <w:rPr>
                <w:rFonts w:hint="eastAsia" w:ascii="宋体" w:hAnsi="宋体"/>
                <w:color w:val="auto"/>
                <w:szCs w:val="21"/>
              </w:rPr>
              <w:t xml:space="preserve">   </w:t>
            </w:r>
          </w:p>
          <w:p w14:paraId="1577B95F">
            <w:pPr>
              <w:spacing w:line="440" w:lineRule="exact"/>
              <w:rPr>
                <w:rFonts w:hint="default" w:ascii="宋体" w:hAnsi="宋体" w:eastAsia="宋体"/>
                <w:color w:val="auto"/>
                <w:szCs w:val="21"/>
                <w:lang w:val="en-US" w:eastAsia="zh-CN"/>
              </w:rPr>
            </w:pPr>
            <w:r>
              <w:rPr>
                <w:rFonts w:hint="eastAsia" w:ascii="宋体" w:hAnsi="宋体"/>
                <w:color w:val="auto"/>
                <w:szCs w:val="21"/>
              </w:rPr>
              <w:t>电话：13704487407</w:t>
            </w:r>
          </w:p>
          <w:p w14:paraId="503F3E8C">
            <w:pPr>
              <w:spacing w:line="440" w:lineRule="exact"/>
              <w:rPr>
                <w:rFonts w:asciiTheme="minorEastAsia" w:hAnsiTheme="minorEastAsia" w:eastAsiaTheme="minorEastAsia"/>
                <w:color w:val="auto"/>
                <w:szCs w:val="21"/>
              </w:rPr>
            </w:pPr>
            <w:r>
              <w:rPr>
                <w:rFonts w:hint="eastAsia" w:ascii="宋体" w:hAnsi="宋体"/>
                <w:color w:val="auto"/>
                <w:szCs w:val="21"/>
              </w:rPr>
              <w:t>地址：延吉市朝阳川镇朝阳村1001号</w:t>
            </w:r>
          </w:p>
        </w:tc>
      </w:tr>
      <w:tr w14:paraId="39AE65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3245D698">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1.1.3</w:t>
            </w:r>
          </w:p>
        </w:tc>
        <w:tc>
          <w:tcPr>
            <w:tcW w:w="3103" w:type="dxa"/>
            <w:vAlign w:val="center"/>
          </w:tcPr>
          <w:p w14:paraId="099E7836">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采购</w:t>
            </w:r>
            <w:r>
              <w:rPr>
                <w:rFonts w:asciiTheme="minorEastAsia" w:hAnsiTheme="minorEastAsia" w:eastAsiaTheme="minorEastAsia"/>
                <w:color w:val="auto"/>
                <w:szCs w:val="21"/>
              </w:rPr>
              <w:t>代理机构</w:t>
            </w:r>
          </w:p>
        </w:tc>
        <w:tc>
          <w:tcPr>
            <w:tcW w:w="5636" w:type="dxa"/>
            <w:vAlign w:val="center"/>
          </w:tcPr>
          <w:p w14:paraId="72184056">
            <w:pPr>
              <w:spacing w:line="440" w:lineRule="exact"/>
              <w:rPr>
                <w:rFonts w:hint="eastAsia" w:eastAsia="宋体"/>
                <w:color w:val="auto"/>
                <w:szCs w:val="21"/>
                <w:lang w:eastAsia="zh-CN"/>
              </w:rPr>
            </w:pPr>
            <w:r>
              <w:rPr>
                <w:color w:val="auto"/>
                <w:szCs w:val="21"/>
              </w:rPr>
              <w:t>名称：</w:t>
            </w:r>
            <w:r>
              <w:rPr>
                <w:rFonts w:hint="eastAsia"/>
                <w:color w:val="auto"/>
                <w:szCs w:val="21"/>
                <w:lang w:eastAsia="zh-CN"/>
              </w:rPr>
              <w:t>吉林泓远项目管理有限公司</w:t>
            </w:r>
          </w:p>
          <w:p w14:paraId="132C42DC">
            <w:pPr>
              <w:spacing w:line="440" w:lineRule="exact"/>
              <w:rPr>
                <w:color w:val="auto"/>
                <w:szCs w:val="21"/>
              </w:rPr>
            </w:pPr>
            <w:r>
              <w:rPr>
                <w:color w:val="auto"/>
                <w:szCs w:val="21"/>
              </w:rPr>
              <w:t>地址：</w:t>
            </w:r>
            <w:r>
              <w:rPr>
                <w:rFonts w:hint="eastAsia" w:ascii="宋体" w:hAnsi="宋体" w:cs="宋体"/>
                <w:color w:val="auto"/>
                <w:kern w:val="0"/>
                <w:szCs w:val="20"/>
              </w:rPr>
              <w:t>延边州延吉市太平街202号6001</w:t>
            </w:r>
          </w:p>
          <w:p w14:paraId="2C1C0C18">
            <w:pPr>
              <w:spacing w:line="440" w:lineRule="exact"/>
              <w:rPr>
                <w:color w:val="auto"/>
                <w:szCs w:val="21"/>
              </w:rPr>
            </w:pPr>
            <w:r>
              <w:rPr>
                <w:color w:val="auto"/>
                <w:szCs w:val="21"/>
              </w:rPr>
              <w:t>联系人：</w:t>
            </w:r>
            <w:r>
              <w:rPr>
                <w:rFonts w:hint="eastAsia"/>
                <w:color w:val="auto"/>
                <w:szCs w:val="21"/>
              </w:rPr>
              <w:t>孙妍</w:t>
            </w:r>
          </w:p>
          <w:p w14:paraId="52506537">
            <w:pPr>
              <w:spacing w:line="440" w:lineRule="exact"/>
              <w:rPr>
                <w:rFonts w:asciiTheme="minorEastAsia" w:hAnsiTheme="minorEastAsia" w:eastAsiaTheme="minorEastAsia"/>
                <w:color w:val="auto"/>
                <w:szCs w:val="21"/>
              </w:rPr>
            </w:pPr>
            <w:r>
              <w:rPr>
                <w:color w:val="auto"/>
                <w:szCs w:val="21"/>
              </w:rPr>
              <w:t>电话：</w:t>
            </w:r>
            <w:r>
              <w:rPr>
                <w:rFonts w:hint="eastAsia"/>
                <w:color w:val="auto"/>
                <w:szCs w:val="21"/>
              </w:rPr>
              <w:t>0433-2867005</w:t>
            </w:r>
          </w:p>
        </w:tc>
      </w:tr>
      <w:tr w14:paraId="3F5EB4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78205A17">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1.1.4</w:t>
            </w:r>
          </w:p>
        </w:tc>
        <w:tc>
          <w:tcPr>
            <w:tcW w:w="3103" w:type="dxa"/>
            <w:vAlign w:val="center"/>
          </w:tcPr>
          <w:p w14:paraId="109E91DF">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项目名称</w:t>
            </w:r>
          </w:p>
        </w:tc>
        <w:tc>
          <w:tcPr>
            <w:tcW w:w="5636" w:type="dxa"/>
            <w:vAlign w:val="center"/>
          </w:tcPr>
          <w:p w14:paraId="195F5BBD">
            <w:pPr>
              <w:spacing w:line="440" w:lineRule="exact"/>
              <w:rPr>
                <w:rFonts w:hint="eastAsia" w:asciiTheme="minorEastAsia" w:hAnsiTheme="minorEastAsia" w:eastAsiaTheme="minorEastAsia"/>
                <w:color w:val="auto"/>
                <w:szCs w:val="21"/>
                <w:lang w:eastAsia="zh-CN"/>
              </w:rPr>
            </w:pPr>
            <w:r>
              <w:rPr>
                <w:rFonts w:hint="eastAsia" w:cs="宋体" w:asciiTheme="minorEastAsia" w:hAnsiTheme="minorEastAsia" w:eastAsiaTheme="minorEastAsia"/>
                <w:color w:val="auto"/>
                <w:lang w:eastAsia="zh-CN"/>
              </w:rPr>
              <w:t>延吉市农村社会福利服务中心劳务外包服务项目</w:t>
            </w:r>
          </w:p>
        </w:tc>
      </w:tr>
      <w:tr w14:paraId="72A092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5477A4D7">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1.1.5</w:t>
            </w:r>
          </w:p>
        </w:tc>
        <w:tc>
          <w:tcPr>
            <w:tcW w:w="3103" w:type="dxa"/>
            <w:vAlign w:val="center"/>
          </w:tcPr>
          <w:p w14:paraId="6450F0A7">
            <w:pPr>
              <w:spacing w:line="440" w:lineRule="exact"/>
              <w:jc w:val="center"/>
              <w:rPr>
                <w:rFonts w:asciiTheme="minorEastAsia" w:hAnsiTheme="minorEastAsia" w:eastAsiaTheme="minorEastAsia"/>
                <w:color w:val="auto"/>
                <w:szCs w:val="21"/>
              </w:rPr>
            </w:pPr>
            <w:r>
              <w:rPr>
                <w:rFonts w:hint="eastAsia" w:cs="宋体" w:asciiTheme="minorEastAsia" w:hAnsiTheme="minorEastAsia" w:eastAsiaTheme="minorEastAsia"/>
                <w:color w:val="auto"/>
                <w:kern w:val="0"/>
                <w:szCs w:val="21"/>
              </w:rPr>
              <w:t>服务地点</w:t>
            </w:r>
          </w:p>
        </w:tc>
        <w:tc>
          <w:tcPr>
            <w:tcW w:w="5636" w:type="dxa"/>
            <w:vAlign w:val="center"/>
          </w:tcPr>
          <w:p w14:paraId="48798C4D">
            <w:pPr>
              <w:spacing w:line="44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甲方指定地点</w:t>
            </w:r>
          </w:p>
        </w:tc>
      </w:tr>
      <w:tr w14:paraId="1AD6C6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5" w:hRule="atLeast"/>
        </w:trPr>
        <w:tc>
          <w:tcPr>
            <w:tcW w:w="1008" w:type="dxa"/>
            <w:vAlign w:val="center"/>
          </w:tcPr>
          <w:p w14:paraId="641D3712">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1.2.1</w:t>
            </w:r>
          </w:p>
        </w:tc>
        <w:tc>
          <w:tcPr>
            <w:tcW w:w="3103" w:type="dxa"/>
            <w:vAlign w:val="center"/>
          </w:tcPr>
          <w:p w14:paraId="0D53E279">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资金来源</w:t>
            </w:r>
            <w:r>
              <w:rPr>
                <w:rFonts w:hint="eastAsia" w:asciiTheme="minorEastAsia" w:hAnsiTheme="minorEastAsia" w:eastAsiaTheme="minorEastAsia"/>
                <w:color w:val="auto"/>
                <w:szCs w:val="21"/>
              </w:rPr>
              <w:t>及比例</w:t>
            </w:r>
          </w:p>
        </w:tc>
        <w:tc>
          <w:tcPr>
            <w:tcW w:w="5636" w:type="dxa"/>
            <w:vAlign w:val="center"/>
          </w:tcPr>
          <w:p w14:paraId="6203A182">
            <w:pPr>
              <w:spacing w:line="44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自筹</w:t>
            </w:r>
            <w:r>
              <w:rPr>
                <w:rFonts w:hint="eastAsia" w:asciiTheme="minorEastAsia" w:hAnsiTheme="minorEastAsia" w:eastAsiaTheme="minorEastAsia"/>
                <w:color w:val="auto"/>
                <w:szCs w:val="21"/>
              </w:rPr>
              <w:t>资金100%</w:t>
            </w:r>
          </w:p>
        </w:tc>
      </w:tr>
      <w:tr w14:paraId="193861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25523E73">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1.2.2</w:t>
            </w:r>
          </w:p>
        </w:tc>
        <w:tc>
          <w:tcPr>
            <w:tcW w:w="3103" w:type="dxa"/>
            <w:vAlign w:val="center"/>
          </w:tcPr>
          <w:p w14:paraId="69D0CA75">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资金</w:t>
            </w:r>
            <w:r>
              <w:rPr>
                <w:rFonts w:asciiTheme="minorEastAsia" w:hAnsiTheme="minorEastAsia" w:eastAsiaTheme="minorEastAsia"/>
                <w:color w:val="auto"/>
                <w:szCs w:val="21"/>
              </w:rPr>
              <w:t>落实情况</w:t>
            </w:r>
          </w:p>
        </w:tc>
        <w:tc>
          <w:tcPr>
            <w:tcW w:w="5636" w:type="dxa"/>
            <w:vAlign w:val="center"/>
          </w:tcPr>
          <w:p w14:paraId="1BD2B390">
            <w:pPr>
              <w:spacing w:line="44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已落实</w:t>
            </w:r>
          </w:p>
        </w:tc>
      </w:tr>
      <w:tr w14:paraId="5E2DAA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563A0338">
            <w:pPr>
              <w:spacing w:line="440" w:lineRule="exact"/>
              <w:jc w:val="center"/>
              <w:rPr>
                <w:rFonts w:asciiTheme="minorEastAsia" w:hAnsiTheme="minorEastAsia" w:eastAsiaTheme="minorEastAsia"/>
                <w:color w:val="auto"/>
                <w:szCs w:val="21"/>
              </w:rPr>
            </w:pPr>
          </w:p>
        </w:tc>
        <w:tc>
          <w:tcPr>
            <w:tcW w:w="3103" w:type="dxa"/>
            <w:vAlign w:val="center"/>
          </w:tcPr>
          <w:p w14:paraId="6F0CED79">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标段划分</w:t>
            </w:r>
          </w:p>
        </w:tc>
        <w:tc>
          <w:tcPr>
            <w:tcW w:w="5636" w:type="dxa"/>
            <w:vAlign w:val="center"/>
          </w:tcPr>
          <w:p w14:paraId="0E3C51F5">
            <w:pPr>
              <w:spacing w:line="44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一个</w:t>
            </w:r>
          </w:p>
        </w:tc>
      </w:tr>
      <w:tr w14:paraId="33F3A4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4FD56422">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1.</w:t>
            </w:r>
            <w:r>
              <w:rPr>
                <w:rFonts w:hint="eastAsia" w:asciiTheme="minorEastAsia" w:hAnsiTheme="minorEastAsia" w:eastAsiaTheme="minorEastAsia"/>
                <w:color w:val="auto"/>
                <w:szCs w:val="21"/>
              </w:rPr>
              <w:t>3</w:t>
            </w:r>
            <w:r>
              <w:rPr>
                <w:rFonts w:asciiTheme="minorEastAsia" w:hAnsiTheme="minorEastAsia" w:eastAsiaTheme="minorEastAsia"/>
                <w:color w:val="auto"/>
                <w:szCs w:val="21"/>
              </w:rPr>
              <w:t>.1</w:t>
            </w:r>
          </w:p>
        </w:tc>
        <w:tc>
          <w:tcPr>
            <w:tcW w:w="3103" w:type="dxa"/>
            <w:vAlign w:val="center"/>
          </w:tcPr>
          <w:p w14:paraId="5CBBBBDA">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服务内容</w:t>
            </w:r>
          </w:p>
        </w:tc>
        <w:tc>
          <w:tcPr>
            <w:tcW w:w="5636" w:type="dxa"/>
            <w:vAlign w:val="center"/>
          </w:tcPr>
          <w:p w14:paraId="369B2E35">
            <w:pPr>
              <w:spacing w:line="360" w:lineRule="auto"/>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lang w:eastAsia="zh-CN"/>
              </w:rPr>
              <w:t>劳务外包人员12名（护理员6名、厨房人员4名、值班员2名）及劳务外包服务</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lang w:eastAsia="zh-CN"/>
              </w:rPr>
              <w:t>具体要求详见第五章服务内容及要求</w:t>
            </w:r>
            <w:r>
              <w:rPr>
                <w:rFonts w:hint="eastAsia" w:cs="宋体" w:asciiTheme="minorEastAsia" w:hAnsiTheme="minorEastAsia" w:eastAsiaTheme="minorEastAsia"/>
                <w:color w:val="auto"/>
              </w:rPr>
              <w:t>）</w:t>
            </w:r>
          </w:p>
        </w:tc>
      </w:tr>
      <w:tr w14:paraId="379D90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008" w:type="dxa"/>
            <w:vAlign w:val="center"/>
          </w:tcPr>
          <w:p w14:paraId="1AC9ADB3">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1.3.2</w:t>
            </w:r>
          </w:p>
        </w:tc>
        <w:tc>
          <w:tcPr>
            <w:tcW w:w="3103" w:type="dxa"/>
            <w:vAlign w:val="center"/>
          </w:tcPr>
          <w:p w14:paraId="2F408755">
            <w:pPr>
              <w:spacing w:line="440" w:lineRule="exact"/>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合同履行</w:t>
            </w:r>
            <w:r>
              <w:rPr>
                <w:rFonts w:hint="eastAsia" w:asciiTheme="minorEastAsia" w:hAnsiTheme="minorEastAsia" w:eastAsiaTheme="minorEastAsia"/>
                <w:color w:val="auto"/>
                <w:szCs w:val="21"/>
              </w:rPr>
              <w:t>期限</w:t>
            </w:r>
          </w:p>
        </w:tc>
        <w:tc>
          <w:tcPr>
            <w:tcW w:w="5636" w:type="dxa"/>
            <w:vAlign w:val="center"/>
          </w:tcPr>
          <w:p w14:paraId="7CB48AD5">
            <w:pPr>
              <w:spacing w:line="360" w:lineRule="auto"/>
              <w:rPr>
                <w:rFonts w:hint="default" w:asciiTheme="minorEastAsia" w:hAnsiTheme="minorEastAsia" w:eastAsiaTheme="minorEastAsia"/>
                <w:color w:val="auto"/>
                <w:szCs w:val="21"/>
                <w:lang w:val="en-US"/>
              </w:rPr>
            </w:pPr>
            <w:r>
              <w:rPr>
                <w:rFonts w:hint="eastAsia" w:cs="宋体" w:asciiTheme="minorEastAsia" w:hAnsiTheme="minorEastAsia" w:eastAsiaTheme="minorEastAsia"/>
                <w:color w:val="auto"/>
                <w:lang w:eastAsia="zh-CN"/>
              </w:rPr>
              <w:t>合同签订之日起</w:t>
            </w:r>
            <w:r>
              <w:rPr>
                <w:rFonts w:hint="eastAsia" w:cs="宋体" w:asciiTheme="minorEastAsia" w:hAnsiTheme="minorEastAsia" w:eastAsiaTheme="minorEastAsia"/>
                <w:color w:val="auto"/>
                <w:lang w:val="en-US" w:eastAsia="zh-CN"/>
              </w:rPr>
              <w:t>一年</w:t>
            </w:r>
          </w:p>
        </w:tc>
      </w:tr>
      <w:tr w14:paraId="1C1CA7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6367830A">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1.3.3</w:t>
            </w:r>
          </w:p>
        </w:tc>
        <w:tc>
          <w:tcPr>
            <w:tcW w:w="3103" w:type="dxa"/>
            <w:vAlign w:val="center"/>
          </w:tcPr>
          <w:p w14:paraId="456558B1">
            <w:pPr>
              <w:spacing w:line="440" w:lineRule="exac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 xml:space="preserve"> 服务</w:t>
            </w:r>
            <w:r>
              <w:rPr>
                <w:rFonts w:hint="eastAsia" w:asciiTheme="minorEastAsia" w:hAnsiTheme="minorEastAsia" w:eastAsiaTheme="minorEastAsia"/>
                <w:color w:val="auto"/>
                <w:szCs w:val="21"/>
                <w:lang w:val="en-US" w:eastAsia="zh-CN"/>
              </w:rPr>
              <w:t>标准</w:t>
            </w:r>
          </w:p>
        </w:tc>
        <w:tc>
          <w:tcPr>
            <w:tcW w:w="5636" w:type="dxa"/>
            <w:vAlign w:val="center"/>
          </w:tcPr>
          <w:p w14:paraId="5B284BDB">
            <w:pPr>
              <w:spacing w:line="440" w:lineRule="exact"/>
              <w:rPr>
                <w:rFonts w:hint="eastAsia" w:asciiTheme="minorEastAsia" w:hAnsiTheme="minorEastAsia" w:eastAsiaTheme="minorEastAsia"/>
                <w:color w:val="auto"/>
                <w:szCs w:val="21"/>
                <w:lang w:eastAsia="zh-CN"/>
              </w:rPr>
            </w:pPr>
            <w:r>
              <w:rPr>
                <w:rFonts w:hint="eastAsia" w:ascii="宋体" w:hAnsi="宋体" w:cs="宋体" w:eastAsiaTheme="minorEastAsia"/>
                <w:color w:val="auto"/>
                <w:lang w:eastAsia="zh-CN"/>
              </w:rPr>
              <w:t>优质服务</w:t>
            </w:r>
          </w:p>
        </w:tc>
      </w:tr>
      <w:tr w14:paraId="06B196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51C37FF4">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1.4.1</w:t>
            </w:r>
          </w:p>
        </w:tc>
        <w:tc>
          <w:tcPr>
            <w:tcW w:w="3103" w:type="dxa"/>
            <w:vAlign w:val="center"/>
          </w:tcPr>
          <w:p w14:paraId="5C009E70">
            <w:pPr>
              <w:spacing w:line="440" w:lineRule="exact"/>
              <w:jc w:val="center"/>
              <w:rPr>
                <w:rFonts w:hint="eastAsia" w:asciiTheme="minorEastAsia" w:hAnsiTheme="minorEastAsia" w:eastAsiaTheme="minorEastAsia"/>
                <w:color w:val="auto"/>
                <w:szCs w:val="21"/>
                <w:lang w:eastAsia="zh-CN"/>
              </w:rPr>
            </w:pPr>
            <w:r>
              <w:rPr>
                <w:rFonts w:hint="eastAsia" w:cs="宋体" w:asciiTheme="minorEastAsia" w:hAnsiTheme="minorEastAsia" w:eastAsiaTheme="minorEastAsia"/>
                <w:color w:val="auto"/>
                <w:kern w:val="0"/>
                <w:szCs w:val="21"/>
                <w:lang w:eastAsia="zh-CN"/>
              </w:rPr>
              <w:t>供应商资格要求</w:t>
            </w:r>
          </w:p>
        </w:tc>
        <w:tc>
          <w:tcPr>
            <w:tcW w:w="5636" w:type="dxa"/>
            <w:vAlign w:val="center"/>
          </w:tcPr>
          <w:p w14:paraId="1F76964F">
            <w:pPr>
              <w:spacing w:line="440" w:lineRule="exact"/>
              <w:rPr>
                <w:rFonts w:asciiTheme="minorEastAsia" w:hAnsiTheme="minorEastAsia" w:eastAsiaTheme="minorEastAsia"/>
                <w:color w:val="auto"/>
                <w:szCs w:val="21"/>
              </w:rPr>
            </w:pPr>
            <w:r>
              <w:rPr>
                <w:rFonts w:asciiTheme="minorEastAsia" w:hAnsiTheme="minorEastAsia" w:eastAsiaTheme="minorEastAsia"/>
                <w:color w:val="auto"/>
                <w:szCs w:val="21"/>
              </w:rPr>
              <w:t>资质条件：</w:t>
            </w:r>
          </w:p>
          <w:p w14:paraId="4D5E76B6">
            <w:pPr>
              <w:tabs>
                <w:tab w:val="left" w:pos="0"/>
                <w:tab w:val="left" w:pos="420"/>
              </w:tabs>
              <w:autoSpaceDE w:val="0"/>
              <w:autoSpaceDN w:val="0"/>
              <w:adjustRightInd w:val="0"/>
              <w:spacing w:line="360" w:lineRule="auto"/>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rPr>
              <w:t>1、</w:t>
            </w:r>
            <w:r>
              <w:rPr>
                <w:rFonts w:hint="eastAsia" w:cs="宋体" w:asciiTheme="minorEastAsia" w:hAnsiTheme="minorEastAsia" w:eastAsiaTheme="minorEastAsia"/>
                <w:color w:val="auto"/>
                <w:shd w:val="clear" w:color="auto" w:fill="FFFFFF"/>
              </w:rPr>
              <w:t>满足《中华人民共和国政府采购法》第二十二条的规定；</w:t>
            </w:r>
          </w:p>
          <w:p w14:paraId="25FA73DD">
            <w:pPr>
              <w:spacing w:line="360" w:lineRule="auto"/>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落实政府采购政策需满足的资格要求：</w:t>
            </w:r>
          </w:p>
          <w:p w14:paraId="648C2E5D">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（1）根据《政府采购促进中小企业发展管理办法》规定，本项目专门面向中小企业采购，不接受非中小企业参与本项目采购。本项目采购标的对应的中小企业划分标准所属行业为租赁和商务服务业。</w:t>
            </w:r>
          </w:p>
          <w:p w14:paraId="78F3B81F">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（2）根据《关于政府采购支持监狱企业发展有关问题的通知》规定，在政府采购活动中，监狱企业视同小型、微型企业，享受预留份额、评审中价格扣除等政府采购促进中小企业发展的政府采购政策。</w:t>
            </w:r>
          </w:p>
          <w:p w14:paraId="503FFC2C">
            <w:pPr>
              <w:tabs>
                <w:tab w:val="left" w:pos="-1418"/>
                <w:tab w:val="left" w:pos="0"/>
              </w:tabs>
              <w:autoSpaceDE w:val="0"/>
              <w:autoSpaceDN w:val="0"/>
              <w:adjustRightInd w:val="0"/>
              <w:spacing w:line="360" w:lineRule="auto"/>
              <w:jc w:val="left"/>
              <w:rPr>
                <w:rFonts w:cs="宋体" w:asciiTheme="minorEastAsia" w:hAnsiTheme="minorEastAsia" w:eastAsiaTheme="minorEastAsia"/>
                <w:color w:val="auto"/>
                <w:lang w:val="zh-CN"/>
              </w:rPr>
            </w:pPr>
            <w:r>
              <w:rPr>
                <w:rFonts w:hint="eastAsia" w:ascii="宋体" w:hAnsi="宋体" w:eastAsia="宋体" w:cs="宋体"/>
                <w:color w:val="auto"/>
                <w:kern w:val="2"/>
                <w:sz w:val="21"/>
                <w:szCs w:val="21"/>
                <w:lang w:val="en-US" w:eastAsia="zh-CN" w:bidi="ar-SA"/>
              </w:rPr>
              <w:t>（3）根据《关于促进残疾人就业政府采购政策的通知》规定，在政府采购活动中，残疾人福利性单位视同小型、微型企业，享受预留份额、评审中价格扣除等促进中小企业发展的政府采购政策。</w:t>
            </w:r>
          </w:p>
          <w:p w14:paraId="0DDEED54">
            <w:pPr>
              <w:widowControl/>
              <w:snapToGrid w:val="0"/>
              <w:spacing w:line="360" w:lineRule="auto"/>
              <w:ind w:firstLine="408"/>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3、本项目的特定资格要求：</w:t>
            </w:r>
          </w:p>
          <w:p w14:paraId="25E4C3D3">
            <w:pPr>
              <w:widowControl/>
              <w:snapToGrid w:val="0"/>
              <w:spacing w:line="360" w:lineRule="auto"/>
              <w:ind w:firstLine="408"/>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r>
              <w:rPr>
                <w:rFonts w:hint="eastAsia" w:cs="宋体" w:asciiTheme="minorEastAsia" w:hAnsiTheme="minorEastAsia" w:eastAsiaTheme="minorEastAsia"/>
                <w:color w:val="auto"/>
                <w:kern w:val="0"/>
                <w:szCs w:val="21"/>
                <w:lang w:eastAsia="zh-CN"/>
              </w:rPr>
              <w:t>供应商</w:t>
            </w:r>
            <w:r>
              <w:rPr>
                <w:rFonts w:hint="eastAsia" w:cs="宋体" w:asciiTheme="minorEastAsia" w:hAnsiTheme="minorEastAsia" w:eastAsiaTheme="minorEastAsia"/>
                <w:color w:val="auto"/>
                <w:kern w:val="0"/>
                <w:szCs w:val="21"/>
              </w:rPr>
              <w:t>须是在中华人民共和国境内注册的，有能力提供相应服务的供应商，须符合《中华人民共和国政府采购法》第二十二条第一款规定的条件；</w:t>
            </w:r>
          </w:p>
          <w:p w14:paraId="7048D0F7">
            <w:pPr>
              <w:widowControl/>
              <w:snapToGrid w:val="0"/>
              <w:spacing w:line="360" w:lineRule="auto"/>
              <w:ind w:firstLine="408"/>
              <w:jc w:val="left"/>
              <w:rPr>
                <w:rFonts w:cs="Arial" w:asciiTheme="minorEastAsia" w:hAnsiTheme="minorEastAsia" w:eastAsiaTheme="minorEastAsia"/>
                <w:color w:val="auto"/>
                <w:szCs w:val="21"/>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w:t>
            </w:r>
            <w:r>
              <w:rPr>
                <w:rFonts w:hint="eastAsia" w:cs="宋体" w:asciiTheme="minorEastAsia" w:hAnsiTheme="minorEastAsia" w:eastAsiaTheme="minorEastAsia"/>
                <w:color w:val="auto"/>
                <w:kern w:val="0"/>
                <w:szCs w:val="21"/>
              </w:rPr>
              <w:t>202</w:t>
            </w: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年度财务审计报告或财务报表（含资产负债表、现金流量表、利润表）（若供应商为202</w:t>
            </w:r>
            <w:r>
              <w:rPr>
                <w:rFonts w:hint="eastAsia" w:cs="宋体" w:asciiTheme="minorEastAsia" w:hAnsiTheme="minorEastAsia" w:eastAsiaTheme="minorEastAsia"/>
                <w:color w:val="auto"/>
                <w:kern w:val="0"/>
                <w:szCs w:val="21"/>
                <w:lang w:val="en-US" w:eastAsia="zh-CN"/>
              </w:rPr>
              <w:t>6</w:t>
            </w:r>
            <w:r>
              <w:rPr>
                <w:rFonts w:hint="eastAsia" w:cs="宋体" w:asciiTheme="minorEastAsia" w:hAnsiTheme="minorEastAsia" w:eastAsiaTheme="minorEastAsia"/>
                <w:color w:val="auto"/>
                <w:kern w:val="0"/>
                <w:szCs w:val="21"/>
              </w:rPr>
              <w:t>年以后注册成立公司的，须提供银行资信证明）；</w:t>
            </w:r>
          </w:p>
          <w:p w14:paraId="61DDF1C3">
            <w:pPr>
              <w:tabs>
                <w:tab w:val="left" w:pos="-1418"/>
              </w:tabs>
              <w:autoSpaceDE w:val="0"/>
              <w:autoSpaceDN w:val="0"/>
              <w:adjustRightInd w:val="0"/>
              <w:spacing w:line="360" w:lineRule="auto"/>
              <w:ind w:left="8" w:firstLine="411" w:firstLineChars="196"/>
              <w:jc w:val="left"/>
              <w:rPr>
                <w:rFonts w:asciiTheme="minorEastAsia" w:hAnsiTheme="minorEastAsia" w:eastAsiaTheme="minorEastAsia"/>
                <w:color w:val="auto"/>
              </w:rPr>
            </w:pPr>
            <w:r>
              <w:rPr>
                <w:rFonts w:hint="eastAsia" w:cs="宋体" w:asciiTheme="minorEastAsia" w:hAnsiTheme="minorEastAsia" w:eastAsiaTheme="minorEastAsia"/>
                <w:color w:val="auto"/>
                <w:lang w:val="zh-CN"/>
              </w:rPr>
              <w:t>（</w:t>
            </w:r>
            <w:r>
              <w:rPr>
                <w:rFonts w:hint="eastAsia" w:cs="宋体" w:asciiTheme="minorEastAsia" w:hAnsiTheme="minorEastAsia" w:eastAsiaTheme="minorEastAsia"/>
                <w:color w:val="auto"/>
                <w:lang w:val="en-US" w:eastAsia="zh-CN"/>
              </w:rPr>
              <w:t>3</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lang w:val="zh-CN"/>
              </w:rPr>
              <w:t>近六个月内（任意一个月）依法缴纳税收和社会保障资金的相关证明材料，依法免税的供应商须提供相应文件证明其依法免税</w:t>
            </w:r>
            <w:r>
              <w:rPr>
                <w:rFonts w:hint="eastAsia" w:asciiTheme="minorEastAsia" w:hAnsiTheme="minorEastAsia" w:eastAsiaTheme="minorEastAsia"/>
                <w:color w:val="auto"/>
              </w:rPr>
              <w:t>；</w:t>
            </w:r>
          </w:p>
          <w:p w14:paraId="15EBE36B">
            <w:pPr>
              <w:tabs>
                <w:tab w:val="left" w:pos="-1418"/>
              </w:tabs>
              <w:autoSpaceDE w:val="0"/>
              <w:autoSpaceDN w:val="0"/>
              <w:adjustRightInd w:val="0"/>
              <w:spacing w:line="360" w:lineRule="auto"/>
              <w:ind w:left="8" w:firstLine="411" w:firstLineChars="196"/>
              <w:jc w:val="left"/>
              <w:rPr>
                <w:rFonts w:ascii="宋体" w:hAnsi="宋体" w:cs="宋体"/>
                <w:color w:val="auto"/>
                <w:lang w:val="zh-CN"/>
              </w:rPr>
            </w:pPr>
            <w:r>
              <w:rPr>
                <w:rFonts w:hint="eastAsia" w:ascii="宋体" w:hAnsi="宋体" w:cs="宋体"/>
                <w:color w:val="auto"/>
                <w:lang w:val="zh-CN"/>
              </w:rPr>
              <w:t>（</w:t>
            </w:r>
            <w:r>
              <w:rPr>
                <w:rFonts w:hint="eastAsia" w:ascii="宋体" w:hAnsi="宋体" w:cs="宋体"/>
                <w:color w:val="auto"/>
                <w:lang w:val="en-US" w:eastAsia="zh-CN"/>
              </w:rPr>
              <w:t>4</w:t>
            </w:r>
            <w:r>
              <w:rPr>
                <w:rFonts w:hint="eastAsia" w:ascii="宋体" w:hAnsi="宋体" w:cs="宋体"/>
                <w:color w:val="auto"/>
              </w:rPr>
              <w:t>）具有投资参股关系的关联企业,或具有直接管理和被管理关系的母子公司，或同一母公司的子公司，或法定代表人为同一人的两个及两个以上法人不得同时对同一标段磋商，否则均按废标处理。与采购人存在利害关系可能影响磋商公正性的法人、其他组织或者个人，不得参加磋商。单位负责人为同一人或者存在控股、管理关系的不同单位，不得参加同一标段磋商或者未划分标段的同一项目磋商。违反上述规定的，相关磋商均无效；</w:t>
            </w:r>
          </w:p>
          <w:p w14:paraId="57B903FB">
            <w:pPr>
              <w:tabs>
                <w:tab w:val="left" w:pos="-1418"/>
              </w:tabs>
              <w:autoSpaceDE w:val="0"/>
              <w:autoSpaceDN w:val="0"/>
              <w:adjustRightInd w:val="0"/>
              <w:spacing w:line="360" w:lineRule="auto"/>
              <w:ind w:left="8" w:firstLine="411" w:firstLineChars="196"/>
              <w:jc w:val="left"/>
              <w:rPr>
                <w:rFonts w:ascii="宋体" w:hAnsi="宋体" w:cs="宋体"/>
                <w:color w:val="auto"/>
              </w:rPr>
            </w:pPr>
            <w:r>
              <w:rPr>
                <w:rFonts w:hint="eastAsia" w:ascii="宋体" w:hAnsi="宋体" w:cs="宋体"/>
                <w:color w:val="auto"/>
                <w:lang w:val="zh-CN"/>
              </w:rPr>
              <w:t>（</w:t>
            </w:r>
            <w:r>
              <w:rPr>
                <w:rFonts w:hint="eastAsia" w:ascii="宋体" w:hAnsi="宋体" w:cs="宋体"/>
                <w:color w:val="auto"/>
                <w:lang w:val="en-US" w:eastAsia="zh-CN"/>
              </w:rPr>
              <w:t>5</w:t>
            </w:r>
            <w:r>
              <w:rPr>
                <w:rFonts w:hint="eastAsia" w:ascii="宋体" w:hAnsi="宋体" w:cs="宋体"/>
                <w:color w:val="auto"/>
                <w:lang w:val="zh-CN"/>
              </w:rPr>
              <w:t>）</w:t>
            </w:r>
            <w:r>
              <w:rPr>
                <w:rFonts w:hint="eastAsia" w:ascii="宋体" w:hAnsi="宋体"/>
                <w:color w:val="auto"/>
              </w:rPr>
              <w:t>供应商必须未被列入“信用中国” 网站(www.creditchina.gov.cn)、中国政府采购网(www.ccgp.gov.cn)等渠道信用记录失信被执行人、重大税收违法案件当事人名单、政府采购严重违法失信行为记录名单</w:t>
            </w:r>
            <w:r>
              <w:rPr>
                <w:rFonts w:hint="eastAsia" w:ascii="宋体" w:hAnsi="宋体" w:cs="宋体"/>
                <w:color w:val="auto"/>
                <w:lang w:val="zh-CN"/>
              </w:rPr>
              <w:t>；</w:t>
            </w:r>
          </w:p>
          <w:p w14:paraId="5869D5F9">
            <w:pPr>
              <w:tabs>
                <w:tab w:val="left" w:pos="-1418"/>
              </w:tabs>
              <w:autoSpaceDE w:val="0"/>
              <w:autoSpaceDN w:val="0"/>
              <w:adjustRightInd w:val="0"/>
              <w:spacing w:line="360" w:lineRule="auto"/>
              <w:ind w:left="8" w:firstLine="411" w:firstLineChars="196"/>
              <w:jc w:val="left"/>
              <w:rPr>
                <w:rFonts w:asciiTheme="minorEastAsia" w:hAnsiTheme="minorEastAsia" w:eastAsiaTheme="minorEastAsia"/>
                <w:color w:val="auto"/>
                <w:szCs w:val="21"/>
              </w:rPr>
            </w:pPr>
            <w:r>
              <w:rPr>
                <w:rFonts w:hint="eastAsia" w:ascii="宋体" w:hAnsi="宋体" w:cs="宋体"/>
                <w:color w:val="auto"/>
                <w:lang w:val="zh-CN"/>
              </w:rPr>
              <w:t>（</w:t>
            </w:r>
            <w:r>
              <w:rPr>
                <w:rFonts w:hint="eastAsia" w:ascii="宋体" w:hAnsi="宋体" w:cs="宋体"/>
                <w:color w:val="auto"/>
                <w:lang w:val="en-US" w:eastAsia="zh-CN"/>
              </w:rPr>
              <w:t>6</w:t>
            </w:r>
            <w:r>
              <w:rPr>
                <w:rFonts w:hint="eastAsia" w:ascii="宋体" w:hAnsi="宋体" w:cs="宋体"/>
                <w:color w:val="auto"/>
                <w:lang w:val="zh-CN"/>
              </w:rPr>
              <w:t>）拒绝列入政府取消磋商资格记录期间的企业或个人参加本次磋商；</w:t>
            </w:r>
          </w:p>
        </w:tc>
      </w:tr>
      <w:tr w14:paraId="76E46C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0DA8063A">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1.</w:t>
            </w:r>
            <w:r>
              <w:rPr>
                <w:rFonts w:hint="eastAsia" w:asciiTheme="minorEastAsia" w:hAnsiTheme="minorEastAsia" w:eastAsiaTheme="minorEastAsia"/>
                <w:color w:val="auto"/>
                <w:szCs w:val="21"/>
              </w:rPr>
              <w:t>9</w:t>
            </w:r>
            <w:r>
              <w:rPr>
                <w:rFonts w:asciiTheme="minorEastAsia" w:hAnsiTheme="minorEastAsia" w:eastAsiaTheme="minorEastAsia"/>
                <w:color w:val="auto"/>
                <w:szCs w:val="21"/>
              </w:rPr>
              <w:t>.1</w:t>
            </w:r>
          </w:p>
        </w:tc>
        <w:tc>
          <w:tcPr>
            <w:tcW w:w="3103" w:type="dxa"/>
            <w:vAlign w:val="center"/>
          </w:tcPr>
          <w:p w14:paraId="226A12CF">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投标预备会</w:t>
            </w:r>
          </w:p>
        </w:tc>
        <w:tc>
          <w:tcPr>
            <w:tcW w:w="5636" w:type="dxa"/>
            <w:vAlign w:val="center"/>
          </w:tcPr>
          <w:p w14:paraId="15A906B5">
            <w:pPr>
              <w:pStyle w:val="13"/>
              <w:topLinePunct/>
              <w:spacing w:line="400" w:lineRule="exact"/>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32"/>
                <w:szCs w:val="32"/>
              </w:rPr>
              <w:t>√</w:t>
            </w:r>
            <w:r>
              <w:rPr>
                <w:rFonts w:hint="eastAsia" w:asciiTheme="minorEastAsia" w:hAnsiTheme="minorEastAsia" w:eastAsiaTheme="minorEastAsia"/>
                <w:color w:val="auto"/>
                <w:kern w:val="2"/>
                <w:sz w:val="21"/>
                <w:szCs w:val="21"/>
              </w:rPr>
              <w:t>不召开</w:t>
            </w:r>
          </w:p>
          <w:p w14:paraId="7299066C">
            <w:pPr>
              <w:spacing w:line="440" w:lineRule="exact"/>
              <w:rPr>
                <w:rFonts w:asciiTheme="minorEastAsia" w:hAnsiTheme="minorEastAsia" w:eastAsiaTheme="minorEastAsia"/>
                <w:color w:val="auto"/>
                <w:szCs w:val="21"/>
              </w:rPr>
            </w:pPr>
            <w:r>
              <w:rPr>
                <w:rFonts w:asciiTheme="minorEastAsia" w:hAnsiTheme="minorEastAsia" w:eastAsiaTheme="minorEastAsia"/>
                <w:color w:val="auto"/>
                <w:sz w:val="32"/>
                <w:szCs w:val="32"/>
              </w:rPr>
              <w:t>□</w:t>
            </w:r>
            <w:r>
              <w:rPr>
                <w:rFonts w:hint="eastAsia" w:asciiTheme="minorEastAsia" w:hAnsiTheme="minorEastAsia" w:eastAsiaTheme="minorEastAsia"/>
                <w:color w:val="auto"/>
                <w:szCs w:val="21"/>
              </w:rPr>
              <w:t>召开，召开时间：</w:t>
            </w:r>
          </w:p>
          <w:p w14:paraId="22089A10">
            <w:pPr>
              <w:pStyle w:val="13"/>
              <w:topLinePunct/>
              <w:spacing w:line="400" w:lineRule="exact"/>
              <w:rPr>
                <w:rFonts w:asciiTheme="minorEastAsia" w:hAnsiTheme="minorEastAsia" w:eastAsiaTheme="minorEastAsia"/>
                <w:color w:val="auto"/>
                <w:kern w:val="2"/>
                <w:sz w:val="32"/>
                <w:szCs w:val="32"/>
              </w:rPr>
            </w:pPr>
            <w:r>
              <w:rPr>
                <w:rFonts w:hint="eastAsia" w:asciiTheme="minorEastAsia" w:hAnsiTheme="minorEastAsia" w:eastAsiaTheme="minorEastAsia"/>
                <w:color w:val="auto"/>
                <w:kern w:val="2"/>
                <w:szCs w:val="21"/>
              </w:rPr>
              <w:t xml:space="preserve">       召开地点：</w:t>
            </w:r>
          </w:p>
        </w:tc>
      </w:tr>
      <w:tr w14:paraId="033B2C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1008" w:type="dxa"/>
            <w:vAlign w:val="center"/>
          </w:tcPr>
          <w:p w14:paraId="25BFE554">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2.1</w:t>
            </w:r>
          </w:p>
        </w:tc>
        <w:tc>
          <w:tcPr>
            <w:tcW w:w="3103" w:type="dxa"/>
            <w:vAlign w:val="center"/>
          </w:tcPr>
          <w:p w14:paraId="7E4E11C0">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构成</w:t>
            </w:r>
            <w:r>
              <w:rPr>
                <w:rFonts w:hint="eastAsia" w:asciiTheme="minorEastAsia" w:hAnsiTheme="minorEastAsia" w:eastAsiaTheme="minorEastAsia"/>
                <w:color w:val="auto"/>
                <w:szCs w:val="21"/>
                <w:lang w:eastAsia="zh-CN"/>
              </w:rPr>
              <w:t>竞争性磋商</w:t>
            </w:r>
            <w:r>
              <w:rPr>
                <w:rFonts w:asciiTheme="minorEastAsia" w:hAnsiTheme="minorEastAsia" w:eastAsiaTheme="minorEastAsia"/>
                <w:color w:val="auto"/>
                <w:szCs w:val="21"/>
              </w:rPr>
              <w:t>文件的其他材料</w:t>
            </w:r>
          </w:p>
        </w:tc>
        <w:tc>
          <w:tcPr>
            <w:tcW w:w="5636" w:type="dxa"/>
            <w:vAlign w:val="center"/>
          </w:tcPr>
          <w:p w14:paraId="1D295C41">
            <w:pPr>
              <w:spacing w:line="44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p>
        </w:tc>
      </w:tr>
      <w:tr w14:paraId="113E78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44D9D3BA">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2.2.1</w:t>
            </w:r>
          </w:p>
        </w:tc>
        <w:tc>
          <w:tcPr>
            <w:tcW w:w="3103" w:type="dxa"/>
            <w:vAlign w:val="center"/>
          </w:tcPr>
          <w:p w14:paraId="5144A4A5">
            <w:pPr>
              <w:spacing w:line="440" w:lineRule="exact"/>
              <w:jc w:val="center"/>
              <w:rPr>
                <w:rFonts w:asciiTheme="minorEastAsia" w:hAnsiTheme="minorEastAsia" w:eastAsiaTheme="minorEastAsia"/>
                <w:color w:val="auto"/>
                <w:szCs w:val="21"/>
              </w:rPr>
            </w:pPr>
            <w:r>
              <w:rPr>
                <w:color w:val="auto"/>
                <w:szCs w:val="21"/>
              </w:rPr>
              <w:t>供应商要求澄清竞争性磋商文件的截止时间</w:t>
            </w:r>
          </w:p>
        </w:tc>
        <w:tc>
          <w:tcPr>
            <w:tcW w:w="5636" w:type="dxa"/>
            <w:vAlign w:val="center"/>
          </w:tcPr>
          <w:p w14:paraId="2790E664">
            <w:pPr>
              <w:autoSpaceDE w:val="0"/>
              <w:autoSpaceDN w:val="0"/>
              <w:adjustRightInd w:val="0"/>
              <w:spacing w:before="156" w:beforeLines="50" w:after="156" w:afterLines="50"/>
              <w:rPr>
                <w:rFonts w:hint="eastAsia" w:ascii="宋体" w:hAnsi="宋体" w:cs="宋体"/>
                <w:color w:val="auto"/>
                <w:szCs w:val="21"/>
                <w:lang w:val="zh-CN"/>
              </w:rPr>
            </w:pPr>
            <w:r>
              <w:rPr>
                <w:rFonts w:hint="eastAsia" w:ascii="宋体" w:hAnsi="宋体" w:cs="宋体"/>
                <w:color w:val="auto"/>
                <w:szCs w:val="21"/>
                <w:lang w:val="zh-CN"/>
              </w:rPr>
              <w:t>递交首次响应文件截止时间5日前</w:t>
            </w:r>
          </w:p>
          <w:p w14:paraId="32FC3F2A">
            <w:pPr>
              <w:autoSpaceDE w:val="0"/>
              <w:autoSpaceDN w:val="0"/>
              <w:adjustRightInd w:val="0"/>
              <w:spacing w:before="156" w:beforeLines="50" w:after="156" w:afterLines="50"/>
              <w:rPr>
                <w:rFonts w:asciiTheme="minorEastAsia" w:hAnsiTheme="minorEastAsia" w:eastAsiaTheme="minorEastAsia"/>
                <w:color w:val="auto"/>
                <w:szCs w:val="21"/>
              </w:rPr>
            </w:pPr>
            <w:r>
              <w:rPr>
                <w:rFonts w:hint="eastAsia" w:ascii="宋体" w:hAnsi="宋体" w:eastAsia="宋体" w:cs="宋体"/>
                <w:color w:val="auto"/>
                <w:sz w:val="21"/>
                <w:szCs w:val="21"/>
                <w:lang w:val="en-US" w:eastAsia="zh-CN"/>
              </w:rPr>
              <w:t>形式：网上提交，在政府采购云平台（http：//www.zcygov.cn) 上发布。</w:t>
            </w:r>
          </w:p>
        </w:tc>
      </w:tr>
      <w:tr w14:paraId="423A6C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0B0B3197">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2.2.3</w:t>
            </w:r>
          </w:p>
        </w:tc>
        <w:tc>
          <w:tcPr>
            <w:tcW w:w="3103" w:type="dxa"/>
            <w:vAlign w:val="center"/>
          </w:tcPr>
          <w:p w14:paraId="0F5D9C2E">
            <w:pPr>
              <w:spacing w:line="440" w:lineRule="exact"/>
              <w:jc w:val="center"/>
              <w:rPr>
                <w:rFonts w:asciiTheme="minorEastAsia" w:hAnsiTheme="minorEastAsia" w:eastAsiaTheme="minorEastAsia"/>
                <w:color w:val="auto"/>
                <w:szCs w:val="21"/>
              </w:rPr>
            </w:pPr>
            <w:r>
              <w:rPr>
                <w:color w:val="auto"/>
                <w:szCs w:val="21"/>
              </w:rPr>
              <w:t>供应商确认收到竞争性磋商文件澄清的时间</w:t>
            </w:r>
          </w:p>
        </w:tc>
        <w:tc>
          <w:tcPr>
            <w:tcW w:w="5636" w:type="dxa"/>
            <w:vAlign w:val="center"/>
          </w:tcPr>
          <w:p w14:paraId="181EC401">
            <w:pPr>
              <w:spacing w:line="440" w:lineRule="exact"/>
              <w:rPr>
                <w:rFonts w:asciiTheme="minorEastAsia" w:hAnsiTheme="minorEastAsia" w:eastAsiaTheme="minorEastAsia"/>
                <w:color w:val="auto"/>
                <w:szCs w:val="21"/>
              </w:rPr>
            </w:pPr>
            <w:r>
              <w:rPr>
                <w:rFonts w:hint="eastAsia" w:ascii="宋体" w:hAnsi="宋体" w:eastAsia="宋体" w:cs="宋体"/>
                <w:bCs/>
                <w:color w:val="auto"/>
                <w:sz w:val="21"/>
                <w:szCs w:val="21"/>
                <w:lang w:val="en-US" w:eastAsia="zh-CN"/>
              </w:rPr>
              <w:t>请供应商在参加与本项目招标期间关注网站信息，所有有意愿的供应商有义务在网上自行查询，无需书面回复。</w:t>
            </w:r>
          </w:p>
        </w:tc>
      </w:tr>
      <w:tr w14:paraId="6816D0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6F77E40A">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2.3.2</w:t>
            </w:r>
          </w:p>
        </w:tc>
        <w:tc>
          <w:tcPr>
            <w:tcW w:w="3103" w:type="dxa"/>
            <w:vAlign w:val="center"/>
          </w:tcPr>
          <w:p w14:paraId="39730312">
            <w:pPr>
              <w:spacing w:line="440" w:lineRule="exact"/>
              <w:jc w:val="center"/>
              <w:rPr>
                <w:rFonts w:asciiTheme="minorEastAsia" w:hAnsiTheme="minorEastAsia" w:eastAsiaTheme="minorEastAsia"/>
                <w:color w:val="auto"/>
                <w:szCs w:val="21"/>
              </w:rPr>
            </w:pPr>
            <w:r>
              <w:rPr>
                <w:color w:val="auto"/>
                <w:szCs w:val="21"/>
              </w:rPr>
              <w:t>供应商确认收到竞争性磋商文件修改的时间</w:t>
            </w:r>
          </w:p>
        </w:tc>
        <w:tc>
          <w:tcPr>
            <w:tcW w:w="5636" w:type="dxa"/>
            <w:vAlign w:val="center"/>
          </w:tcPr>
          <w:p w14:paraId="5185AA5F">
            <w:pPr>
              <w:spacing w:line="440" w:lineRule="exact"/>
              <w:rPr>
                <w:rFonts w:asciiTheme="minorEastAsia" w:hAnsiTheme="minorEastAsia" w:eastAsiaTheme="minorEastAsia"/>
                <w:color w:val="auto"/>
                <w:szCs w:val="21"/>
              </w:rPr>
            </w:pPr>
            <w:r>
              <w:rPr>
                <w:rFonts w:hint="eastAsia" w:ascii="宋体" w:hAnsi="宋体" w:eastAsia="宋体" w:cs="宋体"/>
                <w:bCs/>
                <w:color w:val="auto"/>
                <w:sz w:val="21"/>
                <w:szCs w:val="21"/>
                <w:lang w:val="en-US" w:eastAsia="zh-CN"/>
              </w:rPr>
              <w:t>请供应商在参加与本项目招标期间关注网站信息，所有有意愿的供应商有义务在网上自行查询，无需书面回复。</w:t>
            </w:r>
          </w:p>
        </w:tc>
      </w:tr>
      <w:tr w14:paraId="700FD4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1AAB30A8">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3.1</w:t>
            </w:r>
          </w:p>
        </w:tc>
        <w:tc>
          <w:tcPr>
            <w:tcW w:w="3103" w:type="dxa"/>
            <w:vAlign w:val="center"/>
          </w:tcPr>
          <w:p w14:paraId="7EE59152">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构成</w:t>
            </w:r>
            <w:r>
              <w:rPr>
                <w:rFonts w:hint="eastAsia" w:asciiTheme="minorEastAsia" w:hAnsiTheme="minorEastAsia" w:eastAsiaTheme="minorEastAsia"/>
                <w:color w:val="auto"/>
                <w:szCs w:val="21"/>
                <w:lang w:eastAsia="zh-CN"/>
              </w:rPr>
              <w:t>响应</w:t>
            </w:r>
            <w:r>
              <w:rPr>
                <w:rFonts w:asciiTheme="minorEastAsia" w:hAnsiTheme="minorEastAsia" w:eastAsiaTheme="minorEastAsia"/>
                <w:color w:val="auto"/>
                <w:szCs w:val="21"/>
              </w:rPr>
              <w:t>文件的其他材料</w:t>
            </w:r>
          </w:p>
        </w:tc>
        <w:tc>
          <w:tcPr>
            <w:tcW w:w="5636" w:type="dxa"/>
            <w:vAlign w:val="center"/>
          </w:tcPr>
          <w:p w14:paraId="592BB30C">
            <w:pPr>
              <w:spacing w:line="440" w:lineRule="exact"/>
              <w:rPr>
                <w:rFonts w:asciiTheme="minorEastAsia" w:hAnsiTheme="minorEastAsia" w:eastAsiaTheme="minorEastAsia"/>
                <w:b/>
                <w:color w:val="auto"/>
                <w:szCs w:val="21"/>
              </w:rPr>
            </w:pPr>
            <w:r>
              <w:rPr>
                <w:rFonts w:hint="eastAsia" w:ascii="宋体" w:hAnsi="宋体" w:eastAsia="宋体" w:cs="宋体"/>
                <w:bCs/>
                <w:color w:val="auto"/>
                <w:sz w:val="21"/>
                <w:szCs w:val="21"/>
                <w:lang w:val="en-US" w:eastAsia="zh-CN"/>
              </w:rPr>
              <w:t>本项目所有证件资料以上传至</w:t>
            </w:r>
            <w:r>
              <w:rPr>
                <w:rFonts w:hint="eastAsia" w:ascii="宋体" w:hAnsi="宋体" w:eastAsia="宋体" w:cs="宋体"/>
                <w:color w:val="auto"/>
                <w:sz w:val="21"/>
                <w:szCs w:val="21"/>
                <w:lang w:val="en-US" w:eastAsia="zh-CN"/>
              </w:rPr>
              <w:t>政府采购云平台</w:t>
            </w:r>
            <w:r>
              <w:rPr>
                <w:rFonts w:hint="eastAsia" w:ascii="宋体" w:hAnsi="宋体" w:eastAsia="宋体" w:cs="宋体"/>
                <w:bCs/>
                <w:color w:val="auto"/>
                <w:sz w:val="21"/>
                <w:szCs w:val="21"/>
                <w:lang w:val="en-US" w:eastAsia="zh-CN"/>
              </w:rPr>
              <w:t>加盖公章的电子证件为准，评标时由评审委员会现场核验，如所提供的资料为虚假材料，响应文件将被否决。</w:t>
            </w:r>
          </w:p>
        </w:tc>
      </w:tr>
      <w:tr w14:paraId="08235E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17570147">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3.2.2</w:t>
            </w:r>
          </w:p>
        </w:tc>
        <w:tc>
          <w:tcPr>
            <w:tcW w:w="3103" w:type="dxa"/>
            <w:vAlign w:val="center"/>
          </w:tcPr>
          <w:p w14:paraId="15753ED3">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最高投标限价</w:t>
            </w:r>
          </w:p>
        </w:tc>
        <w:tc>
          <w:tcPr>
            <w:tcW w:w="5636" w:type="dxa"/>
            <w:vAlign w:val="center"/>
          </w:tcPr>
          <w:p w14:paraId="0EB447FE">
            <w:pPr>
              <w:spacing w:line="440" w:lineRule="exact"/>
              <w:rPr>
                <w:rFonts w:hint="default"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lang w:val="en-US" w:eastAsia="zh-CN"/>
              </w:rPr>
              <w:t>72.0000万元</w:t>
            </w:r>
          </w:p>
        </w:tc>
      </w:tr>
      <w:tr w14:paraId="3EA379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5E285932">
            <w:pPr>
              <w:spacing w:before="120" w:beforeLines="50" w:after="120" w:afterLines="50"/>
              <w:jc w:val="center"/>
              <w:rPr>
                <w:rFonts w:hint="eastAsia" w:asciiTheme="minorEastAsia" w:hAnsiTheme="minorEastAsia" w:eastAsiaTheme="minorEastAsia"/>
                <w:color w:val="auto"/>
                <w:szCs w:val="21"/>
              </w:rPr>
            </w:pPr>
            <w:r>
              <w:rPr>
                <w:rFonts w:hint="eastAsia" w:ascii="宋体" w:hAnsi="宋体"/>
                <w:color w:val="auto"/>
                <w:szCs w:val="21"/>
              </w:rPr>
              <w:t>3.2.3</w:t>
            </w:r>
          </w:p>
        </w:tc>
        <w:tc>
          <w:tcPr>
            <w:tcW w:w="3103" w:type="dxa"/>
            <w:vAlign w:val="center"/>
          </w:tcPr>
          <w:p w14:paraId="4D4BFF0E">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Theme="minorEastAsia" w:hAnsiTheme="minorEastAsia" w:eastAsiaTheme="minorEastAsia"/>
                <w:color w:val="auto"/>
                <w:szCs w:val="21"/>
              </w:rPr>
            </w:pPr>
            <w:r>
              <w:rPr>
                <w:rFonts w:hint="eastAsia" w:ascii="宋体" w:hAnsi="宋体" w:eastAsia="宋体" w:cs="Calibri"/>
                <w:color w:val="auto"/>
                <w:sz w:val="21"/>
                <w:szCs w:val="21"/>
              </w:rPr>
              <w:t>报价方式</w:t>
            </w:r>
          </w:p>
        </w:tc>
        <w:tc>
          <w:tcPr>
            <w:tcW w:w="5636" w:type="dxa"/>
            <w:vAlign w:val="center"/>
          </w:tcPr>
          <w:p w14:paraId="7310DD00">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eastAsia="宋体" w:cs="Calibri"/>
                <w:color w:val="auto"/>
                <w:sz w:val="21"/>
                <w:szCs w:val="21"/>
              </w:rPr>
            </w:pPr>
            <w:r>
              <w:rPr>
                <w:rFonts w:hint="eastAsia" w:eastAsia="宋体" w:cs="Calibri"/>
                <w:color w:val="auto"/>
                <w:sz w:val="21"/>
                <w:szCs w:val="21"/>
              </w:rPr>
              <w:t>实行两轮报价法，第二轮报价为最终报价。</w:t>
            </w:r>
          </w:p>
          <w:p w14:paraId="45342264">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eastAsia="宋体" w:cs="Calibri"/>
                <w:color w:val="auto"/>
                <w:sz w:val="21"/>
                <w:szCs w:val="21"/>
              </w:rPr>
            </w:pPr>
            <w:r>
              <w:rPr>
                <w:rFonts w:hint="eastAsia" w:eastAsia="宋体" w:cs="Calibri"/>
                <w:color w:val="auto"/>
                <w:sz w:val="21"/>
                <w:szCs w:val="21"/>
              </w:rPr>
              <w:t>供应商的报价不得超过</w:t>
            </w:r>
            <w:r>
              <w:rPr>
                <w:rFonts w:hint="eastAsia" w:ascii="宋体" w:hAnsi="宋体" w:eastAsia="宋体"/>
                <w:color w:val="auto"/>
                <w:sz w:val="21"/>
                <w:szCs w:val="21"/>
                <w:lang w:val="en-US" w:eastAsia="zh-CN"/>
              </w:rPr>
              <w:t>项目预算总</w:t>
            </w:r>
            <w:r>
              <w:rPr>
                <w:rFonts w:hint="eastAsia" w:ascii="宋体" w:hAnsi="宋体" w:eastAsia="宋体" w:cs="Times New Roman"/>
                <w:color w:val="auto"/>
                <w:sz w:val="21"/>
                <w:szCs w:val="21"/>
                <w:lang w:val="en-US" w:eastAsia="zh-CN"/>
              </w:rPr>
              <w:t>金额</w:t>
            </w:r>
            <w:r>
              <w:rPr>
                <w:rFonts w:hint="eastAsia" w:eastAsia="宋体" w:cs="Calibri"/>
                <w:color w:val="auto"/>
                <w:sz w:val="21"/>
                <w:szCs w:val="21"/>
              </w:rPr>
              <w:t>。</w:t>
            </w:r>
          </w:p>
          <w:p w14:paraId="52B0D28F">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cs="宋体" w:asciiTheme="minorEastAsia" w:hAnsiTheme="minorEastAsia" w:eastAsiaTheme="minorEastAsia"/>
                <w:color w:val="auto"/>
              </w:rPr>
            </w:pPr>
            <w:r>
              <w:rPr>
                <w:rFonts w:hint="eastAsia" w:ascii="宋体" w:hAnsi="宋体" w:eastAsia="宋体" w:cs="宋体"/>
                <w:color w:val="auto"/>
                <w:sz w:val="21"/>
                <w:szCs w:val="21"/>
                <w:lang w:val="en-US" w:eastAsia="zh-CN"/>
              </w:rPr>
              <w:t>形式：网上提交，在政府采购云平台（http：//www.zcygov.cn) 上传第二轮报价电子版文件。</w:t>
            </w:r>
          </w:p>
        </w:tc>
      </w:tr>
      <w:tr w14:paraId="4DB131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2EE1032D">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3.3</w:t>
            </w:r>
            <w:r>
              <w:rPr>
                <w:rFonts w:hint="eastAsia" w:asciiTheme="minorEastAsia" w:hAnsiTheme="minorEastAsia" w:eastAsiaTheme="minorEastAsia"/>
                <w:color w:val="auto"/>
                <w:szCs w:val="21"/>
              </w:rPr>
              <w:t>.1</w:t>
            </w:r>
          </w:p>
        </w:tc>
        <w:tc>
          <w:tcPr>
            <w:tcW w:w="3103" w:type="dxa"/>
            <w:vAlign w:val="center"/>
          </w:tcPr>
          <w:p w14:paraId="3DC6EE71">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磋商</w:t>
            </w:r>
            <w:r>
              <w:rPr>
                <w:rFonts w:asciiTheme="minorEastAsia" w:hAnsiTheme="minorEastAsia" w:eastAsiaTheme="minorEastAsia"/>
                <w:color w:val="auto"/>
                <w:szCs w:val="21"/>
              </w:rPr>
              <w:t>有效期</w:t>
            </w:r>
          </w:p>
        </w:tc>
        <w:tc>
          <w:tcPr>
            <w:tcW w:w="5636" w:type="dxa"/>
            <w:vAlign w:val="center"/>
          </w:tcPr>
          <w:p w14:paraId="753F1E9D">
            <w:pPr>
              <w:spacing w:line="44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90日历天</w:t>
            </w:r>
          </w:p>
        </w:tc>
      </w:tr>
      <w:tr w14:paraId="0B1DD0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15EE9146">
            <w:pPr>
              <w:spacing w:line="440" w:lineRule="exact"/>
              <w:jc w:val="center"/>
              <w:rPr>
                <w:rFonts w:asciiTheme="minorEastAsia" w:hAnsiTheme="minorEastAsia" w:eastAsiaTheme="minorEastAsia"/>
                <w:color w:val="auto"/>
                <w:szCs w:val="21"/>
              </w:rPr>
            </w:pPr>
          </w:p>
        </w:tc>
        <w:tc>
          <w:tcPr>
            <w:tcW w:w="3103" w:type="dxa"/>
            <w:vAlign w:val="center"/>
          </w:tcPr>
          <w:p w14:paraId="5F6576A9">
            <w:pPr>
              <w:spacing w:line="440" w:lineRule="exact"/>
              <w:jc w:val="center"/>
              <w:rPr>
                <w:rFonts w:asciiTheme="minorEastAsia" w:hAnsiTheme="minorEastAsia" w:eastAsiaTheme="minorEastAsia"/>
                <w:color w:val="auto"/>
                <w:szCs w:val="21"/>
              </w:rPr>
            </w:pPr>
            <w:r>
              <w:rPr>
                <w:rFonts w:hint="eastAsia"/>
                <w:color w:val="auto"/>
                <w:szCs w:val="21"/>
                <w:lang w:eastAsia="zh-CN"/>
              </w:rPr>
              <w:t>磋商</w:t>
            </w:r>
            <w:r>
              <w:rPr>
                <w:color w:val="auto"/>
                <w:szCs w:val="21"/>
              </w:rPr>
              <w:t>保证金</w:t>
            </w:r>
          </w:p>
        </w:tc>
        <w:tc>
          <w:tcPr>
            <w:tcW w:w="5636" w:type="dxa"/>
            <w:vAlign w:val="center"/>
          </w:tcPr>
          <w:p w14:paraId="3FFCB9A2">
            <w:pPr>
              <w:pStyle w:val="19"/>
              <w:jc w:val="left"/>
              <w:rPr>
                <w:rFonts w:hint="eastAsia" w:ascii="宋体" w:hAnsi="宋体" w:eastAsia="宋体" w:cs="宋体"/>
                <w:color w:val="auto"/>
                <w:kern w:val="2"/>
                <w:sz w:val="21"/>
                <w:szCs w:val="21"/>
                <w:lang w:val="en-US" w:eastAsia="zh-CN" w:bidi="ar-SA"/>
              </w:rPr>
            </w:pPr>
            <w:r>
              <w:rPr>
                <w:rFonts w:hint="eastAsia" w:hAnsi="宋体"/>
                <w:color w:val="auto"/>
                <w:lang w:eastAsia="zh-CN"/>
              </w:rPr>
              <w:t>□</w:t>
            </w:r>
            <w:r>
              <w:rPr>
                <w:rFonts w:hint="eastAsia" w:hAnsi="宋体"/>
                <w:color w:val="auto"/>
              </w:rPr>
              <w:t xml:space="preserve"> </w:t>
            </w:r>
            <w:r>
              <w:rPr>
                <w:rFonts w:hint="eastAsia" w:ascii="宋体" w:hAnsi="宋体" w:eastAsia="宋体" w:cs="宋体"/>
                <w:color w:val="auto"/>
                <w:kern w:val="2"/>
                <w:sz w:val="21"/>
                <w:szCs w:val="21"/>
                <w:lang w:val="en-US" w:eastAsia="zh-CN" w:bidi="ar-SA"/>
              </w:rPr>
              <w:t>不要求递交磋商保证金</w:t>
            </w:r>
          </w:p>
          <w:p w14:paraId="179ACE5E">
            <w:pPr>
              <w:pStyle w:val="19"/>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要求递交磋商保证金：经采购人授权同意由代理机构代收取</w:t>
            </w:r>
          </w:p>
          <w:p w14:paraId="422CF517">
            <w:pPr>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1、磋商保证金的金额：人民币</w:t>
            </w:r>
            <w:r>
              <w:rPr>
                <w:rFonts w:hint="eastAsia" w:ascii="宋体" w:hAnsi="宋体"/>
                <w:color w:val="auto"/>
                <w:szCs w:val="21"/>
                <w:lang w:val="en-US" w:eastAsia="zh-CN"/>
              </w:rPr>
              <w:t>7200</w:t>
            </w:r>
            <w:r>
              <w:rPr>
                <w:rFonts w:hint="eastAsia" w:ascii="宋体" w:hAnsi="宋体" w:eastAsia="宋体"/>
                <w:color w:val="auto"/>
                <w:szCs w:val="21"/>
                <w:lang w:eastAsia="zh-CN"/>
              </w:rPr>
              <w:t>元；</w:t>
            </w:r>
          </w:p>
          <w:p w14:paraId="69310D34">
            <w:pPr>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2、缴纳形式：其形式应包括现金，银行出具的现金支票、保兑支票、银行汇票，银行保函，担保公司保函；以现金或支票形式提交的投标保证金应当从投标单位的基本账户转出。</w:t>
            </w:r>
          </w:p>
          <w:p w14:paraId="155AFCA4">
            <w:pPr>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3、递交截止时间：投标截止时间为止（以银行到账时间为准）</w:t>
            </w:r>
          </w:p>
          <w:p w14:paraId="62E08A88">
            <w:pPr>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4、递交方式：</w:t>
            </w:r>
          </w:p>
          <w:p w14:paraId="69D94BA7">
            <w:pPr>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收款单位账户名称：吉林泓远项目管理有限公司</w:t>
            </w:r>
          </w:p>
          <w:p w14:paraId="35FF72B2">
            <w:pPr>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开户行：吉林银行延吉市爱丹路支行</w:t>
            </w:r>
          </w:p>
          <w:p w14:paraId="11C0A1D7">
            <w:pPr>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账号：8935 6761 4100 0001</w:t>
            </w:r>
          </w:p>
          <w:p w14:paraId="23D405D5">
            <w:pPr>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行号：3132 4900 7015</w:t>
            </w:r>
          </w:p>
          <w:p w14:paraId="71039A08">
            <w:pPr>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交易用途：</w:t>
            </w:r>
            <w:r>
              <w:rPr>
                <w:rFonts w:hint="eastAsia" w:ascii="宋体" w:hAnsi="宋体"/>
                <w:color w:val="auto"/>
                <w:szCs w:val="21"/>
                <w:lang w:val="en-US" w:eastAsia="zh-CN"/>
              </w:rPr>
              <w:t>劳务外包</w:t>
            </w:r>
            <w:r>
              <w:rPr>
                <w:rFonts w:hint="eastAsia" w:ascii="宋体" w:hAnsi="宋体" w:eastAsia="宋体"/>
                <w:color w:val="auto"/>
                <w:szCs w:val="21"/>
                <w:lang w:eastAsia="zh-CN"/>
              </w:rPr>
              <w:t>投保</w:t>
            </w:r>
          </w:p>
          <w:p w14:paraId="6A3E7472">
            <w:pPr>
              <w:spacing w:line="360" w:lineRule="auto"/>
              <w:rPr>
                <w:rFonts w:asciiTheme="minorEastAsia" w:hAnsiTheme="minorEastAsia" w:eastAsiaTheme="minorEastAsia"/>
                <w:color w:val="auto"/>
                <w:szCs w:val="21"/>
              </w:rPr>
            </w:pPr>
            <w:r>
              <w:rPr>
                <w:rFonts w:hint="eastAsia" w:ascii="宋体" w:hAnsi="宋体" w:eastAsia="宋体"/>
                <w:color w:val="auto"/>
                <w:szCs w:val="21"/>
                <w:lang w:eastAsia="zh-CN"/>
              </w:rPr>
              <w:t>退还投标保证金时退还给供应商基本账户中</w:t>
            </w:r>
          </w:p>
        </w:tc>
      </w:tr>
      <w:tr w14:paraId="270A37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0B4E34E0">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4</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2</w:t>
            </w:r>
          </w:p>
        </w:tc>
        <w:tc>
          <w:tcPr>
            <w:tcW w:w="3103" w:type="dxa"/>
            <w:vAlign w:val="center"/>
          </w:tcPr>
          <w:p w14:paraId="2DD31AFB">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近年财务状况的年份要求</w:t>
            </w:r>
          </w:p>
        </w:tc>
        <w:tc>
          <w:tcPr>
            <w:tcW w:w="5636" w:type="dxa"/>
            <w:vAlign w:val="center"/>
          </w:tcPr>
          <w:p w14:paraId="51DBC615">
            <w:pPr>
              <w:spacing w:line="44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2025</w:t>
            </w:r>
            <w:r>
              <w:rPr>
                <w:rFonts w:hint="eastAsia" w:asciiTheme="minorEastAsia" w:hAnsiTheme="minorEastAsia" w:eastAsiaTheme="minorEastAsia"/>
                <w:color w:val="auto"/>
                <w:szCs w:val="21"/>
              </w:rPr>
              <w:t>年度</w:t>
            </w:r>
          </w:p>
        </w:tc>
      </w:tr>
      <w:tr w14:paraId="268714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206BB99C">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4</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3</w:t>
            </w:r>
          </w:p>
        </w:tc>
        <w:tc>
          <w:tcPr>
            <w:tcW w:w="3103" w:type="dxa"/>
            <w:vAlign w:val="center"/>
          </w:tcPr>
          <w:p w14:paraId="0140A70E">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近年完成的类似项目的年份要求</w:t>
            </w:r>
          </w:p>
        </w:tc>
        <w:tc>
          <w:tcPr>
            <w:tcW w:w="5636" w:type="dxa"/>
            <w:vAlign w:val="center"/>
          </w:tcPr>
          <w:p w14:paraId="4EE737FE">
            <w:pPr>
              <w:spacing w:line="44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202</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rPr>
              <w:t>年</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rPr>
              <w:t>月1日起至今</w:t>
            </w:r>
          </w:p>
        </w:tc>
      </w:tr>
      <w:tr w14:paraId="29168E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17FB2428">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5</w:t>
            </w:r>
            <w:r>
              <w:rPr>
                <w:rFonts w:asciiTheme="minorEastAsia" w:hAnsiTheme="minorEastAsia" w:eastAsiaTheme="minorEastAsia"/>
                <w:color w:val="auto"/>
                <w:szCs w:val="21"/>
              </w:rPr>
              <w:t>.3</w:t>
            </w:r>
          </w:p>
        </w:tc>
        <w:tc>
          <w:tcPr>
            <w:tcW w:w="3103" w:type="dxa"/>
            <w:vAlign w:val="center"/>
          </w:tcPr>
          <w:p w14:paraId="2A556B69">
            <w:pPr>
              <w:spacing w:line="440" w:lineRule="exact"/>
              <w:jc w:val="center"/>
              <w:rPr>
                <w:rFonts w:asciiTheme="minorEastAsia" w:hAnsiTheme="minorEastAsia" w:eastAsiaTheme="minorEastAsia"/>
                <w:color w:val="auto"/>
                <w:szCs w:val="21"/>
              </w:rPr>
            </w:pPr>
            <w:r>
              <w:rPr>
                <w:color w:val="auto"/>
                <w:szCs w:val="21"/>
              </w:rPr>
              <w:t>签字或盖章要求</w:t>
            </w:r>
          </w:p>
        </w:tc>
        <w:tc>
          <w:tcPr>
            <w:tcW w:w="5636" w:type="dxa"/>
            <w:vAlign w:val="center"/>
          </w:tcPr>
          <w:p w14:paraId="6EEF93CF">
            <w:pPr>
              <w:spacing w:line="440" w:lineRule="exact"/>
              <w:rPr>
                <w:rFonts w:asciiTheme="minorEastAsia" w:hAnsiTheme="minorEastAsia" w:eastAsiaTheme="minorEastAsia"/>
                <w:color w:val="auto"/>
                <w:szCs w:val="21"/>
              </w:rPr>
            </w:pPr>
            <w:r>
              <w:rPr>
                <w:rFonts w:hint="eastAsia" w:ascii="宋体" w:hAnsi="宋体" w:eastAsia="宋体" w:cs="Calibri"/>
                <w:color w:val="auto"/>
                <w:sz w:val="21"/>
                <w:szCs w:val="21"/>
              </w:rPr>
              <w:t>按</w:t>
            </w:r>
            <w:r>
              <w:rPr>
                <w:rFonts w:hint="eastAsia" w:ascii="宋体" w:hAnsi="宋体" w:eastAsia="宋体" w:cs="Calibri"/>
                <w:color w:val="auto"/>
                <w:sz w:val="21"/>
                <w:szCs w:val="21"/>
                <w:lang w:val="en-US" w:eastAsia="zh-CN"/>
              </w:rPr>
              <w:t>竞争性磋商</w:t>
            </w:r>
            <w:r>
              <w:rPr>
                <w:rFonts w:hint="eastAsia" w:ascii="宋体" w:hAnsi="宋体" w:eastAsia="宋体" w:cs="Calibri"/>
                <w:color w:val="auto"/>
                <w:sz w:val="21"/>
                <w:szCs w:val="21"/>
              </w:rPr>
              <w:t>文件中提供的格式及要求填写</w:t>
            </w:r>
          </w:p>
        </w:tc>
      </w:tr>
      <w:tr w14:paraId="319EF8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183E1681">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4.2.2</w:t>
            </w:r>
          </w:p>
        </w:tc>
        <w:tc>
          <w:tcPr>
            <w:tcW w:w="3103" w:type="dxa"/>
            <w:vAlign w:val="center"/>
          </w:tcPr>
          <w:p w14:paraId="0DC5D60F">
            <w:pPr>
              <w:spacing w:line="440" w:lineRule="exact"/>
              <w:jc w:val="center"/>
              <w:rPr>
                <w:rFonts w:asciiTheme="minorEastAsia" w:hAnsiTheme="minorEastAsia" w:eastAsiaTheme="minorEastAsia"/>
                <w:color w:val="auto"/>
                <w:szCs w:val="21"/>
              </w:rPr>
            </w:pPr>
            <w:r>
              <w:rPr>
                <w:color w:val="auto"/>
                <w:szCs w:val="21"/>
              </w:rPr>
              <w:t>递交响应文件地点</w:t>
            </w:r>
          </w:p>
        </w:tc>
        <w:tc>
          <w:tcPr>
            <w:tcW w:w="5636" w:type="dxa"/>
            <w:vAlign w:val="center"/>
          </w:tcPr>
          <w:p w14:paraId="74948220">
            <w:pPr>
              <w:spacing w:line="240" w:lineRule="auto"/>
              <w:rPr>
                <w:rFonts w:hint="eastAsia" w:eastAsia="宋体" w:asciiTheme="minorEastAsia" w:hAnsiTheme="minorEastAsia"/>
                <w:color w:val="auto"/>
                <w:szCs w:val="21"/>
                <w:lang w:eastAsia="zh-CN"/>
              </w:rPr>
            </w:pPr>
            <w:r>
              <w:rPr>
                <w:rFonts w:hint="eastAsia" w:ascii="宋体" w:hAnsi="宋体" w:eastAsia="宋体" w:cs="Times New Roman"/>
                <w:color w:val="auto"/>
                <w:kern w:val="2"/>
                <w:sz w:val="21"/>
                <w:szCs w:val="21"/>
                <w:highlight w:val="none"/>
                <w:lang w:val="en-US" w:eastAsia="zh-CN" w:bidi="ar-SA"/>
              </w:rPr>
              <w:t>本项目为全流程电子化采购项目，通过</w:t>
            </w:r>
            <w:r>
              <w:rPr>
                <w:rFonts w:hint="eastAsia" w:ascii="宋体" w:hAnsi="宋体" w:eastAsia="宋体" w:cs="Times New Roman"/>
                <w:color w:val="auto"/>
                <w:kern w:val="2"/>
                <w:sz w:val="21"/>
                <w:szCs w:val="21"/>
                <w:highlight w:val="none"/>
                <w:lang w:val="zh-CN" w:eastAsia="zh-CN" w:bidi="ar-SA"/>
              </w:rPr>
              <w:t>政府采购云平台</w:t>
            </w:r>
            <w:r>
              <w:rPr>
                <w:rFonts w:hint="eastAsia" w:ascii="宋体" w:hAnsi="宋体" w:eastAsia="宋体" w:cs="Times New Roman"/>
                <w:color w:val="auto"/>
                <w:kern w:val="2"/>
                <w:sz w:val="21"/>
                <w:szCs w:val="21"/>
                <w:highlight w:val="none"/>
                <w:lang w:val="en-US" w:eastAsia="zh-CN" w:bidi="ar-SA"/>
              </w:rPr>
              <w:t>实行在线电子投标，响应文件应加密并在提交截止时间前通过政府采购云平台在线提交。</w:t>
            </w:r>
          </w:p>
        </w:tc>
      </w:tr>
      <w:tr w14:paraId="22A82A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61" w:hRule="atLeast"/>
        </w:trPr>
        <w:tc>
          <w:tcPr>
            <w:tcW w:w="1008" w:type="dxa"/>
            <w:vAlign w:val="center"/>
          </w:tcPr>
          <w:p w14:paraId="5678F059">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5.1</w:t>
            </w:r>
          </w:p>
        </w:tc>
        <w:tc>
          <w:tcPr>
            <w:tcW w:w="3103" w:type="dxa"/>
            <w:vAlign w:val="center"/>
          </w:tcPr>
          <w:p w14:paraId="108E3777">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asciiTheme="minorEastAsia" w:hAnsiTheme="minorEastAsia" w:eastAsiaTheme="minorEastAsia"/>
                <w:color w:val="auto"/>
                <w:szCs w:val="21"/>
              </w:rPr>
            </w:pPr>
            <w:r>
              <w:rPr>
                <w:rFonts w:hint="eastAsia" w:ascii="宋体" w:hAnsi="宋体" w:eastAsia="宋体" w:cs="Calibri"/>
                <w:color w:val="auto"/>
                <w:sz w:val="21"/>
                <w:szCs w:val="21"/>
              </w:rPr>
              <w:t>磋商时间和地点</w:t>
            </w:r>
          </w:p>
        </w:tc>
        <w:tc>
          <w:tcPr>
            <w:tcW w:w="5636" w:type="dxa"/>
            <w:vAlign w:val="center"/>
          </w:tcPr>
          <w:p w14:paraId="5B0142C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磋商时间：同</w:t>
            </w:r>
            <w:r>
              <w:rPr>
                <w:rFonts w:hint="eastAsia" w:ascii="宋体" w:hAnsi="宋体" w:eastAsia="宋体" w:cs="宋体"/>
                <w:color w:val="auto"/>
                <w:sz w:val="21"/>
                <w:szCs w:val="21"/>
                <w:lang w:val="zh-CN"/>
              </w:rPr>
              <w:t>响应文件递交</w:t>
            </w:r>
            <w:r>
              <w:rPr>
                <w:rFonts w:hint="eastAsia" w:ascii="宋体" w:hAnsi="宋体" w:eastAsia="宋体" w:cs="宋体"/>
                <w:color w:val="auto"/>
                <w:sz w:val="21"/>
                <w:szCs w:val="21"/>
              </w:rPr>
              <w:t>截止时间</w:t>
            </w:r>
          </w:p>
          <w:p w14:paraId="5B1E040A">
            <w:pPr>
              <w:spacing w:line="240" w:lineRule="auto"/>
              <w:rPr>
                <w:rFonts w:hint="eastAsia" w:eastAsia="宋体" w:asciiTheme="minorEastAsia" w:hAnsiTheme="minorEastAsia"/>
                <w:color w:val="auto"/>
                <w:szCs w:val="21"/>
                <w:lang w:eastAsia="zh-CN"/>
              </w:rPr>
            </w:pPr>
            <w:r>
              <w:rPr>
                <w:rFonts w:hint="eastAsia" w:ascii="宋体" w:hAnsi="宋体" w:eastAsia="宋体" w:cs="宋体"/>
                <w:color w:val="auto"/>
                <w:sz w:val="21"/>
                <w:szCs w:val="21"/>
              </w:rPr>
              <w:t>磋商地点：“政采云”平台（http：//www.zcygov.cn）</w:t>
            </w:r>
            <w:r>
              <w:rPr>
                <w:rFonts w:hint="eastAsia" w:ascii="宋体" w:hAnsi="宋体" w:eastAsia="宋体" w:cs="宋体"/>
                <w:color w:val="auto"/>
                <w:sz w:val="21"/>
                <w:szCs w:val="21"/>
                <w:lang w:val="en-US" w:eastAsia="zh-CN"/>
              </w:rPr>
              <w:t>。</w:t>
            </w:r>
          </w:p>
        </w:tc>
      </w:tr>
      <w:tr w14:paraId="159AE7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7" w:hRule="atLeast"/>
        </w:trPr>
        <w:tc>
          <w:tcPr>
            <w:tcW w:w="1008" w:type="dxa"/>
            <w:vAlign w:val="center"/>
          </w:tcPr>
          <w:p w14:paraId="15F84043">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5.2</w:t>
            </w:r>
          </w:p>
        </w:tc>
        <w:tc>
          <w:tcPr>
            <w:tcW w:w="3103" w:type="dxa"/>
            <w:vAlign w:val="center"/>
          </w:tcPr>
          <w:p w14:paraId="388338FF">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asciiTheme="minorEastAsia" w:hAnsiTheme="minorEastAsia" w:eastAsiaTheme="minorEastAsia"/>
                <w:color w:val="auto"/>
                <w:szCs w:val="21"/>
              </w:rPr>
            </w:pPr>
            <w:r>
              <w:rPr>
                <w:rFonts w:hint="eastAsia" w:ascii="宋体" w:hAnsi="宋体" w:eastAsia="宋体" w:cs="Calibri"/>
                <w:color w:val="auto"/>
                <w:sz w:val="21"/>
                <w:szCs w:val="21"/>
              </w:rPr>
              <w:t>磋商程序</w:t>
            </w:r>
          </w:p>
        </w:tc>
        <w:tc>
          <w:tcPr>
            <w:tcW w:w="5636" w:type="dxa"/>
            <w:vAlign w:val="center"/>
          </w:tcPr>
          <w:p w14:paraId="7388224C">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int="eastAsia" w:ascii="宋体" w:hAnsi="宋体" w:eastAsia="宋体" w:cs="Calibri"/>
                <w:color w:val="auto"/>
                <w:sz w:val="21"/>
                <w:szCs w:val="21"/>
              </w:rPr>
            </w:pPr>
            <w:r>
              <w:rPr>
                <w:rFonts w:hint="eastAsia" w:ascii="宋体" w:hAnsi="宋体" w:eastAsia="宋体" w:cs="Calibri"/>
                <w:color w:val="auto"/>
                <w:sz w:val="21"/>
                <w:szCs w:val="21"/>
                <w:lang w:val="en-US" w:eastAsia="zh-CN"/>
              </w:rPr>
              <w:t>1、</w:t>
            </w:r>
            <w:r>
              <w:rPr>
                <w:rFonts w:hint="eastAsia" w:ascii="宋体" w:hAnsi="宋体" w:eastAsia="宋体" w:cs="Calibri"/>
                <w:color w:val="auto"/>
                <w:sz w:val="21"/>
                <w:szCs w:val="21"/>
                <w:lang w:eastAsia="zh-CN"/>
              </w:rPr>
              <w:t>供应商</w:t>
            </w:r>
            <w:r>
              <w:rPr>
                <w:rFonts w:hint="eastAsia" w:ascii="宋体" w:hAnsi="宋体" w:eastAsia="宋体" w:cs="Calibri"/>
                <w:color w:val="auto"/>
                <w:sz w:val="21"/>
                <w:szCs w:val="21"/>
              </w:rPr>
              <w:t>开标当日无需到现场，不需要递交纸质版</w:t>
            </w:r>
            <w:r>
              <w:rPr>
                <w:rFonts w:hint="eastAsia" w:ascii="宋体" w:hAnsi="宋体" w:eastAsia="宋体" w:cs="Calibri"/>
                <w:color w:val="auto"/>
                <w:sz w:val="21"/>
                <w:szCs w:val="21"/>
                <w:lang w:eastAsia="zh-CN"/>
              </w:rPr>
              <w:t>响应</w:t>
            </w:r>
            <w:r>
              <w:rPr>
                <w:rFonts w:hint="eastAsia" w:ascii="宋体" w:hAnsi="宋体" w:eastAsia="宋体" w:cs="Calibri"/>
                <w:color w:val="auto"/>
                <w:sz w:val="21"/>
                <w:szCs w:val="21"/>
              </w:rPr>
              <w:t>文件及</w:t>
            </w:r>
            <w:r>
              <w:rPr>
                <w:rFonts w:hint="eastAsia" w:ascii="宋体" w:hAnsi="宋体" w:eastAsia="宋体" w:cs="Calibri"/>
                <w:color w:val="auto"/>
                <w:sz w:val="21"/>
                <w:szCs w:val="21"/>
                <w:lang w:eastAsia="zh-CN"/>
              </w:rPr>
              <w:t>采购</w:t>
            </w:r>
            <w:r>
              <w:rPr>
                <w:rFonts w:hint="eastAsia" w:ascii="宋体" w:hAnsi="宋体" w:eastAsia="宋体" w:cs="Calibri"/>
                <w:color w:val="auto"/>
                <w:sz w:val="21"/>
                <w:szCs w:val="21"/>
              </w:rPr>
              <w:t>文件规定的原件，实行远程解密。</w:t>
            </w:r>
            <w:r>
              <w:rPr>
                <w:rFonts w:hint="eastAsia" w:ascii="宋体" w:hAnsi="宋体" w:eastAsia="宋体" w:cs="Calibri"/>
                <w:color w:val="auto"/>
                <w:sz w:val="21"/>
                <w:szCs w:val="21"/>
                <w:lang w:eastAsia="zh-CN"/>
              </w:rPr>
              <w:t>供应商</w:t>
            </w:r>
            <w:r>
              <w:rPr>
                <w:rFonts w:hint="eastAsia" w:ascii="宋体" w:hAnsi="宋体" w:eastAsia="宋体" w:cs="Calibri"/>
                <w:color w:val="auto"/>
                <w:sz w:val="21"/>
                <w:szCs w:val="21"/>
              </w:rPr>
              <w:t>应在</w:t>
            </w:r>
            <w:r>
              <w:rPr>
                <w:rFonts w:hint="eastAsia" w:ascii="宋体" w:hAnsi="宋体" w:eastAsia="宋体" w:cs="Calibri"/>
                <w:color w:val="auto"/>
                <w:sz w:val="21"/>
                <w:szCs w:val="21"/>
                <w:lang w:eastAsia="zh-CN"/>
              </w:rPr>
              <w:t>响应</w:t>
            </w:r>
            <w:r>
              <w:rPr>
                <w:rFonts w:hint="eastAsia" w:ascii="宋体" w:hAnsi="宋体" w:eastAsia="宋体" w:cs="Calibri"/>
                <w:color w:val="auto"/>
                <w:sz w:val="21"/>
                <w:szCs w:val="21"/>
              </w:rPr>
              <w:t>文件递交截止时间前通过</w:t>
            </w:r>
            <w:r>
              <w:rPr>
                <w:rFonts w:hint="eastAsia" w:ascii="宋体" w:hAnsi="宋体" w:eastAsia="宋体" w:cs="Calibri"/>
                <w:color w:val="auto"/>
                <w:sz w:val="21"/>
                <w:szCs w:val="21"/>
                <w:lang w:val="en-US" w:eastAsia="zh-CN"/>
              </w:rPr>
              <w:t>政府采购云平台</w:t>
            </w:r>
            <w:r>
              <w:rPr>
                <w:rFonts w:hint="eastAsia" w:ascii="宋体" w:hAnsi="宋体" w:eastAsia="宋体" w:cs="Calibri"/>
                <w:color w:val="auto"/>
                <w:sz w:val="21"/>
                <w:szCs w:val="21"/>
              </w:rPr>
              <w:t>上传电子</w:t>
            </w:r>
            <w:r>
              <w:rPr>
                <w:rFonts w:hint="eastAsia" w:ascii="宋体" w:hAnsi="宋体" w:eastAsia="宋体" w:cs="Calibri"/>
                <w:color w:val="auto"/>
                <w:sz w:val="21"/>
                <w:szCs w:val="21"/>
                <w:lang w:eastAsia="zh-CN"/>
              </w:rPr>
              <w:t>响应</w:t>
            </w:r>
            <w:r>
              <w:rPr>
                <w:rFonts w:hint="eastAsia" w:ascii="宋体" w:hAnsi="宋体" w:eastAsia="宋体" w:cs="Calibri"/>
                <w:color w:val="auto"/>
                <w:sz w:val="21"/>
                <w:szCs w:val="21"/>
              </w:rPr>
              <w:t>文件。</w:t>
            </w:r>
          </w:p>
          <w:p w14:paraId="369B4AFE">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int="eastAsia" w:ascii="宋体" w:hAnsi="宋体" w:eastAsia="宋体" w:cs="Calibri"/>
                <w:color w:val="auto"/>
                <w:sz w:val="21"/>
                <w:szCs w:val="21"/>
              </w:rPr>
            </w:pPr>
            <w:r>
              <w:rPr>
                <w:rFonts w:hint="eastAsia" w:ascii="宋体" w:hAnsi="宋体" w:eastAsia="宋体" w:cs="Calibri"/>
                <w:color w:val="auto"/>
                <w:sz w:val="21"/>
                <w:szCs w:val="21"/>
                <w:lang w:val="en-US" w:eastAsia="zh-CN"/>
              </w:rPr>
              <w:t>2、</w:t>
            </w:r>
            <w:r>
              <w:rPr>
                <w:rFonts w:hint="eastAsia" w:ascii="宋体" w:hAnsi="宋体" w:eastAsia="宋体" w:cs="Calibri"/>
                <w:color w:val="auto"/>
                <w:sz w:val="21"/>
                <w:szCs w:val="21"/>
              </w:rPr>
              <w:t>本项目采取网上招标、网上投标。各</w:t>
            </w:r>
            <w:r>
              <w:rPr>
                <w:rFonts w:hint="eastAsia" w:ascii="宋体" w:hAnsi="宋体" w:eastAsia="宋体" w:cs="Calibri"/>
                <w:color w:val="auto"/>
                <w:sz w:val="21"/>
                <w:szCs w:val="21"/>
                <w:lang w:val="en-US" w:eastAsia="zh-CN"/>
              </w:rPr>
              <w:t>供应商</w:t>
            </w:r>
            <w:r>
              <w:rPr>
                <w:rFonts w:hint="eastAsia" w:ascii="宋体" w:hAnsi="宋体" w:eastAsia="宋体" w:cs="Calibri"/>
                <w:color w:val="auto"/>
                <w:sz w:val="21"/>
                <w:szCs w:val="21"/>
              </w:rPr>
              <w:t>使用</w:t>
            </w:r>
            <w:r>
              <w:rPr>
                <w:rFonts w:hint="eastAsia" w:ascii="宋体" w:hAnsi="宋体" w:eastAsia="宋体" w:cs="Calibri"/>
                <w:color w:val="auto"/>
                <w:sz w:val="21"/>
                <w:szCs w:val="21"/>
                <w:lang w:val="en-US" w:eastAsia="zh-CN"/>
              </w:rPr>
              <w:t>本单位</w:t>
            </w:r>
            <w:r>
              <w:rPr>
                <w:rFonts w:hint="eastAsia" w:ascii="宋体" w:hAnsi="宋体" w:eastAsia="宋体" w:cs="Calibri"/>
                <w:color w:val="auto"/>
                <w:sz w:val="21"/>
                <w:szCs w:val="21"/>
              </w:rPr>
              <w:t>CA锁制作的</w:t>
            </w:r>
            <w:r>
              <w:rPr>
                <w:rFonts w:hint="eastAsia" w:ascii="宋体" w:hAnsi="宋体" w:eastAsia="宋体" w:cs="Calibri"/>
                <w:color w:val="auto"/>
                <w:sz w:val="21"/>
                <w:szCs w:val="21"/>
                <w:lang w:val="en-US" w:eastAsia="zh-CN"/>
              </w:rPr>
              <w:t>响应</w:t>
            </w:r>
            <w:r>
              <w:rPr>
                <w:rFonts w:hint="eastAsia" w:ascii="宋体" w:hAnsi="宋体" w:eastAsia="宋体" w:cs="Calibri"/>
                <w:color w:val="auto"/>
                <w:sz w:val="21"/>
                <w:szCs w:val="21"/>
              </w:rPr>
              <w:t>文件符合网上</w:t>
            </w:r>
            <w:r>
              <w:rPr>
                <w:rFonts w:hint="eastAsia" w:ascii="宋体" w:hAnsi="宋体" w:eastAsia="宋体" w:cs="Calibri"/>
                <w:color w:val="auto"/>
                <w:sz w:val="21"/>
                <w:szCs w:val="21"/>
                <w:lang w:eastAsia="zh-CN"/>
              </w:rPr>
              <w:t>评标</w:t>
            </w:r>
            <w:r>
              <w:rPr>
                <w:rFonts w:hint="eastAsia" w:ascii="宋体" w:hAnsi="宋体" w:eastAsia="宋体" w:cs="Calibri"/>
                <w:color w:val="auto"/>
                <w:sz w:val="21"/>
                <w:szCs w:val="21"/>
              </w:rPr>
              <w:t>要求才可进入评标阶段，全流程电子招标项目交易平台系统支持投标文件远程解密。逾期上传的电子</w:t>
            </w:r>
            <w:r>
              <w:rPr>
                <w:rFonts w:hint="eastAsia" w:ascii="宋体" w:hAnsi="宋体" w:eastAsia="宋体" w:cs="Calibri"/>
                <w:color w:val="auto"/>
                <w:sz w:val="21"/>
                <w:szCs w:val="21"/>
                <w:lang w:eastAsia="zh-CN"/>
              </w:rPr>
              <w:t>响应</w:t>
            </w:r>
            <w:r>
              <w:rPr>
                <w:rFonts w:hint="eastAsia" w:ascii="宋体" w:hAnsi="宋体" w:eastAsia="宋体" w:cs="Calibri"/>
                <w:color w:val="auto"/>
                <w:sz w:val="21"/>
                <w:szCs w:val="21"/>
              </w:rPr>
              <w:t>文件，电子招标投标交易平台将予以拒收。</w:t>
            </w:r>
          </w:p>
          <w:p w14:paraId="31030644">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int="eastAsia" w:ascii="宋体" w:hAnsi="宋体" w:eastAsia="宋体" w:cs="Calibri"/>
                <w:color w:val="auto"/>
                <w:sz w:val="21"/>
                <w:szCs w:val="21"/>
                <w:lang w:val="zh-CN" w:eastAsia="zh-CN"/>
              </w:rPr>
            </w:pPr>
            <w:r>
              <w:rPr>
                <w:rFonts w:hint="eastAsia" w:ascii="宋体" w:hAnsi="宋体" w:eastAsia="宋体" w:cs="Calibri"/>
                <w:color w:val="auto"/>
                <w:sz w:val="21"/>
                <w:szCs w:val="21"/>
              </w:rPr>
              <w:t>3、</w:t>
            </w:r>
            <w:r>
              <w:rPr>
                <w:rFonts w:hint="eastAsia" w:ascii="宋体" w:hAnsi="宋体" w:eastAsia="宋体" w:cs="Calibri"/>
                <w:color w:val="auto"/>
                <w:sz w:val="21"/>
                <w:szCs w:val="21"/>
                <w:lang w:val="en-US" w:eastAsia="zh-CN"/>
              </w:rPr>
              <w:t>政府采购云</w:t>
            </w:r>
            <w:r>
              <w:rPr>
                <w:rFonts w:hint="eastAsia" w:ascii="宋体" w:hAnsi="宋体" w:eastAsia="宋体" w:cs="Calibri"/>
                <w:color w:val="auto"/>
                <w:sz w:val="21"/>
                <w:szCs w:val="21"/>
                <w:lang w:val="zh-CN" w:eastAsia="zh-CN"/>
              </w:rPr>
              <w:t>平台支持响应文件远程解密，解密方式：响应文件递交截止时间前完成解密工作，投标人持制作该电子响应文件的同一数字证书（CA企业锁）登录，进入“开标远程解密”菜单选择对应的项目的</w:t>
            </w:r>
            <w:r>
              <w:rPr>
                <w:rFonts w:hint="eastAsia" w:ascii="宋体" w:hAnsi="宋体" w:eastAsia="宋体" w:cs="Calibri"/>
                <w:color w:val="auto"/>
                <w:sz w:val="21"/>
                <w:szCs w:val="21"/>
                <w:lang w:val="en-US" w:eastAsia="zh-CN"/>
              </w:rPr>
              <w:t>响应</w:t>
            </w:r>
            <w:r>
              <w:rPr>
                <w:rFonts w:hint="eastAsia" w:ascii="宋体" w:hAnsi="宋体" w:eastAsia="宋体" w:cs="Calibri"/>
                <w:color w:val="auto"/>
                <w:sz w:val="21"/>
                <w:szCs w:val="21"/>
                <w:lang w:val="zh-CN" w:eastAsia="zh-CN"/>
              </w:rPr>
              <w:t>文件进行远程解密。</w:t>
            </w:r>
            <w:r>
              <w:rPr>
                <w:rFonts w:hint="eastAsia" w:ascii="宋体" w:hAnsi="宋体" w:eastAsia="宋体" w:cs="Calibri"/>
                <w:color w:val="auto"/>
                <w:sz w:val="21"/>
                <w:szCs w:val="21"/>
                <w:lang w:val="en-US" w:eastAsia="zh-CN"/>
              </w:rPr>
              <w:t>供应商</w:t>
            </w:r>
            <w:r>
              <w:rPr>
                <w:rFonts w:hint="eastAsia" w:ascii="宋体" w:hAnsi="宋体" w:eastAsia="宋体" w:cs="Calibri"/>
                <w:color w:val="auto"/>
                <w:sz w:val="21"/>
                <w:szCs w:val="21"/>
                <w:lang w:val="zh-CN" w:eastAsia="zh-CN"/>
              </w:rPr>
              <w:t>由于数字证书遗失、损坏、更换、续期等自身原因未能成功解密的，视为逾期未提交</w:t>
            </w:r>
            <w:r>
              <w:rPr>
                <w:rFonts w:hint="eastAsia" w:ascii="宋体" w:hAnsi="宋体" w:eastAsia="宋体" w:cs="Calibri"/>
                <w:color w:val="auto"/>
                <w:sz w:val="21"/>
                <w:szCs w:val="21"/>
                <w:lang w:val="en-US" w:eastAsia="zh-CN"/>
              </w:rPr>
              <w:t>响应</w:t>
            </w:r>
            <w:r>
              <w:rPr>
                <w:rFonts w:hint="eastAsia" w:ascii="宋体" w:hAnsi="宋体" w:eastAsia="宋体" w:cs="Calibri"/>
                <w:color w:val="auto"/>
                <w:sz w:val="21"/>
                <w:szCs w:val="21"/>
                <w:lang w:val="zh-CN" w:eastAsia="zh-CN"/>
              </w:rPr>
              <w:t>文件，其投标无效。</w:t>
            </w:r>
          </w:p>
          <w:p w14:paraId="482FBCC5">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int="eastAsia" w:ascii="宋体" w:hAnsi="宋体" w:eastAsia="宋体" w:cs="Calibri"/>
                <w:color w:val="auto"/>
                <w:sz w:val="21"/>
                <w:szCs w:val="21"/>
                <w:lang w:val="zh-CN" w:eastAsia="zh-CN"/>
              </w:rPr>
            </w:pPr>
            <w:r>
              <w:rPr>
                <w:rFonts w:hint="eastAsia" w:ascii="宋体" w:hAnsi="宋体" w:eastAsia="宋体" w:cs="Calibri"/>
                <w:color w:val="auto"/>
                <w:sz w:val="21"/>
                <w:szCs w:val="21"/>
                <w:lang w:val="en-US" w:eastAsia="zh-CN"/>
              </w:rPr>
              <w:t>4、</w:t>
            </w:r>
            <w:r>
              <w:rPr>
                <w:rFonts w:hint="eastAsia" w:ascii="宋体" w:hAnsi="宋体" w:eastAsia="宋体" w:cs="Calibri"/>
                <w:color w:val="auto"/>
                <w:sz w:val="21"/>
                <w:szCs w:val="21"/>
                <w:lang w:val="zh-CN" w:eastAsia="zh-CN"/>
              </w:rPr>
              <w:t>供应商对递交响应文件进行解密后，</w:t>
            </w:r>
            <w:r>
              <w:rPr>
                <w:rFonts w:hint="eastAsia" w:ascii="宋体" w:hAnsi="宋体" w:eastAsia="宋体" w:cs="Calibri"/>
                <w:color w:val="auto"/>
                <w:sz w:val="21"/>
                <w:szCs w:val="21"/>
                <w:lang w:val="en-US" w:eastAsia="zh-CN"/>
              </w:rPr>
              <w:t>由</w:t>
            </w:r>
            <w:r>
              <w:rPr>
                <w:rFonts w:hint="default" w:ascii="宋体" w:hAnsi="宋体" w:eastAsia="宋体" w:cs="Calibri"/>
                <w:color w:val="auto"/>
                <w:sz w:val="21"/>
                <w:szCs w:val="21"/>
                <w:lang w:val="en-US" w:eastAsia="zh-CN"/>
              </w:rPr>
              <w:t>磋商小组进行初步评审</w:t>
            </w:r>
            <w:r>
              <w:rPr>
                <w:rFonts w:hint="eastAsia" w:ascii="宋体" w:hAnsi="宋体" w:eastAsia="宋体" w:cs="Calibri"/>
                <w:color w:val="auto"/>
                <w:sz w:val="21"/>
                <w:szCs w:val="21"/>
                <w:lang w:val="en-US" w:eastAsia="zh-CN"/>
              </w:rPr>
              <w:t>，</w:t>
            </w:r>
            <w:r>
              <w:rPr>
                <w:rFonts w:hint="eastAsia" w:ascii="宋体" w:hAnsi="宋体" w:eastAsia="宋体" w:cs="Calibri"/>
                <w:color w:val="auto"/>
                <w:sz w:val="21"/>
                <w:szCs w:val="21"/>
                <w:lang w:val="zh-CN" w:eastAsia="zh-CN"/>
              </w:rPr>
              <w:t>通过资格审查后进行二次报价。</w:t>
            </w:r>
          </w:p>
          <w:p w14:paraId="71E7CE87">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注：（1）供应商对第二轮报价有异议的，应当在磋商现场提出，采购人或者采购代理机构应当场给予答复，并制作记录，供应商法定代表人或其授权代表、采购人代表、采购代理机构相关人员签字确认。</w:t>
            </w:r>
          </w:p>
          <w:p w14:paraId="6C4B53A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（2）采购单位组织的竞磋按竞争性磋商公告规定的时间和地点进行。供应商（法定代表人</w:t>
            </w:r>
            <w:r>
              <w:rPr>
                <w:rFonts w:hint="eastAsia" w:ascii="宋体" w:hAnsi="宋体" w:eastAsia="宋体" w:cs="宋体"/>
                <w:color w:val="auto"/>
                <w:sz w:val="21"/>
                <w:szCs w:val="21"/>
              </w:rPr>
              <w:t>或其授权委托人）未在规定时间内</w:t>
            </w:r>
            <w:r>
              <w:rPr>
                <w:rFonts w:hint="eastAsia" w:ascii="宋体" w:hAnsi="宋体" w:eastAsia="宋体" w:cs="宋体"/>
                <w:color w:val="auto"/>
                <w:sz w:val="21"/>
                <w:szCs w:val="21"/>
                <w:lang w:val="en-US" w:eastAsia="zh-CN"/>
              </w:rPr>
              <w:t>提交最终报价</w:t>
            </w:r>
            <w:r>
              <w:rPr>
                <w:rFonts w:hint="eastAsia" w:ascii="宋体" w:hAnsi="宋体" w:eastAsia="宋体" w:cs="宋体"/>
                <w:color w:val="auto"/>
                <w:sz w:val="21"/>
                <w:szCs w:val="21"/>
              </w:rPr>
              <w:t>的，视其为自动放弃本次竞磋，逾期</w:t>
            </w:r>
            <w:r>
              <w:rPr>
                <w:rFonts w:hint="eastAsia" w:ascii="宋体" w:hAnsi="宋体" w:cs="宋体"/>
                <w:color w:val="auto"/>
                <w:sz w:val="21"/>
                <w:szCs w:val="21"/>
                <w:lang w:val="en-US" w:eastAsia="zh-CN"/>
              </w:rPr>
              <w:t>提交</w:t>
            </w:r>
            <w:r>
              <w:rPr>
                <w:rFonts w:hint="eastAsia" w:ascii="宋体" w:hAnsi="宋体" w:eastAsia="宋体" w:cs="宋体"/>
                <w:color w:val="auto"/>
                <w:sz w:val="21"/>
                <w:szCs w:val="21"/>
              </w:rPr>
              <w:t>的竞磋响应文件将被拒收。</w:t>
            </w:r>
          </w:p>
          <w:p w14:paraId="3078554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在竞磋过程中，竞磋的任何一方不得向他人透露与竞磋有关的技术资料或其他信息。</w:t>
            </w:r>
          </w:p>
          <w:p w14:paraId="41C22DD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在竞磋期间，为有助于对竞磋响应文件的审查、评价和比较，磋商小组有权要求供应商对其竞磋响应文件中含义不明确、同类问题表述不一致或者有明显文字和计算错误的内容进行澄清。但并非对每个供应商都作澄清要求。</w:t>
            </w:r>
          </w:p>
          <w:p w14:paraId="1ED1F7A0">
            <w:pPr>
              <w:spacing w:line="240" w:lineRule="auto"/>
              <w:rPr>
                <w:rFonts w:asciiTheme="minorEastAsia" w:hAnsiTheme="minorEastAsia" w:eastAsiaTheme="minorEastAsia"/>
                <w:color w:val="auto"/>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所有供应商在竞磋时作出的所有书面承诺须由供应商法定代表人或其授权委托人签字。</w:t>
            </w:r>
          </w:p>
        </w:tc>
      </w:tr>
      <w:tr w14:paraId="6922DB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 w:hRule="atLeast"/>
        </w:trPr>
        <w:tc>
          <w:tcPr>
            <w:tcW w:w="1008" w:type="dxa"/>
            <w:vAlign w:val="center"/>
          </w:tcPr>
          <w:p w14:paraId="4885E4FE">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6.1.1</w:t>
            </w:r>
          </w:p>
        </w:tc>
        <w:tc>
          <w:tcPr>
            <w:tcW w:w="3103" w:type="dxa"/>
            <w:vAlign w:val="center"/>
          </w:tcPr>
          <w:p w14:paraId="0B62E585">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asciiTheme="minorEastAsia" w:hAnsiTheme="minorEastAsia" w:eastAsiaTheme="minorEastAsia"/>
                <w:color w:val="auto"/>
                <w:szCs w:val="21"/>
              </w:rPr>
            </w:pPr>
            <w:r>
              <w:rPr>
                <w:rFonts w:hint="eastAsia" w:ascii="宋体" w:hAnsi="宋体" w:eastAsia="宋体" w:cs="Calibri"/>
                <w:color w:val="auto"/>
                <w:sz w:val="21"/>
                <w:szCs w:val="21"/>
              </w:rPr>
              <w:t>磋商小组的组建</w:t>
            </w:r>
          </w:p>
        </w:tc>
        <w:tc>
          <w:tcPr>
            <w:tcW w:w="5636" w:type="dxa"/>
            <w:vAlign w:val="center"/>
          </w:tcPr>
          <w:p w14:paraId="61AA9FF2">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磋商小组成员构成：3人，采购人代表</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人，</w:t>
            </w:r>
            <w:r>
              <w:rPr>
                <w:rFonts w:hint="eastAsia" w:ascii="宋体" w:hAnsi="宋体" w:eastAsia="宋体" w:cs="宋体"/>
                <w:color w:val="auto"/>
                <w:sz w:val="21"/>
                <w:szCs w:val="21"/>
                <w:lang w:val="en-US" w:eastAsia="zh-CN"/>
              </w:rPr>
              <w:t>经济、技术专业</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w:t>
            </w:r>
          </w:p>
          <w:p w14:paraId="29333891">
            <w:pPr>
              <w:spacing w:line="240" w:lineRule="auto"/>
              <w:rPr>
                <w:rFonts w:asciiTheme="minorEastAsia" w:hAnsiTheme="minorEastAsia" w:eastAsiaTheme="minorEastAsia"/>
                <w:color w:val="auto"/>
                <w:szCs w:val="21"/>
              </w:rPr>
            </w:pPr>
            <w:r>
              <w:rPr>
                <w:rFonts w:hint="eastAsia" w:ascii="宋体" w:hAnsi="宋体" w:eastAsia="宋体" w:cs="宋体"/>
                <w:color w:val="auto"/>
                <w:sz w:val="21"/>
                <w:szCs w:val="21"/>
              </w:rPr>
              <w:t>磋商专家确定方式：</w:t>
            </w:r>
            <w:r>
              <w:rPr>
                <w:rFonts w:hint="eastAsia" w:ascii="宋体" w:hAnsi="宋体" w:cs="宋体"/>
                <w:color w:val="auto"/>
                <w:sz w:val="21"/>
                <w:szCs w:val="21"/>
                <w:lang w:val="en-US" w:eastAsia="zh-CN"/>
              </w:rPr>
              <w:t>政采云系统从</w:t>
            </w:r>
            <w:r>
              <w:rPr>
                <w:rFonts w:hint="eastAsia" w:ascii="宋体" w:hAnsi="宋体" w:eastAsia="宋体" w:cs="宋体"/>
                <w:color w:val="auto"/>
                <w:sz w:val="21"/>
                <w:szCs w:val="21"/>
                <w:lang w:val="en-US" w:eastAsia="zh-CN"/>
              </w:rPr>
              <w:t>评审专家库中随机抽取。</w:t>
            </w:r>
          </w:p>
        </w:tc>
      </w:tr>
      <w:tr w14:paraId="38FA49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80" w:hRule="atLeast"/>
        </w:trPr>
        <w:tc>
          <w:tcPr>
            <w:tcW w:w="1008" w:type="dxa"/>
            <w:vAlign w:val="center"/>
          </w:tcPr>
          <w:p w14:paraId="328785C1">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7.1</w:t>
            </w:r>
          </w:p>
        </w:tc>
        <w:tc>
          <w:tcPr>
            <w:tcW w:w="3103" w:type="dxa"/>
            <w:vAlign w:val="center"/>
          </w:tcPr>
          <w:p w14:paraId="1C5DF20A">
            <w:pPr>
              <w:spacing w:line="400" w:lineRule="exact"/>
              <w:jc w:val="center"/>
              <w:rPr>
                <w:rFonts w:ascii="宋体" w:hAnsi="宋体" w:cs="宋体"/>
                <w:color w:val="auto"/>
                <w:szCs w:val="21"/>
              </w:rPr>
            </w:pPr>
            <w:r>
              <w:rPr>
                <w:rFonts w:ascii="宋体" w:hAnsi="宋体" w:cs="宋体"/>
                <w:color w:val="auto"/>
                <w:szCs w:val="21"/>
              </w:rPr>
              <w:t>是否授权评标</w:t>
            </w:r>
          </w:p>
          <w:p w14:paraId="5154931C">
            <w:pPr>
              <w:spacing w:line="400" w:lineRule="exact"/>
              <w:jc w:val="center"/>
              <w:rPr>
                <w:rFonts w:asciiTheme="minorEastAsia" w:hAnsiTheme="minorEastAsia" w:eastAsiaTheme="minorEastAsia"/>
                <w:color w:val="auto"/>
                <w:szCs w:val="21"/>
              </w:rPr>
            </w:pPr>
            <w:r>
              <w:rPr>
                <w:rFonts w:ascii="宋体" w:hAnsi="宋体" w:cs="宋体"/>
                <w:color w:val="auto"/>
                <w:szCs w:val="21"/>
              </w:rPr>
              <w:t>委员会确定</w:t>
            </w:r>
            <w:r>
              <w:rPr>
                <w:rFonts w:hint="eastAsia" w:ascii="宋体" w:hAnsi="宋体" w:cs="宋体"/>
                <w:color w:val="auto"/>
                <w:szCs w:val="21"/>
              </w:rPr>
              <w:t>中标人</w:t>
            </w:r>
          </w:p>
        </w:tc>
        <w:tc>
          <w:tcPr>
            <w:tcW w:w="5636" w:type="dxa"/>
            <w:vAlign w:val="center"/>
          </w:tcPr>
          <w:p w14:paraId="0B299E67">
            <w:pPr>
              <w:spacing w:line="400" w:lineRule="exact"/>
              <w:rPr>
                <w:rFonts w:asciiTheme="minorEastAsia" w:hAnsiTheme="minorEastAsia" w:eastAsiaTheme="minorEastAsia"/>
                <w:color w:val="auto"/>
                <w:szCs w:val="21"/>
              </w:rPr>
            </w:pPr>
            <w:r>
              <w:rPr>
                <w:rFonts w:hint="eastAsia" w:hAnsi="宋体"/>
                <w:color w:val="auto"/>
              </w:rPr>
              <w:t>采购人授权评标委员会</w:t>
            </w:r>
            <w:r>
              <w:rPr>
                <w:rFonts w:hAnsi="宋体"/>
                <w:color w:val="auto"/>
              </w:rPr>
              <w:t>确定排名第一的中标候选人为</w:t>
            </w:r>
            <w:r>
              <w:rPr>
                <w:rFonts w:hint="eastAsia" w:hAnsi="宋体"/>
                <w:color w:val="auto"/>
              </w:rPr>
              <w:t>中标人</w:t>
            </w:r>
            <w:r>
              <w:rPr>
                <w:rFonts w:hAnsi="宋体"/>
                <w:color w:val="auto"/>
              </w:rPr>
              <w:t>。</w:t>
            </w:r>
          </w:p>
        </w:tc>
      </w:tr>
      <w:tr w14:paraId="25130A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80" w:hRule="atLeast"/>
        </w:trPr>
        <w:tc>
          <w:tcPr>
            <w:tcW w:w="1008" w:type="dxa"/>
            <w:vAlign w:val="center"/>
          </w:tcPr>
          <w:p w14:paraId="4D8636BC">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7.2</w:t>
            </w:r>
          </w:p>
        </w:tc>
        <w:tc>
          <w:tcPr>
            <w:tcW w:w="3103" w:type="dxa"/>
            <w:vAlign w:val="center"/>
          </w:tcPr>
          <w:p w14:paraId="3B48D737">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Theme="minorEastAsia" w:hAnsiTheme="minorEastAsia" w:eastAsiaTheme="minorEastAsia"/>
                <w:color w:val="auto"/>
                <w:szCs w:val="21"/>
              </w:rPr>
            </w:pPr>
            <w:r>
              <w:rPr>
                <w:rFonts w:hint="eastAsia" w:ascii="宋体" w:hAnsi="宋体" w:eastAsia="宋体" w:cs="宋体"/>
                <w:color w:val="auto"/>
                <w:sz w:val="21"/>
                <w:szCs w:val="21"/>
                <w:highlight w:val="none"/>
              </w:rPr>
              <w:t>成交结果公告媒介及期限</w:t>
            </w:r>
          </w:p>
        </w:tc>
        <w:tc>
          <w:tcPr>
            <w:tcW w:w="5636" w:type="dxa"/>
            <w:vAlign w:val="center"/>
          </w:tcPr>
          <w:p w14:paraId="2EC64EDF">
            <w:pPr>
              <w:pStyle w:val="19"/>
              <w:jc w:val="left"/>
              <w:rPr>
                <w:rFonts w:hint="eastAsia" w:hAnsi="宋体"/>
                <w:color w:val="auto"/>
                <w:sz w:val="21"/>
                <w:szCs w:val="21"/>
              </w:rPr>
            </w:pPr>
            <w:r>
              <w:rPr>
                <w:rFonts w:hint="eastAsia" w:hAnsi="宋体"/>
                <w:color w:val="auto"/>
                <w:sz w:val="21"/>
                <w:szCs w:val="21"/>
                <w:lang w:val="zh-CN"/>
              </w:rPr>
              <w:t>公示媒介</w:t>
            </w:r>
            <w:r>
              <w:rPr>
                <w:rFonts w:hint="eastAsia" w:hAnsi="宋体"/>
                <w:color w:val="auto"/>
                <w:sz w:val="21"/>
                <w:szCs w:val="21"/>
              </w:rPr>
              <w:t>：</w:t>
            </w:r>
            <w:r>
              <w:rPr>
                <w:rFonts w:hint="eastAsia" w:ascii="宋体" w:hAnsi="宋体" w:cs="宋体"/>
                <w:color w:val="auto"/>
                <w:sz w:val="21"/>
                <w:szCs w:val="21"/>
                <w:lang w:bidi="ar"/>
              </w:rPr>
              <w:t>“政采云”平台（http://www.zcygov.cn），同步推送到吉林省政府采购网（http://www.ccgp-jilin.gov.cn/）中国政府采购网发布</w:t>
            </w:r>
            <w:r>
              <w:rPr>
                <w:rFonts w:hint="eastAsia" w:ascii="宋体" w:hAnsi="宋体" w:cs="宋体"/>
                <w:color w:val="auto"/>
                <w:sz w:val="21"/>
                <w:szCs w:val="21"/>
                <w:lang w:val="zh-CN" w:bidi="ar"/>
              </w:rPr>
              <w:t>。</w:t>
            </w:r>
          </w:p>
          <w:p w14:paraId="3F623099">
            <w:pPr>
              <w:spacing w:line="240" w:lineRule="auto"/>
              <w:rPr>
                <w:rFonts w:cs="宋体" w:asciiTheme="minorEastAsia" w:hAnsiTheme="minorEastAsia" w:eastAsiaTheme="minorEastAsia"/>
                <w:color w:val="auto"/>
                <w:kern w:val="0"/>
                <w:szCs w:val="21"/>
              </w:rPr>
            </w:pPr>
            <w:r>
              <w:rPr>
                <w:rFonts w:hint="eastAsia" w:hAnsi="宋体"/>
                <w:color w:val="auto"/>
                <w:sz w:val="21"/>
                <w:szCs w:val="21"/>
              </w:rPr>
              <w:t>公示期限：1日</w:t>
            </w:r>
          </w:p>
        </w:tc>
      </w:tr>
      <w:tr w14:paraId="0D76A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80" w:hRule="atLeast"/>
        </w:trPr>
        <w:tc>
          <w:tcPr>
            <w:tcW w:w="1008" w:type="dxa"/>
            <w:vAlign w:val="center"/>
          </w:tcPr>
          <w:p w14:paraId="711C9B68">
            <w:pPr>
              <w:snapToGrid w:val="0"/>
              <w:spacing w:line="440" w:lineRule="exact"/>
              <w:jc w:val="center"/>
              <w:rPr>
                <w:color w:val="auto"/>
                <w:szCs w:val="21"/>
              </w:rPr>
            </w:pPr>
            <w:r>
              <w:rPr>
                <w:rStyle w:val="70"/>
                <w:color w:val="auto"/>
                <w:szCs w:val="21"/>
              </w:rPr>
              <w:t>7.4</w:t>
            </w:r>
          </w:p>
        </w:tc>
        <w:tc>
          <w:tcPr>
            <w:tcW w:w="3103" w:type="dxa"/>
            <w:vAlign w:val="center"/>
          </w:tcPr>
          <w:p w14:paraId="1F66984A">
            <w:pPr>
              <w:snapToGrid w:val="0"/>
              <w:spacing w:line="440" w:lineRule="exact"/>
              <w:jc w:val="center"/>
              <w:rPr>
                <w:color w:val="auto"/>
                <w:szCs w:val="21"/>
              </w:rPr>
            </w:pPr>
            <w:r>
              <w:rPr>
                <w:rStyle w:val="70"/>
                <w:color w:val="auto"/>
                <w:szCs w:val="21"/>
              </w:rPr>
              <w:t>履约保证金</w:t>
            </w:r>
          </w:p>
        </w:tc>
        <w:tc>
          <w:tcPr>
            <w:tcW w:w="5636" w:type="dxa"/>
            <w:vAlign w:val="center"/>
          </w:tcPr>
          <w:p w14:paraId="70BAFC55">
            <w:pPr>
              <w:snapToGrid w:val="0"/>
              <w:spacing w:line="440" w:lineRule="exact"/>
              <w:rPr>
                <w:rStyle w:val="70"/>
                <w:color w:val="auto"/>
                <w:szCs w:val="21"/>
              </w:rPr>
            </w:pPr>
            <w:r>
              <w:rPr>
                <w:rStyle w:val="70"/>
                <w:rFonts w:hint="eastAsia"/>
                <w:color w:val="auto"/>
                <w:sz w:val="32"/>
                <w:szCs w:val="32"/>
                <w:lang w:eastAsia="zh-CN"/>
              </w:rPr>
              <w:t>☑</w:t>
            </w:r>
            <w:r>
              <w:rPr>
                <w:rStyle w:val="70"/>
                <w:color w:val="auto"/>
                <w:szCs w:val="21"/>
              </w:rPr>
              <w:t>要求，履约保证金的形式：</w:t>
            </w:r>
          </w:p>
          <w:p w14:paraId="4656340C">
            <w:pPr>
              <w:snapToGrid w:val="0"/>
              <w:spacing w:line="440" w:lineRule="exact"/>
              <w:ind w:firstLine="840" w:firstLineChars="400"/>
              <w:rPr>
                <w:rStyle w:val="70"/>
                <w:color w:val="auto"/>
                <w:szCs w:val="21"/>
              </w:rPr>
            </w:pPr>
            <w:r>
              <w:rPr>
                <w:rStyle w:val="70"/>
                <w:color w:val="auto"/>
                <w:szCs w:val="21"/>
              </w:rPr>
              <w:t>履约保证金的金额：</w:t>
            </w:r>
            <w:r>
              <w:rPr>
                <w:rStyle w:val="70"/>
                <w:rFonts w:hint="eastAsia"/>
                <w:color w:val="auto"/>
                <w:szCs w:val="21"/>
                <w:lang w:val="en-US" w:eastAsia="zh-CN"/>
              </w:rPr>
              <w:t>中标金额的3</w:t>
            </w:r>
            <w:r>
              <w:rPr>
                <w:rStyle w:val="70"/>
                <w:color w:val="auto"/>
                <w:szCs w:val="21"/>
              </w:rPr>
              <w:t>%</w:t>
            </w:r>
          </w:p>
          <w:p w14:paraId="1EA0191E">
            <w:pPr>
              <w:snapToGrid w:val="0"/>
              <w:spacing w:line="440" w:lineRule="exact"/>
              <w:jc w:val="left"/>
              <w:rPr>
                <w:rFonts w:ascii="宋体" w:hAnsi="宋体"/>
                <w:color w:val="auto"/>
                <w:kern w:val="0"/>
                <w:szCs w:val="21"/>
              </w:rPr>
            </w:pPr>
            <w:r>
              <w:rPr>
                <w:rStyle w:val="70"/>
                <w:rFonts w:hint="eastAsia"/>
                <w:color w:val="auto"/>
                <w:sz w:val="32"/>
                <w:szCs w:val="32"/>
                <w:lang w:eastAsia="zh-CN"/>
              </w:rPr>
              <w:t>□</w:t>
            </w:r>
            <w:r>
              <w:rPr>
                <w:rStyle w:val="70"/>
                <w:color w:val="auto"/>
                <w:szCs w:val="21"/>
              </w:rPr>
              <w:t>不要求</w:t>
            </w:r>
          </w:p>
        </w:tc>
      </w:tr>
      <w:tr w14:paraId="0314B5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747" w:type="dxa"/>
            <w:gridSpan w:val="3"/>
            <w:vAlign w:val="center"/>
          </w:tcPr>
          <w:p w14:paraId="33078CF8">
            <w:pPr>
              <w:spacing w:line="440" w:lineRule="exact"/>
              <w:jc w:val="center"/>
              <w:rPr>
                <w:rFonts w:asciiTheme="minorEastAsia" w:hAnsiTheme="minorEastAsia" w:eastAsiaTheme="minorEastAsia"/>
                <w:b/>
                <w:color w:val="auto"/>
                <w:szCs w:val="21"/>
              </w:rPr>
            </w:pPr>
          </w:p>
        </w:tc>
      </w:tr>
      <w:tr w14:paraId="7D830E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0932B0AF">
            <w:pPr>
              <w:spacing w:line="440" w:lineRule="exact"/>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9</w:t>
            </w:r>
          </w:p>
        </w:tc>
        <w:tc>
          <w:tcPr>
            <w:tcW w:w="8739" w:type="dxa"/>
            <w:gridSpan w:val="2"/>
            <w:vAlign w:val="center"/>
          </w:tcPr>
          <w:p w14:paraId="7EABAC91">
            <w:pPr>
              <w:spacing w:line="440" w:lineRule="exact"/>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需要</w:t>
            </w:r>
            <w:r>
              <w:rPr>
                <w:rFonts w:asciiTheme="minorEastAsia" w:hAnsiTheme="minorEastAsia" w:eastAsiaTheme="minorEastAsia"/>
                <w:b/>
                <w:color w:val="auto"/>
                <w:szCs w:val="21"/>
              </w:rPr>
              <w:t>补充</w:t>
            </w:r>
            <w:r>
              <w:rPr>
                <w:rFonts w:hint="eastAsia" w:asciiTheme="minorEastAsia" w:hAnsiTheme="minorEastAsia" w:eastAsiaTheme="minorEastAsia"/>
                <w:b/>
                <w:color w:val="auto"/>
                <w:szCs w:val="21"/>
              </w:rPr>
              <w:t>的其他</w:t>
            </w:r>
            <w:r>
              <w:rPr>
                <w:rFonts w:asciiTheme="minorEastAsia" w:hAnsiTheme="minorEastAsia" w:eastAsiaTheme="minorEastAsia"/>
                <w:b/>
                <w:color w:val="auto"/>
                <w:szCs w:val="21"/>
              </w:rPr>
              <w:t>内容</w:t>
            </w:r>
          </w:p>
        </w:tc>
      </w:tr>
      <w:tr w14:paraId="0C93EE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1687518E">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3103" w:type="dxa"/>
            <w:vAlign w:val="center"/>
          </w:tcPr>
          <w:p w14:paraId="29307BC8">
            <w:pPr>
              <w:autoSpaceDE w:val="0"/>
              <w:autoSpaceDN w:val="0"/>
              <w:adjustRightInd w:val="0"/>
              <w:spacing w:before="156" w:beforeLines="50" w:after="156" w:afterLines="50"/>
              <w:jc w:val="center"/>
              <w:rPr>
                <w:rFonts w:asciiTheme="minorEastAsia" w:hAnsiTheme="minorEastAsia" w:eastAsiaTheme="minorEastAsia"/>
                <w:color w:val="auto"/>
                <w:szCs w:val="21"/>
              </w:rPr>
            </w:pPr>
            <w:r>
              <w:rPr>
                <w:rFonts w:hint="eastAsia" w:ascii="宋体" w:hAnsi="宋体" w:cs="宋体"/>
                <w:color w:val="auto"/>
                <w:spacing w:val="6"/>
                <w:lang w:val="zh-CN"/>
              </w:rPr>
              <w:t>报价轮次</w:t>
            </w:r>
          </w:p>
        </w:tc>
        <w:tc>
          <w:tcPr>
            <w:tcW w:w="5636" w:type="dxa"/>
            <w:vAlign w:val="center"/>
          </w:tcPr>
          <w:p w14:paraId="7C6EE622">
            <w:pPr>
              <w:autoSpaceDE w:val="0"/>
              <w:autoSpaceDN w:val="0"/>
              <w:adjustRightInd w:val="0"/>
              <w:spacing w:before="156" w:beforeLines="50" w:after="156" w:afterLines="50"/>
              <w:jc w:val="left"/>
              <w:rPr>
                <w:rFonts w:asciiTheme="minorEastAsia" w:hAnsiTheme="minorEastAsia" w:eastAsiaTheme="minorEastAsia"/>
                <w:color w:val="auto"/>
                <w:szCs w:val="21"/>
              </w:rPr>
            </w:pPr>
            <w:r>
              <w:rPr>
                <w:rFonts w:hint="eastAsia" w:ascii="宋体" w:hAnsi="宋体" w:cs="宋体"/>
                <w:color w:val="auto"/>
                <w:spacing w:val="6"/>
                <w:lang w:val="zh-CN"/>
              </w:rPr>
              <w:t>本次磋商共2轮报价（含首轮报价）</w:t>
            </w:r>
          </w:p>
        </w:tc>
      </w:tr>
      <w:tr w14:paraId="02C430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302CDAB0">
            <w:pPr>
              <w:spacing w:line="440" w:lineRule="exact"/>
              <w:jc w:val="cente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2</w:t>
            </w:r>
          </w:p>
        </w:tc>
        <w:tc>
          <w:tcPr>
            <w:tcW w:w="3103" w:type="dxa"/>
            <w:vAlign w:val="center"/>
          </w:tcPr>
          <w:p w14:paraId="2CE78100">
            <w:pPr>
              <w:spacing w:line="360" w:lineRule="auto"/>
              <w:jc w:val="left"/>
              <w:rPr>
                <w:rFonts w:hint="eastAsia" w:asciiTheme="minorEastAsia" w:hAnsiTheme="minorEastAsia" w:eastAsiaTheme="minorEastAsia"/>
                <w:color w:val="auto"/>
                <w:szCs w:val="21"/>
              </w:rPr>
            </w:pPr>
            <w:r>
              <w:rPr>
                <w:rFonts w:hint="eastAsia" w:ascii="宋体" w:hAnsi="宋体"/>
                <w:color w:val="auto"/>
                <w:szCs w:val="21"/>
              </w:rPr>
              <w:t>招标代理服务费</w:t>
            </w:r>
          </w:p>
        </w:tc>
        <w:tc>
          <w:tcPr>
            <w:tcW w:w="5636" w:type="dxa"/>
            <w:vAlign w:val="center"/>
          </w:tcPr>
          <w:p w14:paraId="2C2607C7">
            <w:pPr>
              <w:spacing w:line="360" w:lineRule="auto"/>
              <w:rPr>
                <w:rFonts w:hint="eastAsia" w:asciiTheme="minorEastAsia" w:hAnsiTheme="minorEastAsia" w:eastAsiaTheme="minorEastAsia"/>
                <w:color w:val="auto"/>
                <w:szCs w:val="21"/>
              </w:rPr>
            </w:pPr>
            <w:r>
              <w:rPr>
                <w:rFonts w:hint="eastAsia" w:ascii="宋体" w:hAnsi="宋体" w:eastAsia="宋体" w:cs="宋体"/>
                <w:color w:val="auto"/>
                <w:sz w:val="21"/>
                <w:szCs w:val="21"/>
              </w:rPr>
              <w:t>本项目参照计价格[2002]1980号文件、发改办价格[2003]857号文件、发改价格[2011]534号文件、发改价格[2015]299号文件的取费标准</w:t>
            </w:r>
            <w:r>
              <w:rPr>
                <w:rFonts w:hint="eastAsia" w:ascii="宋体" w:hAnsi="宋体" w:eastAsia="宋体" w:cs="宋体"/>
                <w:color w:val="auto"/>
                <w:sz w:val="21"/>
                <w:szCs w:val="21"/>
                <w:lang w:val="en-US" w:eastAsia="zh-CN"/>
              </w:rPr>
              <w:t>计费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zh-CN"/>
              </w:rPr>
              <w:t>由</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代理机构向</w:t>
            </w:r>
            <w:r>
              <w:rPr>
                <w:rFonts w:hint="eastAsia" w:ascii="宋体" w:hAnsi="宋体" w:eastAsia="宋体" w:cs="宋体"/>
                <w:color w:val="auto"/>
                <w:sz w:val="21"/>
                <w:szCs w:val="21"/>
                <w:lang w:val="en-US" w:eastAsia="zh-CN"/>
              </w:rPr>
              <w:t>成交供应商</w:t>
            </w:r>
            <w:r>
              <w:rPr>
                <w:rFonts w:hint="eastAsia" w:ascii="宋体" w:hAnsi="宋体" w:eastAsia="宋体" w:cs="宋体"/>
                <w:color w:val="auto"/>
                <w:sz w:val="21"/>
                <w:szCs w:val="21"/>
                <w:lang w:val="zh-CN"/>
              </w:rPr>
              <w:t>收取。</w:t>
            </w:r>
          </w:p>
        </w:tc>
      </w:tr>
      <w:tr w14:paraId="138132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0FCBBFB6">
            <w:pPr>
              <w:spacing w:line="440" w:lineRule="exac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3</w:t>
            </w:r>
          </w:p>
        </w:tc>
        <w:tc>
          <w:tcPr>
            <w:tcW w:w="3103" w:type="dxa"/>
            <w:vAlign w:val="center"/>
          </w:tcPr>
          <w:p w14:paraId="7F9FF5CC">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360" w:lineRule="auto"/>
              <w:textAlignment w:val="auto"/>
              <w:rPr>
                <w:rFonts w:asciiTheme="minorEastAsia" w:hAnsiTheme="minorEastAsia" w:eastAsiaTheme="minorEastAsia"/>
                <w:color w:val="auto"/>
                <w:szCs w:val="21"/>
              </w:rPr>
            </w:pPr>
            <w:r>
              <w:rPr>
                <w:rFonts w:hint="eastAsia" w:ascii="宋体" w:hAnsi="宋体" w:eastAsia="宋体" w:cs="宋体"/>
                <w:color w:val="auto"/>
                <w:sz w:val="21"/>
                <w:szCs w:val="21"/>
                <w:highlight w:val="none"/>
              </w:rPr>
              <w:t>供应商联系方式</w:t>
            </w:r>
          </w:p>
        </w:tc>
        <w:tc>
          <w:tcPr>
            <w:tcW w:w="5636" w:type="dxa"/>
            <w:vAlign w:val="center"/>
          </w:tcPr>
          <w:p w14:paraId="682EFEC5">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360" w:lineRule="auto"/>
              <w:textAlignment w:val="auto"/>
              <w:rPr>
                <w:rFonts w:hint="default" w:eastAsia="宋体" w:asciiTheme="minorEastAsia" w:hAnsiTheme="minorEastAsia"/>
                <w:color w:val="auto"/>
                <w:szCs w:val="21"/>
                <w:lang w:val="en-US" w:eastAsia="zh-CN"/>
              </w:rPr>
            </w:pPr>
            <w:r>
              <w:rPr>
                <w:rFonts w:hint="eastAsia" w:ascii="宋体" w:hAnsi="宋体" w:eastAsia="宋体" w:cs="宋体"/>
                <w:bCs/>
                <w:color w:val="auto"/>
                <w:sz w:val="21"/>
                <w:szCs w:val="21"/>
                <w:highlight w:val="none"/>
              </w:rPr>
              <w:t>自购买竞争性磋商文件之日起，供应商应保证其提供的联系方式（电话、传真、邮箱）一直有效，以确保往来函件能及时通知供应商，并能及时反馈信息，否则采购人不承担由此引发的一切后果。</w:t>
            </w:r>
          </w:p>
        </w:tc>
      </w:tr>
      <w:tr w14:paraId="0C135F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0F2B0A81">
            <w:pPr>
              <w:spacing w:line="440" w:lineRule="exact"/>
              <w:jc w:val="cente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4</w:t>
            </w:r>
          </w:p>
        </w:tc>
        <w:tc>
          <w:tcPr>
            <w:tcW w:w="3103" w:type="dxa"/>
            <w:vAlign w:val="center"/>
          </w:tcPr>
          <w:p w14:paraId="0A75435F">
            <w:pPr>
              <w:spacing w:line="360" w:lineRule="auto"/>
              <w:jc w:val="center"/>
              <w:rPr>
                <w:rFonts w:hint="eastAsia" w:ascii="宋体" w:hAnsi="宋体"/>
                <w:bCs/>
                <w:color w:val="auto"/>
                <w:kern w:val="15"/>
                <w:sz w:val="24"/>
              </w:rPr>
            </w:pPr>
            <w:r>
              <w:rPr>
                <w:rFonts w:hint="eastAsia" w:ascii="宋体" w:hAnsi="宋体" w:cs="宋体"/>
                <w:color w:val="auto"/>
                <w:szCs w:val="21"/>
              </w:rPr>
              <w:t>中小企业</w:t>
            </w:r>
          </w:p>
        </w:tc>
        <w:tc>
          <w:tcPr>
            <w:tcW w:w="5636" w:type="dxa"/>
            <w:vAlign w:val="center"/>
          </w:tcPr>
          <w:p w14:paraId="6D1753A1">
            <w:pPr>
              <w:spacing w:line="360" w:lineRule="auto"/>
              <w:rPr>
                <w:rFonts w:hint="eastAsia" w:ascii="宋体" w:hAnsi="宋体" w:cs="宋体"/>
                <w:color w:val="auto"/>
                <w:szCs w:val="21"/>
              </w:rPr>
            </w:pPr>
            <w:r>
              <w:rPr>
                <w:rFonts w:hint="eastAsia" w:ascii="宋体" w:hAnsi="宋体" w:cs="宋体"/>
                <w:color w:val="auto"/>
                <w:szCs w:val="21"/>
              </w:rPr>
              <w:t>为进一步发挥政府采购政策功能，促进中小企业健康发展，省财政厅依托吉林省政府采购网，开通了政府采购合同融资专区，融资专区是为中小企业打造的“政府采购合同融资”服务平台，是贯彻落实《吉林省政府采购促进中小企业发展实施方案》、激发中小企业活力和发展动力的重要举措。该专区具有金融机构覆盖面广、融资产品种类多、业务办理实效性强等特点。“政府采购合同融资”以吉林省政府采购网政府采购项目交易信息为融资条件，以缓解中小企业参与政府采购活动资金不足为服务目标，为有融资需求的中小企业按照相关要求，在融资专区中自行选择金融机构进行融资，其他类型企业有融资需求的，凭政府采购合同等相关材料，也可通过融资专区进行融资。</w:t>
            </w:r>
          </w:p>
          <w:p w14:paraId="610B75FA">
            <w:pPr>
              <w:spacing w:line="360" w:lineRule="auto"/>
              <w:rPr>
                <w:rFonts w:hint="eastAsia"/>
                <w:color w:val="auto"/>
              </w:rPr>
            </w:pPr>
            <w:r>
              <w:rPr>
                <w:rFonts w:hint="eastAsia" w:ascii="宋体" w:hAnsi="宋体" w:cs="宋体"/>
                <w:color w:val="auto"/>
                <w:szCs w:val="21"/>
              </w:rPr>
              <w:t>网址：www.ccgp.jilin.gov.cn</w:t>
            </w:r>
          </w:p>
        </w:tc>
      </w:tr>
      <w:tr w14:paraId="3AB87A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7D6B70E9">
            <w:pPr>
              <w:spacing w:line="360" w:lineRule="auto"/>
              <w:jc w:val="center"/>
              <w:rPr>
                <w:rFonts w:hint="eastAsia" w:asciiTheme="minorEastAsia" w:hAnsiTheme="minorEastAsia" w:eastAsiaTheme="minorEastAsia"/>
                <w:color w:val="auto"/>
                <w:szCs w:val="21"/>
                <w:lang w:val="en-US" w:eastAsia="zh-CN"/>
              </w:rPr>
            </w:pPr>
            <w:r>
              <w:rPr>
                <w:rFonts w:hint="eastAsia" w:ascii="宋体" w:hAnsi="宋体" w:cs="宋体"/>
                <w:color w:val="auto"/>
                <w:szCs w:val="21"/>
                <w:lang w:val="en-US" w:eastAsia="zh-CN"/>
              </w:rPr>
              <w:t>5</w:t>
            </w:r>
          </w:p>
        </w:tc>
        <w:tc>
          <w:tcPr>
            <w:tcW w:w="3103" w:type="dxa"/>
            <w:vAlign w:val="center"/>
          </w:tcPr>
          <w:p w14:paraId="64A44C7D">
            <w:pPr>
              <w:spacing w:line="360" w:lineRule="auto"/>
              <w:jc w:val="center"/>
              <w:rPr>
                <w:rFonts w:hint="eastAsia" w:ascii="宋体" w:hAnsi="宋体" w:cs="宋体"/>
                <w:color w:val="auto"/>
                <w:szCs w:val="21"/>
              </w:rPr>
            </w:pPr>
            <w:r>
              <w:rPr>
                <w:rFonts w:hint="eastAsia" w:ascii="宋体" w:hAnsi="宋体" w:eastAsia="宋体" w:cs="宋体"/>
                <w:color w:val="auto"/>
                <w:sz w:val="21"/>
                <w:szCs w:val="21"/>
                <w:highlight w:val="none"/>
                <w:lang w:val="en-US" w:eastAsia="zh-CN"/>
              </w:rPr>
              <w:t>“双盲”评审</w:t>
            </w:r>
          </w:p>
        </w:tc>
        <w:tc>
          <w:tcPr>
            <w:tcW w:w="5636" w:type="dxa"/>
            <w:vAlign w:val="center"/>
          </w:tcPr>
          <w:p w14:paraId="1A81A293">
            <w:pPr>
              <w:spacing w:line="360" w:lineRule="auto"/>
              <w:rPr>
                <w:rFonts w:hint="eastAsia" w:ascii="宋体" w:hAnsi="宋体" w:cs="宋体"/>
                <w:color w:val="auto"/>
                <w:szCs w:val="21"/>
              </w:rPr>
            </w:pPr>
            <w:r>
              <w:rPr>
                <w:rFonts w:hint="eastAsia" w:ascii="宋体" w:hAnsi="宋体" w:eastAsia="宋体" w:cs="宋体"/>
                <w:color w:val="auto"/>
                <w:sz w:val="21"/>
                <w:szCs w:val="21"/>
                <w:highlight w:val="none"/>
                <w:lang w:val="en-US" w:eastAsia="zh-CN"/>
              </w:rPr>
              <w:t>本项目采用“双盲”评审，即评标专家“盲抽”和“盲评”，响应文件的技术标部分采用“暗标”形式，投标人应严格按照“第六章响应文件格式”中的要求编制技术标。</w:t>
            </w:r>
            <w:r>
              <w:rPr>
                <w:rFonts w:hint="eastAsia" w:ascii="宋体" w:hAnsi="宋体" w:eastAsia="宋体" w:cs="宋体"/>
                <w:b/>
                <w:bCs/>
                <w:color w:val="auto"/>
                <w:sz w:val="21"/>
                <w:szCs w:val="21"/>
                <w:highlight w:val="none"/>
                <w:lang w:val="en-US" w:eastAsia="zh-CN"/>
              </w:rPr>
              <w:t>如果技术标出现能识别投标人的内容，经评标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r w14:paraId="158BB8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7F16377B">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6</w:t>
            </w:r>
          </w:p>
        </w:tc>
        <w:tc>
          <w:tcPr>
            <w:tcW w:w="3103" w:type="dxa"/>
            <w:vAlign w:val="center"/>
          </w:tcPr>
          <w:p w14:paraId="4C6B1277">
            <w:pPr>
              <w:tabs>
                <w:tab w:val="left" w:pos="0"/>
              </w:tabs>
              <w:snapToGrid w:val="0"/>
              <w:spacing w:before="120" w:beforeLines="50" w:after="120" w:afterLines="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4"/>
              </w:rPr>
              <w:t>政府采购异常低价</w:t>
            </w:r>
          </w:p>
        </w:tc>
        <w:tc>
          <w:tcPr>
            <w:tcW w:w="5636" w:type="dxa"/>
            <w:vAlign w:val="center"/>
          </w:tcPr>
          <w:p w14:paraId="61BF4812">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lang w:val="en-US" w:eastAsia="zh-CN"/>
              </w:rPr>
              <w:t>本项目</w:t>
            </w:r>
            <w:r>
              <w:rPr>
                <w:rFonts w:hint="eastAsia" w:ascii="宋体" w:hAnsi="宋体" w:eastAsia="宋体" w:cs="宋体"/>
                <w:color w:val="auto"/>
                <w:szCs w:val="24"/>
              </w:rPr>
              <w:t>评审中出现下列情形之一的，评审委员会应当启动异常低价投标（响应）审查程序：</w:t>
            </w:r>
          </w:p>
          <w:p w14:paraId="42E89EF7">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1.投标（响应）报价低于全部通过符合性审查供应商投标（响应）报价平均值50%的，即投标（响应）报价&lt;全部通过符合性审查供应商投标（响应）报价平均值×50%；</w:t>
            </w:r>
          </w:p>
          <w:p w14:paraId="2E27C45F">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2.投标（响应）报价低于通过符合性审查的次低报价供应商投标（响应）报价50%的，即投标（响应）报价&lt;通过符合性审查的次低报价供应商投标（响应）报价×50%；</w:t>
            </w:r>
          </w:p>
          <w:p w14:paraId="74DCFDA9">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3.投标（响应）报价低于采购项目最高限价45%的，即投标（响应）报价&lt;采购项目最高限价×45%；</w:t>
            </w:r>
          </w:p>
          <w:p w14:paraId="2AEC363C">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4.评审委员会基于专业判断，认为供应商报价过低，有可能影响产品质量或者不能诚信履约的其他情形。</w:t>
            </w:r>
          </w:p>
          <w:p w14:paraId="139DA550">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相关法律法规对供应商报价有规定的，从其规定。</w:t>
            </w:r>
          </w:p>
          <w:p w14:paraId="34377503">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60</w:t>
            </w:r>
            <w:r>
              <w:rPr>
                <w:rFonts w:hint="eastAsia" w:ascii="宋体" w:hAnsi="宋体" w:eastAsia="宋体" w:cs="宋体"/>
                <w:color w:val="auto"/>
                <w:szCs w:val="24"/>
              </w:rPr>
              <w:t>分钟。其中，属于第3项情形，供应商已随投标（响应）文件一并提交相关书面说明及必要的证明材料的，在评审现场可不再重复提交。</w:t>
            </w:r>
          </w:p>
          <w:p w14:paraId="20412CC4">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9252F07">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CFF1688">
            <w:pPr>
              <w:tabs>
                <w:tab w:val="left" w:pos="0"/>
              </w:tabs>
              <w:snapToGrid w:val="0"/>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4"/>
              </w:rPr>
              <w:t>异常低价投标（响应）审查的启动原因、审查意见和审查结果应当在评审报告中记录，并随供应商提供的相关书面说明及证明材料，以及评审委员会有关互联网浏览、查询历史一并归档。</w:t>
            </w:r>
          </w:p>
        </w:tc>
      </w:tr>
      <w:tr w14:paraId="1F6DE5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629468B0">
            <w:pPr>
              <w:spacing w:line="440" w:lineRule="exact"/>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7</w:t>
            </w:r>
          </w:p>
        </w:tc>
        <w:tc>
          <w:tcPr>
            <w:tcW w:w="8739" w:type="dxa"/>
            <w:gridSpan w:val="2"/>
            <w:vAlign w:val="center"/>
          </w:tcPr>
          <w:p w14:paraId="725D1AC6">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电子标说明：上传的电子证件及资料均需按要求签字盖章上传，否则按未签章处理。</w:t>
            </w:r>
          </w:p>
          <w:p w14:paraId="7FE97F29">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响应文件电子版方面技术支持：400-8817190或</w:t>
            </w:r>
            <w:r>
              <w:rPr>
                <w:rFonts w:hint="eastAsia" w:ascii="宋体" w:hAnsi="宋体" w:eastAsia="宋体" w:cs="宋体"/>
                <w:color w:val="auto"/>
                <w:sz w:val="21"/>
                <w:szCs w:val="21"/>
              </w:rPr>
              <w:t>95763</w:t>
            </w:r>
          </w:p>
          <w:p w14:paraId="24A8CC70">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供应商在政府采购云平台通过数字证书制作响应文件</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份</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此响应文件需上传至政府采购云平台</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并在开标</w:t>
            </w:r>
            <w:r>
              <w:rPr>
                <w:rFonts w:hint="eastAsia" w:ascii="宋体" w:hAnsi="宋体" w:eastAsia="宋体" w:cs="宋体"/>
                <w:color w:val="auto"/>
                <w:sz w:val="21"/>
                <w:szCs w:val="21"/>
              </w:rPr>
              <w:t>时</w:t>
            </w:r>
            <w:r>
              <w:rPr>
                <w:rFonts w:hint="eastAsia" w:ascii="宋体" w:hAnsi="宋体" w:eastAsia="宋体" w:cs="宋体"/>
                <w:color w:val="auto"/>
                <w:sz w:val="21"/>
                <w:szCs w:val="21"/>
                <w:lang w:val="zh-CN"/>
              </w:rPr>
              <w:t>持编制响应文件的供应商数字证书解密</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还需填写参加开启活动经办人联系方式</w:t>
            </w:r>
            <w:r>
              <w:rPr>
                <w:rFonts w:hint="eastAsia" w:ascii="宋体" w:hAnsi="宋体" w:eastAsia="宋体" w:cs="宋体"/>
                <w:color w:val="auto"/>
                <w:sz w:val="21"/>
                <w:szCs w:val="21"/>
                <w:lang w:val="zh-CN"/>
              </w:rPr>
              <w:t>。</w:t>
            </w:r>
          </w:p>
          <w:p w14:paraId="27FA7347">
            <w:pPr>
              <w:spacing w:line="360" w:lineRule="auto"/>
              <w:rPr>
                <w:rFonts w:hint="eastAsia" w:ascii="宋体" w:hAnsi="宋体" w:cs="宋体"/>
                <w:color w:val="auto"/>
                <w:szCs w:val="21"/>
              </w:rPr>
            </w:pPr>
            <w:r>
              <w:rPr>
                <w:rFonts w:hint="eastAsia" w:ascii="宋体" w:hAnsi="宋体" w:eastAsia="宋体" w:cs="宋体"/>
                <w:color w:val="auto"/>
                <w:sz w:val="21"/>
                <w:szCs w:val="21"/>
                <w:lang w:val="zh-CN"/>
              </w:rPr>
              <w:t>备注：响应文件电子版(U盘)按</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文件规定执行，用数字证书编制的电子版按政府采购云平台要求进行投标操作。</w:t>
            </w:r>
          </w:p>
        </w:tc>
      </w:tr>
      <w:tr w14:paraId="0927E5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1AAB9193">
            <w:pPr>
              <w:spacing w:line="440" w:lineRule="exact"/>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8</w:t>
            </w:r>
          </w:p>
        </w:tc>
        <w:tc>
          <w:tcPr>
            <w:tcW w:w="8739" w:type="dxa"/>
            <w:gridSpan w:val="2"/>
            <w:vAlign w:val="center"/>
          </w:tcPr>
          <w:p w14:paraId="4EFD214D">
            <w:pPr>
              <w:spacing w:line="360" w:lineRule="auto"/>
              <w:rPr>
                <w:rFonts w:hint="eastAsia" w:ascii="宋体" w:hAnsi="宋体" w:cs="宋体"/>
                <w:color w:val="auto"/>
                <w:szCs w:val="21"/>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内附扫描件均应清晰可辨，任何不可辨识信息导致评标委员会无法进行评审的，由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自行负责。</w:t>
            </w:r>
          </w:p>
        </w:tc>
      </w:tr>
      <w:tr w14:paraId="5CF202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747" w:type="dxa"/>
            <w:gridSpan w:val="3"/>
            <w:vAlign w:val="center"/>
          </w:tcPr>
          <w:p w14:paraId="7CDDBB9E">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 “</w:t>
            </w:r>
            <w:r>
              <w:rPr>
                <w:rFonts w:hint="eastAsia" w:asciiTheme="minorEastAsia" w:hAnsiTheme="minorEastAsia" w:eastAsiaTheme="minorEastAsia"/>
                <w:color w:val="auto"/>
                <w:szCs w:val="21"/>
                <w:lang w:eastAsia="zh-CN"/>
              </w:rPr>
              <w:t>竞争性磋商</w:t>
            </w:r>
            <w:r>
              <w:rPr>
                <w:rFonts w:hint="eastAsia" w:asciiTheme="minorEastAsia" w:hAnsiTheme="minorEastAsia" w:eastAsiaTheme="minorEastAsia"/>
                <w:color w:val="auto"/>
                <w:szCs w:val="21"/>
              </w:rPr>
              <w:t>公告”与“</w:t>
            </w:r>
            <w:r>
              <w:rPr>
                <w:rFonts w:hint="eastAsia" w:asciiTheme="minorEastAsia" w:hAnsiTheme="minorEastAsia" w:eastAsiaTheme="minorEastAsia"/>
                <w:color w:val="auto"/>
                <w:szCs w:val="21"/>
                <w:lang w:eastAsia="zh-CN"/>
              </w:rPr>
              <w:t>供应商</w:t>
            </w:r>
            <w:r>
              <w:rPr>
                <w:rFonts w:hint="eastAsia" w:asciiTheme="minorEastAsia" w:hAnsiTheme="minorEastAsia" w:eastAsiaTheme="minorEastAsia"/>
                <w:color w:val="auto"/>
                <w:szCs w:val="21"/>
              </w:rPr>
              <w:t>须知前附表”发生不一致时以“</w:t>
            </w:r>
            <w:r>
              <w:rPr>
                <w:rFonts w:hint="eastAsia" w:asciiTheme="minorEastAsia" w:hAnsiTheme="minorEastAsia" w:eastAsiaTheme="minorEastAsia"/>
                <w:color w:val="auto"/>
                <w:szCs w:val="21"/>
                <w:lang w:eastAsia="zh-CN"/>
              </w:rPr>
              <w:t>供应商</w:t>
            </w:r>
            <w:r>
              <w:rPr>
                <w:rFonts w:hint="eastAsia" w:asciiTheme="minorEastAsia" w:hAnsiTheme="minorEastAsia" w:eastAsiaTheme="minorEastAsia"/>
                <w:color w:val="auto"/>
                <w:szCs w:val="21"/>
              </w:rPr>
              <w:t>须知前附表”为准 ※</w:t>
            </w:r>
          </w:p>
        </w:tc>
      </w:tr>
    </w:tbl>
    <w:p w14:paraId="3C0C5EE2">
      <w:pPr>
        <w:spacing w:line="360" w:lineRule="auto"/>
        <w:rPr>
          <w:rFonts w:hint="eastAsia" w:ascii="宋体" w:hAnsi="宋体" w:cs="宋体"/>
          <w:b/>
          <w:color w:val="auto"/>
          <w:szCs w:val="21"/>
        </w:rPr>
      </w:pPr>
      <w:r>
        <w:rPr>
          <w:rFonts w:asciiTheme="minorEastAsia" w:hAnsiTheme="minorEastAsia" w:eastAsiaTheme="minorEastAsia"/>
          <w:color w:val="auto"/>
        </w:rPr>
        <w:br w:type="page"/>
      </w:r>
      <w:r>
        <w:rPr>
          <w:rFonts w:hint="eastAsia" w:ascii="宋体" w:hAnsi="宋体" w:cs="宋体"/>
          <w:b/>
          <w:color w:val="auto"/>
          <w:sz w:val="28"/>
          <w:szCs w:val="28"/>
        </w:rPr>
        <w:t>1．总则</w:t>
      </w:r>
    </w:p>
    <w:p w14:paraId="4A17AB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供应商应仔细阅读本磋商文件的所有内容（包括答疑、补充、澄清以及修改等），按照磋商文件要求以及格式编制响应文件，并保证其真实性，否则一切后果自负。</w:t>
      </w:r>
    </w:p>
    <w:p w14:paraId="14784016">
      <w:pPr>
        <w:spacing w:line="360" w:lineRule="auto"/>
        <w:rPr>
          <w:rFonts w:hint="eastAsia" w:ascii="宋体" w:hAnsi="宋体" w:cs="宋体"/>
          <w:b/>
          <w:color w:val="auto"/>
          <w:szCs w:val="21"/>
        </w:rPr>
      </w:pPr>
      <w:r>
        <w:rPr>
          <w:rFonts w:hint="eastAsia" w:ascii="宋体" w:hAnsi="宋体" w:cs="宋体"/>
          <w:b/>
          <w:color w:val="auto"/>
          <w:szCs w:val="21"/>
        </w:rPr>
        <w:t>1.1 项目概况</w:t>
      </w:r>
    </w:p>
    <w:p w14:paraId="0D42DD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根据《中华人民共和国政府采购法》、《中华人民共和国政府采购法实施条例》、《中华人民共和国招标投标法》、《中华人民共和国招标投标法实施条例》、《财政部关于印发政府采购竞争性磋商采购方式管理暂行办法的通知》等有关法律、法规和规章的规定，本采购项目已具备采购条件，现以竞争性磋商方式对本项目进行采购。</w:t>
      </w:r>
    </w:p>
    <w:p w14:paraId="21D7EFF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1.1.2 本采购项目采购人：见供应商须知前附表。</w:t>
      </w:r>
    </w:p>
    <w:p w14:paraId="1FD10BD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1.1.3 本采购项目采购代理机构：见供应商须知前附表。</w:t>
      </w:r>
    </w:p>
    <w:p w14:paraId="302DE17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1.1.4 供应商：系指响应采购要求且符合磋商文件规定的资格条件和参加磋商报价竞争的法人、其他组织或者自然人。</w:t>
      </w:r>
    </w:p>
    <w:p w14:paraId="7154CF9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1.1.5 磋商小组：系指根据法律法规规定，由采购人代表和有关专家组成以确定成交人的临时组织。</w:t>
      </w:r>
    </w:p>
    <w:p w14:paraId="69950E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1.1.6 成交人：系指经磋商确定的满足磋商文件实质性响应要求且经评审综合得分最高的，取得与采购人签订合同资格的供应商。</w:t>
      </w:r>
    </w:p>
    <w:p w14:paraId="69B6DB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1.1.7本采购项目名称：见供应商须知前附表。</w:t>
      </w:r>
    </w:p>
    <w:p w14:paraId="671630A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1.1.8本采购项目建设地点：见供应商须知前附表。</w:t>
      </w:r>
    </w:p>
    <w:p w14:paraId="66F00C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1.1.9本采购项目预算：见供应商须知前附表。</w:t>
      </w:r>
    </w:p>
    <w:p w14:paraId="01ACBA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1.1.10本采购项目结构类型：见供应商须知前附表。</w:t>
      </w:r>
    </w:p>
    <w:p w14:paraId="0CDD07A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1.1.11本采购项目标段划分：见供应商须知前附表</w:t>
      </w:r>
    </w:p>
    <w:p w14:paraId="07884B90">
      <w:pPr>
        <w:spacing w:line="360" w:lineRule="auto"/>
        <w:rPr>
          <w:rFonts w:hint="eastAsia" w:ascii="宋体" w:hAnsi="宋体" w:cs="宋体"/>
          <w:b/>
          <w:color w:val="auto"/>
          <w:szCs w:val="21"/>
        </w:rPr>
      </w:pPr>
      <w:r>
        <w:rPr>
          <w:rFonts w:hint="eastAsia" w:ascii="宋体" w:hAnsi="宋体" w:cs="宋体"/>
          <w:b/>
          <w:color w:val="auto"/>
          <w:szCs w:val="21"/>
        </w:rPr>
        <w:t>1.2 资金来源和落实情况</w:t>
      </w:r>
    </w:p>
    <w:p w14:paraId="550EAE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 本采购项目的资金来源：见供应商须知前附表。</w:t>
      </w:r>
    </w:p>
    <w:p w14:paraId="4B30471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1.2.2 本采购项目的出资比例：见供应商须知前附表。</w:t>
      </w:r>
    </w:p>
    <w:p w14:paraId="5789A58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1.2.3 本采购项目的资金落实情况：见供应商须知前附表。</w:t>
      </w:r>
    </w:p>
    <w:p w14:paraId="2A13AA33">
      <w:pPr>
        <w:spacing w:line="360" w:lineRule="auto"/>
        <w:rPr>
          <w:rFonts w:hint="eastAsia" w:ascii="宋体" w:hAnsi="宋体" w:cs="宋体"/>
          <w:b/>
          <w:color w:val="auto"/>
          <w:szCs w:val="21"/>
        </w:rPr>
      </w:pPr>
      <w:r>
        <w:rPr>
          <w:rFonts w:hint="eastAsia" w:ascii="宋体" w:hAnsi="宋体" w:cs="宋体"/>
          <w:b/>
          <w:color w:val="auto"/>
          <w:szCs w:val="21"/>
        </w:rPr>
        <w:t>1.3 采购范围、合同履行期限和工程质量要求</w:t>
      </w:r>
    </w:p>
    <w:p w14:paraId="78B3E3F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 本次采购范围：见供应商须知前附表。</w:t>
      </w:r>
    </w:p>
    <w:p w14:paraId="182204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1.3.2 本采购项目的合同履行期限：见供应商须知前附表。</w:t>
      </w:r>
    </w:p>
    <w:p w14:paraId="0BEEFA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1.3.3 本采购项目的工程质量要求：见供应商须知前附表。</w:t>
      </w:r>
    </w:p>
    <w:p w14:paraId="3D4FDAA2">
      <w:pPr>
        <w:spacing w:line="360" w:lineRule="auto"/>
        <w:rPr>
          <w:rFonts w:hint="eastAsia" w:ascii="宋体" w:hAnsi="宋体" w:cs="宋体"/>
          <w:b/>
          <w:color w:val="auto"/>
          <w:szCs w:val="21"/>
        </w:rPr>
      </w:pPr>
      <w:r>
        <w:rPr>
          <w:rFonts w:hint="eastAsia" w:ascii="宋体" w:hAnsi="宋体" w:cs="宋体"/>
          <w:b/>
          <w:color w:val="auto"/>
          <w:szCs w:val="21"/>
        </w:rPr>
        <w:t>1.4 供应商资格要求</w:t>
      </w:r>
    </w:p>
    <w:p w14:paraId="09B206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1.4.1 供应商应具备承担本项目的资质条件、能力和信誉。</w:t>
      </w:r>
    </w:p>
    <w:p w14:paraId="07FD53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（1）资质条件：见供应商须知前附表；</w:t>
      </w:r>
    </w:p>
    <w:p w14:paraId="651DFA6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（2）财务要求：见供应商须知前附表；</w:t>
      </w:r>
    </w:p>
    <w:p w14:paraId="4BDF92B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（3）信誉要求：见供应商须知前附表；</w:t>
      </w:r>
    </w:p>
    <w:p w14:paraId="6ABCC42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（4）项目经理资格：见供应商须知前附表；</w:t>
      </w:r>
    </w:p>
    <w:p w14:paraId="44BA0F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（5）其他要求：见供应商须知前附表。</w:t>
      </w:r>
    </w:p>
    <w:p w14:paraId="1D7022B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1.4.2供应商须知前附表规定接受联合体磋商的，联合体除应符合本章第 1.4.1项和供应商须知前附表的要求外，还应遵守以下规定：</w:t>
      </w:r>
    </w:p>
    <w:p w14:paraId="52CDC8A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（1）联合体各方应按竞争性磋商文件提供的格式签订联合体协议书，明确联合体牵头人和各方权利义务，并承诺就成交项目向采购人承担连带责任；</w:t>
      </w:r>
    </w:p>
    <w:p w14:paraId="005A3F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（2）由同一专业的单位组成的联合体，按照资质等级较低的单位确定资质等级；</w:t>
      </w:r>
    </w:p>
    <w:p w14:paraId="55C491D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（3）联合体各方不得再以自己名义单独或参加其他联合体在同一标段中磋商；</w:t>
      </w:r>
    </w:p>
    <w:p w14:paraId="38E68FC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联合体各方应分别按照本竞争性磋商文件的要求，填写竞争性磋商响应文件中的相应表格，并由联合体牵头人负责对联合体各成员的资料进行统一汇总后一并提交给采购人；联合体牵头人所提交的竞争性磋商响应文件应认为已代表了联合体各成员的真实情况；</w:t>
      </w:r>
    </w:p>
    <w:p w14:paraId="5D486A9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（5）尽管委任了联合体牵头人，但联合体各成员在磋商、签订合同与履行合同过程中，仍负有连带的和各自的法律责任。</w:t>
      </w:r>
    </w:p>
    <w:p w14:paraId="30DFC58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1.4.3供应商（包括联合体各成员）不得与本标段相关单位存在下列关联关系：</w:t>
      </w:r>
    </w:p>
    <w:p w14:paraId="77F81D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（1）为采购人不具有独立法人资格的附属机构（单位）；</w:t>
      </w:r>
    </w:p>
    <w:p w14:paraId="63E71CB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（2）与采购人存在利害关系且可能影响磋商公正性；</w:t>
      </w:r>
    </w:p>
    <w:p w14:paraId="01F816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（3）与本标段的其他供应商同为一个单位负责人；</w:t>
      </w:r>
    </w:p>
    <w:p w14:paraId="6CD982D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（4）与本标段的其他供应商存在控股、管理关系；</w:t>
      </w:r>
    </w:p>
    <w:p w14:paraId="69326E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（5）为本标段前期准备提供设计或咨询服务的法人或其任何附属机构（单位）；</w:t>
      </w:r>
    </w:p>
    <w:p w14:paraId="0002A5E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（6）为本标段的监理人；</w:t>
      </w:r>
    </w:p>
    <w:p w14:paraId="06B0DD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（7）为本标段的代建人；</w:t>
      </w:r>
    </w:p>
    <w:p w14:paraId="752B02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（8）为本标段的磋商代理机构；</w:t>
      </w:r>
    </w:p>
    <w:p w14:paraId="34D5523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（9）与本标段的监理人或代建人或磋商代理机构同为一个法定代表人；</w:t>
      </w:r>
    </w:p>
    <w:p w14:paraId="0FCE972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（10）与本标段的监理人或代建人或磋商代理机构存在控股或参股关系；</w:t>
      </w:r>
    </w:p>
    <w:p w14:paraId="29F9F2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（11）法律法规或供应商须知前附表规定的其他情形。</w:t>
      </w:r>
    </w:p>
    <w:p w14:paraId="782F921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1.4.4 供应商（包括联合体各成员）不得存在下列不良状况或不良信用记录：</w:t>
      </w:r>
    </w:p>
    <w:p w14:paraId="19E74F2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（1）被省级主管部门取消磋商项目所在地的投标资格且处于有效期内；</w:t>
      </w:r>
    </w:p>
    <w:p w14:paraId="5CC73B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（2）被责令停业，暂扣或吊销执照，或吊销资质证书；</w:t>
      </w:r>
    </w:p>
    <w:p w14:paraId="1B58270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（3）进入清算程序，或被宣告破产，或其他丧失履约能力的情形；</w:t>
      </w:r>
    </w:p>
    <w:p w14:paraId="0CBA6A1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（4）供应商必须未被列入“信用中国” 网站（www.creditchina.gov.cn)、中国政府采购网（www.ccgp.gov.cn）等渠道信用记录失信被执行人、重大税收违法案件当事人名单、政府采购严重违法失信行为记录名单（须提供网络截图）；</w:t>
      </w:r>
    </w:p>
    <w:p w14:paraId="4E0F20C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（5）法律法规或供应商须知前附表规定的其他情形。</w:t>
      </w:r>
    </w:p>
    <w:p w14:paraId="358A0351">
      <w:pPr>
        <w:spacing w:line="360" w:lineRule="auto"/>
        <w:rPr>
          <w:rFonts w:hint="eastAsia" w:ascii="宋体" w:hAnsi="宋体" w:cs="宋体"/>
          <w:b/>
          <w:color w:val="auto"/>
          <w:szCs w:val="21"/>
        </w:rPr>
      </w:pPr>
      <w:r>
        <w:rPr>
          <w:rFonts w:hint="eastAsia" w:ascii="宋体" w:hAnsi="宋体" w:cs="宋体"/>
          <w:b/>
          <w:color w:val="auto"/>
          <w:szCs w:val="21"/>
        </w:rPr>
        <w:t>1.5 费用承担</w:t>
      </w:r>
    </w:p>
    <w:p w14:paraId="29C5703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供应商准备和参加磋商活动发生的费用自理。</w:t>
      </w:r>
    </w:p>
    <w:p w14:paraId="02E4A15A">
      <w:pPr>
        <w:spacing w:line="360" w:lineRule="auto"/>
        <w:rPr>
          <w:rFonts w:hint="eastAsia" w:ascii="宋体" w:hAnsi="宋体" w:cs="宋体"/>
          <w:b/>
          <w:color w:val="auto"/>
          <w:szCs w:val="21"/>
        </w:rPr>
      </w:pPr>
      <w:r>
        <w:rPr>
          <w:rFonts w:hint="eastAsia" w:ascii="宋体" w:hAnsi="宋体" w:cs="宋体"/>
          <w:b/>
          <w:color w:val="auto"/>
          <w:szCs w:val="21"/>
        </w:rPr>
        <w:t>1.6 保密</w:t>
      </w:r>
    </w:p>
    <w:p w14:paraId="5D691F4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参与磋商活动的各方应对竞争性磋商文件和响应文件中的商业和技术等秘密保密，违者应对由此造成的后果承担法律责任。</w:t>
      </w:r>
    </w:p>
    <w:p w14:paraId="4F8E1439">
      <w:pPr>
        <w:spacing w:line="360" w:lineRule="auto"/>
        <w:rPr>
          <w:rFonts w:hint="eastAsia" w:ascii="宋体" w:hAnsi="宋体" w:cs="宋体"/>
          <w:b/>
          <w:color w:val="auto"/>
          <w:szCs w:val="21"/>
        </w:rPr>
      </w:pPr>
      <w:r>
        <w:rPr>
          <w:rFonts w:hint="eastAsia" w:ascii="宋体" w:hAnsi="宋体" w:cs="宋体"/>
          <w:b/>
          <w:color w:val="auto"/>
          <w:szCs w:val="21"/>
        </w:rPr>
        <w:t>1.7 语言文字</w:t>
      </w:r>
    </w:p>
    <w:p w14:paraId="43C460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除专用术语外，与磋商有关的语言均使用中文。必要时专用术语应附有中文注释。</w:t>
      </w:r>
    </w:p>
    <w:p w14:paraId="23FF5BF5">
      <w:pPr>
        <w:spacing w:line="360" w:lineRule="auto"/>
        <w:rPr>
          <w:rFonts w:hint="eastAsia" w:ascii="宋体" w:hAnsi="宋体" w:cs="宋体"/>
          <w:b/>
          <w:color w:val="auto"/>
          <w:szCs w:val="21"/>
        </w:rPr>
      </w:pPr>
      <w:r>
        <w:rPr>
          <w:rFonts w:hint="eastAsia" w:ascii="宋体" w:hAnsi="宋体" w:cs="宋体"/>
          <w:b/>
          <w:color w:val="auto"/>
          <w:szCs w:val="21"/>
        </w:rPr>
        <w:t>1.8 计量单位</w:t>
      </w:r>
    </w:p>
    <w:p w14:paraId="162DD9F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所有计量均采用中华人民共和国法定计量单位。</w:t>
      </w:r>
    </w:p>
    <w:p w14:paraId="08BE8943">
      <w:pPr>
        <w:spacing w:line="360" w:lineRule="auto"/>
        <w:rPr>
          <w:rFonts w:hint="eastAsia" w:ascii="宋体" w:hAnsi="宋体" w:cs="宋体"/>
          <w:b/>
          <w:color w:val="auto"/>
          <w:szCs w:val="21"/>
        </w:rPr>
      </w:pPr>
      <w:r>
        <w:rPr>
          <w:rFonts w:hint="eastAsia" w:ascii="宋体" w:hAnsi="宋体" w:cs="宋体"/>
          <w:b/>
          <w:color w:val="auto"/>
          <w:szCs w:val="21"/>
        </w:rPr>
        <w:t>1.9 踏勘现场</w:t>
      </w:r>
    </w:p>
    <w:p w14:paraId="6D1D37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1.9.1 供应商须知前附表规定组织踏勘现场的，采购人按供应商须知前附表规定的时间、地点组织供应商踏勘项目现场。</w:t>
      </w:r>
    </w:p>
    <w:p w14:paraId="0F537C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1.9.2 供应商踏勘现场发生的费用自理。</w:t>
      </w:r>
    </w:p>
    <w:p w14:paraId="46AD033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1.9.3 除采购人的原因外，供应商自行负责在踏勘现场中所发生的人员伤亡和财产损失。</w:t>
      </w:r>
    </w:p>
    <w:p w14:paraId="3FDA9C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1.9.4 采购人在踏勘现场中介绍的工程场地和相关的周边环境情况，仅供供应商在编制响应文件时参考，采购人不对供应商据此作出的判断和决策负责。</w:t>
      </w:r>
    </w:p>
    <w:p w14:paraId="35A56B0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1.9.5 采购人提供的本合同工程的水文、地质、气象和料场分布、取土场、弃土场位置等参考资料，并不构成合同文件的组成部分，供应商应对自己对上述资料的解释、推论和应用负责，采购人不对供应商据此作出的判断和决策承担任何责任。</w:t>
      </w:r>
    </w:p>
    <w:p w14:paraId="25E08304">
      <w:pPr>
        <w:spacing w:line="360" w:lineRule="auto"/>
        <w:rPr>
          <w:rFonts w:hint="eastAsia" w:ascii="宋体" w:hAnsi="宋体" w:cs="宋体"/>
          <w:b/>
          <w:color w:val="auto"/>
          <w:szCs w:val="21"/>
        </w:rPr>
      </w:pPr>
      <w:r>
        <w:rPr>
          <w:rFonts w:hint="eastAsia" w:ascii="宋体" w:hAnsi="宋体" w:cs="宋体"/>
          <w:b/>
          <w:color w:val="auto"/>
          <w:szCs w:val="21"/>
        </w:rPr>
        <w:t>1.10 磋商答疑会</w:t>
      </w:r>
    </w:p>
    <w:p w14:paraId="32791A0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1.10.1 供应商须知前附表规定召开磋商答疑会的，采购人按供应商须知前附表规定的时间和地点召开磋商答疑会，澄清供应商提出的问题。</w:t>
      </w:r>
    </w:p>
    <w:p w14:paraId="16D4332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1.10.2 供应商应在供应商须知前附表规定的时间前，以书面形式将提出的问题送达采购人，以便采购人澄清。</w:t>
      </w:r>
    </w:p>
    <w:p w14:paraId="2867E3F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1.10.3 磋商答疑会后，采购人在供应商须知前附表规定的时间内，对供应商所提问题的澄清，将以书面形式通知所有潜在供应商。该澄清内容为竞争性磋商文件的组成部分。</w:t>
      </w:r>
    </w:p>
    <w:p w14:paraId="671AD89B">
      <w:pPr>
        <w:spacing w:line="360" w:lineRule="auto"/>
        <w:rPr>
          <w:rFonts w:hint="eastAsia" w:ascii="宋体" w:hAnsi="宋体" w:cs="宋体"/>
          <w:b/>
          <w:color w:val="auto"/>
          <w:szCs w:val="21"/>
        </w:rPr>
      </w:pPr>
      <w:r>
        <w:rPr>
          <w:rFonts w:hint="eastAsia" w:ascii="宋体" w:hAnsi="宋体" w:cs="宋体"/>
          <w:b/>
          <w:color w:val="auto"/>
          <w:szCs w:val="21"/>
        </w:rPr>
        <w:t>1.11 分包</w:t>
      </w:r>
    </w:p>
    <w:p w14:paraId="4BC5C4B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供应商拟在成交后将成交项目的部分非主体、非关键性工作进行分包的，应符合供应商须知前附表规定的分包内容、分包金额和接受分包的第三人资质要求等限制性条件。</w:t>
      </w:r>
    </w:p>
    <w:p w14:paraId="2615654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供应商成交后直至验收止，成交人不得以任何形式和理由转包或者分包，如出现上述情形，采购人向财政部门提出申请并经批准后，可取消其成交资格，并与其解除合同，由此引起的经济损失全部由成交人承担。</w:t>
      </w:r>
    </w:p>
    <w:p w14:paraId="11621D0B">
      <w:pPr>
        <w:spacing w:line="360" w:lineRule="auto"/>
        <w:rPr>
          <w:rFonts w:hint="eastAsia" w:ascii="宋体" w:hAnsi="宋体" w:cs="宋体"/>
          <w:b/>
          <w:color w:val="auto"/>
          <w:szCs w:val="21"/>
        </w:rPr>
      </w:pPr>
      <w:r>
        <w:rPr>
          <w:rFonts w:hint="eastAsia" w:ascii="宋体" w:hAnsi="宋体" w:cs="宋体"/>
          <w:b/>
          <w:color w:val="auto"/>
          <w:szCs w:val="21"/>
        </w:rPr>
        <w:t>1.12 偏离</w:t>
      </w:r>
    </w:p>
    <w:p w14:paraId="13512F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供应商须知前附表允许响应文件偏离竞争性磋商文件某些要求的，偏离应当符合竞争性磋商文件规定的偏离范围和幅度。</w:t>
      </w:r>
    </w:p>
    <w:p w14:paraId="181594E0">
      <w:pPr>
        <w:spacing w:line="360" w:lineRule="auto"/>
        <w:rPr>
          <w:rFonts w:hint="eastAsia" w:ascii="宋体" w:hAnsi="宋体" w:cs="宋体"/>
          <w:b/>
          <w:color w:val="auto"/>
          <w:szCs w:val="21"/>
        </w:rPr>
      </w:pPr>
      <w:bookmarkStart w:id="39" w:name="_Toc199384355"/>
      <w:bookmarkStart w:id="40" w:name="_Toc259191032"/>
      <w:bookmarkStart w:id="41" w:name="_Toc228871258"/>
      <w:bookmarkStart w:id="42" w:name="_Toc262045193"/>
      <w:bookmarkStart w:id="43" w:name="_Toc208999240"/>
      <w:bookmarkStart w:id="44" w:name="_Toc208974979"/>
    </w:p>
    <w:p w14:paraId="35497608">
      <w:pPr>
        <w:spacing w:line="360" w:lineRule="auto"/>
        <w:rPr>
          <w:rFonts w:hint="eastAsia" w:ascii="宋体" w:hAnsi="宋体" w:cs="宋体"/>
          <w:b/>
          <w:color w:val="auto"/>
          <w:szCs w:val="21"/>
        </w:rPr>
      </w:pPr>
      <w:r>
        <w:rPr>
          <w:rFonts w:hint="eastAsia" w:ascii="宋体" w:hAnsi="宋体" w:cs="宋体"/>
          <w:b/>
          <w:color w:val="auto"/>
          <w:sz w:val="28"/>
          <w:szCs w:val="28"/>
        </w:rPr>
        <w:t>2．竞争性磋商文件</w:t>
      </w:r>
      <w:bookmarkEnd w:id="39"/>
      <w:bookmarkEnd w:id="40"/>
      <w:bookmarkEnd w:id="41"/>
      <w:bookmarkEnd w:id="42"/>
      <w:bookmarkEnd w:id="43"/>
      <w:bookmarkEnd w:id="44"/>
    </w:p>
    <w:p w14:paraId="2777ABEF">
      <w:pPr>
        <w:spacing w:line="360" w:lineRule="auto"/>
        <w:rPr>
          <w:rFonts w:hint="eastAsia" w:ascii="宋体" w:hAnsi="宋体" w:cs="宋体"/>
          <w:b/>
          <w:color w:val="auto"/>
          <w:szCs w:val="21"/>
        </w:rPr>
      </w:pPr>
      <w:r>
        <w:rPr>
          <w:rFonts w:hint="eastAsia" w:ascii="宋体" w:hAnsi="宋体" w:cs="宋体"/>
          <w:b/>
          <w:color w:val="auto"/>
          <w:szCs w:val="21"/>
        </w:rPr>
        <w:t>2.1 竞争性磋商文件的组成</w:t>
      </w:r>
    </w:p>
    <w:p w14:paraId="19A777D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本竞争性磋商文件包括：</w:t>
      </w:r>
    </w:p>
    <w:p w14:paraId="77E07D1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（1）竞争性磋商公告；</w:t>
      </w:r>
    </w:p>
    <w:p w14:paraId="03BBD25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（2）供应商须知；</w:t>
      </w:r>
    </w:p>
    <w:p w14:paraId="015234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（3）评审办法（综合评分法）；</w:t>
      </w:r>
    </w:p>
    <w:p w14:paraId="0C2BC5B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（4）合同格式；</w:t>
      </w:r>
    </w:p>
    <w:p w14:paraId="270BE12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服务需求</w:t>
      </w:r>
      <w:r>
        <w:rPr>
          <w:rFonts w:hint="eastAsia" w:ascii="宋体" w:hAnsi="宋体" w:cs="宋体"/>
          <w:color w:val="auto"/>
          <w:szCs w:val="21"/>
        </w:rPr>
        <w:t>；</w:t>
      </w:r>
    </w:p>
    <w:p w14:paraId="432F7BE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（6）竞争性磋商响应文件格式；</w:t>
      </w:r>
    </w:p>
    <w:p w14:paraId="567D11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根据本章第1.10 款、第2.2 款和第2.3 款对竞争性磋商文件所作的澄清、修改，构成竞争性磋商文件的组成部分。</w:t>
      </w:r>
    </w:p>
    <w:p w14:paraId="6B9955F9">
      <w:pPr>
        <w:spacing w:line="360" w:lineRule="auto"/>
        <w:rPr>
          <w:rFonts w:hint="eastAsia" w:ascii="宋体" w:hAnsi="宋体" w:cs="宋体"/>
          <w:b/>
          <w:color w:val="auto"/>
          <w:szCs w:val="21"/>
        </w:rPr>
      </w:pPr>
      <w:r>
        <w:rPr>
          <w:rFonts w:hint="eastAsia" w:ascii="宋体" w:hAnsi="宋体" w:cs="宋体"/>
          <w:b/>
          <w:color w:val="auto"/>
          <w:szCs w:val="21"/>
        </w:rPr>
        <w:t>2.2 竞争性磋商文件的澄清</w:t>
      </w:r>
    </w:p>
    <w:p w14:paraId="37BCED9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2.2.1 供应商应仔细阅读和检查竞争性磋商文件的全部内容。如发现缺页或附件不全，应及时向采购人提出，以便补齐。如有疑问，应在供应商须知前附表规定的时间前以书面形式（包括信函、电报、传真等可以有形地表现所载内容的形式，下同），要求采购人对竞争性磋商文件予以澄清。</w:t>
      </w:r>
    </w:p>
    <w:p w14:paraId="5676DC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2.2.2 竞争性磋商文件的澄清将在供应商须知前附表规定的时间前以书面形式通知所有潜在供应商。</w:t>
      </w:r>
    </w:p>
    <w:p w14:paraId="51F813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2.2.3 供应商在收到澄清后，应在供应商须知前附表规定的时间内以书面形式通知采购人，确认已收到该澄清。</w:t>
      </w:r>
    </w:p>
    <w:p w14:paraId="05ACA293">
      <w:pPr>
        <w:spacing w:line="360" w:lineRule="auto"/>
        <w:rPr>
          <w:rFonts w:hint="eastAsia" w:ascii="宋体" w:hAnsi="宋体" w:cs="宋体"/>
          <w:b/>
          <w:color w:val="auto"/>
          <w:szCs w:val="21"/>
        </w:rPr>
      </w:pPr>
      <w:r>
        <w:rPr>
          <w:rFonts w:hint="eastAsia" w:ascii="宋体" w:hAnsi="宋体" w:cs="宋体"/>
          <w:b/>
          <w:color w:val="auto"/>
          <w:szCs w:val="21"/>
        </w:rPr>
        <w:t>2.3 竞争性磋商文件的修改</w:t>
      </w:r>
    </w:p>
    <w:p w14:paraId="6A0850E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2.3.1 供应商须知前附表规定的时间前，采购人可以修改竞争性磋商文件，并将修改的内容以书面形式通知所有潜在供应商。</w:t>
      </w:r>
    </w:p>
    <w:p w14:paraId="0BEA49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2.3.2 供应商收到修改内容后，应在供应商须知前附表规定的时间内以书面形式通知采购人，确认已收到该修改。</w:t>
      </w:r>
    </w:p>
    <w:p w14:paraId="7F7BE95B">
      <w:pPr>
        <w:spacing w:line="360" w:lineRule="auto"/>
        <w:rPr>
          <w:rFonts w:hint="eastAsia" w:ascii="宋体" w:hAnsi="宋体" w:cs="宋体"/>
          <w:b/>
          <w:color w:val="auto"/>
          <w:szCs w:val="21"/>
        </w:rPr>
      </w:pPr>
      <w:r>
        <w:rPr>
          <w:rFonts w:hint="eastAsia" w:ascii="宋体" w:hAnsi="宋体" w:cs="宋体"/>
          <w:b/>
          <w:color w:val="auto"/>
          <w:szCs w:val="21"/>
        </w:rPr>
        <w:t>2.4延长首次响应文件递交截止时间和第二轮报价时间</w:t>
      </w:r>
    </w:p>
    <w:p w14:paraId="06AAFF1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2.4.1采购人可以视采购具体情况，延长首次响应文件递交截止时间和第二轮报价时间，但至少应当在竞争性磋商文件要求递交首次响应文件截止之日5日前，在发布竞争性磋商公告的网站发布变更或者更正公告，并书面通知所有已获取磋商文件的供应商，不足5日的，应当顺延递交首次响应文件截止之日。</w:t>
      </w:r>
    </w:p>
    <w:p w14:paraId="2C51945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2.4.2竞争性磋商文件的答疑、澄清或者修改内容较多时，采购人应重新组织竞争性磋商或者延长递交首次响应文件截止时间和第二轮报价时间，采购人延长递交首次响应文件截止时间和第二轮报价时间的，至少应当在竞争性磋商文件要求递交首次响应文件的截止之日5日前，在发布竞争性磋商公告的网站发布变更或者更正公告，并书面通知所有已获取磋商文件的供应商，不足5日的，应当顺延递交首次响应文件截止之日，以给予供应商充足的时间编制响应文件。</w:t>
      </w:r>
    </w:p>
    <w:p w14:paraId="6D5D463E">
      <w:pPr>
        <w:spacing w:line="360" w:lineRule="auto"/>
        <w:rPr>
          <w:rFonts w:hint="eastAsia" w:ascii="宋体" w:hAnsi="宋体" w:cs="宋体"/>
          <w:b/>
          <w:color w:val="auto"/>
          <w:szCs w:val="21"/>
        </w:rPr>
      </w:pPr>
      <w:bookmarkStart w:id="45" w:name="_Toc259191033"/>
      <w:bookmarkStart w:id="46" w:name="_Toc208999241"/>
      <w:bookmarkStart w:id="47" w:name="_Toc262045194"/>
      <w:bookmarkStart w:id="48" w:name="_Toc228871259"/>
      <w:bookmarkStart w:id="49" w:name="_Toc199384356"/>
      <w:bookmarkStart w:id="50" w:name="_Toc208974980"/>
    </w:p>
    <w:p w14:paraId="6994D3D7">
      <w:pPr>
        <w:spacing w:line="360" w:lineRule="auto"/>
        <w:rPr>
          <w:rFonts w:hint="eastAsia" w:ascii="宋体" w:hAnsi="宋体" w:cs="宋体"/>
          <w:b/>
          <w:color w:val="auto"/>
          <w:szCs w:val="21"/>
        </w:rPr>
      </w:pPr>
      <w:r>
        <w:rPr>
          <w:rFonts w:hint="eastAsia" w:ascii="宋体" w:hAnsi="宋体" w:cs="宋体"/>
          <w:b/>
          <w:color w:val="auto"/>
          <w:sz w:val="28"/>
          <w:szCs w:val="28"/>
        </w:rPr>
        <w:t>3．响应文件</w:t>
      </w:r>
      <w:bookmarkEnd w:id="45"/>
      <w:bookmarkEnd w:id="46"/>
      <w:bookmarkEnd w:id="47"/>
      <w:bookmarkEnd w:id="48"/>
      <w:bookmarkEnd w:id="49"/>
      <w:bookmarkEnd w:id="50"/>
      <w:r>
        <w:rPr>
          <w:rFonts w:hint="eastAsia" w:ascii="宋体" w:hAnsi="宋体" w:cs="宋体"/>
          <w:b/>
          <w:color w:val="auto"/>
          <w:sz w:val="28"/>
          <w:szCs w:val="28"/>
        </w:rPr>
        <w:t>编制</w:t>
      </w:r>
    </w:p>
    <w:p w14:paraId="7B4A8346">
      <w:pPr>
        <w:spacing w:line="360" w:lineRule="auto"/>
        <w:rPr>
          <w:rFonts w:hint="eastAsia" w:ascii="宋体" w:hAnsi="宋体" w:cs="宋体"/>
          <w:b/>
          <w:color w:val="auto"/>
          <w:szCs w:val="21"/>
        </w:rPr>
      </w:pPr>
      <w:r>
        <w:rPr>
          <w:rFonts w:hint="eastAsia" w:ascii="宋体" w:hAnsi="宋体" w:cs="宋体"/>
          <w:b/>
          <w:color w:val="auto"/>
          <w:szCs w:val="21"/>
        </w:rPr>
        <w:t>3.1 响应文件的组成</w:t>
      </w:r>
    </w:p>
    <w:p w14:paraId="5D867FE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3.1.1</w:t>
      </w:r>
      <w:r>
        <w:rPr>
          <w:rFonts w:hint="eastAsia" w:ascii="宋体" w:hAnsi="宋体" w:cs="宋体"/>
          <w:color w:val="auto"/>
        </w:rPr>
        <w:t>包括下列内容：</w:t>
      </w:r>
    </w:p>
    <w:p w14:paraId="270B909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（1）磋商函及磋商函附录</w:t>
      </w:r>
      <w:r>
        <w:rPr>
          <w:rFonts w:hint="eastAsia"/>
          <w:color w:val="auto"/>
        </w:rPr>
        <w:t>；</w:t>
      </w:r>
    </w:p>
    <w:p w14:paraId="54ED34D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（2）法定代表人身份证明及授权委托书；</w:t>
      </w:r>
    </w:p>
    <w:p w14:paraId="50BF14E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（3）磋商保证金；</w:t>
      </w:r>
    </w:p>
    <w:p w14:paraId="7F13BA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（4）资格审查资料；</w:t>
      </w:r>
    </w:p>
    <w:p w14:paraId="2CC8620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eastAsia="zh-CN"/>
        </w:rPr>
        <w:t>服务方案</w:t>
      </w:r>
      <w:r>
        <w:rPr>
          <w:rFonts w:hint="eastAsia" w:ascii="宋体" w:hAnsi="宋体" w:cs="宋体"/>
          <w:color w:val="auto"/>
          <w:szCs w:val="21"/>
        </w:rPr>
        <w:t>；</w:t>
      </w:r>
    </w:p>
    <w:p w14:paraId="709D56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）承诺书；</w:t>
      </w:r>
    </w:p>
    <w:p w14:paraId="4552A9C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）其他材料。</w:t>
      </w:r>
    </w:p>
    <w:p w14:paraId="58749BBA">
      <w:pPr>
        <w:spacing w:line="360" w:lineRule="auto"/>
        <w:rPr>
          <w:rFonts w:hint="eastAsia" w:ascii="宋体" w:hAnsi="宋体" w:cs="宋体"/>
          <w:b/>
          <w:color w:val="auto"/>
          <w:szCs w:val="21"/>
        </w:rPr>
      </w:pPr>
      <w:r>
        <w:rPr>
          <w:rFonts w:hint="eastAsia" w:ascii="宋体" w:hAnsi="宋体" w:cs="宋体"/>
          <w:b/>
          <w:color w:val="auto"/>
          <w:szCs w:val="21"/>
        </w:rPr>
        <w:t>3.2 磋商报价</w:t>
      </w:r>
    </w:p>
    <w:p w14:paraId="14A679B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3.2.1 供应商应按第六章竞争性磋商响应文件格式要求填写相应表格。</w:t>
      </w:r>
    </w:p>
    <w:p w14:paraId="42A51F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3.2.2 供应商应充分了解本项目的总体情况以及影响磋商报价的其他要素。</w:t>
      </w:r>
    </w:p>
    <w:p w14:paraId="05CC050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3.2.3 本项目的报价方式见供应商须知前附表。供应商在磋商截止时间前修改磋商函中的投标总报价，应同时修改竞争性磋商响应文件“已标价工程量清单”中的相应报价。此修改须符合本章第 4.3 款的有关要求。</w:t>
      </w:r>
    </w:p>
    <w:p w14:paraId="58852C15">
      <w:pPr>
        <w:spacing w:line="360" w:lineRule="auto"/>
        <w:rPr>
          <w:rFonts w:hint="eastAsia" w:ascii="宋体" w:hAnsi="宋体" w:cs="宋体"/>
          <w:b/>
          <w:color w:val="auto"/>
          <w:szCs w:val="21"/>
        </w:rPr>
      </w:pPr>
      <w:r>
        <w:rPr>
          <w:rFonts w:hint="eastAsia" w:ascii="宋体" w:hAnsi="宋体" w:cs="宋体"/>
          <w:b/>
          <w:color w:val="auto"/>
          <w:szCs w:val="21"/>
        </w:rPr>
        <w:t>3.3 磋商有效期</w:t>
      </w:r>
    </w:p>
    <w:p w14:paraId="70FCCC2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3.3.1 在供应商须知前附表规定的磋商有效期内，供应商不得要求撤销或修改其响应文件。</w:t>
      </w:r>
    </w:p>
    <w:p w14:paraId="6357733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3.3.2 出现特殊情况需要延长磋商有效期的，采购人将以书面形式发出通知。通知供应商延长磋商有效期。供应商同意延长的，应相应延长其磋商保证金的有效期，但不得要求或被允许修改或撤销其响应文件；供应商拒绝延长的，其投标失效，但供应商有权收回其磋商保证金。</w:t>
      </w:r>
    </w:p>
    <w:p w14:paraId="5CEF298C">
      <w:pPr>
        <w:spacing w:line="360" w:lineRule="auto"/>
        <w:rPr>
          <w:rFonts w:hint="eastAsia" w:ascii="宋体" w:hAnsi="宋体" w:cs="宋体"/>
          <w:b/>
          <w:color w:val="auto"/>
          <w:szCs w:val="21"/>
        </w:rPr>
      </w:pPr>
      <w:r>
        <w:rPr>
          <w:rFonts w:hint="eastAsia" w:ascii="宋体" w:hAnsi="宋体" w:cs="宋体"/>
          <w:b/>
          <w:color w:val="auto"/>
          <w:szCs w:val="21"/>
        </w:rPr>
        <w:t>3.4 磋商保证金</w:t>
      </w:r>
    </w:p>
    <w:p w14:paraId="6A9000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3.4.1 供应商在递交首次响应文件截止时间前，应按供应商须知前附表规定的金额、担保形式和第六章“竞争性磋商响应文件格式”规定的磋商保证金格式递交磋商保证金，并作为其响应文件的组成部分。联合体磋商的，其磋商保证金由牵头人递交，并应符合供应商须知前附表的规定。</w:t>
      </w:r>
    </w:p>
    <w:p w14:paraId="51D6F3E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3.4.2供应商不按本章第3.4.1 项要求递交磋商保证金的，其响应文件作废标处理。</w:t>
      </w:r>
    </w:p>
    <w:p w14:paraId="5720605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3.4.3成交人的磋商保证金，在成交人按本须知第7.4条规定签订合同后5日内予以退还（不计利息）。</w:t>
      </w:r>
    </w:p>
    <w:p w14:paraId="6F4A841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3.4.4除因处理异议、投诉等原因外，应在成交公示期结束后10日内，向未成交的供应商退还磋商保证金（不计利息）。</w:t>
      </w:r>
    </w:p>
    <w:p w14:paraId="3B6CB3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3.4.5 有下列情形之一的，磋商保证金将不予退还：</w:t>
      </w:r>
    </w:p>
    <w:p w14:paraId="6F1A4C2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(1)供应商在规定的磋商有效期内撤销或修改其响应文件；</w:t>
      </w:r>
    </w:p>
    <w:p w14:paraId="7DB86E3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(2)成交人在收到成交通知书后，无正当理由拒签合同协议书。</w:t>
      </w:r>
    </w:p>
    <w:p w14:paraId="5FB8AB8A">
      <w:pPr>
        <w:spacing w:line="360" w:lineRule="auto"/>
        <w:rPr>
          <w:rFonts w:hint="eastAsia" w:ascii="宋体" w:hAnsi="宋体" w:cs="宋体"/>
          <w:b/>
          <w:color w:val="auto"/>
          <w:szCs w:val="21"/>
        </w:rPr>
      </w:pPr>
      <w:r>
        <w:rPr>
          <w:rFonts w:hint="eastAsia" w:ascii="宋体" w:hAnsi="宋体" w:cs="宋体"/>
          <w:b/>
          <w:color w:val="auto"/>
          <w:szCs w:val="21"/>
        </w:rPr>
        <w:t>3.5 资格审查资料</w:t>
      </w:r>
    </w:p>
    <w:p w14:paraId="0095253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3.5.1 “供应商基本情况表”应附供应商营业执照副本及其年检合格的证明材料、资质证书副本等材料的复印件。</w:t>
      </w:r>
    </w:p>
    <w:p w14:paraId="18352DF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3.5.2 “近年财务状况表”应附经会计师事务所或审计机构审计的财务会计报表，包括资产负债表、现金流量表、利润表和财务情况说明书的复印件，具体年份要求见供应商须知前附表。</w:t>
      </w:r>
    </w:p>
    <w:p w14:paraId="61971DC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3.5.3 “近年完成的类似项目情况表”应附成交通知书或合同协议书或竣工验收报告复印件，具体年份要求见供应商须知前附表。</w:t>
      </w:r>
    </w:p>
    <w:p w14:paraId="5A377F1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3.5.4  供应商须知前附表规定接受联合体投标的，本章第3.5.1 项至第3.5.3项规定的表格和资料应包括联合体各方相关情况。</w:t>
      </w:r>
    </w:p>
    <w:p w14:paraId="2813D601">
      <w:pPr>
        <w:spacing w:line="360" w:lineRule="auto"/>
        <w:rPr>
          <w:rFonts w:hint="eastAsia" w:ascii="宋体" w:hAnsi="宋体" w:cs="宋体"/>
          <w:b/>
          <w:color w:val="auto"/>
          <w:szCs w:val="21"/>
        </w:rPr>
      </w:pPr>
      <w:r>
        <w:rPr>
          <w:rFonts w:hint="eastAsia" w:ascii="宋体" w:hAnsi="宋体" w:cs="宋体"/>
          <w:b/>
          <w:color w:val="auto"/>
          <w:szCs w:val="21"/>
        </w:rPr>
        <w:t>3.6 备选磋商方案</w:t>
      </w:r>
    </w:p>
    <w:p w14:paraId="0A51019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供应商须知前附表另有规定外，供应商不得递交备选磋商方案。允许供应商递交备选磋商方案的，只有成交人所递交的备选磋商方案方可予以考虑。磋商小组认为成交人的备选磋商方案优于其按照竞争性磋商文件要求编制的磋商方案的，采购人可以接受该备选磋商方案。</w:t>
      </w:r>
    </w:p>
    <w:p w14:paraId="161C0772">
      <w:pPr>
        <w:spacing w:line="360" w:lineRule="auto"/>
        <w:rPr>
          <w:rFonts w:hint="eastAsia" w:ascii="宋体" w:hAnsi="宋体" w:cs="宋体"/>
          <w:b/>
          <w:color w:val="auto"/>
          <w:szCs w:val="21"/>
        </w:rPr>
      </w:pPr>
      <w:r>
        <w:rPr>
          <w:rFonts w:hint="eastAsia" w:ascii="宋体" w:hAnsi="宋体" w:cs="宋体"/>
          <w:b/>
          <w:color w:val="auto"/>
          <w:szCs w:val="21"/>
        </w:rPr>
        <w:t>3.7 响应文件的编制</w:t>
      </w:r>
    </w:p>
    <w:p w14:paraId="282E218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3.7.1 响应文件应按第六章“竞争性磋商响应文件格式”进行编写，如有必要，可以增加附页，作为响应文件的组成部分。其中，磋商函在满足竞争性磋商文件实质性要求的基础上，可以提出比竞争性磋商文件要求更有利于采购人的承诺。</w:t>
      </w:r>
    </w:p>
    <w:p w14:paraId="3446E11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3.7.2 响应文件应当对竞争性磋商文件有关工期、磋商有效期、质量要求、技术标准和要求、采购范围等实质性内容作出响应。</w:t>
      </w:r>
    </w:p>
    <w:p w14:paraId="40497F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3.7.3 响应文件应用不褪色的材料书写或打印，并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供应商须知前附表。</w:t>
      </w:r>
    </w:p>
    <w:p w14:paraId="52CA413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3.7.4 响应文件正本一份，副本份数及其他要求见供应商须知前附表。正本和副本的封面上应清楚地标记“正本”或“副本”的字样。当副本和正本不一致时，以正本为准。</w:t>
      </w:r>
    </w:p>
    <w:p w14:paraId="0E9CB69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3.7.5 响应文件的正本与副本应分别装订成册，并编制目录，具体装订要求见供应商须知前附表规定。</w:t>
      </w:r>
    </w:p>
    <w:p w14:paraId="46BC0B74">
      <w:pPr>
        <w:spacing w:line="360" w:lineRule="auto"/>
        <w:rPr>
          <w:rFonts w:hint="eastAsia" w:ascii="宋体" w:hAnsi="宋体" w:cs="宋体"/>
          <w:b/>
          <w:color w:val="auto"/>
          <w:szCs w:val="21"/>
        </w:rPr>
      </w:pPr>
      <w:bookmarkStart w:id="51" w:name="_Toc199384357"/>
      <w:bookmarkStart w:id="52" w:name="_Toc262045195"/>
      <w:bookmarkStart w:id="53" w:name="_Toc259191034"/>
      <w:bookmarkStart w:id="54" w:name="_Toc228871260"/>
      <w:bookmarkStart w:id="55" w:name="_Toc208974981"/>
      <w:bookmarkStart w:id="56" w:name="_Toc208999242"/>
    </w:p>
    <w:p w14:paraId="3151BF17">
      <w:pPr>
        <w:spacing w:line="360" w:lineRule="auto"/>
        <w:rPr>
          <w:rFonts w:hint="eastAsia" w:ascii="宋体" w:hAnsi="宋体" w:cs="宋体"/>
          <w:b/>
          <w:color w:val="auto"/>
          <w:szCs w:val="21"/>
        </w:rPr>
      </w:pPr>
      <w:r>
        <w:rPr>
          <w:rFonts w:hint="eastAsia" w:ascii="宋体" w:hAnsi="宋体" w:cs="宋体"/>
          <w:b/>
          <w:color w:val="auto"/>
          <w:sz w:val="28"/>
          <w:szCs w:val="28"/>
        </w:rPr>
        <w:t>4．</w:t>
      </w:r>
      <w:bookmarkEnd w:id="51"/>
      <w:bookmarkEnd w:id="52"/>
      <w:bookmarkEnd w:id="53"/>
      <w:bookmarkEnd w:id="54"/>
      <w:bookmarkEnd w:id="55"/>
      <w:bookmarkEnd w:id="56"/>
      <w:r>
        <w:rPr>
          <w:rFonts w:hint="eastAsia" w:ascii="宋体" w:hAnsi="宋体" w:cs="宋体"/>
          <w:b/>
          <w:color w:val="auto"/>
          <w:sz w:val="28"/>
          <w:szCs w:val="28"/>
        </w:rPr>
        <w:t>首次响应文件递交</w:t>
      </w:r>
    </w:p>
    <w:p w14:paraId="0FF970BC">
      <w:pPr>
        <w:spacing w:line="360" w:lineRule="auto"/>
        <w:rPr>
          <w:rFonts w:hint="eastAsia" w:ascii="宋体" w:hAnsi="宋体" w:eastAsia="宋体" w:cs="宋体"/>
          <w:b/>
          <w:color w:val="auto"/>
          <w:szCs w:val="21"/>
          <w:lang w:eastAsia="zh-CN"/>
        </w:rPr>
      </w:pPr>
      <w:r>
        <w:rPr>
          <w:rFonts w:hint="eastAsia" w:ascii="宋体" w:hAnsi="宋体" w:cs="宋体"/>
          <w:b/>
          <w:color w:val="auto"/>
          <w:szCs w:val="21"/>
        </w:rPr>
        <w:t>4.1 响应文件的密封和标记</w:t>
      </w:r>
    </w:p>
    <w:p w14:paraId="2B1C3738">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4.1.1</w:t>
      </w:r>
      <w:r>
        <w:rPr>
          <w:rFonts w:hint="eastAsia" w:ascii="宋体" w:hAnsi="宋体" w:cs="宋体"/>
          <w:color w:val="auto"/>
          <w:szCs w:val="21"/>
        </w:rPr>
        <w:t>本项目为全流程电子化项目，通过“政采云”平台(http：//www.zcygov.cn)实行在线电子投标，供应商应先安装“政采云电子交易客户端”(请自行前往“政采云”平台进行下载)，并按照本项目磋商文件和“政采云”平台的要求编制、加密后在投标截止时间前通过网络上传至“政采云”平台，供应商在“政采云”平台提交电子版响应文件时，请填写参加远程开标活动经办人联系方式。</w:t>
      </w:r>
    </w:p>
    <w:p w14:paraId="058F6088">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4.1.2</w:t>
      </w:r>
      <w:r>
        <w:rPr>
          <w:rFonts w:hint="eastAsia" w:ascii="宋体" w:hAnsi="宋体" w:cs="宋体"/>
          <w:color w:val="auto"/>
          <w:szCs w:val="21"/>
        </w:rPr>
        <w:t>供应商可对现场工作人员的资格和递交响应文件截止时间进行监督，如有异议，应保留相关证据向政府采购监督管理部门反映。</w:t>
      </w:r>
    </w:p>
    <w:p w14:paraId="5D4A0F90">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4.1.3</w:t>
      </w:r>
      <w:r>
        <w:rPr>
          <w:rFonts w:hint="eastAsia" w:ascii="宋体" w:hAnsi="宋体" w:cs="宋体"/>
          <w:color w:val="auto"/>
          <w:szCs w:val="21"/>
        </w:rPr>
        <w:t>响应文件的递交截止时间：详见供应商须知前附表。</w:t>
      </w:r>
    </w:p>
    <w:p w14:paraId="15123DBE">
      <w:pPr>
        <w:spacing w:line="360" w:lineRule="auto"/>
        <w:rPr>
          <w:rFonts w:hint="eastAsia" w:ascii="宋体" w:hAnsi="宋体" w:cs="宋体"/>
          <w:b/>
          <w:color w:val="auto"/>
          <w:szCs w:val="21"/>
        </w:rPr>
      </w:pPr>
      <w:r>
        <w:rPr>
          <w:rFonts w:hint="eastAsia" w:ascii="宋体" w:hAnsi="宋体" w:cs="宋体"/>
          <w:b/>
          <w:color w:val="auto"/>
          <w:szCs w:val="21"/>
        </w:rPr>
        <w:t>4.2 响应文件的递交</w:t>
      </w:r>
    </w:p>
    <w:p w14:paraId="55BBEA7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4.2.1 供应商递交首次响应文件截止时间：见供应商须知前附表。</w:t>
      </w:r>
    </w:p>
    <w:p w14:paraId="7AD18F94">
      <w:pPr>
        <w:tabs>
          <w:tab w:val="left" w:pos="7755"/>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4.2.2 供应商递交首次响应文件的地点：见供应商须知前附表。</w:t>
      </w:r>
      <w:r>
        <w:rPr>
          <w:rFonts w:hint="eastAsia" w:ascii="宋体" w:hAnsi="宋体" w:cs="宋体"/>
          <w:color w:val="auto"/>
          <w:szCs w:val="21"/>
        </w:rPr>
        <w:tab/>
      </w:r>
    </w:p>
    <w:p w14:paraId="66B2979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4.2.3 除供应商须知前附表另有规定外，供应商所递交的响应文件不予退还。</w:t>
      </w:r>
    </w:p>
    <w:p w14:paraId="237BDD6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4.2.4 采购人收到首次响应文件后，向供应商出具签收凭证。</w:t>
      </w:r>
    </w:p>
    <w:p w14:paraId="6F492EB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4.2.5 逾期送达的或者未送达指定地点的首次响应文件，采购人不予受理。</w:t>
      </w:r>
    </w:p>
    <w:p w14:paraId="3D8CD45C">
      <w:pPr>
        <w:spacing w:line="360" w:lineRule="auto"/>
        <w:rPr>
          <w:rFonts w:hint="eastAsia" w:ascii="宋体" w:hAnsi="宋体" w:cs="宋体"/>
          <w:b/>
          <w:color w:val="auto"/>
          <w:szCs w:val="21"/>
        </w:rPr>
      </w:pPr>
      <w:r>
        <w:rPr>
          <w:rFonts w:hint="eastAsia" w:ascii="宋体" w:hAnsi="宋体" w:cs="宋体"/>
          <w:b/>
          <w:color w:val="auto"/>
          <w:szCs w:val="21"/>
        </w:rPr>
        <w:t>4.3 响应文件的修改与撤回</w:t>
      </w:r>
    </w:p>
    <w:p w14:paraId="1B10BF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4.3.1 在本章第4.2.1 项规定的递交首次响应文件截止时间前，供应商可以修改或撤回已递交的首次响应文件，但应以书面形式通知采购人。</w:t>
      </w:r>
    </w:p>
    <w:p w14:paraId="41B7D4C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4.3.2 供应商修改或撤回已递交首次响应文件的书面通知应按照本章第3.7.3 项的要求签字。采购人收到书面通知后，向供应商出具签收凭证。</w:t>
      </w:r>
    </w:p>
    <w:p w14:paraId="1C8EBED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4.3.3 修改的内容为响应文件的组成部分。修改的首次响应文件应按照本章第3 条、第4 条规定进行编制、密封、标记和递交，并标明“修改”字样。</w:t>
      </w:r>
    </w:p>
    <w:p w14:paraId="072A9D5D">
      <w:pPr>
        <w:spacing w:line="360" w:lineRule="auto"/>
        <w:rPr>
          <w:rFonts w:hint="eastAsia" w:ascii="宋体" w:hAnsi="宋体" w:cs="宋体"/>
          <w:b/>
          <w:color w:val="auto"/>
          <w:szCs w:val="21"/>
        </w:rPr>
      </w:pPr>
      <w:bookmarkStart w:id="57" w:name="_Toc259191035"/>
      <w:bookmarkStart w:id="58" w:name="_Toc262045196"/>
      <w:bookmarkStart w:id="59" w:name="_Toc228871261"/>
      <w:bookmarkStart w:id="60" w:name="_Toc199384358"/>
      <w:bookmarkStart w:id="61" w:name="_Toc208974982"/>
      <w:bookmarkStart w:id="62" w:name="_Toc208999243"/>
    </w:p>
    <w:p w14:paraId="5D427AB6">
      <w:pPr>
        <w:spacing w:line="360" w:lineRule="auto"/>
        <w:rPr>
          <w:rFonts w:hint="eastAsia" w:ascii="宋体" w:hAnsi="宋体" w:cs="宋体"/>
          <w:b/>
          <w:color w:val="auto"/>
          <w:sz w:val="28"/>
          <w:szCs w:val="28"/>
        </w:rPr>
      </w:pPr>
      <w:r>
        <w:rPr>
          <w:rFonts w:hint="eastAsia" w:ascii="宋体" w:hAnsi="宋体" w:cs="宋体"/>
          <w:b/>
          <w:color w:val="auto"/>
          <w:sz w:val="28"/>
          <w:szCs w:val="28"/>
        </w:rPr>
        <w:t>5．磋商</w:t>
      </w:r>
      <w:bookmarkEnd w:id="57"/>
      <w:bookmarkEnd w:id="58"/>
      <w:bookmarkEnd w:id="59"/>
      <w:bookmarkEnd w:id="60"/>
      <w:bookmarkEnd w:id="61"/>
      <w:bookmarkEnd w:id="62"/>
    </w:p>
    <w:p w14:paraId="3CB3BFB5">
      <w:pPr>
        <w:spacing w:line="360" w:lineRule="auto"/>
        <w:rPr>
          <w:rFonts w:hint="eastAsia" w:ascii="宋体" w:hAnsi="宋体" w:cs="宋体"/>
          <w:b/>
          <w:color w:val="auto"/>
          <w:szCs w:val="21"/>
        </w:rPr>
      </w:pPr>
      <w:r>
        <w:rPr>
          <w:rFonts w:hint="eastAsia" w:ascii="宋体" w:hAnsi="宋体" w:cs="宋体"/>
          <w:b/>
          <w:color w:val="auto"/>
          <w:szCs w:val="21"/>
        </w:rPr>
        <w:t>5.1 磋商时间和地点</w:t>
      </w:r>
    </w:p>
    <w:p w14:paraId="6369C98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采购人在本章第4.2.1项规定的递交首次响应文件截止时间（磋商时间）和供应商须知前附表规定的地点磋商，并要求</w:t>
      </w:r>
      <w:r>
        <w:rPr>
          <w:rFonts w:hint="eastAsia" w:ascii="宋体" w:hAnsi="宋体" w:cs="宋体"/>
          <w:color w:val="auto"/>
        </w:rPr>
        <w:t>法人或授权委托人</w:t>
      </w:r>
      <w:r>
        <w:rPr>
          <w:rFonts w:hint="eastAsia" w:ascii="宋体" w:hAnsi="宋体" w:cs="宋体"/>
          <w:color w:val="auto"/>
          <w:szCs w:val="21"/>
        </w:rPr>
        <w:t>准时参加。</w:t>
      </w:r>
    </w:p>
    <w:p w14:paraId="0A8DB2B8">
      <w:pPr>
        <w:spacing w:line="360" w:lineRule="auto"/>
        <w:rPr>
          <w:rFonts w:hint="eastAsia" w:ascii="宋体" w:hAnsi="宋体" w:cs="宋体"/>
          <w:b/>
          <w:color w:val="auto"/>
          <w:szCs w:val="21"/>
        </w:rPr>
      </w:pPr>
      <w:r>
        <w:rPr>
          <w:rFonts w:hint="eastAsia" w:ascii="宋体" w:hAnsi="宋体" w:cs="宋体"/>
          <w:b/>
          <w:color w:val="auto"/>
          <w:szCs w:val="21"/>
        </w:rPr>
        <w:t>5.2 磋商程序</w:t>
      </w:r>
    </w:p>
    <w:p w14:paraId="40E7FA7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由采购人或采购代理机构主持。</w:t>
      </w:r>
    </w:p>
    <w:p w14:paraId="1EDF57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（1）供应商</w:t>
      </w:r>
      <w:r>
        <w:rPr>
          <w:rFonts w:hint="eastAsia" w:ascii="宋体" w:hAnsi="宋体"/>
          <w:color w:val="auto"/>
          <w:highlight w:val="none"/>
          <w:lang w:eastAsia="zh-CN"/>
        </w:rPr>
        <w:t>在“</w:t>
      </w:r>
      <w:r>
        <w:rPr>
          <w:rFonts w:hint="eastAsia" w:ascii="宋体" w:hAnsi="宋体" w:eastAsia="宋体" w:cs="宋体"/>
          <w:color w:val="auto"/>
          <w:highlight w:val="none"/>
          <w:lang w:val="zh-CN" w:eastAsia="zh-CN"/>
        </w:rPr>
        <w:t>政采云”平台</w:t>
      </w:r>
      <w:r>
        <w:rPr>
          <w:rFonts w:hint="eastAsia" w:ascii="宋体" w:hAnsi="宋体"/>
          <w:color w:val="auto"/>
          <w:highlight w:val="none"/>
        </w:rPr>
        <w:t>递交响应文件；</w:t>
      </w:r>
    </w:p>
    <w:p w14:paraId="1BED4D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（2）由供应商</w:t>
      </w:r>
      <w:r>
        <w:rPr>
          <w:rFonts w:hint="eastAsia" w:ascii="宋体" w:hAnsi="宋体"/>
          <w:color w:val="auto"/>
          <w:highlight w:val="none"/>
          <w:lang w:eastAsia="zh-CN"/>
        </w:rPr>
        <w:t>进行解密</w:t>
      </w:r>
      <w:r>
        <w:rPr>
          <w:rFonts w:hint="eastAsia" w:ascii="宋体" w:hAnsi="宋体"/>
          <w:color w:val="auto"/>
          <w:highlight w:val="none"/>
        </w:rPr>
        <w:t>；</w:t>
      </w:r>
    </w:p>
    <w:p w14:paraId="163D8D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解密完成后由评审小组进行</w:t>
      </w:r>
      <w:r>
        <w:rPr>
          <w:rFonts w:hint="eastAsia" w:ascii="宋体" w:hAnsi="宋体"/>
          <w:color w:val="auto"/>
          <w:highlight w:val="none"/>
        </w:rPr>
        <w:t>初步评审；</w:t>
      </w:r>
    </w:p>
    <w:p w14:paraId="5E7E99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（4）通过初步评审的供应商在</w:t>
      </w:r>
      <w:r>
        <w:rPr>
          <w:rFonts w:hint="eastAsia" w:ascii="宋体" w:hAnsi="宋体"/>
          <w:color w:val="auto"/>
          <w:highlight w:val="none"/>
          <w:lang w:eastAsia="zh-CN"/>
        </w:rPr>
        <w:t>“</w:t>
      </w:r>
      <w:r>
        <w:rPr>
          <w:rFonts w:hint="eastAsia" w:ascii="宋体" w:hAnsi="宋体" w:eastAsia="宋体" w:cs="宋体"/>
          <w:color w:val="auto"/>
          <w:highlight w:val="none"/>
          <w:lang w:val="zh-CN" w:eastAsia="zh-CN"/>
        </w:rPr>
        <w:t>政采云”平台</w:t>
      </w:r>
      <w:r>
        <w:rPr>
          <w:rFonts w:hint="eastAsia" w:ascii="宋体" w:hAnsi="宋体"/>
          <w:color w:val="auto"/>
          <w:highlight w:val="none"/>
        </w:rPr>
        <w:t>进行二次报价。</w:t>
      </w:r>
    </w:p>
    <w:p w14:paraId="4EF152B3">
      <w:pPr>
        <w:spacing w:line="360" w:lineRule="auto"/>
        <w:rPr>
          <w:rFonts w:hint="eastAsia" w:ascii="宋体" w:hAnsi="宋体" w:cs="宋体"/>
          <w:b/>
          <w:color w:val="auto"/>
          <w:szCs w:val="21"/>
        </w:rPr>
      </w:pPr>
      <w:r>
        <w:rPr>
          <w:rFonts w:hint="eastAsia" w:ascii="宋体" w:hAnsi="宋体" w:cs="宋体"/>
          <w:b/>
          <w:color w:val="auto"/>
          <w:szCs w:val="21"/>
        </w:rPr>
        <w:t>5.3 磋商其他事项</w:t>
      </w:r>
    </w:p>
    <w:p w14:paraId="310DAA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bookmarkStart w:id="63" w:name="_Toc259191036"/>
      <w:bookmarkStart w:id="64" w:name="_Toc228871262"/>
      <w:bookmarkStart w:id="65" w:name="_Toc208999244"/>
      <w:bookmarkStart w:id="66" w:name="_Toc208974983"/>
      <w:bookmarkStart w:id="67" w:name="_Toc199384359"/>
      <w:bookmarkStart w:id="68" w:name="_Toc262045197"/>
      <w:r>
        <w:rPr>
          <w:rFonts w:hint="eastAsia" w:ascii="宋体" w:hAnsi="宋体"/>
          <w:color w:val="auto"/>
          <w:highlight w:val="none"/>
        </w:rPr>
        <w:t>（1）通过初步评审的供应商少于三家的，采购人或者采购代理机构依法重新组织采购，且不承担任何费用和责任。</w:t>
      </w:r>
    </w:p>
    <w:p w14:paraId="0AF16F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eastAsia="宋体" w:cs="宋体"/>
          <w:color w:val="auto"/>
          <w:highlight w:val="none"/>
          <w:lang w:val="zh-CN" w:eastAsia="zh-CN"/>
        </w:rPr>
        <w:t>CA证书在线解密：供应商投标时，需携带制作响应文件时用来加密的有效数字证书(CA认证)登录“政采云”平台电子开标大厅现场按规定时间对加密的响应文件进行解密，未能按要求进行解密的，由此产生的后果由供应商自行承担。</w:t>
      </w:r>
    </w:p>
    <w:p w14:paraId="30C974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（3）第二轮报价（最终报价）。</w:t>
      </w:r>
    </w:p>
    <w:p w14:paraId="36AE32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磋商小组所有成员</w:t>
      </w:r>
      <w:r>
        <w:rPr>
          <w:rFonts w:hint="eastAsia" w:ascii="宋体" w:hAnsi="宋体"/>
          <w:color w:val="auto"/>
          <w:highlight w:val="none"/>
          <w:lang w:eastAsia="zh-CN"/>
        </w:rPr>
        <w:t>对</w:t>
      </w:r>
      <w:r>
        <w:rPr>
          <w:rFonts w:hint="eastAsia" w:ascii="宋体" w:hAnsi="宋体"/>
          <w:color w:val="auto"/>
          <w:highlight w:val="none"/>
        </w:rPr>
        <w:t>通过初步评审的供应商在</w:t>
      </w:r>
      <w:r>
        <w:rPr>
          <w:rFonts w:hint="eastAsia" w:ascii="宋体" w:hAnsi="宋体"/>
          <w:color w:val="auto"/>
          <w:highlight w:val="none"/>
          <w:lang w:eastAsia="zh-CN"/>
        </w:rPr>
        <w:t>“</w:t>
      </w:r>
      <w:r>
        <w:rPr>
          <w:rFonts w:hint="eastAsia" w:ascii="宋体" w:hAnsi="宋体" w:eastAsia="宋体" w:cs="宋体"/>
          <w:color w:val="auto"/>
          <w:highlight w:val="none"/>
          <w:lang w:val="zh-CN" w:eastAsia="zh-CN"/>
        </w:rPr>
        <w:t>政采云”平台发起</w:t>
      </w:r>
      <w:r>
        <w:rPr>
          <w:rFonts w:hint="eastAsia" w:ascii="宋体" w:hAnsi="宋体"/>
          <w:color w:val="auto"/>
          <w:highlight w:val="none"/>
        </w:rPr>
        <w:t>二次报价，</w:t>
      </w:r>
      <w:r>
        <w:rPr>
          <w:rFonts w:hint="eastAsia" w:ascii="宋体" w:hAnsi="宋体" w:eastAsia="宋体" w:cs="宋体"/>
          <w:color w:val="auto"/>
          <w:sz w:val="21"/>
          <w:szCs w:val="21"/>
          <w:highlight w:val="none"/>
        </w:rPr>
        <w:t>供应商在第二轮报价（最终报价）</w:t>
      </w:r>
      <w:r>
        <w:rPr>
          <w:rFonts w:hint="eastAsia" w:ascii="宋体" w:hAnsi="宋体"/>
          <w:color w:val="auto"/>
          <w:highlight w:val="none"/>
        </w:rPr>
        <w:t>在</w:t>
      </w:r>
      <w:r>
        <w:rPr>
          <w:rFonts w:hint="eastAsia" w:ascii="宋体" w:hAnsi="宋体"/>
          <w:color w:val="auto"/>
          <w:highlight w:val="none"/>
          <w:lang w:eastAsia="zh-CN"/>
        </w:rPr>
        <w:t>“</w:t>
      </w:r>
      <w:r>
        <w:rPr>
          <w:rFonts w:hint="eastAsia" w:ascii="宋体" w:hAnsi="宋体" w:eastAsia="宋体" w:cs="宋体"/>
          <w:color w:val="auto"/>
          <w:highlight w:val="none"/>
          <w:lang w:val="zh-CN" w:eastAsia="zh-CN"/>
        </w:rPr>
        <w:t>政采云”平台</w:t>
      </w:r>
      <w:r>
        <w:rPr>
          <w:rFonts w:hint="eastAsia" w:ascii="宋体" w:hAnsi="宋体"/>
          <w:color w:val="auto"/>
          <w:highlight w:val="none"/>
        </w:rPr>
        <w:t>进行二次报价</w:t>
      </w:r>
      <w:r>
        <w:rPr>
          <w:rFonts w:hint="eastAsia" w:ascii="宋体" w:hAnsi="宋体" w:eastAsia="宋体" w:cs="宋体"/>
          <w:color w:val="auto"/>
          <w:sz w:val="21"/>
          <w:szCs w:val="21"/>
          <w:highlight w:val="none"/>
        </w:rPr>
        <w:t>。</w:t>
      </w:r>
    </w:p>
    <w:p w14:paraId="73E149DC">
      <w:pPr>
        <w:spacing w:line="360" w:lineRule="auto"/>
        <w:rPr>
          <w:rFonts w:hint="eastAsia" w:ascii="宋体" w:hAnsi="宋体" w:cs="宋体"/>
          <w:b/>
          <w:color w:val="auto"/>
          <w:sz w:val="28"/>
          <w:szCs w:val="28"/>
        </w:rPr>
      </w:pPr>
      <w:r>
        <w:rPr>
          <w:rFonts w:hint="eastAsia" w:ascii="宋体" w:hAnsi="宋体" w:cs="宋体"/>
          <w:b/>
          <w:color w:val="auto"/>
          <w:sz w:val="28"/>
          <w:szCs w:val="28"/>
        </w:rPr>
        <w:t>6．评审</w:t>
      </w:r>
      <w:bookmarkEnd w:id="63"/>
      <w:bookmarkEnd w:id="64"/>
      <w:bookmarkEnd w:id="65"/>
      <w:bookmarkEnd w:id="66"/>
      <w:bookmarkEnd w:id="67"/>
      <w:bookmarkEnd w:id="68"/>
    </w:p>
    <w:p w14:paraId="5657482C">
      <w:pPr>
        <w:spacing w:line="360" w:lineRule="auto"/>
        <w:rPr>
          <w:rFonts w:hint="eastAsia" w:ascii="宋体" w:hAnsi="宋体" w:cs="宋体"/>
          <w:b/>
          <w:color w:val="auto"/>
          <w:szCs w:val="21"/>
        </w:rPr>
      </w:pPr>
      <w:r>
        <w:rPr>
          <w:rFonts w:hint="eastAsia" w:ascii="宋体" w:hAnsi="宋体" w:cs="宋体"/>
          <w:b/>
          <w:color w:val="auto"/>
          <w:szCs w:val="21"/>
        </w:rPr>
        <w:t>6.1 磋商小组</w:t>
      </w:r>
    </w:p>
    <w:p w14:paraId="6BC718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6.1.1采购人按照《中华人民共和国政府采购法》、《政府采购非招标采购方式管理办法》以及有关规定组建磋商小组。评审由采购人依法组建的磋商小组负责。磋商小组由采购人代表和评审专家共三人以上单数组成，其中技术、经济等方面的专家不得少于磋商小组成员总数的三分之二。磋商小组成员人数以及技术、经济等方面专家的确定方式见供应商须知前附表。</w:t>
      </w:r>
    </w:p>
    <w:p w14:paraId="0B12F63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参加评审专家抽取的有关人员对被抽取的专家的姓名、单位和联系方式等内容负有保密的义务。磋商小组成员的名单在成交结果确定前必须严格保密。</w:t>
      </w:r>
    </w:p>
    <w:p w14:paraId="5138123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6.1.2 磋商小组成员不得参加与自己有利害关系的评审活动，与自己有利害关系的应当回避，已经进入的必须更换。</w:t>
      </w:r>
    </w:p>
    <w:p w14:paraId="29DEFA3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6.1.3 磋商小组负责对各响应文件进行评审、比较、评定，并按本磋商文件的规定确定成交人。</w:t>
      </w:r>
    </w:p>
    <w:p w14:paraId="4189118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6.1.4 磋商小组具有依据磋商文件进行独立评审的权力，且不受外界任何因素的干扰。磋商小组成员必须独立、负责地提出评审意见，并对自己的评审意见承担责任。对磋商结果有不同意见的磋商小组成员应当以书面形式说明其不同意见和理由，评审报告应当注明不同意见。磋商小组成员拒绝评审或者拒绝在评审报告上签字且不书面说明其不同意见和理由的，视为同意评审结果。磋商小组应当对此作出书面说明并记录在案。</w:t>
      </w:r>
    </w:p>
    <w:p w14:paraId="6235C7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6.1.5 磋商小组的职责：</w:t>
      </w:r>
    </w:p>
    <w:p w14:paraId="36622C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（1）审查响应文件是否符合磋商文件要求，进行形式、资格及响应性评审，并作出评价；</w:t>
      </w:r>
    </w:p>
    <w:p w14:paraId="530EF53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（2）要求供应商解释或澄清其响应文件；</w:t>
      </w:r>
    </w:p>
    <w:p w14:paraId="2FDABDA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（3）编写评审报告，受采购人委托按照事先确定的办法直接确定成交人；</w:t>
      </w:r>
    </w:p>
    <w:p w14:paraId="471EEF5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（4）告知采购人、采购代理机构在评审过程中发现的供应商的违法违规行为。</w:t>
      </w:r>
    </w:p>
    <w:p w14:paraId="1499170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6.1.6 磋商小组的义务：</w:t>
      </w:r>
    </w:p>
    <w:p w14:paraId="37F488A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（1）遵纪守法，客观、公正、廉洁地履行职责；</w:t>
      </w:r>
    </w:p>
    <w:p w14:paraId="2331FC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（2）提出真实、可靠的评审意见；</w:t>
      </w:r>
    </w:p>
    <w:p w14:paraId="46947CB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（3）严格遵守评审纪律，不得向外界泄露评审情况；</w:t>
      </w:r>
    </w:p>
    <w:p w14:paraId="58538BB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（4）发现供应商在磋商活动中有不正当竞争或者恶意串通等违规行为，应及时向政府采购监督管理部门报告并加以制止；</w:t>
      </w:r>
    </w:p>
    <w:p w14:paraId="58430E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（5）按照磋商文件的规定进行独立评审，对个人的评审意见承担法律责任；</w:t>
      </w:r>
    </w:p>
    <w:p w14:paraId="50BE080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（6）编写并审定评审报告；</w:t>
      </w:r>
    </w:p>
    <w:p w14:paraId="3A8F6E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（7）配合采购人或者采购代理机构答复供应商提出的质疑；</w:t>
      </w:r>
    </w:p>
    <w:p w14:paraId="385D27B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（8）对评审过程和结果，以及采购人、供应商的商业秘密保密；</w:t>
      </w:r>
    </w:p>
    <w:p w14:paraId="669A999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（9）配合财政部门的投诉处理和监督检查工作。</w:t>
      </w:r>
    </w:p>
    <w:p w14:paraId="26D4B3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6.1.7 磋商小组成员有下列情形之一的，应当回避：</w:t>
      </w:r>
    </w:p>
    <w:p w14:paraId="17E6B2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(1)采购人或供应商的主要负责人的近亲属；</w:t>
      </w:r>
    </w:p>
    <w:p w14:paraId="7484E2F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(2)项目主管部门或者行政监督部门的人员；</w:t>
      </w:r>
    </w:p>
    <w:p w14:paraId="2559F88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(3)与供应商有经济利益关系，可能影响对投标公正评审的；</w:t>
      </w:r>
    </w:p>
    <w:p w14:paraId="6255D39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(4)曾因在采购、评审以及其他与采购有关活动中从事违法行为而受过行政处罚或刑事处罚的。</w:t>
      </w:r>
    </w:p>
    <w:p w14:paraId="5AEDEAD8">
      <w:pPr>
        <w:spacing w:line="360" w:lineRule="auto"/>
        <w:rPr>
          <w:rFonts w:hint="eastAsia" w:ascii="宋体" w:hAnsi="宋体" w:cs="宋体"/>
          <w:b/>
          <w:color w:val="auto"/>
          <w:szCs w:val="21"/>
        </w:rPr>
      </w:pPr>
      <w:r>
        <w:rPr>
          <w:rFonts w:hint="eastAsia" w:ascii="宋体" w:hAnsi="宋体" w:cs="宋体"/>
          <w:b/>
          <w:color w:val="auto"/>
          <w:szCs w:val="21"/>
        </w:rPr>
        <w:t>6.2 评审原则</w:t>
      </w:r>
    </w:p>
    <w:p w14:paraId="0EEC90E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评审活动遵循公平、公正、科学和择优的原则。</w:t>
      </w:r>
    </w:p>
    <w:p w14:paraId="316DE86D">
      <w:pPr>
        <w:spacing w:line="360" w:lineRule="auto"/>
        <w:rPr>
          <w:rFonts w:hint="eastAsia" w:ascii="宋体" w:hAnsi="宋体" w:cs="宋体"/>
          <w:b/>
          <w:color w:val="auto"/>
          <w:szCs w:val="21"/>
        </w:rPr>
      </w:pPr>
      <w:r>
        <w:rPr>
          <w:rFonts w:hint="eastAsia" w:ascii="宋体" w:hAnsi="宋体" w:cs="宋体"/>
          <w:b/>
          <w:color w:val="auto"/>
          <w:szCs w:val="21"/>
        </w:rPr>
        <w:t>6.3 评审</w:t>
      </w:r>
    </w:p>
    <w:p w14:paraId="29D2C6A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磋商小组按照第三章“评审办法”规定的方法、评审因素、标准和程序对竞争性磋商响应文件进行评审。第三章“评审办法”没有规定的方法、评审因素和标准，不作为评审依据。</w:t>
      </w:r>
    </w:p>
    <w:p w14:paraId="23CAD3B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磋商小组推荐成交候选人的人数：详见供应商须知前附表</w:t>
      </w:r>
    </w:p>
    <w:p w14:paraId="34343766">
      <w:pPr>
        <w:spacing w:line="360" w:lineRule="auto"/>
        <w:rPr>
          <w:rFonts w:hint="eastAsia" w:ascii="宋体" w:hAnsi="宋体" w:cs="宋体"/>
          <w:b/>
          <w:color w:val="auto"/>
          <w:szCs w:val="21"/>
        </w:rPr>
      </w:pPr>
    </w:p>
    <w:p w14:paraId="1831B0F2">
      <w:pPr>
        <w:spacing w:line="360" w:lineRule="auto"/>
        <w:rPr>
          <w:rFonts w:hint="eastAsia" w:ascii="宋体" w:hAnsi="宋体" w:cs="宋体"/>
          <w:b/>
          <w:color w:val="auto"/>
          <w:sz w:val="28"/>
          <w:szCs w:val="28"/>
        </w:rPr>
      </w:pPr>
      <w:r>
        <w:rPr>
          <w:rFonts w:hint="eastAsia" w:ascii="宋体" w:hAnsi="宋体" w:cs="宋体"/>
          <w:b/>
          <w:color w:val="auto"/>
          <w:sz w:val="28"/>
          <w:szCs w:val="28"/>
        </w:rPr>
        <w:t>7.成交信息公告</w:t>
      </w:r>
    </w:p>
    <w:p w14:paraId="3C07B02A">
      <w:pPr>
        <w:spacing w:line="360" w:lineRule="auto"/>
        <w:rPr>
          <w:rFonts w:hint="eastAsia" w:ascii="宋体" w:hAnsi="宋体" w:cs="宋体"/>
          <w:b/>
          <w:color w:val="auto"/>
          <w:szCs w:val="21"/>
        </w:rPr>
      </w:pPr>
      <w:r>
        <w:rPr>
          <w:rFonts w:hint="eastAsia" w:ascii="宋体" w:hAnsi="宋体" w:cs="宋体"/>
          <w:b/>
          <w:color w:val="auto"/>
          <w:szCs w:val="21"/>
        </w:rPr>
        <w:t>7.1 确定成交人方式</w:t>
      </w:r>
    </w:p>
    <w:p w14:paraId="4BC5DC2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7.1.1采购代理机构应当在评审结束之日起2个工作日内将评审报告送采购人。</w:t>
      </w:r>
    </w:p>
    <w:p w14:paraId="024760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7.1.2采购人应当在收到评审报告之日起5个工作日内，按照评审报告中推荐的成交候选人顺序确定成交人；也可以事先授权磋商小组直接确定成交人。</w:t>
      </w:r>
    </w:p>
    <w:p w14:paraId="5882A7C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7.1.3采购人自行组织采购的，应当在评审结束之日起5个工作日内确定成交人。</w:t>
      </w:r>
    </w:p>
    <w:p w14:paraId="4C0DC9D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7.1.4除供应商须知前附表规定磋商小组直接确定成交人外，采购人依据磋商小组推荐的成交候选人确定成交人，磋商小组推荐成交候选人的人数见供应商须知前附表。</w:t>
      </w:r>
    </w:p>
    <w:p w14:paraId="0E331E4F">
      <w:pPr>
        <w:spacing w:line="360" w:lineRule="auto"/>
        <w:rPr>
          <w:rFonts w:hint="eastAsia" w:ascii="宋体" w:hAnsi="宋体" w:cs="宋体"/>
          <w:color w:val="auto"/>
          <w:szCs w:val="21"/>
        </w:rPr>
      </w:pPr>
      <w:r>
        <w:rPr>
          <w:rFonts w:hint="eastAsia" w:ascii="宋体" w:hAnsi="宋体" w:cs="宋体"/>
          <w:b/>
          <w:color w:val="auto"/>
          <w:szCs w:val="21"/>
        </w:rPr>
        <w:t>7.2成交结果公告媒介及期限</w:t>
      </w:r>
    </w:p>
    <w:p w14:paraId="06FFB99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公告媒介：见供应商须知前附表</w:t>
      </w:r>
    </w:p>
    <w:p w14:paraId="24541EF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公告期限：见供应商须知前附表</w:t>
      </w:r>
    </w:p>
    <w:p w14:paraId="657B192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竞争性磋商文件随成交结果同时公告。但成交结果公告前竞争性磋商文件已公告的，不再重复公告。</w:t>
      </w:r>
    </w:p>
    <w:p w14:paraId="1C93981D">
      <w:pPr>
        <w:spacing w:line="360" w:lineRule="auto"/>
        <w:rPr>
          <w:rFonts w:hint="eastAsia" w:ascii="宋体" w:hAnsi="宋体" w:cs="宋体"/>
          <w:b/>
          <w:color w:val="auto"/>
          <w:szCs w:val="21"/>
        </w:rPr>
      </w:pPr>
      <w:bookmarkStart w:id="69" w:name="_Toc228871263"/>
      <w:bookmarkStart w:id="70" w:name="_Toc208974984"/>
      <w:bookmarkStart w:id="71" w:name="_Toc262045198"/>
      <w:bookmarkStart w:id="72" w:name="_Toc208999245"/>
      <w:bookmarkStart w:id="73" w:name="_Toc199384360"/>
      <w:bookmarkStart w:id="74" w:name="_Toc259191037"/>
      <w:r>
        <w:rPr>
          <w:rFonts w:hint="eastAsia" w:ascii="宋体" w:hAnsi="宋体" w:cs="宋体"/>
          <w:b/>
          <w:color w:val="auto"/>
          <w:szCs w:val="21"/>
        </w:rPr>
        <w:t>7.3成交通知</w:t>
      </w:r>
    </w:p>
    <w:p w14:paraId="030A99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在公示成交结果的同时，采购人或者采购代理机构应当向成交人发出成交通知书，成交通知书对采购人和成交人具有同等法律效力。</w:t>
      </w:r>
    </w:p>
    <w:p w14:paraId="259BD276">
      <w:pPr>
        <w:spacing w:line="360" w:lineRule="auto"/>
        <w:rPr>
          <w:rFonts w:hint="eastAsia" w:ascii="宋体" w:hAnsi="宋体" w:cs="宋体"/>
          <w:b/>
          <w:color w:val="auto"/>
          <w:szCs w:val="21"/>
        </w:rPr>
      </w:pPr>
    </w:p>
    <w:p w14:paraId="46716BD1">
      <w:pPr>
        <w:spacing w:line="360" w:lineRule="auto"/>
        <w:rPr>
          <w:rFonts w:hint="eastAsia" w:ascii="宋体" w:hAnsi="宋体" w:cs="宋体"/>
          <w:b/>
          <w:color w:val="auto"/>
          <w:sz w:val="28"/>
          <w:szCs w:val="28"/>
        </w:rPr>
      </w:pPr>
      <w:r>
        <w:rPr>
          <w:rFonts w:hint="eastAsia" w:ascii="宋体" w:hAnsi="宋体" w:cs="宋体"/>
          <w:b/>
          <w:color w:val="auto"/>
          <w:sz w:val="28"/>
          <w:szCs w:val="28"/>
        </w:rPr>
        <w:t>8．合同授予</w:t>
      </w:r>
      <w:bookmarkEnd w:id="69"/>
      <w:bookmarkEnd w:id="70"/>
      <w:bookmarkEnd w:id="71"/>
      <w:bookmarkEnd w:id="72"/>
      <w:bookmarkEnd w:id="73"/>
      <w:bookmarkEnd w:id="74"/>
    </w:p>
    <w:p w14:paraId="0E522CCF">
      <w:pPr>
        <w:spacing w:line="360" w:lineRule="auto"/>
        <w:rPr>
          <w:rFonts w:hint="eastAsia" w:ascii="宋体" w:hAnsi="宋体" w:cs="宋体"/>
          <w:b/>
          <w:color w:val="auto"/>
          <w:szCs w:val="21"/>
        </w:rPr>
      </w:pPr>
      <w:r>
        <w:rPr>
          <w:rFonts w:hint="eastAsia" w:ascii="宋体" w:hAnsi="宋体" w:cs="宋体"/>
          <w:b/>
          <w:color w:val="auto"/>
          <w:szCs w:val="21"/>
        </w:rPr>
        <w:t>8.1 履约担保</w:t>
      </w:r>
    </w:p>
    <w:p w14:paraId="68DCDDC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8.1.1 在签订合同前，成交人应按供应商须知前附表规定的金额、担保形式和竞争性磋商文件第四章“合同格式”规定的履约担保格式向采购人递交履约担保。联合体成交的，其履约担保由牵头人递交，并应符合供应商须知前附表规定的金额、担保形式和竞争性磋商文件第四章“合同格式”规定的履约担保格式要求。</w:t>
      </w:r>
    </w:p>
    <w:p w14:paraId="6EF2626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8.1.2 成交人不能按本章第7.3.1 项要求递交履约担保的，视为放弃成交，其磋商保证金不予退还，给采购人造成的损失超过磋商保证金数额的，成交人还应当对超过部分予以赔偿。</w:t>
      </w:r>
    </w:p>
    <w:p w14:paraId="3630B586">
      <w:pPr>
        <w:spacing w:line="360" w:lineRule="auto"/>
        <w:rPr>
          <w:rFonts w:hint="eastAsia" w:ascii="宋体" w:hAnsi="宋体" w:cs="宋体"/>
          <w:b/>
          <w:color w:val="auto"/>
          <w:szCs w:val="21"/>
        </w:rPr>
      </w:pPr>
      <w:r>
        <w:rPr>
          <w:rFonts w:hint="eastAsia" w:ascii="宋体" w:hAnsi="宋体" w:cs="宋体"/>
          <w:b/>
          <w:color w:val="auto"/>
          <w:szCs w:val="21"/>
        </w:rPr>
        <w:t>8.2 签订合同</w:t>
      </w:r>
    </w:p>
    <w:p w14:paraId="53F45A2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8.2.1 采购人和成交人应当自成交通知书发出之日起30 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226DBF7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8.2.2 发出成交通知书后，采购人无正当理由拒签合同的，采购人向成交人退还磋商保证金；给成交人造成损失的，还应当赔偿损失。</w:t>
      </w:r>
    </w:p>
    <w:p w14:paraId="6FB83CE5">
      <w:pPr>
        <w:spacing w:line="360" w:lineRule="auto"/>
        <w:rPr>
          <w:rFonts w:hint="eastAsia" w:ascii="宋体" w:hAnsi="宋体" w:cs="宋体"/>
          <w:b/>
          <w:color w:val="auto"/>
          <w:szCs w:val="21"/>
        </w:rPr>
      </w:pPr>
      <w:bookmarkStart w:id="75" w:name="_Toc208974985"/>
      <w:bookmarkStart w:id="76" w:name="_Toc228871264"/>
      <w:bookmarkStart w:id="77" w:name="_Toc208999246"/>
      <w:bookmarkStart w:id="78" w:name="_Toc199384361"/>
      <w:bookmarkStart w:id="79" w:name="_Toc259191038"/>
      <w:bookmarkStart w:id="80" w:name="_Toc262045199"/>
      <w:r>
        <w:rPr>
          <w:rFonts w:hint="eastAsia" w:ascii="宋体" w:hAnsi="宋体" w:cs="宋体"/>
          <w:b/>
          <w:color w:val="auto"/>
          <w:szCs w:val="21"/>
        </w:rPr>
        <w:t>8</w:t>
      </w:r>
      <w:bookmarkEnd w:id="75"/>
      <w:bookmarkEnd w:id="76"/>
      <w:bookmarkEnd w:id="77"/>
      <w:bookmarkEnd w:id="78"/>
      <w:bookmarkEnd w:id="79"/>
      <w:bookmarkEnd w:id="80"/>
      <w:r>
        <w:rPr>
          <w:rFonts w:hint="eastAsia" w:ascii="宋体" w:hAnsi="宋体" w:cs="宋体"/>
          <w:b/>
          <w:color w:val="auto"/>
          <w:szCs w:val="21"/>
        </w:rPr>
        <w:t>.3</w:t>
      </w:r>
      <w:r>
        <w:rPr>
          <w:rFonts w:hint="eastAsia" w:ascii="宋体" w:hAnsi="宋体" w:cs="宋体"/>
          <w:b/>
          <w:bCs/>
          <w:color w:val="auto"/>
          <w:szCs w:val="21"/>
          <w:lang w:val="zh-CN"/>
        </w:rPr>
        <w:t>报价无效及废标</w:t>
      </w:r>
    </w:p>
    <w:p w14:paraId="3DC5158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8.3.1出现下列情形之一的，报价无效：</w:t>
      </w:r>
    </w:p>
    <w:p w14:paraId="1A907AA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（1）不具备《中华人民共和国政府采购法》第二十二条规定条件；</w:t>
      </w:r>
    </w:p>
    <w:p w14:paraId="5D5537C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（2）列入失信被执行人、重大税收违法案件当事人名单、政府采购严重违法失信行为记录名单；</w:t>
      </w:r>
    </w:p>
    <w:p w14:paraId="0DDCF59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（3）响应文件未按磋商文件规定要求格式表格制作、密封、签署、盖章；</w:t>
      </w:r>
    </w:p>
    <w:p w14:paraId="623BA77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（4）不按磋商小组要求澄清、说明或补正的。</w:t>
      </w:r>
    </w:p>
    <w:p w14:paraId="041E0FF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（5）未按照磋商文件中报价文件要求的内容填写报价、拒绝报价、报价不确定、有选择性报价和附有条件的报价、报价等于或高于最高限价；</w:t>
      </w:r>
    </w:p>
    <w:p w14:paraId="5D0E67E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（6）法定代表人或其授权代表未按时参加第二轮报价会议或参加第二轮报价会议未提供有效证明；</w:t>
      </w:r>
    </w:p>
    <w:p w14:paraId="6E480CA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（7）未按规定缴纳磋商保证金；</w:t>
      </w:r>
    </w:p>
    <w:p w14:paraId="1B9C353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（8）相关资格资质证明的原件、复印件未按磋商文件约定提交或提交的原件与复印件不一致；</w:t>
      </w:r>
    </w:p>
    <w:p w14:paraId="7C358AE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（9）在形式、资格及响应性评审中，磋商小组认定供应商的响应文件不符合评审办法中规定的任何一项评审标准。</w:t>
      </w:r>
    </w:p>
    <w:p w14:paraId="5A4392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（10）响应文件正副本未区分或者内容严重不一致；</w:t>
      </w:r>
    </w:p>
    <w:p w14:paraId="4DB9025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（11）磋商有效期不满足磋商文件要求；</w:t>
      </w:r>
    </w:p>
    <w:p w14:paraId="00FE9C4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（12）无供应商法定代表人或其授权代表签字或盖章；</w:t>
      </w:r>
    </w:p>
    <w:p w14:paraId="6583D1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（13）联合体未提交联合体协议书（本项目不适用）；</w:t>
      </w:r>
    </w:p>
    <w:p w14:paraId="43B4F5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（14）响应文件未完全满足磋商文件中实质性要求；</w:t>
      </w:r>
    </w:p>
    <w:p w14:paraId="2A5F8ED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（15）低于成本价且无法提供相关证明材料；</w:t>
      </w:r>
    </w:p>
    <w:p w14:paraId="4B2388F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（16）磋商小组认定技术方案不符合磋商文件要求；</w:t>
      </w:r>
    </w:p>
    <w:p w14:paraId="5576452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（17）评审期间，没有按磋商小组要求提交经法定代表人或授权代表签字的澄清、说明、补正或改变了响应文件实质性内容；</w:t>
      </w:r>
    </w:p>
    <w:p w14:paraId="4327584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（18）供应商未提交最终报价；</w:t>
      </w:r>
    </w:p>
    <w:p w14:paraId="4586A43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（19）供应商存在弄虚作假的行为；</w:t>
      </w:r>
    </w:p>
    <w:p w14:paraId="2B9356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（20）属于采购人与供应商、供应商与供应商相互串通磋商情形；</w:t>
      </w:r>
    </w:p>
    <w:p w14:paraId="585947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（21）对采购人、采购代理机构、磋商小组及其他工作人员施加影响，有碍公平、公正；</w:t>
      </w:r>
    </w:p>
    <w:p w14:paraId="7D127C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（22）磋商文件规定的其他报价无效情形；</w:t>
      </w:r>
    </w:p>
    <w:p w14:paraId="72EE240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（23）法律、法规、规章规定属于报价无效的其他情形。</w:t>
      </w:r>
    </w:p>
    <w:p w14:paraId="5F3521EA">
      <w:pPr>
        <w:spacing w:line="360" w:lineRule="auto"/>
        <w:ind w:firstLine="420" w:firstLineChars="200"/>
        <w:rPr>
          <w:rFonts w:hint="eastAsia" w:ascii="宋体" w:hAnsi="宋体" w:cs="宋体"/>
          <w:b/>
          <w:color w:val="auto"/>
          <w:szCs w:val="21"/>
        </w:rPr>
      </w:pPr>
      <w:r>
        <w:rPr>
          <w:rFonts w:hint="eastAsia" w:ascii="宋体" w:hAnsi="宋体" w:cs="宋体"/>
          <w:color w:val="auto"/>
          <w:szCs w:val="21"/>
        </w:rPr>
        <w:t>8.3.2 有下列情形之一的，应予废标：</w:t>
      </w:r>
    </w:p>
    <w:p w14:paraId="185EC0C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（1）到递交首次响应文件截止时间止，供应商少于3个的；</w:t>
      </w:r>
    </w:p>
    <w:p w14:paraId="5593A93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（2）符合条件的供应商或者对磋商文件作实质响应的供应商不足三家的；</w:t>
      </w:r>
    </w:p>
    <w:p w14:paraId="41108C8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（3）经磋商小组评审后否决所有响应文件的；</w:t>
      </w:r>
    </w:p>
    <w:p w14:paraId="56E368A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（4）出现影响采购公正的违法、违规行为；</w:t>
      </w:r>
    </w:p>
    <w:p w14:paraId="21D367F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（5）因重大变故，采购任务取消；</w:t>
      </w:r>
    </w:p>
    <w:p w14:paraId="16E28E6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（6）法律、法规以及磋商文件规定其他情形。</w:t>
      </w:r>
    </w:p>
    <w:p w14:paraId="4E32234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废标必须经磋商小组集体作出决定，经磋商小组全体成员签字确认后生效。废标后，采购人或者采购代理机构应当将废标理由告知所有供应商。</w:t>
      </w:r>
    </w:p>
    <w:p w14:paraId="541E89C6">
      <w:pPr>
        <w:spacing w:line="360" w:lineRule="auto"/>
        <w:rPr>
          <w:rFonts w:hint="eastAsia" w:ascii="宋体" w:hAnsi="宋体" w:cs="宋体"/>
          <w:b/>
          <w:color w:val="auto"/>
          <w:szCs w:val="21"/>
        </w:rPr>
      </w:pPr>
      <w:bookmarkStart w:id="81" w:name="_Toc208999247"/>
      <w:bookmarkStart w:id="82" w:name="_Toc259191039"/>
      <w:bookmarkStart w:id="83" w:name="_Toc208974986"/>
      <w:bookmarkStart w:id="84" w:name="_Toc262045200"/>
      <w:bookmarkStart w:id="85" w:name="_Toc199384362"/>
      <w:bookmarkStart w:id="86" w:name="_Toc228871265"/>
    </w:p>
    <w:p w14:paraId="4FC61D34">
      <w:pPr>
        <w:spacing w:line="360" w:lineRule="auto"/>
        <w:rPr>
          <w:rFonts w:hint="eastAsia" w:ascii="宋体" w:hAnsi="宋体" w:cs="宋体"/>
          <w:b/>
          <w:color w:val="auto"/>
          <w:sz w:val="28"/>
          <w:szCs w:val="28"/>
        </w:rPr>
      </w:pPr>
      <w:r>
        <w:rPr>
          <w:rFonts w:hint="eastAsia" w:ascii="宋体" w:hAnsi="宋体" w:cs="宋体"/>
          <w:b/>
          <w:color w:val="auto"/>
          <w:sz w:val="28"/>
          <w:szCs w:val="28"/>
        </w:rPr>
        <w:t>9．纪律和监督</w:t>
      </w:r>
      <w:bookmarkEnd w:id="81"/>
      <w:bookmarkEnd w:id="82"/>
      <w:bookmarkEnd w:id="83"/>
      <w:bookmarkEnd w:id="84"/>
      <w:bookmarkEnd w:id="85"/>
      <w:bookmarkEnd w:id="86"/>
    </w:p>
    <w:p w14:paraId="54961AFE">
      <w:pPr>
        <w:spacing w:line="360" w:lineRule="auto"/>
        <w:rPr>
          <w:rFonts w:hint="eastAsia" w:ascii="宋体" w:hAnsi="宋体" w:cs="宋体"/>
          <w:b/>
          <w:color w:val="auto"/>
          <w:szCs w:val="21"/>
        </w:rPr>
      </w:pPr>
      <w:r>
        <w:rPr>
          <w:rFonts w:hint="eastAsia" w:ascii="宋体" w:hAnsi="宋体" w:cs="宋体"/>
          <w:b/>
          <w:color w:val="auto"/>
          <w:szCs w:val="21"/>
        </w:rPr>
        <w:t>9.1 对采购人的纪律要求</w:t>
      </w:r>
    </w:p>
    <w:p w14:paraId="52B2BAB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采购人不得泄漏采购活动中应当保密的情况和资料，不得与供应商串通损害国家利益、社会公共利益或者他人合法权益。</w:t>
      </w:r>
    </w:p>
    <w:p w14:paraId="68877315">
      <w:pPr>
        <w:spacing w:line="360" w:lineRule="auto"/>
        <w:rPr>
          <w:rFonts w:hint="eastAsia" w:ascii="宋体" w:hAnsi="宋体" w:cs="宋体"/>
          <w:b/>
          <w:color w:val="auto"/>
          <w:szCs w:val="21"/>
        </w:rPr>
      </w:pPr>
      <w:r>
        <w:rPr>
          <w:rFonts w:hint="eastAsia" w:ascii="宋体" w:hAnsi="宋体" w:cs="宋体"/>
          <w:b/>
          <w:color w:val="auto"/>
          <w:szCs w:val="21"/>
        </w:rPr>
        <w:t>9.2 对供应商的纪律要求</w:t>
      </w:r>
    </w:p>
    <w:p w14:paraId="064FB46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供应商不得相互串通磋商或者与采购人串通磋商，不得向采购人或者磋商小组成员行贿谋取成交，不得以他人名义磋商或者以其他方式弄虚作假骗取成交；供应商不得以任何方式干扰、影响评审工作。</w:t>
      </w:r>
    </w:p>
    <w:p w14:paraId="7E71260D">
      <w:pPr>
        <w:spacing w:line="360" w:lineRule="auto"/>
        <w:rPr>
          <w:rFonts w:hint="eastAsia" w:ascii="宋体" w:hAnsi="宋体" w:cs="宋体"/>
          <w:b/>
          <w:color w:val="auto"/>
          <w:szCs w:val="21"/>
        </w:rPr>
      </w:pPr>
      <w:r>
        <w:rPr>
          <w:rFonts w:hint="eastAsia" w:ascii="宋体" w:hAnsi="宋体" w:cs="宋体"/>
          <w:b/>
          <w:color w:val="auto"/>
          <w:szCs w:val="21"/>
        </w:rPr>
        <w:t>9.3 对磋商小组成员的纪律要求</w:t>
      </w:r>
    </w:p>
    <w:p w14:paraId="6C7C732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成员不得收受他人的财物或者其他好处，不得向他人透漏对响应文件的评审和比较、成交候选人的推荐情况以及评审有关的其他情况。在评审活动中，磋商小组成员应当客观、公正地履行职责，遵守职业道德，不得擅离职守，影响评审程序正常进行，不得使用第三章“评审办法”没有规定的评审因素和标准进行评审。</w:t>
      </w:r>
    </w:p>
    <w:p w14:paraId="307F8BFD">
      <w:pPr>
        <w:spacing w:line="360" w:lineRule="auto"/>
        <w:rPr>
          <w:rFonts w:hint="eastAsia" w:ascii="宋体" w:hAnsi="宋体" w:cs="宋体"/>
          <w:b/>
          <w:color w:val="auto"/>
          <w:szCs w:val="21"/>
        </w:rPr>
      </w:pPr>
      <w:r>
        <w:rPr>
          <w:rFonts w:hint="eastAsia" w:ascii="宋体" w:hAnsi="宋体" w:cs="宋体"/>
          <w:b/>
          <w:color w:val="auto"/>
          <w:szCs w:val="21"/>
        </w:rPr>
        <w:t>9.4 对与评审活动有关的工作人员的纪律要求</w:t>
      </w:r>
    </w:p>
    <w:p w14:paraId="431D68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7BE0A4E3">
      <w:pPr>
        <w:spacing w:line="360" w:lineRule="auto"/>
        <w:rPr>
          <w:rFonts w:hint="eastAsia" w:ascii="宋体" w:hAnsi="宋体" w:cs="宋体"/>
          <w:b/>
          <w:color w:val="auto"/>
          <w:szCs w:val="21"/>
        </w:rPr>
      </w:pPr>
      <w:bookmarkStart w:id="87" w:name="_Toc208999248"/>
      <w:bookmarkStart w:id="88" w:name="_Toc228871266"/>
      <w:bookmarkStart w:id="89" w:name="_Toc199384363"/>
      <w:bookmarkStart w:id="90" w:name="_Toc262045201"/>
      <w:bookmarkStart w:id="91" w:name="_Toc208974987"/>
      <w:bookmarkStart w:id="92" w:name="_Toc259191040"/>
      <w:r>
        <w:rPr>
          <w:rFonts w:hint="eastAsia" w:ascii="宋体" w:hAnsi="宋体" w:cs="宋体"/>
          <w:b/>
          <w:color w:val="auto"/>
          <w:szCs w:val="21"/>
        </w:rPr>
        <w:t>9.5</w:t>
      </w:r>
      <w:r>
        <w:rPr>
          <w:rFonts w:hint="eastAsia" w:ascii="宋体" w:hAnsi="宋体" w:cs="宋体"/>
          <w:b/>
          <w:bCs/>
          <w:color w:val="auto"/>
          <w:szCs w:val="21"/>
          <w:lang w:val="zh-CN"/>
        </w:rPr>
        <w:t>质疑与投诉</w:t>
      </w:r>
    </w:p>
    <w:p w14:paraId="6334FB65">
      <w:pPr>
        <w:spacing w:line="360" w:lineRule="auto"/>
        <w:ind w:firstLine="420" w:firstLineChars="200"/>
        <w:rPr>
          <w:rFonts w:hint="eastAsia" w:ascii="宋体" w:hAnsi="宋体" w:cs="宋体"/>
          <w:b/>
          <w:color w:val="auto"/>
          <w:szCs w:val="21"/>
        </w:rPr>
      </w:pPr>
      <w:r>
        <w:rPr>
          <w:rFonts w:hint="eastAsia" w:ascii="宋体" w:hAnsi="宋体" w:cs="宋体"/>
          <w:bCs/>
          <w:color w:val="auto"/>
          <w:szCs w:val="21"/>
        </w:rPr>
        <w:t>9.5.1 质疑</w:t>
      </w:r>
    </w:p>
    <w:p w14:paraId="284063D4">
      <w:pPr>
        <w:spacing w:line="360" w:lineRule="auto"/>
        <w:ind w:firstLine="420" w:firstLineChars="200"/>
        <w:rPr>
          <w:rFonts w:hint="eastAsia" w:ascii="宋体" w:hAnsi="宋体" w:cs="宋体"/>
          <w:color w:val="auto"/>
        </w:rPr>
      </w:pPr>
      <w:r>
        <w:rPr>
          <w:rFonts w:hint="eastAsia" w:ascii="宋体" w:hAnsi="宋体" w:cs="宋体"/>
          <w:color w:val="auto"/>
          <w:szCs w:val="21"/>
        </w:rPr>
        <w:t>按照《中华人民共和国政府采购法》、《政府采购供应商质疑和投诉办法》有关规定，参加本次政府采购活动的供应商认为</w:t>
      </w:r>
      <w:r>
        <w:rPr>
          <w:rFonts w:hint="eastAsia" w:ascii="宋体" w:hAnsi="宋体" w:cs="宋体"/>
          <w:color w:val="auto"/>
        </w:rPr>
        <w:t>采购文件、采购过程、成交或者成交结果使自己的权益受到损害的，可以在知道或者应知其权益受到损害之日起7个工作日内，以书面形式向采购人、采购代理机构提出质疑。</w:t>
      </w:r>
    </w:p>
    <w:p w14:paraId="2D6A2114">
      <w:pPr>
        <w:spacing w:line="360" w:lineRule="auto"/>
        <w:ind w:firstLine="420" w:firstLineChars="200"/>
        <w:rPr>
          <w:rFonts w:hint="eastAsia" w:ascii="宋体" w:hAnsi="宋体" w:cs="宋体"/>
          <w:color w:val="auto"/>
          <w:szCs w:val="21"/>
        </w:rPr>
      </w:pPr>
      <w:r>
        <w:rPr>
          <w:rFonts w:hint="eastAsia" w:ascii="宋体" w:hAnsi="宋体" w:cs="宋体"/>
          <w:color w:val="auto"/>
        </w:rPr>
        <w:t>供应商须在法定质疑期内一次性提出针对同一采购程序环节的质疑。</w:t>
      </w:r>
    </w:p>
    <w:p w14:paraId="7554343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9.5.1.1供应商提出质疑应当提交质疑函和必要的证明材料。质疑函应当包括下列内容：</w:t>
      </w:r>
    </w:p>
    <w:p w14:paraId="764D726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（一）供应商的姓名或者名称、地址、邮编、联系人及联系电话；</w:t>
      </w:r>
    </w:p>
    <w:p w14:paraId="39C43C6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（二）质疑项目的名称、编号；</w:t>
      </w:r>
    </w:p>
    <w:p w14:paraId="09DB7B4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（三）具体、明确的质疑事项和与质疑事项相关的请求；</w:t>
      </w:r>
    </w:p>
    <w:p w14:paraId="7B7D49C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（四）事实依据；</w:t>
      </w:r>
    </w:p>
    <w:p w14:paraId="654D1B6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（五）必要的法律依据；</w:t>
      </w:r>
    </w:p>
    <w:p w14:paraId="1F4B4A6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（六）提出质疑的日期。</w:t>
      </w:r>
    </w:p>
    <w:p w14:paraId="70ED340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9.5.1.2供应商为自然人的，应当由本人签字；供应商为法人或者其他组织的，应当由法定代表人、主要负责人，或者其授权代表签字或盖章，并加盖公章。否则采购人或者采购代理机构不予受理。</w:t>
      </w:r>
    </w:p>
    <w:p w14:paraId="00F96B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9.5.1.3除书面形式外，其他任何方式的质疑，采购人或者采购代理机构均不予接受和回复。</w:t>
      </w:r>
    </w:p>
    <w:p w14:paraId="6A3DB0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9.5.1.4采购人或者采购代理机构在收到质疑书后七个工作日内作出书面答复，并以书面形式通知质疑人和其他有关当事人，但答复不得涉及商业秘密。</w:t>
      </w:r>
    </w:p>
    <w:p w14:paraId="4541A8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9.5.1.5质疑人对采购人、采购代理机构的答复不满意或者采购人、采购代理机构未在规定的时间内做出答复的，可以在答复期满后十五个工作日内向同级财政部门投诉。</w:t>
      </w:r>
    </w:p>
    <w:p w14:paraId="160372F5">
      <w:pPr>
        <w:spacing w:line="360" w:lineRule="auto"/>
        <w:ind w:firstLine="420" w:firstLineChars="200"/>
        <w:rPr>
          <w:rFonts w:hint="eastAsia" w:ascii="宋体" w:hAnsi="宋体" w:cs="宋体"/>
          <w:b/>
          <w:color w:val="auto"/>
          <w:szCs w:val="21"/>
        </w:rPr>
      </w:pPr>
      <w:r>
        <w:rPr>
          <w:rFonts w:hint="eastAsia" w:ascii="宋体" w:hAnsi="宋体" w:cs="宋体"/>
          <w:bCs/>
          <w:color w:val="auto"/>
          <w:szCs w:val="21"/>
        </w:rPr>
        <w:t>9.5.2投诉</w:t>
      </w:r>
    </w:p>
    <w:p w14:paraId="4AFAC5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按照《中华人民共和国政府采购法》、《政府采购供应商质疑和投诉办法》以及相关的法律法规规定，质疑人对采购人、采购代理机构的答复不满意或者采购人、采购代理机构未在规定的时间内做出答复的，可以在答复期满后十五个工作日内向同级财政部门投诉。</w:t>
      </w:r>
    </w:p>
    <w:p w14:paraId="4D38B57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9.5.2.1投诉人提起投诉应符合下列条件：</w:t>
      </w:r>
    </w:p>
    <w:p w14:paraId="248C79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（一）提起投诉前已依法进行质疑；</w:t>
      </w:r>
    </w:p>
    <w:p w14:paraId="57C84FE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（二）投诉书内容符合《政府采购供应商质疑和投诉办法》的规定；</w:t>
      </w:r>
    </w:p>
    <w:p w14:paraId="06D745F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（三）在投诉有效期限内提起投诉；</w:t>
      </w:r>
    </w:p>
    <w:p w14:paraId="1C76A9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（四）同一投诉事项未经财政部门投诉处理；</w:t>
      </w:r>
    </w:p>
    <w:p w14:paraId="7CB06D4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（五）财政部规定的其他条件。</w:t>
      </w:r>
    </w:p>
    <w:p w14:paraId="22C9683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9.5.2.2供应商投诉的事项不得超出已质疑事项的范围，但基于质疑答复内容提出的投诉事项除外。</w:t>
      </w:r>
    </w:p>
    <w:p w14:paraId="0FED4AA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9.5.2.3投诉人投诉时，应当提交投诉书和必要的证明材料，并按照被投诉采购人、采购代理机构（以下简称被投诉人）和与投诉事项有关的供应商数量提供投诉书的副本。投诉书应当包括下列内容：</w:t>
      </w:r>
    </w:p>
    <w:p w14:paraId="76E3C5C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（一）投诉人和被投诉人的姓名或者名称、通讯地址、邮编、联系人及联系电话；</w:t>
      </w:r>
    </w:p>
    <w:p w14:paraId="43AE789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（二）质疑和质疑答复情况说明及相关证明材料；</w:t>
      </w:r>
    </w:p>
    <w:p w14:paraId="759EBFA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（三）具体、明确的投诉事项和与投诉事项相关的投诉请求；</w:t>
      </w:r>
    </w:p>
    <w:p w14:paraId="3DD2311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（四）事实依据；</w:t>
      </w:r>
    </w:p>
    <w:p w14:paraId="2522576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（五）法律依据；</w:t>
      </w:r>
    </w:p>
    <w:p w14:paraId="672317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（六）提起投诉的日期。</w:t>
      </w:r>
    </w:p>
    <w:p w14:paraId="722ED5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9.5.2.4投诉人为自然人的，应当由本人签字；投诉人为法人或者其他组织的，应当由法定代表人、主要负责人，或者其授权代表签字或者盖章，并加盖公章。</w:t>
      </w:r>
    </w:p>
    <w:p w14:paraId="42510A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9.5.2.5投诉人不符合上述规定提起的投诉，财政部门不予受理。</w:t>
      </w:r>
    </w:p>
    <w:p w14:paraId="4283EF66">
      <w:pPr>
        <w:spacing w:line="360" w:lineRule="auto"/>
        <w:rPr>
          <w:rFonts w:hint="eastAsia" w:ascii="宋体" w:hAnsi="宋体" w:cs="宋体"/>
          <w:b/>
          <w:color w:val="auto"/>
          <w:sz w:val="28"/>
          <w:szCs w:val="28"/>
        </w:rPr>
      </w:pPr>
      <w:r>
        <w:rPr>
          <w:rFonts w:hint="eastAsia" w:ascii="宋体" w:hAnsi="宋体" w:cs="宋体"/>
          <w:b/>
          <w:color w:val="auto"/>
          <w:sz w:val="28"/>
          <w:szCs w:val="28"/>
        </w:rPr>
        <w:t>10．需要补充的其他内容</w:t>
      </w:r>
      <w:bookmarkEnd w:id="87"/>
      <w:bookmarkEnd w:id="88"/>
      <w:bookmarkEnd w:id="89"/>
      <w:bookmarkEnd w:id="90"/>
      <w:bookmarkEnd w:id="91"/>
      <w:bookmarkEnd w:id="92"/>
    </w:p>
    <w:p w14:paraId="296234C2">
      <w:pPr>
        <w:spacing w:line="360" w:lineRule="auto"/>
        <w:ind w:firstLine="420" w:firstLineChars="200"/>
        <w:rPr>
          <w:rFonts w:hint="eastAsia" w:ascii="宋体" w:hAnsi="宋体" w:cs="宋体"/>
          <w:color w:val="auto"/>
          <w:szCs w:val="21"/>
        </w:rPr>
      </w:pPr>
      <w:r>
        <w:rPr>
          <w:rFonts w:hint="eastAsia" w:ascii="宋体" w:hAnsi="宋体" w:cs="宋体"/>
          <w:b/>
          <w:bCs/>
          <w:color w:val="auto"/>
          <w:szCs w:val="21"/>
        </w:rPr>
        <w:t>10.1最高限价：</w:t>
      </w:r>
      <w:r>
        <w:rPr>
          <w:rFonts w:hint="eastAsia" w:ascii="宋体" w:hAnsi="宋体" w:cs="宋体"/>
          <w:color w:val="auto"/>
          <w:szCs w:val="21"/>
        </w:rPr>
        <w:t>详见供应商须知前附表。</w:t>
      </w:r>
    </w:p>
    <w:p w14:paraId="2742812B">
      <w:pPr>
        <w:spacing w:line="360" w:lineRule="auto"/>
        <w:ind w:firstLine="420" w:firstLineChars="200"/>
        <w:rPr>
          <w:rFonts w:hint="eastAsia" w:ascii="宋体" w:hAnsi="宋体" w:cs="宋体"/>
          <w:color w:val="auto"/>
          <w:szCs w:val="21"/>
        </w:rPr>
      </w:pPr>
      <w:r>
        <w:rPr>
          <w:rFonts w:hint="eastAsia" w:ascii="宋体" w:hAnsi="宋体" w:cs="宋体"/>
          <w:b/>
          <w:bCs/>
          <w:color w:val="auto"/>
          <w:szCs w:val="21"/>
        </w:rPr>
        <w:t>10.2报价轮次：</w:t>
      </w:r>
      <w:r>
        <w:rPr>
          <w:rFonts w:hint="eastAsia" w:ascii="宋体" w:hAnsi="宋体" w:cs="宋体"/>
          <w:color w:val="auto"/>
          <w:szCs w:val="21"/>
        </w:rPr>
        <w:t>详见供应商须知前附表。</w:t>
      </w:r>
    </w:p>
    <w:p w14:paraId="462554DE">
      <w:pPr>
        <w:spacing w:line="360" w:lineRule="auto"/>
        <w:ind w:firstLine="420" w:firstLineChars="200"/>
        <w:rPr>
          <w:color w:val="auto"/>
        </w:rPr>
      </w:pPr>
      <w:r>
        <w:rPr>
          <w:rFonts w:hint="eastAsia" w:ascii="宋体" w:hAnsi="宋体" w:cs="宋体"/>
          <w:b/>
          <w:bCs/>
          <w:color w:val="auto"/>
          <w:szCs w:val="21"/>
        </w:rPr>
        <w:t>10.3第二轮报价明细：</w:t>
      </w:r>
      <w:r>
        <w:rPr>
          <w:rFonts w:hint="eastAsia" w:ascii="宋体" w:hAnsi="宋体" w:cs="宋体"/>
          <w:color w:val="auto"/>
          <w:szCs w:val="21"/>
        </w:rPr>
        <w:t>详见供应商须知前附表。</w:t>
      </w:r>
    </w:p>
    <w:p w14:paraId="06C047F7">
      <w:pPr>
        <w:spacing w:line="276" w:lineRule="auto"/>
        <w:jc w:val="center"/>
        <w:rPr>
          <w:color w:val="auto"/>
        </w:rPr>
      </w:pPr>
      <w:r>
        <w:rPr>
          <w:color w:val="auto"/>
        </w:rPr>
        <w:br w:type="page"/>
      </w:r>
    </w:p>
    <w:p w14:paraId="50FBCB43">
      <w:pPr>
        <w:pStyle w:val="30"/>
        <w:snapToGrid w:val="0"/>
        <w:spacing w:before="0"/>
        <w:rPr>
          <w:rStyle w:val="70"/>
          <w:rFonts w:ascii="宋体" w:hAnsi="宋体"/>
          <w:color w:val="auto"/>
          <w:sz w:val="48"/>
          <w:szCs w:val="48"/>
        </w:rPr>
      </w:pPr>
      <w:bookmarkStart w:id="93" w:name="_Toc152042387"/>
      <w:bookmarkStart w:id="94" w:name="_Toc246996995"/>
      <w:bookmarkStart w:id="95" w:name="_Toc144974577"/>
      <w:bookmarkStart w:id="96" w:name="_Toc152045609"/>
      <w:bookmarkStart w:id="97" w:name="_Toc296602497"/>
      <w:bookmarkStart w:id="98" w:name="_Toc179632627"/>
      <w:bookmarkStart w:id="99" w:name="_Toc247085767"/>
      <w:bookmarkStart w:id="100" w:name="_Toc246996252"/>
      <w:r>
        <w:rPr>
          <w:rStyle w:val="70"/>
          <w:rFonts w:ascii="宋体" w:hAnsi="宋体"/>
          <w:color w:val="auto"/>
          <w:sz w:val="48"/>
          <w:szCs w:val="48"/>
        </w:rPr>
        <w:t>第三章 评标办法（综合评估法）</w:t>
      </w:r>
    </w:p>
    <w:p w14:paraId="7CF537D0">
      <w:pPr>
        <w:spacing w:line="360" w:lineRule="auto"/>
        <w:jc w:val="center"/>
        <w:rPr>
          <w:rFonts w:ascii="宋体" w:hAnsi="宋体"/>
          <w:b/>
          <w:color w:val="auto"/>
          <w:sz w:val="36"/>
          <w:szCs w:val="28"/>
        </w:rPr>
      </w:pPr>
      <w:r>
        <w:rPr>
          <w:rFonts w:hint="eastAsia" w:ascii="宋体" w:hAnsi="宋体"/>
          <w:b/>
          <w:color w:val="auto"/>
          <w:sz w:val="36"/>
          <w:szCs w:val="28"/>
        </w:rPr>
        <w:t>初步评审表</w:t>
      </w:r>
    </w:p>
    <w:tbl>
      <w:tblPr>
        <w:tblStyle w:val="34"/>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219"/>
        <w:gridCol w:w="1900"/>
        <w:gridCol w:w="5959"/>
      </w:tblGrid>
      <w:tr w14:paraId="1F1A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blHeader/>
          <w:jc w:val="center"/>
        </w:trPr>
        <w:tc>
          <w:tcPr>
            <w:tcW w:w="2081" w:type="dxa"/>
            <w:gridSpan w:val="2"/>
            <w:vAlign w:val="center"/>
          </w:tcPr>
          <w:p w14:paraId="2ABEDA63">
            <w:pPr>
              <w:autoSpaceDE w:val="0"/>
              <w:autoSpaceDN w:val="0"/>
              <w:adjustRightInd w:val="0"/>
              <w:spacing w:line="340" w:lineRule="exact"/>
              <w:jc w:val="center"/>
              <w:rPr>
                <w:rFonts w:ascii="宋体" w:hAnsi="宋体" w:cs="宋体"/>
                <w:b/>
                <w:color w:val="auto"/>
                <w:sz w:val="24"/>
                <w:lang w:val="zh-CN"/>
              </w:rPr>
            </w:pPr>
            <w:r>
              <w:rPr>
                <w:rFonts w:hint="eastAsia" w:ascii="宋体" w:hAnsi="宋体" w:cs="宋体"/>
                <w:b/>
                <w:color w:val="auto"/>
                <w:sz w:val="24"/>
                <w:lang w:val="zh-CN"/>
              </w:rPr>
              <w:t>条款号</w:t>
            </w:r>
          </w:p>
        </w:tc>
        <w:tc>
          <w:tcPr>
            <w:tcW w:w="1900" w:type="dxa"/>
            <w:vAlign w:val="center"/>
          </w:tcPr>
          <w:p w14:paraId="04057CB5">
            <w:pPr>
              <w:autoSpaceDE w:val="0"/>
              <w:autoSpaceDN w:val="0"/>
              <w:adjustRightInd w:val="0"/>
              <w:spacing w:line="340" w:lineRule="exact"/>
              <w:jc w:val="center"/>
              <w:rPr>
                <w:rFonts w:ascii="宋体" w:hAnsi="宋体" w:cs="宋体"/>
                <w:b/>
                <w:color w:val="auto"/>
                <w:sz w:val="24"/>
                <w:lang w:val="zh-CN"/>
              </w:rPr>
            </w:pPr>
            <w:r>
              <w:rPr>
                <w:rFonts w:hint="eastAsia" w:ascii="宋体" w:hAnsi="宋体" w:cs="宋体"/>
                <w:b/>
                <w:color w:val="auto"/>
                <w:sz w:val="24"/>
                <w:lang w:val="zh-CN"/>
              </w:rPr>
              <w:t>评审因素</w:t>
            </w:r>
          </w:p>
        </w:tc>
        <w:tc>
          <w:tcPr>
            <w:tcW w:w="5959" w:type="dxa"/>
            <w:vAlign w:val="center"/>
          </w:tcPr>
          <w:p w14:paraId="36DC207B">
            <w:pPr>
              <w:autoSpaceDE w:val="0"/>
              <w:autoSpaceDN w:val="0"/>
              <w:adjustRightInd w:val="0"/>
              <w:spacing w:line="340" w:lineRule="exact"/>
              <w:jc w:val="center"/>
              <w:rPr>
                <w:rFonts w:ascii="宋体" w:hAnsi="宋体" w:cs="宋体"/>
                <w:b/>
                <w:color w:val="auto"/>
                <w:sz w:val="24"/>
                <w:lang w:val="zh-CN"/>
              </w:rPr>
            </w:pPr>
            <w:r>
              <w:rPr>
                <w:rFonts w:hint="eastAsia" w:ascii="宋体" w:hAnsi="宋体" w:cs="宋体"/>
                <w:b/>
                <w:color w:val="auto"/>
                <w:sz w:val="24"/>
                <w:lang w:val="zh-CN"/>
              </w:rPr>
              <w:t>评审标准</w:t>
            </w:r>
          </w:p>
        </w:tc>
      </w:tr>
      <w:tr w14:paraId="4801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862" w:type="dxa"/>
            <w:vMerge w:val="restart"/>
            <w:vAlign w:val="center"/>
          </w:tcPr>
          <w:p w14:paraId="32F1D3C9">
            <w:pPr>
              <w:autoSpaceDE w:val="0"/>
              <w:autoSpaceDN w:val="0"/>
              <w:adjustRightInd w:val="0"/>
              <w:spacing w:line="340" w:lineRule="exact"/>
              <w:jc w:val="left"/>
              <w:rPr>
                <w:rFonts w:hint="eastAsia" w:ascii="宋体" w:hAnsi="宋体" w:eastAsia="宋体" w:cs="宋体"/>
                <w:bCs/>
                <w:color w:val="auto"/>
                <w:sz w:val="24"/>
                <w:lang w:val="zh-CN" w:eastAsia="zh-CN"/>
              </w:rPr>
            </w:pPr>
            <w:r>
              <w:rPr>
                <w:rFonts w:hint="eastAsia" w:ascii="宋体" w:hAnsi="宋体" w:cs="宋体"/>
                <w:bCs/>
                <w:color w:val="auto"/>
                <w:sz w:val="24"/>
                <w:lang w:val="zh-CN"/>
              </w:rPr>
              <w:t>1.1.</w:t>
            </w:r>
            <w:r>
              <w:rPr>
                <w:rFonts w:hint="eastAsia" w:ascii="宋体" w:hAnsi="宋体" w:cs="宋体"/>
                <w:bCs/>
                <w:color w:val="auto"/>
                <w:sz w:val="24"/>
                <w:lang w:val="en-US" w:eastAsia="zh-CN"/>
              </w:rPr>
              <w:t>1</w:t>
            </w:r>
          </w:p>
        </w:tc>
        <w:tc>
          <w:tcPr>
            <w:tcW w:w="1219" w:type="dxa"/>
            <w:vMerge w:val="restart"/>
            <w:vAlign w:val="center"/>
          </w:tcPr>
          <w:p w14:paraId="5F365834">
            <w:pPr>
              <w:autoSpaceDE w:val="0"/>
              <w:autoSpaceDN w:val="0"/>
              <w:adjustRightInd w:val="0"/>
              <w:spacing w:line="340" w:lineRule="exact"/>
              <w:jc w:val="center"/>
              <w:rPr>
                <w:rFonts w:ascii="宋体" w:hAnsi="宋体" w:cs="宋体"/>
                <w:bCs/>
                <w:color w:val="auto"/>
                <w:sz w:val="22"/>
                <w:szCs w:val="22"/>
                <w:lang w:val="zh-CN"/>
              </w:rPr>
            </w:pPr>
            <w:r>
              <w:rPr>
                <w:rFonts w:hint="eastAsia" w:ascii="宋体" w:hAnsi="宋体" w:cs="宋体"/>
                <w:bCs/>
                <w:color w:val="auto"/>
                <w:sz w:val="22"/>
                <w:szCs w:val="22"/>
                <w:lang w:val="zh-CN"/>
              </w:rPr>
              <w:t>资格评审</w:t>
            </w:r>
          </w:p>
          <w:p w14:paraId="3FE28607">
            <w:pPr>
              <w:autoSpaceDE w:val="0"/>
              <w:autoSpaceDN w:val="0"/>
              <w:adjustRightInd w:val="0"/>
              <w:spacing w:line="340" w:lineRule="exact"/>
              <w:jc w:val="center"/>
              <w:rPr>
                <w:rFonts w:ascii="宋体" w:hAnsi="宋体" w:cs="宋体"/>
                <w:bCs/>
                <w:color w:val="auto"/>
                <w:sz w:val="22"/>
                <w:szCs w:val="22"/>
                <w:lang w:val="zh-CN"/>
              </w:rPr>
            </w:pPr>
            <w:r>
              <w:rPr>
                <w:rFonts w:hint="eastAsia" w:ascii="宋体" w:hAnsi="宋体" w:cs="宋体"/>
                <w:bCs/>
                <w:color w:val="auto"/>
                <w:sz w:val="22"/>
                <w:szCs w:val="22"/>
                <w:lang w:val="zh-CN"/>
              </w:rPr>
              <w:t>标准</w:t>
            </w:r>
          </w:p>
        </w:tc>
        <w:tc>
          <w:tcPr>
            <w:tcW w:w="1900" w:type="dxa"/>
            <w:tcBorders>
              <w:bottom w:val="single" w:color="auto" w:sz="4" w:space="0"/>
            </w:tcBorders>
            <w:vAlign w:val="center"/>
          </w:tcPr>
          <w:p w14:paraId="194A6FF3">
            <w:pPr>
              <w:autoSpaceDE w:val="0"/>
              <w:autoSpaceDN w:val="0"/>
              <w:adjustRightInd w:val="0"/>
              <w:spacing w:line="340" w:lineRule="exact"/>
              <w:jc w:val="center"/>
              <w:rPr>
                <w:rFonts w:ascii="宋体" w:hAnsi="宋体" w:cs="宋体"/>
                <w:bCs/>
                <w:color w:val="auto"/>
                <w:sz w:val="22"/>
                <w:szCs w:val="22"/>
                <w:lang w:val="zh-CN"/>
              </w:rPr>
            </w:pPr>
            <w:r>
              <w:rPr>
                <w:rFonts w:hint="eastAsia" w:ascii="宋体" w:hAnsi="宋体" w:cs="宋体"/>
                <w:bCs/>
                <w:color w:val="auto"/>
                <w:sz w:val="22"/>
                <w:szCs w:val="22"/>
                <w:lang w:val="zh-CN"/>
              </w:rPr>
              <w:t>营业执照</w:t>
            </w:r>
          </w:p>
        </w:tc>
        <w:tc>
          <w:tcPr>
            <w:tcW w:w="5959" w:type="dxa"/>
            <w:tcBorders>
              <w:bottom w:val="single" w:color="auto" w:sz="4" w:space="0"/>
            </w:tcBorders>
            <w:vAlign w:val="center"/>
          </w:tcPr>
          <w:p w14:paraId="2A5FA97C">
            <w:pPr>
              <w:autoSpaceDE w:val="0"/>
              <w:autoSpaceDN w:val="0"/>
              <w:adjustRightInd w:val="0"/>
              <w:spacing w:line="340" w:lineRule="exact"/>
              <w:rPr>
                <w:rFonts w:ascii="宋体" w:hAnsi="宋体" w:cs="宋体"/>
                <w:bCs/>
                <w:color w:val="auto"/>
                <w:sz w:val="22"/>
                <w:szCs w:val="22"/>
                <w:lang w:val="zh-CN"/>
              </w:rPr>
            </w:pPr>
            <w:r>
              <w:rPr>
                <w:rFonts w:hint="eastAsia" w:ascii="宋体" w:hAnsi="宋体" w:cs="宋体"/>
                <w:bCs/>
                <w:color w:val="auto"/>
                <w:sz w:val="22"/>
                <w:szCs w:val="22"/>
                <w:lang w:val="zh-CN"/>
              </w:rPr>
              <w:t>具备有效的营业执照</w:t>
            </w:r>
            <w:r>
              <w:rPr>
                <w:rFonts w:hint="eastAsia" w:ascii="宋体" w:hAnsi="宋体"/>
                <w:color w:val="auto"/>
                <w:kern w:val="0"/>
                <w:sz w:val="22"/>
                <w:szCs w:val="22"/>
              </w:rPr>
              <w:t>，</w:t>
            </w:r>
            <w:r>
              <w:rPr>
                <w:rFonts w:hint="eastAsia" w:ascii="宋体" w:hAnsi="宋体" w:cs="宋体"/>
                <w:color w:val="auto"/>
                <w:szCs w:val="21"/>
                <w:lang w:eastAsia="zh-CN"/>
              </w:rPr>
              <w:t>响应</w:t>
            </w:r>
            <w:r>
              <w:rPr>
                <w:rFonts w:hint="eastAsia" w:ascii="宋体" w:hAnsi="宋体" w:cs="宋体"/>
                <w:color w:val="auto"/>
                <w:szCs w:val="21"/>
              </w:rPr>
              <w:t>文件内附</w:t>
            </w:r>
            <w:r>
              <w:rPr>
                <w:rFonts w:hint="eastAsia" w:ascii="宋体" w:hAnsi="宋体" w:cs="宋体"/>
                <w:bCs/>
                <w:color w:val="auto"/>
                <w:szCs w:val="21"/>
                <w:lang w:val="zh-CN"/>
              </w:rPr>
              <w:t>营业执照（副本）</w:t>
            </w:r>
            <w:r>
              <w:rPr>
                <w:rFonts w:hint="eastAsia" w:ascii="宋体" w:hAnsi="宋体" w:cs="宋体"/>
                <w:color w:val="auto"/>
                <w:szCs w:val="21"/>
              </w:rPr>
              <w:t>复印件加盖</w:t>
            </w:r>
            <w:r>
              <w:rPr>
                <w:rFonts w:hint="eastAsia" w:ascii="宋体" w:hAnsi="宋体"/>
                <w:color w:val="auto"/>
                <w:szCs w:val="21"/>
                <w:lang w:eastAsia="zh-CN"/>
              </w:rPr>
              <w:t>供应商</w:t>
            </w:r>
            <w:r>
              <w:rPr>
                <w:rFonts w:hint="eastAsia" w:ascii="宋体" w:hAnsi="宋体"/>
                <w:color w:val="auto"/>
                <w:szCs w:val="21"/>
              </w:rPr>
              <w:t>公</w:t>
            </w:r>
            <w:r>
              <w:rPr>
                <w:rFonts w:ascii="宋体" w:hAnsi="宋体"/>
                <w:color w:val="auto"/>
                <w:szCs w:val="21"/>
              </w:rPr>
              <w:t>章</w:t>
            </w:r>
            <w:r>
              <w:rPr>
                <w:rFonts w:hint="eastAsia" w:ascii="宋体" w:hAnsi="宋体"/>
                <w:color w:val="auto"/>
                <w:kern w:val="0"/>
                <w:sz w:val="22"/>
                <w:szCs w:val="22"/>
              </w:rPr>
              <w:t>。</w:t>
            </w:r>
          </w:p>
        </w:tc>
      </w:tr>
      <w:tr w14:paraId="23A9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62" w:type="dxa"/>
            <w:vMerge w:val="continue"/>
            <w:vAlign w:val="center"/>
          </w:tcPr>
          <w:p w14:paraId="1873DBA6">
            <w:pPr>
              <w:autoSpaceDE w:val="0"/>
              <w:autoSpaceDN w:val="0"/>
              <w:adjustRightInd w:val="0"/>
              <w:spacing w:line="340" w:lineRule="exact"/>
              <w:jc w:val="left"/>
              <w:rPr>
                <w:rFonts w:ascii="宋体" w:hAnsi="宋体" w:cs="宋体"/>
                <w:bCs/>
                <w:color w:val="auto"/>
                <w:sz w:val="24"/>
                <w:lang w:val="zh-CN"/>
              </w:rPr>
            </w:pPr>
          </w:p>
        </w:tc>
        <w:tc>
          <w:tcPr>
            <w:tcW w:w="1219" w:type="dxa"/>
            <w:vMerge w:val="continue"/>
            <w:vAlign w:val="center"/>
          </w:tcPr>
          <w:p w14:paraId="3547FB27">
            <w:pPr>
              <w:autoSpaceDE w:val="0"/>
              <w:autoSpaceDN w:val="0"/>
              <w:adjustRightInd w:val="0"/>
              <w:spacing w:line="340" w:lineRule="exact"/>
              <w:jc w:val="center"/>
              <w:rPr>
                <w:rFonts w:ascii="宋体" w:hAnsi="宋体" w:cs="宋体"/>
                <w:bCs/>
                <w:color w:val="auto"/>
                <w:sz w:val="22"/>
                <w:szCs w:val="22"/>
                <w:lang w:val="zh-CN"/>
              </w:rPr>
            </w:pPr>
          </w:p>
        </w:tc>
        <w:tc>
          <w:tcPr>
            <w:tcW w:w="1900" w:type="dxa"/>
            <w:tcBorders>
              <w:bottom w:val="single" w:color="auto" w:sz="4" w:space="0"/>
            </w:tcBorders>
          </w:tcPr>
          <w:p w14:paraId="6014C6F0">
            <w:pPr>
              <w:spacing w:line="258" w:lineRule="auto"/>
              <w:rPr>
                <w:rFonts w:ascii="Arial"/>
                <w:color w:val="auto"/>
              </w:rPr>
            </w:pPr>
          </w:p>
          <w:p w14:paraId="273042E8">
            <w:pPr>
              <w:spacing w:line="259" w:lineRule="auto"/>
              <w:rPr>
                <w:rFonts w:ascii="Arial"/>
                <w:color w:val="auto"/>
              </w:rPr>
            </w:pPr>
          </w:p>
          <w:p w14:paraId="5CB68542">
            <w:pPr>
              <w:spacing w:line="259" w:lineRule="auto"/>
              <w:rPr>
                <w:rFonts w:ascii="Arial"/>
                <w:color w:val="auto"/>
              </w:rPr>
            </w:pPr>
          </w:p>
          <w:p w14:paraId="722B4B93">
            <w:pPr>
              <w:spacing w:line="259" w:lineRule="auto"/>
              <w:rPr>
                <w:rFonts w:ascii="Arial"/>
                <w:color w:val="auto"/>
              </w:rPr>
            </w:pPr>
          </w:p>
          <w:p w14:paraId="0CE6A2BD">
            <w:pPr>
              <w:spacing w:line="259" w:lineRule="auto"/>
              <w:rPr>
                <w:rFonts w:ascii="Arial"/>
                <w:color w:val="auto"/>
              </w:rPr>
            </w:pPr>
          </w:p>
          <w:p w14:paraId="7E1B867D">
            <w:pPr>
              <w:pStyle w:val="73"/>
              <w:spacing w:before="69" w:line="221" w:lineRule="auto"/>
              <w:ind w:left="653"/>
              <w:rPr>
                <w:bCs/>
                <w:color w:val="auto"/>
                <w:sz w:val="22"/>
                <w:szCs w:val="22"/>
                <w:lang w:val="zh-CN"/>
              </w:rPr>
            </w:pPr>
            <w:r>
              <w:rPr>
                <w:color w:val="auto"/>
                <w:spacing w:val="-2"/>
              </w:rPr>
              <w:t>其他要求</w:t>
            </w:r>
          </w:p>
        </w:tc>
        <w:tc>
          <w:tcPr>
            <w:tcW w:w="5959" w:type="dxa"/>
            <w:tcBorders>
              <w:bottom w:val="single" w:color="auto" w:sz="4" w:space="0"/>
            </w:tcBorders>
          </w:tcPr>
          <w:p w14:paraId="6FBF8440">
            <w:pPr>
              <w:pStyle w:val="73"/>
              <w:spacing w:before="202" w:line="269" w:lineRule="auto"/>
              <w:ind w:left="112" w:right="91" w:firstLine="4"/>
              <w:rPr>
                <w:color w:val="auto"/>
                <w:lang w:eastAsia="zh-CN"/>
              </w:rPr>
            </w:pPr>
            <w:r>
              <w:rPr>
                <w:color w:val="auto"/>
                <w:spacing w:val="-6"/>
                <w:lang w:eastAsia="zh-CN"/>
              </w:rPr>
              <w:t>（1）投标人有近六个月内（任意一个月）</w:t>
            </w:r>
            <w:r>
              <w:rPr>
                <w:color w:val="auto"/>
                <w:spacing w:val="-30"/>
                <w:lang w:eastAsia="zh-CN"/>
              </w:rPr>
              <w:t xml:space="preserve"> </w:t>
            </w:r>
            <w:r>
              <w:rPr>
                <w:color w:val="auto"/>
                <w:spacing w:val="-6"/>
                <w:lang w:eastAsia="zh-CN"/>
              </w:rPr>
              <w:t>依法缴</w:t>
            </w:r>
            <w:r>
              <w:rPr>
                <w:color w:val="auto"/>
                <w:spacing w:val="2"/>
                <w:lang w:eastAsia="zh-CN"/>
              </w:rPr>
              <w:t>纳税收</w:t>
            </w:r>
            <w:r>
              <w:rPr>
                <w:rFonts w:hint="eastAsia"/>
                <w:color w:val="auto"/>
                <w:spacing w:val="2"/>
                <w:lang w:eastAsia="zh-CN"/>
              </w:rPr>
              <w:t>和社会保障资金</w:t>
            </w:r>
            <w:r>
              <w:rPr>
                <w:color w:val="auto"/>
                <w:spacing w:val="2"/>
                <w:lang w:eastAsia="zh-CN"/>
              </w:rPr>
              <w:t>的相关证明材料的加盖公章的扫描件</w:t>
            </w:r>
            <w:r>
              <w:rPr>
                <w:color w:val="auto"/>
                <w:spacing w:val="16"/>
                <w:lang w:eastAsia="zh-CN"/>
              </w:rPr>
              <w:t>，</w:t>
            </w:r>
            <w:r>
              <w:rPr>
                <w:color w:val="auto"/>
                <w:spacing w:val="1"/>
                <w:lang w:eastAsia="zh-CN"/>
              </w:rPr>
              <w:t>依法免税的投标人须提供相应文件</w:t>
            </w:r>
            <w:r>
              <w:rPr>
                <w:color w:val="auto"/>
                <w:spacing w:val="2"/>
                <w:lang w:eastAsia="zh-CN"/>
              </w:rPr>
              <w:t>加盖公章的扫描件证明其依</w:t>
            </w:r>
            <w:r>
              <w:rPr>
                <w:color w:val="auto"/>
                <w:spacing w:val="-8"/>
                <w:lang w:eastAsia="zh-CN"/>
              </w:rPr>
              <w:t>法免税。</w:t>
            </w:r>
          </w:p>
          <w:p w14:paraId="20B201D3">
            <w:pPr>
              <w:pStyle w:val="73"/>
              <w:spacing w:before="64" w:line="276" w:lineRule="auto"/>
              <w:ind w:left="111" w:right="92" w:firstLine="5"/>
              <w:rPr>
                <w:bCs/>
                <w:color w:val="auto"/>
                <w:sz w:val="22"/>
                <w:szCs w:val="22"/>
                <w:lang w:val="zh-CN" w:eastAsia="zh-CN"/>
              </w:rPr>
            </w:pPr>
            <w:r>
              <w:rPr>
                <w:color w:val="auto"/>
                <w:spacing w:val="-3"/>
                <w:lang w:eastAsia="zh-CN"/>
              </w:rPr>
              <w:t>（2）具有投资参股关系的关联企业，或具有直接</w:t>
            </w:r>
            <w:r>
              <w:rPr>
                <w:color w:val="auto"/>
                <w:spacing w:val="2"/>
                <w:lang w:eastAsia="zh-CN"/>
              </w:rPr>
              <w:t>管理和被管理关系的母子公司，或同一母公司的子公司，或法定代表人为同一人的两个及两个以上法人不得同时对同一标段投标，否则均按废标处理。与招标人存在利害关系可能影响投标公正</w:t>
            </w:r>
            <w:r>
              <w:rPr>
                <w:color w:val="auto"/>
                <w:spacing w:val="11"/>
                <w:lang w:eastAsia="zh-CN"/>
              </w:rPr>
              <w:t xml:space="preserve"> </w:t>
            </w:r>
            <w:r>
              <w:rPr>
                <w:color w:val="auto"/>
                <w:spacing w:val="1"/>
                <w:lang w:eastAsia="zh-CN"/>
              </w:rPr>
              <w:t>性的法人、其他组织或者个人，不得参加投标。</w:t>
            </w:r>
            <w:r>
              <w:rPr>
                <w:color w:val="auto"/>
                <w:spacing w:val="2"/>
                <w:lang w:eastAsia="zh-CN"/>
              </w:rPr>
              <w:t xml:space="preserve"> 单位负责人为同一人或者存在控股、管理关系的</w:t>
            </w:r>
            <w:r>
              <w:rPr>
                <w:color w:val="auto"/>
                <w:spacing w:val="11"/>
                <w:lang w:eastAsia="zh-CN"/>
              </w:rPr>
              <w:t xml:space="preserve"> </w:t>
            </w:r>
            <w:r>
              <w:rPr>
                <w:color w:val="auto"/>
                <w:spacing w:val="2"/>
                <w:lang w:eastAsia="zh-CN"/>
              </w:rPr>
              <w:t>不同单位，不得参加同一标段投标或者未划分标段的同一项目投标。</w:t>
            </w:r>
            <w:r>
              <w:rPr>
                <w:rFonts w:hint="eastAsia" w:ascii="宋体" w:hAnsi="宋体" w:cs="宋体-18030"/>
                <w:b/>
                <w:bCs/>
                <w:color w:val="auto"/>
                <w:kern w:val="0"/>
                <w:sz w:val="21"/>
                <w:szCs w:val="21"/>
              </w:rPr>
              <w:t>响应文件</w:t>
            </w:r>
            <w:r>
              <w:rPr>
                <w:rFonts w:hint="eastAsia" w:ascii="宋体" w:hAnsi="宋体" w:cs="宋体"/>
                <w:b/>
                <w:bCs/>
                <w:color w:val="auto"/>
                <w:sz w:val="21"/>
                <w:szCs w:val="21"/>
              </w:rPr>
              <w:t>内提供加盖</w:t>
            </w:r>
            <w:r>
              <w:rPr>
                <w:rFonts w:hint="eastAsia" w:ascii="宋体" w:hAnsi="宋体" w:cs="宋体"/>
                <w:b/>
                <w:color w:val="auto"/>
                <w:sz w:val="21"/>
                <w:szCs w:val="21"/>
              </w:rPr>
              <w:t>供应商</w:t>
            </w:r>
            <w:r>
              <w:rPr>
                <w:rFonts w:hint="eastAsia" w:ascii="宋体" w:hAnsi="宋体" w:cs="宋体"/>
                <w:b/>
                <w:bCs/>
                <w:color w:val="auto"/>
                <w:sz w:val="21"/>
                <w:szCs w:val="21"/>
              </w:rPr>
              <w:t>公章的承诺书</w:t>
            </w:r>
          </w:p>
        </w:tc>
      </w:tr>
      <w:tr w14:paraId="25AF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862" w:type="dxa"/>
            <w:vMerge w:val="continue"/>
            <w:vAlign w:val="center"/>
          </w:tcPr>
          <w:p w14:paraId="46FD4C5C">
            <w:pPr>
              <w:autoSpaceDE w:val="0"/>
              <w:autoSpaceDN w:val="0"/>
              <w:adjustRightInd w:val="0"/>
              <w:spacing w:line="340" w:lineRule="exact"/>
              <w:jc w:val="center"/>
              <w:rPr>
                <w:rFonts w:ascii="宋体" w:hAnsi="宋体" w:cs="宋体"/>
                <w:bCs/>
                <w:color w:val="auto"/>
                <w:sz w:val="24"/>
                <w:lang w:val="zh-CN"/>
              </w:rPr>
            </w:pPr>
          </w:p>
        </w:tc>
        <w:tc>
          <w:tcPr>
            <w:tcW w:w="1219" w:type="dxa"/>
            <w:vMerge w:val="continue"/>
            <w:vAlign w:val="center"/>
          </w:tcPr>
          <w:p w14:paraId="21C274CE">
            <w:pPr>
              <w:autoSpaceDE w:val="0"/>
              <w:autoSpaceDN w:val="0"/>
              <w:adjustRightInd w:val="0"/>
              <w:spacing w:line="340" w:lineRule="exact"/>
              <w:jc w:val="center"/>
              <w:rPr>
                <w:rFonts w:ascii="宋体" w:hAnsi="宋体" w:cs="宋体"/>
                <w:bCs/>
                <w:color w:val="auto"/>
                <w:sz w:val="22"/>
                <w:szCs w:val="22"/>
                <w:lang w:val="zh-CN"/>
              </w:rPr>
            </w:pPr>
          </w:p>
        </w:tc>
        <w:tc>
          <w:tcPr>
            <w:tcW w:w="1900" w:type="dxa"/>
            <w:tcBorders>
              <w:bottom w:val="single" w:color="auto" w:sz="4" w:space="0"/>
            </w:tcBorders>
            <w:vAlign w:val="center"/>
          </w:tcPr>
          <w:p w14:paraId="1B134920">
            <w:pPr>
              <w:autoSpaceDE w:val="0"/>
              <w:autoSpaceDN w:val="0"/>
              <w:adjustRightInd w:val="0"/>
              <w:spacing w:line="340" w:lineRule="exact"/>
              <w:jc w:val="center"/>
              <w:rPr>
                <w:rFonts w:ascii="宋体" w:hAnsi="宋体" w:cs="宋体"/>
                <w:bCs/>
                <w:color w:val="auto"/>
                <w:sz w:val="22"/>
                <w:szCs w:val="22"/>
                <w:lang w:val="zh-CN"/>
              </w:rPr>
            </w:pPr>
            <w:r>
              <w:rPr>
                <w:rFonts w:hint="eastAsia" w:ascii="宋体" w:hAnsi="宋体" w:cs="宋体"/>
                <w:bCs/>
                <w:color w:val="auto"/>
                <w:sz w:val="22"/>
                <w:szCs w:val="22"/>
              </w:rPr>
              <w:t>财务状况</w:t>
            </w:r>
          </w:p>
        </w:tc>
        <w:tc>
          <w:tcPr>
            <w:tcW w:w="5959" w:type="dxa"/>
            <w:tcBorders>
              <w:bottom w:val="single" w:color="auto" w:sz="4" w:space="0"/>
            </w:tcBorders>
            <w:vAlign w:val="center"/>
          </w:tcPr>
          <w:p w14:paraId="202921D7">
            <w:pPr>
              <w:autoSpaceDE w:val="0"/>
              <w:autoSpaceDN w:val="0"/>
              <w:adjustRightInd w:val="0"/>
              <w:spacing w:line="340" w:lineRule="exact"/>
              <w:rPr>
                <w:rFonts w:ascii="宋体" w:hAnsi="宋体" w:cs="宋体"/>
                <w:bCs/>
                <w:color w:val="auto"/>
                <w:sz w:val="22"/>
                <w:szCs w:val="22"/>
                <w:lang w:val="zh-CN"/>
              </w:rPr>
            </w:pPr>
            <w:r>
              <w:rPr>
                <w:rFonts w:hint="eastAsia" w:cs="宋体" w:asciiTheme="minorEastAsia" w:hAnsiTheme="minorEastAsia" w:eastAsiaTheme="minorEastAsia"/>
                <w:color w:val="auto"/>
                <w:kern w:val="0"/>
                <w:szCs w:val="21"/>
              </w:rPr>
              <w:t>202</w:t>
            </w: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年度财务审计报告或财务报表（含资产负债表、现金流量表、利润表）（若供应商为202</w:t>
            </w:r>
            <w:r>
              <w:rPr>
                <w:rFonts w:hint="eastAsia" w:cs="宋体" w:asciiTheme="minorEastAsia" w:hAnsiTheme="minorEastAsia" w:eastAsiaTheme="minorEastAsia"/>
                <w:color w:val="auto"/>
                <w:kern w:val="0"/>
                <w:szCs w:val="21"/>
                <w:lang w:val="en-US" w:eastAsia="zh-CN"/>
              </w:rPr>
              <w:t>6</w:t>
            </w:r>
            <w:r>
              <w:rPr>
                <w:rFonts w:hint="eastAsia" w:cs="宋体" w:asciiTheme="minorEastAsia" w:hAnsiTheme="minorEastAsia" w:eastAsiaTheme="minorEastAsia"/>
                <w:color w:val="auto"/>
                <w:kern w:val="0"/>
                <w:szCs w:val="21"/>
              </w:rPr>
              <w:t>年以后注册成立公司的，须提供银行资信证明）</w:t>
            </w:r>
            <w:r>
              <w:rPr>
                <w:rFonts w:hint="eastAsia" w:ascii="宋体" w:hAnsi="宋体" w:cs="宋体"/>
                <w:bCs/>
                <w:color w:val="auto"/>
                <w:sz w:val="22"/>
                <w:szCs w:val="22"/>
                <w:lang w:val="zh-CN"/>
              </w:rPr>
              <w:t>，响应文件内附复印件并加盖供应商单位公章。</w:t>
            </w:r>
          </w:p>
        </w:tc>
      </w:tr>
      <w:tr w14:paraId="5630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862" w:type="dxa"/>
            <w:vMerge w:val="continue"/>
            <w:vAlign w:val="center"/>
          </w:tcPr>
          <w:p w14:paraId="6B7CFBA3">
            <w:pPr>
              <w:autoSpaceDE w:val="0"/>
              <w:autoSpaceDN w:val="0"/>
              <w:adjustRightInd w:val="0"/>
              <w:spacing w:line="340" w:lineRule="exact"/>
              <w:jc w:val="center"/>
              <w:rPr>
                <w:rFonts w:ascii="宋体" w:hAnsi="宋体" w:cs="宋体"/>
                <w:bCs/>
                <w:color w:val="auto"/>
                <w:sz w:val="24"/>
                <w:lang w:val="zh-CN"/>
              </w:rPr>
            </w:pPr>
          </w:p>
        </w:tc>
        <w:tc>
          <w:tcPr>
            <w:tcW w:w="1219" w:type="dxa"/>
            <w:vMerge w:val="continue"/>
            <w:vAlign w:val="center"/>
          </w:tcPr>
          <w:p w14:paraId="161E50F1">
            <w:pPr>
              <w:autoSpaceDE w:val="0"/>
              <w:autoSpaceDN w:val="0"/>
              <w:adjustRightInd w:val="0"/>
              <w:spacing w:line="340" w:lineRule="exact"/>
              <w:jc w:val="center"/>
              <w:rPr>
                <w:rFonts w:ascii="宋体" w:hAnsi="宋体" w:cs="宋体"/>
                <w:bCs/>
                <w:color w:val="auto"/>
                <w:sz w:val="22"/>
                <w:szCs w:val="22"/>
                <w:lang w:val="zh-CN"/>
              </w:rPr>
            </w:pPr>
          </w:p>
        </w:tc>
        <w:tc>
          <w:tcPr>
            <w:tcW w:w="1900" w:type="dxa"/>
            <w:tcBorders>
              <w:bottom w:val="single" w:color="auto" w:sz="4" w:space="0"/>
            </w:tcBorders>
            <w:shd w:val="clear" w:color="auto" w:fill="auto"/>
            <w:vAlign w:val="center"/>
          </w:tcPr>
          <w:p w14:paraId="7F14AAF9">
            <w:pPr>
              <w:pStyle w:val="78"/>
              <w:overflowPunct/>
              <w:bidi w:val="0"/>
              <w:spacing w:line="240" w:lineRule="auto"/>
              <w:jc w:val="center"/>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落实政府采购政策需满足的资格要求</w:t>
            </w:r>
          </w:p>
        </w:tc>
        <w:tc>
          <w:tcPr>
            <w:tcW w:w="5959" w:type="dxa"/>
            <w:tcBorders>
              <w:bottom w:val="single" w:color="auto" w:sz="4" w:space="0"/>
            </w:tcBorders>
            <w:shd w:val="clear" w:color="auto" w:fill="auto"/>
            <w:vAlign w:val="center"/>
          </w:tcPr>
          <w:p w14:paraId="1AD92F37">
            <w:pPr>
              <w:overflowPunct/>
              <w:autoSpaceDE w:val="0"/>
              <w:autoSpaceDN w:val="0"/>
              <w:bidi w:val="0"/>
              <w:adjustRightInd w:val="0"/>
              <w:spacing w:line="240" w:lineRule="auto"/>
              <w:jc w:val="both"/>
              <w:outlineLvl w:val="9"/>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b w:val="0"/>
                <w:bCs w:val="0"/>
                <w:color w:val="auto"/>
                <w:highlight w:val="none"/>
                <w:lang w:val="en-US" w:eastAsia="zh-CN"/>
              </w:rPr>
              <w:t>本项目专门面向中小企业采购，供应商须提供《中小企业声明函》，本项目对应的中小企业划分标准所属行业为“租赁和商务服务业”。</w:t>
            </w:r>
          </w:p>
        </w:tc>
      </w:tr>
      <w:tr w14:paraId="760F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62" w:type="dxa"/>
            <w:vMerge w:val="continue"/>
            <w:vAlign w:val="center"/>
          </w:tcPr>
          <w:p w14:paraId="155AF037">
            <w:pPr>
              <w:autoSpaceDE w:val="0"/>
              <w:autoSpaceDN w:val="0"/>
              <w:adjustRightInd w:val="0"/>
              <w:spacing w:line="340" w:lineRule="exact"/>
              <w:jc w:val="center"/>
              <w:rPr>
                <w:rFonts w:ascii="宋体" w:hAnsi="宋体" w:cs="宋体"/>
                <w:bCs/>
                <w:color w:val="auto"/>
                <w:sz w:val="24"/>
                <w:lang w:val="zh-CN"/>
              </w:rPr>
            </w:pPr>
          </w:p>
        </w:tc>
        <w:tc>
          <w:tcPr>
            <w:tcW w:w="1219" w:type="dxa"/>
            <w:vMerge w:val="continue"/>
            <w:vAlign w:val="center"/>
          </w:tcPr>
          <w:p w14:paraId="63ACDCCF">
            <w:pPr>
              <w:autoSpaceDE w:val="0"/>
              <w:autoSpaceDN w:val="0"/>
              <w:adjustRightInd w:val="0"/>
              <w:spacing w:line="340" w:lineRule="exact"/>
              <w:jc w:val="center"/>
              <w:rPr>
                <w:rFonts w:ascii="宋体" w:hAnsi="宋体" w:cs="宋体"/>
                <w:bCs/>
                <w:color w:val="auto"/>
                <w:sz w:val="22"/>
                <w:szCs w:val="22"/>
                <w:lang w:val="zh-CN"/>
              </w:rPr>
            </w:pPr>
          </w:p>
        </w:tc>
        <w:tc>
          <w:tcPr>
            <w:tcW w:w="1900" w:type="dxa"/>
            <w:tcBorders>
              <w:bottom w:val="single" w:color="auto" w:sz="4" w:space="0"/>
            </w:tcBorders>
            <w:vAlign w:val="center"/>
          </w:tcPr>
          <w:p w14:paraId="2C71A2C2">
            <w:pPr>
              <w:widowControl w:val="0"/>
              <w:snapToGrid w:val="0"/>
              <w:jc w:val="center"/>
              <w:rPr>
                <w:rFonts w:ascii="宋体" w:hAnsi="宋体" w:cs="宋体"/>
                <w:bCs/>
                <w:color w:val="auto"/>
                <w:sz w:val="21"/>
                <w:szCs w:val="21"/>
                <w:lang w:val="zh-CN"/>
              </w:rPr>
            </w:pPr>
            <w:r>
              <w:rPr>
                <w:rFonts w:hint="eastAsia" w:ascii="宋体" w:hAnsi="宋体" w:cs="宋体"/>
                <w:color w:val="auto"/>
                <w:sz w:val="21"/>
                <w:szCs w:val="21"/>
              </w:rPr>
              <w:t>信誉要求</w:t>
            </w:r>
          </w:p>
        </w:tc>
        <w:tc>
          <w:tcPr>
            <w:tcW w:w="5959" w:type="dxa"/>
            <w:tcBorders>
              <w:bottom w:val="single" w:color="auto" w:sz="4" w:space="0"/>
            </w:tcBorders>
            <w:vAlign w:val="center"/>
          </w:tcPr>
          <w:p w14:paraId="03EBB2B3">
            <w:pPr>
              <w:pStyle w:val="19"/>
              <w:jc w:val="left"/>
              <w:rPr>
                <w:rFonts w:hAnsi="宋体"/>
                <w:color w:val="auto"/>
                <w:sz w:val="21"/>
                <w:szCs w:val="21"/>
                <w:lang w:val="zh-CN"/>
              </w:rPr>
            </w:pPr>
            <w:r>
              <w:rPr>
                <w:rFonts w:hint="eastAsia" w:hAnsi="宋体"/>
                <w:color w:val="auto"/>
                <w:sz w:val="21"/>
                <w:szCs w:val="21"/>
                <w:lang w:val="zh-CN"/>
              </w:rPr>
              <w:t>（</w:t>
            </w:r>
            <w:r>
              <w:rPr>
                <w:rFonts w:hint="eastAsia" w:hAnsi="宋体"/>
                <w:color w:val="auto"/>
                <w:sz w:val="21"/>
                <w:szCs w:val="21"/>
              </w:rPr>
              <w:t>1）</w:t>
            </w:r>
            <w:r>
              <w:rPr>
                <w:rFonts w:hint="eastAsia" w:hAnsi="宋体"/>
                <w:color w:val="auto"/>
                <w:sz w:val="21"/>
                <w:szCs w:val="21"/>
                <w:lang w:val="zh-CN"/>
              </w:rPr>
              <w:t>供应商参加本次采购活动前三年内，在经营活动中没有不良经营行为、重大安全事故及质量问题、因供应商违约或不恰当履约引起的合同争议纠纷及仲裁和诉讼等重大违法记录（加盖单位公章的承诺书）；</w:t>
            </w:r>
          </w:p>
          <w:p w14:paraId="0A973786">
            <w:pPr>
              <w:pStyle w:val="19"/>
              <w:jc w:val="left"/>
              <w:rPr>
                <w:rFonts w:hAnsi="宋体"/>
                <w:color w:val="auto"/>
                <w:sz w:val="21"/>
                <w:szCs w:val="21"/>
                <w:lang w:val="zh-CN"/>
              </w:rPr>
            </w:pPr>
            <w:r>
              <w:rPr>
                <w:rFonts w:hint="eastAsia" w:hAnsi="宋体"/>
                <w:color w:val="auto"/>
                <w:sz w:val="21"/>
                <w:szCs w:val="21"/>
                <w:lang w:val="zh-CN"/>
              </w:rPr>
              <w:t>（</w:t>
            </w:r>
            <w:r>
              <w:rPr>
                <w:rFonts w:hint="eastAsia" w:hAnsi="宋体"/>
                <w:color w:val="auto"/>
                <w:sz w:val="21"/>
                <w:szCs w:val="21"/>
              </w:rPr>
              <w:t>2</w:t>
            </w:r>
            <w:r>
              <w:rPr>
                <w:rFonts w:hint="eastAsia" w:hAnsi="宋体"/>
                <w:color w:val="auto"/>
                <w:sz w:val="21"/>
                <w:szCs w:val="21"/>
                <w:lang w:val="zh-CN"/>
              </w:rPr>
              <w:t>）未被工商行政管理机关在全国企业信用信息公示系统（http://www.gsxt.gov.cn/）中列入严重违法失信企业名单（须提供网络截图）；</w:t>
            </w:r>
          </w:p>
          <w:p w14:paraId="350B1386">
            <w:pPr>
              <w:pStyle w:val="19"/>
              <w:jc w:val="left"/>
              <w:rPr>
                <w:rFonts w:hAnsi="宋体"/>
                <w:color w:val="auto"/>
                <w:sz w:val="21"/>
                <w:szCs w:val="21"/>
                <w:lang w:val="zh-CN"/>
              </w:rPr>
            </w:pPr>
            <w:r>
              <w:rPr>
                <w:rFonts w:hint="eastAsia" w:hAnsi="宋体"/>
                <w:color w:val="auto"/>
                <w:sz w:val="21"/>
                <w:szCs w:val="21"/>
                <w:lang w:val="zh-CN"/>
              </w:rPr>
              <w:t>（</w:t>
            </w:r>
            <w:r>
              <w:rPr>
                <w:rFonts w:hint="eastAsia" w:hAnsi="宋体"/>
                <w:color w:val="auto"/>
                <w:sz w:val="21"/>
                <w:szCs w:val="21"/>
              </w:rPr>
              <w:t>3</w:t>
            </w:r>
            <w:r>
              <w:rPr>
                <w:rFonts w:hint="eastAsia" w:hAnsi="宋体"/>
                <w:color w:val="auto"/>
                <w:sz w:val="21"/>
                <w:szCs w:val="21"/>
                <w:lang w:val="zh-CN"/>
              </w:rPr>
              <w:t>）必须未被列入“信用中国” 网站（www.creditchina.gov.cn）、中国政府采购网（www.ccgp.gov.cn）等渠道信用记录失信被执行人、重大税收违法案件当事人名单、政府采购严重违法失信行为记录名单（须提供网络截图）；</w:t>
            </w:r>
          </w:p>
          <w:p w14:paraId="38788AEF">
            <w:pPr>
              <w:widowControl w:val="0"/>
              <w:rPr>
                <w:rFonts w:ascii="宋体" w:hAnsi="宋体" w:cs="宋体"/>
                <w:bCs/>
                <w:color w:val="auto"/>
                <w:sz w:val="21"/>
                <w:szCs w:val="21"/>
                <w:lang w:val="zh-CN"/>
              </w:rPr>
            </w:pPr>
            <w:r>
              <w:rPr>
                <w:rFonts w:hint="eastAsia" w:ascii="宋体" w:hAnsi="宋体" w:cs="宋体"/>
                <w:color w:val="auto"/>
                <w:sz w:val="21"/>
                <w:szCs w:val="21"/>
                <w:lang w:val="zh-CN"/>
              </w:rPr>
              <w:t>（</w:t>
            </w:r>
            <w:r>
              <w:rPr>
                <w:rFonts w:hint="eastAsia" w:ascii="宋体" w:hAnsi="宋体" w:cs="宋体"/>
                <w:color w:val="auto"/>
                <w:sz w:val="21"/>
                <w:szCs w:val="21"/>
              </w:rPr>
              <w:t>4</w:t>
            </w:r>
            <w:r>
              <w:rPr>
                <w:rFonts w:hint="eastAsia" w:ascii="宋体" w:hAnsi="宋体" w:cs="宋体"/>
                <w:color w:val="auto"/>
                <w:sz w:val="21"/>
                <w:szCs w:val="21"/>
                <w:lang w:val="zh-CN"/>
              </w:rPr>
              <w:t>）拒绝列入政府取消投标资格记录期间的企业或个人参加本次</w:t>
            </w:r>
            <w:r>
              <w:rPr>
                <w:rFonts w:hint="eastAsia" w:ascii="宋体" w:hAnsi="宋体" w:cs="宋体"/>
                <w:color w:val="auto"/>
                <w:sz w:val="21"/>
                <w:szCs w:val="21"/>
                <w:lang w:val="en-US" w:eastAsia="zh-CN"/>
              </w:rPr>
              <w:t>磋商</w:t>
            </w:r>
            <w:r>
              <w:rPr>
                <w:rFonts w:hint="eastAsia" w:ascii="宋体" w:hAnsi="宋体" w:cs="宋体"/>
                <w:color w:val="auto"/>
                <w:sz w:val="21"/>
                <w:szCs w:val="21"/>
                <w:lang w:val="zh-CN"/>
              </w:rPr>
              <w:t>（加盖单位公章的承诺书）。</w:t>
            </w:r>
          </w:p>
        </w:tc>
      </w:tr>
      <w:tr w14:paraId="4075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62" w:type="dxa"/>
            <w:vMerge w:val="restart"/>
            <w:vAlign w:val="center"/>
          </w:tcPr>
          <w:p w14:paraId="3DED7165">
            <w:pPr>
              <w:autoSpaceDE w:val="0"/>
              <w:autoSpaceDN w:val="0"/>
              <w:adjustRightInd w:val="0"/>
              <w:spacing w:line="340" w:lineRule="exact"/>
              <w:rPr>
                <w:rFonts w:hint="eastAsia" w:ascii="宋体" w:hAnsi="宋体" w:eastAsia="宋体" w:cs="宋体"/>
                <w:bCs/>
                <w:color w:val="auto"/>
                <w:sz w:val="24"/>
                <w:lang w:eastAsia="zh-CN"/>
              </w:rPr>
            </w:pPr>
            <w:r>
              <w:rPr>
                <w:rFonts w:hint="eastAsia" w:ascii="宋体" w:hAnsi="宋体" w:cs="宋体"/>
                <w:bCs/>
                <w:color w:val="auto"/>
                <w:sz w:val="24"/>
              </w:rPr>
              <w:t>1.1.</w:t>
            </w:r>
            <w:r>
              <w:rPr>
                <w:rFonts w:hint="eastAsia" w:ascii="宋体" w:hAnsi="宋体" w:cs="宋体"/>
                <w:bCs/>
                <w:color w:val="auto"/>
                <w:sz w:val="24"/>
                <w:lang w:val="en-US" w:eastAsia="zh-CN"/>
              </w:rPr>
              <w:t>2</w:t>
            </w:r>
          </w:p>
          <w:p w14:paraId="6C526A47">
            <w:pPr>
              <w:autoSpaceDE w:val="0"/>
              <w:autoSpaceDN w:val="0"/>
              <w:adjustRightInd w:val="0"/>
              <w:spacing w:line="340" w:lineRule="exact"/>
              <w:rPr>
                <w:rFonts w:hint="eastAsia" w:ascii="宋体" w:hAnsi="宋体" w:cs="宋体"/>
                <w:bCs/>
                <w:color w:val="auto"/>
                <w:sz w:val="24"/>
              </w:rPr>
            </w:pPr>
          </w:p>
          <w:p w14:paraId="5767C437">
            <w:pPr>
              <w:pStyle w:val="10"/>
              <w:rPr>
                <w:rFonts w:hint="eastAsia"/>
                <w:color w:val="auto"/>
              </w:rPr>
            </w:pPr>
          </w:p>
        </w:tc>
        <w:tc>
          <w:tcPr>
            <w:tcW w:w="1219" w:type="dxa"/>
            <w:vMerge w:val="restart"/>
            <w:vAlign w:val="center"/>
          </w:tcPr>
          <w:p w14:paraId="034EC509">
            <w:pPr>
              <w:overflowPunct/>
              <w:bidi w:val="0"/>
              <w:jc w:val="center"/>
              <w:outlineLvl w:val="9"/>
              <w:rPr>
                <w:rFonts w:ascii="宋体" w:hAnsi="宋体"/>
                <w:color w:val="auto"/>
                <w:szCs w:val="21"/>
                <w:highlight w:val="none"/>
              </w:rPr>
            </w:pPr>
            <w:r>
              <w:rPr>
                <w:rFonts w:hint="eastAsia" w:ascii="宋体" w:hAnsi="宋体"/>
                <w:color w:val="auto"/>
                <w:szCs w:val="21"/>
                <w:highlight w:val="none"/>
                <w:lang w:val="en-US" w:eastAsia="zh-CN"/>
              </w:rPr>
              <w:t>符合</w:t>
            </w:r>
            <w:r>
              <w:rPr>
                <w:rFonts w:hint="eastAsia" w:ascii="宋体" w:hAnsi="宋体"/>
                <w:color w:val="auto"/>
                <w:szCs w:val="21"/>
                <w:highlight w:val="none"/>
              </w:rPr>
              <w:t>性</w:t>
            </w:r>
          </w:p>
          <w:p w14:paraId="15C3E7E4">
            <w:pPr>
              <w:autoSpaceDE w:val="0"/>
              <w:autoSpaceDN w:val="0"/>
              <w:adjustRightInd w:val="0"/>
              <w:spacing w:line="340" w:lineRule="exact"/>
              <w:jc w:val="left"/>
              <w:rPr>
                <w:rFonts w:ascii="宋体" w:hAnsi="宋体" w:cs="宋体"/>
                <w:bCs/>
                <w:color w:val="auto"/>
                <w:sz w:val="22"/>
                <w:szCs w:val="22"/>
                <w:lang w:val="zh-CN"/>
              </w:rPr>
            </w:pPr>
            <w:r>
              <w:rPr>
                <w:rFonts w:hint="eastAsia" w:ascii="宋体" w:hAnsi="宋体"/>
                <w:color w:val="auto"/>
                <w:szCs w:val="21"/>
                <w:highlight w:val="none"/>
              </w:rPr>
              <w:t>评审标准</w:t>
            </w:r>
          </w:p>
        </w:tc>
        <w:tc>
          <w:tcPr>
            <w:tcW w:w="1900" w:type="dxa"/>
            <w:tcBorders>
              <w:bottom w:val="single" w:color="auto" w:sz="4" w:space="0"/>
            </w:tcBorders>
            <w:vAlign w:val="center"/>
          </w:tcPr>
          <w:p w14:paraId="69345A99">
            <w:pPr>
              <w:overflowPunct/>
              <w:bidi w:val="0"/>
              <w:jc w:val="center"/>
              <w:outlineLvl w:val="9"/>
              <w:rPr>
                <w:rFonts w:hint="eastAsia" w:ascii="宋体" w:hAnsi="宋体" w:cs="宋体"/>
                <w:color w:val="auto"/>
                <w:sz w:val="21"/>
                <w:szCs w:val="21"/>
              </w:rPr>
            </w:pPr>
            <w:r>
              <w:rPr>
                <w:rFonts w:hint="eastAsia" w:ascii="宋体" w:hAnsi="宋体"/>
                <w:color w:val="auto"/>
                <w:szCs w:val="21"/>
                <w:highlight w:val="none"/>
                <w:lang w:eastAsia="zh-CN"/>
              </w:rPr>
              <w:t>供应商</w:t>
            </w:r>
            <w:r>
              <w:rPr>
                <w:rFonts w:hint="eastAsia" w:ascii="宋体" w:hAnsi="宋体"/>
                <w:color w:val="auto"/>
                <w:szCs w:val="21"/>
                <w:highlight w:val="none"/>
              </w:rPr>
              <w:t>名称</w:t>
            </w:r>
          </w:p>
        </w:tc>
        <w:tc>
          <w:tcPr>
            <w:tcW w:w="5959" w:type="dxa"/>
            <w:tcBorders>
              <w:bottom w:val="single" w:color="auto" w:sz="4" w:space="0"/>
            </w:tcBorders>
            <w:vAlign w:val="center"/>
          </w:tcPr>
          <w:p w14:paraId="1AB5A61E">
            <w:pPr>
              <w:overflowPunct/>
              <w:bidi w:val="0"/>
              <w:outlineLvl w:val="9"/>
              <w:rPr>
                <w:rFonts w:hint="eastAsia" w:ascii="宋体" w:hAnsi="宋体" w:cs="宋体"/>
                <w:color w:val="auto"/>
                <w:sz w:val="21"/>
                <w:szCs w:val="21"/>
                <w:lang w:val="zh-CN"/>
              </w:rPr>
            </w:pPr>
            <w:r>
              <w:rPr>
                <w:rFonts w:hint="eastAsia" w:ascii="宋体" w:hAnsi="宋体" w:eastAsia="宋体" w:cs="Times New Roman"/>
                <w:b w:val="0"/>
                <w:bCs w:val="0"/>
                <w:color w:val="auto"/>
                <w:kern w:val="2"/>
                <w:sz w:val="21"/>
                <w:szCs w:val="21"/>
                <w:highlight w:val="none"/>
                <w:lang w:val="en-US" w:eastAsia="zh-CN" w:bidi="ar-SA"/>
              </w:rPr>
              <w:t>与营业执照</w:t>
            </w:r>
            <w:r>
              <w:rPr>
                <w:rFonts w:hint="eastAsia" w:ascii="宋体" w:hAnsi="宋体" w:cs="Times New Roman"/>
                <w:b w:val="0"/>
                <w:bCs w:val="0"/>
                <w:color w:val="auto"/>
                <w:kern w:val="2"/>
                <w:sz w:val="21"/>
                <w:szCs w:val="21"/>
                <w:highlight w:val="none"/>
                <w:lang w:val="en-US" w:eastAsia="zh-CN" w:bidi="ar-SA"/>
              </w:rPr>
              <w:t>副本</w:t>
            </w:r>
            <w:r>
              <w:rPr>
                <w:rFonts w:hint="eastAsia" w:ascii="宋体" w:hAnsi="宋体" w:eastAsia="宋体" w:cs="Times New Roman"/>
                <w:b w:val="0"/>
                <w:bCs w:val="0"/>
                <w:color w:val="auto"/>
                <w:kern w:val="2"/>
                <w:sz w:val="21"/>
                <w:szCs w:val="21"/>
                <w:highlight w:val="none"/>
                <w:lang w:val="en-US" w:eastAsia="zh-CN" w:bidi="ar-SA"/>
              </w:rPr>
              <w:t>一致。</w:t>
            </w:r>
          </w:p>
        </w:tc>
      </w:tr>
      <w:tr w14:paraId="1F24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62" w:type="dxa"/>
            <w:vMerge w:val="continue"/>
            <w:vAlign w:val="center"/>
          </w:tcPr>
          <w:p w14:paraId="7BD22103">
            <w:pPr>
              <w:autoSpaceDE w:val="0"/>
              <w:autoSpaceDN w:val="0"/>
              <w:adjustRightInd w:val="0"/>
              <w:spacing w:line="340" w:lineRule="exact"/>
              <w:jc w:val="center"/>
              <w:rPr>
                <w:rFonts w:ascii="宋体" w:hAnsi="宋体" w:cs="宋体"/>
                <w:bCs/>
                <w:color w:val="auto"/>
                <w:sz w:val="24"/>
                <w:lang w:val="zh-CN"/>
              </w:rPr>
            </w:pPr>
          </w:p>
        </w:tc>
        <w:tc>
          <w:tcPr>
            <w:tcW w:w="1219" w:type="dxa"/>
            <w:vMerge w:val="continue"/>
            <w:vAlign w:val="center"/>
          </w:tcPr>
          <w:p w14:paraId="28E5ECCC">
            <w:pPr>
              <w:autoSpaceDE w:val="0"/>
              <w:autoSpaceDN w:val="0"/>
              <w:adjustRightInd w:val="0"/>
              <w:spacing w:line="340" w:lineRule="exact"/>
              <w:jc w:val="left"/>
              <w:rPr>
                <w:rFonts w:ascii="宋体" w:hAnsi="宋体" w:cs="宋体"/>
                <w:bCs/>
                <w:color w:val="auto"/>
                <w:sz w:val="22"/>
                <w:szCs w:val="22"/>
                <w:lang w:val="zh-CN"/>
              </w:rPr>
            </w:pPr>
          </w:p>
        </w:tc>
        <w:tc>
          <w:tcPr>
            <w:tcW w:w="1900" w:type="dxa"/>
            <w:tcBorders>
              <w:bottom w:val="single" w:color="auto" w:sz="4" w:space="0"/>
            </w:tcBorders>
            <w:vAlign w:val="center"/>
          </w:tcPr>
          <w:p w14:paraId="2B037467">
            <w:pPr>
              <w:overflowPunct/>
              <w:bidi w:val="0"/>
              <w:jc w:val="center"/>
              <w:outlineLvl w:val="9"/>
              <w:rPr>
                <w:rFonts w:hint="eastAsia" w:ascii="宋体" w:hAnsi="宋体" w:cs="宋体"/>
                <w:color w:val="auto"/>
                <w:sz w:val="21"/>
                <w:szCs w:val="21"/>
              </w:rPr>
            </w:pPr>
            <w:r>
              <w:rPr>
                <w:rFonts w:hint="eastAsia" w:ascii="宋体" w:hAnsi="宋体"/>
                <w:color w:val="auto"/>
                <w:szCs w:val="21"/>
                <w:highlight w:val="none"/>
              </w:rPr>
              <w:t>磋商函签字盖章</w:t>
            </w:r>
          </w:p>
        </w:tc>
        <w:tc>
          <w:tcPr>
            <w:tcW w:w="5959" w:type="dxa"/>
            <w:tcBorders>
              <w:bottom w:val="single" w:color="auto" w:sz="4" w:space="0"/>
            </w:tcBorders>
            <w:vAlign w:val="center"/>
          </w:tcPr>
          <w:p w14:paraId="673E13DF">
            <w:pPr>
              <w:overflowPunct/>
              <w:bidi w:val="0"/>
              <w:outlineLvl w:val="9"/>
              <w:rPr>
                <w:rFonts w:hint="eastAsia" w:ascii="宋体" w:hAnsi="宋体" w:cs="宋体"/>
                <w:color w:val="auto"/>
                <w:sz w:val="21"/>
                <w:szCs w:val="21"/>
                <w:lang w:val="zh-CN"/>
              </w:rPr>
            </w:pPr>
            <w:r>
              <w:rPr>
                <w:rFonts w:hint="eastAsia" w:ascii="宋体" w:hAnsi="宋体"/>
                <w:b w:val="0"/>
                <w:bCs w:val="0"/>
                <w:color w:val="auto"/>
                <w:szCs w:val="21"/>
                <w:highlight w:val="none"/>
                <w:lang w:val="en-US" w:eastAsia="zh-CN"/>
              </w:rPr>
              <w:t>响应</w:t>
            </w:r>
            <w:r>
              <w:rPr>
                <w:rFonts w:hint="eastAsia" w:ascii="宋体" w:hAnsi="宋体"/>
                <w:b w:val="0"/>
                <w:bCs w:val="0"/>
                <w:color w:val="auto"/>
                <w:szCs w:val="21"/>
                <w:highlight w:val="none"/>
              </w:rPr>
              <w:t>均应加盖投标供应商印章并经法定代表人或其委托代理人签字或盖章。</w:t>
            </w:r>
          </w:p>
        </w:tc>
      </w:tr>
      <w:tr w14:paraId="21E0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62" w:type="dxa"/>
            <w:vMerge w:val="continue"/>
            <w:vAlign w:val="center"/>
          </w:tcPr>
          <w:p w14:paraId="0F496F8E">
            <w:pPr>
              <w:autoSpaceDE w:val="0"/>
              <w:autoSpaceDN w:val="0"/>
              <w:adjustRightInd w:val="0"/>
              <w:spacing w:line="340" w:lineRule="exact"/>
              <w:jc w:val="center"/>
              <w:rPr>
                <w:rFonts w:ascii="宋体" w:hAnsi="宋体" w:cs="宋体"/>
                <w:bCs/>
                <w:color w:val="auto"/>
                <w:sz w:val="24"/>
                <w:lang w:val="zh-CN"/>
              </w:rPr>
            </w:pPr>
          </w:p>
        </w:tc>
        <w:tc>
          <w:tcPr>
            <w:tcW w:w="1219" w:type="dxa"/>
            <w:vMerge w:val="continue"/>
            <w:vAlign w:val="center"/>
          </w:tcPr>
          <w:p w14:paraId="06BA3DEC">
            <w:pPr>
              <w:autoSpaceDE w:val="0"/>
              <w:autoSpaceDN w:val="0"/>
              <w:adjustRightInd w:val="0"/>
              <w:spacing w:line="340" w:lineRule="exact"/>
              <w:jc w:val="center"/>
              <w:rPr>
                <w:rFonts w:ascii="宋体" w:hAnsi="宋体" w:cs="宋体"/>
                <w:bCs/>
                <w:color w:val="auto"/>
                <w:sz w:val="22"/>
                <w:szCs w:val="22"/>
                <w:lang w:val="zh-CN"/>
              </w:rPr>
            </w:pPr>
          </w:p>
        </w:tc>
        <w:tc>
          <w:tcPr>
            <w:tcW w:w="1900" w:type="dxa"/>
            <w:tcBorders>
              <w:bottom w:val="single" w:color="auto" w:sz="4" w:space="0"/>
            </w:tcBorders>
            <w:vAlign w:val="center"/>
          </w:tcPr>
          <w:p w14:paraId="1E6050A2">
            <w:pPr>
              <w:overflowPunct/>
              <w:bidi w:val="0"/>
              <w:jc w:val="center"/>
              <w:outlineLvl w:val="9"/>
              <w:rPr>
                <w:rFonts w:hint="eastAsia" w:ascii="宋体" w:hAnsi="宋体" w:cs="宋体"/>
                <w:color w:val="auto"/>
                <w:sz w:val="21"/>
                <w:szCs w:val="21"/>
              </w:rPr>
            </w:pPr>
            <w:r>
              <w:rPr>
                <w:rFonts w:hint="eastAsia" w:ascii="宋体" w:hAnsi="宋体"/>
                <w:color w:val="auto"/>
                <w:szCs w:val="21"/>
                <w:highlight w:val="none"/>
              </w:rPr>
              <w:t>响应文件格式</w:t>
            </w:r>
          </w:p>
        </w:tc>
        <w:tc>
          <w:tcPr>
            <w:tcW w:w="5959" w:type="dxa"/>
            <w:tcBorders>
              <w:bottom w:val="single" w:color="auto" w:sz="4" w:space="0"/>
            </w:tcBorders>
            <w:vAlign w:val="center"/>
          </w:tcPr>
          <w:p w14:paraId="12077A3A">
            <w:pPr>
              <w:overflowPunct/>
              <w:bidi w:val="0"/>
              <w:outlineLvl w:val="9"/>
              <w:rPr>
                <w:rFonts w:hint="eastAsia" w:ascii="宋体" w:hAnsi="宋体" w:cs="宋体"/>
                <w:color w:val="auto"/>
                <w:sz w:val="21"/>
                <w:szCs w:val="21"/>
                <w:lang w:val="zh-CN"/>
              </w:rPr>
            </w:pPr>
            <w:r>
              <w:rPr>
                <w:rFonts w:hint="eastAsia" w:ascii="宋体" w:hAnsi="宋体"/>
                <w:b w:val="0"/>
                <w:bCs w:val="0"/>
                <w:color w:val="auto"/>
                <w:szCs w:val="21"/>
                <w:highlight w:val="none"/>
                <w:lang w:val="zh-CN"/>
              </w:rPr>
              <w:t>符合磋商文件中 “响应文件格式”的要求，按磋商文件的要求盖章、签署</w:t>
            </w:r>
          </w:p>
        </w:tc>
      </w:tr>
      <w:tr w14:paraId="201C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862" w:type="dxa"/>
            <w:vMerge w:val="continue"/>
            <w:vAlign w:val="center"/>
          </w:tcPr>
          <w:p w14:paraId="6094067E">
            <w:pPr>
              <w:autoSpaceDE w:val="0"/>
              <w:autoSpaceDN w:val="0"/>
              <w:adjustRightInd w:val="0"/>
              <w:spacing w:line="340" w:lineRule="exact"/>
              <w:rPr>
                <w:rFonts w:ascii="宋体" w:hAnsi="宋体" w:cs="宋体"/>
                <w:bCs/>
                <w:color w:val="auto"/>
                <w:sz w:val="24"/>
              </w:rPr>
            </w:pPr>
          </w:p>
        </w:tc>
        <w:tc>
          <w:tcPr>
            <w:tcW w:w="1219" w:type="dxa"/>
            <w:vMerge w:val="continue"/>
            <w:vAlign w:val="center"/>
          </w:tcPr>
          <w:p w14:paraId="3041E5B6">
            <w:pPr>
              <w:autoSpaceDE w:val="0"/>
              <w:autoSpaceDN w:val="0"/>
              <w:adjustRightInd w:val="0"/>
              <w:spacing w:line="340" w:lineRule="exact"/>
              <w:jc w:val="center"/>
              <w:rPr>
                <w:rFonts w:ascii="宋体" w:hAnsi="宋体" w:cs="宋体"/>
                <w:bCs/>
                <w:color w:val="auto"/>
                <w:sz w:val="22"/>
                <w:szCs w:val="22"/>
                <w:lang w:val="zh-CN"/>
              </w:rPr>
            </w:pPr>
          </w:p>
        </w:tc>
        <w:tc>
          <w:tcPr>
            <w:tcW w:w="1900" w:type="dxa"/>
            <w:vAlign w:val="center"/>
          </w:tcPr>
          <w:p w14:paraId="17DA1C51">
            <w:pPr>
              <w:overflowPunct/>
              <w:bidi w:val="0"/>
              <w:jc w:val="center"/>
              <w:outlineLvl w:val="9"/>
              <w:rPr>
                <w:rFonts w:hint="default" w:ascii="宋体" w:hAnsi="宋体" w:eastAsia="宋体" w:cs="宋体"/>
                <w:bCs/>
                <w:color w:val="auto"/>
                <w:sz w:val="22"/>
                <w:szCs w:val="22"/>
                <w:lang w:val="en-US" w:eastAsia="zh-CN"/>
              </w:rPr>
            </w:pPr>
            <w:r>
              <w:rPr>
                <w:rFonts w:hint="eastAsia" w:ascii="宋体" w:hAnsi="宋体"/>
                <w:color w:val="auto"/>
                <w:szCs w:val="21"/>
                <w:highlight w:val="none"/>
              </w:rPr>
              <w:t>报价唯一</w:t>
            </w:r>
          </w:p>
        </w:tc>
        <w:tc>
          <w:tcPr>
            <w:tcW w:w="5959" w:type="dxa"/>
            <w:vAlign w:val="center"/>
          </w:tcPr>
          <w:p w14:paraId="03E84F77">
            <w:pPr>
              <w:overflowPunct/>
              <w:bidi w:val="0"/>
              <w:outlineLvl w:val="9"/>
              <w:rPr>
                <w:rFonts w:ascii="宋体" w:hAnsi="宋体" w:cs="宋体"/>
                <w:bCs/>
                <w:color w:val="auto"/>
                <w:sz w:val="22"/>
                <w:szCs w:val="22"/>
                <w:lang w:val="zh-CN"/>
              </w:rPr>
            </w:pPr>
            <w:r>
              <w:rPr>
                <w:rFonts w:hint="eastAsia" w:ascii="宋体" w:hAnsi="宋体"/>
                <w:b w:val="0"/>
                <w:bCs w:val="0"/>
                <w:color w:val="auto"/>
                <w:szCs w:val="21"/>
                <w:highlight w:val="none"/>
              </w:rPr>
              <w:t>只能有一个有效报价</w:t>
            </w:r>
          </w:p>
        </w:tc>
      </w:tr>
      <w:tr w14:paraId="769B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862" w:type="dxa"/>
            <w:vMerge w:val="continue"/>
            <w:vAlign w:val="center"/>
          </w:tcPr>
          <w:p w14:paraId="64A33886">
            <w:pPr>
              <w:pStyle w:val="10"/>
              <w:rPr>
                <w:rFonts w:hint="eastAsia"/>
                <w:color w:val="auto"/>
              </w:rPr>
            </w:pPr>
          </w:p>
        </w:tc>
        <w:tc>
          <w:tcPr>
            <w:tcW w:w="1219" w:type="dxa"/>
            <w:vMerge w:val="continue"/>
            <w:vAlign w:val="center"/>
          </w:tcPr>
          <w:p w14:paraId="09F79270">
            <w:pPr>
              <w:autoSpaceDE w:val="0"/>
              <w:autoSpaceDN w:val="0"/>
              <w:adjustRightInd w:val="0"/>
              <w:spacing w:line="340" w:lineRule="exact"/>
              <w:jc w:val="center"/>
              <w:rPr>
                <w:rFonts w:hint="eastAsia" w:ascii="宋体" w:hAnsi="宋体" w:cs="宋体"/>
                <w:bCs/>
                <w:color w:val="auto"/>
                <w:sz w:val="22"/>
                <w:szCs w:val="22"/>
                <w:lang w:val="zh-CN"/>
              </w:rPr>
            </w:pPr>
          </w:p>
        </w:tc>
        <w:tc>
          <w:tcPr>
            <w:tcW w:w="1900" w:type="dxa"/>
            <w:vAlign w:val="center"/>
          </w:tcPr>
          <w:p w14:paraId="64AD25B5">
            <w:pPr>
              <w:overflowPunct/>
              <w:bidi w:val="0"/>
              <w:jc w:val="center"/>
              <w:outlineLvl w:val="9"/>
              <w:rPr>
                <w:rFonts w:hint="eastAsia" w:ascii="宋体" w:hAnsi="宋体" w:cs="宋体"/>
                <w:color w:val="auto"/>
                <w:lang w:eastAsia="zh-CN"/>
              </w:rPr>
            </w:pPr>
            <w:r>
              <w:rPr>
                <w:rFonts w:hint="eastAsia" w:ascii="宋体" w:hAnsi="宋体"/>
                <w:color w:val="auto"/>
                <w:szCs w:val="21"/>
                <w:highlight w:val="none"/>
                <w:lang w:val="en-US" w:eastAsia="zh-CN"/>
              </w:rPr>
              <w:t>响应</w:t>
            </w:r>
            <w:r>
              <w:rPr>
                <w:rFonts w:hint="eastAsia" w:ascii="宋体" w:hAnsi="宋体"/>
                <w:color w:val="auto"/>
                <w:szCs w:val="21"/>
                <w:highlight w:val="none"/>
              </w:rPr>
              <w:t>内容</w:t>
            </w:r>
          </w:p>
        </w:tc>
        <w:tc>
          <w:tcPr>
            <w:tcW w:w="5959" w:type="dxa"/>
            <w:vAlign w:val="center"/>
          </w:tcPr>
          <w:p w14:paraId="18F11EBB">
            <w:pPr>
              <w:overflowPunct/>
              <w:bidi w:val="0"/>
              <w:spacing w:line="240" w:lineRule="exact"/>
              <w:outlineLvl w:val="9"/>
              <w:rPr>
                <w:rFonts w:hint="eastAsia" w:cs="宋体" w:asciiTheme="minorEastAsia" w:hAnsiTheme="minorEastAsia" w:eastAsiaTheme="minorEastAsia"/>
                <w:color w:val="auto"/>
                <w:lang w:val="en-US" w:eastAsia="zh-CN"/>
              </w:rPr>
            </w:pPr>
            <w:r>
              <w:rPr>
                <w:rFonts w:hint="eastAsia" w:ascii="宋体" w:hAnsi="宋体"/>
                <w:b w:val="0"/>
                <w:bCs w:val="0"/>
                <w:color w:val="auto"/>
                <w:szCs w:val="21"/>
                <w:highlight w:val="none"/>
              </w:rPr>
              <w:t>符合磋商文件规定</w:t>
            </w:r>
          </w:p>
        </w:tc>
      </w:tr>
      <w:tr w14:paraId="4D6F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62" w:type="dxa"/>
            <w:vMerge w:val="continue"/>
          </w:tcPr>
          <w:p w14:paraId="603CF133">
            <w:pPr>
              <w:autoSpaceDE w:val="0"/>
              <w:autoSpaceDN w:val="0"/>
              <w:adjustRightInd w:val="0"/>
              <w:spacing w:line="340" w:lineRule="exact"/>
              <w:jc w:val="left"/>
              <w:rPr>
                <w:rFonts w:ascii="宋体" w:hAnsi="宋体" w:cs="宋体"/>
                <w:bCs/>
                <w:color w:val="auto"/>
                <w:sz w:val="24"/>
                <w:lang w:val="zh-CN"/>
              </w:rPr>
            </w:pPr>
          </w:p>
        </w:tc>
        <w:tc>
          <w:tcPr>
            <w:tcW w:w="1219" w:type="dxa"/>
            <w:vMerge w:val="continue"/>
          </w:tcPr>
          <w:p w14:paraId="1FAC82E6">
            <w:pPr>
              <w:autoSpaceDE w:val="0"/>
              <w:autoSpaceDN w:val="0"/>
              <w:adjustRightInd w:val="0"/>
              <w:spacing w:line="340" w:lineRule="exact"/>
              <w:jc w:val="left"/>
              <w:rPr>
                <w:rFonts w:ascii="宋体" w:hAnsi="宋体" w:cs="宋体"/>
                <w:bCs/>
                <w:color w:val="auto"/>
                <w:sz w:val="22"/>
                <w:szCs w:val="22"/>
                <w:lang w:val="zh-CN"/>
              </w:rPr>
            </w:pPr>
          </w:p>
        </w:tc>
        <w:tc>
          <w:tcPr>
            <w:tcW w:w="1900" w:type="dxa"/>
            <w:vAlign w:val="center"/>
          </w:tcPr>
          <w:p w14:paraId="37517C67">
            <w:pPr>
              <w:autoSpaceDE w:val="0"/>
              <w:autoSpaceDN w:val="0"/>
              <w:adjustRightInd w:val="0"/>
              <w:spacing w:line="340" w:lineRule="exact"/>
              <w:jc w:val="center"/>
              <w:rPr>
                <w:rFonts w:ascii="宋体" w:hAnsi="宋体" w:cs="宋体"/>
                <w:bCs/>
                <w:color w:val="auto"/>
                <w:sz w:val="22"/>
                <w:szCs w:val="22"/>
                <w:lang w:val="zh-CN"/>
              </w:rPr>
            </w:pPr>
            <w:r>
              <w:rPr>
                <w:rFonts w:hint="eastAsia" w:ascii="宋体" w:hAnsi="宋体" w:cs="宋体"/>
                <w:bCs/>
                <w:color w:val="auto"/>
                <w:sz w:val="22"/>
                <w:szCs w:val="22"/>
                <w:lang w:val="zh-CN"/>
              </w:rPr>
              <w:t>合同履行期限</w:t>
            </w:r>
          </w:p>
        </w:tc>
        <w:tc>
          <w:tcPr>
            <w:tcW w:w="5959" w:type="dxa"/>
            <w:vAlign w:val="center"/>
          </w:tcPr>
          <w:p w14:paraId="2ECE0541">
            <w:pPr>
              <w:spacing w:before="100" w:beforeAutospacing="1" w:afterAutospacing="1" w:line="340" w:lineRule="exact"/>
              <w:jc w:val="left"/>
              <w:rPr>
                <w:rFonts w:ascii="宋体" w:hAnsi="宋体" w:cs="宋体"/>
                <w:color w:val="auto"/>
                <w:sz w:val="22"/>
                <w:szCs w:val="22"/>
              </w:rPr>
            </w:pPr>
            <w:r>
              <w:rPr>
                <w:rFonts w:hint="eastAsia" w:cs="宋体" w:asciiTheme="minorEastAsia" w:hAnsiTheme="minorEastAsia" w:eastAsiaTheme="minorEastAsia"/>
                <w:color w:val="auto"/>
                <w:lang w:eastAsia="zh-CN"/>
              </w:rPr>
              <w:t>签订合同之日起</w:t>
            </w:r>
            <w:r>
              <w:rPr>
                <w:rFonts w:hint="eastAsia" w:cs="宋体" w:asciiTheme="minorEastAsia" w:hAnsiTheme="minorEastAsia" w:eastAsiaTheme="minorEastAsia"/>
                <w:color w:val="auto"/>
                <w:lang w:val="en-US" w:eastAsia="zh-CN"/>
              </w:rPr>
              <w:t>一年</w:t>
            </w:r>
            <w:r>
              <w:rPr>
                <w:rFonts w:hint="eastAsia" w:ascii="宋体" w:hAnsi="宋体" w:cs="宋体"/>
                <w:color w:val="auto"/>
                <w:kern w:val="0"/>
                <w:sz w:val="22"/>
                <w:szCs w:val="22"/>
                <w:lang w:val="zh-CN"/>
              </w:rPr>
              <w:t>。</w:t>
            </w:r>
          </w:p>
        </w:tc>
      </w:tr>
      <w:tr w14:paraId="7AA8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62" w:type="dxa"/>
            <w:vMerge w:val="continue"/>
          </w:tcPr>
          <w:p w14:paraId="6B4C696D">
            <w:pPr>
              <w:autoSpaceDE w:val="0"/>
              <w:autoSpaceDN w:val="0"/>
              <w:adjustRightInd w:val="0"/>
              <w:spacing w:line="340" w:lineRule="exact"/>
              <w:jc w:val="left"/>
              <w:rPr>
                <w:rFonts w:ascii="宋体" w:hAnsi="宋体" w:cs="宋体"/>
                <w:bCs/>
                <w:color w:val="auto"/>
                <w:sz w:val="24"/>
                <w:lang w:val="zh-CN"/>
              </w:rPr>
            </w:pPr>
          </w:p>
        </w:tc>
        <w:tc>
          <w:tcPr>
            <w:tcW w:w="1219" w:type="dxa"/>
            <w:vMerge w:val="continue"/>
          </w:tcPr>
          <w:p w14:paraId="207B0FD6">
            <w:pPr>
              <w:autoSpaceDE w:val="0"/>
              <w:autoSpaceDN w:val="0"/>
              <w:adjustRightInd w:val="0"/>
              <w:spacing w:line="340" w:lineRule="exact"/>
              <w:jc w:val="left"/>
              <w:rPr>
                <w:rFonts w:ascii="宋体" w:hAnsi="宋体" w:cs="宋体"/>
                <w:bCs/>
                <w:color w:val="auto"/>
                <w:sz w:val="22"/>
                <w:szCs w:val="22"/>
                <w:lang w:val="zh-CN"/>
              </w:rPr>
            </w:pPr>
          </w:p>
        </w:tc>
        <w:tc>
          <w:tcPr>
            <w:tcW w:w="1900" w:type="dxa"/>
            <w:vAlign w:val="center"/>
          </w:tcPr>
          <w:p w14:paraId="10C78D02">
            <w:pPr>
              <w:autoSpaceDE w:val="0"/>
              <w:autoSpaceDN w:val="0"/>
              <w:adjustRightInd w:val="0"/>
              <w:spacing w:line="340" w:lineRule="exact"/>
              <w:jc w:val="center"/>
              <w:rPr>
                <w:rFonts w:ascii="宋体" w:hAnsi="宋体" w:cs="宋体"/>
                <w:bCs/>
                <w:color w:val="auto"/>
                <w:sz w:val="22"/>
                <w:szCs w:val="22"/>
                <w:lang w:val="zh-CN"/>
              </w:rPr>
            </w:pPr>
            <w:r>
              <w:rPr>
                <w:rFonts w:hint="eastAsia" w:ascii="宋体" w:hAnsi="宋体" w:cs="宋体"/>
                <w:bCs/>
                <w:color w:val="auto"/>
                <w:sz w:val="22"/>
                <w:szCs w:val="22"/>
                <w:lang w:val="zh-CN"/>
              </w:rPr>
              <w:t>磋商有效期</w:t>
            </w:r>
          </w:p>
        </w:tc>
        <w:tc>
          <w:tcPr>
            <w:tcW w:w="5959" w:type="dxa"/>
            <w:vAlign w:val="center"/>
          </w:tcPr>
          <w:p w14:paraId="0E062926">
            <w:pPr>
              <w:autoSpaceDE w:val="0"/>
              <w:autoSpaceDN w:val="0"/>
              <w:adjustRightInd w:val="0"/>
              <w:spacing w:line="340" w:lineRule="exact"/>
              <w:rPr>
                <w:rFonts w:ascii="宋体" w:hAnsi="宋体" w:cs="宋体"/>
                <w:bCs/>
                <w:color w:val="auto"/>
                <w:sz w:val="22"/>
                <w:szCs w:val="22"/>
                <w:lang w:val="zh-CN"/>
              </w:rPr>
            </w:pPr>
            <w:r>
              <w:rPr>
                <w:rFonts w:hint="eastAsia" w:ascii="宋体" w:hAnsi="宋体" w:cs="宋体"/>
                <w:color w:val="auto"/>
                <w:sz w:val="22"/>
                <w:szCs w:val="22"/>
              </w:rPr>
              <w:t>90</w:t>
            </w:r>
            <w:r>
              <w:rPr>
                <w:rFonts w:hint="eastAsia" w:ascii="宋体" w:hAnsi="宋体" w:cs="宋体"/>
                <w:color w:val="auto"/>
                <w:sz w:val="22"/>
                <w:szCs w:val="22"/>
                <w:lang w:eastAsia="zh-CN"/>
              </w:rPr>
              <w:t>日历</w:t>
            </w:r>
            <w:r>
              <w:rPr>
                <w:rFonts w:hint="eastAsia" w:ascii="宋体" w:hAnsi="宋体" w:cs="宋体"/>
                <w:color w:val="auto"/>
                <w:sz w:val="22"/>
                <w:szCs w:val="22"/>
                <w:lang w:val="zh-CN"/>
              </w:rPr>
              <w:t>天。</w:t>
            </w:r>
          </w:p>
        </w:tc>
      </w:tr>
      <w:tr w14:paraId="5636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62" w:type="dxa"/>
            <w:vMerge w:val="continue"/>
          </w:tcPr>
          <w:p w14:paraId="5D024C7C">
            <w:pPr>
              <w:autoSpaceDE w:val="0"/>
              <w:autoSpaceDN w:val="0"/>
              <w:adjustRightInd w:val="0"/>
              <w:spacing w:line="340" w:lineRule="exact"/>
              <w:jc w:val="left"/>
              <w:rPr>
                <w:rFonts w:ascii="宋体" w:hAnsi="宋体" w:cs="宋体"/>
                <w:bCs/>
                <w:color w:val="auto"/>
                <w:sz w:val="24"/>
                <w:lang w:val="zh-CN"/>
              </w:rPr>
            </w:pPr>
          </w:p>
        </w:tc>
        <w:tc>
          <w:tcPr>
            <w:tcW w:w="1219" w:type="dxa"/>
            <w:vMerge w:val="continue"/>
          </w:tcPr>
          <w:p w14:paraId="0BA9EE2F">
            <w:pPr>
              <w:autoSpaceDE w:val="0"/>
              <w:autoSpaceDN w:val="0"/>
              <w:adjustRightInd w:val="0"/>
              <w:spacing w:line="340" w:lineRule="exact"/>
              <w:jc w:val="left"/>
              <w:rPr>
                <w:rFonts w:ascii="宋体" w:hAnsi="宋体" w:cs="宋体"/>
                <w:bCs/>
                <w:color w:val="auto"/>
                <w:sz w:val="22"/>
                <w:szCs w:val="22"/>
                <w:lang w:val="zh-CN"/>
              </w:rPr>
            </w:pPr>
          </w:p>
        </w:tc>
        <w:tc>
          <w:tcPr>
            <w:tcW w:w="1900" w:type="dxa"/>
            <w:vAlign w:val="center"/>
          </w:tcPr>
          <w:p w14:paraId="217DB2E2">
            <w:pPr>
              <w:overflowPunct/>
              <w:bidi w:val="0"/>
              <w:jc w:val="center"/>
              <w:outlineLvl w:val="9"/>
              <w:rPr>
                <w:rFonts w:hint="eastAsia" w:ascii="宋体" w:hAnsi="宋体" w:cs="宋体"/>
                <w:bCs/>
                <w:color w:val="auto"/>
                <w:sz w:val="22"/>
                <w:szCs w:val="22"/>
                <w:lang w:val="zh-CN"/>
              </w:rPr>
            </w:pPr>
            <w:r>
              <w:rPr>
                <w:rFonts w:hint="eastAsia" w:ascii="宋体" w:hAnsi="宋体"/>
                <w:color w:val="auto"/>
                <w:szCs w:val="21"/>
                <w:highlight w:val="none"/>
              </w:rPr>
              <w:t>磋商</w:t>
            </w:r>
            <w:r>
              <w:rPr>
                <w:rFonts w:hint="eastAsia" w:ascii="宋体" w:hAnsi="宋体"/>
                <w:color w:val="auto"/>
                <w:szCs w:val="21"/>
                <w:highlight w:val="none"/>
                <w:lang w:val="en-US" w:eastAsia="zh-CN"/>
              </w:rPr>
              <w:t>报价</w:t>
            </w:r>
          </w:p>
        </w:tc>
        <w:tc>
          <w:tcPr>
            <w:tcW w:w="5959" w:type="dxa"/>
            <w:vAlign w:val="center"/>
          </w:tcPr>
          <w:p w14:paraId="3E16426B">
            <w:pPr>
              <w:overflowPunct/>
              <w:bidi w:val="0"/>
              <w:outlineLvl w:val="9"/>
              <w:rPr>
                <w:rFonts w:hint="default" w:ascii="宋体" w:hAnsi="宋体" w:cs="宋体"/>
                <w:color w:val="auto"/>
                <w:sz w:val="22"/>
                <w:szCs w:val="22"/>
                <w:lang w:val="en-US"/>
              </w:rPr>
            </w:pPr>
            <w:r>
              <w:rPr>
                <w:rFonts w:hint="eastAsia" w:ascii="宋体" w:hAnsi="宋体"/>
                <w:color w:val="auto"/>
                <w:szCs w:val="21"/>
                <w:highlight w:val="none"/>
                <w:lang w:eastAsia="zh-CN"/>
              </w:rPr>
              <w:t>最高限制价：</w:t>
            </w:r>
            <w:r>
              <w:rPr>
                <w:rFonts w:hint="eastAsia" w:ascii="宋体" w:hAnsi="宋体"/>
                <w:color w:val="auto"/>
                <w:szCs w:val="21"/>
                <w:highlight w:val="none"/>
                <w:lang w:val="en-US" w:eastAsia="zh-CN"/>
              </w:rPr>
              <w:t>72.0000万元</w:t>
            </w:r>
          </w:p>
        </w:tc>
      </w:tr>
      <w:tr w14:paraId="2120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862" w:type="dxa"/>
            <w:vMerge w:val="continue"/>
          </w:tcPr>
          <w:p w14:paraId="6B142EB3">
            <w:pPr>
              <w:autoSpaceDE w:val="0"/>
              <w:autoSpaceDN w:val="0"/>
              <w:adjustRightInd w:val="0"/>
              <w:spacing w:line="340" w:lineRule="exact"/>
              <w:jc w:val="left"/>
              <w:rPr>
                <w:rFonts w:ascii="宋体" w:hAnsi="宋体" w:cs="宋体"/>
                <w:bCs/>
                <w:color w:val="auto"/>
                <w:sz w:val="24"/>
                <w:lang w:val="zh-CN"/>
              </w:rPr>
            </w:pPr>
          </w:p>
        </w:tc>
        <w:tc>
          <w:tcPr>
            <w:tcW w:w="1219" w:type="dxa"/>
            <w:vMerge w:val="continue"/>
          </w:tcPr>
          <w:p w14:paraId="15C06864">
            <w:pPr>
              <w:autoSpaceDE w:val="0"/>
              <w:autoSpaceDN w:val="0"/>
              <w:adjustRightInd w:val="0"/>
              <w:spacing w:line="340" w:lineRule="exact"/>
              <w:jc w:val="left"/>
              <w:rPr>
                <w:rFonts w:ascii="宋体" w:hAnsi="宋体" w:cs="宋体"/>
                <w:bCs/>
                <w:color w:val="auto"/>
                <w:sz w:val="22"/>
                <w:szCs w:val="22"/>
                <w:lang w:val="zh-CN"/>
              </w:rPr>
            </w:pPr>
          </w:p>
        </w:tc>
        <w:tc>
          <w:tcPr>
            <w:tcW w:w="1900" w:type="dxa"/>
            <w:vAlign w:val="center"/>
          </w:tcPr>
          <w:p w14:paraId="48554810">
            <w:pPr>
              <w:autoSpaceDE w:val="0"/>
              <w:autoSpaceDN w:val="0"/>
              <w:adjustRightInd w:val="0"/>
              <w:spacing w:line="340" w:lineRule="exact"/>
              <w:jc w:val="center"/>
              <w:rPr>
                <w:rFonts w:ascii="宋体" w:hAnsi="宋体" w:cs="宋体"/>
                <w:bCs/>
                <w:color w:val="auto"/>
                <w:sz w:val="22"/>
                <w:szCs w:val="22"/>
                <w:lang w:val="zh-CN"/>
              </w:rPr>
            </w:pPr>
            <w:r>
              <w:rPr>
                <w:rFonts w:hint="eastAsia" w:ascii="宋体" w:hAnsi="宋体" w:cs="宋体"/>
                <w:bCs/>
                <w:color w:val="auto"/>
                <w:sz w:val="22"/>
                <w:szCs w:val="22"/>
                <w:lang w:val="zh-CN"/>
              </w:rPr>
              <w:t>磋商保证金</w:t>
            </w:r>
          </w:p>
        </w:tc>
        <w:tc>
          <w:tcPr>
            <w:tcW w:w="5959" w:type="dxa"/>
            <w:vAlign w:val="center"/>
          </w:tcPr>
          <w:p w14:paraId="20A42D94">
            <w:pPr>
              <w:autoSpaceDE w:val="0"/>
              <w:autoSpaceDN w:val="0"/>
              <w:adjustRightInd w:val="0"/>
              <w:spacing w:line="340" w:lineRule="exact"/>
              <w:rPr>
                <w:rFonts w:ascii="宋体" w:hAnsi="宋体" w:cs="宋体"/>
                <w:bCs/>
                <w:color w:val="auto"/>
                <w:sz w:val="22"/>
                <w:szCs w:val="22"/>
                <w:lang w:val="zh-CN"/>
              </w:rPr>
            </w:pPr>
            <w:r>
              <w:rPr>
                <w:rFonts w:hint="eastAsia" w:ascii="宋体" w:hAnsi="宋体" w:cs="宋体"/>
                <w:color w:val="auto"/>
                <w:sz w:val="22"/>
                <w:szCs w:val="22"/>
                <w:lang w:val="zh-CN"/>
              </w:rPr>
              <w:t>符合“供应商须知前附表”规定。</w:t>
            </w:r>
          </w:p>
        </w:tc>
      </w:tr>
      <w:tr w14:paraId="3641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862" w:type="dxa"/>
            <w:vMerge w:val="continue"/>
          </w:tcPr>
          <w:p w14:paraId="579FC37E">
            <w:pPr>
              <w:autoSpaceDE w:val="0"/>
              <w:autoSpaceDN w:val="0"/>
              <w:adjustRightInd w:val="0"/>
              <w:spacing w:line="340" w:lineRule="exact"/>
              <w:jc w:val="left"/>
              <w:rPr>
                <w:rFonts w:ascii="宋体" w:hAnsi="宋体" w:cs="宋体"/>
                <w:bCs/>
                <w:color w:val="auto"/>
                <w:sz w:val="24"/>
                <w:lang w:val="zh-CN"/>
              </w:rPr>
            </w:pPr>
          </w:p>
        </w:tc>
        <w:tc>
          <w:tcPr>
            <w:tcW w:w="1219" w:type="dxa"/>
            <w:vMerge w:val="continue"/>
          </w:tcPr>
          <w:p w14:paraId="29B8A8D0">
            <w:pPr>
              <w:autoSpaceDE w:val="0"/>
              <w:autoSpaceDN w:val="0"/>
              <w:adjustRightInd w:val="0"/>
              <w:spacing w:line="340" w:lineRule="exact"/>
              <w:jc w:val="left"/>
              <w:rPr>
                <w:rFonts w:ascii="宋体" w:hAnsi="宋体" w:cs="宋体"/>
                <w:bCs/>
                <w:color w:val="auto"/>
                <w:sz w:val="22"/>
                <w:szCs w:val="22"/>
                <w:lang w:val="zh-CN"/>
              </w:rPr>
            </w:pPr>
          </w:p>
        </w:tc>
        <w:tc>
          <w:tcPr>
            <w:tcW w:w="1900" w:type="dxa"/>
            <w:vAlign w:val="center"/>
          </w:tcPr>
          <w:p w14:paraId="035D113F">
            <w:pPr>
              <w:widowControl/>
              <w:spacing w:line="240" w:lineRule="auto"/>
              <w:jc w:val="center"/>
              <w:rPr>
                <w:rFonts w:hint="eastAsia" w:ascii="宋体" w:hAnsi="宋体" w:cs="宋体"/>
                <w:bCs/>
                <w:color w:val="auto"/>
                <w:sz w:val="22"/>
                <w:szCs w:val="22"/>
                <w:lang w:val="zh-CN"/>
              </w:rPr>
            </w:pPr>
            <w:r>
              <w:rPr>
                <w:rFonts w:hint="eastAsia" w:ascii="宋体" w:hAnsi="宋体" w:eastAsia="宋体" w:cs="宋体"/>
                <w:b w:val="0"/>
                <w:bCs/>
                <w:color w:val="auto"/>
                <w:kern w:val="0"/>
                <w:sz w:val="21"/>
                <w:szCs w:val="21"/>
                <w:lang w:val="en-US" w:eastAsia="zh-CN"/>
              </w:rPr>
              <w:t>技术标格式</w:t>
            </w:r>
          </w:p>
        </w:tc>
        <w:tc>
          <w:tcPr>
            <w:tcW w:w="5959" w:type="dxa"/>
            <w:vAlign w:val="center"/>
          </w:tcPr>
          <w:p w14:paraId="0C1CEEAF">
            <w:pPr>
              <w:keepNext w:val="0"/>
              <w:keepLines w:val="0"/>
              <w:widowControl/>
              <w:suppressLineNumbers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投标文件技术标必须遵守的统一格式和规范。 </w:t>
            </w:r>
          </w:p>
          <w:p w14:paraId="15D4D27B">
            <w:pPr>
              <w:keepNext w:val="0"/>
              <w:keepLines w:val="0"/>
              <w:widowControl/>
              <w:suppressLineNumbers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技术标文件（暗标）未按以下“盲评”要求制作的，为无效投标，除下述要求外，不得因暗标格式问题认定为无效投标： </w:t>
            </w:r>
          </w:p>
          <w:p w14:paraId="2F6A0944">
            <w:pPr>
              <w:keepNext w:val="0"/>
              <w:keepLines w:val="0"/>
              <w:widowControl/>
              <w:suppressLineNumbers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1.版面要求：A4 纸张大小； </w:t>
            </w:r>
          </w:p>
          <w:p w14:paraId="4A695A49">
            <w:pPr>
              <w:keepNext w:val="0"/>
              <w:keepLines w:val="0"/>
              <w:widowControl/>
              <w:suppressLineNumbers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2.颜色要求：所有文字、图表均为黑色； </w:t>
            </w:r>
          </w:p>
          <w:p w14:paraId="2A1A7862">
            <w:pPr>
              <w:keepNext w:val="0"/>
              <w:keepLines w:val="0"/>
              <w:widowControl/>
              <w:suppressLineNumbers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3.字体要求：标题及正文部分所用文字均采用“宋体”四号“常规”字；图、表内的字体及字号不作要求；全部使用中文标点符号；所有字体均不得出现加粗、加色、倾斜、下划线等标记； </w:t>
            </w:r>
          </w:p>
          <w:p w14:paraId="7943270C">
            <w:pPr>
              <w:keepNext w:val="0"/>
              <w:keepLines w:val="0"/>
              <w:widowControl/>
              <w:suppressLineNumbers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4.排版要求：页边距要求上边距 2.5 厘米，其余均为 2 厘米；不得设置目录；正文行间距为固定值 30 磅；文字内容（含正文标题、正文及表格标题）统一设为左对齐；首行缩进 2 字符，不得有空格；段落前后不设置空行；不得设置页眉、页脚和页码；图、表部分对齐形式统一设为居中对齐； </w:t>
            </w:r>
          </w:p>
          <w:p w14:paraId="737B52C7">
            <w:pPr>
              <w:keepNext w:val="0"/>
              <w:keepLines w:val="0"/>
              <w:widowControl/>
              <w:suppressLineNumbers w:val="0"/>
              <w:spacing w:line="240" w:lineRule="auto"/>
              <w:jc w:val="left"/>
              <w:rPr>
                <w:rFonts w:hint="eastAsia" w:ascii="宋体" w:hAnsi="宋体" w:cs="宋体"/>
                <w:color w:val="auto"/>
                <w:sz w:val="22"/>
                <w:szCs w:val="22"/>
                <w:lang w:val="zh-CN"/>
              </w:rPr>
            </w:pPr>
            <w:r>
              <w:rPr>
                <w:rFonts w:hint="eastAsia" w:ascii="宋体" w:hAnsi="宋体" w:eastAsia="宋体" w:cs="宋体"/>
                <w:color w:val="auto"/>
                <w:kern w:val="0"/>
                <w:sz w:val="21"/>
                <w:szCs w:val="21"/>
                <w:lang w:val="en-US" w:eastAsia="zh-CN" w:bidi="ar"/>
              </w:rPr>
              <w:t>5.其它：除满足上述各项要求外，构成投标文件的“技术暗标”的正文中均不得出现供应商的名称和其它可识别供应商身份的字符、徽标、人员名称以及其他可能被辨别出供应商身份的任何标记。</w:t>
            </w:r>
          </w:p>
        </w:tc>
      </w:tr>
      <w:tr w14:paraId="4784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862" w:type="dxa"/>
            <w:vMerge w:val="continue"/>
          </w:tcPr>
          <w:p w14:paraId="4282ACA1">
            <w:pPr>
              <w:autoSpaceDE w:val="0"/>
              <w:autoSpaceDN w:val="0"/>
              <w:adjustRightInd w:val="0"/>
              <w:spacing w:line="340" w:lineRule="exact"/>
              <w:jc w:val="left"/>
              <w:rPr>
                <w:rFonts w:ascii="宋体" w:hAnsi="宋体" w:cs="宋体"/>
                <w:bCs/>
                <w:color w:val="auto"/>
                <w:sz w:val="24"/>
                <w:lang w:val="zh-CN"/>
              </w:rPr>
            </w:pPr>
          </w:p>
        </w:tc>
        <w:tc>
          <w:tcPr>
            <w:tcW w:w="1219" w:type="dxa"/>
            <w:vMerge w:val="continue"/>
          </w:tcPr>
          <w:p w14:paraId="7DB3901E">
            <w:pPr>
              <w:autoSpaceDE w:val="0"/>
              <w:autoSpaceDN w:val="0"/>
              <w:adjustRightInd w:val="0"/>
              <w:spacing w:line="340" w:lineRule="exact"/>
              <w:jc w:val="left"/>
              <w:rPr>
                <w:rFonts w:ascii="宋体" w:hAnsi="宋体" w:cs="宋体"/>
                <w:bCs/>
                <w:color w:val="auto"/>
                <w:sz w:val="22"/>
                <w:szCs w:val="22"/>
                <w:lang w:val="zh-CN"/>
              </w:rPr>
            </w:pPr>
          </w:p>
        </w:tc>
        <w:tc>
          <w:tcPr>
            <w:tcW w:w="1900" w:type="dxa"/>
            <w:vAlign w:val="center"/>
          </w:tcPr>
          <w:p w14:paraId="1A3723FB">
            <w:pPr>
              <w:widowControl/>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技术标其他要求</w:t>
            </w:r>
          </w:p>
        </w:tc>
        <w:tc>
          <w:tcPr>
            <w:tcW w:w="5959" w:type="dxa"/>
            <w:vAlign w:val="center"/>
          </w:tcPr>
          <w:p w14:paraId="1C0EB715">
            <w:pPr>
              <w:keepNext w:val="0"/>
              <w:keepLines w:val="0"/>
              <w:widowControl/>
              <w:suppressLineNumbers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为减少评标工作量，技术方案要言简意赅、结合实际，技术方案页数不超过</w:t>
            </w:r>
            <w:r>
              <w:rPr>
                <w:rFonts w:hint="eastAsia" w:ascii="宋体" w:hAnsi="宋体" w:cs="宋体"/>
                <w:color w:val="auto"/>
                <w:kern w:val="0"/>
                <w:sz w:val="21"/>
                <w:szCs w:val="21"/>
                <w:lang w:val="en-US" w:eastAsia="zh-CN" w:bidi="ar"/>
              </w:rPr>
              <w:t>200</w:t>
            </w:r>
            <w:r>
              <w:rPr>
                <w:rFonts w:hint="eastAsia" w:ascii="宋体" w:hAnsi="宋体" w:eastAsia="宋体" w:cs="宋体"/>
                <w:color w:val="auto"/>
                <w:kern w:val="0"/>
                <w:sz w:val="21"/>
                <w:szCs w:val="21"/>
                <w:lang w:val="en-US" w:eastAsia="zh-CN" w:bidi="ar"/>
              </w:rPr>
              <w:t>页。对技术方案超过规定页数的（以电子版中计数为准），作废标处理。</w:t>
            </w:r>
          </w:p>
        </w:tc>
      </w:tr>
    </w:tbl>
    <w:p w14:paraId="079F812E">
      <w:pPr>
        <w:spacing w:line="360" w:lineRule="auto"/>
        <w:jc w:val="left"/>
        <w:rPr>
          <w:rFonts w:ascii="宋体" w:hAnsi="宋体" w:cs="宋体"/>
          <w:b/>
          <w:bCs/>
          <w:color w:val="auto"/>
          <w:sz w:val="18"/>
          <w:lang w:val="zh-CN"/>
        </w:rPr>
      </w:pPr>
      <w:r>
        <w:rPr>
          <w:rFonts w:hint="eastAsia" w:ascii="宋体" w:hAnsi="宋体" w:cs="宋体"/>
          <w:b/>
          <w:bCs/>
          <w:color w:val="auto"/>
          <w:sz w:val="18"/>
          <w:lang w:val="zh-CN"/>
        </w:rPr>
        <w:t>注： 1、“√”为合格，“╳”为不合格。</w:t>
      </w:r>
    </w:p>
    <w:p w14:paraId="5E0319A0">
      <w:pPr>
        <w:spacing w:line="360" w:lineRule="auto"/>
        <w:ind w:firstLine="450" w:firstLineChars="250"/>
        <w:jc w:val="left"/>
        <w:rPr>
          <w:rFonts w:ascii="宋体" w:hAnsi="宋体" w:cs="宋体"/>
          <w:b/>
          <w:bCs/>
          <w:color w:val="auto"/>
          <w:sz w:val="18"/>
          <w:lang w:val="zh-CN"/>
        </w:rPr>
      </w:pPr>
      <w:r>
        <w:rPr>
          <w:rFonts w:hint="eastAsia" w:ascii="宋体" w:hAnsi="宋体" w:cs="宋体"/>
          <w:b/>
          <w:bCs/>
          <w:color w:val="auto"/>
          <w:sz w:val="18"/>
          <w:lang w:val="zh-CN"/>
        </w:rPr>
        <w:t>2、评标委员会依据初步评审表规定的标准对响应文件进行初步评审。有一项不符合评审标准的，作废标处理。</w:t>
      </w:r>
    </w:p>
    <w:p w14:paraId="115C1E03">
      <w:pPr>
        <w:spacing w:line="360" w:lineRule="auto"/>
        <w:ind w:firstLine="360" w:firstLineChars="200"/>
        <w:jc w:val="left"/>
        <w:rPr>
          <w:rFonts w:ascii="宋体" w:hAnsi="宋体"/>
          <w:b/>
          <w:color w:val="auto"/>
          <w:sz w:val="18"/>
        </w:rPr>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titlePg/>
          <w:docGrid w:type="linesAndChars" w:linePitch="312" w:charSpace="0"/>
        </w:sectPr>
      </w:pPr>
    </w:p>
    <w:p w14:paraId="7A154B42">
      <w:pPr>
        <w:jc w:val="center"/>
        <w:rPr>
          <w:rFonts w:ascii="宋体" w:hAnsi="宋体"/>
          <w:color w:val="auto"/>
          <w:szCs w:val="21"/>
        </w:rPr>
      </w:pPr>
      <w:r>
        <w:rPr>
          <w:rFonts w:hint="eastAsia" w:ascii="宋体" w:hAnsi="宋体"/>
          <w:b/>
          <w:color w:val="auto"/>
          <w:sz w:val="32"/>
          <w:szCs w:val="32"/>
        </w:rPr>
        <w:t>详细评审表</w:t>
      </w:r>
    </w:p>
    <w:tbl>
      <w:tblPr>
        <w:tblStyle w:val="75"/>
        <w:tblpPr w:leftFromText="180" w:rightFromText="180" w:vertAnchor="text" w:horzAnchor="page" w:tblpX="1586" w:tblpY="223"/>
        <w:tblOverlap w:val="never"/>
        <w:tblW w:w="93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6"/>
        <w:gridCol w:w="884"/>
        <w:gridCol w:w="2005"/>
        <w:gridCol w:w="5973"/>
      </w:tblGrid>
      <w:tr w14:paraId="21F90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96" w:type="dxa"/>
            <w:textDirection w:val="tbRlV"/>
            <w:vAlign w:val="top"/>
          </w:tcPr>
          <w:p w14:paraId="5D74BFD8">
            <w:pPr>
              <w:pStyle w:val="73"/>
              <w:spacing w:before="112" w:line="218" w:lineRule="auto"/>
              <w:ind w:left="36"/>
              <w:rPr>
                <w:color w:val="auto"/>
                <w:sz w:val="20"/>
                <w:szCs w:val="20"/>
              </w:rPr>
            </w:pPr>
            <w:r>
              <w:rPr>
                <w:color w:val="auto"/>
                <w:spacing w:val="9"/>
                <w:sz w:val="20"/>
                <w:szCs w:val="20"/>
              </w:rPr>
              <w:t>序</w:t>
            </w:r>
            <w:r>
              <w:rPr>
                <w:color w:val="auto"/>
                <w:spacing w:val="-39"/>
                <w:sz w:val="20"/>
                <w:szCs w:val="20"/>
              </w:rPr>
              <w:t xml:space="preserve"> </w:t>
            </w:r>
            <w:r>
              <w:rPr>
                <w:color w:val="auto"/>
                <w:spacing w:val="9"/>
                <w:sz w:val="20"/>
                <w:szCs w:val="20"/>
              </w:rPr>
              <w:t>号</w:t>
            </w:r>
          </w:p>
        </w:tc>
        <w:tc>
          <w:tcPr>
            <w:tcW w:w="2889" w:type="dxa"/>
            <w:gridSpan w:val="2"/>
            <w:vAlign w:val="top"/>
          </w:tcPr>
          <w:p w14:paraId="07827A29">
            <w:pPr>
              <w:pStyle w:val="73"/>
              <w:spacing w:before="171" w:line="229" w:lineRule="auto"/>
              <w:ind w:left="858"/>
              <w:rPr>
                <w:color w:val="auto"/>
                <w:sz w:val="20"/>
                <w:szCs w:val="20"/>
              </w:rPr>
            </w:pPr>
            <w:r>
              <w:rPr>
                <w:color w:val="auto"/>
                <w:spacing w:val="7"/>
                <w:sz w:val="20"/>
                <w:szCs w:val="20"/>
              </w:rPr>
              <w:t>评分项目</w:t>
            </w:r>
          </w:p>
        </w:tc>
        <w:tc>
          <w:tcPr>
            <w:tcW w:w="5973" w:type="dxa"/>
            <w:vAlign w:val="top"/>
          </w:tcPr>
          <w:p w14:paraId="01C7F717">
            <w:pPr>
              <w:pStyle w:val="73"/>
              <w:spacing w:before="171" w:line="229" w:lineRule="auto"/>
              <w:ind w:left="2219"/>
              <w:rPr>
                <w:color w:val="auto"/>
                <w:sz w:val="20"/>
                <w:szCs w:val="20"/>
              </w:rPr>
            </w:pPr>
            <w:r>
              <w:rPr>
                <w:color w:val="auto"/>
                <w:spacing w:val="7"/>
                <w:sz w:val="20"/>
                <w:szCs w:val="20"/>
              </w:rPr>
              <w:t>评分标准</w:t>
            </w:r>
          </w:p>
        </w:tc>
      </w:tr>
      <w:tr w14:paraId="398BD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496" w:type="dxa"/>
            <w:vAlign w:val="top"/>
          </w:tcPr>
          <w:p w14:paraId="4910BFF9">
            <w:pPr>
              <w:spacing w:line="270" w:lineRule="auto"/>
              <w:rPr>
                <w:rFonts w:ascii="Arial"/>
                <w:color w:val="auto"/>
                <w:sz w:val="21"/>
              </w:rPr>
            </w:pPr>
          </w:p>
          <w:p w14:paraId="39D0DB1E">
            <w:pPr>
              <w:spacing w:line="270" w:lineRule="auto"/>
              <w:rPr>
                <w:rFonts w:ascii="Arial"/>
                <w:color w:val="auto"/>
                <w:sz w:val="21"/>
              </w:rPr>
            </w:pPr>
          </w:p>
          <w:p w14:paraId="1B7910BA">
            <w:pPr>
              <w:pStyle w:val="73"/>
              <w:spacing w:before="65" w:line="189" w:lineRule="auto"/>
              <w:ind w:left="132"/>
              <w:rPr>
                <w:color w:val="auto"/>
                <w:sz w:val="20"/>
                <w:szCs w:val="20"/>
              </w:rPr>
            </w:pPr>
            <w:r>
              <w:rPr>
                <w:color w:val="auto"/>
                <w:sz w:val="20"/>
                <w:szCs w:val="20"/>
              </w:rPr>
              <w:t>1</w:t>
            </w:r>
          </w:p>
        </w:tc>
        <w:tc>
          <w:tcPr>
            <w:tcW w:w="2889" w:type="dxa"/>
            <w:gridSpan w:val="2"/>
            <w:vAlign w:val="top"/>
          </w:tcPr>
          <w:p w14:paraId="13415CD8">
            <w:pPr>
              <w:spacing w:line="253" w:lineRule="auto"/>
              <w:rPr>
                <w:rFonts w:ascii="Arial"/>
                <w:color w:val="auto"/>
                <w:sz w:val="21"/>
              </w:rPr>
            </w:pPr>
          </w:p>
          <w:p w14:paraId="2B7E6725">
            <w:pPr>
              <w:spacing w:line="254" w:lineRule="auto"/>
              <w:rPr>
                <w:rFonts w:ascii="Arial"/>
                <w:color w:val="auto"/>
                <w:sz w:val="21"/>
              </w:rPr>
            </w:pPr>
          </w:p>
          <w:p w14:paraId="44C921D1">
            <w:pPr>
              <w:pStyle w:val="73"/>
              <w:spacing w:before="65" w:line="227" w:lineRule="auto"/>
              <w:ind w:left="334"/>
              <w:rPr>
                <w:color w:val="auto"/>
                <w:sz w:val="20"/>
                <w:szCs w:val="20"/>
              </w:rPr>
            </w:pPr>
            <w:r>
              <w:rPr>
                <w:color w:val="auto"/>
                <w:spacing w:val="7"/>
                <w:sz w:val="20"/>
                <w:szCs w:val="20"/>
              </w:rPr>
              <w:t>价格因素分（10分）</w:t>
            </w:r>
          </w:p>
        </w:tc>
        <w:tc>
          <w:tcPr>
            <w:tcW w:w="5973" w:type="dxa"/>
            <w:vAlign w:val="top"/>
          </w:tcPr>
          <w:p w14:paraId="22B676F6">
            <w:pPr>
              <w:pStyle w:val="73"/>
              <w:spacing w:before="30" w:line="244" w:lineRule="auto"/>
              <w:ind w:left="112" w:right="122"/>
              <w:jc w:val="both"/>
              <w:rPr>
                <w:color w:val="auto"/>
                <w:sz w:val="20"/>
                <w:szCs w:val="20"/>
              </w:rPr>
            </w:pPr>
            <w:r>
              <w:rPr>
                <w:color w:val="auto"/>
                <w:spacing w:val="9"/>
                <w:sz w:val="20"/>
                <w:szCs w:val="20"/>
              </w:rPr>
              <w:t>满足磋商文件要求且投标价格最低的最终投标报价为评标基准价，其价格分为满分。其他供应商的价格分统一</w:t>
            </w:r>
            <w:r>
              <w:rPr>
                <w:color w:val="auto"/>
                <w:spacing w:val="7"/>
                <w:sz w:val="20"/>
                <w:szCs w:val="20"/>
              </w:rPr>
              <w:t>按照下列公式计算：</w:t>
            </w:r>
          </w:p>
          <w:p w14:paraId="6F6FDBD0">
            <w:pPr>
              <w:pStyle w:val="73"/>
              <w:spacing w:before="23" w:line="235" w:lineRule="auto"/>
              <w:ind w:left="113" w:right="122" w:firstLine="1"/>
              <w:rPr>
                <w:color w:val="auto"/>
                <w:spacing w:val="8"/>
                <w:sz w:val="20"/>
                <w:szCs w:val="20"/>
              </w:rPr>
            </w:pPr>
            <w:r>
              <w:rPr>
                <w:color w:val="auto"/>
                <w:spacing w:val="8"/>
                <w:sz w:val="20"/>
                <w:szCs w:val="20"/>
              </w:rPr>
              <w:t>投标报价得分=（评标基准价/投标报价）*10%</w:t>
            </w:r>
            <w:r>
              <w:rPr>
                <w:color w:val="auto"/>
                <w:spacing w:val="7"/>
                <w:sz w:val="20"/>
                <w:szCs w:val="20"/>
              </w:rPr>
              <w:t>*100，四</w:t>
            </w:r>
            <w:r>
              <w:rPr>
                <w:color w:val="auto"/>
                <w:spacing w:val="8"/>
                <w:sz w:val="20"/>
                <w:szCs w:val="20"/>
              </w:rPr>
              <w:t>舍五入保留小数点后两位。</w:t>
            </w:r>
          </w:p>
          <w:p w14:paraId="51B8E51D">
            <w:pPr>
              <w:autoSpaceDE w:val="0"/>
              <w:autoSpaceDN w:val="0"/>
              <w:adjustRightInd w:val="0"/>
              <w:snapToGrid w:val="0"/>
              <w:spacing w:before="31" w:beforeLines="10" w:line="264" w:lineRule="auto"/>
              <w:rPr>
                <w:color w:val="auto"/>
                <w:spacing w:val="8"/>
                <w:sz w:val="20"/>
                <w:szCs w:val="20"/>
              </w:rPr>
            </w:pPr>
            <w:r>
              <w:rPr>
                <w:rFonts w:hint="eastAsia" w:ascii="宋体" w:hAnsi="宋体" w:eastAsia="宋体" w:cs="宋体"/>
                <w:color w:val="auto"/>
                <w:szCs w:val="21"/>
                <w:highlight w:val="none"/>
                <w:lang w:val="zh-CN" w:eastAsia="zh-CN"/>
              </w:rPr>
              <w:t>注：本项目报价执行关于推动解决政府采购异常低价问题的通知 （财库〔2026〕2号）文件内容。</w:t>
            </w:r>
          </w:p>
        </w:tc>
      </w:tr>
      <w:tr w14:paraId="47EFC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7" w:hRule="atLeast"/>
        </w:trPr>
        <w:tc>
          <w:tcPr>
            <w:tcW w:w="496" w:type="dxa"/>
            <w:vMerge w:val="restart"/>
            <w:tcBorders>
              <w:bottom w:val="nil"/>
            </w:tcBorders>
            <w:vAlign w:val="top"/>
          </w:tcPr>
          <w:p w14:paraId="05AB25AA">
            <w:pPr>
              <w:rPr>
                <w:rFonts w:ascii="Arial"/>
                <w:color w:val="auto"/>
                <w:sz w:val="21"/>
              </w:rPr>
            </w:pPr>
          </w:p>
          <w:p w14:paraId="7ED3BD0B">
            <w:pPr>
              <w:rPr>
                <w:rFonts w:ascii="Arial"/>
                <w:color w:val="auto"/>
                <w:sz w:val="21"/>
              </w:rPr>
            </w:pPr>
          </w:p>
          <w:p w14:paraId="4F337F4E">
            <w:pPr>
              <w:rPr>
                <w:rFonts w:ascii="Arial"/>
                <w:color w:val="auto"/>
                <w:sz w:val="21"/>
              </w:rPr>
            </w:pPr>
          </w:p>
          <w:p w14:paraId="3CA9D420">
            <w:pPr>
              <w:rPr>
                <w:rFonts w:ascii="Arial"/>
                <w:color w:val="auto"/>
                <w:sz w:val="21"/>
              </w:rPr>
            </w:pPr>
          </w:p>
          <w:p w14:paraId="7A58DA9D">
            <w:pPr>
              <w:rPr>
                <w:rFonts w:ascii="Arial"/>
                <w:color w:val="auto"/>
                <w:sz w:val="21"/>
              </w:rPr>
            </w:pPr>
          </w:p>
          <w:p w14:paraId="24DD2ED5">
            <w:pPr>
              <w:rPr>
                <w:rFonts w:ascii="Arial"/>
                <w:color w:val="auto"/>
                <w:sz w:val="21"/>
              </w:rPr>
            </w:pPr>
          </w:p>
          <w:p w14:paraId="25154677">
            <w:pPr>
              <w:spacing w:line="241" w:lineRule="auto"/>
              <w:rPr>
                <w:rFonts w:ascii="Arial"/>
                <w:color w:val="auto"/>
                <w:sz w:val="21"/>
              </w:rPr>
            </w:pPr>
          </w:p>
          <w:p w14:paraId="0FBF4A2C">
            <w:pPr>
              <w:spacing w:line="241" w:lineRule="auto"/>
              <w:rPr>
                <w:rFonts w:ascii="Arial"/>
                <w:color w:val="auto"/>
                <w:sz w:val="21"/>
              </w:rPr>
            </w:pPr>
          </w:p>
          <w:p w14:paraId="6F898F8E">
            <w:pPr>
              <w:spacing w:line="241" w:lineRule="auto"/>
              <w:rPr>
                <w:rFonts w:ascii="Arial"/>
                <w:color w:val="auto"/>
                <w:sz w:val="21"/>
              </w:rPr>
            </w:pPr>
          </w:p>
          <w:p w14:paraId="3E0FAE5C">
            <w:pPr>
              <w:spacing w:line="241" w:lineRule="auto"/>
              <w:rPr>
                <w:rFonts w:ascii="Arial"/>
                <w:color w:val="auto"/>
                <w:sz w:val="21"/>
              </w:rPr>
            </w:pPr>
          </w:p>
          <w:p w14:paraId="0A24DDF9">
            <w:pPr>
              <w:spacing w:line="241" w:lineRule="auto"/>
              <w:rPr>
                <w:rFonts w:ascii="Arial"/>
                <w:color w:val="auto"/>
                <w:sz w:val="21"/>
              </w:rPr>
            </w:pPr>
          </w:p>
          <w:p w14:paraId="4016EA49">
            <w:pPr>
              <w:spacing w:line="241" w:lineRule="auto"/>
              <w:rPr>
                <w:rFonts w:ascii="Arial"/>
                <w:color w:val="auto"/>
                <w:sz w:val="21"/>
              </w:rPr>
            </w:pPr>
          </w:p>
          <w:p w14:paraId="03BEA89E">
            <w:pPr>
              <w:spacing w:line="241" w:lineRule="auto"/>
              <w:rPr>
                <w:rFonts w:ascii="Arial"/>
                <w:color w:val="auto"/>
                <w:sz w:val="21"/>
              </w:rPr>
            </w:pPr>
          </w:p>
          <w:p w14:paraId="5A891360">
            <w:pPr>
              <w:spacing w:line="241" w:lineRule="auto"/>
              <w:rPr>
                <w:rFonts w:ascii="Arial"/>
                <w:color w:val="auto"/>
                <w:sz w:val="21"/>
              </w:rPr>
            </w:pPr>
          </w:p>
          <w:p w14:paraId="7FE6709D">
            <w:pPr>
              <w:spacing w:line="241" w:lineRule="auto"/>
              <w:rPr>
                <w:rFonts w:ascii="Arial"/>
                <w:color w:val="auto"/>
                <w:sz w:val="21"/>
              </w:rPr>
            </w:pPr>
          </w:p>
          <w:p w14:paraId="39777B17">
            <w:pPr>
              <w:spacing w:line="241" w:lineRule="auto"/>
              <w:rPr>
                <w:rFonts w:ascii="Arial"/>
                <w:color w:val="auto"/>
                <w:sz w:val="21"/>
              </w:rPr>
            </w:pPr>
          </w:p>
          <w:p w14:paraId="2D220813">
            <w:pPr>
              <w:spacing w:line="241" w:lineRule="auto"/>
              <w:rPr>
                <w:rFonts w:ascii="Arial"/>
                <w:color w:val="auto"/>
                <w:sz w:val="21"/>
              </w:rPr>
            </w:pPr>
          </w:p>
          <w:p w14:paraId="2307A91C">
            <w:pPr>
              <w:spacing w:line="241" w:lineRule="auto"/>
              <w:rPr>
                <w:rFonts w:ascii="Arial"/>
                <w:color w:val="auto"/>
                <w:sz w:val="21"/>
              </w:rPr>
            </w:pPr>
          </w:p>
          <w:p w14:paraId="26024069">
            <w:pPr>
              <w:spacing w:line="241" w:lineRule="auto"/>
              <w:rPr>
                <w:rFonts w:ascii="Arial"/>
                <w:color w:val="auto"/>
                <w:sz w:val="21"/>
              </w:rPr>
            </w:pPr>
          </w:p>
          <w:p w14:paraId="2132B208">
            <w:pPr>
              <w:spacing w:line="241" w:lineRule="auto"/>
              <w:rPr>
                <w:rFonts w:ascii="Arial"/>
                <w:color w:val="auto"/>
                <w:sz w:val="21"/>
              </w:rPr>
            </w:pPr>
          </w:p>
          <w:p w14:paraId="2ACCC3F1">
            <w:pPr>
              <w:spacing w:line="241" w:lineRule="auto"/>
              <w:rPr>
                <w:rFonts w:ascii="Arial"/>
                <w:color w:val="auto"/>
                <w:sz w:val="21"/>
              </w:rPr>
            </w:pPr>
          </w:p>
          <w:p w14:paraId="7EDA00E0">
            <w:pPr>
              <w:spacing w:line="241" w:lineRule="auto"/>
              <w:rPr>
                <w:rFonts w:ascii="Arial"/>
                <w:color w:val="auto"/>
                <w:sz w:val="21"/>
              </w:rPr>
            </w:pPr>
          </w:p>
          <w:p w14:paraId="7EC354AB">
            <w:pPr>
              <w:pStyle w:val="73"/>
              <w:spacing w:before="65" w:line="189" w:lineRule="auto"/>
              <w:ind w:left="119"/>
              <w:rPr>
                <w:color w:val="auto"/>
                <w:sz w:val="20"/>
                <w:szCs w:val="20"/>
              </w:rPr>
            </w:pPr>
            <w:r>
              <w:rPr>
                <w:color w:val="auto"/>
                <w:sz w:val="20"/>
                <w:szCs w:val="20"/>
              </w:rPr>
              <w:t>2</w:t>
            </w:r>
          </w:p>
        </w:tc>
        <w:tc>
          <w:tcPr>
            <w:tcW w:w="884" w:type="dxa"/>
            <w:vMerge w:val="restart"/>
            <w:tcBorders>
              <w:bottom w:val="nil"/>
            </w:tcBorders>
            <w:vAlign w:val="top"/>
          </w:tcPr>
          <w:p w14:paraId="76F2518D">
            <w:pPr>
              <w:spacing w:line="248" w:lineRule="auto"/>
              <w:rPr>
                <w:rFonts w:ascii="Arial"/>
                <w:color w:val="auto"/>
                <w:sz w:val="21"/>
              </w:rPr>
            </w:pPr>
          </w:p>
          <w:p w14:paraId="051BDDA6">
            <w:pPr>
              <w:spacing w:line="248" w:lineRule="auto"/>
              <w:rPr>
                <w:rFonts w:ascii="Arial"/>
                <w:color w:val="auto"/>
                <w:sz w:val="21"/>
              </w:rPr>
            </w:pPr>
          </w:p>
          <w:p w14:paraId="1F394276">
            <w:pPr>
              <w:spacing w:line="248" w:lineRule="auto"/>
              <w:rPr>
                <w:rFonts w:ascii="Arial"/>
                <w:color w:val="auto"/>
                <w:sz w:val="21"/>
              </w:rPr>
            </w:pPr>
          </w:p>
          <w:p w14:paraId="2A93E5C2">
            <w:pPr>
              <w:spacing w:line="248" w:lineRule="auto"/>
              <w:rPr>
                <w:rFonts w:ascii="Arial"/>
                <w:color w:val="auto"/>
                <w:sz w:val="21"/>
              </w:rPr>
            </w:pPr>
          </w:p>
          <w:p w14:paraId="02731043">
            <w:pPr>
              <w:spacing w:line="248" w:lineRule="auto"/>
              <w:rPr>
                <w:rFonts w:ascii="Arial"/>
                <w:color w:val="auto"/>
                <w:sz w:val="21"/>
              </w:rPr>
            </w:pPr>
          </w:p>
          <w:p w14:paraId="497B3661">
            <w:pPr>
              <w:spacing w:line="248" w:lineRule="auto"/>
              <w:rPr>
                <w:rFonts w:ascii="Arial"/>
                <w:color w:val="auto"/>
                <w:sz w:val="21"/>
              </w:rPr>
            </w:pPr>
          </w:p>
          <w:p w14:paraId="06DF8C2D">
            <w:pPr>
              <w:spacing w:line="248" w:lineRule="auto"/>
              <w:rPr>
                <w:rFonts w:ascii="Arial"/>
                <w:color w:val="auto"/>
                <w:sz w:val="21"/>
              </w:rPr>
            </w:pPr>
          </w:p>
          <w:p w14:paraId="2C428414">
            <w:pPr>
              <w:spacing w:line="248" w:lineRule="auto"/>
              <w:rPr>
                <w:rFonts w:ascii="Arial"/>
                <w:color w:val="auto"/>
                <w:sz w:val="21"/>
              </w:rPr>
            </w:pPr>
          </w:p>
          <w:p w14:paraId="3A3B3C34">
            <w:pPr>
              <w:spacing w:line="248" w:lineRule="auto"/>
              <w:rPr>
                <w:rFonts w:ascii="Arial"/>
                <w:color w:val="auto"/>
                <w:sz w:val="21"/>
              </w:rPr>
            </w:pPr>
          </w:p>
          <w:p w14:paraId="4F644EE5">
            <w:pPr>
              <w:spacing w:line="249" w:lineRule="auto"/>
              <w:rPr>
                <w:rFonts w:ascii="Arial"/>
                <w:color w:val="auto"/>
                <w:sz w:val="21"/>
              </w:rPr>
            </w:pPr>
          </w:p>
          <w:p w14:paraId="70CAA617">
            <w:pPr>
              <w:spacing w:line="249" w:lineRule="auto"/>
              <w:rPr>
                <w:rFonts w:ascii="Arial"/>
                <w:color w:val="auto"/>
                <w:sz w:val="21"/>
              </w:rPr>
            </w:pPr>
          </w:p>
          <w:p w14:paraId="12940FC2">
            <w:pPr>
              <w:spacing w:line="249" w:lineRule="auto"/>
              <w:rPr>
                <w:rFonts w:ascii="Arial"/>
                <w:color w:val="auto"/>
                <w:sz w:val="21"/>
              </w:rPr>
            </w:pPr>
          </w:p>
          <w:p w14:paraId="242BD580">
            <w:pPr>
              <w:spacing w:line="249" w:lineRule="auto"/>
              <w:rPr>
                <w:rFonts w:ascii="Arial"/>
                <w:color w:val="auto"/>
                <w:sz w:val="21"/>
              </w:rPr>
            </w:pPr>
          </w:p>
          <w:p w14:paraId="774AB75A">
            <w:pPr>
              <w:spacing w:line="249" w:lineRule="auto"/>
              <w:rPr>
                <w:rFonts w:ascii="Arial"/>
                <w:color w:val="auto"/>
                <w:sz w:val="21"/>
              </w:rPr>
            </w:pPr>
          </w:p>
          <w:p w14:paraId="14AE0358">
            <w:pPr>
              <w:spacing w:line="249" w:lineRule="auto"/>
              <w:rPr>
                <w:rFonts w:ascii="Arial"/>
                <w:color w:val="auto"/>
                <w:sz w:val="21"/>
              </w:rPr>
            </w:pPr>
          </w:p>
          <w:p w14:paraId="37B2D84D">
            <w:pPr>
              <w:spacing w:line="249" w:lineRule="auto"/>
              <w:rPr>
                <w:rFonts w:ascii="Arial"/>
                <w:color w:val="auto"/>
                <w:sz w:val="21"/>
              </w:rPr>
            </w:pPr>
          </w:p>
          <w:p w14:paraId="2A4C44D9">
            <w:pPr>
              <w:spacing w:line="249" w:lineRule="auto"/>
              <w:rPr>
                <w:rFonts w:ascii="Arial"/>
                <w:color w:val="auto"/>
                <w:sz w:val="21"/>
              </w:rPr>
            </w:pPr>
          </w:p>
          <w:p w14:paraId="68424491">
            <w:pPr>
              <w:spacing w:line="249" w:lineRule="auto"/>
              <w:rPr>
                <w:rFonts w:ascii="Arial"/>
                <w:color w:val="auto"/>
                <w:sz w:val="21"/>
              </w:rPr>
            </w:pPr>
          </w:p>
          <w:p w14:paraId="210E9AF4">
            <w:pPr>
              <w:spacing w:line="249" w:lineRule="auto"/>
              <w:rPr>
                <w:rFonts w:ascii="Arial"/>
                <w:color w:val="auto"/>
                <w:sz w:val="21"/>
              </w:rPr>
            </w:pPr>
          </w:p>
          <w:p w14:paraId="7FCF1E1A">
            <w:pPr>
              <w:pStyle w:val="73"/>
              <w:spacing w:before="65" w:line="247" w:lineRule="auto"/>
              <w:ind w:left="115" w:right="107" w:firstLine="70"/>
              <w:jc w:val="both"/>
              <w:rPr>
                <w:color w:val="auto"/>
                <w:sz w:val="20"/>
                <w:szCs w:val="20"/>
              </w:rPr>
            </w:pPr>
            <w:r>
              <w:rPr>
                <w:color w:val="auto"/>
                <w:spacing w:val="4"/>
                <w:sz w:val="20"/>
                <w:szCs w:val="20"/>
              </w:rPr>
              <w:t>技术</w:t>
            </w:r>
            <w:r>
              <w:rPr>
                <w:color w:val="auto"/>
                <w:sz w:val="20"/>
                <w:szCs w:val="20"/>
              </w:rPr>
              <w:t xml:space="preserve"> </w:t>
            </w:r>
            <w:r>
              <w:rPr>
                <w:color w:val="auto"/>
                <w:spacing w:val="39"/>
                <w:sz w:val="20"/>
                <w:szCs w:val="20"/>
              </w:rPr>
              <w:t>方案</w:t>
            </w:r>
            <w:r>
              <w:rPr>
                <w:color w:val="auto"/>
                <w:sz w:val="20"/>
                <w:szCs w:val="20"/>
              </w:rPr>
              <w:t xml:space="preserve"> </w:t>
            </w:r>
            <w:r>
              <w:rPr>
                <w:color w:val="auto"/>
                <w:spacing w:val="39"/>
                <w:sz w:val="20"/>
                <w:szCs w:val="20"/>
              </w:rPr>
              <w:t>因素</w:t>
            </w:r>
            <w:r>
              <w:rPr>
                <w:color w:val="auto"/>
                <w:sz w:val="20"/>
                <w:szCs w:val="20"/>
              </w:rPr>
              <w:t xml:space="preserve"> </w:t>
            </w:r>
            <w:r>
              <w:rPr>
                <w:color w:val="auto"/>
                <w:spacing w:val="-12"/>
                <w:sz w:val="20"/>
                <w:szCs w:val="20"/>
              </w:rPr>
              <w:t>分（70</w:t>
            </w:r>
            <w:r>
              <w:rPr>
                <w:color w:val="auto"/>
                <w:sz w:val="20"/>
                <w:szCs w:val="20"/>
              </w:rPr>
              <w:t xml:space="preserve"> </w:t>
            </w:r>
            <w:r>
              <w:rPr>
                <w:color w:val="auto"/>
                <w:spacing w:val="35"/>
                <w:sz w:val="20"/>
                <w:szCs w:val="20"/>
              </w:rPr>
              <w:t>分）</w:t>
            </w:r>
          </w:p>
        </w:tc>
        <w:tc>
          <w:tcPr>
            <w:tcW w:w="2005" w:type="dxa"/>
            <w:vAlign w:val="top"/>
          </w:tcPr>
          <w:p w14:paraId="6C276A3A">
            <w:pPr>
              <w:spacing w:line="264" w:lineRule="auto"/>
              <w:rPr>
                <w:rFonts w:ascii="Arial"/>
                <w:color w:val="auto"/>
                <w:sz w:val="21"/>
              </w:rPr>
            </w:pPr>
          </w:p>
          <w:p w14:paraId="337728C8">
            <w:pPr>
              <w:spacing w:line="265" w:lineRule="auto"/>
              <w:rPr>
                <w:rFonts w:ascii="Arial"/>
                <w:color w:val="auto"/>
                <w:sz w:val="21"/>
              </w:rPr>
            </w:pPr>
          </w:p>
          <w:p w14:paraId="37B085D6">
            <w:pPr>
              <w:spacing w:line="265" w:lineRule="auto"/>
              <w:rPr>
                <w:rFonts w:ascii="Arial"/>
                <w:color w:val="auto"/>
                <w:sz w:val="21"/>
              </w:rPr>
            </w:pPr>
          </w:p>
          <w:p w14:paraId="68619872">
            <w:pPr>
              <w:spacing w:line="265" w:lineRule="auto"/>
              <w:rPr>
                <w:rFonts w:ascii="Arial"/>
                <w:color w:val="auto"/>
                <w:sz w:val="21"/>
              </w:rPr>
            </w:pPr>
          </w:p>
          <w:p w14:paraId="2D4B6269">
            <w:pPr>
              <w:spacing w:line="265" w:lineRule="auto"/>
              <w:rPr>
                <w:rFonts w:ascii="Arial"/>
                <w:color w:val="auto"/>
                <w:sz w:val="21"/>
              </w:rPr>
            </w:pPr>
          </w:p>
          <w:p w14:paraId="2F74D99A">
            <w:pPr>
              <w:spacing w:line="265" w:lineRule="auto"/>
              <w:rPr>
                <w:rFonts w:ascii="Arial"/>
                <w:color w:val="auto"/>
                <w:sz w:val="21"/>
              </w:rPr>
            </w:pPr>
          </w:p>
          <w:p w14:paraId="0632ABF1">
            <w:pPr>
              <w:pStyle w:val="73"/>
              <w:spacing w:before="65" w:line="228" w:lineRule="auto"/>
              <w:ind w:left="263"/>
              <w:rPr>
                <w:color w:val="auto"/>
                <w:sz w:val="20"/>
                <w:szCs w:val="20"/>
              </w:rPr>
            </w:pPr>
            <w:r>
              <w:rPr>
                <w:color w:val="auto"/>
                <w:spacing w:val="7"/>
                <w:sz w:val="20"/>
                <w:szCs w:val="20"/>
              </w:rPr>
              <w:t>管理规章制度</w:t>
            </w:r>
          </w:p>
          <w:p w14:paraId="53AB9D20">
            <w:pPr>
              <w:pStyle w:val="73"/>
              <w:spacing w:before="24" w:line="229" w:lineRule="auto"/>
              <w:ind w:left="451"/>
              <w:rPr>
                <w:color w:val="auto"/>
                <w:sz w:val="20"/>
                <w:szCs w:val="20"/>
              </w:rPr>
            </w:pPr>
            <w:r>
              <w:rPr>
                <w:color w:val="auto"/>
                <w:sz w:val="20"/>
                <w:szCs w:val="20"/>
              </w:rPr>
              <w:t>（15</w:t>
            </w:r>
            <w:r>
              <w:rPr>
                <w:color w:val="auto"/>
                <w:spacing w:val="-38"/>
                <w:sz w:val="20"/>
                <w:szCs w:val="20"/>
              </w:rPr>
              <w:t xml:space="preserve"> </w:t>
            </w:r>
            <w:r>
              <w:rPr>
                <w:color w:val="auto"/>
                <w:sz w:val="20"/>
                <w:szCs w:val="20"/>
              </w:rPr>
              <w:t>分）</w:t>
            </w:r>
          </w:p>
        </w:tc>
        <w:tc>
          <w:tcPr>
            <w:tcW w:w="5973" w:type="dxa"/>
            <w:vAlign w:val="top"/>
          </w:tcPr>
          <w:p w14:paraId="2986CFB5">
            <w:pPr>
              <w:pStyle w:val="73"/>
              <w:spacing w:before="33" w:line="247" w:lineRule="auto"/>
              <w:ind w:left="112" w:right="67" w:firstLine="10"/>
              <w:jc w:val="both"/>
              <w:rPr>
                <w:color w:val="auto"/>
                <w:sz w:val="20"/>
                <w:szCs w:val="20"/>
              </w:rPr>
            </w:pPr>
            <w:r>
              <w:rPr>
                <w:color w:val="auto"/>
                <w:spacing w:val="10"/>
                <w:sz w:val="20"/>
                <w:szCs w:val="20"/>
              </w:rPr>
              <w:t>（1）</w:t>
            </w:r>
            <w:r>
              <w:rPr>
                <w:rFonts w:hint="eastAsia"/>
                <w:color w:val="auto"/>
                <w:spacing w:val="10"/>
                <w:sz w:val="20"/>
                <w:szCs w:val="20"/>
                <w:lang w:val="en-US" w:eastAsia="zh-CN"/>
              </w:rPr>
              <w:t>外包</w:t>
            </w:r>
            <w:r>
              <w:rPr>
                <w:color w:val="auto"/>
                <w:spacing w:val="10"/>
                <w:sz w:val="20"/>
                <w:szCs w:val="20"/>
              </w:rPr>
              <w:t>服务员工守则（手册</w:t>
            </w:r>
            <w:r>
              <w:rPr>
                <w:color w:val="auto"/>
                <w:sz w:val="20"/>
                <w:szCs w:val="20"/>
              </w:rPr>
              <w:t>）；（</w:t>
            </w:r>
            <w:r>
              <w:rPr>
                <w:color w:val="auto"/>
                <w:spacing w:val="10"/>
                <w:sz w:val="20"/>
                <w:szCs w:val="20"/>
              </w:rPr>
              <w:t>2）项目基本管理</w:t>
            </w:r>
            <w:r>
              <w:rPr>
                <w:color w:val="auto"/>
                <w:spacing w:val="9"/>
                <w:sz w:val="20"/>
                <w:szCs w:val="20"/>
              </w:rPr>
              <w:t>制度（包括但不限于：项目人力资源管理制度、项目质量管理制度、项目进度及沟通管理制度、项目培训管理</w:t>
            </w:r>
            <w:r>
              <w:rPr>
                <w:color w:val="auto"/>
                <w:spacing w:val="12"/>
                <w:sz w:val="20"/>
                <w:szCs w:val="20"/>
              </w:rPr>
              <w:t xml:space="preserve"> </w:t>
            </w:r>
            <w:r>
              <w:rPr>
                <w:color w:val="auto"/>
                <w:spacing w:val="8"/>
                <w:sz w:val="20"/>
                <w:szCs w:val="20"/>
              </w:rPr>
              <w:t>制度等</w:t>
            </w:r>
            <w:r>
              <w:rPr>
                <w:color w:val="auto"/>
                <w:spacing w:val="2"/>
                <w:sz w:val="20"/>
                <w:szCs w:val="20"/>
              </w:rPr>
              <w:t>）；（</w:t>
            </w:r>
            <w:r>
              <w:rPr>
                <w:color w:val="auto"/>
                <w:spacing w:val="8"/>
                <w:sz w:val="20"/>
                <w:szCs w:val="20"/>
              </w:rPr>
              <w:t>3）</w:t>
            </w:r>
            <w:r>
              <w:rPr>
                <w:rFonts w:hint="eastAsia"/>
                <w:color w:val="auto"/>
                <w:spacing w:val="8"/>
                <w:sz w:val="20"/>
                <w:szCs w:val="20"/>
                <w:lang w:val="en-US" w:eastAsia="zh-CN"/>
              </w:rPr>
              <w:t>外包</w:t>
            </w:r>
            <w:r>
              <w:rPr>
                <w:color w:val="auto"/>
                <w:spacing w:val="8"/>
                <w:sz w:val="20"/>
                <w:szCs w:val="20"/>
              </w:rPr>
              <w:t>服务人员稳定性保障措施及办法；</w:t>
            </w:r>
            <w:r>
              <w:rPr>
                <w:color w:val="auto"/>
                <w:spacing w:val="2"/>
                <w:sz w:val="20"/>
                <w:szCs w:val="20"/>
              </w:rPr>
              <w:t xml:space="preserve"> </w:t>
            </w:r>
            <w:r>
              <w:rPr>
                <w:color w:val="auto"/>
                <w:spacing w:val="10"/>
                <w:sz w:val="20"/>
                <w:szCs w:val="20"/>
              </w:rPr>
              <w:t>（4）</w:t>
            </w:r>
            <w:r>
              <w:rPr>
                <w:rFonts w:hint="eastAsia"/>
                <w:color w:val="auto"/>
                <w:spacing w:val="10"/>
                <w:sz w:val="20"/>
                <w:szCs w:val="20"/>
                <w:lang w:val="en-US" w:eastAsia="zh-CN"/>
              </w:rPr>
              <w:t>外包</w:t>
            </w:r>
            <w:r>
              <w:rPr>
                <w:color w:val="auto"/>
                <w:spacing w:val="10"/>
                <w:sz w:val="20"/>
                <w:szCs w:val="20"/>
              </w:rPr>
              <w:t>员工服务项目应急预案和处置预案</w:t>
            </w:r>
            <w:r>
              <w:rPr>
                <w:color w:val="auto"/>
                <w:spacing w:val="-1"/>
                <w:sz w:val="20"/>
                <w:szCs w:val="20"/>
              </w:rPr>
              <w:t>；（</w:t>
            </w:r>
            <w:r>
              <w:rPr>
                <w:color w:val="auto"/>
                <w:spacing w:val="10"/>
                <w:sz w:val="20"/>
                <w:szCs w:val="20"/>
              </w:rPr>
              <w:t>5）</w:t>
            </w:r>
            <w:r>
              <w:rPr>
                <w:rFonts w:hint="eastAsia"/>
                <w:color w:val="auto"/>
                <w:spacing w:val="10"/>
                <w:sz w:val="20"/>
                <w:szCs w:val="20"/>
                <w:lang w:val="en-US" w:eastAsia="zh-CN"/>
              </w:rPr>
              <w:t>外包</w:t>
            </w:r>
            <w:r>
              <w:rPr>
                <w:color w:val="auto"/>
                <w:spacing w:val="8"/>
                <w:sz w:val="20"/>
                <w:szCs w:val="20"/>
              </w:rPr>
              <w:t>员工服务项目的安全保障及保密规范。</w:t>
            </w:r>
          </w:p>
          <w:p w14:paraId="5D3C08F0">
            <w:pPr>
              <w:pStyle w:val="73"/>
              <w:spacing w:before="25" w:line="244" w:lineRule="auto"/>
              <w:ind w:left="113" w:right="120"/>
              <w:jc w:val="both"/>
              <w:rPr>
                <w:color w:val="auto"/>
                <w:sz w:val="20"/>
                <w:szCs w:val="20"/>
              </w:rPr>
            </w:pPr>
            <w:r>
              <w:rPr>
                <w:color w:val="auto"/>
                <w:spacing w:val="9"/>
                <w:sz w:val="20"/>
                <w:szCs w:val="20"/>
              </w:rPr>
              <w:t>方案措施完整且切实可行，无条件服从风险管理方面的要求，规章制度健全、科学合理且可操作性强，视为优</w:t>
            </w:r>
            <w:r>
              <w:rPr>
                <w:color w:val="auto"/>
                <w:spacing w:val="-4"/>
                <w:sz w:val="20"/>
                <w:szCs w:val="20"/>
              </w:rPr>
              <w:t>得</w:t>
            </w:r>
            <w:r>
              <w:rPr>
                <w:color w:val="auto"/>
                <w:spacing w:val="-18"/>
                <w:sz w:val="20"/>
                <w:szCs w:val="20"/>
              </w:rPr>
              <w:t xml:space="preserve"> </w:t>
            </w:r>
            <w:r>
              <w:rPr>
                <w:color w:val="auto"/>
                <w:spacing w:val="-4"/>
                <w:sz w:val="20"/>
                <w:szCs w:val="20"/>
              </w:rPr>
              <w:t>15</w:t>
            </w:r>
            <w:r>
              <w:rPr>
                <w:color w:val="auto"/>
                <w:spacing w:val="-38"/>
                <w:sz w:val="20"/>
                <w:szCs w:val="20"/>
              </w:rPr>
              <w:t xml:space="preserve"> </w:t>
            </w:r>
            <w:r>
              <w:rPr>
                <w:color w:val="auto"/>
                <w:spacing w:val="-4"/>
                <w:sz w:val="20"/>
                <w:szCs w:val="20"/>
              </w:rPr>
              <w:t>分；</w:t>
            </w:r>
          </w:p>
          <w:p w14:paraId="676F2A61">
            <w:pPr>
              <w:pStyle w:val="73"/>
              <w:spacing w:before="26" w:line="239" w:lineRule="auto"/>
              <w:ind w:left="113" w:right="172"/>
              <w:rPr>
                <w:color w:val="auto"/>
                <w:sz w:val="20"/>
                <w:szCs w:val="20"/>
              </w:rPr>
            </w:pPr>
            <w:r>
              <w:rPr>
                <w:color w:val="auto"/>
                <w:spacing w:val="7"/>
                <w:sz w:val="20"/>
                <w:szCs w:val="20"/>
              </w:rPr>
              <w:t>方案措施完整且可行，大致服从风险管理方面的要求，规章制度较健全、合理且有可操作视为良得</w:t>
            </w:r>
            <w:r>
              <w:rPr>
                <w:color w:val="auto"/>
                <w:spacing w:val="-19"/>
                <w:sz w:val="20"/>
                <w:szCs w:val="20"/>
              </w:rPr>
              <w:t xml:space="preserve"> </w:t>
            </w:r>
            <w:r>
              <w:rPr>
                <w:color w:val="auto"/>
                <w:spacing w:val="7"/>
                <w:sz w:val="20"/>
                <w:szCs w:val="20"/>
              </w:rPr>
              <w:t>10</w:t>
            </w:r>
            <w:r>
              <w:rPr>
                <w:color w:val="auto"/>
                <w:spacing w:val="-38"/>
                <w:sz w:val="20"/>
                <w:szCs w:val="20"/>
              </w:rPr>
              <w:t xml:space="preserve"> </w:t>
            </w:r>
            <w:r>
              <w:rPr>
                <w:color w:val="auto"/>
                <w:spacing w:val="7"/>
                <w:sz w:val="20"/>
                <w:szCs w:val="20"/>
              </w:rPr>
              <w:t>分；</w:t>
            </w:r>
          </w:p>
          <w:p w14:paraId="2171B148">
            <w:pPr>
              <w:pStyle w:val="73"/>
              <w:spacing w:before="24" w:line="241" w:lineRule="auto"/>
              <w:ind w:left="114" w:right="171" w:hanging="1"/>
              <w:rPr>
                <w:color w:val="auto"/>
                <w:sz w:val="20"/>
                <w:szCs w:val="20"/>
              </w:rPr>
            </w:pPr>
            <w:r>
              <w:rPr>
                <w:color w:val="auto"/>
                <w:spacing w:val="9"/>
                <w:sz w:val="20"/>
                <w:szCs w:val="20"/>
              </w:rPr>
              <w:t>方案措施不完整，规章制度一般、较合理视</w:t>
            </w:r>
            <w:r>
              <w:rPr>
                <w:color w:val="auto"/>
                <w:spacing w:val="8"/>
                <w:sz w:val="20"/>
                <w:szCs w:val="20"/>
              </w:rPr>
              <w:t>为一般得</w:t>
            </w:r>
            <w:r>
              <w:rPr>
                <w:color w:val="auto"/>
                <w:spacing w:val="-33"/>
                <w:sz w:val="20"/>
                <w:szCs w:val="20"/>
              </w:rPr>
              <w:t xml:space="preserve"> </w:t>
            </w:r>
            <w:r>
              <w:rPr>
                <w:color w:val="auto"/>
                <w:spacing w:val="8"/>
                <w:sz w:val="20"/>
                <w:szCs w:val="20"/>
              </w:rPr>
              <w:t>5</w:t>
            </w:r>
            <w:r>
              <w:rPr>
                <w:color w:val="auto"/>
                <w:sz w:val="20"/>
                <w:szCs w:val="20"/>
              </w:rPr>
              <w:t xml:space="preserve"> </w:t>
            </w:r>
            <w:r>
              <w:rPr>
                <w:color w:val="auto"/>
                <w:spacing w:val="-1"/>
                <w:sz w:val="20"/>
                <w:szCs w:val="20"/>
              </w:rPr>
              <w:t>分。</w:t>
            </w:r>
          </w:p>
          <w:p w14:paraId="05DFD1CB">
            <w:pPr>
              <w:pStyle w:val="73"/>
              <w:spacing w:before="23" w:line="218" w:lineRule="auto"/>
              <w:ind w:left="138"/>
              <w:rPr>
                <w:color w:val="auto"/>
                <w:sz w:val="20"/>
                <w:szCs w:val="20"/>
              </w:rPr>
            </w:pPr>
            <w:r>
              <w:rPr>
                <w:color w:val="auto"/>
                <w:spacing w:val="7"/>
                <w:sz w:val="20"/>
                <w:szCs w:val="20"/>
              </w:rPr>
              <w:t>内容差且不合理或无此项内容不得分。</w:t>
            </w:r>
          </w:p>
        </w:tc>
      </w:tr>
      <w:tr w14:paraId="3BE2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7" w:hRule="atLeast"/>
        </w:trPr>
        <w:tc>
          <w:tcPr>
            <w:tcW w:w="496" w:type="dxa"/>
            <w:vMerge w:val="continue"/>
            <w:tcBorders>
              <w:top w:val="nil"/>
              <w:bottom w:val="nil"/>
            </w:tcBorders>
            <w:vAlign w:val="top"/>
          </w:tcPr>
          <w:p w14:paraId="7D040C9A">
            <w:pPr>
              <w:rPr>
                <w:rFonts w:ascii="Arial"/>
                <w:color w:val="auto"/>
                <w:sz w:val="21"/>
              </w:rPr>
            </w:pPr>
          </w:p>
        </w:tc>
        <w:tc>
          <w:tcPr>
            <w:tcW w:w="884" w:type="dxa"/>
            <w:vMerge w:val="continue"/>
            <w:tcBorders>
              <w:top w:val="nil"/>
              <w:bottom w:val="nil"/>
            </w:tcBorders>
            <w:vAlign w:val="top"/>
          </w:tcPr>
          <w:p w14:paraId="044A4D62">
            <w:pPr>
              <w:rPr>
                <w:rFonts w:ascii="Arial"/>
                <w:color w:val="auto"/>
                <w:sz w:val="21"/>
              </w:rPr>
            </w:pPr>
          </w:p>
        </w:tc>
        <w:tc>
          <w:tcPr>
            <w:tcW w:w="2005" w:type="dxa"/>
            <w:vAlign w:val="top"/>
          </w:tcPr>
          <w:p w14:paraId="359A8F10">
            <w:pPr>
              <w:spacing w:line="259" w:lineRule="auto"/>
              <w:rPr>
                <w:rFonts w:ascii="Arial"/>
                <w:color w:val="auto"/>
                <w:sz w:val="21"/>
              </w:rPr>
            </w:pPr>
          </w:p>
          <w:p w14:paraId="76747DA3">
            <w:pPr>
              <w:spacing w:line="259" w:lineRule="auto"/>
              <w:rPr>
                <w:rFonts w:ascii="Arial"/>
                <w:color w:val="auto"/>
                <w:sz w:val="21"/>
              </w:rPr>
            </w:pPr>
          </w:p>
          <w:p w14:paraId="159A75A6">
            <w:pPr>
              <w:spacing w:line="260" w:lineRule="auto"/>
              <w:rPr>
                <w:rFonts w:ascii="Arial"/>
                <w:color w:val="auto"/>
                <w:sz w:val="21"/>
              </w:rPr>
            </w:pPr>
          </w:p>
          <w:p w14:paraId="06DDB20E">
            <w:pPr>
              <w:pStyle w:val="73"/>
              <w:spacing w:before="65" w:line="228" w:lineRule="auto"/>
              <w:ind w:left="261"/>
              <w:rPr>
                <w:color w:val="auto"/>
                <w:sz w:val="20"/>
                <w:szCs w:val="20"/>
              </w:rPr>
            </w:pPr>
            <w:r>
              <w:rPr>
                <w:color w:val="auto"/>
                <w:spacing w:val="7"/>
                <w:sz w:val="20"/>
                <w:szCs w:val="20"/>
              </w:rPr>
              <w:t>人员劳资管理</w:t>
            </w:r>
          </w:p>
          <w:p w14:paraId="6E738F7F">
            <w:pPr>
              <w:pStyle w:val="73"/>
              <w:spacing w:before="26" w:line="229" w:lineRule="auto"/>
              <w:ind w:left="451"/>
              <w:rPr>
                <w:color w:val="auto"/>
                <w:sz w:val="20"/>
                <w:szCs w:val="20"/>
              </w:rPr>
            </w:pPr>
            <w:r>
              <w:rPr>
                <w:color w:val="auto"/>
                <w:sz w:val="20"/>
                <w:szCs w:val="20"/>
              </w:rPr>
              <w:t>（10</w:t>
            </w:r>
            <w:r>
              <w:rPr>
                <w:color w:val="auto"/>
                <w:spacing w:val="-38"/>
                <w:sz w:val="20"/>
                <w:szCs w:val="20"/>
              </w:rPr>
              <w:t xml:space="preserve"> </w:t>
            </w:r>
            <w:r>
              <w:rPr>
                <w:color w:val="auto"/>
                <w:sz w:val="20"/>
                <w:szCs w:val="20"/>
              </w:rPr>
              <w:t>分）</w:t>
            </w:r>
          </w:p>
        </w:tc>
        <w:tc>
          <w:tcPr>
            <w:tcW w:w="5973" w:type="dxa"/>
            <w:vAlign w:val="top"/>
          </w:tcPr>
          <w:p w14:paraId="252194B9">
            <w:pPr>
              <w:pStyle w:val="73"/>
              <w:spacing w:before="31" w:line="244" w:lineRule="auto"/>
              <w:ind w:left="114" w:right="107"/>
              <w:jc w:val="both"/>
              <w:rPr>
                <w:color w:val="auto"/>
                <w:sz w:val="20"/>
                <w:szCs w:val="20"/>
              </w:rPr>
            </w:pPr>
            <w:r>
              <w:rPr>
                <w:rFonts w:hint="eastAsia"/>
                <w:color w:val="auto"/>
                <w:spacing w:val="9"/>
                <w:sz w:val="20"/>
                <w:szCs w:val="20"/>
                <w:lang w:val="en-US" w:eastAsia="zh-CN"/>
              </w:rPr>
              <w:t>外包</w:t>
            </w:r>
            <w:r>
              <w:rPr>
                <w:color w:val="auto"/>
                <w:spacing w:val="9"/>
                <w:sz w:val="20"/>
                <w:szCs w:val="20"/>
              </w:rPr>
              <w:t>人员劳资管理方案科学合理，具有经验丰富、管理</w:t>
            </w:r>
            <w:r>
              <w:rPr>
                <w:color w:val="auto"/>
                <w:spacing w:val="10"/>
                <w:sz w:val="20"/>
                <w:szCs w:val="20"/>
              </w:rPr>
              <w:t xml:space="preserve"> </w:t>
            </w:r>
            <w:r>
              <w:rPr>
                <w:color w:val="auto"/>
                <w:spacing w:val="6"/>
                <w:sz w:val="20"/>
                <w:szCs w:val="20"/>
              </w:rPr>
              <w:t>能力强的专职人力专员，完全满足项目需要的，优得</w:t>
            </w:r>
            <w:r>
              <w:rPr>
                <w:color w:val="auto"/>
                <w:spacing w:val="-9"/>
                <w:sz w:val="20"/>
                <w:szCs w:val="20"/>
              </w:rPr>
              <w:t xml:space="preserve"> </w:t>
            </w:r>
            <w:r>
              <w:rPr>
                <w:color w:val="auto"/>
                <w:spacing w:val="6"/>
                <w:sz w:val="20"/>
                <w:szCs w:val="20"/>
              </w:rPr>
              <w:t>10</w:t>
            </w:r>
            <w:r>
              <w:rPr>
                <w:color w:val="auto"/>
                <w:sz w:val="20"/>
                <w:szCs w:val="20"/>
              </w:rPr>
              <w:t xml:space="preserve"> </w:t>
            </w:r>
            <w:r>
              <w:rPr>
                <w:color w:val="auto"/>
                <w:spacing w:val="-1"/>
                <w:sz w:val="20"/>
                <w:szCs w:val="20"/>
              </w:rPr>
              <w:t>分；</w:t>
            </w:r>
          </w:p>
          <w:p w14:paraId="22E79D7F">
            <w:pPr>
              <w:pStyle w:val="73"/>
              <w:spacing w:before="26" w:line="239" w:lineRule="auto"/>
              <w:ind w:left="111" w:right="122" w:firstLine="2"/>
              <w:rPr>
                <w:color w:val="auto"/>
                <w:sz w:val="20"/>
                <w:szCs w:val="20"/>
              </w:rPr>
            </w:pPr>
            <w:r>
              <w:rPr>
                <w:rFonts w:hint="eastAsia"/>
                <w:color w:val="auto"/>
                <w:spacing w:val="9"/>
                <w:sz w:val="20"/>
                <w:szCs w:val="20"/>
                <w:lang w:val="en-US" w:eastAsia="zh-CN"/>
              </w:rPr>
              <w:t>外包</w:t>
            </w:r>
            <w:r>
              <w:rPr>
                <w:color w:val="auto"/>
                <w:spacing w:val="9"/>
                <w:sz w:val="20"/>
                <w:szCs w:val="20"/>
              </w:rPr>
              <w:t>人员劳资管理方案较合理，经验一般、管理能力一</w:t>
            </w:r>
            <w:r>
              <w:rPr>
                <w:color w:val="auto"/>
                <w:spacing w:val="10"/>
                <w:sz w:val="20"/>
                <w:szCs w:val="20"/>
              </w:rPr>
              <w:t xml:space="preserve"> </w:t>
            </w:r>
            <w:r>
              <w:rPr>
                <w:color w:val="auto"/>
                <w:spacing w:val="6"/>
                <w:sz w:val="20"/>
                <w:szCs w:val="20"/>
              </w:rPr>
              <w:t>般，较满足项目需要的得</w:t>
            </w:r>
            <w:r>
              <w:rPr>
                <w:color w:val="auto"/>
                <w:spacing w:val="-26"/>
                <w:sz w:val="20"/>
                <w:szCs w:val="20"/>
              </w:rPr>
              <w:t xml:space="preserve"> </w:t>
            </w:r>
            <w:r>
              <w:rPr>
                <w:color w:val="auto"/>
                <w:spacing w:val="6"/>
                <w:sz w:val="20"/>
                <w:szCs w:val="20"/>
              </w:rPr>
              <w:t>5</w:t>
            </w:r>
            <w:r>
              <w:rPr>
                <w:color w:val="auto"/>
                <w:spacing w:val="-38"/>
                <w:sz w:val="20"/>
                <w:szCs w:val="20"/>
              </w:rPr>
              <w:t xml:space="preserve"> </w:t>
            </w:r>
            <w:r>
              <w:rPr>
                <w:color w:val="auto"/>
                <w:spacing w:val="6"/>
                <w:sz w:val="20"/>
                <w:szCs w:val="20"/>
              </w:rPr>
              <w:t>分；</w:t>
            </w:r>
          </w:p>
          <w:p w14:paraId="30EC2E68">
            <w:pPr>
              <w:pStyle w:val="73"/>
              <w:spacing w:before="24"/>
              <w:ind w:left="117" w:right="122" w:hanging="3"/>
              <w:rPr>
                <w:color w:val="auto"/>
                <w:sz w:val="20"/>
                <w:szCs w:val="20"/>
              </w:rPr>
            </w:pPr>
            <w:r>
              <w:rPr>
                <w:rFonts w:hint="eastAsia"/>
                <w:color w:val="auto"/>
                <w:spacing w:val="9"/>
                <w:sz w:val="20"/>
                <w:szCs w:val="20"/>
                <w:lang w:val="en-US" w:eastAsia="zh-CN"/>
              </w:rPr>
              <w:t>外包</w:t>
            </w:r>
            <w:r>
              <w:rPr>
                <w:color w:val="auto"/>
                <w:spacing w:val="9"/>
                <w:sz w:val="20"/>
                <w:szCs w:val="20"/>
              </w:rPr>
              <w:t>人员劳资管理方案较合理，无经验，管理能力不确</w:t>
            </w:r>
            <w:r>
              <w:rPr>
                <w:color w:val="auto"/>
                <w:spacing w:val="10"/>
                <w:sz w:val="20"/>
                <w:szCs w:val="20"/>
              </w:rPr>
              <w:t xml:space="preserve"> </w:t>
            </w:r>
            <w:r>
              <w:rPr>
                <w:color w:val="auto"/>
                <w:spacing w:val="1"/>
                <w:sz w:val="20"/>
                <w:szCs w:val="20"/>
              </w:rPr>
              <w:t>定的得</w:t>
            </w:r>
            <w:r>
              <w:rPr>
                <w:color w:val="auto"/>
                <w:spacing w:val="-34"/>
                <w:sz w:val="20"/>
                <w:szCs w:val="20"/>
              </w:rPr>
              <w:t xml:space="preserve"> </w:t>
            </w:r>
            <w:r>
              <w:rPr>
                <w:color w:val="auto"/>
                <w:spacing w:val="1"/>
                <w:sz w:val="20"/>
                <w:szCs w:val="20"/>
              </w:rPr>
              <w:t>2</w:t>
            </w:r>
            <w:r>
              <w:rPr>
                <w:color w:val="auto"/>
                <w:spacing w:val="-38"/>
                <w:sz w:val="20"/>
                <w:szCs w:val="20"/>
              </w:rPr>
              <w:t xml:space="preserve"> </w:t>
            </w:r>
            <w:r>
              <w:rPr>
                <w:color w:val="auto"/>
                <w:spacing w:val="1"/>
                <w:sz w:val="20"/>
                <w:szCs w:val="20"/>
              </w:rPr>
              <w:t>分；</w:t>
            </w:r>
          </w:p>
          <w:p w14:paraId="00B3E574">
            <w:pPr>
              <w:pStyle w:val="73"/>
              <w:spacing w:before="24" w:line="216" w:lineRule="auto"/>
              <w:ind w:left="114"/>
              <w:rPr>
                <w:color w:val="auto"/>
                <w:sz w:val="20"/>
                <w:szCs w:val="20"/>
              </w:rPr>
            </w:pPr>
            <w:r>
              <w:rPr>
                <w:rFonts w:hint="eastAsia"/>
                <w:color w:val="auto"/>
                <w:spacing w:val="7"/>
                <w:sz w:val="20"/>
                <w:szCs w:val="20"/>
                <w:lang w:val="en-US" w:eastAsia="zh-CN"/>
              </w:rPr>
              <w:t>外包</w:t>
            </w:r>
            <w:r>
              <w:rPr>
                <w:color w:val="auto"/>
                <w:spacing w:val="7"/>
                <w:sz w:val="20"/>
                <w:szCs w:val="20"/>
              </w:rPr>
              <w:t>人员劳资管理方案差或不提供得</w:t>
            </w:r>
            <w:r>
              <w:rPr>
                <w:color w:val="auto"/>
                <w:spacing w:val="-29"/>
                <w:sz w:val="20"/>
                <w:szCs w:val="20"/>
              </w:rPr>
              <w:t xml:space="preserve"> </w:t>
            </w:r>
            <w:r>
              <w:rPr>
                <w:color w:val="auto"/>
                <w:spacing w:val="7"/>
                <w:sz w:val="20"/>
                <w:szCs w:val="20"/>
              </w:rPr>
              <w:t>0</w:t>
            </w:r>
            <w:r>
              <w:rPr>
                <w:color w:val="auto"/>
                <w:spacing w:val="-35"/>
                <w:sz w:val="20"/>
                <w:szCs w:val="20"/>
              </w:rPr>
              <w:t xml:space="preserve"> </w:t>
            </w:r>
            <w:r>
              <w:rPr>
                <w:color w:val="auto"/>
                <w:spacing w:val="7"/>
                <w:sz w:val="20"/>
                <w:szCs w:val="20"/>
              </w:rPr>
              <w:t>分。</w:t>
            </w:r>
          </w:p>
        </w:tc>
      </w:tr>
      <w:tr w14:paraId="53262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0" w:hRule="atLeast"/>
        </w:trPr>
        <w:tc>
          <w:tcPr>
            <w:tcW w:w="496" w:type="dxa"/>
            <w:vMerge w:val="continue"/>
            <w:tcBorders>
              <w:top w:val="nil"/>
              <w:bottom w:val="nil"/>
            </w:tcBorders>
            <w:vAlign w:val="top"/>
          </w:tcPr>
          <w:p w14:paraId="4E05022D">
            <w:pPr>
              <w:rPr>
                <w:rFonts w:ascii="Arial"/>
                <w:color w:val="auto"/>
                <w:sz w:val="21"/>
              </w:rPr>
            </w:pPr>
          </w:p>
        </w:tc>
        <w:tc>
          <w:tcPr>
            <w:tcW w:w="884" w:type="dxa"/>
            <w:vMerge w:val="continue"/>
            <w:tcBorders>
              <w:top w:val="nil"/>
              <w:bottom w:val="nil"/>
            </w:tcBorders>
            <w:vAlign w:val="top"/>
          </w:tcPr>
          <w:p w14:paraId="2FBFABBC">
            <w:pPr>
              <w:rPr>
                <w:rFonts w:ascii="Arial"/>
                <w:color w:val="auto"/>
                <w:sz w:val="21"/>
              </w:rPr>
            </w:pPr>
          </w:p>
        </w:tc>
        <w:tc>
          <w:tcPr>
            <w:tcW w:w="2005" w:type="dxa"/>
            <w:vAlign w:val="top"/>
          </w:tcPr>
          <w:p w14:paraId="315F5027">
            <w:pPr>
              <w:spacing w:line="323" w:lineRule="auto"/>
              <w:rPr>
                <w:rFonts w:ascii="Arial"/>
                <w:color w:val="auto"/>
                <w:sz w:val="21"/>
              </w:rPr>
            </w:pPr>
          </w:p>
          <w:p w14:paraId="6377A327">
            <w:pPr>
              <w:spacing w:line="323" w:lineRule="auto"/>
              <w:rPr>
                <w:rFonts w:ascii="Arial"/>
                <w:color w:val="auto"/>
                <w:sz w:val="21"/>
              </w:rPr>
            </w:pPr>
          </w:p>
          <w:p w14:paraId="0E8982D8">
            <w:pPr>
              <w:pStyle w:val="73"/>
              <w:spacing w:before="65" w:line="229" w:lineRule="auto"/>
              <w:ind w:left="261"/>
              <w:rPr>
                <w:color w:val="auto"/>
                <w:sz w:val="20"/>
                <w:szCs w:val="20"/>
              </w:rPr>
            </w:pPr>
            <w:r>
              <w:rPr>
                <w:color w:val="auto"/>
                <w:spacing w:val="7"/>
                <w:sz w:val="20"/>
                <w:szCs w:val="20"/>
              </w:rPr>
              <w:t>人员培训方案</w:t>
            </w:r>
          </w:p>
          <w:p w14:paraId="68A83E10">
            <w:pPr>
              <w:pStyle w:val="73"/>
              <w:spacing w:before="23" w:line="229" w:lineRule="auto"/>
              <w:ind w:left="451"/>
              <w:rPr>
                <w:color w:val="auto"/>
                <w:sz w:val="20"/>
                <w:szCs w:val="20"/>
              </w:rPr>
            </w:pPr>
            <w:r>
              <w:rPr>
                <w:color w:val="auto"/>
                <w:sz w:val="20"/>
                <w:szCs w:val="20"/>
              </w:rPr>
              <w:t>（10</w:t>
            </w:r>
            <w:r>
              <w:rPr>
                <w:color w:val="auto"/>
                <w:spacing w:val="-38"/>
                <w:sz w:val="20"/>
                <w:szCs w:val="20"/>
              </w:rPr>
              <w:t xml:space="preserve"> </w:t>
            </w:r>
            <w:r>
              <w:rPr>
                <w:color w:val="auto"/>
                <w:sz w:val="20"/>
                <w:szCs w:val="20"/>
              </w:rPr>
              <w:t>分）</w:t>
            </w:r>
          </w:p>
        </w:tc>
        <w:tc>
          <w:tcPr>
            <w:tcW w:w="5973" w:type="dxa"/>
            <w:vAlign w:val="top"/>
          </w:tcPr>
          <w:p w14:paraId="37F88703">
            <w:pPr>
              <w:pStyle w:val="73"/>
              <w:spacing w:before="33" w:line="244" w:lineRule="auto"/>
              <w:ind w:left="114" w:right="107" w:hanging="1"/>
              <w:jc w:val="both"/>
              <w:rPr>
                <w:color w:val="auto"/>
                <w:sz w:val="20"/>
                <w:szCs w:val="20"/>
              </w:rPr>
            </w:pPr>
            <w:r>
              <w:rPr>
                <w:color w:val="auto"/>
                <w:spacing w:val="9"/>
                <w:sz w:val="20"/>
                <w:szCs w:val="20"/>
              </w:rPr>
              <w:t>培训方案科学合理，具有经验丰富、人员充足的职业培</w:t>
            </w:r>
            <w:r>
              <w:rPr>
                <w:color w:val="auto"/>
                <w:spacing w:val="11"/>
                <w:sz w:val="20"/>
                <w:szCs w:val="20"/>
              </w:rPr>
              <w:t xml:space="preserve"> </w:t>
            </w:r>
            <w:r>
              <w:rPr>
                <w:color w:val="auto"/>
                <w:spacing w:val="6"/>
                <w:sz w:val="20"/>
                <w:szCs w:val="20"/>
              </w:rPr>
              <w:t>训、技能培训专职团队，完全满足项目需要的，优得</w:t>
            </w:r>
            <w:r>
              <w:rPr>
                <w:color w:val="auto"/>
                <w:spacing w:val="-9"/>
                <w:sz w:val="20"/>
                <w:szCs w:val="20"/>
              </w:rPr>
              <w:t xml:space="preserve"> </w:t>
            </w:r>
            <w:r>
              <w:rPr>
                <w:rFonts w:ascii="Times New Roman" w:hAnsi="Times New Roman" w:eastAsia="Times New Roman" w:cs="Times New Roman"/>
                <w:color w:val="auto"/>
                <w:spacing w:val="6"/>
                <w:sz w:val="20"/>
                <w:szCs w:val="20"/>
              </w:rPr>
              <w:t>10</w:t>
            </w:r>
            <w:r>
              <w:rPr>
                <w:rFonts w:ascii="Times New Roman" w:hAnsi="Times New Roman" w:eastAsia="Times New Roman" w:cs="Times New Roman"/>
                <w:color w:val="auto"/>
                <w:sz w:val="20"/>
                <w:szCs w:val="20"/>
              </w:rPr>
              <w:t xml:space="preserve"> </w:t>
            </w:r>
            <w:r>
              <w:rPr>
                <w:color w:val="auto"/>
                <w:spacing w:val="-1"/>
                <w:sz w:val="20"/>
                <w:szCs w:val="20"/>
              </w:rPr>
              <w:t>分；</w:t>
            </w:r>
          </w:p>
          <w:p w14:paraId="78ABB56B">
            <w:pPr>
              <w:pStyle w:val="73"/>
              <w:spacing w:before="25" w:line="239" w:lineRule="auto"/>
              <w:ind w:left="113" w:right="122"/>
              <w:rPr>
                <w:color w:val="auto"/>
                <w:sz w:val="20"/>
                <w:szCs w:val="20"/>
              </w:rPr>
            </w:pPr>
            <w:r>
              <w:rPr>
                <w:color w:val="auto"/>
                <w:spacing w:val="9"/>
                <w:sz w:val="20"/>
                <w:szCs w:val="20"/>
              </w:rPr>
              <w:t>培训方案较合理，有经验、人员的职业培训、技能培训</w:t>
            </w:r>
            <w:r>
              <w:rPr>
                <w:color w:val="auto"/>
                <w:spacing w:val="11"/>
                <w:sz w:val="20"/>
                <w:szCs w:val="20"/>
              </w:rPr>
              <w:t xml:space="preserve"> </w:t>
            </w:r>
            <w:r>
              <w:rPr>
                <w:color w:val="auto"/>
                <w:spacing w:val="7"/>
                <w:sz w:val="20"/>
                <w:szCs w:val="20"/>
              </w:rPr>
              <w:t>专职团队，基本满足项目需要的良</w:t>
            </w:r>
            <w:r>
              <w:rPr>
                <w:color w:val="auto"/>
                <w:spacing w:val="-24"/>
                <w:sz w:val="20"/>
                <w:szCs w:val="20"/>
              </w:rPr>
              <w:t xml:space="preserve"> </w:t>
            </w:r>
            <w:r>
              <w:rPr>
                <w:rFonts w:ascii="Times New Roman" w:hAnsi="Times New Roman" w:eastAsia="Times New Roman" w:cs="Times New Roman"/>
                <w:color w:val="auto"/>
                <w:spacing w:val="7"/>
                <w:sz w:val="20"/>
                <w:szCs w:val="20"/>
              </w:rPr>
              <w:t xml:space="preserve">5 </w:t>
            </w:r>
            <w:r>
              <w:rPr>
                <w:color w:val="auto"/>
                <w:spacing w:val="7"/>
                <w:sz w:val="20"/>
                <w:szCs w:val="20"/>
              </w:rPr>
              <w:t>分；</w:t>
            </w:r>
          </w:p>
          <w:p w14:paraId="59F7437B">
            <w:pPr>
              <w:pStyle w:val="73"/>
              <w:spacing w:before="24" w:line="234" w:lineRule="auto"/>
              <w:ind w:left="114" w:right="175" w:hanging="1"/>
              <w:rPr>
                <w:color w:val="auto"/>
                <w:sz w:val="20"/>
                <w:szCs w:val="20"/>
              </w:rPr>
            </w:pPr>
            <w:r>
              <w:rPr>
                <w:color w:val="auto"/>
                <w:spacing w:val="6"/>
                <w:sz w:val="20"/>
                <w:szCs w:val="20"/>
              </w:rPr>
              <w:t>培训方案合理，不能满足项目需要的视为一般</w:t>
            </w:r>
            <w:r>
              <w:rPr>
                <w:color w:val="auto"/>
                <w:spacing w:val="5"/>
                <w:sz w:val="20"/>
                <w:szCs w:val="20"/>
              </w:rPr>
              <w:t>得</w:t>
            </w:r>
            <w:r>
              <w:rPr>
                <w:color w:val="auto"/>
                <w:spacing w:val="-20"/>
                <w:sz w:val="20"/>
                <w:szCs w:val="20"/>
              </w:rPr>
              <w:t xml:space="preserve"> </w:t>
            </w:r>
            <w:r>
              <w:rPr>
                <w:rFonts w:ascii="Times New Roman" w:hAnsi="Times New Roman" w:eastAsia="Times New Roman" w:cs="Times New Roman"/>
                <w:color w:val="auto"/>
                <w:spacing w:val="5"/>
                <w:sz w:val="20"/>
                <w:szCs w:val="20"/>
              </w:rPr>
              <w:t xml:space="preserve">1 </w:t>
            </w:r>
            <w:r>
              <w:rPr>
                <w:color w:val="auto"/>
                <w:spacing w:val="5"/>
                <w:sz w:val="20"/>
                <w:szCs w:val="20"/>
              </w:rPr>
              <w:t>分；</w:t>
            </w:r>
            <w:r>
              <w:rPr>
                <w:color w:val="auto"/>
                <w:sz w:val="20"/>
                <w:szCs w:val="20"/>
              </w:rPr>
              <w:t xml:space="preserve"> </w:t>
            </w:r>
            <w:r>
              <w:rPr>
                <w:color w:val="auto"/>
                <w:spacing w:val="7"/>
                <w:sz w:val="20"/>
                <w:szCs w:val="20"/>
              </w:rPr>
              <w:t>差或无此内容不得分。</w:t>
            </w:r>
          </w:p>
        </w:tc>
      </w:tr>
      <w:tr w14:paraId="2D9D6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496" w:type="dxa"/>
            <w:vMerge w:val="continue"/>
            <w:tcBorders>
              <w:top w:val="nil"/>
              <w:bottom w:val="nil"/>
            </w:tcBorders>
            <w:vAlign w:val="top"/>
          </w:tcPr>
          <w:p w14:paraId="3578ECD8">
            <w:pPr>
              <w:rPr>
                <w:rFonts w:ascii="Arial"/>
                <w:color w:val="auto"/>
                <w:sz w:val="21"/>
              </w:rPr>
            </w:pPr>
          </w:p>
        </w:tc>
        <w:tc>
          <w:tcPr>
            <w:tcW w:w="884" w:type="dxa"/>
            <w:vMerge w:val="continue"/>
            <w:tcBorders>
              <w:top w:val="nil"/>
              <w:bottom w:val="nil"/>
            </w:tcBorders>
            <w:vAlign w:val="top"/>
          </w:tcPr>
          <w:p w14:paraId="7118D20D">
            <w:pPr>
              <w:rPr>
                <w:rFonts w:ascii="Arial"/>
                <w:color w:val="auto"/>
                <w:sz w:val="21"/>
              </w:rPr>
            </w:pPr>
          </w:p>
        </w:tc>
        <w:tc>
          <w:tcPr>
            <w:tcW w:w="2005" w:type="dxa"/>
            <w:vAlign w:val="top"/>
          </w:tcPr>
          <w:p w14:paraId="0AFB2DE3">
            <w:pPr>
              <w:spacing w:line="376" w:lineRule="auto"/>
              <w:rPr>
                <w:rFonts w:ascii="Arial"/>
                <w:color w:val="auto"/>
                <w:sz w:val="21"/>
              </w:rPr>
            </w:pPr>
          </w:p>
          <w:p w14:paraId="45FEBF76">
            <w:pPr>
              <w:pStyle w:val="73"/>
              <w:spacing w:before="65" w:line="228" w:lineRule="auto"/>
              <w:ind w:left="263"/>
              <w:rPr>
                <w:color w:val="auto"/>
                <w:sz w:val="20"/>
                <w:szCs w:val="20"/>
              </w:rPr>
            </w:pPr>
            <w:r>
              <w:rPr>
                <w:color w:val="auto"/>
                <w:spacing w:val="7"/>
                <w:sz w:val="20"/>
                <w:szCs w:val="20"/>
              </w:rPr>
              <w:t>安全管理体系</w:t>
            </w:r>
          </w:p>
          <w:p w14:paraId="2AFF5CC2">
            <w:pPr>
              <w:pStyle w:val="73"/>
              <w:spacing w:before="23" w:line="229" w:lineRule="auto"/>
              <w:ind w:left="451"/>
              <w:rPr>
                <w:color w:val="auto"/>
                <w:sz w:val="20"/>
                <w:szCs w:val="20"/>
              </w:rPr>
            </w:pPr>
            <w:r>
              <w:rPr>
                <w:color w:val="auto"/>
                <w:sz w:val="20"/>
                <w:szCs w:val="20"/>
              </w:rPr>
              <w:t>（10</w:t>
            </w:r>
            <w:r>
              <w:rPr>
                <w:color w:val="auto"/>
                <w:spacing w:val="-38"/>
                <w:sz w:val="20"/>
                <w:szCs w:val="20"/>
              </w:rPr>
              <w:t xml:space="preserve"> </w:t>
            </w:r>
            <w:r>
              <w:rPr>
                <w:color w:val="auto"/>
                <w:sz w:val="20"/>
                <w:szCs w:val="20"/>
              </w:rPr>
              <w:t>分）</w:t>
            </w:r>
          </w:p>
        </w:tc>
        <w:tc>
          <w:tcPr>
            <w:tcW w:w="5973" w:type="dxa"/>
            <w:vAlign w:val="top"/>
          </w:tcPr>
          <w:p w14:paraId="356AE641">
            <w:pPr>
              <w:pStyle w:val="73"/>
              <w:spacing w:before="36" w:line="239" w:lineRule="auto"/>
              <w:ind w:left="116" w:right="592" w:hanging="4"/>
              <w:rPr>
                <w:color w:val="auto"/>
                <w:sz w:val="20"/>
                <w:szCs w:val="20"/>
              </w:rPr>
            </w:pPr>
            <w:r>
              <w:rPr>
                <w:color w:val="auto"/>
                <w:spacing w:val="7"/>
                <w:sz w:val="20"/>
                <w:szCs w:val="20"/>
              </w:rPr>
              <w:t>针对投标人的安全管理体系与措施进行综合评价，</w:t>
            </w:r>
            <w:r>
              <w:rPr>
                <w:color w:val="auto"/>
                <w:spacing w:val="5"/>
                <w:sz w:val="20"/>
                <w:szCs w:val="20"/>
              </w:rPr>
              <w:t xml:space="preserve"> </w:t>
            </w:r>
            <w:r>
              <w:rPr>
                <w:color w:val="auto"/>
                <w:spacing w:val="6"/>
                <w:sz w:val="20"/>
                <w:szCs w:val="20"/>
              </w:rPr>
              <w:t>安全管理体系及措施完善得当得</w:t>
            </w:r>
            <w:r>
              <w:rPr>
                <w:color w:val="auto"/>
                <w:spacing w:val="-12"/>
                <w:sz w:val="20"/>
                <w:szCs w:val="20"/>
              </w:rPr>
              <w:t xml:space="preserve"> </w:t>
            </w:r>
            <w:r>
              <w:rPr>
                <w:rFonts w:ascii="Times New Roman" w:hAnsi="Times New Roman" w:eastAsia="Times New Roman" w:cs="Times New Roman"/>
                <w:color w:val="auto"/>
                <w:spacing w:val="6"/>
                <w:sz w:val="20"/>
                <w:szCs w:val="20"/>
              </w:rPr>
              <w:t xml:space="preserve">10 </w:t>
            </w:r>
            <w:r>
              <w:rPr>
                <w:color w:val="auto"/>
                <w:spacing w:val="6"/>
                <w:sz w:val="20"/>
                <w:szCs w:val="20"/>
              </w:rPr>
              <w:t>分，</w:t>
            </w:r>
          </w:p>
          <w:p w14:paraId="5663EE4B">
            <w:pPr>
              <w:pStyle w:val="73"/>
              <w:spacing w:before="24" w:line="228" w:lineRule="auto"/>
              <w:ind w:left="116"/>
              <w:rPr>
                <w:color w:val="auto"/>
                <w:sz w:val="20"/>
                <w:szCs w:val="20"/>
              </w:rPr>
            </w:pPr>
            <w:r>
              <w:rPr>
                <w:color w:val="auto"/>
                <w:spacing w:val="7"/>
                <w:sz w:val="20"/>
                <w:szCs w:val="20"/>
              </w:rPr>
              <w:t>安全管理体系得当，管理措施有欠缺得</w:t>
            </w:r>
            <w:r>
              <w:rPr>
                <w:color w:val="auto"/>
                <w:spacing w:val="-22"/>
                <w:sz w:val="20"/>
                <w:szCs w:val="20"/>
              </w:rPr>
              <w:t xml:space="preserve"> </w:t>
            </w:r>
            <w:r>
              <w:rPr>
                <w:rFonts w:ascii="Times New Roman" w:hAnsi="Times New Roman" w:eastAsia="Times New Roman" w:cs="Times New Roman"/>
                <w:color w:val="auto"/>
                <w:spacing w:val="7"/>
                <w:sz w:val="20"/>
                <w:szCs w:val="20"/>
              </w:rPr>
              <w:t xml:space="preserve">6 </w:t>
            </w:r>
            <w:r>
              <w:rPr>
                <w:color w:val="auto"/>
                <w:spacing w:val="7"/>
                <w:sz w:val="20"/>
                <w:szCs w:val="20"/>
              </w:rPr>
              <w:t>分，</w:t>
            </w:r>
          </w:p>
          <w:p w14:paraId="57D6B204">
            <w:pPr>
              <w:pStyle w:val="73"/>
              <w:spacing w:before="27" w:line="232" w:lineRule="auto"/>
              <w:ind w:left="114" w:right="800" w:firstLine="2"/>
              <w:rPr>
                <w:color w:val="auto"/>
                <w:sz w:val="20"/>
                <w:szCs w:val="20"/>
              </w:rPr>
            </w:pPr>
            <w:r>
              <w:rPr>
                <w:color w:val="auto"/>
                <w:spacing w:val="5"/>
                <w:sz w:val="20"/>
                <w:szCs w:val="20"/>
              </w:rPr>
              <w:t>安全管理体系不合理，管理措施欠妥当得</w:t>
            </w:r>
            <w:r>
              <w:rPr>
                <w:color w:val="auto"/>
                <w:spacing w:val="-24"/>
                <w:sz w:val="20"/>
                <w:szCs w:val="20"/>
              </w:rPr>
              <w:t xml:space="preserve"> </w:t>
            </w:r>
            <w:r>
              <w:rPr>
                <w:rFonts w:ascii="Times New Roman" w:hAnsi="Times New Roman" w:eastAsia="Times New Roman" w:cs="Times New Roman"/>
                <w:color w:val="auto"/>
                <w:spacing w:val="5"/>
                <w:sz w:val="20"/>
                <w:szCs w:val="20"/>
              </w:rPr>
              <w:t>3</w:t>
            </w:r>
            <w:r>
              <w:rPr>
                <w:rFonts w:ascii="Times New Roman" w:hAnsi="Times New Roman" w:eastAsia="Times New Roman" w:cs="Times New Roman"/>
                <w:color w:val="auto"/>
                <w:spacing w:val="15"/>
                <w:sz w:val="20"/>
                <w:szCs w:val="20"/>
              </w:rPr>
              <w:t xml:space="preserve"> </w:t>
            </w:r>
            <w:r>
              <w:rPr>
                <w:color w:val="auto"/>
                <w:spacing w:val="5"/>
                <w:sz w:val="20"/>
                <w:szCs w:val="20"/>
              </w:rPr>
              <w:t>分，</w:t>
            </w:r>
            <w:r>
              <w:rPr>
                <w:color w:val="auto"/>
                <w:sz w:val="20"/>
                <w:szCs w:val="20"/>
              </w:rPr>
              <w:t xml:space="preserve"> </w:t>
            </w:r>
            <w:r>
              <w:rPr>
                <w:color w:val="auto"/>
                <w:spacing w:val="7"/>
                <w:sz w:val="20"/>
                <w:szCs w:val="20"/>
              </w:rPr>
              <w:t>无此内容不得分。</w:t>
            </w:r>
          </w:p>
        </w:tc>
      </w:tr>
      <w:tr w14:paraId="4F329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496" w:type="dxa"/>
            <w:vMerge w:val="continue"/>
            <w:tcBorders>
              <w:top w:val="nil"/>
            </w:tcBorders>
            <w:vAlign w:val="top"/>
          </w:tcPr>
          <w:p w14:paraId="1DD1991B">
            <w:pPr>
              <w:rPr>
                <w:rFonts w:ascii="Arial"/>
                <w:color w:val="auto"/>
                <w:sz w:val="21"/>
              </w:rPr>
            </w:pPr>
          </w:p>
        </w:tc>
        <w:tc>
          <w:tcPr>
            <w:tcW w:w="884" w:type="dxa"/>
            <w:vMerge w:val="continue"/>
            <w:tcBorders>
              <w:top w:val="nil"/>
            </w:tcBorders>
            <w:vAlign w:val="top"/>
          </w:tcPr>
          <w:p w14:paraId="729F2F70">
            <w:pPr>
              <w:rPr>
                <w:rFonts w:ascii="Arial"/>
                <w:color w:val="auto"/>
                <w:sz w:val="21"/>
              </w:rPr>
            </w:pPr>
          </w:p>
        </w:tc>
        <w:tc>
          <w:tcPr>
            <w:tcW w:w="2005" w:type="dxa"/>
            <w:vAlign w:val="top"/>
          </w:tcPr>
          <w:p w14:paraId="47E964C1">
            <w:pPr>
              <w:spacing w:line="255" w:lineRule="auto"/>
              <w:rPr>
                <w:rFonts w:ascii="Arial"/>
                <w:color w:val="auto"/>
                <w:sz w:val="21"/>
              </w:rPr>
            </w:pPr>
          </w:p>
          <w:p w14:paraId="3C618AC8">
            <w:pPr>
              <w:spacing w:line="256" w:lineRule="auto"/>
              <w:rPr>
                <w:rFonts w:ascii="Arial"/>
                <w:color w:val="auto"/>
                <w:sz w:val="21"/>
              </w:rPr>
            </w:pPr>
          </w:p>
          <w:p w14:paraId="79A1D86C">
            <w:pPr>
              <w:pStyle w:val="73"/>
              <w:spacing w:before="65"/>
              <w:ind w:left="113" w:right="18" w:firstLine="39"/>
              <w:rPr>
                <w:color w:val="auto"/>
                <w:sz w:val="20"/>
                <w:szCs w:val="20"/>
              </w:rPr>
            </w:pPr>
            <w:r>
              <w:rPr>
                <w:color w:val="auto"/>
                <w:spacing w:val="1"/>
                <w:sz w:val="20"/>
                <w:szCs w:val="20"/>
              </w:rPr>
              <w:t>廉政、</w:t>
            </w:r>
            <w:r>
              <w:rPr>
                <w:color w:val="auto"/>
                <w:spacing w:val="-47"/>
                <w:sz w:val="20"/>
                <w:szCs w:val="20"/>
              </w:rPr>
              <w:t xml:space="preserve"> </w:t>
            </w:r>
            <w:r>
              <w:rPr>
                <w:color w:val="auto"/>
                <w:spacing w:val="1"/>
                <w:sz w:val="20"/>
                <w:szCs w:val="20"/>
              </w:rPr>
              <w:t>自律制度</w:t>
            </w:r>
            <w:r>
              <w:rPr>
                <w:color w:val="auto"/>
                <w:spacing w:val="-4"/>
                <w:sz w:val="20"/>
                <w:szCs w:val="20"/>
              </w:rPr>
              <w:t>保证措施（10</w:t>
            </w:r>
            <w:r>
              <w:rPr>
                <w:color w:val="auto"/>
                <w:spacing w:val="-34"/>
                <w:sz w:val="20"/>
                <w:szCs w:val="20"/>
              </w:rPr>
              <w:t xml:space="preserve"> </w:t>
            </w:r>
            <w:r>
              <w:rPr>
                <w:color w:val="auto"/>
                <w:spacing w:val="-4"/>
                <w:sz w:val="20"/>
                <w:szCs w:val="20"/>
              </w:rPr>
              <w:t>分）</w:t>
            </w:r>
          </w:p>
        </w:tc>
        <w:tc>
          <w:tcPr>
            <w:tcW w:w="5973" w:type="dxa"/>
            <w:vAlign w:val="top"/>
          </w:tcPr>
          <w:p w14:paraId="72638AA4">
            <w:pPr>
              <w:pStyle w:val="73"/>
              <w:spacing w:before="35"/>
              <w:ind w:left="115" w:right="122"/>
              <w:rPr>
                <w:color w:val="auto"/>
                <w:sz w:val="20"/>
                <w:szCs w:val="20"/>
              </w:rPr>
            </w:pPr>
            <w:r>
              <w:rPr>
                <w:color w:val="auto"/>
                <w:spacing w:val="7"/>
                <w:sz w:val="20"/>
                <w:szCs w:val="20"/>
              </w:rPr>
              <w:t>投标人针对本项目提供的廉政、</w:t>
            </w:r>
            <w:r>
              <w:rPr>
                <w:color w:val="auto"/>
                <w:spacing w:val="-42"/>
                <w:sz w:val="20"/>
                <w:szCs w:val="20"/>
              </w:rPr>
              <w:t xml:space="preserve"> </w:t>
            </w:r>
            <w:r>
              <w:rPr>
                <w:color w:val="auto"/>
                <w:spacing w:val="7"/>
                <w:sz w:val="20"/>
                <w:szCs w:val="20"/>
              </w:rPr>
              <w:t>自律制度保证措施进行</w:t>
            </w:r>
            <w:r>
              <w:rPr>
                <w:color w:val="auto"/>
                <w:sz w:val="20"/>
                <w:szCs w:val="20"/>
              </w:rPr>
              <w:t xml:space="preserve"> </w:t>
            </w:r>
            <w:r>
              <w:rPr>
                <w:color w:val="auto"/>
                <w:spacing w:val="7"/>
                <w:sz w:val="20"/>
                <w:szCs w:val="20"/>
              </w:rPr>
              <w:t>综合比较和评价，</w:t>
            </w:r>
          </w:p>
          <w:p w14:paraId="70C5A507">
            <w:pPr>
              <w:pStyle w:val="73"/>
              <w:spacing w:before="24" w:line="228" w:lineRule="auto"/>
              <w:ind w:left="111"/>
              <w:rPr>
                <w:color w:val="auto"/>
                <w:sz w:val="20"/>
                <w:szCs w:val="20"/>
              </w:rPr>
            </w:pPr>
            <w:r>
              <w:rPr>
                <w:color w:val="auto"/>
                <w:spacing w:val="5"/>
                <w:sz w:val="20"/>
                <w:szCs w:val="20"/>
              </w:rPr>
              <w:t>廉政、</w:t>
            </w:r>
            <w:r>
              <w:rPr>
                <w:color w:val="auto"/>
                <w:spacing w:val="-45"/>
                <w:sz w:val="20"/>
                <w:szCs w:val="20"/>
              </w:rPr>
              <w:t xml:space="preserve"> </w:t>
            </w:r>
            <w:r>
              <w:rPr>
                <w:color w:val="auto"/>
                <w:spacing w:val="5"/>
                <w:sz w:val="20"/>
                <w:szCs w:val="20"/>
              </w:rPr>
              <w:t>自律制度保证措施科学高效针对性强得</w:t>
            </w:r>
            <w:r>
              <w:rPr>
                <w:color w:val="auto"/>
                <w:spacing w:val="-23"/>
                <w:sz w:val="20"/>
                <w:szCs w:val="20"/>
              </w:rPr>
              <w:t xml:space="preserve"> </w:t>
            </w:r>
            <w:r>
              <w:rPr>
                <w:rFonts w:ascii="Times New Roman" w:hAnsi="Times New Roman" w:eastAsia="Times New Roman" w:cs="Times New Roman"/>
                <w:color w:val="auto"/>
                <w:spacing w:val="5"/>
                <w:sz w:val="20"/>
                <w:szCs w:val="20"/>
              </w:rPr>
              <w:t>10</w:t>
            </w:r>
            <w:r>
              <w:rPr>
                <w:rFonts w:ascii="Times New Roman" w:hAnsi="Times New Roman" w:eastAsia="Times New Roman" w:cs="Times New Roman"/>
                <w:color w:val="auto"/>
                <w:spacing w:val="15"/>
                <w:sz w:val="20"/>
                <w:szCs w:val="20"/>
              </w:rPr>
              <w:t xml:space="preserve"> </w:t>
            </w:r>
            <w:r>
              <w:rPr>
                <w:color w:val="auto"/>
                <w:spacing w:val="5"/>
                <w:sz w:val="20"/>
                <w:szCs w:val="20"/>
              </w:rPr>
              <w:t>分，</w:t>
            </w:r>
          </w:p>
          <w:p w14:paraId="0C6D539C">
            <w:pPr>
              <w:pStyle w:val="73"/>
              <w:spacing w:before="27" w:line="228" w:lineRule="auto"/>
              <w:ind w:left="111"/>
              <w:rPr>
                <w:color w:val="auto"/>
                <w:sz w:val="20"/>
                <w:szCs w:val="20"/>
              </w:rPr>
            </w:pPr>
            <w:r>
              <w:rPr>
                <w:color w:val="auto"/>
                <w:spacing w:val="5"/>
                <w:sz w:val="20"/>
                <w:szCs w:val="20"/>
              </w:rPr>
              <w:t>廉政、</w:t>
            </w:r>
            <w:r>
              <w:rPr>
                <w:color w:val="auto"/>
                <w:spacing w:val="-40"/>
                <w:sz w:val="20"/>
                <w:szCs w:val="20"/>
              </w:rPr>
              <w:t xml:space="preserve"> </w:t>
            </w:r>
            <w:r>
              <w:rPr>
                <w:color w:val="auto"/>
                <w:spacing w:val="5"/>
                <w:sz w:val="20"/>
                <w:szCs w:val="20"/>
              </w:rPr>
              <w:t>自律制度保证措施繁琐不易掌握得</w:t>
            </w:r>
            <w:r>
              <w:rPr>
                <w:color w:val="auto"/>
                <w:spacing w:val="-38"/>
                <w:sz w:val="20"/>
                <w:szCs w:val="20"/>
              </w:rPr>
              <w:t xml:space="preserve"> </w:t>
            </w:r>
            <w:r>
              <w:rPr>
                <w:rFonts w:ascii="Times New Roman" w:hAnsi="Times New Roman" w:eastAsia="Times New Roman" w:cs="Times New Roman"/>
                <w:color w:val="auto"/>
                <w:spacing w:val="5"/>
                <w:sz w:val="20"/>
                <w:szCs w:val="20"/>
              </w:rPr>
              <w:t>6</w:t>
            </w:r>
            <w:r>
              <w:rPr>
                <w:rFonts w:ascii="Times New Roman" w:hAnsi="Times New Roman" w:eastAsia="Times New Roman" w:cs="Times New Roman"/>
                <w:color w:val="auto"/>
                <w:spacing w:val="14"/>
                <w:w w:val="101"/>
                <w:sz w:val="20"/>
                <w:szCs w:val="20"/>
              </w:rPr>
              <w:t xml:space="preserve"> </w:t>
            </w:r>
            <w:r>
              <w:rPr>
                <w:color w:val="auto"/>
                <w:spacing w:val="5"/>
                <w:sz w:val="20"/>
                <w:szCs w:val="20"/>
              </w:rPr>
              <w:t>分，</w:t>
            </w:r>
          </w:p>
          <w:p w14:paraId="2A6A6074">
            <w:pPr>
              <w:pStyle w:val="73"/>
              <w:spacing w:before="23" w:line="234" w:lineRule="auto"/>
              <w:ind w:left="113" w:right="592" w:hanging="2"/>
              <w:rPr>
                <w:color w:val="auto"/>
                <w:sz w:val="20"/>
                <w:szCs w:val="20"/>
              </w:rPr>
            </w:pPr>
            <w:r>
              <w:rPr>
                <w:color w:val="auto"/>
                <w:spacing w:val="4"/>
                <w:sz w:val="20"/>
                <w:szCs w:val="20"/>
              </w:rPr>
              <w:t>廉政、</w:t>
            </w:r>
            <w:r>
              <w:rPr>
                <w:color w:val="auto"/>
                <w:spacing w:val="-46"/>
                <w:sz w:val="20"/>
                <w:szCs w:val="20"/>
              </w:rPr>
              <w:t xml:space="preserve"> </w:t>
            </w:r>
            <w:r>
              <w:rPr>
                <w:color w:val="auto"/>
                <w:spacing w:val="4"/>
                <w:sz w:val="20"/>
                <w:szCs w:val="20"/>
              </w:rPr>
              <w:t>自律制度保证措施空洞无实质内容得</w:t>
            </w:r>
            <w:r>
              <w:rPr>
                <w:color w:val="auto"/>
                <w:spacing w:val="-36"/>
                <w:sz w:val="20"/>
                <w:szCs w:val="20"/>
              </w:rPr>
              <w:t xml:space="preserve"> </w:t>
            </w:r>
            <w:r>
              <w:rPr>
                <w:rFonts w:ascii="Times New Roman" w:hAnsi="Times New Roman" w:eastAsia="Times New Roman" w:cs="Times New Roman"/>
                <w:color w:val="auto"/>
                <w:spacing w:val="4"/>
                <w:sz w:val="20"/>
                <w:szCs w:val="20"/>
              </w:rPr>
              <w:t xml:space="preserve">3 </w:t>
            </w:r>
            <w:r>
              <w:rPr>
                <w:color w:val="auto"/>
                <w:spacing w:val="4"/>
                <w:sz w:val="20"/>
                <w:szCs w:val="20"/>
              </w:rPr>
              <w:t>分，</w:t>
            </w:r>
            <w:r>
              <w:rPr>
                <w:color w:val="auto"/>
                <w:sz w:val="20"/>
                <w:szCs w:val="20"/>
              </w:rPr>
              <w:t xml:space="preserve"> </w:t>
            </w:r>
            <w:r>
              <w:rPr>
                <w:color w:val="auto"/>
                <w:spacing w:val="8"/>
                <w:sz w:val="20"/>
                <w:szCs w:val="20"/>
              </w:rPr>
              <w:t>无此内容不得分</w:t>
            </w:r>
          </w:p>
        </w:tc>
      </w:tr>
    </w:tbl>
    <w:p w14:paraId="48210304">
      <w:pPr>
        <w:spacing w:before="80"/>
        <w:rPr>
          <w:color w:val="auto"/>
        </w:rPr>
      </w:pPr>
    </w:p>
    <w:p w14:paraId="632F7D4D">
      <w:pPr>
        <w:rPr>
          <w:rFonts w:ascii="Arial"/>
          <w:color w:val="auto"/>
          <w:sz w:val="21"/>
        </w:rPr>
      </w:pPr>
    </w:p>
    <w:p w14:paraId="05A48127">
      <w:pPr>
        <w:spacing w:line="156" w:lineRule="exact"/>
        <w:rPr>
          <w:color w:val="auto"/>
        </w:rPr>
      </w:pPr>
    </w:p>
    <w:tbl>
      <w:tblPr>
        <w:tblStyle w:val="75"/>
        <w:tblW w:w="98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935"/>
        <w:gridCol w:w="2121"/>
        <w:gridCol w:w="6318"/>
      </w:tblGrid>
      <w:tr w14:paraId="33B5E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525" w:type="dxa"/>
            <w:vAlign w:val="top"/>
          </w:tcPr>
          <w:p w14:paraId="3A851CFA">
            <w:pPr>
              <w:rPr>
                <w:rFonts w:ascii="Arial"/>
                <w:color w:val="auto"/>
                <w:sz w:val="21"/>
              </w:rPr>
            </w:pPr>
          </w:p>
        </w:tc>
        <w:tc>
          <w:tcPr>
            <w:tcW w:w="935" w:type="dxa"/>
            <w:vAlign w:val="top"/>
          </w:tcPr>
          <w:p w14:paraId="67B1C73D">
            <w:pPr>
              <w:rPr>
                <w:rFonts w:ascii="Arial"/>
                <w:color w:val="auto"/>
                <w:sz w:val="21"/>
              </w:rPr>
            </w:pPr>
          </w:p>
        </w:tc>
        <w:tc>
          <w:tcPr>
            <w:tcW w:w="2121" w:type="dxa"/>
            <w:vAlign w:val="top"/>
          </w:tcPr>
          <w:p w14:paraId="674AB3F1">
            <w:pPr>
              <w:spacing w:line="262" w:lineRule="auto"/>
              <w:rPr>
                <w:rFonts w:ascii="Arial"/>
                <w:color w:val="auto"/>
                <w:sz w:val="21"/>
              </w:rPr>
            </w:pPr>
          </w:p>
          <w:p w14:paraId="463D0128">
            <w:pPr>
              <w:pStyle w:val="73"/>
              <w:spacing w:before="65" w:line="243" w:lineRule="auto"/>
              <w:ind w:left="153" w:right="149"/>
              <w:jc w:val="both"/>
              <w:rPr>
                <w:color w:val="auto"/>
                <w:sz w:val="20"/>
                <w:szCs w:val="20"/>
              </w:rPr>
            </w:pPr>
            <w:r>
              <w:rPr>
                <w:color w:val="auto"/>
                <w:spacing w:val="8"/>
                <w:sz w:val="20"/>
                <w:szCs w:val="20"/>
              </w:rPr>
              <w:t>特殊情况及紧急</w:t>
            </w:r>
            <w:r>
              <w:rPr>
                <w:color w:val="auto"/>
                <w:spacing w:val="3"/>
                <w:sz w:val="20"/>
                <w:szCs w:val="20"/>
              </w:rPr>
              <w:t xml:space="preserve"> </w:t>
            </w:r>
            <w:r>
              <w:rPr>
                <w:color w:val="auto"/>
                <w:spacing w:val="8"/>
                <w:sz w:val="20"/>
                <w:szCs w:val="20"/>
              </w:rPr>
              <w:t>事件处理措施及</w:t>
            </w:r>
            <w:r>
              <w:rPr>
                <w:color w:val="auto"/>
                <w:spacing w:val="3"/>
                <w:sz w:val="20"/>
                <w:szCs w:val="20"/>
              </w:rPr>
              <w:t xml:space="preserve"> </w:t>
            </w:r>
            <w:r>
              <w:rPr>
                <w:color w:val="auto"/>
                <w:spacing w:val="15"/>
                <w:sz w:val="20"/>
                <w:szCs w:val="20"/>
              </w:rPr>
              <w:t>预案（15</w:t>
            </w:r>
            <w:r>
              <w:rPr>
                <w:color w:val="auto"/>
                <w:spacing w:val="-34"/>
                <w:sz w:val="20"/>
                <w:szCs w:val="20"/>
              </w:rPr>
              <w:t xml:space="preserve"> </w:t>
            </w:r>
            <w:r>
              <w:rPr>
                <w:color w:val="auto"/>
                <w:spacing w:val="15"/>
                <w:sz w:val="20"/>
                <w:szCs w:val="20"/>
              </w:rPr>
              <w:t>分）</w:t>
            </w:r>
          </w:p>
        </w:tc>
        <w:tc>
          <w:tcPr>
            <w:tcW w:w="6318" w:type="dxa"/>
            <w:vAlign w:val="top"/>
          </w:tcPr>
          <w:p w14:paraId="2524BC69">
            <w:pPr>
              <w:pStyle w:val="73"/>
              <w:spacing w:before="55"/>
              <w:ind w:left="112" w:right="907"/>
              <w:rPr>
                <w:color w:val="auto"/>
                <w:sz w:val="20"/>
                <w:szCs w:val="20"/>
              </w:rPr>
            </w:pPr>
            <w:r>
              <w:rPr>
                <w:color w:val="auto"/>
                <w:spacing w:val="5"/>
                <w:sz w:val="20"/>
                <w:szCs w:val="20"/>
              </w:rPr>
              <w:t>措施完备、非常健全，预案科学合理得</w:t>
            </w:r>
            <w:r>
              <w:rPr>
                <w:color w:val="auto"/>
                <w:spacing w:val="-22"/>
                <w:sz w:val="20"/>
                <w:szCs w:val="20"/>
              </w:rPr>
              <w:t xml:space="preserve"> </w:t>
            </w:r>
            <w:r>
              <w:rPr>
                <w:color w:val="auto"/>
                <w:spacing w:val="5"/>
                <w:sz w:val="20"/>
                <w:szCs w:val="20"/>
              </w:rPr>
              <w:t>15</w:t>
            </w:r>
            <w:r>
              <w:rPr>
                <w:color w:val="auto"/>
                <w:spacing w:val="-37"/>
                <w:sz w:val="20"/>
                <w:szCs w:val="20"/>
              </w:rPr>
              <w:t xml:space="preserve"> </w:t>
            </w:r>
            <w:r>
              <w:rPr>
                <w:color w:val="auto"/>
                <w:spacing w:val="4"/>
                <w:sz w:val="20"/>
                <w:szCs w:val="20"/>
              </w:rPr>
              <w:t>分；</w:t>
            </w:r>
            <w:r>
              <w:rPr>
                <w:color w:val="auto"/>
                <w:sz w:val="20"/>
                <w:szCs w:val="20"/>
              </w:rPr>
              <w:t xml:space="preserve"> </w:t>
            </w:r>
            <w:r>
              <w:rPr>
                <w:color w:val="auto"/>
                <w:spacing w:val="6"/>
                <w:sz w:val="20"/>
                <w:szCs w:val="20"/>
              </w:rPr>
              <w:t>措施及预案比较具体、健全，得</w:t>
            </w:r>
            <w:r>
              <w:rPr>
                <w:color w:val="auto"/>
                <w:spacing w:val="-16"/>
                <w:sz w:val="20"/>
                <w:szCs w:val="20"/>
              </w:rPr>
              <w:t xml:space="preserve"> </w:t>
            </w:r>
            <w:r>
              <w:rPr>
                <w:color w:val="auto"/>
                <w:spacing w:val="6"/>
                <w:sz w:val="20"/>
                <w:szCs w:val="20"/>
              </w:rPr>
              <w:t>10</w:t>
            </w:r>
            <w:r>
              <w:rPr>
                <w:color w:val="auto"/>
                <w:spacing w:val="-36"/>
                <w:sz w:val="20"/>
                <w:szCs w:val="20"/>
              </w:rPr>
              <w:t xml:space="preserve"> </w:t>
            </w:r>
            <w:r>
              <w:rPr>
                <w:color w:val="auto"/>
                <w:spacing w:val="6"/>
                <w:sz w:val="20"/>
                <w:szCs w:val="20"/>
              </w:rPr>
              <w:t>分；</w:t>
            </w:r>
          </w:p>
          <w:p w14:paraId="72CB50E7">
            <w:pPr>
              <w:pStyle w:val="73"/>
              <w:spacing w:before="24"/>
              <w:ind w:left="112" w:right="1223"/>
              <w:rPr>
                <w:color w:val="auto"/>
                <w:sz w:val="20"/>
                <w:szCs w:val="20"/>
              </w:rPr>
            </w:pPr>
            <w:r>
              <w:rPr>
                <w:color w:val="auto"/>
                <w:spacing w:val="5"/>
                <w:sz w:val="20"/>
                <w:szCs w:val="20"/>
              </w:rPr>
              <w:t>措施及预案不够具体、不够健全，得</w:t>
            </w:r>
            <w:r>
              <w:rPr>
                <w:color w:val="auto"/>
                <w:spacing w:val="-33"/>
                <w:sz w:val="20"/>
                <w:szCs w:val="20"/>
              </w:rPr>
              <w:t xml:space="preserve"> </w:t>
            </w:r>
            <w:r>
              <w:rPr>
                <w:color w:val="auto"/>
                <w:spacing w:val="5"/>
                <w:sz w:val="20"/>
                <w:szCs w:val="20"/>
              </w:rPr>
              <w:t>5</w:t>
            </w:r>
            <w:r>
              <w:rPr>
                <w:color w:val="auto"/>
                <w:spacing w:val="-35"/>
                <w:sz w:val="20"/>
                <w:szCs w:val="20"/>
              </w:rPr>
              <w:t xml:space="preserve"> </w:t>
            </w:r>
            <w:r>
              <w:rPr>
                <w:color w:val="auto"/>
                <w:spacing w:val="5"/>
                <w:sz w:val="20"/>
                <w:szCs w:val="20"/>
              </w:rPr>
              <w:t>分；</w:t>
            </w:r>
            <w:r>
              <w:rPr>
                <w:color w:val="auto"/>
                <w:sz w:val="20"/>
                <w:szCs w:val="20"/>
              </w:rPr>
              <w:t xml:space="preserve"> </w:t>
            </w:r>
            <w:r>
              <w:rPr>
                <w:color w:val="auto"/>
                <w:spacing w:val="6"/>
                <w:sz w:val="20"/>
                <w:szCs w:val="20"/>
              </w:rPr>
              <w:t>措施及预案内容有且实施性差得</w:t>
            </w:r>
            <w:r>
              <w:rPr>
                <w:color w:val="auto"/>
                <w:spacing w:val="-16"/>
                <w:sz w:val="20"/>
                <w:szCs w:val="20"/>
              </w:rPr>
              <w:t xml:space="preserve"> </w:t>
            </w:r>
            <w:r>
              <w:rPr>
                <w:color w:val="auto"/>
                <w:spacing w:val="6"/>
                <w:sz w:val="20"/>
                <w:szCs w:val="20"/>
              </w:rPr>
              <w:t>1</w:t>
            </w:r>
            <w:r>
              <w:rPr>
                <w:color w:val="auto"/>
                <w:spacing w:val="-35"/>
                <w:sz w:val="20"/>
                <w:szCs w:val="20"/>
              </w:rPr>
              <w:t xml:space="preserve"> </w:t>
            </w:r>
            <w:r>
              <w:rPr>
                <w:color w:val="auto"/>
                <w:spacing w:val="6"/>
                <w:sz w:val="20"/>
                <w:szCs w:val="20"/>
              </w:rPr>
              <w:t>分；</w:t>
            </w:r>
          </w:p>
          <w:p w14:paraId="2D8382B3">
            <w:pPr>
              <w:pStyle w:val="73"/>
              <w:spacing w:before="23" w:line="228" w:lineRule="auto"/>
              <w:ind w:left="116"/>
              <w:rPr>
                <w:color w:val="auto"/>
                <w:sz w:val="20"/>
                <w:szCs w:val="20"/>
              </w:rPr>
            </w:pPr>
            <w:r>
              <w:rPr>
                <w:color w:val="auto"/>
                <w:spacing w:val="2"/>
                <w:sz w:val="20"/>
                <w:szCs w:val="20"/>
              </w:rPr>
              <w:t>不提供得</w:t>
            </w:r>
            <w:r>
              <w:rPr>
                <w:color w:val="auto"/>
                <w:spacing w:val="-31"/>
                <w:sz w:val="20"/>
                <w:szCs w:val="20"/>
              </w:rPr>
              <w:t xml:space="preserve"> </w:t>
            </w:r>
            <w:r>
              <w:rPr>
                <w:color w:val="auto"/>
                <w:spacing w:val="2"/>
                <w:sz w:val="20"/>
                <w:szCs w:val="20"/>
              </w:rPr>
              <w:t>0</w:t>
            </w:r>
            <w:r>
              <w:rPr>
                <w:color w:val="auto"/>
                <w:spacing w:val="-36"/>
                <w:sz w:val="20"/>
                <w:szCs w:val="20"/>
              </w:rPr>
              <w:t xml:space="preserve"> </w:t>
            </w:r>
            <w:r>
              <w:rPr>
                <w:color w:val="auto"/>
                <w:spacing w:val="2"/>
                <w:sz w:val="20"/>
                <w:szCs w:val="20"/>
              </w:rPr>
              <w:t>分。</w:t>
            </w:r>
          </w:p>
        </w:tc>
      </w:tr>
      <w:tr w14:paraId="3E497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525" w:type="dxa"/>
            <w:vMerge w:val="restart"/>
            <w:tcBorders>
              <w:bottom w:val="nil"/>
            </w:tcBorders>
            <w:vAlign w:val="top"/>
          </w:tcPr>
          <w:p w14:paraId="29A954CE">
            <w:pPr>
              <w:spacing w:line="259" w:lineRule="auto"/>
              <w:rPr>
                <w:rFonts w:ascii="Arial"/>
                <w:color w:val="auto"/>
                <w:sz w:val="21"/>
              </w:rPr>
            </w:pPr>
          </w:p>
          <w:p w14:paraId="2AF08F72">
            <w:pPr>
              <w:spacing w:line="259" w:lineRule="auto"/>
              <w:rPr>
                <w:rFonts w:ascii="Arial"/>
                <w:color w:val="auto"/>
                <w:sz w:val="21"/>
              </w:rPr>
            </w:pPr>
          </w:p>
          <w:p w14:paraId="7C11D11B">
            <w:pPr>
              <w:spacing w:line="259" w:lineRule="auto"/>
              <w:rPr>
                <w:rFonts w:ascii="Arial"/>
                <w:color w:val="auto"/>
                <w:sz w:val="21"/>
              </w:rPr>
            </w:pPr>
          </w:p>
          <w:p w14:paraId="36F6F56C">
            <w:pPr>
              <w:spacing w:line="259" w:lineRule="auto"/>
              <w:rPr>
                <w:rFonts w:ascii="Arial"/>
                <w:color w:val="auto"/>
                <w:sz w:val="21"/>
              </w:rPr>
            </w:pPr>
          </w:p>
          <w:p w14:paraId="278AFE40">
            <w:pPr>
              <w:spacing w:line="259" w:lineRule="auto"/>
              <w:rPr>
                <w:rFonts w:ascii="Arial"/>
                <w:color w:val="auto"/>
                <w:sz w:val="21"/>
              </w:rPr>
            </w:pPr>
          </w:p>
          <w:p w14:paraId="74922B9D">
            <w:pPr>
              <w:spacing w:line="260" w:lineRule="auto"/>
              <w:rPr>
                <w:rFonts w:ascii="Arial"/>
                <w:color w:val="auto"/>
                <w:sz w:val="21"/>
              </w:rPr>
            </w:pPr>
          </w:p>
          <w:p w14:paraId="7D2F1077">
            <w:pPr>
              <w:spacing w:line="260" w:lineRule="auto"/>
              <w:rPr>
                <w:rFonts w:ascii="Arial"/>
                <w:color w:val="auto"/>
                <w:sz w:val="21"/>
              </w:rPr>
            </w:pPr>
          </w:p>
          <w:p w14:paraId="157DBD00">
            <w:pPr>
              <w:spacing w:line="260" w:lineRule="auto"/>
              <w:rPr>
                <w:rFonts w:ascii="Arial"/>
                <w:color w:val="auto"/>
                <w:sz w:val="21"/>
              </w:rPr>
            </w:pPr>
          </w:p>
          <w:p w14:paraId="745E646D">
            <w:pPr>
              <w:spacing w:line="260" w:lineRule="auto"/>
              <w:rPr>
                <w:rFonts w:ascii="Arial"/>
                <w:color w:val="auto"/>
                <w:sz w:val="21"/>
              </w:rPr>
            </w:pPr>
          </w:p>
          <w:p w14:paraId="2971F4E6">
            <w:pPr>
              <w:spacing w:line="260" w:lineRule="auto"/>
              <w:rPr>
                <w:rFonts w:ascii="Arial"/>
                <w:color w:val="auto"/>
                <w:sz w:val="21"/>
              </w:rPr>
            </w:pPr>
          </w:p>
          <w:p w14:paraId="74207EBA">
            <w:pPr>
              <w:spacing w:line="260" w:lineRule="auto"/>
              <w:rPr>
                <w:rFonts w:ascii="Arial"/>
                <w:color w:val="auto"/>
                <w:sz w:val="21"/>
              </w:rPr>
            </w:pPr>
          </w:p>
          <w:p w14:paraId="034C9A2C">
            <w:pPr>
              <w:spacing w:line="260" w:lineRule="auto"/>
              <w:rPr>
                <w:rFonts w:ascii="Arial"/>
                <w:color w:val="auto"/>
                <w:sz w:val="21"/>
              </w:rPr>
            </w:pPr>
          </w:p>
          <w:p w14:paraId="7783423C">
            <w:pPr>
              <w:pStyle w:val="73"/>
              <w:spacing w:before="65" w:line="189" w:lineRule="auto"/>
              <w:ind w:left="120"/>
              <w:rPr>
                <w:color w:val="auto"/>
                <w:sz w:val="20"/>
                <w:szCs w:val="20"/>
              </w:rPr>
            </w:pPr>
            <w:r>
              <w:rPr>
                <w:color w:val="auto"/>
                <w:sz w:val="20"/>
                <w:szCs w:val="20"/>
              </w:rPr>
              <w:t>3</w:t>
            </w:r>
          </w:p>
        </w:tc>
        <w:tc>
          <w:tcPr>
            <w:tcW w:w="935" w:type="dxa"/>
            <w:vMerge w:val="restart"/>
            <w:tcBorders>
              <w:bottom w:val="nil"/>
            </w:tcBorders>
            <w:vAlign w:val="top"/>
          </w:tcPr>
          <w:p w14:paraId="51B988B6">
            <w:pPr>
              <w:spacing w:line="243" w:lineRule="auto"/>
              <w:rPr>
                <w:rFonts w:ascii="Arial"/>
                <w:color w:val="auto"/>
                <w:sz w:val="21"/>
              </w:rPr>
            </w:pPr>
          </w:p>
          <w:p w14:paraId="3E2A2C2A">
            <w:pPr>
              <w:spacing w:line="243" w:lineRule="auto"/>
              <w:rPr>
                <w:rFonts w:ascii="Arial"/>
                <w:color w:val="auto"/>
                <w:sz w:val="21"/>
              </w:rPr>
            </w:pPr>
          </w:p>
          <w:p w14:paraId="46807537">
            <w:pPr>
              <w:spacing w:line="243" w:lineRule="auto"/>
              <w:rPr>
                <w:rFonts w:ascii="Arial"/>
                <w:color w:val="auto"/>
                <w:sz w:val="21"/>
              </w:rPr>
            </w:pPr>
          </w:p>
          <w:p w14:paraId="485577D8">
            <w:pPr>
              <w:spacing w:line="243" w:lineRule="auto"/>
              <w:rPr>
                <w:rFonts w:ascii="Arial"/>
                <w:color w:val="auto"/>
                <w:sz w:val="21"/>
              </w:rPr>
            </w:pPr>
          </w:p>
          <w:p w14:paraId="63D88A95">
            <w:pPr>
              <w:spacing w:line="243" w:lineRule="auto"/>
              <w:rPr>
                <w:rFonts w:ascii="Arial"/>
                <w:color w:val="auto"/>
                <w:sz w:val="21"/>
              </w:rPr>
            </w:pPr>
          </w:p>
          <w:p w14:paraId="3F50E6D7">
            <w:pPr>
              <w:spacing w:line="243" w:lineRule="auto"/>
              <w:rPr>
                <w:rFonts w:ascii="Arial"/>
                <w:color w:val="auto"/>
                <w:sz w:val="21"/>
              </w:rPr>
            </w:pPr>
          </w:p>
          <w:p w14:paraId="08727151">
            <w:pPr>
              <w:spacing w:line="243" w:lineRule="auto"/>
              <w:rPr>
                <w:rFonts w:ascii="Arial"/>
                <w:color w:val="auto"/>
                <w:sz w:val="21"/>
              </w:rPr>
            </w:pPr>
          </w:p>
          <w:p w14:paraId="663F5260">
            <w:pPr>
              <w:spacing w:line="243" w:lineRule="auto"/>
              <w:rPr>
                <w:rFonts w:ascii="Arial"/>
                <w:color w:val="auto"/>
                <w:sz w:val="21"/>
              </w:rPr>
            </w:pPr>
          </w:p>
          <w:p w14:paraId="596A6153">
            <w:pPr>
              <w:spacing w:line="243" w:lineRule="auto"/>
              <w:rPr>
                <w:rFonts w:ascii="Arial"/>
                <w:color w:val="auto"/>
                <w:sz w:val="21"/>
              </w:rPr>
            </w:pPr>
          </w:p>
          <w:p w14:paraId="7D884D8A">
            <w:pPr>
              <w:spacing w:line="244" w:lineRule="auto"/>
              <w:rPr>
                <w:rFonts w:ascii="Arial"/>
                <w:color w:val="auto"/>
                <w:sz w:val="21"/>
              </w:rPr>
            </w:pPr>
          </w:p>
          <w:p w14:paraId="0A4ADACA">
            <w:pPr>
              <w:spacing w:line="244" w:lineRule="auto"/>
              <w:rPr>
                <w:rFonts w:ascii="Arial"/>
                <w:color w:val="auto"/>
                <w:sz w:val="21"/>
              </w:rPr>
            </w:pPr>
          </w:p>
          <w:p w14:paraId="472E1B67">
            <w:pPr>
              <w:pStyle w:val="73"/>
              <w:spacing w:before="65" w:line="246" w:lineRule="auto"/>
              <w:ind w:left="115" w:right="107" w:firstLine="1"/>
              <w:rPr>
                <w:color w:val="auto"/>
                <w:sz w:val="20"/>
                <w:szCs w:val="20"/>
              </w:rPr>
            </w:pPr>
            <w:r>
              <w:rPr>
                <w:color w:val="auto"/>
                <w:spacing w:val="2"/>
                <w:sz w:val="20"/>
                <w:szCs w:val="20"/>
              </w:rPr>
              <w:t>商务</w:t>
            </w:r>
            <w:r>
              <w:rPr>
                <w:color w:val="auto"/>
                <w:sz w:val="20"/>
                <w:szCs w:val="20"/>
              </w:rPr>
              <w:t xml:space="preserve">  </w:t>
            </w:r>
            <w:r>
              <w:rPr>
                <w:color w:val="auto"/>
                <w:spacing w:val="3"/>
                <w:sz w:val="20"/>
                <w:szCs w:val="20"/>
              </w:rPr>
              <w:t>因素</w:t>
            </w:r>
            <w:r>
              <w:rPr>
                <w:color w:val="auto"/>
                <w:sz w:val="20"/>
                <w:szCs w:val="20"/>
              </w:rPr>
              <w:t xml:space="preserve">  </w:t>
            </w:r>
            <w:r>
              <w:rPr>
                <w:color w:val="auto"/>
                <w:spacing w:val="-12"/>
                <w:sz w:val="20"/>
                <w:szCs w:val="20"/>
              </w:rPr>
              <w:t>分（20</w:t>
            </w:r>
            <w:r>
              <w:rPr>
                <w:color w:val="auto"/>
                <w:sz w:val="20"/>
                <w:szCs w:val="20"/>
              </w:rPr>
              <w:t xml:space="preserve"> </w:t>
            </w:r>
            <w:r>
              <w:rPr>
                <w:color w:val="auto"/>
                <w:spacing w:val="-1"/>
                <w:sz w:val="20"/>
                <w:szCs w:val="20"/>
              </w:rPr>
              <w:t>分）</w:t>
            </w:r>
          </w:p>
        </w:tc>
        <w:tc>
          <w:tcPr>
            <w:tcW w:w="2121" w:type="dxa"/>
            <w:vAlign w:val="center"/>
          </w:tcPr>
          <w:p w14:paraId="60B07B67">
            <w:pPr>
              <w:pStyle w:val="78"/>
              <w:overflowPunct/>
              <w:bidi w:val="0"/>
              <w:spacing w:line="0" w:lineRule="atLeast"/>
              <w:jc w:val="center"/>
              <w:outlineLvl w:val="9"/>
              <w:rPr>
                <w:rFonts w:hint="eastAsia" w:eastAsia="宋体"/>
                <w:color w:val="auto"/>
                <w:sz w:val="20"/>
                <w:szCs w:val="20"/>
                <w:lang w:eastAsia="zh-CN"/>
              </w:rPr>
            </w:pPr>
            <w:r>
              <w:rPr>
                <w:rFonts w:hint="eastAsia" w:ascii="宋体" w:hAnsi="宋体" w:eastAsia="宋体" w:cs="宋体"/>
                <w:color w:val="auto"/>
                <w:sz w:val="21"/>
                <w:szCs w:val="21"/>
                <w:highlight w:val="none"/>
                <w:lang w:val="en-US"/>
              </w:rPr>
              <w:t>企业业绩</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6318" w:type="dxa"/>
            <w:vAlign w:val="center"/>
          </w:tcPr>
          <w:p w14:paraId="662DC954">
            <w:pPr>
              <w:pStyle w:val="78"/>
              <w:overflowPunct/>
              <w:bidi w:val="0"/>
              <w:spacing w:line="0" w:lineRule="atLeas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投标单位近三年（</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cs="宋体"/>
                <w:color w:val="auto"/>
                <w:sz w:val="21"/>
                <w:szCs w:val="21"/>
                <w:highlight w:val="none"/>
                <w:lang w:val="en-US" w:eastAsia="zh-CN"/>
              </w:rPr>
              <w:t>5月1日</w:t>
            </w:r>
            <w:r>
              <w:rPr>
                <w:rFonts w:hint="eastAsia" w:ascii="宋体" w:hAnsi="宋体" w:eastAsia="宋体" w:cs="宋体"/>
                <w:color w:val="auto"/>
                <w:sz w:val="21"/>
                <w:szCs w:val="21"/>
                <w:highlight w:val="none"/>
                <w:lang w:eastAsia="zh-CN"/>
              </w:rPr>
              <w:t>至今</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有</w:t>
            </w:r>
            <w:r>
              <w:rPr>
                <w:rFonts w:hint="eastAsia" w:ascii="宋体" w:hAnsi="宋体" w:eastAsia="宋体" w:cs="宋体"/>
                <w:color w:val="auto"/>
                <w:sz w:val="21"/>
                <w:szCs w:val="21"/>
                <w:lang w:val="en-US" w:eastAsia="zh-CN"/>
              </w:rPr>
              <w:t>类似项目业绩</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每提供一项业绩证明得</w:t>
            </w:r>
            <w:r>
              <w:rPr>
                <w:rFonts w:hint="eastAsia" w:cs="宋体"/>
                <w:color w:val="auto"/>
                <w:sz w:val="21"/>
                <w:szCs w:val="21"/>
                <w:lang w:val="en-US" w:eastAsia="zh-CN"/>
              </w:rPr>
              <w:t>3</w:t>
            </w:r>
            <w:r>
              <w:rPr>
                <w:rFonts w:hint="eastAsia" w:ascii="宋体" w:hAnsi="宋体" w:eastAsia="宋体" w:cs="宋体"/>
                <w:color w:val="auto"/>
                <w:sz w:val="21"/>
                <w:szCs w:val="21"/>
              </w:rPr>
              <w:t>分，最</w:t>
            </w:r>
            <w:r>
              <w:rPr>
                <w:rFonts w:hint="eastAsia" w:ascii="宋体" w:hAnsi="宋体" w:eastAsia="宋体" w:cs="宋体"/>
                <w:color w:val="auto"/>
                <w:sz w:val="21"/>
                <w:szCs w:val="21"/>
                <w:lang w:eastAsia="zh-CN"/>
              </w:rPr>
              <w:t>多</w:t>
            </w:r>
            <w:r>
              <w:rPr>
                <w:rFonts w:hint="eastAsia" w:ascii="宋体" w:hAnsi="宋体" w:eastAsia="宋体" w:cs="宋体"/>
                <w:color w:val="auto"/>
                <w:sz w:val="21"/>
                <w:szCs w:val="21"/>
              </w:rPr>
              <w:t>得</w:t>
            </w:r>
            <w:r>
              <w:rPr>
                <w:rFonts w:hint="eastAsia" w:cs="宋体"/>
                <w:color w:val="auto"/>
                <w:sz w:val="21"/>
                <w:szCs w:val="21"/>
                <w:lang w:val="en-US" w:eastAsia="zh-CN"/>
              </w:rPr>
              <w:t>9</w:t>
            </w:r>
            <w:r>
              <w:rPr>
                <w:rFonts w:hint="eastAsia" w:ascii="宋体" w:hAnsi="宋体" w:eastAsia="宋体" w:cs="宋体"/>
                <w:color w:val="auto"/>
                <w:sz w:val="21"/>
                <w:szCs w:val="21"/>
              </w:rPr>
              <w:t>分，没有则不得分。</w:t>
            </w:r>
          </w:p>
          <w:p w14:paraId="65E856B4">
            <w:pPr>
              <w:pStyle w:val="78"/>
              <w:overflowPunct/>
              <w:bidi w:val="0"/>
              <w:spacing w:line="0" w:lineRule="atLeast"/>
              <w:jc w:val="both"/>
              <w:outlineLvl w:val="9"/>
              <w:rPr>
                <w:color w:val="auto"/>
                <w:sz w:val="20"/>
                <w:szCs w:val="20"/>
              </w:rPr>
            </w:pPr>
            <w:r>
              <w:rPr>
                <w:rFonts w:hint="eastAsia" w:ascii="宋体" w:hAnsi="宋体" w:eastAsia="宋体" w:cs="宋体"/>
                <w:b/>
                <w:bCs/>
                <w:color w:val="auto"/>
                <w:sz w:val="21"/>
                <w:szCs w:val="21"/>
                <w:highlight w:val="none"/>
              </w:rPr>
              <w:t>评分依据：提供中标</w:t>
            </w:r>
            <w:r>
              <w:rPr>
                <w:rFonts w:hint="eastAsia" w:ascii="宋体" w:hAnsi="宋体" w:eastAsia="宋体" w:cs="宋体"/>
                <w:b/>
                <w:bCs/>
                <w:color w:val="auto"/>
                <w:sz w:val="21"/>
                <w:szCs w:val="21"/>
                <w:highlight w:val="none"/>
                <w:lang w:val="en-US"/>
              </w:rPr>
              <w:t>/成交</w:t>
            </w:r>
            <w:r>
              <w:rPr>
                <w:rFonts w:hint="eastAsia" w:ascii="宋体" w:hAnsi="宋体" w:eastAsia="宋体" w:cs="宋体"/>
                <w:b/>
                <w:bCs/>
                <w:color w:val="auto"/>
                <w:sz w:val="21"/>
                <w:szCs w:val="21"/>
                <w:highlight w:val="none"/>
              </w:rPr>
              <w:t>通知书或合同协议书复印件加盖投标单位公章</w:t>
            </w:r>
          </w:p>
        </w:tc>
      </w:tr>
      <w:tr w14:paraId="7A82D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25" w:type="dxa"/>
            <w:vMerge w:val="continue"/>
            <w:tcBorders>
              <w:top w:val="nil"/>
              <w:bottom w:val="nil"/>
            </w:tcBorders>
            <w:vAlign w:val="top"/>
          </w:tcPr>
          <w:p w14:paraId="64C2C170">
            <w:pPr>
              <w:rPr>
                <w:rFonts w:ascii="Arial"/>
                <w:color w:val="auto"/>
                <w:sz w:val="21"/>
              </w:rPr>
            </w:pPr>
          </w:p>
        </w:tc>
        <w:tc>
          <w:tcPr>
            <w:tcW w:w="935" w:type="dxa"/>
            <w:vMerge w:val="continue"/>
            <w:tcBorders>
              <w:top w:val="nil"/>
              <w:bottom w:val="nil"/>
            </w:tcBorders>
            <w:vAlign w:val="top"/>
          </w:tcPr>
          <w:p w14:paraId="2AAFEFA4">
            <w:pPr>
              <w:rPr>
                <w:rFonts w:ascii="Arial"/>
                <w:color w:val="auto"/>
                <w:sz w:val="21"/>
              </w:rPr>
            </w:pPr>
          </w:p>
        </w:tc>
        <w:tc>
          <w:tcPr>
            <w:tcW w:w="2121" w:type="dxa"/>
            <w:vAlign w:val="top"/>
          </w:tcPr>
          <w:p w14:paraId="48C12F7F">
            <w:pPr>
              <w:rPr>
                <w:rFonts w:ascii="Arial"/>
                <w:color w:val="auto"/>
                <w:sz w:val="21"/>
              </w:rPr>
            </w:pPr>
          </w:p>
          <w:p w14:paraId="485D1C56">
            <w:pPr>
              <w:pStyle w:val="73"/>
              <w:spacing w:before="65" w:line="228" w:lineRule="auto"/>
              <w:ind w:left="112"/>
              <w:rPr>
                <w:color w:val="auto"/>
                <w:sz w:val="20"/>
                <w:szCs w:val="20"/>
              </w:rPr>
            </w:pPr>
            <w:r>
              <w:rPr>
                <w:color w:val="auto"/>
                <w:spacing w:val="6"/>
                <w:sz w:val="20"/>
                <w:szCs w:val="20"/>
              </w:rPr>
              <w:t>服务承诺（</w:t>
            </w:r>
            <w:r>
              <w:rPr>
                <w:rFonts w:hint="eastAsia"/>
                <w:color w:val="auto"/>
                <w:spacing w:val="6"/>
                <w:sz w:val="20"/>
                <w:szCs w:val="20"/>
                <w:lang w:val="en-US" w:eastAsia="zh-CN"/>
              </w:rPr>
              <w:t>5</w:t>
            </w:r>
            <w:r>
              <w:rPr>
                <w:color w:val="auto"/>
                <w:spacing w:val="6"/>
                <w:sz w:val="20"/>
                <w:szCs w:val="20"/>
              </w:rPr>
              <w:t>分）</w:t>
            </w:r>
          </w:p>
        </w:tc>
        <w:tc>
          <w:tcPr>
            <w:tcW w:w="6318" w:type="dxa"/>
            <w:vAlign w:val="top"/>
          </w:tcPr>
          <w:p w14:paraId="076B3170">
            <w:pPr>
              <w:pStyle w:val="73"/>
              <w:spacing w:before="32" w:line="241" w:lineRule="auto"/>
              <w:ind w:left="113" w:right="122"/>
              <w:rPr>
                <w:color w:val="auto"/>
                <w:sz w:val="20"/>
                <w:szCs w:val="20"/>
              </w:rPr>
            </w:pPr>
            <w:r>
              <w:rPr>
                <w:color w:val="auto"/>
                <w:spacing w:val="9"/>
                <w:sz w:val="20"/>
                <w:szCs w:val="20"/>
              </w:rPr>
              <w:t>提供完善的具有可操作性的服务承诺，且能够满足采购</w:t>
            </w:r>
            <w:r>
              <w:rPr>
                <w:color w:val="auto"/>
                <w:spacing w:val="4"/>
                <w:sz w:val="20"/>
                <w:szCs w:val="20"/>
              </w:rPr>
              <w:t>要求。</w:t>
            </w:r>
          </w:p>
          <w:p w14:paraId="6A608ECE">
            <w:pPr>
              <w:pStyle w:val="73"/>
              <w:spacing w:before="21" w:line="216" w:lineRule="auto"/>
              <w:ind w:left="112"/>
              <w:rPr>
                <w:color w:val="auto"/>
                <w:sz w:val="20"/>
                <w:szCs w:val="20"/>
              </w:rPr>
            </w:pPr>
            <w:r>
              <w:rPr>
                <w:color w:val="auto"/>
                <w:spacing w:val="8"/>
                <w:sz w:val="20"/>
                <w:szCs w:val="20"/>
              </w:rPr>
              <w:t>每有一条实质性内容得1分，满分</w:t>
            </w:r>
            <w:r>
              <w:rPr>
                <w:rFonts w:hint="eastAsia"/>
                <w:color w:val="auto"/>
                <w:spacing w:val="8"/>
                <w:sz w:val="20"/>
                <w:szCs w:val="20"/>
                <w:lang w:val="en-US" w:eastAsia="zh-CN"/>
              </w:rPr>
              <w:t>5</w:t>
            </w:r>
            <w:r>
              <w:rPr>
                <w:color w:val="auto"/>
                <w:spacing w:val="8"/>
                <w:sz w:val="20"/>
                <w:szCs w:val="20"/>
              </w:rPr>
              <w:t>分。</w:t>
            </w:r>
          </w:p>
        </w:tc>
      </w:tr>
      <w:tr w14:paraId="25B67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525" w:type="dxa"/>
            <w:vMerge w:val="continue"/>
            <w:tcBorders>
              <w:top w:val="nil"/>
            </w:tcBorders>
            <w:vAlign w:val="top"/>
          </w:tcPr>
          <w:p w14:paraId="0BE97EBD">
            <w:pPr>
              <w:rPr>
                <w:rFonts w:ascii="Arial"/>
                <w:color w:val="auto"/>
                <w:sz w:val="21"/>
              </w:rPr>
            </w:pPr>
          </w:p>
        </w:tc>
        <w:tc>
          <w:tcPr>
            <w:tcW w:w="935" w:type="dxa"/>
            <w:vMerge w:val="continue"/>
            <w:tcBorders>
              <w:top w:val="nil"/>
            </w:tcBorders>
            <w:vAlign w:val="top"/>
          </w:tcPr>
          <w:p w14:paraId="63302E9E">
            <w:pPr>
              <w:rPr>
                <w:rFonts w:ascii="Arial"/>
                <w:color w:val="auto"/>
                <w:sz w:val="21"/>
              </w:rPr>
            </w:pPr>
          </w:p>
        </w:tc>
        <w:tc>
          <w:tcPr>
            <w:tcW w:w="2121" w:type="dxa"/>
            <w:vAlign w:val="top"/>
          </w:tcPr>
          <w:p w14:paraId="3433A9EE">
            <w:pPr>
              <w:spacing w:line="322" w:lineRule="auto"/>
              <w:rPr>
                <w:rFonts w:ascii="Arial"/>
                <w:color w:val="auto"/>
                <w:sz w:val="21"/>
              </w:rPr>
            </w:pPr>
          </w:p>
          <w:p w14:paraId="7FAEF84E">
            <w:pPr>
              <w:spacing w:line="323" w:lineRule="auto"/>
              <w:rPr>
                <w:rFonts w:ascii="Arial"/>
                <w:color w:val="auto"/>
                <w:sz w:val="21"/>
              </w:rPr>
            </w:pPr>
          </w:p>
          <w:p w14:paraId="2E3CD5B2">
            <w:pPr>
              <w:pStyle w:val="73"/>
              <w:spacing w:before="65" w:line="228" w:lineRule="auto"/>
              <w:ind w:left="157"/>
              <w:rPr>
                <w:color w:val="auto"/>
                <w:sz w:val="20"/>
                <w:szCs w:val="20"/>
              </w:rPr>
            </w:pPr>
            <w:r>
              <w:rPr>
                <w:color w:val="auto"/>
                <w:spacing w:val="8"/>
                <w:sz w:val="20"/>
                <w:szCs w:val="20"/>
              </w:rPr>
              <w:t>项目团队能</w:t>
            </w:r>
            <w:r>
              <w:rPr>
                <w:color w:val="auto"/>
                <w:sz w:val="20"/>
                <w:szCs w:val="20"/>
              </w:rPr>
              <w:t>力</w:t>
            </w:r>
            <w:r>
              <w:rPr>
                <w:color w:val="auto"/>
                <w:spacing w:val="-2"/>
                <w:sz w:val="20"/>
                <w:szCs w:val="20"/>
              </w:rPr>
              <w:t>（</w:t>
            </w:r>
            <w:r>
              <w:rPr>
                <w:rFonts w:hint="eastAsia"/>
                <w:color w:val="auto"/>
                <w:spacing w:val="-2"/>
                <w:sz w:val="20"/>
                <w:szCs w:val="20"/>
                <w:lang w:val="en-US" w:eastAsia="zh-CN"/>
              </w:rPr>
              <w:t>6</w:t>
            </w:r>
            <w:r>
              <w:rPr>
                <w:color w:val="auto"/>
                <w:spacing w:val="-2"/>
                <w:sz w:val="20"/>
                <w:szCs w:val="20"/>
              </w:rPr>
              <w:t>分）</w:t>
            </w:r>
          </w:p>
        </w:tc>
        <w:tc>
          <w:tcPr>
            <w:tcW w:w="6318" w:type="dxa"/>
            <w:vAlign w:val="top"/>
          </w:tcPr>
          <w:p w14:paraId="04AB3365">
            <w:pPr>
              <w:pStyle w:val="73"/>
              <w:spacing w:before="33" w:line="244" w:lineRule="auto"/>
              <w:ind w:left="113" w:right="122"/>
              <w:jc w:val="both"/>
              <w:rPr>
                <w:color w:val="auto"/>
                <w:sz w:val="20"/>
                <w:szCs w:val="20"/>
              </w:rPr>
            </w:pPr>
            <w:r>
              <w:rPr>
                <w:color w:val="auto"/>
                <w:spacing w:val="9"/>
                <w:sz w:val="20"/>
                <w:szCs w:val="20"/>
              </w:rPr>
              <w:t>提供的服务本项目人员配备情况进行综合比较和评价，配备的人员数量充足且年龄及经验非常合理视</w:t>
            </w:r>
            <w:r>
              <w:rPr>
                <w:color w:val="auto"/>
                <w:sz w:val="20"/>
                <w:szCs w:val="20"/>
              </w:rPr>
              <w:t>为优</w:t>
            </w:r>
            <w:r>
              <w:rPr>
                <w:rFonts w:hint="eastAsia"/>
                <w:color w:val="auto"/>
                <w:spacing w:val="-35"/>
                <w:sz w:val="20"/>
                <w:szCs w:val="20"/>
                <w:lang w:val="en-US" w:eastAsia="zh-CN"/>
              </w:rPr>
              <w:t>6</w:t>
            </w:r>
            <w:r>
              <w:rPr>
                <w:color w:val="auto"/>
                <w:sz w:val="20"/>
                <w:szCs w:val="20"/>
              </w:rPr>
              <w:t>分；</w:t>
            </w:r>
          </w:p>
          <w:p w14:paraId="4AB250F2">
            <w:pPr>
              <w:pStyle w:val="73"/>
              <w:spacing w:before="24"/>
              <w:ind w:left="114" w:right="122" w:hanging="2"/>
              <w:rPr>
                <w:color w:val="auto"/>
                <w:sz w:val="20"/>
                <w:szCs w:val="20"/>
              </w:rPr>
            </w:pPr>
            <w:r>
              <w:rPr>
                <w:color w:val="auto"/>
                <w:spacing w:val="9"/>
                <w:sz w:val="20"/>
                <w:szCs w:val="20"/>
              </w:rPr>
              <w:t>配备的人员数量满足项目需求但其他方面较合理视</w:t>
            </w:r>
            <w:r>
              <w:rPr>
                <w:color w:val="auto"/>
                <w:spacing w:val="2"/>
                <w:sz w:val="20"/>
                <w:szCs w:val="20"/>
              </w:rPr>
              <w:t>为良得</w:t>
            </w:r>
            <w:r>
              <w:rPr>
                <w:rFonts w:hint="eastAsia"/>
                <w:color w:val="auto"/>
                <w:spacing w:val="-37"/>
                <w:sz w:val="20"/>
                <w:szCs w:val="20"/>
                <w:lang w:val="en-US" w:eastAsia="zh-CN"/>
              </w:rPr>
              <w:t>3</w:t>
            </w:r>
            <w:r>
              <w:rPr>
                <w:color w:val="auto"/>
                <w:spacing w:val="2"/>
                <w:sz w:val="20"/>
                <w:szCs w:val="20"/>
              </w:rPr>
              <w:t>分；</w:t>
            </w:r>
          </w:p>
          <w:p w14:paraId="0A8CF150">
            <w:pPr>
              <w:pStyle w:val="73"/>
              <w:spacing w:before="24"/>
              <w:ind w:left="112" w:right="595"/>
              <w:rPr>
                <w:color w:val="auto"/>
                <w:sz w:val="20"/>
                <w:szCs w:val="20"/>
              </w:rPr>
            </w:pPr>
            <w:r>
              <w:rPr>
                <w:color w:val="auto"/>
                <w:spacing w:val="5"/>
                <w:sz w:val="20"/>
                <w:szCs w:val="20"/>
              </w:rPr>
              <w:t>配备的人员数量较能够满足项目需求得</w:t>
            </w:r>
            <w:r>
              <w:rPr>
                <w:color w:val="auto"/>
                <w:spacing w:val="-9"/>
                <w:sz w:val="20"/>
                <w:szCs w:val="20"/>
              </w:rPr>
              <w:t xml:space="preserve"> </w:t>
            </w:r>
            <w:r>
              <w:rPr>
                <w:rFonts w:ascii="Times New Roman" w:hAnsi="Times New Roman" w:eastAsia="Times New Roman" w:cs="Times New Roman"/>
                <w:color w:val="auto"/>
                <w:spacing w:val="5"/>
                <w:sz w:val="20"/>
                <w:szCs w:val="20"/>
              </w:rPr>
              <w:t xml:space="preserve">1 </w:t>
            </w:r>
            <w:r>
              <w:rPr>
                <w:color w:val="auto"/>
                <w:spacing w:val="5"/>
                <w:sz w:val="20"/>
                <w:szCs w:val="20"/>
              </w:rPr>
              <w:t>分；</w:t>
            </w:r>
            <w:r>
              <w:rPr>
                <w:color w:val="auto"/>
                <w:sz w:val="20"/>
                <w:szCs w:val="20"/>
              </w:rPr>
              <w:t xml:space="preserve"> </w:t>
            </w:r>
            <w:r>
              <w:rPr>
                <w:color w:val="auto"/>
                <w:spacing w:val="8"/>
                <w:sz w:val="20"/>
                <w:szCs w:val="20"/>
              </w:rPr>
              <w:t>配备人员数量不满足项目需求不得分。</w:t>
            </w:r>
          </w:p>
          <w:p w14:paraId="1DBDE442">
            <w:pPr>
              <w:pStyle w:val="73"/>
              <w:spacing w:before="23" w:line="218" w:lineRule="auto"/>
              <w:ind w:left="115"/>
              <w:outlineLvl w:val="1"/>
              <w:rPr>
                <w:color w:val="auto"/>
                <w:sz w:val="20"/>
                <w:szCs w:val="20"/>
              </w:rPr>
            </w:pPr>
            <w:r>
              <w:rPr>
                <w:rFonts w:hint="eastAsia"/>
                <w:color w:val="auto"/>
                <w:spacing w:val="8"/>
                <w:sz w:val="20"/>
                <w:szCs w:val="20"/>
                <w:lang w:val="en-US" w:eastAsia="zh-CN"/>
              </w:rPr>
              <w:t>响应</w:t>
            </w:r>
            <w:r>
              <w:rPr>
                <w:color w:val="auto"/>
                <w:spacing w:val="8"/>
                <w:sz w:val="20"/>
                <w:szCs w:val="20"/>
              </w:rPr>
              <w:t>文件中附</w:t>
            </w:r>
            <w:r>
              <w:rPr>
                <w:rFonts w:hint="eastAsia"/>
                <w:color w:val="auto"/>
                <w:spacing w:val="8"/>
                <w:sz w:val="20"/>
                <w:szCs w:val="20"/>
                <w:lang w:val="en-US" w:eastAsia="zh-CN"/>
              </w:rPr>
              <w:t>资格</w:t>
            </w:r>
            <w:r>
              <w:rPr>
                <w:color w:val="auto"/>
                <w:spacing w:val="8"/>
                <w:sz w:val="20"/>
                <w:szCs w:val="20"/>
              </w:rPr>
              <w:t>证书等复印件并加盖公章。</w:t>
            </w:r>
            <w:bookmarkStart w:id="145" w:name="_GoBack"/>
            <w:bookmarkEnd w:id="145"/>
          </w:p>
        </w:tc>
      </w:tr>
    </w:tbl>
    <w:p w14:paraId="572E68B1">
      <w:pPr>
        <w:autoSpaceDE w:val="0"/>
        <w:autoSpaceDN w:val="0"/>
        <w:adjustRightInd w:val="0"/>
        <w:snapToGrid w:val="0"/>
        <w:spacing w:line="440" w:lineRule="exact"/>
        <w:ind w:firstLine="643" w:firstLineChars="200"/>
        <w:jc w:val="center"/>
        <w:rPr>
          <w:rFonts w:asciiTheme="minorEastAsia" w:hAnsiTheme="minorEastAsia" w:eastAsiaTheme="minorEastAsia"/>
          <w:b/>
          <w:color w:val="auto"/>
          <w:kern w:val="0"/>
          <w:sz w:val="32"/>
          <w:szCs w:val="32"/>
        </w:rPr>
      </w:pPr>
    </w:p>
    <w:bookmarkEnd w:id="93"/>
    <w:bookmarkEnd w:id="94"/>
    <w:bookmarkEnd w:id="95"/>
    <w:bookmarkEnd w:id="96"/>
    <w:bookmarkEnd w:id="97"/>
    <w:bookmarkEnd w:id="98"/>
    <w:bookmarkEnd w:id="99"/>
    <w:bookmarkEnd w:id="100"/>
    <w:p w14:paraId="2B0A2F1A">
      <w:pPr>
        <w:spacing w:line="400" w:lineRule="exact"/>
        <w:rPr>
          <w:rFonts w:hint="eastAsia" w:ascii="宋体" w:hAnsi="宋体"/>
          <w:b/>
          <w:color w:val="auto"/>
          <w:sz w:val="24"/>
          <w:szCs w:val="24"/>
        </w:rPr>
      </w:pPr>
      <w:r>
        <w:rPr>
          <w:rFonts w:hint="eastAsia" w:ascii="宋体" w:hAnsi="宋体"/>
          <w:b/>
          <w:color w:val="auto"/>
          <w:sz w:val="24"/>
          <w:szCs w:val="24"/>
        </w:rPr>
        <w:t>1.评审方法</w:t>
      </w:r>
    </w:p>
    <w:p w14:paraId="2C22A4AB">
      <w:pPr>
        <w:spacing w:line="400" w:lineRule="exact"/>
        <w:ind w:firstLine="420" w:firstLineChars="200"/>
        <w:rPr>
          <w:rFonts w:hint="eastAsia" w:ascii="宋体" w:hAnsi="宋体"/>
          <w:b/>
          <w:color w:val="auto"/>
          <w:sz w:val="24"/>
          <w:szCs w:val="24"/>
        </w:rPr>
      </w:pPr>
      <w:r>
        <w:rPr>
          <w:rFonts w:hint="eastAsia" w:ascii="宋体" w:hAnsi="宋体"/>
          <w:color w:val="auto"/>
        </w:rPr>
        <w:t>本次评审采用综合评分法。</w:t>
      </w:r>
      <w:r>
        <w:rPr>
          <w:rFonts w:hint="eastAsia" w:ascii="宋体" w:hAnsi="宋体"/>
          <w:color w:val="auto"/>
          <w:lang w:eastAsia="zh-CN"/>
        </w:rPr>
        <w:t>磋商</w:t>
      </w:r>
      <w:r>
        <w:rPr>
          <w:rFonts w:hint="eastAsia" w:ascii="宋体" w:hAnsi="宋体"/>
          <w:color w:val="auto"/>
        </w:rPr>
        <w:t>小组对满足竞争性</w:t>
      </w:r>
      <w:r>
        <w:rPr>
          <w:rFonts w:hint="eastAsia" w:ascii="宋体" w:hAnsi="宋体"/>
          <w:color w:val="auto"/>
          <w:lang w:eastAsia="zh-CN"/>
        </w:rPr>
        <w:t>磋商</w:t>
      </w:r>
      <w:r>
        <w:rPr>
          <w:rFonts w:hint="eastAsia" w:ascii="宋体" w:hAnsi="宋体"/>
          <w:color w:val="auto"/>
        </w:rPr>
        <w:t>文件实质性要求的响应文件，按照本章第2.2款规定的评分标准进行打分，并按得分由高到低顺序推荐成交候选人，或根据采购人授权直接确定成交人，但</w:t>
      </w:r>
      <w:r>
        <w:rPr>
          <w:rFonts w:hint="eastAsia" w:ascii="宋体" w:hAnsi="宋体"/>
          <w:color w:val="auto"/>
          <w:lang w:eastAsia="zh-CN"/>
        </w:rPr>
        <w:t>磋商</w:t>
      </w:r>
      <w:r>
        <w:rPr>
          <w:rFonts w:hint="eastAsia" w:ascii="宋体" w:hAnsi="宋体"/>
          <w:color w:val="auto"/>
        </w:rPr>
        <w:t>报价低于其成本的除外。综合评分相等时，以</w:t>
      </w:r>
      <w:r>
        <w:rPr>
          <w:rFonts w:hint="eastAsia" w:ascii="宋体" w:hAnsi="宋体"/>
          <w:color w:val="auto"/>
          <w:lang w:eastAsia="zh-CN"/>
        </w:rPr>
        <w:t>磋商第二轮</w:t>
      </w:r>
      <w:r>
        <w:rPr>
          <w:rFonts w:hint="eastAsia" w:ascii="宋体" w:hAnsi="宋体"/>
          <w:color w:val="auto"/>
        </w:rPr>
        <w:t>报价（最终报价）低的优先；</w:t>
      </w:r>
      <w:r>
        <w:rPr>
          <w:rFonts w:hint="eastAsia" w:ascii="宋体" w:hAnsi="宋体"/>
          <w:color w:val="auto"/>
          <w:lang w:eastAsia="zh-CN"/>
        </w:rPr>
        <w:t>磋商第二轮</w:t>
      </w:r>
      <w:r>
        <w:rPr>
          <w:rFonts w:hint="eastAsia" w:ascii="宋体" w:hAnsi="宋体"/>
          <w:color w:val="auto"/>
        </w:rPr>
        <w:t>报价（最终报价）也相等的，以技术部分得分高的优先；如果技术部分得分也相等，由采购人确定。</w:t>
      </w:r>
    </w:p>
    <w:p w14:paraId="1CBCC2E8">
      <w:pPr>
        <w:spacing w:line="400" w:lineRule="exact"/>
        <w:rPr>
          <w:rFonts w:hint="eastAsia" w:ascii="宋体" w:hAnsi="宋体"/>
          <w:b/>
          <w:color w:val="auto"/>
          <w:sz w:val="24"/>
          <w:szCs w:val="24"/>
        </w:rPr>
      </w:pPr>
      <w:r>
        <w:rPr>
          <w:rFonts w:hint="eastAsia" w:ascii="宋体" w:hAnsi="宋体"/>
          <w:b/>
          <w:color w:val="auto"/>
          <w:sz w:val="24"/>
          <w:szCs w:val="24"/>
        </w:rPr>
        <w:t>2. 评审标准</w:t>
      </w:r>
    </w:p>
    <w:p w14:paraId="4875F25B">
      <w:pPr>
        <w:spacing w:line="400" w:lineRule="exact"/>
        <w:rPr>
          <w:rFonts w:hint="eastAsia" w:ascii="宋体" w:hAnsi="宋体"/>
          <w:b/>
          <w:color w:val="auto"/>
          <w:sz w:val="24"/>
          <w:szCs w:val="24"/>
        </w:rPr>
      </w:pPr>
      <w:r>
        <w:rPr>
          <w:rFonts w:hint="eastAsia" w:ascii="宋体" w:hAnsi="宋体"/>
          <w:b/>
          <w:color w:val="auto"/>
          <w:sz w:val="24"/>
          <w:szCs w:val="24"/>
        </w:rPr>
        <w:t>2.1 初步评审标准</w:t>
      </w:r>
    </w:p>
    <w:p w14:paraId="097051AE">
      <w:pPr>
        <w:spacing w:line="400" w:lineRule="exact"/>
        <w:ind w:firstLine="420" w:firstLineChars="200"/>
        <w:rPr>
          <w:rFonts w:ascii="宋体" w:hAnsi="宋体"/>
          <w:color w:val="auto"/>
        </w:rPr>
      </w:pPr>
      <w:r>
        <w:rPr>
          <w:rFonts w:ascii="宋体" w:hAnsi="宋体"/>
          <w:color w:val="auto"/>
        </w:rPr>
        <w:t xml:space="preserve">2.1.1 </w:t>
      </w:r>
      <w:r>
        <w:rPr>
          <w:rFonts w:hint="eastAsia" w:ascii="宋体" w:hAnsi="宋体"/>
          <w:color w:val="auto"/>
        </w:rPr>
        <w:t>形式、资格及响应性评审表：见评审办法前附表。</w:t>
      </w:r>
    </w:p>
    <w:p w14:paraId="20511B08">
      <w:pPr>
        <w:spacing w:line="400" w:lineRule="exact"/>
        <w:rPr>
          <w:rFonts w:hint="eastAsia" w:ascii="宋体" w:hAnsi="宋体"/>
          <w:b/>
          <w:color w:val="auto"/>
          <w:sz w:val="24"/>
          <w:szCs w:val="24"/>
        </w:rPr>
      </w:pPr>
      <w:bookmarkStart w:id="101" w:name="_Toc152045603"/>
      <w:bookmarkStart w:id="102" w:name="_Toc152042380"/>
      <w:bookmarkStart w:id="103" w:name="_Toc179632621"/>
      <w:bookmarkStart w:id="104" w:name="_Toc144974570"/>
      <w:r>
        <w:rPr>
          <w:rFonts w:hint="eastAsia" w:ascii="宋体" w:hAnsi="宋体"/>
          <w:b/>
          <w:color w:val="auto"/>
          <w:sz w:val="24"/>
          <w:szCs w:val="24"/>
        </w:rPr>
        <w:t>2.2 分值构成与评分标准</w:t>
      </w:r>
      <w:bookmarkEnd w:id="101"/>
      <w:bookmarkEnd w:id="102"/>
      <w:bookmarkEnd w:id="103"/>
      <w:bookmarkEnd w:id="104"/>
    </w:p>
    <w:p w14:paraId="37CCE12B">
      <w:pPr>
        <w:spacing w:line="400" w:lineRule="exact"/>
        <w:ind w:firstLine="420" w:firstLineChars="200"/>
        <w:rPr>
          <w:rFonts w:hint="eastAsia" w:ascii="宋体" w:hAnsi="宋体"/>
          <w:color w:val="auto"/>
        </w:rPr>
      </w:pPr>
      <w:r>
        <w:rPr>
          <w:rFonts w:hint="eastAsia" w:ascii="宋体" w:hAnsi="宋体"/>
          <w:color w:val="auto"/>
        </w:rPr>
        <w:t>2.2.1 详细评审分值构成</w:t>
      </w:r>
    </w:p>
    <w:p w14:paraId="43FF24CD">
      <w:pPr>
        <w:spacing w:line="400" w:lineRule="exact"/>
        <w:ind w:firstLine="420" w:firstLineChars="200"/>
        <w:rPr>
          <w:rFonts w:hint="eastAsia" w:ascii="宋体" w:hAnsi="宋体"/>
          <w:color w:val="auto"/>
        </w:rPr>
      </w:pPr>
      <w:r>
        <w:rPr>
          <w:rFonts w:hint="eastAsia" w:ascii="宋体" w:hAnsi="宋体"/>
          <w:color w:val="auto"/>
        </w:rPr>
        <w:t>（1）技术部分：见评审办法前附表；</w:t>
      </w:r>
    </w:p>
    <w:p w14:paraId="156A1435">
      <w:pPr>
        <w:spacing w:line="400" w:lineRule="exact"/>
        <w:ind w:firstLine="420" w:firstLineChars="200"/>
        <w:rPr>
          <w:rFonts w:hint="eastAsia" w:ascii="宋体" w:hAnsi="宋体"/>
          <w:color w:val="auto"/>
        </w:rPr>
      </w:pPr>
      <w:r>
        <w:rPr>
          <w:rFonts w:hint="eastAsia" w:ascii="宋体" w:hAnsi="宋体"/>
          <w:color w:val="auto"/>
        </w:rPr>
        <w:t>（2）商务部分：见评审办法前附表；</w:t>
      </w:r>
    </w:p>
    <w:p w14:paraId="6E0F589D">
      <w:pPr>
        <w:spacing w:line="400" w:lineRule="exact"/>
        <w:ind w:firstLine="420" w:firstLineChars="200"/>
        <w:rPr>
          <w:rFonts w:hint="eastAsia" w:ascii="宋体" w:hAnsi="宋体"/>
          <w:color w:val="auto"/>
        </w:rPr>
      </w:pPr>
      <w:r>
        <w:rPr>
          <w:rFonts w:hint="eastAsia" w:ascii="宋体" w:hAnsi="宋体"/>
          <w:color w:val="auto"/>
        </w:rPr>
        <w:t>（3）</w:t>
      </w:r>
      <w:r>
        <w:rPr>
          <w:rFonts w:hint="eastAsia" w:ascii="宋体" w:hAnsi="宋体"/>
          <w:color w:val="auto"/>
          <w:lang w:eastAsia="zh-CN"/>
        </w:rPr>
        <w:t>磋商</w:t>
      </w:r>
      <w:r>
        <w:rPr>
          <w:rFonts w:hint="eastAsia" w:ascii="宋体" w:hAnsi="宋体"/>
          <w:color w:val="auto"/>
        </w:rPr>
        <w:t>报价：见评审办法前附表；</w:t>
      </w:r>
    </w:p>
    <w:p w14:paraId="5E6B0B0C">
      <w:pPr>
        <w:spacing w:line="400" w:lineRule="exact"/>
        <w:ind w:firstLine="420" w:firstLineChars="200"/>
        <w:rPr>
          <w:rFonts w:hint="eastAsia" w:ascii="宋体" w:hAnsi="宋体"/>
          <w:color w:val="auto"/>
        </w:rPr>
      </w:pPr>
      <w:r>
        <w:rPr>
          <w:rFonts w:hint="eastAsia" w:ascii="宋体" w:hAnsi="宋体"/>
          <w:color w:val="auto"/>
        </w:rPr>
        <w:t>2.2.2  评审基准价计算</w:t>
      </w:r>
    </w:p>
    <w:p w14:paraId="450775CC">
      <w:pPr>
        <w:spacing w:line="400" w:lineRule="exact"/>
        <w:ind w:firstLine="420" w:firstLineChars="200"/>
        <w:rPr>
          <w:rFonts w:hint="eastAsia" w:ascii="宋体" w:hAnsi="宋体"/>
          <w:color w:val="auto"/>
        </w:rPr>
      </w:pPr>
      <w:r>
        <w:rPr>
          <w:rFonts w:hint="eastAsia" w:ascii="宋体" w:hAnsi="宋体"/>
          <w:color w:val="auto"/>
        </w:rPr>
        <w:t>评审基准价计算方法：见评审办法前附表。</w:t>
      </w:r>
    </w:p>
    <w:p w14:paraId="3A97483B">
      <w:pPr>
        <w:spacing w:line="400" w:lineRule="exact"/>
        <w:ind w:firstLine="420" w:firstLineChars="200"/>
        <w:rPr>
          <w:rFonts w:hint="eastAsia" w:ascii="宋体" w:hAnsi="宋体"/>
          <w:color w:val="auto"/>
        </w:rPr>
      </w:pPr>
      <w:r>
        <w:rPr>
          <w:rFonts w:hint="eastAsia" w:ascii="宋体" w:hAnsi="宋体"/>
          <w:color w:val="auto"/>
        </w:rPr>
        <w:t xml:space="preserve">2.2.3  </w:t>
      </w:r>
      <w:r>
        <w:rPr>
          <w:rFonts w:hint="eastAsia" w:ascii="宋体" w:hAnsi="宋体"/>
          <w:color w:val="auto"/>
          <w:lang w:eastAsia="zh-CN"/>
        </w:rPr>
        <w:t>磋商</w:t>
      </w:r>
      <w:r>
        <w:rPr>
          <w:rFonts w:hint="eastAsia" w:ascii="宋体" w:hAnsi="宋体"/>
          <w:color w:val="auto"/>
        </w:rPr>
        <w:t>报价得分的计算</w:t>
      </w:r>
    </w:p>
    <w:p w14:paraId="5372FD32">
      <w:pPr>
        <w:spacing w:line="400" w:lineRule="exact"/>
        <w:ind w:firstLine="420" w:firstLineChars="200"/>
        <w:rPr>
          <w:rFonts w:hint="eastAsia" w:ascii="宋体" w:hAnsi="宋体"/>
          <w:color w:val="auto"/>
        </w:rPr>
      </w:pPr>
      <w:r>
        <w:rPr>
          <w:rFonts w:hint="eastAsia" w:ascii="宋体" w:hAnsi="宋体"/>
          <w:color w:val="auto"/>
          <w:lang w:eastAsia="zh-CN"/>
        </w:rPr>
        <w:t>磋商</w:t>
      </w:r>
      <w:r>
        <w:rPr>
          <w:rFonts w:hint="eastAsia" w:ascii="宋体" w:hAnsi="宋体"/>
          <w:color w:val="auto"/>
        </w:rPr>
        <w:t>报价得分的计算公式：见评审办法前附表。</w:t>
      </w:r>
    </w:p>
    <w:p w14:paraId="1BAA8353">
      <w:pPr>
        <w:spacing w:line="400" w:lineRule="exact"/>
        <w:ind w:firstLine="420" w:firstLineChars="200"/>
        <w:rPr>
          <w:rFonts w:hint="eastAsia" w:ascii="宋体" w:hAnsi="宋体"/>
          <w:color w:val="auto"/>
        </w:rPr>
      </w:pPr>
      <w:r>
        <w:rPr>
          <w:rFonts w:hint="eastAsia" w:ascii="宋体" w:hAnsi="宋体"/>
          <w:color w:val="auto"/>
        </w:rPr>
        <w:t>2.2.4  评分标准</w:t>
      </w:r>
    </w:p>
    <w:p w14:paraId="4D9073A0">
      <w:pPr>
        <w:spacing w:line="400" w:lineRule="exact"/>
        <w:ind w:firstLine="420" w:firstLineChars="200"/>
        <w:rPr>
          <w:rFonts w:hint="eastAsia" w:ascii="宋体" w:hAnsi="宋体"/>
          <w:color w:val="auto"/>
        </w:rPr>
      </w:pPr>
      <w:r>
        <w:rPr>
          <w:rFonts w:hint="eastAsia" w:ascii="宋体" w:hAnsi="宋体"/>
          <w:color w:val="auto"/>
        </w:rPr>
        <w:t>（1）技术部分评审评分标准：见评审办法前附表；</w:t>
      </w:r>
    </w:p>
    <w:p w14:paraId="7D965E02">
      <w:pPr>
        <w:spacing w:line="400" w:lineRule="exact"/>
        <w:ind w:firstLine="420" w:firstLineChars="200"/>
        <w:rPr>
          <w:rFonts w:hint="eastAsia" w:ascii="宋体" w:hAnsi="宋体"/>
          <w:color w:val="auto"/>
        </w:rPr>
      </w:pPr>
      <w:r>
        <w:rPr>
          <w:rFonts w:hint="eastAsia" w:ascii="宋体" w:hAnsi="宋体"/>
          <w:color w:val="auto"/>
        </w:rPr>
        <w:t>（2）商务部分评审评分标准：见评审办法前附表；</w:t>
      </w:r>
    </w:p>
    <w:p w14:paraId="16AB143C">
      <w:pPr>
        <w:spacing w:line="400" w:lineRule="exact"/>
        <w:ind w:firstLine="420" w:firstLineChars="200"/>
        <w:rPr>
          <w:rFonts w:hint="eastAsia" w:ascii="宋体" w:hAnsi="宋体"/>
          <w:color w:val="auto"/>
        </w:rPr>
      </w:pPr>
      <w:r>
        <w:rPr>
          <w:rFonts w:hint="eastAsia" w:ascii="宋体" w:hAnsi="宋体"/>
          <w:color w:val="auto"/>
        </w:rPr>
        <w:t>（3）</w:t>
      </w:r>
      <w:r>
        <w:rPr>
          <w:rFonts w:hint="eastAsia" w:ascii="宋体" w:hAnsi="宋体"/>
          <w:color w:val="auto"/>
          <w:lang w:eastAsia="zh-CN"/>
        </w:rPr>
        <w:t>磋商</w:t>
      </w:r>
      <w:r>
        <w:rPr>
          <w:rFonts w:hint="eastAsia" w:ascii="宋体" w:hAnsi="宋体"/>
          <w:color w:val="auto"/>
        </w:rPr>
        <w:t>报价评分标准：见评审办法前附表；</w:t>
      </w:r>
    </w:p>
    <w:p w14:paraId="51F3F570">
      <w:pPr>
        <w:spacing w:line="400" w:lineRule="exact"/>
        <w:rPr>
          <w:rFonts w:hint="eastAsia" w:ascii="宋体" w:hAnsi="宋体"/>
          <w:b/>
          <w:color w:val="auto"/>
          <w:sz w:val="24"/>
          <w:szCs w:val="24"/>
        </w:rPr>
      </w:pPr>
      <w:r>
        <w:rPr>
          <w:rFonts w:hint="eastAsia" w:ascii="宋体" w:hAnsi="宋体"/>
          <w:b/>
          <w:color w:val="auto"/>
          <w:sz w:val="24"/>
          <w:szCs w:val="24"/>
        </w:rPr>
        <w:t>3. 评审程序</w:t>
      </w:r>
    </w:p>
    <w:p w14:paraId="3682961F">
      <w:pPr>
        <w:spacing w:line="400" w:lineRule="exact"/>
        <w:rPr>
          <w:rFonts w:hint="eastAsia" w:ascii="宋体" w:hAnsi="宋体"/>
          <w:b/>
          <w:color w:val="auto"/>
          <w:sz w:val="24"/>
          <w:szCs w:val="24"/>
        </w:rPr>
      </w:pPr>
      <w:r>
        <w:rPr>
          <w:rFonts w:hint="eastAsia" w:ascii="宋体" w:hAnsi="宋体"/>
          <w:b/>
          <w:color w:val="auto"/>
          <w:sz w:val="24"/>
          <w:szCs w:val="24"/>
        </w:rPr>
        <w:t>3.1 初步评审</w:t>
      </w:r>
    </w:p>
    <w:p w14:paraId="231D9EEB">
      <w:pPr>
        <w:spacing w:line="400" w:lineRule="exact"/>
        <w:ind w:firstLine="420" w:firstLineChars="200"/>
        <w:rPr>
          <w:rFonts w:ascii="宋体" w:hAnsi="宋体"/>
          <w:color w:val="auto"/>
        </w:rPr>
      </w:pPr>
      <w:r>
        <w:rPr>
          <w:rFonts w:ascii="宋体" w:hAnsi="宋体"/>
          <w:color w:val="auto"/>
        </w:rPr>
        <w:t xml:space="preserve">3.1.1 </w:t>
      </w:r>
      <w:r>
        <w:rPr>
          <w:rFonts w:hint="eastAsia" w:ascii="宋体" w:hAnsi="宋体"/>
          <w:color w:val="auto"/>
        </w:rPr>
        <w:t>竞争性</w:t>
      </w:r>
      <w:r>
        <w:rPr>
          <w:rFonts w:hint="eastAsia" w:ascii="宋体" w:hAnsi="宋体"/>
          <w:color w:val="auto"/>
          <w:lang w:eastAsia="zh-CN"/>
        </w:rPr>
        <w:t>磋商</w:t>
      </w:r>
      <w:r>
        <w:rPr>
          <w:rFonts w:hint="eastAsia" w:ascii="宋体" w:hAnsi="宋体"/>
          <w:color w:val="auto"/>
        </w:rPr>
        <w:t>小组</w:t>
      </w:r>
      <w:r>
        <w:rPr>
          <w:rFonts w:ascii="宋体" w:hAnsi="宋体"/>
          <w:color w:val="auto"/>
        </w:rPr>
        <w:t>可以要求</w:t>
      </w:r>
      <w:r>
        <w:rPr>
          <w:rFonts w:hint="eastAsia" w:ascii="宋体" w:hAnsi="宋体"/>
          <w:color w:val="auto"/>
        </w:rPr>
        <w:t>供应商</w:t>
      </w:r>
      <w:r>
        <w:rPr>
          <w:rFonts w:ascii="宋体" w:hAnsi="宋体"/>
          <w:color w:val="auto"/>
        </w:rPr>
        <w:t>提交第二章“</w:t>
      </w:r>
      <w:r>
        <w:rPr>
          <w:rFonts w:hint="eastAsia" w:ascii="宋体" w:hAnsi="宋体"/>
          <w:color w:val="auto"/>
        </w:rPr>
        <w:t>供应商</w:t>
      </w:r>
      <w:r>
        <w:rPr>
          <w:rFonts w:ascii="宋体" w:hAnsi="宋体"/>
          <w:color w:val="auto"/>
        </w:rPr>
        <w:t>须知”规定的有关证明和证件的原件，以便核验。</w:t>
      </w:r>
      <w:r>
        <w:rPr>
          <w:rFonts w:hint="eastAsia" w:ascii="宋体" w:hAnsi="宋体"/>
          <w:color w:val="auto"/>
        </w:rPr>
        <w:t>竞争性</w:t>
      </w:r>
      <w:r>
        <w:rPr>
          <w:rFonts w:hint="eastAsia" w:ascii="宋体" w:hAnsi="宋体"/>
          <w:color w:val="auto"/>
          <w:lang w:eastAsia="zh-CN"/>
        </w:rPr>
        <w:t>磋商</w:t>
      </w:r>
      <w:r>
        <w:rPr>
          <w:rFonts w:hint="eastAsia" w:ascii="宋体" w:hAnsi="宋体"/>
          <w:color w:val="auto"/>
        </w:rPr>
        <w:t>小组</w:t>
      </w:r>
      <w:r>
        <w:rPr>
          <w:rFonts w:ascii="宋体" w:hAnsi="宋体"/>
          <w:color w:val="auto"/>
        </w:rPr>
        <w:t>依据本章第 2.1 款规定的标准对响应文件进行初步评审。有一项不符合评审标准的，</w:t>
      </w:r>
      <w:r>
        <w:rPr>
          <w:rFonts w:hint="eastAsia" w:ascii="宋体" w:hAnsi="宋体"/>
          <w:color w:val="auto"/>
        </w:rPr>
        <w:t>竞争性</w:t>
      </w:r>
      <w:r>
        <w:rPr>
          <w:rFonts w:hint="eastAsia" w:ascii="宋体" w:hAnsi="宋体"/>
          <w:color w:val="auto"/>
          <w:lang w:eastAsia="zh-CN"/>
        </w:rPr>
        <w:t>磋商</w:t>
      </w:r>
      <w:r>
        <w:rPr>
          <w:rFonts w:hint="eastAsia" w:ascii="宋体" w:hAnsi="宋体"/>
          <w:color w:val="auto"/>
        </w:rPr>
        <w:t>小组</w:t>
      </w:r>
      <w:r>
        <w:rPr>
          <w:rFonts w:ascii="宋体" w:hAnsi="宋体"/>
          <w:color w:val="auto"/>
        </w:rPr>
        <w:t>应当否决其投标。</w:t>
      </w:r>
    </w:p>
    <w:p w14:paraId="21B97653">
      <w:pPr>
        <w:spacing w:line="400" w:lineRule="exact"/>
        <w:ind w:left="-2" w:leftChars="-1" w:firstLine="420" w:firstLineChars="200"/>
        <w:rPr>
          <w:rFonts w:ascii="宋体" w:hAnsi="宋体"/>
          <w:color w:val="auto"/>
        </w:rPr>
      </w:pPr>
      <w:r>
        <w:rPr>
          <w:rFonts w:ascii="宋体" w:hAnsi="宋体"/>
          <w:color w:val="auto"/>
        </w:rPr>
        <w:t xml:space="preserve">3.1.2 </w:t>
      </w:r>
      <w:r>
        <w:rPr>
          <w:rFonts w:hint="eastAsia" w:ascii="宋体" w:hAnsi="宋体"/>
          <w:color w:val="auto"/>
        </w:rPr>
        <w:t>供应商</w:t>
      </w:r>
      <w:r>
        <w:rPr>
          <w:rFonts w:ascii="宋体" w:hAnsi="宋体"/>
          <w:color w:val="auto"/>
        </w:rPr>
        <w:t>有以下情形之一的，</w:t>
      </w:r>
      <w:r>
        <w:rPr>
          <w:rFonts w:hint="eastAsia" w:ascii="宋体" w:hAnsi="宋体"/>
          <w:color w:val="auto"/>
        </w:rPr>
        <w:t>竞争性</w:t>
      </w:r>
      <w:r>
        <w:rPr>
          <w:rFonts w:hint="eastAsia" w:ascii="宋体" w:hAnsi="宋体"/>
          <w:color w:val="auto"/>
          <w:lang w:eastAsia="zh-CN"/>
        </w:rPr>
        <w:t>磋商</w:t>
      </w:r>
      <w:r>
        <w:rPr>
          <w:rFonts w:hint="eastAsia" w:ascii="宋体" w:hAnsi="宋体"/>
          <w:color w:val="auto"/>
        </w:rPr>
        <w:t>小组</w:t>
      </w:r>
      <w:r>
        <w:rPr>
          <w:rFonts w:ascii="宋体" w:hAnsi="宋体"/>
          <w:color w:val="auto"/>
        </w:rPr>
        <w:t>应当否决其投标：</w:t>
      </w:r>
    </w:p>
    <w:p w14:paraId="0D05333E">
      <w:pPr>
        <w:spacing w:line="400" w:lineRule="exact"/>
        <w:ind w:left="-2" w:leftChars="-1" w:firstLine="420" w:firstLineChars="200"/>
        <w:rPr>
          <w:rFonts w:ascii="宋体" w:hAnsi="宋体"/>
          <w:color w:val="auto"/>
        </w:rPr>
      </w:pPr>
      <w:r>
        <w:rPr>
          <w:rFonts w:ascii="宋体" w:hAnsi="宋体"/>
          <w:color w:val="auto"/>
        </w:rPr>
        <w:t>（1）响应文件没有对</w:t>
      </w:r>
      <w:r>
        <w:rPr>
          <w:rFonts w:hint="eastAsia" w:ascii="宋体" w:hAnsi="宋体"/>
          <w:color w:val="auto"/>
        </w:rPr>
        <w:t>采购文件</w:t>
      </w:r>
      <w:r>
        <w:rPr>
          <w:rFonts w:ascii="宋体" w:hAnsi="宋体"/>
          <w:color w:val="auto"/>
        </w:rPr>
        <w:t>的实质性要求和条件作出响应，或者对竞争性</w:t>
      </w:r>
      <w:r>
        <w:rPr>
          <w:rFonts w:hint="eastAsia" w:ascii="宋体" w:hAnsi="宋体"/>
          <w:color w:val="auto"/>
          <w:lang w:eastAsia="zh-CN"/>
        </w:rPr>
        <w:t>磋商</w:t>
      </w:r>
      <w:r>
        <w:rPr>
          <w:rFonts w:ascii="宋体" w:hAnsi="宋体"/>
          <w:color w:val="auto"/>
        </w:rPr>
        <w:t>文件的偏差超出竞争性</w:t>
      </w:r>
      <w:r>
        <w:rPr>
          <w:rFonts w:hint="eastAsia" w:ascii="宋体" w:hAnsi="宋体"/>
          <w:color w:val="auto"/>
          <w:lang w:eastAsia="zh-CN"/>
        </w:rPr>
        <w:t>磋商</w:t>
      </w:r>
      <w:r>
        <w:rPr>
          <w:rFonts w:ascii="宋体" w:hAnsi="宋体"/>
          <w:color w:val="auto"/>
        </w:rPr>
        <w:t>文件规定的偏差范围或最高项数；</w:t>
      </w:r>
    </w:p>
    <w:p w14:paraId="0140C719">
      <w:pPr>
        <w:spacing w:line="400" w:lineRule="exact"/>
        <w:ind w:left="-2" w:leftChars="-1" w:firstLine="420" w:firstLineChars="200"/>
        <w:rPr>
          <w:rFonts w:ascii="宋体" w:hAnsi="宋体"/>
          <w:color w:val="auto"/>
        </w:rPr>
      </w:pPr>
      <w:r>
        <w:rPr>
          <w:rFonts w:ascii="宋体" w:hAnsi="宋体"/>
          <w:color w:val="auto"/>
        </w:rPr>
        <w:t>（2）有串通投标、弄虚作假、行贿等违法行为。</w:t>
      </w:r>
    </w:p>
    <w:p w14:paraId="6AB49FF9">
      <w:pPr>
        <w:spacing w:line="400" w:lineRule="exact"/>
        <w:ind w:left="-2" w:leftChars="-1" w:firstLine="420" w:firstLineChars="200"/>
        <w:rPr>
          <w:rFonts w:ascii="宋体" w:hAnsi="宋体"/>
          <w:color w:val="auto"/>
        </w:rPr>
      </w:pPr>
      <w:r>
        <w:rPr>
          <w:rFonts w:ascii="宋体" w:hAnsi="宋体"/>
          <w:color w:val="auto"/>
        </w:rPr>
        <w:t xml:space="preserve">3.1.3 </w:t>
      </w:r>
      <w:r>
        <w:rPr>
          <w:rFonts w:hint="eastAsia" w:ascii="宋体" w:hAnsi="宋体"/>
          <w:color w:val="auto"/>
          <w:lang w:eastAsia="zh-CN"/>
        </w:rPr>
        <w:t>磋商</w:t>
      </w:r>
      <w:r>
        <w:rPr>
          <w:rFonts w:ascii="宋体" w:hAnsi="宋体"/>
          <w:color w:val="auto"/>
        </w:rPr>
        <w:t>报价有算术错误及其他错误的，</w:t>
      </w:r>
      <w:r>
        <w:rPr>
          <w:rFonts w:hint="eastAsia" w:ascii="宋体" w:hAnsi="宋体"/>
          <w:color w:val="auto"/>
        </w:rPr>
        <w:t>竞争性</w:t>
      </w:r>
      <w:r>
        <w:rPr>
          <w:rFonts w:hint="eastAsia" w:ascii="宋体" w:hAnsi="宋体"/>
          <w:color w:val="auto"/>
          <w:lang w:eastAsia="zh-CN"/>
        </w:rPr>
        <w:t>磋商</w:t>
      </w:r>
      <w:r>
        <w:rPr>
          <w:rFonts w:hint="eastAsia" w:ascii="宋体" w:hAnsi="宋体"/>
          <w:color w:val="auto"/>
        </w:rPr>
        <w:t>小组</w:t>
      </w:r>
      <w:r>
        <w:rPr>
          <w:rFonts w:ascii="宋体" w:hAnsi="宋体"/>
          <w:color w:val="auto"/>
        </w:rPr>
        <w:t>按以下原则要求</w:t>
      </w:r>
      <w:r>
        <w:rPr>
          <w:rFonts w:hint="eastAsia" w:ascii="宋体" w:hAnsi="宋体"/>
          <w:color w:val="auto"/>
        </w:rPr>
        <w:t>供应商</w:t>
      </w:r>
      <w:r>
        <w:rPr>
          <w:rFonts w:ascii="宋体" w:hAnsi="宋体"/>
          <w:color w:val="auto"/>
        </w:rPr>
        <w:t>对</w:t>
      </w:r>
      <w:r>
        <w:rPr>
          <w:rFonts w:hint="eastAsia" w:ascii="宋体" w:hAnsi="宋体"/>
          <w:color w:val="auto"/>
          <w:lang w:eastAsia="zh-CN"/>
        </w:rPr>
        <w:t>磋商</w:t>
      </w:r>
      <w:r>
        <w:rPr>
          <w:rFonts w:ascii="宋体" w:hAnsi="宋体"/>
          <w:color w:val="auto"/>
        </w:rPr>
        <w:t>报价进行修正，并要求</w:t>
      </w:r>
      <w:r>
        <w:rPr>
          <w:rFonts w:hint="eastAsia" w:ascii="宋体" w:hAnsi="宋体"/>
          <w:color w:val="auto"/>
        </w:rPr>
        <w:t>供应商</w:t>
      </w:r>
      <w:r>
        <w:rPr>
          <w:rFonts w:ascii="宋体" w:hAnsi="宋体"/>
          <w:color w:val="auto"/>
        </w:rPr>
        <w:t>书面澄清确认。</w:t>
      </w:r>
      <w:r>
        <w:rPr>
          <w:rFonts w:hint="eastAsia" w:ascii="宋体" w:hAnsi="宋体"/>
          <w:color w:val="auto"/>
        </w:rPr>
        <w:t>供应商</w:t>
      </w:r>
      <w:r>
        <w:rPr>
          <w:rFonts w:ascii="宋体" w:hAnsi="宋体"/>
          <w:color w:val="auto"/>
        </w:rPr>
        <w:t>拒不澄清确认的，</w:t>
      </w:r>
      <w:r>
        <w:rPr>
          <w:rFonts w:hint="eastAsia" w:ascii="宋体" w:hAnsi="宋体"/>
          <w:color w:val="auto"/>
        </w:rPr>
        <w:t>竞争性</w:t>
      </w:r>
      <w:r>
        <w:rPr>
          <w:rFonts w:hint="eastAsia" w:ascii="宋体" w:hAnsi="宋体"/>
          <w:color w:val="auto"/>
          <w:lang w:eastAsia="zh-CN"/>
        </w:rPr>
        <w:t>磋商</w:t>
      </w:r>
      <w:r>
        <w:rPr>
          <w:rFonts w:hint="eastAsia" w:ascii="宋体" w:hAnsi="宋体"/>
          <w:color w:val="auto"/>
        </w:rPr>
        <w:t>小组</w:t>
      </w:r>
      <w:r>
        <w:rPr>
          <w:rFonts w:ascii="宋体" w:hAnsi="宋体"/>
          <w:color w:val="auto"/>
        </w:rPr>
        <w:t>应当否决其投标：</w:t>
      </w:r>
    </w:p>
    <w:p w14:paraId="48038C68">
      <w:pPr>
        <w:spacing w:line="400" w:lineRule="exact"/>
        <w:ind w:left="-2" w:leftChars="-1" w:firstLine="420" w:firstLineChars="200"/>
        <w:rPr>
          <w:rFonts w:ascii="宋体" w:hAnsi="宋体"/>
          <w:color w:val="auto"/>
        </w:rPr>
      </w:pPr>
      <w:r>
        <w:rPr>
          <w:rFonts w:ascii="宋体" w:hAnsi="宋体"/>
          <w:color w:val="auto"/>
        </w:rPr>
        <w:t>（1）响应文件中的大写金额与小写金额不一致的，以大写金额为准；</w:t>
      </w:r>
    </w:p>
    <w:p w14:paraId="65D6A7D4">
      <w:pPr>
        <w:spacing w:line="400" w:lineRule="exact"/>
        <w:ind w:left="-2" w:leftChars="-1" w:firstLine="420" w:firstLineChars="200"/>
        <w:rPr>
          <w:rFonts w:ascii="宋体" w:hAnsi="宋体"/>
          <w:color w:val="auto"/>
        </w:rPr>
      </w:pPr>
      <w:r>
        <w:rPr>
          <w:rFonts w:ascii="宋体" w:hAnsi="宋体"/>
          <w:color w:val="auto"/>
        </w:rPr>
        <w:t>（2）总价金额与单价金额不一致的，以单价金额为准，但单价金额小数点有明显错误的除外。</w:t>
      </w:r>
    </w:p>
    <w:p w14:paraId="4C04A4F2">
      <w:pPr>
        <w:spacing w:line="400" w:lineRule="exact"/>
        <w:ind w:left="-2" w:leftChars="-1" w:firstLine="420" w:firstLineChars="200"/>
        <w:rPr>
          <w:rFonts w:ascii="宋体" w:hAnsi="宋体"/>
          <w:color w:val="auto"/>
        </w:rPr>
      </w:pPr>
      <w:r>
        <w:rPr>
          <w:rFonts w:hint="eastAsia" w:ascii="宋体" w:hAnsi="宋体"/>
          <w:color w:val="auto"/>
        </w:rPr>
        <w:t>3.1.4 初步评审后，</w:t>
      </w:r>
      <w:r>
        <w:rPr>
          <w:rFonts w:hint="eastAsia" w:ascii="宋体" w:hAnsi="宋体"/>
          <w:color w:val="auto"/>
          <w:lang w:eastAsia="zh-CN"/>
        </w:rPr>
        <w:t>磋商</w:t>
      </w:r>
      <w:r>
        <w:rPr>
          <w:rFonts w:hint="eastAsia" w:ascii="宋体" w:hAnsi="宋体"/>
          <w:color w:val="auto"/>
        </w:rPr>
        <w:t>小组应当要求所有实质性响应的供应商在规定时间内提交最后报价。</w:t>
      </w:r>
    </w:p>
    <w:p w14:paraId="28C9B000">
      <w:pPr>
        <w:spacing w:line="400" w:lineRule="exact"/>
        <w:rPr>
          <w:rFonts w:hint="eastAsia" w:ascii="宋体" w:hAnsi="宋体"/>
          <w:b/>
          <w:color w:val="auto"/>
          <w:sz w:val="24"/>
          <w:szCs w:val="24"/>
        </w:rPr>
      </w:pPr>
      <w:r>
        <w:rPr>
          <w:rFonts w:hint="eastAsia" w:ascii="宋体" w:hAnsi="宋体"/>
          <w:b/>
          <w:color w:val="auto"/>
          <w:sz w:val="24"/>
          <w:szCs w:val="24"/>
        </w:rPr>
        <w:t>3.2 详细评审</w:t>
      </w:r>
    </w:p>
    <w:p w14:paraId="03F18539">
      <w:pPr>
        <w:spacing w:line="400" w:lineRule="exact"/>
        <w:ind w:firstLine="420" w:firstLineChars="200"/>
        <w:rPr>
          <w:rFonts w:hint="eastAsia" w:ascii="宋体" w:hAnsi="宋体"/>
          <w:color w:val="auto"/>
        </w:rPr>
      </w:pPr>
      <w:r>
        <w:rPr>
          <w:rFonts w:hint="eastAsia" w:ascii="宋体" w:hAnsi="宋体"/>
          <w:color w:val="auto"/>
        </w:rPr>
        <w:t>3.2.1 最后报价结束后，竞争性</w:t>
      </w:r>
      <w:r>
        <w:rPr>
          <w:rFonts w:hint="eastAsia" w:ascii="宋体" w:hAnsi="宋体"/>
          <w:color w:val="auto"/>
          <w:lang w:eastAsia="zh-CN"/>
        </w:rPr>
        <w:t>磋商</w:t>
      </w:r>
      <w:r>
        <w:rPr>
          <w:rFonts w:hint="eastAsia" w:ascii="宋体" w:hAnsi="宋体"/>
          <w:color w:val="auto"/>
        </w:rPr>
        <w:t>小组按本章第 2.2 款规定的量化因素和分值进行打分，并计算出综合评估得分。</w:t>
      </w:r>
    </w:p>
    <w:p w14:paraId="4AB7C245">
      <w:pPr>
        <w:spacing w:line="400" w:lineRule="exact"/>
        <w:ind w:firstLine="420" w:firstLineChars="200"/>
        <w:rPr>
          <w:rFonts w:hint="eastAsia" w:ascii="宋体" w:hAnsi="宋体"/>
          <w:color w:val="auto"/>
        </w:rPr>
      </w:pPr>
      <w:r>
        <w:rPr>
          <w:rFonts w:hint="eastAsia" w:ascii="宋体" w:hAnsi="宋体"/>
          <w:color w:val="auto"/>
        </w:rPr>
        <w:t>（1）按本章第 2.2.4（1）目规定的评审因素和分值对技术部分计算出得分A；</w:t>
      </w:r>
    </w:p>
    <w:p w14:paraId="04E19205">
      <w:pPr>
        <w:spacing w:line="400" w:lineRule="exact"/>
        <w:ind w:firstLine="420" w:firstLineChars="200"/>
        <w:rPr>
          <w:rFonts w:hint="eastAsia" w:ascii="宋体" w:hAnsi="宋体"/>
          <w:color w:val="auto"/>
        </w:rPr>
      </w:pPr>
      <w:r>
        <w:rPr>
          <w:rFonts w:hint="eastAsia" w:ascii="宋体" w:hAnsi="宋体"/>
          <w:color w:val="auto"/>
        </w:rPr>
        <w:t>（2）按本章第 2.2.4（2）目规定的评审因素和分值对商务部分计算出得分B；</w:t>
      </w:r>
    </w:p>
    <w:p w14:paraId="323CC38D">
      <w:pPr>
        <w:spacing w:line="400" w:lineRule="exact"/>
        <w:ind w:firstLine="420" w:firstLineChars="200"/>
        <w:rPr>
          <w:rFonts w:hint="eastAsia" w:ascii="宋体" w:hAnsi="宋体"/>
          <w:color w:val="auto"/>
        </w:rPr>
      </w:pPr>
      <w:r>
        <w:rPr>
          <w:rFonts w:hint="eastAsia" w:ascii="宋体" w:hAnsi="宋体"/>
          <w:color w:val="auto"/>
        </w:rPr>
        <w:t>（3）按本章第 2.2.4（3）目规定的评审因素和分值对</w:t>
      </w:r>
      <w:r>
        <w:rPr>
          <w:rFonts w:hint="eastAsia" w:ascii="宋体" w:hAnsi="宋体"/>
          <w:color w:val="auto"/>
          <w:lang w:eastAsia="zh-CN"/>
        </w:rPr>
        <w:t>磋商第二轮</w:t>
      </w:r>
      <w:r>
        <w:rPr>
          <w:rFonts w:hint="eastAsia" w:ascii="宋体" w:hAnsi="宋体"/>
          <w:color w:val="auto"/>
        </w:rPr>
        <w:t>报价（最终报价）计算出得分C；</w:t>
      </w:r>
    </w:p>
    <w:p w14:paraId="09805D1F">
      <w:pPr>
        <w:spacing w:line="400" w:lineRule="exact"/>
        <w:ind w:firstLine="420" w:firstLineChars="200"/>
        <w:rPr>
          <w:rFonts w:hint="eastAsia" w:ascii="宋体" w:hAnsi="宋体"/>
          <w:color w:val="auto"/>
        </w:rPr>
      </w:pPr>
      <w:r>
        <w:rPr>
          <w:rFonts w:hint="eastAsia" w:ascii="宋体" w:hAnsi="宋体"/>
          <w:color w:val="auto"/>
        </w:rPr>
        <w:t>3.2.2 评分分值计算保留小数点后两位，小数点后第三位“四舍五入”。</w:t>
      </w:r>
    </w:p>
    <w:p w14:paraId="49828686">
      <w:pPr>
        <w:spacing w:line="400" w:lineRule="exact"/>
        <w:ind w:firstLine="420" w:firstLineChars="200"/>
        <w:rPr>
          <w:rFonts w:hint="eastAsia" w:ascii="宋体" w:hAnsi="宋体"/>
          <w:color w:val="auto"/>
        </w:rPr>
      </w:pPr>
      <w:r>
        <w:rPr>
          <w:rFonts w:hint="eastAsia" w:ascii="宋体" w:hAnsi="宋体"/>
          <w:color w:val="auto"/>
        </w:rPr>
        <w:t>3.2.3 供应商得分=A+B+C</w:t>
      </w:r>
    </w:p>
    <w:p w14:paraId="2B5EFE7D">
      <w:pPr>
        <w:spacing w:line="400" w:lineRule="exact"/>
        <w:ind w:firstLine="420" w:firstLineChars="200"/>
        <w:rPr>
          <w:rFonts w:hint="eastAsia" w:ascii="宋体" w:hAnsi="宋体"/>
          <w:color w:val="auto"/>
        </w:rPr>
      </w:pPr>
      <w:r>
        <w:rPr>
          <w:rFonts w:hint="eastAsia" w:ascii="宋体" w:hAnsi="宋体"/>
          <w:color w:val="auto"/>
        </w:rPr>
        <w:t>3.2.4 竞争性</w:t>
      </w:r>
      <w:r>
        <w:rPr>
          <w:rFonts w:hint="eastAsia" w:ascii="宋体" w:hAnsi="宋体"/>
          <w:color w:val="auto"/>
          <w:lang w:eastAsia="zh-CN"/>
        </w:rPr>
        <w:t>磋商</w:t>
      </w:r>
      <w:r>
        <w:rPr>
          <w:rFonts w:hint="eastAsia" w:ascii="宋体" w:hAnsi="宋体"/>
          <w:color w:val="auto"/>
        </w:rPr>
        <w:t>小组发现供应商的报价明显低于其他</w:t>
      </w:r>
      <w:r>
        <w:rPr>
          <w:rFonts w:hint="eastAsia" w:ascii="宋体" w:hAnsi="宋体"/>
          <w:color w:val="auto"/>
          <w:lang w:eastAsia="zh-CN"/>
        </w:rPr>
        <w:t>磋商第二轮</w:t>
      </w:r>
      <w:r>
        <w:rPr>
          <w:rFonts w:hint="eastAsia" w:ascii="宋体" w:hAnsi="宋体"/>
          <w:color w:val="auto"/>
        </w:rPr>
        <w:t>报价（最终报价），使得其</w:t>
      </w:r>
      <w:r>
        <w:rPr>
          <w:rFonts w:hint="eastAsia" w:ascii="宋体" w:hAnsi="宋体"/>
          <w:color w:val="auto"/>
          <w:lang w:eastAsia="zh-CN"/>
        </w:rPr>
        <w:t>磋商第二轮</w:t>
      </w:r>
      <w:r>
        <w:rPr>
          <w:rFonts w:hint="eastAsia" w:ascii="宋体" w:hAnsi="宋体"/>
          <w:color w:val="auto"/>
        </w:rPr>
        <w:t>报价（最终报价）可能低于其个别成本的，应当要求该供应商作出书面说明并提供相应的证明材料。供应商不能合理说明或者不能提供相应证明材料的，竞争性</w:t>
      </w:r>
      <w:r>
        <w:rPr>
          <w:rFonts w:hint="eastAsia" w:ascii="宋体" w:hAnsi="宋体"/>
          <w:color w:val="auto"/>
          <w:lang w:eastAsia="zh-CN"/>
        </w:rPr>
        <w:t>磋商</w:t>
      </w:r>
      <w:r>
        <w:rPr>
          <w:rFonts w:hint="eastAsia" w:ascii="宋体" w:hAnsi="宋体"/>
          <w:color w:val="auto"/>
        </w:rPr>
        <w:t>小组应当认定该供应商以低于成本报价竞标，并否决其投标。</w:t>
      </w:r>
    </w:p>
    <w:p w14:paraId="7C92CE64">
      <w:pPr>
        <w:spacing w:line="400" w:lineRule="exact"/>
        <w:rPr>
          <w:rFonts w:ascii="宋体" w:hAnsi="宋体"/>
          <w:b/>
          <w:color w:val="auto"/>
          <w:sz w:val="24"/>
        </w:rPr>
      </w:pPr>
      <w:r>
        <w:rPr>
          <w:rFonts w:ascii="宋体" w:hAnsi="宋体"/>
          <w:b/>
          <w:color w:val="auto"/>
          <w:sz w:val="24"/>
        </w:rPr>
        <w:t>3.3 响应文件的澄清</w:t>
      </w:r>
    </w:p>
    <w:p w14:paraId="285519FB">
      <w:pPr>
        <w:spacing w:line="400" w:lineRule="exact"/>
        <w:ind w:left="-2" w:leftChars="-1" w:firstLine="420" w:firstLineChars="200"/>
        <w:rPr>
          <w:rFonts w:ascii="宋体" w:hAnsi="宋体"/>
          <w:color w:val="auto"/>
        </w:rPr>
      </w:pPr>
      <w:r>
        <w:rPr>
          <w:rFonts w:ascii="宋体" w:hAnsi="宋体"/>
          <w:color w:val="auto"/>
        </w:rPr>
        <w:t>3.3.1 在评标过程中，</w:t>
      </w:r>
      <w:r>
        <w:rPr>
          <w:rFonts w:hint="eastAsia" w:ascii="宋体" w:hAnsi="宋体"/>
          <w:color w:val="auto"/>
        </w:rPr>
        <w:t>竞争性</w:t>
      </w:r>
      <w:r>
        <w:rPr>
          <w:rFonts w:hint="eastAsia" w:ascii="宋体" w:hAnsi="宋体"/>
          <w:color w:val="auto"/>
          <w:lang w:eastAsia="zh-CN"/>
        </w:rPr>
        <w:t>磋商</w:t>
      </w:r>
      <w:r>
        <w:rPr>
          <w:rFonts w:hint="eastAsia" w:ascii="宋体" w:hAnsi="宋体"/>
          <w:color w:val="auto"/>
        </w:rPr>
        <w:t>小组</w:t>
      </w:r>
      <w:r>
        <w:rPr>
          <w:rFonts w:ascii="宋体" w:hAnsi="宋体"/>
          <w:color w:val="auto"/>
        </w:rPr>
        <w:t>可以书面形式要求</w:t>
      </w:r>
      <w:r>
        <w:rPr>
          <w:rFonts w:hint="eastAsia" w:ascii="宋体" w:hAnsi="宋体"/>
          <w:color w:val="auto"/>
        </w:rPr>
        <w:t>供应商</w:t>
      </w:r>
      <w:r>
        <w:rPr>
          <w:rFonts w:ascii="宋体" w:hAnsi="宋体"/>
          <w:color w:val="auto"/>
        </w:rPr>
        <w:t>对响应文件中含义不明确、对同类问题表述不一致或者有明显文字和计算错误的内容作必要的澄清、说明或补正。澄清、说明或补正应以书面方式进行。</w:t>
      </w:r>
      <w:r>
        <w:rPr>
          <w:rFonts w:hint="eastAsia" w:ascii="宋体" w:hAnsi="宋体"/>
          <w:color w:val="auto"/>
        </w:rPr>
        <w:t>竞争性</w:t>
      </w:r>
      <w:r>
        <w:rPr>
          <w:rFonts w:hint="eastAsia" w:ascii="宋体" w:hAnsi="宋体"/>
          <w:color w:val="auto"/>
          <w:lang w:eastAsia="zh-CN"/>
        </w:rPr>
        <w:t>磋商</w:t>
      </w:r>
      <w:r>
        <w:rPr>
          <w:rFonts w:hint="eastAsia" w:ascii="宋体" w:hAnsi="宋体"/>
          <w:color w:val="auto"/>
        </w:rPr>
        <w:t>小组</w:t>
      </w:r>
      <w:r>
        <w:rPr>
          <w:rFonts w:ascii="宋体" w:hAnsi="宋体"/>
          <w:color w:val="auto"/>
        </w:rPr>
        <w:t>不接受</w:t>
      </w:r>
      <w:r>
        <w:rPr>
          <w:rFonts w:hint="eastAsia" w:ascii="宋体" w:hAnsi="宋体"/>
          <w:color w:val="auto"/>
        </w:rPr>
        <w:t>供应商</w:t>
      </w:r>
      <w:r>
        <w:rPr>
          <w:rFonts w:ascii="宋体" w:hAnsi="宋体"/>
          <w:color w:val="auto"/>
        </w:rPr>
        <w:t>主动提出的澄清、说明或补正。</w:t>
      </w:r>
    </w:p>
    <w:p w14:paraId="565D369D">
      <w:pPr>
        <w:spacing w:line="400" w:lineRule="exact"/>
        <w:ind w:left="-2" w:leftChars="-1" w:firstLine="420" w:firstLineChars="200"/>
        <w:rPr>
          <w:rFonts w:ascii="宋体" w:hAnsi="宋体"/>
          <w:color w:val="auto"/>
        </w:rPr>
      </w:pPr>
      <w:r>
        <w:rPr>
          <w:rFonts w:ascii="宋体" w:hAnsi="宋体"/>
          <w:color w:val="auto"/>
        </w:rPr>
        <w:t>3.3.2 澄清、说明或补正不得超出响应文件的范围且不得改变响应文件的实质性内容，并构成响应文件的组成部分。</w:t>
      </w:r>
    </w:p>
    <w:p w14:paraId="76B3D827">
      <w:pPr>
        <w:spacing w:line="400" w:lineRule="exact"/>
        <w:ind w:left="-2" w:leftChars="-1" w:firstLine="420" w:firstLineChars="200"/>
        <w:rPr>
          <w:rFonts w:ascii="宋体" w:hAnsi="宋体"/>
          <w:color w:val="auto"/>
        </w:rPr>
      </w:pPr>
      <w:r>
        <w:rPr>
          <w:rFonts w:ascii="宋体" w:hAnsi="宋体"/>
          <w:color w:val="auto"/>
        </w:rPr>
        <w:t xml:space="preserve">3.3.3 </w:t>
      </w:r>
      <w:r>
        <w:rPr>
          <w:rFonts w:hint="eastAsia" w:ascii="宋体" w:hAnsi="宋体"/>
          <w:color w:val="auto"/>
        </w:rPr>
        <w:t>竞争性</w:t>
      </w:r>
      <w:r>
        <w:rPr>
          <w:rFonts w:hint="eastAsia" w:ascii="宋体" w:hAnsi="宋体"/>
          <w:color w:val="auto"/>
          <w:lang w:eastAsia="zh-CN"/>
        </w:rPr>
        <w:t>磋商</w:t>
      </w:r>
      <w:r>
        <w:rPr>
          <w:rFonts w:hint="eastAsia" w:ascii="宋体" w:hAnsi="宋体"/>
          <w:color w:val="auto"/>
        </w:rPr>
        <w:t>小组</w:t>
      </w:r>
      <w:r>
        <w:rPr>
          <w:rFonts w:ascii="宋体" w:hAnsi="宋体"/>
          <w:color w:val="auto"/>
        </w:rPr>
        <w:t>对</w:t>
      </w:r>
      <w:r>
        <w:rPr>
          <w:rFonts w:hint="eastAsia" w:ascii="宋体" w:hAnsi="宋体"/>
          <w:color w:val="auto"/>
        </w:rPr>
        <w:t>供应商</w:t>
      </w:r>
      <w:r>
        <w:rPr>
          <w:rFonts w:ascii="宋体" w:hAnsi="宋体"/>
          <w:color w:val="auto"/>
        </w:rPr>
        <w:t>提交的澄清、说明或补正有疑问的，可以要求</w:t>
      </w:r>
      <w:r>
        <w:rPr>
          <w:rFonts w:hint="eastAsia" w:ascii="宋体" w:hAnsi="宋体"/>
          <w:color w:val="auto"/>
        </w:rPr>
        <w:t>供应商</w:t>
      </w:r>
      <w:r>
        <w:rPr>
          <w:rFonts w:ascii="宋体" w:hAnsi="宋体"/>
          <w:color w:val="auto"/>
        </w:rPr>
        <w:t>进一步澄清、说明或补正，直至满足</w:t>
      </w:r>
      <w:r>
        <w:rPr>
          <w:rFonts w:hint="eastAsia" w:ascii="宋体" w:hAnsi="宋体"/>
          <w:color w:val="auto"/>
        </w:rPr>
        <w:t>竞争性</w:t>
      </w:r>
      <w:r>
        <w:rPr>
          <w:rFonts w:hint="eastAsia" w:ascii="宋体" w:hAnsi="宋体"/>
          <w:color w:val="auto"/>
          <w:lang w:eastAsia="zh-CN"/>
        </w:rPr>
        <w:t>磋商</w:t>
      </w:r>
      <w:r>
        <w:rPr>
          <w:rFonts w:hint="eastAsia" w:ascii="宋体" w:hAnsi="宋体"/>
          <w:color w:val="auto"/>
        </w:rPr>
        <w:t>小组</w:t>
      </w:r>
      <w:r>
        <w:rPr>
          <w:rFonts w:ascii="宋体" w:hAnsi="宋体"/>
          <w:color w:val="auto"/>
        </w:rPr>
        <w:t>的要求。</w:t>
      </w:r>
    </w:p>
    <w:p w14:paraId="058A5E92">
      <w:pPr>
        <w:spacing w:line="400" w:lineRule="exact"/>
        <w:rPr>
          <w:rFonts w:ascii="宋体" w:hAnsi="宋体"/>
          <w:b/>
          <w:color w:val="auto"/>
          <w:sz w:val="24"/>
        </w:rPr>
      </w:pPr>
      <w:r>
        <w:rPr>
          <w:rFonts w:ascii="宋体" w:hAnsi="宋体"/>
          <w:b/>
          <w:color w:val="auto"/>
          <w:sz w:val="24"/>
        </w:rPr>
        <w:t>3.4 评标结果</w:t>
      </w:r>
    </w:p>
    <w:p w14:paraId="4DE1B2ED">
      <w:pPr>
        <w:spacing w:line="400" w:lineRule="exact"/>
        <w:ind w:left="-2" w:leftChars="-1" w:firstLine="420" w:firstLineChars="200"/>
        <w:rPr>
          <w:rFonts w:ascii="宋体" w:hAnsi="宋体"/>
          <w:color w:val="auto"/>
        </w:rPr>
      </w:pPr>
      <w:r>
        <w:rPr>
          <w:rFonts w:ascii="宋体" w:hAnsi="宋体"/>
          <w:color w:val="auto"/>
        </w:rPr>
        <w:t>3.4.1 除第二章“</w:t>
      </w:r>
      <w:r>
        <w:rPr>
          <w:rFonts w:hint="eastAsia" w:ascii="宋体" w:hAnsi="宋体"/>
          <w:color w:val="auto"/>
        </w:rPr>
        <w:t>供应商</w:t>
      </w:r>
      <w:r>
        <w:rPr>
          <w:rFonts w:ascii="宋体" w:hAnsi="宋体"/>
          <w:color w:val="auto"/>
        </w:rPr>
        <w:t>须知”前附表授权直接确定</w:t>
      </w:r>
      <w:r>
        <w:rPr>
          <w:rFonts w:hint="eastAsia" w:ascii="宋体" w:hAnsi="宋体"/>
          <w:color w:val="auto"/>
        </w:rPr>
        <w:t>成交</w:t>
      </w:r>
      <w:r>
        <w:rPr>
          <w:rFonts w:ascii="宋体" w:hAnsi="宋体"/>
          <w:color w:val="auto"/>
        </w:rPr>
        <w:t>人外，</w:t>
      </w:r>
      <w:r>
        <w:rPr>
          <w:rFonts w:hint="eastAsia" w:ascii="宋体" w:hAnsi="宋体"/>
          <w:color w:val="auto"/>
        </w:rPr>
        <w:t>竞争性</w:t>
      </w:r>
      <w:r>
        <w:rPr>
          <w:rFonts w:hint="eastAsia" w:ascii="宋体" w:hAnsi="宋体"/>
          <w:color w:val="auto"/>
          <w:lang w:eastAsia="zh-CN"/>
        </w:rPr>
        <w:t>磋商</w:t>
      </w:r>
      <w:r>
        <w:rPr>
          <w:rFonts w:hint="eastAsia" w:ascii="宋体" w:hAnsi="宋体"/>
          <w:color w:val="auto"/>
        </w:rPr>
        <w:t>小组</w:t>
      </w:r>
      <w:r>
        <w:rPr>
          <w:rFonts w:ascii="宋体" w:hAnsi="宋体"/>
          <w:color w:val="auto"/>
        </w:rPr>
        <w:t>按照得分由高到低的顺序推荐成交候选人，并标明排序。</w:t>
      </w:r>
    </w:p>
    <w:p w14:paraId="3559E2E4">
      <w:pPr>
        <w:spacing w:line="400" w:lineRule="exact"/>
        <w:ind w:left="-2" w:leftChars="-1" w:firstLine="420" w:firstLineChars="200"/>
        <w:rPr>
          <w:rFonts w:hint="eastAsia" w:ascii="宋体" w:hAnsi="宋体"/>
          <w:color w:val="auto"/>
        </w:rPr>
      </w:pPr>
      <w:r>
        <w:rPr>
          <w:rFonts w:hint="eastAsia" w:ascii="宋体" w:hAnsi="宋体"/>
          <w:color w:val="auto"/>
        </w:rPr>
        <w:t>3.4.2 评审完成后，</w:t>
      </w:r>
      <w:r>
        <w:rPr>
          <w:rFonts w:hint="eastAsia" w:ascii="宋体" w:hAnsi="宋体"/>
          <w:color w:val="auto"/>
          <w:lang w:eastAsia="zh-CN"/>
        </w:rPr>
        <w:t>磋商</w:t>
      </w:r>
      <w:r>
        <w:rPr>
          <w:rFonts w:hint="eastAsia" w:ascii="宋体" w:hAnsi="宋体"/>
          <w:color w:val="auto"/>
        </w:rPr>
        <w:t>小组向采购人提出评审报告，评审报告由</w:t>
      </w:r>
      <w:r>
        <w:rPr>
          <w:rFonts w:hint="eastAsia" w:ascii="宋体" w:hAnsi="宋体"/>
          <w:color w:val="auto"/>
          <w:lang w:eastAsia="zh-CN"/>
        </w:rPr>
        <w:t>磋商</w:t>
      </w:r>
      <w:r>
        <w:rPr>
          <w:rFonts w:hint="eastAsia" w:ascii="宋体" w:hAnsi="宋体"/>
          <w:color w:val="auto"/>
        </w:rPr>
        <w:t>小组全体成员签字确认。</w:t>
      </w:r>
    </w:p>
    <w:p w14:paraId="06D59551">
      <w:pPr>
        <w:pStyle w:val="2"/>
        <w:jc w:val="both"/>
        <w:rPr>
          <w:rFonts w:hint="eastAsia" w:ascii="宋体" w:hAnsi="宋体" w:eastAsia="宋体" w:cs="Times New Roman"/>
          <w:b w:val="0"/>
          <w:bCs w:val="0"/>
          <w:color w:val="auto"/>
          <w:kern w:val="2"/>
          <w:sz w:val="21"/>
          <w:szCs w:val="24"/>
          <w:lang w:val="en-US" w:eastAsia="zh-CN" w:bidi="ar-SA"/>
        </w:rPr>
      </w:pPr>
      <w:r>
        <w:rPr>
          <w:rFonts w:hint="eastAsia" w:ascii="宋体" w:hAnsi="宋体" w:eastAsia="宋体" w:cs="Times New Roman"/>
          <w:b w:val="0"/>
          <w:bCs w:val="0"/>
          <w:color w:val="auto"/>
          <w:kern w:val="2"/>
          <w:sz w:val="21"/>
          <w:szCs w:val="24"/>
          <w:lang w:val="en-US" w:eastAsia="zh-CN" w:bidi="ar-SA"/>
        </w:rPr>
        <w:t>3.4.3 竞争性磋商小组完成评审后，应当向采购人提交书面评审报告和成交候选人名单。</w:t>
      </w:r>
    </w:p>
    <w:p w14:paraId="3AA02ACB">
      <w:pPr>
        <w:rPr>
          <w:rFonts w:asciiTheme="minorEastAsia" w:hAnsiTheme="minorEastAsia" w:eastAsiaTheme="minorEastAsia"/>
          <w:color w:val="auto"/>
        </w:rPr>
      </w:pPr>
    </w:p>
    <w:p w14:paraId="46C24911">
      <w:pPr>
        <w:widowControl/>
        <w:autoSpaceDE w:val="0"/>
        <w:autoSpaceDN w:val="0"/>
        <w:adjustRightInd w:val="0"/>
        <w:jc w:val="right"/>
        <w:rPr>
          <w:rFonts w:hint="eastAsia"/>
          <w:color w:val="auto"/>
          <w:sz w:val="11"/>
          <w:szCs w:val="11"/>
        </w:rPr>
      </w:pPr>
      <w:r>
        <w:rPr>
          <w:rFonts w:hint="eastAsia" w:ascii="宋体" w:hAnsi="宋体"/>
          <w:b/>
          <w:bCs/>
          <w:color w:val="auto"/>
          <w:sz w:val="44"/>
          <w:szCs w:val="44"/>
        </w:rPr>
        <w:br w:type="page"/>
      </w:r>
    </w:p>
    <w:p w14:paraId="7ECCDFAD">
      <w:pPr>
        <w:numPr>
          <w:ilvl w:val="0"/>
          <w:numId w:val="0"/>
        </w:numPr>
        <w:spacing w:line="360" w:lineRule="auto"/>
        <w:ind w:leftChars="0"/>
        <w:rPr>
          <w:rFonts w:ascii="宋体" w:hAnsi="宋体"/>
          <w:b/>
          <w:color w:val="auto"/>
          <w:sz w:val="21"/>
          <w:szCs w:val="21"/>
        </w:rPr>
      </w:pPr>
      <w:r>
        <w:rPr>
          <w:rFonts w:hint="eastAsia" w:ascii="宋体" w:hAnsi="宋体"/>
          <w:b/>
          <w:color w:val="auto"/>
          <w:sz w:val="21"/>
          <w:szCs w:val="21"/>
        </w:rPr>
        <w:t>附件：</w:t>
      </w:r>
    </w:p>
    <w:p w14:paraId="3F40DEDB">
      <w:pPr>
        <w:pStyle w:val="3"/>
        <w:keepNext w:val="0"/>
        <w:keepLines w:val="0"/>
        <w:widowControl/>
        <w:shd w:val="clear" w:color="auto" w:fill="FFFFFF"/>
        <w:adjustRightInd w:val="0"/>
        <w:snapToGrid w:val="0"/>
        <w:spacing w:before="0" w:after="0" w:line="360" w:lineRule="auto"/>
        <w:jc w:val="center"/>
        <w:rPr>
          <w:rFonts w:ascii="宋体" w:hAnsi="宋体" w:eastAsia="宋体" w:cs="宋体"/>
          <w:color w:val="auto"/>
          <w:spacing w:val="7"/>
          <w:sz w:val="21"/>
          <w:szCs w:val="21"/>
        </w:rPr>
      </w:pPr>
      <w:bookmarkStart w:id="105" w:name="_Toc7681"/>
      <w:bookmarkStart w:id="106" w:name="_Toc63327628"/>
      <w:bookmarkStart w:id="107" w:name="_Toc79395985"/>
      <w:r>
        <w:rPr>
          <w:rStyle w:val="37"/>
          <w:rFonts w:hint="eastAsia" w:ascii="宋体" w:hAnsi="宋体" w:eastAsia="宋体" w:cs="宋体"/>
          <w:b w:val="0"/>
          <w:bCs w:val="0"/>
          <w:color w:val="auto"/>
          <w:spacing w:val="7"/>
          <w:sz w:val="21"/>
          <w:szCs w:val="21"/>
          <w:shd w:val="clear" w:color="auto" w:fill="FFFFFF"/>
        </w:rPr>
        <w:t>关于印发《政府采购促进中小企业发展管理办法》的通知</w:t>
      </w:r>
      <w:bookmarkEnd w:id="105"/>
      <w:bookmarkEnd w:id="106"/>
      <w:bookmarkEnd w:id="107"/>
    </w:p>
    <w:p w14:paraId="245C84AA">
      <w:pPr>
        <w:pStyle w:val="29"/>
        <w:shd w:val="clear" w:color="auto" w:fill="FFFFFF"/>
        <w:adjustRightInd w:val="0"/>
        <w:snapToGrid w:val="0"/>
        <w:spacing w:before="0" w:beforeAutospacing="0" w:after="0" w:afterAutospacing="0" w:line="360" w:lineRule="auto"/>
        <w:jc w:val="center"/>
        <w:rPr>
          <w:rStyle w:val="37"/>
          <w:rFonts w:ascii="宋体" w:hAnsi="宋体" w:eastAsia="宋体" w:cs="宋体"/>
          <w:color w:val="auto"/>
          <w:spacing w:val="7"/>
          <w:sz w:val="21"/>
          <w:szCs w:val="21"/>
          <w:shd w:val="clear" w:color="auto" w:fill="FFFFFF"/>
        </w:rPr>
      </w:pPr>
      <w:r>
        <w:rPr>
          <w:rStyle w:val="37"/>
          <w:rFonts w:hint="eastAsia" w:ascii="宋体" w:hAnsi="宋体" w:eastAsia="宋体" w:cs="宋体"/>
          <w:color w:val="auto"/>
          <w:spacing w:val="7"/>
          <w:sz w:val="21"/>
          <w:szCs w:val="21"/>
          <w:shd w:val="clear" w:color="auto" w:fill="FFFFFF"/>
        </w:rPr>
        <w:t>财库[2020]46号</w:t>
      </w:r>
    </w:p>
    <w:p w14:paraId="360337EC">
      <w:pPr>
        <w:pStyle w:val="29"/>
        <w:shd w:val="clear" w:color="auto" w:fill="FFFFFF"/>
        <w:adjustRightInd w:val="0"/>
        <w:snapToGrid w:val="0"/>
        <w:spacing w:before="0" w:beforeAutospacing="0" w:after="0" w:afterAutospacing="0" w:line="276" w:lineRule="auto"/>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shd w:val="clear" w:color="auto" w:fill="FFFFFF"/>
        </w:rPr>
        <w:t>各中央预算单位办公厅（室），各省、自治区、直辖市、计划单列市财政厅（局）、工业和信息化主管部门，新疆生产建设兵团财政局、工业和信息化主管部门：</w:t>
      </w:r>
    </w:p>
    <w:p w14:paraId="2AB5D2D0">
      <w:pPr>
        <w:pStyle w:val="29"/>
        <w:shd w:val="clear" w:color="auto" w:fill="FFFFFF"/>
        <w:adjustRightInd w:val="0"/>
        <w:snapToGrid w:val="0"/>
        <w:spacing w:before="0" w:beforeAutospacing="0" w:after="0" w:afterAutospacing="0" w:line="276" w:lineRule="auto"/>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shd w:val="clear" w:color="auto" w:fill="FFFFFF"/>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06CC6AC1">
      <w:pPr>
        <w:pStyle w:val="29"/>
        <w:shd w:val="clear" w:color="auto" w:fill="FFFFFF"/>
        <w:adjustRightInd w:val="0"/>
        <w:snapToGrid w:val="0"/>
        <w:spacing w:before="0" w:beforeAutospacing="0" w:after="0" w:afterAutospacing="0" w:line="276" w:lineRule="auto"/>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shd w:val="clear" w:color="auto" w:fill="FFFFFF"/>
        </w:rPr>
        <w:t>附件：政府采购促进中小企业发展管理办法</w:t>
      </w:r>
    </w:p>
    <w:p w14:paraId="033D8C8E">
      <w:pPr>
        <w:pStyle w:val="29"/>
        <w:shd w:val="clear" w:color="auto" w:fill="FFFFFF"/>
        <w:adjustRightInd w:val="0"/>
        <w:snapToGrid w:val="0"/>
        <w:spacing w:before="0" w:beforeAutospacing="0" w:after="0" w:afterAutospacing="0" w:line="360" w:lineRule="auto"/>
        <w:jc w:val="right"/>
        <w:rPr>
          <w:rFonts w:ascii="宋体" w:hAnsi="宋体" w:eastAsia="宋体" w:cs="宋体"/>
          <w:color w:val="auto"/>
          <w:spacing w:val="7"/>
          <w:sz w:val="21"/>
          <w:szCs w:val="21"/>
        </w:rPr>
      </w:pPr>
      <w:r>
        <w:rPr>
          <w:rFonts w:hint="eastAsia" w:ascii="宋体" w:hAnsi="宋体" w:eastAsia="宋体" w:cs="宋体"/>
          <w:color w:val="auto"/>
          <w:spacing w:val="7"/>
          <w:sz w:val="21"/>
          <w:szCs w:val="21"/>
          <w:shd w:val="clear" w:color="auto" w:fill="FFFFFF"/>
        </w:rPr>
        <w:t> 财  政  部</w:t>
      </w:r>
    </w:p>
    <w:p w14:paraId="2460A0CC">
      <w:pPr>
        <w:pStyle w:val="29"/>
        <w:shd w:val="clear" w:color="auto" w:fill="FFFFFF"/>
        <w:adjustRightInd w:val="0"/>
        <w:snapToGrid w:val="0"/>
        <w:spacing w:before="0" w:beforeAutospacing="0" w:after="0" w:afterAutospacing="0" w:line="360" w:lineRule="auto"/>
        <w:jc w:val="right"/>
        <w:rPr>
          <w:rFonts w:ascii="宋体" w:hAnsi="宋体" w:eastAsia="宋体" w:cs="宋体"/>
          <w:color w:val="auto"/>
          <w:spacing w:val="7"/>
          <w:sz w:val="21"/>
          <w:szCs w:val="21"/>
        </w:rPr>
      </w:pPr>
      <w:r>
        <w:rPr>
          <w:rFonts w:hint="eastAsia" w:ascii="宋体" w:hAnsi="宋体" w:eastAsia="宋体" w:cs="宋体"/>
          <w:color w:val="auto"/>
          <w:spacing w:val="7"/>
          <w:sz w:val="21"/>
          <w:szCs w:val="21"/>
          <w:shd w:val="clear" w:color="auto" w:fill="FFFFFF"/>
        </w:rPr>
        <w:t>工业和信息化部</w:t>
      </w:r>
    </w:p>
    <w:p w14:paraId="02DDA7F9">
      <w:pPr>
        <w:pStyle w:val="29"/>
        <w:shd w:val="clear" w:color="auto" w:fill="FFFFFF"/>
        <w:adjustRightInd w:val="0"/>
        <w:snapToGrid w:val="0"/>
        <w:spacing w:before="0" w:beforeAutospacing="0" w:after="0" w:afterAutospacing="0" w:line="360" w:lineRule="auto"/>
        <w:jc w:val="right"/>
        <w:rPr>
          <w:rFonts w:ascii="宋体" w:hAnsi="宋体" w:eastAsia="宋体" w:cs="宋体"/>
          <w:color w:val="auto"/>
          <w:spacing w:val="7"/>
          <w:sz w:val="21"/>
          <w:szCs w:val="21"/>
        </w:rPr>
      </w:pPr>
      <w:r>
        <w:rPr>
          <w:rFonts w:hint="eastAsia" w:ascii="宋体" w:hAnsi="宋体" w:eastAsia="宋体" w:cs="宋体"/>
          <w:color w:val="auto"/>
          <w:spacing w:val="7"/>
          <w:sz w:val="21"/>
          <w:szCs w:val="21"/>
          <w:shd w:val="clear" w:color="auto" w:fill="FFFFFF"/>
        </w:rPr>
        <w:t>2020年12月18日</w:t>
      </w:r>
    </w:p>
    <w:p w14:paraId="2FDB8E8B">
      <w:pPr>
        <w:pStyle w:val="3"/>
        <w:keepNext w:val="0"/>
        <w:keepLines w:val="0"/>
        <w:widowControl/>
        <w:shd w:val="clear" w:color="auto" w:fill="FFFFFF"/>
        <w:adjustRightInd w:val="0"/>
        <w:snapToGrid w:val="0"/>
        <w:spacing w:before="0" w:after="0" w:line="360" w:lineRule="auto"/>
        <w:jc w:val="center"/>
        <w:rPr>
          <w:rStyle w:val="37"/>
          <w:rFonts w:ascii="宋体" w:hAnsi="宋体" w:eastAsia="宋体" w:cs="宋体"/>
          <w:b w:val="0"/>
          <w:bCs w:val="0"/>
          <w:color w:val="auto"/>
          <w:spacing w:val="7"/>
          <w:sz w:val="21"/>
          <w:szCs w:val="21"/>
          <w:shd w:val="clear" w:color="auto" w:fill="FFFFFF"/>
        </w:rPr>
      </w:pPr>
      <w:bookmarkStart w:id="108" w:name="_Toc63327629"/>
      <w:bookmarkStart w:id="109" w:name="_Toc79395986"/>
      <w:bookmarkStart w:id="110" w:name="_Toc13471"/>
      <w:r>
        <w:rPr>
          <w:rStyle w:val="37"/>
          <w:rFonts w:hint="eastAsia" w:ascii="宋体" w:hAnsi="宋体" w:eastAsia="宋体" w:cs="宋体"/>
          <w:b w:val="0"/>
          <w:bCs w:val="0"/>
          <w:color w:val="auto"/>
          <w:spacing w:val="7"/>
          <w:sz w:val="21"/>
          <w:szCs w:val="21"/>
          <w:shd w:val="clear" w:color="auto" w:fill="FFFFFF"/>
        </w:rPr>
        <w:t>政府采购促进中小企业发展管理办法</w:t>
      </w:r>
      <w:bookmarkEnd w:id="108"/>
      <w:bookmarkEnd w:id="109"/>
      <w:bookmarkEnd w:id="110"/>
    </w:p>
    <w:p w14:paraId="7971CFB5">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第一条　</w:t>
      </w:r>
      <w:r>
        <w:rPr>
          <w:rFonts w:hint="eastAsia" w:ascii="宋体" w:hAnsi="宋体" w:eastAsia="宋体" w:cs="宋体"/>
          <w:color w:val="auto"/>
          <w:spacing w:val="7"/>
          <w:sz w:val="21"/>
          <w:szCs w:val="21"/>
        </w:rPr>
        <w:t>为了发挥政府采购的政策功能，促进中小企业健康发展，根据《中华人民共和国政府采购法》、《中华人民共和国中小企业促进法》等有关法律法规，制定本办法。</w:t>
      </w:r>
    </w:p>
    <w:p w14:paraId="41BBE38E">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第二条　</w:t>
      </w:r>
      <w:r>
        <w:rPr>
          <w:rFonts w:hint="eastAsia" w:ascii="宋体" w:hAnsi="宋体" w:eastAsia="宋体" w:cs="宋体"/>
          <w:color w:val="auto"/>
          <w:spacing w:val="7"/>
          <w:sz w:val="21"/>
          <w:szCs w:val="21"/>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492B8E5">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符合中小企业划分标准的个体工商户，在政府采购活动中视同中小企业。</w:t>
      </w:r>
    </w:p>
    <w:p w14:paraId="4100DBC4">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第三条　</w:t>
      </w:r>
      <w:r>
        <w:rPr>
          <w:rFonts w:hint="eastAsia" w:ascii="宋体" w:hAnsi="宋体" w:eastAsia="宋体" w:cs="宋体"/>
          <w:color w:val="auto"/>
          <w:spacing w:val="7"/>
          <w:sz w:val="21"/>
          <w:szCs w:val="21"/>
        </w:rPr>
        <w:t>采购人在政府采购活动中应当通过加强采购需求管理，落实预留采购份额、价格评审优惠、优先采购等措施，提高中小企业在政府采购中的份额，支持中小企业发展。</w:t>
      </w:r>
    </w:p>
    <w:p w14:paraId="0E1B6B3E">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第四条　</w:t>
      </w:r>
      <w:r>
        <w:rPr>
          <w:rFonts w:hint="eastAsia" w:ascii="宋体" w:hAnsi="宋体" w:eastAsia="宋体" w:cs="宋体"/>
          <w:color w:val="auto"/>
          <w:spacing w:val="7"/>
          <w:sz w:val="21"/>
          <w:szCs w:val="21"/>
        </w:rPr>
        <w:t>在政府采购活动中，供应商提供的货物、工程或者服务符合下列情形的，享受本办法规定的中小企业扶持政策：</w:t>
      </w:r>
    </w:p>
    <w:p w14:paraId="21EBBDF7">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（一）在货物采购项目中，货物由中小企业制造，即货物由中小企业生产且使用该中小企业商号或者注册商标；</w:t>
      </w:r>
    </w:p>
    <w:p w14:paraId="0ABD97CE">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（二）在工程采购项目中，工程由中小企业承建，即工程施工单位为中小企业；</w:t>
      </w:r>
    </w:p>
    <w:p w14:paraId="3B41DFDC">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（三）在服务采购项目中，服务由中小企业承接，即提供服务的人员为中小企业依照《中华人民共和国劳动合同法》订立劳动合同的从业人员。</w:t>
      </w:r>
    </w:p>
    <w:p w14:paraId="566223B8">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在货物采购项目中，供应商提供的货物既有中小企业制造货物，也有大型企业制造货物的，不享受本办法规定的中小企业扶持政策。</w:t>
      </w:r>
    </w:p>
    <w:p w14:paraId="56065663">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以联合体形式参加政府采购活动，联合体各方均为中小企业的，联合体视同中小企业。其中，联合体各方均为小微企业的，联合体视同小微企业。</w:t>
      </w:r>
    </w:p>
    <w:p w14:paraId="56CC5069">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第五条　</w:t>
      </w:r>
      <w:r>
        <w:rPr>
          <w:rFonts w:hint="eastAsia" w:ascii="宋体" w:hAnsi="宋体" w:eastAsia="宋体" w:cs="宋体"/>
          <w:color w:val="auto"/>
          <w:spacing w:val="7"/>
          <w:sz w:val="21"/>
          <w:szCs w:val="21"/>
        </w:rPr>
        <w:t>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7B87D07">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第六条</w:t>
      </w:r>
      <w:r>
        <w:rPr>
          <w:rFonts w:hint="eastAsia" w:ascii="宋体" w:hAnsi="宋体" w:eastAsia="宋体" w:cs="宋体"/>
          <w:color w:val="auto"/>
          <w:spacing w:val="7"/>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31252E1">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符合下列情形之一的，可不专门面向中小企业预留采购份额：</w:t>
      </w:r>
    </w:p>
    <w:p w14:paraId="03954039">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（一）法律法规和国家有关政策明确规定优先或者应当面向事业单位、社会组织等非企业主体采购的；</w:t>
      </w:r>
    </w:p>
    <w:p w14:paraId="513CE64C">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（二）因确需使用不可替代的专利、专有技术，基础设施限制，或者提供特定公共服务等原因，只能从中小企业之外的供应商处采购的；</w:t>
      </w:r>
    </w:p>
    <w:p w14:paraId="4DB53594">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（三）按照本办法规定预留采购份额无法确保充分供应、充分竞争，或者存在可能影响政府采购目标实现的情形；</w:t>
      </w:r>
    </w:p>
    <w:p w14:paraId="0E4199B9">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（四）框架协议采购项目；</w:t>
      </w:r>
    </w:p>
    <w:p w14:paraId="7456C50B">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（五）省级以上人民政府财政部门规定的其他情形。</w:t>
      </w:r>
    </w:p>
    <w:p w14:paraId="321D166A">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除上述情形外，其他均为适宜由中小企业提供的情形。</w:t>
      </w:r>
    </w:p>
    <w:p w14:paraId="12DC4079">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第七条　</w:t>
      </w:r>
      <w:r>
        <w:rPr>
          <w:rFonts w:hint="eastAsia" w:ascii="宋体" w:hAnsi="宋体" w:eastAsia="宋体" w:cs="宋体"/>
          <w:color w:val="auto"/>
          <w:spacing w:val="7"/>
          <w:sz w:val="21"/>
          <w:szCs w:val="21"/>
        </w:rPr>
        <w:t>采购限额标准以上，200万元以下的货物和服务采购项目、400万元以下的工程采购项目，适宜由中小企业提供的，采购人应当专门面向中小企业采购。</w:t>
      </w:r>
    </w:p>
    <w:p w14:paraId="2FD8BF21">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第八条</w:t>
      </w:r>
      <w:r>
        <w:rPr>
          <w:rFonts w:hint="eastAsia" w:ascii="宋体" w:hAnsi="宋体" w:eastAsia="宋体" w:cs="宋体"/>
          <w:color w:val="auto"/>
          <w:spacing w:val="7"/>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15B38CB8">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（一）将采购项目整体或者设置采购包专门面向中小企业采购；</w:t>
      </w:r>
    </w:p>
    <w:p w14:paraId="7BF33FE0">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（二）要求供应商以联合体形式参加采购活动，且联合体中中小企业承担的部分达到一定比例；</w:t>
      </w:r>
    </w:p>
    <w:p w14:paraId="57619E19">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（三）要求获得采购合同的供应商将采购项目中的一定比例分包给一家或者多家中小企业。</w:t>
      </w:r>
    </w:p>
    <w:p w14:paraId="330CC9CC">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组成联合体或者接受分包合同的中小企业与联合体内其他企业、分包企业之间不得存在直接控股、管理关系。</w:t>
      </w:r>
    </w:p>
    <w:p w14:paraId="61FEE4B0">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第九条　</w:t>
      </w:r>
      <w:r>
        <w:rPr>
          <w:rFonts w:hint="eastAsia" w:ascii="宋体" w:hAnsi="宋体" w:eastAsia="宋体" w:cs="宋体"/>
          <w:color w:val="auto"/>
          <w:spacing w:val="7"/>
          <w:sz w:val="21"/>
          <w:szCs w:val="21"/>
        </w:rPr>
        <w:t>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B3D0C7C">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0DBC4035">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F37D9AB">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第十条　</w:t>
      </w:r>
      <w:r>
        <w:rPr>
          <w:rFonts w:hint="eastAsia" w:ascii="宋体" w:hAnsi="宋体" w:eastAsia="宋体" w:cs="宋体"/>
          <w:color w:val="auto"/>
          <w:spacing w:val="7"/>
          <w:sz w:val="21"/>
          <w:szCs w:val="21"/>
        </w:rPr>
        <w:t>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6428B3F">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第十一条　</w:t>
      </w:r>
      <w:r>
        <w:rPr>
          <w:rFonts w:hint="eastAsia" w:ascii="宋体" w:hAnsi="宋体" w:eastAsia="宋体" w:cs="宋体"/>
          <w:color w:val="auto"/>
          <w:spacing w:val="7"/>
          <w:sz w:val="21"/>
          <w:szCs w:val="21"/>
        </w:rPr>
        <w:t>中小企业参加政府采购活动，应当出具本办法规定的《中小企业声明函》（附1），否则不得享受相关中小企业扶持政策。任何单位和个人不得要求供应商提供《中小企业声明函》之外的中小企业身份证明文件。</w:t>
      </w:r>
    </w:p>
    <w:p w14:paraId="146A8CB2">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pacing w:val="7"/>
          <w:sz w:val="21"/>
          <w:szCs w:val="21"/>
        </w:rPr>
      </w:pPr>
      <w:r>
        <w:rPr>
          <w:rStyle w:val="37"/>
          <w:rFonts w:hint="eastAsia" w:ascii="宋体" w:hAnsi="宋体" w:eastAsia="宋体" w:cs="宋体"/>
          <w:color w:val="auto"/>
          <w:spacing w:val="7"/>
          <w:sz w:val="21"/>
          <w:szCs w:val="21"/>
        </w:rPr>
        <w:t>第十二条　</w:t>
      </w:r>
      <w:r>
        <w:rPr>
          <w:rFonts w:hint="eastAsia" w:ascii="宋体" w:hAnsi="宋体" w:eastAsia="宋体" w:cs="宋体"/>
          <w:color w:val="auto"/>
          <w:spacing w:val="7"/>
          <w:sz w:val="21"/>
          <w:szCs w:val="21"/>
        </w:rPr>
        <w:t>采购项目涉及中小企业采购的，采购文件应当明确以下内容：</w:t>
      </w:r>
    </w:p>
    <w:p w14:paraId="37276446">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pacing w:val="7"/>
          <w:sz w:val="21"/>
          <w:szCs w:val="21"/>
        </w:rPr>
      </w:pPr>
      <w:r>
        <w:rPr>
          <w:rFonts w:hint="eastAsia" w:ascii="宋体" w:hAnsi="宋体" w:eastAsia="宋体" w:cs="宋体"/>
          <w:color w:val="auto"/>
          <w:spacing w:val="7"/>
          <w:sz w:val="21"/>
          <w:szCs w:val="21"/>
        </w:rPr>
        <w:t>（一）预留份额的采购项目或者采购包，明确该项目或相关采购包专门面向中小企业采购，以及相关标的及预算金额；</w:t>
      </w:r>
    </w:p>
    <w:p w14:paraId="4F9B2EE3">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（二）要求以联合体形式参加或者合同分包的，明确联合协议或者分包意向协议中中小企业合同金额应当达到的比例，并作为供应商资格条件；</w:t>
      </w:r>
    </w:p>
    <w:p w14:paraId="57AD34BE">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（三）非预留份额的采购项目或者采购包，明确有关价格扣除比例或者价格分加分比例；</w:t>
      </w:r>
    </w:p>
    <w:p w14:paraId="2E597288">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（四）规定依据本办法规定享受扶持政策获得政府采购合同的，小微企业不得将合同分包给大中型企业，中型企业不得将合同分包给大型企业；</w:t>
      </w:r>
    </w:p>
    <w:p w14:paraId="471D00CA">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（五）采购人认为具备相关条件的，明确对中小企业在资金支付期限、预付款比例等方面的优惠措施；</w:t>
      </w:r>
    </w:p>
    <w:p w14:paraId="14A614A5">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（六）明确采购标的对应的中小企业划分标准所属行业；</w:t>
      </w:r>
    </w:p>
    <w:p w14:paraId="12A4C4E6">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（七）法律法规和省级以上人民政府财政部门规定的其他事项。</w:t>
      </w:r>
    </w:p>
    <w:p w14:paraId="3235C1AC">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第十三条　</w:t>
      </w:r>
      <w:r>
        <w:rPr>
          <w:rFonts w:hint="eastAsia" w:ascii="宋体" w:hAnsi="宋体" w:eastAsia="宋体" w:cs="宋体"/>
          <w:color w:val="auto"/>
          <w:spacing w:val="7"/>
          <w:sz w:val="21"/>
          <w:szCs w:val="21"/>
        </w:rPr>
        <w:t>中标、成交供应商享受本办法规定的中小企业扶持政策的，采购人、采购代理机构应当随中标、成交结果公开中标、成交供应商的《中小企业声明函》。</w:t>
      </w:r>
    </w:p>
    <w:p w14:paraId="2C1539E7">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适用招标投标法的政府采购工程建设项目，应当在公示中标候选人时公开中标候选人的《中小企业声明函》。</w:t>
      </w:r>
    </w:p>
    <w:p w14:paraId="09A2C677">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第十四条</w:t>
      </w:r>
      <w:r>
        <w:rPr>
          <w:rFonts w:hint="eastAsia" w:ascii="宋体" w:hAnsi="宋体" w:eastAsia="宋体" w:cs="宋体"/>
          <w:color w:val="auto"/>
          <w:spacing w:val="7"/>
          <w:sz w:val="21"/>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46D8B2">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第十五条　</w:t>
      </w:r>
      <w:r>
        <w:rPr>
          <w:rFonts w:hint="eastAsia" w:ascii="宋体" w:hAnsi="宋体" w:eastAsia="宋体" w:cs="宋体"/>
          <w:color w:val="auto"/>
          <w:spacing w:val="7"/>
          <w:sz w:val="21"/>
          <w:szCs w:val="21"/>
        </w:rPr>
        <w:t>鼓励各地区、各部门在采购活动中允许中小企业引入信用担保手段，为中小企业在投标（响应）保证、履约保证等方面提供专业化服务。鼓励中小企业依法合规通过政府采购合同融资。</w:t>
      </w:r>
    </w:p>
    <w:p w14:paraId="663835BD">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第十六条　</w:t>
      </w:r>
      <w:r>
        <w:rPr>
          <w:rFonts w:hint="eastAsia" w:ascii="宋体" w:hAnsi="宋体" w:eastAsia="宋体" w:cs="宋体"/>
          <w:color w:val="auto"/>
          <w:spacing w:val="7"/>
          <w:sz w:val="21"/>
          <w:szCs w:val="21"/>
        </w:rPr>
        <w:t>政府采购监督检查、投诉处理及政府采购行政处罚中对中小企业的认定，由货物制造商或者工程、服务供应商注册登记所在地的县级以上人民政府中小企业主管部门负责。</w:t>
      </w:r>
    </w:p>
    <w:p w14:paraId="68960BA0">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中小企业主管部门应当在收到财政部门或者有关招标投标行政监督部门关于协助开展中小企业认定函后10个工作日内做出书面答复。</w:t>
      </w:r>
    </w:p>
    <w:p w14:paraId="48D75DE3">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第十七条　</w:t>
      </w:r>
      <w:r>
        <w:rPr>
          <w:rFonts w:hint="eastAsia" w:ascii="宋体" w:hAnsi="宋体" w:eastAsia="宋体" w:cs="宋体"/>
          <w:color w:val="auto"/>
          <w:spacing w:val="7"/>
          <w:sz w:val="21"/>
          <w:szCs w:val="21"/>
        </w:rPr>
        <w:t>各地区、各部门应当对涉及中小企业采购的预算项目实施全过程绩效管理，合理设置绩效目标和指标，落实扶持中小企业有关政策要求，定期开展绩效监控和评价，强化绩效评价结果应用。</w:t>
      </w:r>
    </w:p>
    <w:p w14:paraId="042A5A57">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第十八条　</w:t>
      </w:r>
      <w:r>
        <w:rPr>
          <w:rFonts w:hint="eastAsia" w:ascii="宋体" w:hAnsi="宋体" w:eastAsia="宋体" w:cs="宋体"/>
          <w:color w:val="auto"/>
          <w:spacing w:val="7"/>
          <w:sz w:val="21"/>
          <w:szCs w:val="21"/>
        </w:rPr>
        <w:t>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2FA631A">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第十九条</w:t>
      </w:r>
      <w:r>
        <w:rPr>
          <w:rFonts w:hint="eastAsia" w:ascii="宋体" w:hAnsi="宋体" w:eastAsia="宋体" w:cs="宋体"/>
          <w:color w:val="auto"/>
          <w:spacing w:val="7"/>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554272D">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第二十条</w:t>
      </w:r>
      <w:r>
        <w:rPr>
          <w:rFonts w:hint="eastAsia" w:ascii="宋体" w:hAnsi="宋体" w:eastAsia="宋体" w:cs="宋体"/>
          <w:color w:val="auto"/>
          <w:spacing w:val="7"/>
          <w:sz w:val="21"/>
          <w:szCs w:val="21"/>
        </w:rPr>
        <w:t>　供应商按照本办法规定提供声明函内容不实的，属于提供虚假材料谋取中标、成交，依照《中华人民共和国政府采购法》等国家有关规定追究相应责任。</w:t>
      </w:r>
    </w:p>
    <w:p w14:paraId="2B34F006">
      <w:pPr>
        <w:pStyle w:val="29"/>
        <w:adjustRightInd w:val="0"/>
        <w:snapToGrid w:val="0"/>
        <w:spacing w:before="0" w:beforeAutospacing="0" w:after="0" w:afterAutospacing="0" w:line="340" w:lineRule="exact"/>
        <w:ind w:firstLine="448" w:firstLineChars="200"/>
        <w:jc w:val="both"/>
        <w:rPr>
          <w:rFonts w:ascii="宋体" w:hAnsi="宋体" w:eastAsia="宋体" w:cs="宋体"/>
          <w:color w:val="auto"/>
          <w:sz w:val="21"/>
          <w:szCs w:val="21"/>
        </w:rPr>
      </w:pPr>
      <w:r>
        <w:rPr>
          <w:rFonts w:hint="eastAsia" w:ascii="宋体" w:hAnsi="宋体" w:eastAsia="宋体" w:cs="宋体"/>
          <w:color w:val="auto"/>
          <w:spacing w:val="7"/>
          <w:sz w:val="21"/>
          <w:szCs w:val="21"/>
        </w:rPr>
        <w:t>适用招标投标法的政府采购工程建设项目，</w:t>
      </w:r>
      <w:r>
        <w:rPr>
          <w:rFonts w:hint="eastAsia" w:ascii="宋体" w:hAnsi="宋体" w:eastAsia="宋体" w:cs="宋体"/>
          <w:color w:val="auto"/>
          <w:spacing w:val="7"/>
          <w:sz w:val="21"/>
          <w:szCs w:val="21"/>
          <w:lang w:eastAsia="zh-CN"/>
        </w:rPr>
        <w:t>供应商</w:t>
      </w:r>
      <w:r>
        <w:rPr>
          <w:rFonts w:hint="eastAsia" w:ascii="宋体" w:hAnsi="宋体" w:eastAsia="宋体" w:cs="宋体"/>
          <w:color w:val="auto"/>
          <w:spacing w:val="7"/>
          <w:sz w:val="21"/>
          <w:szCs w:val="21"/>
        </w:rPr>
        <w:t>按照本办法规定提供声明函内容不实的，属于弄虚作假骗取中标，依照《中华人民共和国招标投标法》等国家有关规定追究相应责任。</w:t>
      </w:r>
    </w:p>
    <w:p w14:paraId="3AA64C18">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第二十一条　</w:t>
      </w:r>
      <w:r>
        <w:rPr>
          <w:rFonts w:hint="eastAsia" w:ascii="宋体" w:hAnsi="宋体" w:eastAsia="宋体" w:cs="宋体"/>
          <w:color w:val="auto"/>
          <w:spacing w:val="7"/>
          <w:sz w:val="21"/>
          <w:szCs w:val="21"/>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19ACD26">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第二十二条</w:t>
      </w:r>
      <w:r>
        <w:rPr>
          <w:rFonts w:hint="eastAsia" w:ascii="宋体" w:hAnsi="宋体" w:eastAsia="宋体" w:cs="宋体"/>
          <w:color w:val="auto"/>
          <w:spacing w:val="7"/>
          <w:sz w:val="21"/>
          <w:szCs w:val="21"/>
        </w:rPr>
        <w:t>　对外援助项目、国家相关资格或者资质管理制度另有规定的项目，不适用本办法。</w:t>
      </w:r>
    </w:p>
    <w:p w14:paraId="0C834BCC">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第二十三条　</w:t>
      </w:r>
      <w:r>
        <w:rPr>
          <w:rFonts w:hint="eastAsia" w:ascii="宋体" w:hAnsi="宋体" w:eastAsia="宋体" w:cs="宋体"/>
          <w:color w:val="auto"/>
          <w:spacing w:val="7"/>
          <w:sz w:val="21"/>
          <w:szCs w:val="21"/>
        </w:rPr>
        <w:t>关于视同中小企业的其他主体的政府采购扶持政策，由财政部会同有关部门另行规定。</w:t>
      </w:r>
    </w:p>
    <w:p w14:paraId="68BB8A3C">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pPr>
      <w:r>
        <w:rPr>
          <w:rStyle w:val="37"/>
          <w:rFonts w:hint="eastAsia" w:ascii="宋体" w:hAnsi="宋体" w:eastAsia="宋体" w:cs="宋体"/>
          <w:color w:val="auto"/>
          <w:spacing w:val="7"/>
          <w:sz w:val="21"/>
          <w:szCs w:val="21"/>
        </w:rPr>
        <w:t>第二十四条</w:t>
      </w:r>
      <w:r>
        <w:rPr>
          <w:rFonts w:hint="eastAsia" w:ascii="宋体" w:hAnsi="宋体" w:eastAsia="宋体" w:cs="宋体"/>
          <w:color w:val="auto"/>
          <w:spacing w:val="7"/>
          <w:sz w:val="21"/>
          <w:szCs w:val="21"/>
        </w:rPr>
        <w:t>　省级财政部门可以会同中小企业主管部门根据本办法的规定制定具体实施办法。</w:t>
      </w:r>
    </w:p>
    <w:p w14:paraId="728B9E19">
      <w:pPr>
        <w:pStyle w:val="29"/>
        <w:adjustRightInd w:val="0"/>
        <w:snapToGrid w:val="0"/>
        <w:spacing w:before="0" w:beforeAutospacing="0" w:after="0" w:afterAutospacing="0" w:line="340" w:lineRule="exact"/>
        <w:ind w:firstLine="450" w:firstLineChars="200"/>
        <w:jc w:val="both"/>
        <w:rPr>
          <w:rFonts w:ascii="宋体" w:hAnsi="宋体" w:eastAsia="宋体" w:cs="宋体"/>
          <w:color w:val="auto"/>
          <w:sz w:val="21"/>
          <w:szCs w:val="21"/>
        </w:rPr>
        <w:sectPr>
          <w:footerReference r:id="rId7" w:type="default"/>
          <w:pgSz w:w="11910" w:h="16840"/>
          <w:pgMar w:top="1160" w:right="711" w:bottom="840" w:left="1080" w:header="567" w:footer="454" w:gutter="0"/>
          <w:pgBorders>
            <w:top w:val="none" w:sz="0" w:space="0"/>
            <w:left w:val="none" w:sz="0" w:space="0"/>
            <w:bottom w:val="none" w:sz="0" w:space="0"/>
            <w:right w:val="none" w:sz="0" w:space="0"/>
          </w:pgBorders>
          <w:pgNumType w:fmt="decimal"/>
          <w:cols w:space="720" w:num="1"/>
        </w:sectPr>
      </w:pPr>
      <w:r>
        <w:rPr>
          <w:rStyle w:val="37"/>
          <w:rFonts w:hint="eastAsia" w:ascii="宋体" w:hAnsi="宋体" w:eastAsia="宋体" w:cs="宋体"/>
          <w:color w:val="auto"/>
          <w:spacing w:val="7"/>
          <w:sz w:val="21"/>
          <w:szCs w:val="21"/>
        </w:rPr>
        <w:t>第二十五条</w:t>
      </w:r>
      <w:r>
        <w:rPr>
          <w:rFonts w:hint="eastAsia" w:ascii="宋体" w:hAnsi="宋体" w:eastAsia="宋体" w:cs="宋体"/>
          <w:color w:val="auto"/>
          <w:spacing w:val="7"/>
          <w:sz w:val="21"/>
          <w:szCs w:val="21"/>
        </w:rPr>
        <w:t>　本办法自2021年1月1日起施行。《财政部工业和信息化部关于印发〈政府采购促进中小企业发展暂行办法〉的通知》（财库﹝2011﹞181号）同时废止。</w:t>
      </w:r>
    </w:p>
    <w:p w14:paraId="5AB0520D">
      <w:pPr>
        <w:widowControl/>
        <w:jc w:val="left"/>
        <w:rPr>
          <w:rFonts w:ascii="宋体" w:hAnsi="宋体" w:eastAsia="宋体"/>
          <w:b/>
          <w:color w:val="auto"/>
          <w:sz w:val="21"/>
          <w:szCs w:val="21"/>
        </w:rPr>
      </w:pPr>
      <w:bookmarkStart w:id="111" w:name="_bookmark1"/>
      <w:bookmarkEnd w:id="111"/>
    </w:p>
    <w:p w14:paraId="122AF275">
      <w:pPr>
        <w:spacing w:line="360" w:lineRule="auto"/>
        <w:jc w:val="center"/>
        <w:rPr>
          <w:rFonts w:ascii="宋体" w:hAnsi="宋体" w:eastAsia="宋体"/>
          <w:b/>
          <w:color w:val="auto"/>
          <w:sz w:val="21"/>
          <w:szCs w:val="21"/>
        </w:rPr>
      </w:pPr>
      <w:r>
        <w:rPr>
          <w:rFonts w:hint="eastAsia" w:ascii="宋体" w:hAnsi="宋体" w:eastAsia="宋体"/>
          <w:b/>
          <w:color w:val="auto"/>
          <w:sz w:val="21"/>
          <w:szCs w:val="21"/>
        </w:rPr>
        <w:t>中小企业划型标准规定</w:t>
      </w:r>
    </w:p>
    <w:p w14:paraId="54157A5E">
      <w:pPr>
        <w:spacing w:line="312" w:lineRule="auto"/>
        <w:ind w:firstLine="420" w:firstLineChars="200"/>
        <w:rPr>
          <w:rFonts w:ascii="宋体" w:hAnsi="宋体" w:eastAsia="宋体"/>
          <w:color w:val="auto"/>
          <w:sz w:val="21"/>
          <w:szCs w:val="21"/>
        </w:rPr>
      </w:pPr>
      <w:r>
        <w:rPr>
          <w:rFonts w:hint="eastAsia" w:ascii="宋体" w:hAnsi="宋体" w:eastAsia="宋体"/>
          <w:color w:val="auto"/>
          <w:sz w:val="21"/>
          <w:szCs w:val="21"/>
        </w:rPr>
        <w:t>一、根据《中华人民共和国中小企业促进法》和《国务院关于进一步促进中小企业发展的若干意见》(国发〔2009〕36号)，制定本规定。</w:t>
      </w:r>
    </w:p>
    <w:p w14:paraId="5DD636C4">
      <w:pPr>
        <w:spacing w:line="312" w:lineRule="auto"/>
        <w:rPr>
          <w:rFonts w:ascii="宋体" w:hAnsi="宋体" w:eastAsia="宋体"/>
          <w:color w:val="auto"/>
          <w:sz w:val="21"/>
          <w:szCs w:val="21"/>
        </w:rPr>
      </w:pPr>
      <w:r>
        <w:rPr>
          <w:rFonts w:hint="eastAsia" w:ascii="宋体" w:hAnsi="宋体" w:eastAsia="宋体"/>
          <w:color w:val="auto"/>
          <w:sz w:val="21"/>
          <w:szCs w:val="21"/>
        </w:rPr>
        <w:t>　　二、中小企业划分为中型、小型、微型三种类型，具体标准根据企业从业人员、营业收入、资产总额等指标，结合行业特点制定。</w:t>
      </w:r>
    </w:p>
    <w:p w14:paraId="352C808C">
      <w:pPr>
        <w:spacing w:line="312" w:lineRule="auto"/>
        <w:rPr>
          <w:rFonts w:ascii="宋体" w:hAnsi="宋体" w:eastAsia="宋体"/>
          <w:color w:val="auto"/>
          <w:sz w:val="21"/>
          <w:szCs w:val="21"/>
        </w:rPr>
      </w:pPr>
      <w:r>
        <w:rPr>
          <w:rFonts w:hint="eastAsia" w:ascii="宋体" w:hAnsi="宋体" w:eastAsia="宋体"/>
          <w:color w:val="auto"/>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020F05C">
      <w:pPr>
        <w:spacing w:line="312" w:lineRule="auto"/>
        <w:rPr>
          <w:rFonts w:ascii="宋体" w:hAnsi="宋体" w:eastAsia="宋体"/>
          <w:color w:val="auto"/>
          <w:sz w:val="21"/>
          <w:szCs w:val="21"/>
        </w:rPr>
      </w:pPr>
      <w:r>
        <w:rPr>
          <w:rFonts w:hint="eastAsia" w:ascii="宋体" w:hAnsi="宋体" w:eastAsia="宋体"/>
          <w:color w:val="auto"/>
          <w:sz w:val="21"/>
          <w:szCs w:val="21"/>
        </w:rPr>
        <w:t>　　四、各行业划型标准为：</w:t>
      </w:r>
    </w:p>
    <w:p w14:paraId="253D77DF">
      <w:pPr>
        <w:spacing w:line="312" w:lineRule="auto"/>
        <w:rPr>
          <w:rFonts w:ascii="宋体" w:hAnsi="宋体" w:eastAsia="宋体"/>
          <w:color w:val="auto"/>
          <w:sz w:val="21"/>
          <w:szCs w:val="21"/>
        </w:rPr>
      </w:pPr>
      <w:r>
        <w:rPr>
          <w:rFonts w:hint="eastAsia" w:ascii="宋体" w:hAnsi="宋体" w:eastAsia="宋体"/>
          <w:color w:val="auto"/>
          <w:sz w:val="21"/>
          <w:szCs w:val="21"/>
        </w:rPr>
        <w:t>　　（一）农、林、牧、渔业。营业收入20000万元以下的为中小微型企业。其中，营业收入500万元及以上的为中型企业，营业收入50万元及以上的为小型企业，营业收入50万元以下的为微型企业。</w:t>
      </w:r>
    </w:p>
    <w:p w14:paraId="1CAFE940">
      <w:pPr>
        <w:spacing w:line="312" w:lineRule="auto"/>
        <w:rPr>
          <w:rFonts w:ascii="宋体" w:hAnsi="宋体" w:eastAsia="宋体"/>
          <w:color w:val="auto"/>
          <w:sz w:val="21"/>
          <w:szCs w:val="21"/>
        </w:rPr>
      </w:pPr>
      <w:r>
        <w:rPr>
          <w:rFonts w:hint="eastAsia" w:ascii="宋体" w:hAnsi="宋体" w:eastAsia="宋体"/>
          <w:color w:val="auto"/>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47F0771">
      <w:pPr>
        <w:spacing w:line="312" w:lineRule="auto"/>
        <w:rPr>
          <w:rFonts w:ascii="宋体" w:hAnsi="宋体" w:eastAsia="宋体"/>
          <w:color w:val="auto"/>
          <w:sz w:val="21"/>
          <w:szCs w:val="21"/>
        </w:rPr>
      </w:pPr>
      <w:r>
        <w:rPr>
          <w:rFonts w:hint="eastAsia" w:ascii="宋体" w:hAnsi="宋体" w:eastAsia="宋体"/>
          <w:color w:val="auto"/>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95CB475">
      <w:pPr>
        <w:spacing w:line="312" w:lineRule="auto"/>
        <w:rPr>
          <w:rFonts w:ascii="宋体" w:hAnsi="宋体" w:eastAsia="宋体"/>
          <w:color w:val="auto"/>
          <w:sz w:val="21"/>
          <w:szCs w:val="21"/>
        </w:rPr>
      </w:pPr>
      <w:r>
        <w:rPr>
          <w:rFonts w:hint="eastAsia" w:ascii="宋体" w:hAnsi="宋体" w:eastAsia="宋体"/>
          <w:color w:val="auto"/>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1F28262">
      <w:pPr>
        <w:spacing w:line="312" w:lineRule="auto"/>
        <w:rPr>
          <w:rFonts w:ascii="宋体" w:hAnsi="宋体" w:eastAsia="宋体"/>
          <w:color w:val="auto"/>
          <w:sz w:val="21"/>
          <w:szCs w:val="21"/>
        </w:rPr>
      </w:pPr>
      <w:r>
        <w:rPr>
          <w:rFonts w:hint="eastAsia" w:ascii="宋体" w:hAnsi="宋体" w:eastAsia="宋体"/>
          <w:color w:val="auto"/>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E6AD791">
      <w:pPr>
        <w:spacing w:line="312" w:lineRule="auto"/>
        <w:rPr>
          <w:rFonts w:ascii="宋体" w:hAnsi="宋体" w:eastAsia="宋体"/>
          <w:color w:val="auto"/>
          <w:sz w:val="21"/>
          <w:szCs w:val="21"/>
        </w:rPr>
      </w:pPr>
      <w:r>
        <w:rPr>
          <w:rFonts w:hint="eastAsia" w:ascii="宋体" w:hAnsi="宋体" w:eastAsia="宋体"/>
          <w:color w:val="auto"/>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63D914">
      <w:pPr>
        <w:spacing w:line="312" w:lineRule="auto"/>
        <w:rPr>
          <w:rFonts w:ascii="宋体" w:hAnsi="宋体" w:eastAsia="宋体"/>
          <w:color w:val="auto"/>
          <w:sz w:val="21"/>
          <w:szCs w:val="21"/>
        </w:rPr>
      </w:pPr>
      <w:r>
        <w:rPr>
          <w:rFonts w:hint="eastAsia" w:ascii="宋体" w:hAnsi="宋体" w:eastAsia="宋体"/>
          <w:color w:val="auto"/>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8A8E901">
      <w:pPr>
        <w:spacing w:line="312" w:lineRule="auto"/>
        <w:rPr>
          <w:rFonts w:ascii="宋体" w:hAnsi="宋体" w:eastAsia="宋体"/>
          <w:color w:val="auto"/>
          <w:sz w:val="21"/>
          <w:szCs w:val="21"/>
        </w:rPr>
      </w:pPr>
      <w:r>
        <w:rPr>
          <w:rFonts w:hint="eastAsia" w:ascii="宋体" w:hAnsi="宋体" w:eastAsia="宋体"/>
          <w:color w:val="auto"/>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5BF12DF">
      <w:pPr>
        <w:spacing w:line="312" w:lineRule="auto"/>
        <w:rPr>
          <w:rFonts w:ascii="宋体" w:hAnsi="宋体" w:eastAsia="宋体"/>
          <w:color w:val="auto"/>
          <w:sz w:val="21"/>
          <w:szCs w:val="21"/>
        </w:rPr>
      </w:pPr>
      <w:r>
        <w:rPr>
          <w:rFonts w:hint="eastAsia" w:ascii="宋体" w:hAnsi="宋体" w:eastAsia="宋体"/>
          <w:color w:val="auto"/>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702F17">
      <w:pPr>
        <w:spacing w:line="312" w:lineRule="auto"/>
        <w:rPr>
          <w:rFonts w:ascii="宋体" w:hAnsi="宋体" w:eastAsia="宋体"/>
          <w:color w:val="auto"/>
          <w:sz w:val="21"/>
          <w:szCs w:val="21"/>
        </w:rPr>
      </w:pPr>
      <w:r>
        <w:rPr>
          <w:rFonts w:hint="eastAsia" w:ascii="宋体" w:hAnsi="宋体" w:eastAsia="宋体"/>
          <w:color w:val="auto"/>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D3ED803">
      <w:pPr>
        <w:spacing w:line="312" w:lineRule="auto"/>
        <w:rPr>
          <w:rFonts w:ascii="宋体" w:hAnsi="宋体" w:eastAsia="宋体"/>
          <w:color w:val="auto"/>
          <w:sz w:val="21"/>
          <w:szCs w:val="21"/>
        </w:rPr>
      </w:pPr>
      <w:r>
        <w:rPr>
          <w:rFonts w:hint="eastAsia" w:ascii="宋体" w:hAnsi="宋体" w:eastAsia="宋体"/>
          <w:color w:val="auto"/>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B9D4867">
      <w:pPr>
        <w:spacing w:line="312" w:lineRule="auto"/>
        <w:rPr>
          <w:rFonts w:ascii="宋体" w:hAnsi="宋体" w:eastAsia="宋体"/>
          <w:color w:val="auto"/>
          <w:sz w:val="21"/>
          <w:szCs w:val="21"/>
        </w:rPr>
      </w:pPr>
      <w:r>
        <w:rPr>
          <w:rFonts w:hint="eastAsia" w:ascii="宋体" w:hAnsi="宋体" w:eastAsia="宋体"/>
          <w:color w:val="auto"/>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6332FAF">
      <w:pPr>
        <w:spacing w:line="312" w:lineRule="auto"/>
        <w:rPr>
          <w:rFonts w:ascii="宋体" w:hAnsi="宋体" w:eastAsia="宋体"/>
          <w:color w:val="auto"/>
          <w:sz w:val="21"/>
          <w:szCs w:val="21"/>
        </w:rPr>
      </w:pPr>
      <w:r>
        <w:rPr>
          <w:rFonts w:hint="eastAsia" w:ascii="宋体" w:hAnsi="宋体" w:eastAsia="宋体"/>
          <w:color w:val="auto"/>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4932EC5">
      <w:pPr>
        <w:spacing w:line="312" w:lineRule="auto"/>
        <w:rPr>
          <w:rFonts w:ascii="宋体" w:hAnsi="宋体" w:eastAsia="宋体"/>
          <w:color w:val="auto"/>
          <w:sz w:val="21"/>
          <w:szCs w:val="21"/>
        </w:rPr>
      </w:pPr>
      <w:r>
        <w:rPr>
          <w:rFonts w:hint="eastAsia" w:ascii="宋体" w:hAnsi="宋体" w:eastAsia="宋体"/>
          <w:color w:val="auto"/>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8980BE9">
      <w:pPr>
        <w:spacing w:line="312" w:lineRule="auto"/>
        <w:rPr>
          <w:rFonts w:ascii="宋体" w:hAnsi="宋体" w:eastAsia="宋体"/>
          <w:color w:val="auto"/>
          <w:sz w:val="21"/>
          <w:szCs w:val="21"/>
        </w:rPr>
      </w:pPr>
      <w:r>
        <w:rPr>
          <w:rFonts w:hint="eastAsia" w:ascii="宋体" w:hAnsi="宋体" w:eastAsia="宋体"/>
          <w:color w:val="auto"/>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D95C2CF">
      <w:pPr>
        <w:spacing w:line="312" w:lineRule="auto"/>
        <w:rPr>
          <w:rFonts w:ascii="宋体" w:hAnsi="宋体" w:eastAsia="宋体"/>
          <w:color w:val="auto"/>
          <w:sz w:val="21"/>
          <w:szCs w:val="21"/>
        </w:rPr>
      </w:pPr>
      <w:r>
        <w:rPr>
          <w:rFonts w:hint="eastAsia" w:ascii="宋体" w:hAnsi="宋体" w:eastAsia="宋体"/>
          <w:color w:val="auto"/>
          <w:sz w:val="21"/>
          <w:szCs w:val="21"/>
        </w:rPr>
        <w:t>　　（十六）其他未列明行业。从业人员300人以下的为中小微型企业。其中，从业人员100人及以上的为中型企业；从业人员10人及以上的为小型企业；从业人员10人以下的为微型企业。</w:t>
      </w:r>
    </w:p>
    <w:p w14:paraId="1162FD5A">
      <w:pPr>
        <w:spacing w:line="312" w:lineRule="auto"/>
        <w:rPr>
          <w:rFonts w:ascii="宋体" w:hAnsi="宋体" w:eastAsia="宋体"/>
          <w:color w:val="auto"/>
          <w:sz w:val="21"/>
          <w:szCs w:val="21"/>
        </w:rPr>
      </w:pPr>
      <w:r>
        <w:rPr>
          <w:rFonts w:hint="eastAsia" w:ascii="宋体" w:hAnsi="宋体" w:eastAsia="宋体"/>
          <w:color w:val="auto"/>
          <w:sz w:val="21"/>
          <w:szCs w:val="21"/>
        </w:rPr>
        <w:t>　　五、企业类型的划分以统计部门的统计数据为依据。</w:t>
      </w:r>
    </w:p>
    <w:p w14:paraId="38101526">
      <w:pPr>
        <w:spacing w:line="312" w:lineRule="auto"/>
        <w:rPr>
          <w:rFonts w:ascii="宋体" w:hAnsi="宋体" w:eastAsia="宋体"/>
          <w:color w:val="auto"/>
          <w:sz w:val="21"/>
          <w:szCs w:val="21"/>
        </w:rPr>
      </w:pPr>
      <w:r>
        <w:rPr>
          <w:rFonts w:hint="eastAsia" w:ascii="宋体" w:hAnsi="宋体" w:eastAsia="宋体"/>
          <w:color w:val="auto"/>
          <w:sz w:val="21"/>
          <w:szCs w:val="21"/>
        </w:rPr>
        <w:t>　　六、本规定适用于在中华人民共和国境内依法设立的各类所有制和各种组织形式的企业。个体工商户和本规定以外的行业，参照本规定进行划型。</w:t>
      </w:r>
    </w:p>
    <w:p w14:paraId="7EE2E6E7">
      <w:pPr>
        <w:spacing w:line="312" w:lineRule="auto"/>
        <w:rPr>
          <w:rFonts w:ascii="宋体" w:hAnsi="宋体" w:eastAsia="宋体"/>
          <w:color w:val="auto"/>
          <w:sz w:val="21"/>
          <w:szCs w:val="21"/>
        </w:rPr>
      </w:pPr>
      <w:r>
        <w:rPr>
          <w:rFonts w:hint="eastAsia" w:ascii="宋体" w:hAnsi="宋体" w:eastAsia="宋体"/>
          <w:color w:val="auto"/>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1969BA1B">
      <w:pPr>
        <w:spacing w:line="312" w:lineRule="auto"/>
        <w:rPr>
          <w:rFonts w:ascii="宋体" w:hAnsi="宋体" w:eastAsia="宋体"/>
          <w:color w:val="auto"/>
          <w:sz w:val="21"/>
          <w:szCs w:val="21"/>
        </w:rPr>
      </w:pPr>
      <w:r>
        <w:rPr>
          <w:rFonts w:hint="eastAsia" w:ascii="宋体" w:hAnsi="宋体" w:eastAsia="宋体"/>
          <w:color w:val="auto"/>
          <w:sz w:val="21"/>
          <w:szCs w:val="21"/>
        </w:rPr>
        <w:t>　　八、本规定由工业和信息化部、国家统计局会同有关部门根据《国民经济行业分类》修订情况和企业发展变化情况适时修订。</w:t>
      </w:r>
    </w:p>
    <w:p w14:paraId="7A272377">
      <w:pPr>
        <w:spacing w:line="312" w:lineRule="auto"/>
        <w:rPr>
          <w:rFonts w:ascii="宋体" w:hAnsi="宋体" w:eastAsia="宋体"/>
          <w:color w:val="auto"/>
          <w:sz w:val="21"/>
          <w:szCs w:val="21"/>
        </w:rPr>
      </w:pPr>
      <w:r>
        <w:rPr>
          <w:rFonts w:hint="eastAsia" w:ascii="宋体" w:hAnsi="宋体" w:eastAsia="宋体"/>
          <w:color w:val="auto"/>
          <w:sz w:val="21"/>
          <w:szCs w:val="21"/>
        </w:rPr>
        <w:t>　　九、本规定由工业和信息化部、国家统计局会同有关部门负责解释。</w:t>
      </w:r>
    </w:p>
    <w:p w14:paraId="15DF32DC">
      <w:pPr>
        <w:spacing w:line="312" w:lineRule="auto"/>
        <w:rPr>
          <w:rFonts w:ascii="宋体" w:hAnsi="宋体" w:eastAsia="宋体"/>
          <w:color w:val="auto"/>
          <w:sz w:val="21"/>
          <w:szCs w:val="21"/>
        </w:rPr>
      </w:pPr>
      <w:r>
        <w:rPr>
          <w:rFonts w:hint="eastAsia" w:ascii="宋体" w:hAnsi="宋体" w:eastAsia="宋体"/>
          <w:color w:val="auto"/>
          <w:sz w:val="21"/>
          <w:szCs w:val="21"/>
        </w:rPr>
        <w:t xml:space="preserve">    十、本规定自发布之日起执行，原国家经贸委、原国家计委、财政部和国家统计局2003年颁布的《中小企业标准暂行规定》同时废止。</w:t>
      </w:r>
    </w:p>
    <w:p w14:paraId="185BC7D6">
      <w:pPr>
        <w:spacing w:line="360" w:lineRule="auto"/>
        <w:ind w:firstLine="424" w:firstLineChars="202"/>
        <w:jc w:val="center"/>
        <w:rPr>
          <w:rFonts w:ascii="宋体" w:hAnsi="宋体" w:eastAsia="宋体"/>
          <w:b/>
          <w:color w:val="auto"/>
          <w:sz w:val="21"/>
          <w:szCs w:val="21"/>
        </w:rPr>
      </w:pPr>
      <w:r>
        <w:rPr>
          <w:rFonts w:ascii="宋体" w:hAnsi="宋体" w:eastAsia="宋体"/>
          <w:color w:val="auto"/>
          <w:sz w:val="21"/>
          <w:szCs w:val="21"/>
        </w:rPr>
        <w:br w:type="page"/>
      </w:r>
      <w:r>
        <w:rPr>
          <w:rFonts w:hint="eastAsia" w:ascii="宋体" w:hAnsi="宋体" w:eastAsia="宋体"/>
          <w:b/>
          <w:color w:val="auto"/>
          <w:sz w:val="21"/>
          <w:szCs w:val="21"/>
        </w:rPr>
        <w:t>关于促进残疾人就业政府采购政策的通知</w:t>
      </w:r>
    </w:p>
    <w:p w14:paraId="072D8564">
      <w:pPr>
        <w:pStyle w:val="29"/>
        <w:spacing w:before="0" w:beforeAutospacing="0" w:after="0" w:afterAutospacing="0" w:line="360" w:lineRule="auto"/>
        <w:ind w:firstLine="420" w:firstLineChars="200"/>
        <w:jc w:val="center"/>
        <w:rPr>
          <w:rFonts w:ascii="宋体" w:hAnsi="宋体" w:eastAsia="宋体"/>
          <w:b/>
          <w:color w:val="auto"/>
          <w:kern w:val="2"/>
          <w:sz w:val="21"/>
          <w:szCs w:val="21"/>
        </w:rPr>
      </w:pPr>
      <w:bookmarkStart w:id="112" w:name="sendNo"/>
      <w:r>
        <w:rPr>
          <w:rFonts w:hint="eastAsia" w:ascii="宋体" w:hAnsi="宋体" w:eastAsia="宋体"/>
          <w:color w:val="auto"/>
          <w:kern w:val="2"/>
          <w:sz w:val="21"/>
          <w:szCs w:val="21"/>
        </w:rPr>
        <w:t>财库〔</w:t>
      </w:r>
      <w:bookmarkEnd w:id="112"/>
      <w:r>
        <w:rPr>
          <w:rFonts w:hint="eastAsia" w:ascii="宋体" w:hAnsi="宋体" w:eastAsia="宋体"/>
          <w:color w:val="auto"/>
          <w:kern w:val="2"/>
          <w:sz w:val="21"/>
          <w:szCs w:val="21"/>
        </w:rPr>
        <w:t>2017〕141号</w:t>
      </w:r>
    </w:p>
    <w:p w14:paraId="1D4A53A7">
      <w:pPr>
        <w:pStyle w:val="29"/>
        <w:spacing w:before="0" w:beforeAutospacing="0" w:after="0" w:afterAutospacing="0" w:line="360" w:lineRule="auto"/>
        <w:ind w:firstLine="420" w:firstLineChars="200"/>
        <w:jc w:val="both"/>
        <w:rPr>
          <w:rFonts w:ascii="宋体" w:hAnsi="宋体" w:eastAsia="宋体" w:cs="宋体"/>
          <w:color w:val="auto"/>
          <w:sz w:val="21"/>
          <w:szCs w:val="21"/>
        </w:rPr>
      </w:pPr>
      <w:bookmarkStart w:id="113" w:name="toDeptId"/>
      <w:r>
        <w:rPr>
          <w:rFonts w:hint="eastAsia" w:ascii="宋体" w:hAnsi="宋体" w:eastAsia="宋体" w:cs="宋体"/>
          <w:color w:val="auto"/>
          <w:sz w:val="21"/>
          <w:szCs w:val="21"/>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13"/>
      <w:r>
        <w:rPr>
          <w:rFonts w:hint="eastAsia" w:ascii="宋体" w:hAnsi="宋体" w:eastAsia="宋体" w:cs="宋体"/>
          <w:color w:val="auto"/>
          <w:sz w:val="21"/>
          <w:szCs w:val="21"/>
          <w:shd w:val="clear" w:color="auto" w:fill="FFFFFF"/>
        </w:rPr>
        <w:t>：</w:t>
      </w:r>
    </w:p>
    <w:p w14:paraId="4F75D30E">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为了发挥政府采购促进残疾人就业的作用，进一步保障残疾人权益，依照《政府采购法》、《残疾人保障法》等法律法规及相关规定，现就促进残疾人就业政府采购政策通知如下：</w:t>
      </w:r>
    </w:p>
    <w:p w14:paraId="7B28FCFE">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一、享受政府采购支持政策的残疾人福利性单位应当同时满足以下条件：</w:t>
      </w:r>
    </w:p>
    <w:p w14:paraId="7EBD2AC5">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（一）安置的残疾人占本单位在职职工人数的比例不低于25%（含25%），并且安置的残疾人人数不少于10人（含10人）；</w:t>
      </w:r>
    </w:p>
    <w:p w14:paraId="192BBB26">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（二）依法与安置的每位残疾人签订了一年以上（含一年）的劳动合同或服务协议；</w:t>
      </w:r>
    </w:p>
    <w:p w14:paraId="3E977654">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（三）为安置的每位残疾人按月足额缴纳了基本养老保险、基本医疗保险、失业保险、工伤保险和生育保险等社会保险费；</w:t>
      </w:r>
    </w:p>
    <w:p w14:paraId="1F9CB5F4">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（四）通过银行等金融机构向安置的每位残疾人，按月支付了不低于单位所在区县适用的经省级人民政府批准的月最低工资标准的工资；</w:t>
      </w:r>
    </w:p>
    <w:p w14:paraId="30A90D66">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（五）提供本单位制造的货物、承担的工程或者服务（以下简称产品），或者提供其他残疾人福利性单位制造的货物（不包括使用非残疾人福利性单位注册商标的货物）。</w:t>
      </w:r>
    </w:p>
    <w:p w14:paraId="0631C51E">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BA91247">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89672A8">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中标、成交供应商为残疾人福利性单位的，采购人或者其委托的采购代理机构应当随中标、成交结果同时公告其《残疾人福利性单位声明函》，接受社会监督。</w:t>
      </w:r>
    </w:p>
    <w:p w14:paraId="19E86F5A">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供应商提供的《残疾人福利性单位声明函》与事实不符的，依照《政府采购法》第七十七条第一款的规定追究法律责任。</w:t>
      </w:r>
    </w:p>
    <w:p w14:paraId="1D9A2E34">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B5CEC83">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四、采购人采购公开招标数额标准以上的货物或者服务，因落实促进残疾人就业政策的需要，依法履行有关报批程序后，可采用公开招标以外的采购方式。</w:t>
      </w:r>
    </w:p>
    <w:p w14:paraId="49776020">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CBCA4F4">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9D9FCE9">
      <w:pPr>
        <w:pStyle w:val="29"/>
        <w:spacing w:before="0" w:beforeAutospacing="0" w:after="0" w:afterAutospacing="0" w:line="360" w:lineRule="auto"/>
        <w:ind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七、本通知自2017年10月1日起执行。</w:t>
      </w:r>
    </w:p>
    <w:p w14:paraId="30490297">
      <w:pPr>
        <w:pStyle w:val="29"/>
        <w:spacing w:before="0" w:beforeAutospacing="0" w:after="0" w:afterAutospacing="0" w:line="360" w:lineRule="auto"/>
        <w:ind w:firstLine="420" w:firstLineChars="200"/>
        <w:jc w:val="right"/>
        <w:rPr>
          <w:rFonts w:ascii="宋体" w:hAnsi="宋体" w:eastAsia="宋体" w:cs="宋体"/>
          <w:color w:val="auto"/>
          <w:sz w:val="21"/>
          <w:szCs w:val="21"/>
        </w:rPr>
      </w:pPr>
      <w:r>
        <w:rPr>
          <w:rFonts w:hint="eastAsia" w:ascii="宋体" w:hAnsi="宋体" w:eastAsia="宋体" w:cs="宋体"/>
          <w:color w:val="auto"/>
          <w:sz w:val="21"/>
          <w:szCs w:val="21"/>
          <w:shd w:val="clear" w:color="auto" w:fill="FFFFFF"/>
        </w:rPr>
        <w:t>财政部民政部中国残疾人联合会</w:t>
      </w:r>
    </w:p>
    <w:p w14:paraId="4A3C4F4B">
      <w:pPr>
        <w:spacing w:line="312" w:lineRule="auto"/>
        <w:rPr>
          <w:rFonts w:ascii="宋体" w:hAnsi="宋体" w:eastAsia="宋体"/>
          <w:color w:val="auto"/>
          <w:sz w:val="21"/>
          <w:szCs w:val="21"/>
        </w:rPr>
      </w:pPr>
      <w:r>
        <w:rPr>
          <w:rFonts w:ascii="宋体" w:hAnsi="宋体" w:eastAsia="宋体"/>
          <w:b/>
          <w:color w:val="auto"/>
          <w:sz w:val="21"/>
          <w:szCs w:val="21"/>
        </w:rPr>
        <w:br w:type="page"/>
      </w:r>
    </w:p>
    <w:p w14:paraId="3609D878">
      <w:pPr>
        <w:spacing w:line="588" w:lineRule="exact"/>
        <w:jc w:val="center"/>
        <w:rPr>
          <w:rFonts w:ascii="宋体" w:hAnsi="宋体" w:eastAsia="宋体"/>
          <w:b/>
          <w:color w:val="auto"/>
          <w:sz w:val="21"/>
          <w:szCs w:val="21"/>
        </w:rPr>
      </w:pPr>
      <w:bookmarkStart w:id="114" w:name="OLE_LINK13"/>
      <w:bookmarkStart w:id="115" w:name="OLE_LINK14"/>
      <w:r>
        <w:rPr>
          <w:rFonts w:hint="eastAsia" w:ascii="宋体" w:hAnsi="宋体" w:eastAsia="宋体"/>
          <w:b/>
          <w:color w:val="auto"/>
          <w:sz w:val="21"/>
          <w:szCs w:val="21"/>
        </w:rPr>
        <w:t>残疾人福利性单位声明函</w:t>
      </w:r>
    </w:p>
    <w:bookmarkEnd w:id="114"/>
    <w:bookmarkEnd w:id="115"/>
    <w:p w14:paraId="07EBDD0D">
      <w:pPr>
        <w:spacing w:line="588" w:lineRule="exact"/>
        <w:rPr>
          <w:rFonts w:ascii="宋体" w:hAnsi="宋体" w:eastAsia="宋体"/>
          <w:b/>
          <w:color w:val="auto"/>
          <w:spacing w:val="6"/>
          <w:sz w:val="21"/>
          <w:szCs w:val="21"/>
        </w:rPr>
      </w:pPr>
    </w:p>
    <w:p w14:paraId="06A024D4">
      <w:pPr>
        <w:spacing w:line="312" w:lineRule="auto"/>
        <w:rPr>
          <w:rFonts w:ascii="宋体" w:hAnsi="宋体" w:eastAsia="宋体"/>
          <w:color w:val="auto"/>
          <w:sz w:val="21"/>
          <w:szCs w:val="21"/>
        </w:rPr>
      </w:pPr>
      <w:r>
        <w:rPr>
          <w:rFonts w:hint="eastAsia" w:ascii="宋体" w:hAnsi="宋体" w:eastAsia="宋体"/>
          <w:color w:val="auto"/>
          <w:sz w:val="21"/>
          <w:szCs w:val="21"/>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6AA20E">
      <w:pPr>
        <w:spacing w:line="312" w:lineRule="auto"/>
        <w:rPr>
          <w:rFonts w:ascii="宋体" w:hAnsi="宋体" w:eastAsia="宋体"/>
          <w:color w:val="auto"/>
          <w:sz w:val="21"/>
          <w:szCs w:val="21"/>
        </w:rPr>
      </w:pPr>
      <w:r>
        <w:rPr>
          <w:rFonts w:hint="eastAsia" w:ascii="宋体" w:hAnsi="宋体" w:eastAsia="宋体"/>
          <w:color w:val="auto"/>
          <w:sz w:val="21"/>
          <w:szCs w:val="21"/>
        </w:rPr>
        <w:t>本单位对上述声明的真实性负责。如有虚假，将依法承担相应责任。</w:t>
      </w:r>
    </w:p>
    <w:p w14:paraId="32CB2274">
      <w:pPr>
        <w:spacing w:line="588" w:lineRule="exact"/>
        <w:ind w:firstLine="444" w:firstLineChars="200"/>
        <w:rPr>
          <w:rFonts w:ascii="宋体" w:hAnsi="宋体" w:eastAsia="宋体"/>
          <w:color w:val="auto"/>
          <w:spacing w:val="6"/>
          <w:sz w:val="21"/>
          <w:szCs w:val="21"/>
        </w:rPr>
      </w:pPr>
    </w:p>
    <w:p w14:paraId="60F1A4A0">
      <w:pPr>
        <w:spacing w:line="588" w:lineRule="exact"/>
        <w:ind w:firstLine="444" w:firstLineChars="200"/>
        <w:rPr>
          <w:rFonts w:ascii="宋体" w:hAnsi="宋体" w:eastAsia="宋体"/>
          <w:color w:val="auto"/>
          <w:spacing w:val="6"/>
          <w:sz w:val="21"/>
          <w:szCs w:val="21"/>
        </w:rPr>
      </w:pPr>
    </w:p>
    <w:p w14:paraId="263E05A5">
      <w:pPr>
        <w:spacing w:line="312" w:lineRule="auto"/>
        <w:ind w:firstLine="405"/>
        <w:rPr>
          <w:rFonts w:ascii="宋体" w:hAnsi="宋体" w:eastAsia="宋体"/>
          <w:color w:val="auto"/>
          <w:sz w:val="21"/>
          <w:szCs w:val="21"/>
        </w:rPr>
      </w:pPr>
    </w:p>
    <w:p w14:paraId="4CC03BBA">
      <w:pPr>
        <w:spacing w:line="312" w:lineRule="auto"/>
        <w:ind w:firstLine="405"/>
        <w:rPr>
          <w:rFonts w:ascii="宋体" w:hAnsi="宋体" w:eastAsia="宋体"/>
          <w:color w:val="auto"/>
          <w:sz w:val="21"/>
          <w:szCs w:val="21"/>
        </w:rPr>
      </w:pPr>
    </w:p>
    <w:p w14:paraId="470E6488">
      <w:pPr>
        <w:spacing w:line="312" w:lineRule="auto"/>
        <w:ind w:firstLine="405"/>
        <w:rPr>
          <w:rFonts w:ascii="宋体" w:hAnsi="宋体" w:eastAsia="宋体"/>
          <w:color w:val="auto"/>
          <w:sz w:val="21"/>
          <w:szCs w:val="21"/>
        </w:rPr>
      </w:pPr>
      <w:r>
        <w:rPr>
          <w:rFonts w:hint="eastAsia" w:ascii="宋体" w:hAnsi="宋体" w:eastAsia="宋体"/>
          <w:color w:val="auto"/>
          <w:sz w:val="21"/>
          <w:szCs w:val="21"/>
        </w:rPr>
        <w:t xml:space="preserve">        单位名称（盖章）：</w:t>
      </w:r>
    </w:p>
    <w:p w14:paraId="3500668B">
      <w:pPr>
        <w:spacing w:line="312" w:lineRule="auto"/>
        <w:ind w:firstLine="405"/>
        <w:rPr>
          <w:rFonts w:ascii="宋体" w:hAnsi="宋体" w:eastAsia="宋体"/>
          <w:color w:val="auto"/>
          <w:sz w:val="21"/>
          <w:szCs w:val="21"/>
        </w:rPr>
      </w:pPr>
    </w:p>
    <w:p w14:paraId="54408BFE">
      <w:pPr>
        <w:spacing w:line="312" w:lineRule="auto"/>
        <w:ind w:firstLine="405"/>
        <w:rPr>
          <w:rFonts w:ascii="宋体" w:hAnsi="宋体" w:eastAsia="宋体"/>
          <w:color w:val="auto"/>
          <w:sz w:val="21"/>
          <w:szCs w:val="21"/>
        </w:rPr>
      </w:pPr>
    </w:p>
    <w:p w14:paraId="4AD2079E">
      <w:pPr>
        <w:spacing w:line="312" w:lineRule="auto"/>
        <w:ind w:firstLine="405"/>
        <w:rPr>
          <w:rFonts w:ascii="宋体" w:hAnsi="宋体" w:eastAsia="宋体"/>
          <w:color w:val="auto"/>
          <w:sz w:val="21"/>
          <w:szCs w:val="21"/>
        </w:rPr>
      </w:pPr>
      <w:r>
        <w:rPr>
          <w:rFonts w:hint="eastAsia" w:ascii="宋体" w:hAnsi="宋体" w:eastAsia="宋体"/>
          <w:color w:val="auto"/>
          <w:sz w:val="21"/>
          <w:szCs w:val="21"/>
        </w:rPr>
        <w:t xml:space="preserve">                                              日  期：</w:t>
      </w:r>
    </w:p>
    <w:p w14:paraId="763544AB">
      <w:pPr>
        <w:spacing w:line="312" w:lineRule="auto"/>
        <w:ind w:firstLine="405"/>
        <w:jc w:val="center"/>
        <w:rPr>
          <w:rFonts w:ascii="宋体" w:hAnsi="宋体" w:eastAsia="宋体" w:cs="宋体"/>
          <w:b/>
          <w:color w:val="auto"/>
          <w:sz w:val="21"/>
          <w:szCs w:val="21"/>
        </w:rPr>
      </w:pPr>
      <w:r>
        <w:rPr>
          <w:rFonts w:hint="eastAsia" w:ascii="宋体" w:hAnsi="宋体" w:eastAsia="宋体"/>
          <w:color w:val="auto"/>
          <w:sz w:val="21"/>
          <w:szCs w:val="21"/>
        </w:rPr>
        <w:br w:type="page"/>
      </w:r>
      <w:r>
        <w:rPr>
          <w:rFonts w:hint="eastAsia" w:ascii="宋体" w:hAnsi="宋体" w:eastAsia="宋体" w:cs="宋体"/>
          <w:b/>
          <w:color w:val="auto"/>
          <w:sz w:val="21"/>
          <w:szCs w:val="21"/>
        </w:rPr>
        <w:t>财政部司法部关于政府采购支持监狱企业发展有关问题的通知</w:t>
      </w:r>
    </w:p>
    <w:p w14:paraId="30F0B19E">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财库〔2014〕68号</w:t>
      </w:r>
    </w:p>
    <w:p w14:paraId="6AA3361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38146C1C">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1F7BC2BA">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C74D368">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二、在政府采购活动中，监狱企业视同小型、微型企业，享受预留份额、评审中价格扣除等政府采购促进中小企业发展的政府采购政策。向监狱企业采购的金额，计入面向中小企业采购的统计数据。</w:t>
      </w:r>
    </w:p>
    <w:p w14:paraId="1E721616">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388F702">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四、各地区可以结合本地区实际，对监狱企业生产的办公用品、家具用具、车辆维修和提供的保养服务、消防设备等，提出预留份额等政府采购支持措施，加大对监狱企业产品的采购力度。</w:t>
      </w:r>
    </w:p>
    <w:p w14:paraId="3069EE64">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2CFB12E6">
      <w:pPr>
        <w:spacing w:line="360" w:lineRule="auto"/>
        <w:jc w:val="right"/>
        <w:rPr>
          <w:rFonts w:ascii="宋体" w:hAnsi="宋体" w:eastAsia="宋体" w:cs="宋体"/>
          <w:color w:val="auto"/>
          <w:sz w:val="21"/>
          <w:szCs w:val="21"/>
        </w:rPr>
      </w:pPr>
      <w:r>
        <w:rPr>
          <w:rFonts w:hint="eastAsia" w:ascii="宋体" w:hAnsi="宋体" w:eastAsia="宋体" w:cs="宋体"/>
          <w:color w:val="auto"/>
          <w:sz w:val="21"/>
          <w:szCs w:val="21"/>
        </w:rPr>
        <w:t>中华人民共和国财政部</w:t>
      </w:r>
    </w:p>
    <w:p w14:paraId="3EB913EF">
      <w:pPr>
        <w:rPr>
          <w:rFonts w:asciiTheme="minorEastAsia" w:hAnsiTheme="minorEastAsia" w:eastAsiaTheme="minorEastAsia"/>
          <w:color w:val="auto"/>
        </w:rPr>
      </w:pP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中华人民共和国司法部</w:t>
      </w:r>
    </w:p>
    <w:p w14:paraId="2A756E02">
      <w:pPr>
        <w:rPr>
          <w:rFonts w:asciiTheme="minorEastAsia" w:hAnsiTheme="minorEastAsia" w:eastAsiaTheme="minorEastAsia"/>
          <w:color w:val="auto"/>
        </w:rPr>
      </w:pPr>
    </w:p>
    <w:p w14:paraId="10995E1B">
      <w:pPr>
        <w:rPr>
          <w:rFonts w:asciiTheme="minorEastAsia" w:hAnsiTheme="minorEastAsia" w:eastAsiaTheme="minorEastAsia"/>
          <w:color w:val="auto"/>
        </w:rPr>
      </w:pPr>
    </w:p>
    <w:p w14:paraId="7DC1E812">
      <w:pPr>
        <w:rPr>
          <w:rFonts w:asciiTheme="minorEastAsia" w:hAnsiTheme="minorEastAsia" w:eastAsiaTheme="minorEastAsia"/>
          <w:color w:val="auto"/>
        </w:rPr>
      </w:pPr>
    </w:p>
    <w:p w14:paraId="3A2D46B7">
      <w:pPr>
        <w:rPr>
          <w:rFonts w:asciiTheme="minorEastAsia" w:hAnsiTheme="minorEastAsia" w:eastAsiaTheme="minorEastAsia"/>
          <w:color w:val="auto"/>
        </w:rPr>
      </w:pPr>
    </w:p>
    <w:p w14:paraId="37B04119">
      <w:pPr>
        <w:rPr>
          <w:color w:val="auto"/>
        </w:rPr>
      </w:pPr>
    </w:p>
    <w:p w14:paraId="6498633E">
      <w:pPr>
        <w:pStyle w:val="2"/>
        <w:jc w:val="center"/>
        <w:rPr>
          <w:rFonts w:asciiTheme="minorEastAsia" w:hAnsiTheme="minorEastAsia" w:eastAsiaTheme="minorEastAsia"/>
          <w:color w:val="auto"/>
        </w:rPr>
      </w:pPr>
      <w:r>
        <w:rPr>
          <w:rFonts w:hint="eastAsia" w:asciiTheme="minorEastAsia" w:hAnsiTheme="minorEastAsia" w:eastAsiaTheme="minorEastAsia"/>
          <w:color w:val="auto"/>
        </w:rPr>
        <w:t>第四章  服务合同</w:t>
      </w:r>
    </w:p>
    <w:p w14:paraId="49506B0F">
      <w:pPr>
        <w:rPr>
          <w:rFonts w:asciiTheme="minorEastAsia" w:hAnsiTheme="minorEastAsia" w:eastAsiaTheme="minorEastAsia"/>
          <w:color w:val="auto"/>
        </w:rPr>
      </w:pPr>
    </w:p>
    <w:p w14:paraId="32F45B0B">
      <w:pPr>
        <w:jc w:val="center"/>
        <w:rPr>
          <w:rFonts w:asciiTheme="minorEastAsia" w:hAnsiTheme="minorEastAsia" w:eastAsiaTheme="minorEastAsia"/>
          <w:color w:val="auto"/>
          <w:sz w:val="32"/>
          <w:szCs w:val="40"/>
        </w:rPr>
      </w:pPr>
      <w:r>
        <w:rPr>
          <w:rFonts w:hint="eastAsia" w:asciiTheme="minorEastAsia" w:hAnsiTheme="minorEastAsia" w:eastAsiaTheme="minorEastAsia"/>
          <w:color w:val="auto"/>
          <w:sz w:val="32"/>
          <w:szCs w:val="40"/>
        </w:rPr>
        <w:t>合同以双方实际签订为准</w:t>
      </w:r>
    </w:p>
    <w:p w14:paraId="44D79947">
      <w:pPr>
        <w:rPr>
          <w:rFonts w:asciiTheme="minorEastAsia" w:hAnsiTheme="minorEastAsia" w:eastAsiaTheme="minorEastAsia"/>
          <w:color w:val="auto"/>
        </w:rPr>
      </w:pPr>
    </w:p>
    <w:p w14:paraId="29A6F445">
      <w:pPr>
        <w:rPr>
          <w:rFonts w:asciiTheme="minorEastAsia" w:hAnsiTheme="minorEastAsia" w:eastAsiaTheme="minorEastAsia"/>
          <w:color w:val="auto"/>
        </w:rPr>
      </w:pPr>
    </w:p>
    <w:p w14:paraId="7A950B08">
      <w:pPr>
        <w:rPr>
          <w:rFonts w:asciiTheme="minorEastAsia" w:hAnsiTheme="minorEastAsia" w:eastAsiaTheme="minorEastAsia"/>
          <w:color w:val="auto"/>
        </w:rPr>
      </w:pPr>
    </w:p>
    <w:p w14:paraId="620148B7">
      <w:pPr>
        <w:rPr>
          <w:rFonts w:asciiTheme="minorEastAsia" w:hAnsiTheme="minorEastAsia" w:eastAsiaTheme="minorEastAsia"/>
          <w:color w:val="auto"/>
        </w:rPr>
      </w:pPr>
    </w:p>
    <w:p w14:paraId="5A470B23">
      <w:pPr>
        <w:rPr>
          <w:rFonts w:asciiTheme="minorEastAsia" w:hAnsiTheme="minorEastAsia" w:eastAsiaTheme="minorEastAsia"/>
          <w:color w:val="auto"/>
        </w:rPr>
      </w:pPr>
    </w:p>
    <w:p w14:paraId="501623F0">
      <w:pPr>
        <w:rPr>
          <w:rFonts w:asciiTheme="minorEastAsia" w:hAnsiTheme="minorEastAsia" w:eastAsiaTheme="minorEastAsia"/>
          <w:color w:val="auto"/>
        </w:rPr>
      </w:pPr>
    </w:p>
    <w:p w14:paraId="7CDBC2C3">
      <w:pPr>
        <w:rPr>
          <w:rFonts w:asciiTheme="minorEastAsia" w:hAnsiTheme="minorEastAsia" w:eastAsiaTheme="minorEastAsia"/>
          <w:color w:val="auto"/>
        </w:rPr>
      </w:pPr>
    </w:p>
    <w:p w14:paraId="117FB140">
      <w:pPr>
        <w:rPr>
          <w:rFonts w:asciiTheme="minorEastAsia" w:hAnsiTheme="minorEastAsia" w:eastAsiaTheme="minorEastAsia"/>
          <w:color w:val="auto"/>
        </w:rPr>
      </w:pPr>
    </w:p>
    <w:p w14:paraId="0C1C020F">
      <w:pPr>
        <w:rPr>
          <w:rFonts w:asciiTheme="minorEastAsia" w:hAnsiTheme="minorEastAsia" w:eastAsiaTheme="minorEastAsia"/>
          <w:color w:val="auto"/>
        </w:rPr>
      </w:pPr>
    </w:p>
    <w:p w14:paraId="4D452074">
      <w:pPr>
        <w:rPr>
          <w:rFonts w:asciiTheme="minorEastAsia" w:hAnsiTheme="minorEastAsia" w:eastAsiaTheme="minorEastAsia"/>
          <w:color w:val="auto"/>
        </w:rPr>
      </w:pPr>
    </w:p>
    <w:p w14:paraId="5150FCDF">
      <w:pPr>
        <w:rPr>
          <w:rFonts w:asciiTheme="minorEastAsia" w:hAnsiTheme="minorEastAsia" w:eastAsiaTheme="minorEastAsia"/>
          <w:color w:val="auto"/>
        </w:rPr>
      </w:pPr>
    </w:p>
    <w:p w14:paraId="2B740580">
      <w:pPr>
        <w:rPr>
          <w:rFonts w:asciiTheme="minorEastAsia" w:hAnsiTheme="minorEastAsia" w:eastAsiaTheme="minorEastAsia"/>
          <w:color w:val="auto"/>
        </w:rPr>
      </w:pPr>
    </w:p>
    <w:p w14:paraId="3905E827">
      <w:pPr>
        <w:rPr>
          <w:rFonts w:asciiTheme="minorEastAsia" w:hAnsiTheme="minorEastAsia" w:eastAsiaTheme="minorEastAsia"/>
          <w:color w:val="auto"/>
        </w:rPr>
      </w:pPr>
    </w:p>
    <w:p w14:paraId="3D2E760B">
      <w:pPr>
        <w:rPr>
          <w:rFonts w:asciiTheme="minorEastAsia" w:hAnsiTheme="minorEastAsia" w:eastAsiaTheme="minorEastAsia"/>
          <w:color w:val="auto"/>
        </w:rPr>
      </w:pPr>
    </w:p>
    <w:p w14:paraId="19EEBB8F">
      <w:pPr>
        <w:rPr>
          <w:rFonts w:asciiTheme="minorEastAsia" w:hAnsiTheme="minorEastAsia" w:eastAsiaTheme="minorEastAsia"/>
          <w:color w:val="auto"/>
        </w:rPr>
      </w:pPr>
    </w:p>
    <w:p w14:paraId="43FEF405">
      <w:pPr>
        <w:rPr>
          <w:rFonts w:asciiTheme="minorEastAsia" w:hAnsiTheme="minorEastAsia" w:eastAsiaTheme="minorEastAsia"/>
          <w:color w:val="auto"/>
        </w:rPr>
      </w:pPr>
    </w:p>
    <w:p w14:paraId="580BB53B">
      <w:pPr>
        <w:rPr>
          <w:rFonts w:asciiTheme="minorEastAsia" w:hAnsiTheme="minorEastAsia" w:eastAsiaTheme="minorEastAsia"/>
          <w:color w:val="auto"/>
        </w:rPr>
      </w:pPr>
    </w:p>
    <w:p w14:paraId="42165781">
      <w:pPr>
        <w:rPr>
          <w:rFonts w:asciiTheme="minorEastAsia" w:hAnsiTheme="minorEastAsia" w:eastAsiaTheme="minorEastAsia"/>
          <w:color w:val="auto"/>
        </w:rPr>
      </w:pPr>
    </w:p>
    <w:p w14:paraId="4C2117AB">
      <w:pPr>
        <w:rPr>
          <w:rFonts w:asciiTheme="minorEastAsia" w:hAnsiTheme="minorEastAsia" w:eastAsiaTheme="minorEastAsia"/>
          <w:color w:val="auto"/>
        </w:rPr>
      </w:pPr>
    </w:p>
    <w:p w14:paraId="734D0CF5">
      <w:pPr>
        <w:rPr>
          <w:rFonts w:asciiTheme="minorEastAsia" w:hAnsiTheme="minorEastAsia" w:eastAsiaTheme="minorEastAsia"/>
          <w:color w:val="auto"/>
        </w:rPr>
      </w:pPr>
    </w:p>
    <w:p w14:paraId="72FF41A3">
      <w:pPr>
        <w:rPr>
          <w:rFonts w:asciiTheme="minorEastAsia" w:hAnsiTheme="minorEastAsia" w:eastAsiaTheme="minorEastAsia"/>
          <w:color w:val="auto"/>
        </w:rPr>
      </w:pPr>
    </w:p>
    <w:p w14:paraId="430E9B61">
      <w:pPr>
        <w:rPr>
          <w:rFonts w:asciiTheme="minorEastAsia" w:hAnsiTheme="minorEastAsia" w:eastAsiaTheme="minorEastAsia"/>
          <w:color w:val="auto"/>
        </w:rPr>
      </w:pPr>
    </w:p>
    <w:p w14:paraId="465711F9">
      <w:pPr>
        <w:rPr>
          <w:rFonts w:asciiTheme="minorEastAsia" w:hAnsiTheme="minorEastAsia" w:eastAsiaTheme="minorEastAsia"/>
          <w:color w:val="auto"/>
        </w:rPr>
      </w:pPr>
    </w:p>
    <w:p w14:paraId="4AA6B1AE">
      <w:pPr>
        <w:rPr>
          <w:rFonts w:asciiTheme="minorEastAsia" w:hAnsiTheme="minorEastAsia" w:eastAsiaTheme="minorEastAsia"/>
          <w:color w:val="auto"/>
        </w:rPr>
      </w:pPr>
    </w:p>
    <w:p w14:paraId="61BDF180">
      <w:pPr>
        <w:rPr>
          <w:rFonts w:asciiTheme="minorEastAsia" w:hAnsiTheme="minorEastAsia" w:eastAsiaTheme="minorEastAsia"/>
          <w:color w:val="auto"/>
        </w:rPr>
      </w:pPr>
    </w:p>
    <w:p w14:paraId="4CD0399F">
      <w:pPr>
        <w:rPr>
          <w:rFonts w:asciiTheme="minorEastAsia" w:hAnsiTheme="minorEastAsia" w:eastAsiaTheme="minorEastAsia"/>
          <w:color w:val="auto"/>
        </w:rPr>
      </w:pPr>
    </w:p>
    <w:p w14:paraId="216FF961">
      <w:pPr>
        <w:spacing w:line="360" w:lineRule="auto"/>
        <w:ind w:left="359" w:leftChars="171" w:firstLine="3855" w:firstLineChars="800"/>
        <w:rPr>
          <w:rFonts w:cs="宋体" w:asciiTheme="minorEastAsia" w:hAnsiTheme="minorEastAsia" w:eastAsiaTheme="minorEastAsia"/>
          <w:b/>
          <w:bCs/>
          <w:color w:val="auto"/>
          <w:sz w:val="48"/>
          <w:szCs w:val="48"/>
          <w:lang w:val="zh-CN"/>
        </w:rPr>
      </w:pPr>
    </w:p>
    <w:p w14:paraId="4FCAE926">
      <w:pPr>
        <w:spacing w:line="360" w:lineRule="auto"/>
        <w:rPr>
          <w:rFonts w:asciiTheme="minorEastAsia" w:hAnsiTheme="minorEastAsia" w:eastAsiaTheme="minorEastAsia"/>
          <w:color w:val="auto"/>
        </w:rPr>
      </w:pPr>
      <w:r>
        <w:rPr>
          <w:rFonts w:asciiTheme="minorEastAsia" w:hAnsiTheme="minorEastAsia" w:eastAsiaTheme="minorEastAsia"/>
          <w:color w:val="auto"/>
          <w:szCs w:val="21"/>
        </w:rPr>
        <w:br w:type="page"/>
      </w:r>
    </w:p>
    <w:p w14:paraId="555E040C">
      <w:pPr>
        <w:pStyle w:val="2"/>
        <w:spacing w:line="240" w:lineRule="auto"/>
        <w:jc w:val="center"/>
        <w:rPr>
          <w:rFonts w:asciiTheme="minorEastAsia" w:hAnsiTheme="minorEastAsia" w:eastAsiaTheme="minorEastAsia"/>
          <w:color w:val="auto"/>
        </w:rPr>
      </w:pPr>
      <w:r>
        <w:rPr>
          <w:rFonts w:hint="eastAsia" w:asciiTheme="minorEastAsia" w:hAnsiTheme="minorEastAsia" w:eastAsiaTheme="minorEastAsia"/>
          <w:color w:val="auto"/>
        </w:rPr>
        <w:t xml:space="preserve">第五章 </w:t>
      </w:r>
      <w:r>
        <w:rPr>
          <w:rFonts w:hint="eastAsia" w:asciiTheme="minorEastAsia" w:hAnsiTheme="minorEastAsia" w:eastAsiaTheme="minorEastAsia"/>
          <w:color w:val="auto"/>
          <w:lang w:eastAsia="zh-CN"/>
        </w:rPr>
        <w:t>服务内容及</w:t>
      </w:r>
      <w:r>
        <w:rPr>
          <w:rFonts w:hint="eastAsia" w:asciiTheme="minorEastAsia" w:hAnsiTheme="minorEastAsia" w:eastAsiaTheme="minorEastAsia"/>
          <w:color w:val="auto"/>
        </w:rPr>
        <w:t>要求</w:t>
      </w:r>
    </w:p>
    <w:p w14:paraId="087E46D7">
      <w:pPr>
        <w:pStyle w:val="14"/>
        <w:spacing w:before="91" w:line="221" w:lineRule="auto"/>
        <w:ind w:left="5"/>
        <w:rPr>
          <w:color w:val="auto"/>
          <w:sz w:val="28"/>
          <w:szCs w:val="28"/>
        </w:rPr>
      </w:pPr>
      <w:r>
        <w:rPr>
          <w:b/>
          <w:bCs/>
          <w:color w:val="auto"/>
          <w:spacing w:val="-3"/>
          <w:sz w:val="28"/>
          <w:szCs w:val="28"/>
        </w:rPr>
        <w:t>一、</w:t>
      </w:r>
      <w:r>
        <w:rPr>
          <w:color w:val="auto"/>
          <w:spacing w:val="-3"/>
          <w:sz w:val="28"/>
          <w:szCs w:val="28"/>
        </w:rPr>
        <w:t>人员具体要求：</w:t>
      </w:r>
    </w:p>
    <w:p w14:paraId="496798E5">
      <w:pPr>
        <w:pStyle w:val="14"/>
        <w:spacing w:before="174" w:line="335" w:lineRule="auto"/>
        <w:ind w:left="2" w:right="46" w:firstLine="19"/>
        <w:rPr>
          <w:color w:val="auto"/>
          <w:sz w:val="28"/>
          <w:szCs w:val="28"/>
        </w:rPr>
      </w:pPr>
      <w:r>
        <w:rPr>
          <w:color w:val="auto"/>
          <w:spacing w:val="-2"/>
          <w:sz w:val="28"/>
          <w:szCs w:val="28"/>
        </w:rPr>
        <w:t>1、</w:t>
      </w:r>
      <w:r>
        <w:rPr>
          <w:rFonts w:hint="eastAsia"/>
          <w:color w:val="auto"/>
          <w:spacing w:val="-2"/>
          <w:sz w:val="28"/>
          <w:szCs w:val="28"/>
        </w:rPr>
        <w:t>延吉市农村社会福利服务中心是以养老服务为主的公益一类事业单位，现需劳务外包人员12名（护理员6名、厨房人员4名、值班员2名）及劳务外包服务</w:t>
      </w:r>
      <w:r>
        <w:rPr>
          <w:color w:val="auto"/>
          <w:spacing w:val="-1"/>
          <w:sz w:val="28"/>
          <w:szCs w:val="28"/>
        </w:rPr>
        <w:t>。</w:t>
      </w:r>
    </w:p>
    <w:p w14:paraId="79AA8381">
      <w:pPr>
        <w:pStyle w:val="14"/>
        <w:spacing w:before="2" w:line="334" w:lineRule="auto"/>
        <w:ind w:left="1" w:right="46" w:firstLine="3"/>
        <w:rPr>
          <w:color w:val="auto"/>
          <w:sz w:val="28"/>
          <w:szCs w:val="28"/>
        </w:rPr>
      </w:pPr>
      <w:r>
        <w:rPr>
          <w:color w:val="auto"/>
          <w:spacing w:val="-2"/>
          <w:sz w:val="28"/>
          <w:szCs w:val="28"/>
        </w:rPr>
        <w:t>2、</w:t>
      </w:r>
      <w:r>
        <w:rPr>
          <w:color w:val="auto"/>
          <w:spacing w:val="-1"/>
          <w:sz w:val="28"/>
          <w:szCs w:val="28"/>
        </w:rPr>
        <w:t>劳务</w:t>
      </w:r>
      <w:r>
        <w:rPr>
          <w:rFonts w:hint="eastAsia"/>
          <w:color w:val="auto"/>
          <w:spacing w:val="-1"/>
          <w:sz w:val="28"/>
          <w:szCs w:val="28"/>
          <w:lang w:val="en-US" w:eastAsia="zh-CN"/>
        </w:rPr>
        <w:t>外包</w:t>
      </w:r>
      <w:r>
        <w:rPr>
          <w:color w:val="auto"/>
          <w:spacing w:val="-1"/>
          <w:sz w:val="28"/>
          <w:szCs w:val="28"/>
        </w:rPr>
        <w:t>工作人员数量预计</w:t>
      </w:r>
      <w:r>
        <w:rPr>
          <w:rFonts w:hint="eastAsia"/>
          <w:color w:val="auto"/>
          <w:spacing w:val="-1"/>
          <w:sz w:val="28"/>
          <w:szCs w:val="28"/>
          <w:lang w:val="en-US" w:eastAsia="zh-CN"/>
        </w:rPr>
        <w:t>12</w:t>
      </w:r>
      <w:r>
        <w:rPr>
          <w:color w:val="auto"/>
          <w:spacing w:val="-1"/>
          <w:sz w:val="28"/>
          <w:szCs w:val="28"/>
        </w:rPr>
        <w:t>人（具体以实际发生为结算依据）。</w:t>
      </w:r>
    </w:p>
    <w:p w14:paraId="351BAC42">
      <w:pPr>
        <w:pStyle w:val="14"/>
        <w:spacing w:before="176" w:line="220" w:lineRule="auto"/>
        <w:ind w:left="5"/>
        <w:rPr>
          <w:color w:val="auto"/>
          <w:sz w:val="28"/>
          <w:szCs w:val="28"/>
        </w:rPr>
      </w:pPr>
      <w:r>
        <w:rPr>
          <w:color w:val="auto"/>
          <w:spacing w:val="-2"/>
          <w:sz w:val="28"/>
          <w:szCs w:val="28"/>
        </w:rPr>
        <w:t>二、对服务商的服务要求：</w:t>
      </w:r>
    </w:p>
    <w:p w14:paraId="1A158B05">
      <w:pPr>
        <w:pStyle w:val="14"/>
        <w:spacing w:before="174" w:line="335" w:lineRule="auto"/>
        <w:ind w:left="1" w:firstLine="20"/>
        <w:rPr>
          <w:color w:val="auto"/>
          <w:sz w:val="28"/>
          <w:szCs w:val="28"/>
        </w:rPr>
      </w:pPr>
      <w:r>
        <w:rPr>
          <w:color w:val="auto"/>
          <w:spacing w:val="-1"/>
          <w:sz w:val="28"/>
          <w:szCs w:val="28"/>
        </w:rPr>
        <w:t>1、采购人将实际产生应付的相关劳务费用转入服务商指定的银行帐户后，</w:t>
      </w:r>
      <w:r>
        <w:rPr>
          <w:color w:val="auto"/>
          <w:spacing w:val="-5"/>
          <w:sz w:val="28"/>
          <w:szCs w:val="28"/>
        </w:rPr>
        <w:t>服务商应按约定时间为劳务</w:t>
      </w:r>
      <w:r>
        <w:rPr>
          <w:rFonts w:hint="eastAsia"/>
          <w:color w:val="auto"/>
          <w:spacing w:val="-5"/>
          <w:sz w:val="28"/>
          <w:szCs w:val="28"/>
          <w:lang w:val="en-US" w:eastAsia="zh-CN"/>
        </w:rPr>
        <w:t>外包</w:t>
      </w:r>
      <w:r>
        <w:rPr>
          <w:color w:val="auto"/>
          <w:spacing w:val="-5"/>
          <w:sz w:val="28"/>
          <w:szCs w:val="28"/>
        </w:rPr>
        <w:t>人员发放工资，不得拖欠员工工资。</w:t>
      </w:r>
    </w:p>
    <w:p w14:paraId="53D81542">
      <w:pPr>
        <w:pStyle w:val="14"/>
        <w:spacing w:before="1" w:line="335" w:lineRule="auto"/>
        <w:ind w:left="2" w:right="4" w:firstLine="2"/>
        <w:rPr>
          <w:color w:val="auto"/>
          <w:sz w:val="28"/>
          <w:szCs w:val="28"/>
        </w:rPr>
      </w:pPr>
      <w:r>
        <w:rPr>
          <w:color w:val="auto"/>
          <w:spacing w:val="-1"/>
          <w:sz w:val="28"/>
          <w:szCs w:val="28"/>
        </w:rPr>
        <w:t>2、所有</w:t>
      </w:r>
      <w:r>
        <w:rPr>
          <w:rFonts w:hint="eastAsia"/>
          <w:color w:val="auto"/>
          <w:spacing w:val="-1"/>
          <w:sz w:val="28"/>
          <w:szCs w:val="28"/>
          <w:lang w:val="en-US" w:eastAsia="zh-CN"/>
        </w:rPr>
        <w:t>外包</w:t>
      </w:r>
      <w:r>
        <w:rPr>
          <w:color w:val="auto"/>
          <w:spacing w:val="-1"/>
          <w:sz w:val="28"/>
          <w:szCs w:val="28"/>
        </w:rPr>
        <w:t>人员在确定符合录用条件且参保</w:t>
      </w:r>
      <w:r>
        <w:rPr>
          <w:rFonts w:hint="eastAsia"/>
          <w:color w:val="auto"/>
          <w:spacing w:val="-1"/>
          <w:sz w:val="28"/>
          <w:szCs w:val="28"/>
          <w:lang w:val="en-US" w:eastAsia="zh-CN"/>
        </w:rPr>
        <w:t>商业</w:t>
      </w:r>
      <w:r>
        <w:rPr>
          <w:color w:val="auto"/>
          <w:spacing w:val="-1"/>
          <w:sz w:val="28"/>
          <w:szCs w:val="28"/>
        </w:rPr>
        <w:t>保险之后方可正式上岗工作，服务商须确保</w:t>
      </w:r>
      <w:r>
        <w:rPr>
          <w:rFonts w:hint="eastAsia"/>
          <w:color w:val="auto"/>
          <w:spacing w:val="-1"/>
          <w:sz w:val="28"/>
          <w:szCs w:val="28"/>
          <w:lang w:val="en-US" w:eastAsia="zh-CN"/>
        </w:rPr>
        <w:t>商业</w:t>
      </w:r>
      <w:r>
        <w:rPr>
          <w:color w:val="auto"/>
          <w:spacing w:val="-1"/>
          <w:sz w:val="28"/>
          <w:szCs w:val="28"/>
        </w:rPr>
        <w:t>保险覆盖从用工第一天起的全过程。</w:t>
      </w:r>
    </w:p>
    <w:p w14:paraId="3FF3816D">
      <w:pPr>
        <w:pStyle w:val="14"/>
        <w:spacing w:before="1" w:line="335" w:lineRule="auto"/>
        <w:ind w:left="2" w:firstLine="4"/>
        <w:rPr>
          <w:color w:val="auto"/>
          <w:sz w:val="28"/>
          <w:szCs w:val="28"/>
        </w:rPr>
      </w:pPr>
      <w:r>
        <w:rPr>
          <w:color w:val="auto"/>
          <w:spacing w:val="-1"/>
          <w:sz w:val="28"/>
          <w:szCs w:val="28"/>
        </w:rPr>
        <w:t>3、劳务</w:t>
      </w:r>
      <w:r>
        <w:rPr>
          <w:rFonts w:hint="eastAsia"/>
          <w:color w:val="auto"/>
          <w:spacing w:val="-1"/>
          <w:sz w:val="28"/>
          <w:szCs w:val="28"/>
          <w:lang w:val="en-US" w:eastAsia="zh-CN"/>
        </w:rPr>
        <w:t>外包</w:t>
      </w:r>
      <w:r>
        <w:rPr>
          <w:color w:val="auto"/>
          <w:spacing w:val="-1"/>
          <w:sz w:val="28"/>
          <w:szCs w:val="28"/>
        </w:rPr>
        <w:t>工作人员应服从采购人的工作岗位安排；服务商应协助采购人</w:t>
      </w:r>
      <w:r>
        <w:rPr>
          <w:color w:val="auto"/>
          <w:spacing w:val="-5"/>
          <w:sz w:val="28"/>
          <w:szCs w:val="28"/>
        </w:rPr>
        <w:t>开展对劳务</w:t>
      </w:r>
      <w:r>
        <w:rPr>
          <w:rFonts w:hint="eastAsia"/>
          <w:color w:val="auto"/>
          <w:spacing w:val="-5"/>
          <w:sz w:val="28"/>
          <w:szCs w:val="28"/>
          <w:lang w:val="en-US" w:eastAsia="zh-CN"/>
        </w:rPr>
        <w:t>外包</w:t>
      </w:r>
      <w:r>
        <w:rPr>
          <w:color w:val="auto"/>
          <w:spacing w:val="-5"/>
          <w:sz w:val="28"/>
          <w:szCs w:val="28"/>
        </w:rPr>
        <w:t>工作人员的日常生产管理、岗位调动管理及绩效考核管理工作；劳务</w:t>
      </w:r>
      <w:r>
        <w:rPr>
          <w:rFonts w:hint="eastAsia"/>
          <w:color w:val="auto"/>
          <w:spacing w:val="-5"/>
          <w:sz w:val="28"/>
          <w:szCs w:val="28"/>
          <w:lang w:val="en-US" w:eastAsia="zh-CN"/>
        </w:rPr>
        <w:t>外包</w:t>
      </w:r>
      <w:r>
        <w:rPr>
          <w:color w:val="auto"/>
          <w:spacing w:val="-5"/>
          <w:sz w:val="28"/>
          <w:szCs w:val="28"/>
        </w:rPr>
        <w:t>工作人员需遵守采购人制定的劳动纪律、操作规范、岗位责任</w:t>
      </w:r>
      <w:r>
        <w:rPr>
          <w:color w:val="auto"/>
          <w:spacing w:val="-1"/>
          <w:sz w:val="28"/>
          <w:szCs w:val="28"/>
        </w:rPr>
        <w:t>制等各项规章制度，并完成采购人布置的工作任务。</w:t>
      </w:r>
    </w:p>
    <w:p w14:paraId="41205B10">
      <w:pPr>
        <w:pStyle w:val="14"/>
        <w:spacing w:before="2" w:line="335" w:lineRule="auto"/>
        <w:ind w:right="4"/>
        <w:rPr>
          <w:color w:val="auto"/>
          <w:sz w:val="28"/>
          <w:szCs w:val="28"/>
        </w:rPr>
      </w:pPr>
      <w:r>
        <w:rPr>
          <w:color w:val="auto"/>
          <w:sz w:val="28"/>
          <w:szCs w:val="28"/>
        </w:rPr>
        <w:t>4、劳务</w:t>
      </w:r>
      <w:r>
        <w:rPr>
          <w:rFonts w:hint="eastAsia"/>
          <w:color w:val="auto"/>
          <w:sz w:val="28"/>
          <w:szCs w:val="28"/>
          <w:lang w:val="en-US" w:eastAsia="zh-CN"/>
        </w:rPr>
        <w:t>外包</w:t>
      </w:r>
      <w:r>
        <w:rPr>
          <w:color w:val="auto"/>
          <w:sz w:val="28"/>
          <w:szCs w:val="28"/>
        </w:rPr>
        <w:t>人员在工作期间发生工伤、职业病、</w:t>
      </w:r>
      <w:r>
        <w:rPr>
          <w:color w:val="auto"/>
          <w:spacing w:val="-1"/>
          <w:sz w:val="28"/>
          <w:szCs w:val="28"/>
        </w:rPr>
        <w:t>死亡等事故的，服务商应</w:t>
      </w:r>
      <w:r>
        <w:rPr>
          <w:color w:val="auto"/>
          <w:sz w:val="28"/>
          <w:szCs w:val="28"/>
        </w:rPr>
        <w:t>在接到事故通知后1小时内到达事故现场，并依据《</w:t>
      </w:r>
      <w:r>
        <w:rPr>
          <w:rFonts w:hint="eastAsia"/>
          <w:color w:val="auto"/>
          <w:sz w:val="28"/>
          <w:szCs w:val="28"/>
          <w:lang w:val="en-US" w:eastAsia="zh-CN"/>
        </w:rPr>
        <w:t>商业</w:t>
      </w:r>
      <w:r>
        <w:rPr>
          <w:color w:val="auto"/>
          <w:spacing w:val="-1"/>
          <w:sz w:val="28"/>
          <w:szCs w:val="28"/>
        </w:rPr>
        <w:t>保险条例》相关规定，及时、有效地妥善处理工伤事故。</w:t>
      </w:r>
    </w:p>
    <w:p w14:paraId="2A9AEF18">
      <w:pPr>
        <w:pStyle w:val="14"/>
        <w:spacing w:before="4" w:line="334" w:lineRule="auto"/>
        <w:ind w:firstLine="6"/>
        <w:rPr>
          <w:color w:val="auto"/>
          <w:sz w:val="28"/>
          <w:szCs w:val="28"/>
        </w:rPr>
      </w:pPr>
      <w:r>
        <w:rPr>
          <w:color w:val="auto"/>
          <w:spacing w:val="-1"/>
          <w:sz w:val="28"/>
          <w:szCs w:val="28"/>
        </w:rPr>
        <w:t>5、服务商配备有专业的劳动纠纷处理团队，</w:t>
      </w:r>
      <w:r>
        <w:rPr>
          <w:color w:val="auto"/>
          <w:spacing w:val="-4"/>
          <w:sz w:val="28"/>
          <w:szCs w:val="28"/>
        </w:rPr>
        <w:t>并具备独</w:t>
      </w:r>
      <w:r>
        <w:rPr>
          <w:color w:val="auto"/>
          <w:spacing w:val="-5"/>
          <w:sz w:val="28"/>
          <w:szCs w:val="28"/>
        </w:rPr>
        <w:t>立处理劳动纠纷及工伤认定事宜</w:t>
      </w:r>
      <w:r>
        <w:rPr>
          <w:color w:val="auto"/>
          <w:spacing w:val="-3"/>
          <w:sz w:val="28"/>
          <w:szCs w:val="28"/>
        </w:rPr>
        <w:t>的能力。</w:t>
      </w:r>
    </w:p>
    <w:p w14:paraId="392CB756">
      <w:pPr>
        <w:pStyle w:val="14"/>
        <w:spacing w:line="337" w:lineRule="auto"/>
        <w:ind w:left="1" w:firstLine="2"/>
        <w:rPr>
          <w:color w:val="auto"/>
          <w:sz w:val="28"/>
          <w:szCs w:val="28"/>
        </w:rPr>
      </w:pPr>
      <w:r>
        <w:rPr>
          <w:color w:val="auto"/>
          <w:sz w:val="28"/>
          <w:szCs w:val="28"/>
        </w:rPr>
        <w:t>6、劳务</w:t>
      </w:r>
      <w:r>
        <w:rPr>
          <w:rFonts w:hint="eastAsia"/>
          <w:color w:val="auto"/>
          <w:sz w:val="28"/>
          <w:szCs w:val="28"/>
          <w:lang w:val="en-US" w:eastAsia="zh-CN"/>
        </w:rPr>
        <w:t>外包</w:t>
      </w:r>
      <w:r>
        <w:rPr>
          <w:color w:val="auto"/>
          <w:sz w:val="28"/>
          <w:szCs w:val="28"/>
        </w:rPr>
        <w:t>人员在工作中因故意或重大过</w:t>
      </w:r>
      <w:r>
        <w:rPr>
          <w:color w:val="auto"/>
          <w:spacing w:val="-1"/>
          <w:sz w:val="28"/>
          <w:szCs w:val="28"/>
        </w:rPr>
        <w:t>失给采购人造成经济损失的，经</w:t>
      </w:r>
      <w:r>
        <w:rPr>
          <w:color w:val="auto"/>
          <w:spacing w:val="-5"/>
          <w:sz w:val="28"/>
          <w:szCs w:val="28"/>
        </w:rPr>
        <w:t>双方认定或相关机构认定后，由责任人员承担赔偿责任，服务商应配合采购</w:t>
      </w:r>
      <w:r>
        <w:rPr>
          <w:color w:val="auto"/>
          <w:spacing w:val="-2"/>
          <w:sz w:val="28"/>
          <w:szCs w:val="28"/>
        </w:rPr>
        <w:t>人开展追偿工作。</w:t>
      </w:r>
    </w:p>
    <w:p w14:paraId="0698623F">
      <w:pPr>
        <w:rPr>
          <w:rFonts w:asciiTheme="minorEastAsia" w:hAnsiTheme="minorEastAsia" w:eastAsiaTheme="minorEastAsia"/>
          <w:color w:val="auto"/>
        </w:rPr>
      </w:pPr>
    </w:p>
    <w:p w14:paraId="5398F751">
      <w:pPr>
        <w:rPr>
          <w:rFonts w:asciiTheme="minorEastAsia" w:hAnsiTheme="minorEastAsia" w:eastAsiaTheme="minorEastAsia"/>
          <w:color w:val="auto"/>
        </w:rPr>
      </w:pPr>
    </w:p>
    <w:p w14:paraId="3A5F4713">
      <w:pPr>
        <w:rPr>
          <w:rFonts w:asciiTheme="minorEastAsia" w:hAnsiTheme="minorEastAsia" w:eastAsiaTheme="minorEastAsia"/>
          <w:color w:val="auto"/>
        </w:rPr>
      </w:pPr>
    </w:p>
    <w:p w14:paraId="3ED08C88">
      <w:pPr>
        <w:rPr>
          <w:rFonts w:asciiTheme="minorEastAsia" w:hAnsiTheme="minorEastAsia" w:eastAsiaTheme="minorEastAsia"/>
          <w:color w:val="auto"/>
        </w:rPr>
      </w:pPr>
    </w:p>
    <w:p w14:paraId="7945A664">
      <w:pPr>
        <w:rPr>
          <w:rFonts w:asciiTheme="minorEastAsia" w:hAnsiTheme="minorEastAsia" w:eastAsiaTheme="minorEastAsia"/>
          <w:color w:val="auto"/>
        </w:rPr>
      </w:pPr>
    </w:p>
    <w:p w14:paraId="014D3FB3">
      <w:pPr>
        <w:rPr>
          <w:rFonts w:asciiTheme="minorEastAsia" w:hAnsiTheme="minorEastAsia" w:eastAsiaTheme="minorEastAsia"/>
          <w:color w:val="auto"/>
        </w:rPr>
      </w:pPr>
    </w:p>
    <w:p w14:paraId="02C05F16">
      <w:pPr>
        <w:rPr>
          <w:rFonts w:asciiTheme="minorEastAsia" w:hAnsiTheme="minorEastAsia" w:eastAsiaTheme="minorEastAsia"/>
          <w:color w:val="auto"/>
        </w:rPr>
      </w:pPr>
    </w:p>
    <w:p w14:paraId="1B44CABB">
      <w:pPr>
        <w:rPr>
          <w:rFonts w:asciiTheme="minorEastAsia" w:hAnsiTheme="minorEastAsia" w:eastAsiaTheme="minorEastAsia"/>
          <w:color w:val="auto"/>
        </w:rPr>
      </w:pPr>
    </w:p>
    <w:p w14:paraId="457132F9">
      <w:pPr>
        <w:pStyle w:val="2"/>
        <w:jc w:val="center"/>
        <w:rPr>
          <w:rFonts w:hint="eastAsia" w:asciiTheme="minorEastAsia" w:hAnsiTheme="minorEastAsia" w:eastAsiaTheme="minorEastAsia"/>
          <w:color w:val="auto"/>
        </w:rPr>
      </w:pPr>
    </w:p>
    <w:p w14:paraId="36B3C99B">
      <w:pPr>
        <w:pStyle w:val="2"/>
        <w:jc w:val="center"/>
        <w:rPr>
          <w:rFonts w:asciiTheme="minorEastAsia" w:hAnsiTheme="minorEastAsia" w:eastAsiaTheme="minorEastAsia"/>
          <w:color w:val="auto"/>
        </w:rPr>
      </w:pPr>
      <w:r>
        <w:rPr>
          <w:rFonts w:hint="eastAsia" w:asciiTheme="minorEastAsia" w:hAnsiTheme="minorEastAsia" w:eastAsiaTheme="minorEastAsia"/>
          <w:color w:val="auto"/>
        </w:rPr>
        <w:t>第六章</w:t>
      </w:r>
      <w:r>
        <w:rPr>
          <w:rFonts w:hint="eastAsia" w:asciiTheme="minorEastAsia" w:hAnsiTheme="minorEastAsia" w:eastAsiaTheme="minorEastAsia"/>
          <w:color w:val="auto"/>
          <w:lang w:val="en-US" w:eastAsia="zh-CN"/>
        </w:rPr>
        <w:t xml:space="preserve"> </w:t>
      </w:r>
      <w:r>
        <w:rPr>
          <w:rFonts w:hint="eastAsia" w:asciiTheme="minorEastAsia" w:hAnsiTheme="minorEastAsia" w:eastAsiaTheme="minorEastAsia"/>
          <w:color w:val="auto"/>
          <w:lang w:eastAsia="zh-CN"/>
        </w:rPr>
        <w:t>响应文件</w:t>
      </w:r>
      <w:r>
        <w:rPr>
          <w:rFonts w:hint="eastAsia" w:asciiTheme="minorEastAsia" w:hAnsiTheme="minorEastAsia" w:eastAsiaTheme="minorEastAsia"/>
          <w:color w:val="auto"/>
        </w:rPr>
        <w:t>格式</w:t>
      </w:r>
    </w:p>
    <w:p w14:paraId="41EFCB43">
      <w:pPr>
        <w:pStyle w:val="2"/>
        <w:jc w:val="center"/>
        <w:rPr>
          <w:rFonts w:asciiTheme="minorEastAsia" w:hAnsiTheme="minorEastAsia" w:eastAsiaTheme="minorEastAsia"/>
          <w:color w:val="auto"/>
        </w:rPr>
      </w:pPr>
    </w:p>
    <w:p w14:paraId="2990313A">
      <w:pPr>
        <w:rPr>
          <w:rFonts w:asciiTheme="minorEastAsia" w:hAnsiTheme="minorEastAsia" w:eastAsiaTheme="minorEastAsia"/>
          <w:color w:val="auto"/>
        </w:rPr>
      </w:pPr>
    </w:p>
    <w:p w14:paraId="6A7A6F93">
      <w:pPr>
        <w:rPr>
          <w:rFonts w:asciiTheme="minorEastAsia" w:hAnsiTheme="minorEastAsia" w:eastAsiaTheme="minorEastAsia"/>
          <w:color w:val="auto"/>
        </w:rPr>
      </w:pPr>
    </w:p>
    <w:p w14:paraId="31F66A43">
      <w:pPr>
        <w:rPr>
          <w:rFonts w:asciiTheme="minorEastAsia" w:hAnsiTheme="minorEastAsia" w:eastAsiaTheme="minorEastAsia"/>
          <w:color w:val="auto"/>
        </w:rPr>
      </w:pPr>
    </w:p>
    <w:p w14:paraId="153F7292">
      <w:pPr>
        <w:rPr>
          <w:rFonts w:asciiTheme="minorEastAsia" w:hAnsiTheme="minorEastAsia" w:eastAsiaTheme="minorEastAsia"/>
          <w:color w:val="auto"/>
        </w:rPr>
      </w:pPr>
    </w:p>
    <w:p w14:paraId="68B6834B">
      <w:pPr>
        <w:rPr>
          <w:rFonts w:asciiTheme="minorEastAsia" w:hAnsiTheme="minorEastAsia" w:eastAsiaTheme="minorEastAsia"/>
          <w:color w:val="auto"/>
        </w:rPr>
      </w:pPr>
    </w:p>
    <w:p w14:paraId="52593472">
      <w:pPr>
        <w:rPr>
          <w:rFonts w:asciiTheme="minorEastAsia" w:hAnsiTheme="minorEastAsia" w:eastAsiaTheme="minorEastAsia"/>
          <w:color w:val="auto"/>
        </w:rPr>
      </w:pPr>
    </w:p>
    <w:p w14:paraId="49FB5E7D">
      <w:pPr>
        <w:rPr>
          <w:rFonts w:asciiTheme="minorEastAsia" w:hAnsiTheme="minorEastAsia" w:eastAsiaTheme="minorEastAsia"/>
          <w:color w:val="auto"/>
        </w:rPr>
      </w:pPr>
    </w:p>
    <w:p w14:paraId="47A7879A">
      <w:pPr>
        <w:rPr>
          <w:rFonts w:asciiTheme="minorEastAsia" w:hAnsiTheme="minorEastAsia" w:eastAsiaTheme="minorEastAsia"/>
          <w:color w:val="auto"/>
        </w:rPr>
      </w:pPr>
    </w:p>
    <w:p w14:paraId="4F5C54C4">
      <w:pPr>
        <w:rPr>
          <w:rFonts w:asciiTheme="minorEastAsia" w:hAnsiTheme="minorEastAsia" w:eastAsiaTheme="minorEastAsia"/>
          <w:color w:val="auto"/>
        </w:rPr>
      </w:pPr>
    </w:p>
    <w:p w14:paraId="2550E836">
      <w:pPr>
        <w:rPr>
          <w:rFonts w:asciiTheme="minorEastAsia" w:hAnsiTheme="minorEastAsia" w:eastAsiaTheme="minorEastAsia"/>
          <w:color w:val="auto"/>
        </w:rPr>
      </w:pPr>
    </w:p>
    <w:p w14:paraId="703E6D06">
      <w:pPr>
        <w:rPr>
          <w:rFonts w:asciiTheme="minorEastAsia" w:hAnsiTheme="minorEastAsia" w:eastAsiaTheme="minorEastAsia"/>
          <w:color w:val="auto"/>
        </w:rPr>
      </w:pPr>
    </w:p>
    <w:p w14:paraId="05FF9A0F">
      <w:pPr>
        <w:rPr>
          <w:rFonts w:asciiTheme="minorEastAsia" w:hAnsiTheme="minorEastAsia" w:eastAsiaTheme="minorEastAsia"/>
          <w:color w:val="auto"/>
        </w:rPr>
      </w:pPr>
    </w:p>
    <w:p w14:paraId="2ECCCDE9">
      <w:pPr>
        <w:rPr>
          <w:rFonts w:asciiTheme="minorEastAsia" w:hAnsiTheme="minorEastAsia" w:eastAsiaTheme="minorEastAsia"/>
          <w:color w:val="auto"/>
        </w:rPr>
      </w:pPr>
    </w:p>
    <w:p w14:paraId="3958EB84">
      <w:pPr>
        <w:rPr>
          <w:rFonts w:asciiTheme="minorEastAsia" w:hAnsiTheme="minorEastAsia" w:eastAsiaTheme="minorEastAsia"/>
          <w:color w:val="auto"/>
        </w:rPr>
      </w:pPr>
    </w:p>
    <w:p w14:paraId="6FDAD1A5">
      <w:pPr>
        <w:rPr>
          <w:rFonts w:asciiTheme="minorEastAsia" w:hAnsiTheme="minorEastAsia" w:eastAsiaTheme="minorEastAsia"/>
          <w:color w:val="auto"/>
        </w:rPr>
      </w:pPr>
    </w:p>
    <w:p w14:paraId="10872850">
      <w:pPr>
        <w:rPr>
          <w:rFonts w:asciiTheme="minorEastAsia" w:hAnsiTheme="minorEastAsia" w:eastAsiaTheme="minorEastAsia"/>
          <w:color w:val="auto"/>
        </w:rPr>
      </w:pPr>
    </w:p>
    <w:p w14:paraId="6E790D02">
      <w:pPr>
        <w:rPr>
          <w:rFonts w:asciiTheme="minorEastAsia" w:hAnsiTheme="minorEastAsia" w:eastAsiaTheme="minorEastAsia"/>
          <w:color w:val="auto"/>
        </w:rPr>
      </w:pPr>
    </w:p>
    <w:p w14:paraId="39C835EB">
      <w:pPr>
        <w:rPr>
          <w:rFonts w:asciiTheme="minorEastAsia" w:hAnsiTheme="minorEastAsia" w:eastAsiaTheme="minorEastAsia"/>
          <w:color w:val="auto"/>
        </w:rPr>
      </w:pPr>
    </w:p>
    <w:p w14:paraId="35DB9E9D">
      <w:pPr>
        <w:rPr>
          <w:rFonts w:asciiTheme="minorEastAsia" w:hAnsiTheme="minorEastAsia" w:eastAsiaTheme="minorEastAsia"/>
          <w:color w:val="auto"/>
        </w:rPr>
      </w:pPr>
    </w:p>
    <w:p w14:paraId="5715AA28">
      <w:pPr>
        <w:rPr>
          <w:rFonts w:asciiTheme="minorEastAsia" w:hAnsiTheme="minorEastAsia" w:eastAsiaTheme="minorEastAsia"/>
          <w:color w:val="auto"/>
        </w:rPr>
      </w:pPr>
    </w:p>
    <w:p w14:paraId="460481F4">
      <w:pPr>
        <w:rPr>
          <w:rFonts w:asciiTheme="minorEastAsia" w:hAnsiTheme="minorEastAsia" w:eastAsiaTheme="minorEastAsia"/>
          <w:color w:val="auto"/>
        </w:rPr>
      </w:pPr>
    </w:p>
    <w:p w14:paraId="1A0FA3A6">
      <w:pPr>
        <w:rPr>
          <w:rFonts w:asciiTheme="minorEastAsia" w:hAnsiTheme="minorEastAsia" w:eastAsiaTheme="minorEastAsia"/>
          <w:color w:val="auto"/>
        </w:rPr>
      </w:pPr>
    </w:p>
    <w:p w14:paraId="4939DB59">
      <w:pPr>
        <w:rPr>
          <w:rFonts w:asciiTheme="minorEastAsia" w:hAnsiTheme="minorEastAsia" w:eastAsiaTheme="minorEastAsia"/>
          <w:color w:val="auto"/>
        </w:rPr>
      </w:pPr>
    </w:p>
    <w:p w14:paraId="5FB0D2EE">
      <w:pPr>
        <w:rPr>
          <w:rFonts w:asciiTheme="minorEastAsia" w:hAnsiTheme="minorEastAsia" w:eastAsiaTheme="minorEastAsia"/>
          <w:color w:val="auto"/>
        </w:rPr>
      </w:pPr>
    </w:p>
    <w:p w14:paraId="0A26D77D">
      <w:pPr>
        <w:rPr>
          <w:rFonts w:asciiTheme="minorEastAsia" w:hAnsiTheme="minorEastAsia" w:eastAsiaTheme="minorEastAsia"/>
          <w:color w:val="auto"/>
        </w:rPr>
      </w:pPr>
    </w:p>
    <w:p w14:paraId="1114EB38">
      <w:pPr>
        <w:rPr>
          <w:rFonts w:asciiTheme="minorEastAsia" w:hAnsiTheme="minorEastAsia" w:eastAsiaTheme="minorEastAsia"/>
          <w:color w:val="auto"/>
        </w:rPr>
      </w:pPr>
    </w:p>
    <w:p w14:paraId="1AF6E023">
      <w:pPr>
        <w:spacing w:line="360" w:lineRule="auto"/>
        <w:jc w:val="right"/>
        <w:rPr>
          <w:rFonts w:asciiTheme="minorEastAsia" w:hAnsiTheme="minorEastAsia" w:eastAsiaTheme="minorEastAsia"/>
          <w:b/>
          <w:color w:val="auto"/>
          <w:sz w:val="36"/>
          <w:szCs w:val="36"/>
        </w:rPr>
      </w:pPr>
    </w:p>
    <w:p w14:paraId="65F541A6">
      <w:pPr>
        <w:spacing w:line="360" w:lineRule="auto"/>
        <w:jc w:val="center"/>
        <w:rPr>
          <w:rFonts w:asciiTheme="minorEastAsia" w:hAnsiTheme="minorEastAsia" w:eastAsiaTheme="minorEastAsia"/>
          <w:b/>
          <w:color w:val="auto"/>
          <w:sz w:val="36"/>
          <w:szCs w:val="36"/>
          <w:u w:val="single"/>
        </w:rPr>
      </w:pPr>
    </w:p>
    <w:p w14:paraId="0D4742B3">
      <w:pPr>
        <w:spacing w:line="360" w:lineRule="auto"/>
        <w:jc w:val="center"/>
        <w:rPr>
          <w:rFonts w:asciiTheme="minorEastAsia" w:hAnsiTheme="minorEastAsia" w:eastAsiaTheme="minorEastAsia"/>
          <w:b/>
          <w:color w:val="auto"/>
          <w:sz w:val="36"/>
          <w:szCs w:val="36"/>
          <w:u w:val="single"/>
        </w:rPr>
      </w:pPr>
    </w:p>
    <w:p w14:paraId="1AA8A7A8">
      <w:pPr>
        <w:spacing w:line="360" w:lineRule="auto"/>
        <w:jc w:val="center"/>
        <w:rPr>
          <w:rFonts w:asciiTheme="minorEastAsia" w:hAnsiTheme="minorEastAsia" w:eastAsiaTheme="minorEastAsia"/>
          <w:b/>
          <w:color w:val="auto"/>
          <w:sz w:val="36"/>
          <w:szCs w:val="36"/>
          <w:u w:val="single"/>
        </w:rPr>
      </w:pPr>
    </w:p>
    <w:p w14:paraId="0849B61C">
      <w:pPr>
        <w:spacing w:line="360" w:lineRule="auto"/>
        <w:jc w:val="center"/>
        <w:rPr>
          <w:rFonts w:asciiTheme="minorEastAsia" w:hAnsiTheme="minorEastAsia" w:eastAsiaTheme="minorEastAsia"/>
          <w:b/>
          <w:color w:val="auto"/>
          <w:sz w:val="36"/>
          <w:szCs w:val="36"/>
          <w:u w:val="single"/>
        </w:rPr>
      </w:pPr>
      <w:r>
        <w:rPr>
          <w:rFonts w:asciiTheme="minorEastAsia" w:hAnsiTheme="minorEastAsia" w:eastAsiaTheme="minorEastAsia"/>
          <w:b/>
          <w:color w:val="auto"/>
          <w:sz w:val="36"/>
          <w:szCs w:val="36"/>
          <w:u w:val="single"/>
        </w:rPr>
        <w:t>（项目名称）</w:t>
      </w:r>
    </w:p>
    <w:p w14:paraId="3F6DB83B">
      <w:pPr>
        <w:spacing w:line="360" w:lineRule="auto"/>
        <w:jc w:val="center"/>
        <w:rPr>
          <w:rFonts w:asciiTheme="minorEastAsia" w:hAnsiTheme="minorEastAsia" w:eastAsiaTheme="minorEastAsia"/>
          <w:b/>
          <w:color w:val="auto"/>
          <w:sz w:val="36"/>
          <w:szCs w:val="36"/>
          <w:u w:val="single"/>
        </w:rPr>
      </w:pPr>
    </w:p>
    <w:p w14:paraId="493F76D0">
      <w:pPr>
        <w:spacing w:line="360" w:lineRule="auto"/>
        <w:jc w:val="center"/>
        <w:rPr>
          <w:rFonts w:asciiTheme="minorEastAsia" w:hAnsiTheme="minorEastAsia" w:eastAsiaTheme="minorEastAsia"/>
          <w:b/>
          <w:color w:val="auto"/>
          <w:sz w:val="36"/>
          <w:szCs w:val="36"/>
          <w:u w:val="single"/>
        </w:rPr>
      </w:pPr>
    </w:p>
    <w:p w14:paraId="51B123DF">
      <w:pPr>
        <w:spacing w:line="360" w:lineRule="auto"/>
        <w:jc w:val="center"/>
        <w:rPr>
          <w:rFonts w:asciiTheme="minorEastAsia" w:hAnsiTheme="minorEastAsia" w:eastAsiaTheme="minorEastAsia"/>
          <w:b/>
          <w:color w:val="auto"/>
          <w:sz w:val="72"/>
          <w:szCs w:val="72"/>
          <w:u w:val="single"/>
        </w:rPr>
      </w:pPr>
      <w:r>
        <w:rPr>
          <w:rFonts w:hint="eastAsia" w:asciiTheme="minorEastAsia" w:hAnsiTheme="minorEastAsia" w:eastAsiaTheme="minorEastAsia"/>
          <w:b/>
          <w:color w:val="auto"/>
          <w:sz w:val="72"/>
          <w:szCs w:val="72"/>
          <w:u w:val="single"/>
          <w:lang w:eastAsia="zh-CN"/>
        </w:rPr>
        <w:t>竞争性磋商响应文件</w:t>
      </w:r>
    </w:p>
    <w:p w14:paraId="7F0EC55C">
      <w:pPr>
        <w:spacing w:line="360" w:lineRule="auto"/>
        <w:jc w:val="center"/>
        <w:rPr>
          <w:rFonts w:asciiTheme="minorEastAsia" w:hAnsiTheme="minorEastAsia" w:eastAsiaTheme="minorEastAsia"/>
          <w:b/>
          <w:color w:val="auto"/>
          <w:sz w:val="32"/>
          <w:szCs w:val="32"/>
          <w:u w:val="single"/>
        </w:rPr>
      </w:pPr>
    </w:p>
    <w:p w14:paraId="2A4975ED">
      <w:pPr>
        <w:spacing w:line="360" w:lineRule="auto"/>
        <w:jc w:val="center"/>
        <w:rPr>
          <w:rFonts w:asciiTheme="minorEastAsia" w:hAnsiTheme="minorEastAsia" w:eastAsiaTheme="minorEastAsia"/>
          <w:b/>
          <w:color w:val="auto"/>
          <w:sz w:val="32"/>
          <w:szCs w:val="32"/>
          <w:u w:val="single"/>
        </w:rPr>
      </w:pPr>
    </w:p>
    <w:p w14:paraId="466B85EF">
      <w:pPr>
        <w:spacing w:line="360" w:lineRule="auto"/>
        <w:jc w:val="center"/>
        <w:rPr>
          <w:rFonts w:asciiTheme="minorEastAsia" w:hAnsiTheme="minorEastAsia" w:eastAsiaTheme="minorEastAsia"/>
          <w:b/>
          <w:color w:val="auto"/>
          <w:sz w:val="32"/>
          <w:szCs w:val="32"/>
          <w:u w:val="single"/>
        </w:rPr>
      </w:pPr>
    </w:p>
    <w:p w14:paraId="042EAC3A">
      <w:pPr>
        <w:spacing w:line="360" w:lineRule="auto"/>
        <w:jc w:val="center"/>
        <w:rPr>
          <w:rFonts w:asciiTheme="minorEastAsia" w:hAnsiTheme="minorEastAsia" w:eastAsiaTheme="minorEastAsia"/>
          <w:b/>
          <w:color w:val="auto"/>
          <w:sz w:val="32"/>
          <w:szCs w:val="32"/>
          <w:u w:val="single"/>
        </w:rPr>
      </w:pPr>
    </w:p>
    <w:p w14:paraId="58B6AFBC">
      <w:pPr>
        <w:spacing w:line="360" w:lineRule="auto"/>
        <w:jc w:val="center"/>
        <w:rPr>
          <w:rFonts w:asciiTheme="minorEastAsia" w:hAnsiTheme="minorEastAsia" w:eastAsiaTheme="minorEastAsia"/>
          <w:b/>
          <w:color w:val="auto"/>
          <w:sz w:val="32"/>
          <w:szCs w:val="32"/>
          <w:u w:val="single"/>
        </w:rPr>
      </w:pPr>
    </w:p>
    <w:p w14:paraId="58D18F60">
      <w:pPr>
        <w:spacing w:line="360" w:lineRule="auto"/>
        <w:jc w:val="center"/>
        <w:rPr>
          <w:rFonts w:asciiTheme="minorEastAsia" w:hAnsiTheme="minorEastAsia" w:eastAsiaTheme="minorEastAsia"/>
          <w:b/>
          <w:color w:val="auto"/>
          <w:sz w:val="32"/>
          <w:szCs w:val="32"/>
          <w:u w:val="single"/>
        </w:rPr>
      </w:pPr>
    </w:p>
    <w:p w14:paraId="4EAEB13B">
      <w:pPr>
        <w:spacing w:line="360" w:lineRule="auto"/>
        <w:jc w:val="center"/>
        <w:rPr>
          <w:rFonts w:asciiTheme="minorEastAsia" w:hAnsiTheme="minorEastAsia" w:eastAsiaTheme="minorEastAsia"/>
          <w:b/>
          <w:color w:val="auto"/>
          <w:sz w:val="32"/>
          <w:szCs w:val="32"/>
          <w:u w:val="single"/>
        </w:rPr>
      </w:pPr>
    </w:p>
    <w:p w14:paraId="4ACCA6E3">
      <w:pPr>
        <w:spacing w:line="360" w:lineRule="auto"/>
        <w:jc w:val="center"/>
        <w:rPr>
          <w:rFonts w:asciiTheme="minorEastAsia" w:hAnsiTheme="minorEastAsia" w:eastAsiaTheme="minorEastAsia"/>
          <w:b/>
          <w:color w:val="auto"/>
          <w:sz w:val="32"/>
          <w:szCs w:val="32"/>
          <w:u w:val="single"/>
        </w:rPr>
      </w:pPr>
    </w:p>
    <w:p w14:paraId="36C6A98D">
      <w:pPr>
        <w:spacing w:line="600" w:lineRule="auto"/>
        <w:jc w:val="center"/>
        <w:rPr>
          <w:rFonts w:asciiTheme="minorEastAsia" w:hAnsiTheme="minorEastAsia" w:eastAsiaTheme="minorEastAsia"/>
          <w:b/>
          <w:color w:val="auto"/>
          <w:sz w:val="32"/>
          <w:szCs w:val="32"/>
          <w:u w:val="single"/>
        </w:rPr>
      </w:pPr>
      <w:r>
        <w:rPr>
          <w:rFonts w:hint="eastAsia" w:asciiTheme="minorEastAsia" w:hAnsiTheme="minorEastAsia" w:eastAsiaTheme="minorEastAsia"/>
          <w:b/>
          <w:color w:val="auto"/>
          <w:sz w:val="32"/>
          <w:szCs w:val="32"/>
          <w:u w:val="single"/>
          <w:lang w:eastAsia="zh-CN"/>
        </w:rPr>
        <w:t>供应商</w:t>
      </w:r>
      <w:r>
        <w:rPr>
          <w:rFonts w:asciiTheme="minorEastAsia" w:hAnsiTheme="minorEastAsia" w:eastAsiaTheme="minorEastAsia"/>
          <w:b/>
          <w:color w:val="auto"/>
          <w:sz w:val="32"/>
          <w:szCs w:val="32"/>
          <w:u w:val="single"/>
        </w:rPr>
        <w:t>：                            （盖单位章）</w:t>
      </w:r>
    </w:p>
    <w:p w14:paraId="46001A9B">
      <w:pPr>
        <w:spacing w:line="600" w:lineRule="auto"/>
        <w:jc w:val="center"/>
        <w:rPr>
          <w:rFonts w:asciiTheme="minorEastAsia" w:hAnsiTheme="minorEastAsia" w:eastAsiaTheme="minorEastAsia"/>
          <w:b/>
          <w:color w:val="auto"/>
          <w:sz w:val="32"/>
          <w:szCs w:val="32"/>
          <w:u w:val="single"/>
        </w:rPr>
      </w:pPr>
      <w:r>
        <w:rPr>
          <w:rFonts w:asciiTheme="minorEastAsia" w:hAnsiTheme="minorEastAsia" w:eastAsiaTheme="minorEastAsia"/>
          <w:b/>
          <w:color w:val="auto"/>
          <w:sz w:val="32"/>
          <w:szCs w:val="32"/>
          <w:u w:val="single"/>
        </w:rPr>
        <w:t>法定代表人或其委托代理人：             （签字</w:t>
      </w:r>
      <w:r>
        <w:rPr>
          <w:rFonts w:hint="eastAsia" w:asciiTheme="minorEastAsia" w:hAnsiTheme="minorEastAsia" w:eastAsiaTheme="minorEastAsia"/>
          <w:b/>
          <w:color w:val="auto"/>
          <w:sz w:val="32"/>
          <w:szCs w:val="32"/>
          <w:u w:val="single"/>
          <w:lang w:eastAsia="zh-CN"/>
        </w:rPr>
        <w:t>或盖章</w:t>
      </w:r>
      <w:r>
        <w:rPr>
          <w:rFonts w:asciiTheme="minorEastAsia" w:hAnsiTheme="minorEastAsia" w:eastAsiaTheme="minorEastAsia"/>
          <w:b/>
          <w:color w:val="auto"/>
          <w:sz w:val="32"/>
          <w:szCs w:val="32"/>
          <w:u w:val="single"/>
        </w:rPr>
        <w:t>）</w:t>
      </w:r>
    </w:p>
    <w:p w14:paraId="3B89830E">
      <w:pPr>
        <w:spacing w:line="600" w:lineRule="auto"/>
        <w:jc w:val="center"/>
        <w:rPr>
          <w:rFonts w:asciiTheme="minorEastAsia" w:hAnsiTheme="minorEastAsia" w:eastAsiaTheme="minorEastAsia"/>
          <w:b/>
          <w:color w:val="auto"/>
          <w:sz w:val="32"/>
          <w:szCs w:val="32"/>
          <w:u w:val="single"/>
        </w:rPr>
      </w:pPr>
      <w:r>
        <w:rPr>
          <w:rFonts w:asciiTheme="minorEastAsia" w:hAnsiTheme="minorEastAsia" w:eastAsiaTheme="minorEastAsia"/>
          <w:b/>
          <w:color w:val="auto"/>
          <w:sz w:val="32"/>
          <w:szCs w:val="32"/>
          <w:u w:val="single"/>
        </w:rPr>
        <w:t xml:space="preserve">        年        月        日</w:t>
      </w:r>
    </w:p>
    <w:p w14:paraId="6F97B14A">
      <w:pPr>
        <w:pStyle w:val="4"/>
        <w:jc w:val="center"/>
        <w:rPr>
          <w:rFonts w:asciiTheme="minorEastAsia" w:hAnsiTheme="minorEastAsia" w:eastAsiaTheme="minorEastAsia"/>
          <w:b w:val="0"/>
          <w:color w:val="auto"/>
          <w:sz w:val="28"/>
          <w:szCs w:val="28"/>
          <w:highlight w:val="none"/>
        </w:rPr>
      </w:pPr>
      <w:bookmarkStart w:id="116" w:name="_Toc199384393"/>
      <w:bookmarkStart w:id="117" w:name="_Toc208999274"/>
      <w:bookmarkStart w:id="118" w:name="_Toc208975013"/>
      <w:bookmarkStart w:id="119" w:name="_Toc199384394"/>
      <w:bookmarkStart w:id="120" w:name="_Toc208999275"/>
      <w:bookmarkStart w:id="121" w:name="_Toc208975014"/>
      <w:r>
        <w:rPr>
          <w:rFonts w:hint="eastAsia" w:asciiTheme="minorEastAsia" w:hAnsiTheme="minorEastAsia" w:eastAsiaTheme="minorEastAsia"/>
          <w:b w:val="0"/>
          <w:color w:val="auto"/>
          <w:sz w:val="28"/>
          <w:szCs w:val="28"/>
          <w:highlight w:val="none"/>
        </w:rPr>
        <w:t>目录</w:t>
      </w:r>
      <w:bookmarkEnd w:id="116"/>
      <w:bookmarkEnd w:id="117"/>
      <w:bookmarkEnd w:id="118"/>
    </w:p>
    <w:p w14:paraId="75F52B09">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一、磋商响应函</w:t>
      </w:r>
    </w:p>
    <w:p w14:paraId="22E7EC2A">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二、法定代表人身份证明</w:t>
      </w:r>
    </w:p>
    <w:p w14:paraId="79715A5E">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三、附法定代表人身份证明的授权委托书</w:t>
      </w:r>
    </w:p>
    <w:p w14:paraId="624FEC35">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四、磋商保证金</w:t>
      </w:r>
    </w:p>
    <w:p w14:paraId="60C7E19B">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五、服务方案</w:t>
      </w:r>
    </w:p>
    <w:p w14:paraId="7456CCB0">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六、资格审查资料</w:t>
      </w:r>
    </w:p>
    <w:p w14:paraId="3896FEDA">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七、承诺函</w:t>
      </w:r>
    </w:p>
    <w:p w14:paraId="5E38FB8D">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八、政府采购诚信承诺书</w:t>
      </w:r>
    </w:p>
    <w:p w14:paraId="0CD17D3E">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九</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eastAsia="zh-CN"/>
        </w:rPr>
        <w:t>磋商</w:t>
      </w:r>
      <w:r>
        <w:rPr>
          <w:rFonts w:hint="eastAsia" w:asciiTheme="minorEastAsia" w:hAnsiTheme="minorEastAsia" w:eastAsiaTheme="minorEastAsia"/>
          <w:color w:val="auto"/>
          <w:szCs w:val="21"/>
          <w:highlight w:val="none"/>
        </w:rPr>
        <w:t>一览表</w:t>
      </w:r>
    </w:p>
    <w:p w14:paraId="5B464B54">
      <w:pPr>
        <w:spacing w:line="360" w:lineRule="auto"/>
        <w:ind w:firstLine="420" w:firstLineChars="200"/>
        <w:rPr>
          <w:rFonts w:asciiTheme="minorEastAsia" w:hAnsiTheme="minorEastAsia" w:eastAsiaTheme="minorEastAsia"/>
          <w:color w:val="auto"/>
          <w:szCs w:val="21"/>
          <w:highlight w:val="none"/>
        </w:rPr>
        <w:sectPr>
          <w:headerReference r:id="rId8" w:type="default"/>
          <w:footerReference r:id="rId9" w:type="default"/>
          <w:footerReference r:id="rId10" w:type="even"/>
          <w:pgSz w:w="11906" w:h="16838"/>
          <w:pgMar w:top="1418" w:right="924" w:bottom="1418" w:left="1134" w:header="851" w:footer="992" w:gutter="0"/>
          <w:cols w:space="720" w:num="1"/>
          <w:titlePg/>
          <w:docGrid w:linePitch="312" w:charSpace="0"/>
        </w:sectPr>
      </w:pPr>
      <w:r>
        <w:rPr>
          <w:rFonts w:hint="eastAsia" w:asciiTheme="minorEastAsia" w:hAnsiTheme="minorEastAsia" w:eastAsiaTheme="minorEastAsia"/>
          <w:color w:val="auto"/>
          <w:szCs w:val="21"/>
          <w:highlight w:val="none"/>
          <w:lang w:eastAsia="zh-CN"/>
        </w:rPr>
        <w:t>十、</w:t>
      </w:r>
      <w:r>
        <w:rPr>
          <w:rFonts w:hint="eastAsia" w:asciiTheme="minorEastAsia" w:hAnsiTheme="minorEastAsia" w:eastAsiaTheme="minorEastAsia"/>
          <w:color w:val="auto"/>
          <w:szCs w:val="21"/>
          <w:highlight w:val="none"/>
        </w:rPr>
        <w:t>供应商认为需提供的其他材料</w:t>
      </w:r>
    </w:p>
    <w:bookmarkEnd w:id="119"/>
    <w:bookmarkEnd w:id="120"/>
    <w:bookmarkEnd w:id="121"/>
    <w:p w14:paraId="58EA33BA">
      <w:pPr>
        <w:keepNext/>
        <w:keepLines/>
        <w:spacing w:line="360" w:lineRule="auto"/>
        <w:jc w:val="center"/>
        <w:outlineLvl w:val="2"/>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一、磋商响应函</w:t>
      </w:r>
    </w:p>
    <w:p w14:paraId="56FCFF43">
      <w:pPr>
        <w:spacing w:line="360" w:lineRule="auto"/>
        <w:ind w:firstLine="420" w:firstLineChars="200"/>
        <w:rPr>
          <w:rFonts w:asciiTheme="minorEastAsia" w:hAnsiTheme="minorEastAsia" w:eastAsiaTheme="minorEastAsia"/>
          <w:color w:val="auto"/>
          <w:szCs w:val="21"/>
          <w:highlight w:val="none"/>
        </w:rPr>
      </w:pPr>
    </w:p>
    <w:p w14:paraId="592BF7F2">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（采购人名称）: </w:t>
      </w:r>
    </w:p>
    <w:p w14:paraId="56A89FEC">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1．我方己仔细研究了</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（项目名称）竞争性磋商文件的全部内容，愿意以</w:t>
      </w:r>
      <w:r>
        <w:rPr>
          <w:rFonts w:hint="eastAsia" w:asciiTheme="minorEastAsia" w:hAnsiTheme="minorEastAsia" w:eastAsiaTheme="minorEastAsia"/>
          <w:color w:val="auto"/>
          <w:highlight w:val="none"/>
        </w:rPr>
        <w:t>第二轮的最终报价作为本项目的</w:t>
      </w:r>
      <w:r>
        <w:rPr>
          <w:rFonts w:hint="eastAsia" w:asciiTheme="minorEastAsia" w:hAnsiTheme="minorEastAsia" w:eastAsiaTheme="minorEastAsia"/>
          <w:color w:val="auto"/>
          <w:szCs w:val="21"/>
          <w:highlight w:val="none"/>
        </w:rPr>
        <w:t>磋商最后报价，合同履行期限</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，按合同约定实施和完成项目，质量达到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785F1AFA">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2．我方承诺在投标有效期内</w:t>
      </w:r>
      <w:r>
        <w:rPr>
          <w:rFonts w:hint="eastAsia" w:asciiTheme="minorEastAsia" w:hAnsiTheme="minorEastAsia" w:eastAsiaTheme="minorEastAsia"/>
          <w:b/>
          <w:color w:val="auto"/>
          <w:szCs w:val="21"/>
          <w:highlight w:val="none"/>
          <w:u w:val="single"/>
        </w:rPr>
        <w:t>(90日历天)</w:t>
      </w:r>
      <w:r>
        <w:rPr>
          <w:rFonts w:hint="eastAsia" w:asciiTheme="minorEastAsia" w:hAnsiTheme="minorEastAsia" w:eastAsiaTheme="minorEastAsia"/>
          <w:color w:val="auto"/>
          <w:szCs w:val="21"/>
          <w:highlight w:val="none"/>
        </w:rPr>
        <w:t>不修改、撤销报价文件。</w:t>
      </w:r>
    </w:p>
    <w:p w14:paraId="2DF7481D">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3．随同本磋商响应函提交磋商保证金一份，金额为人民币（大写）</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元（￥</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w:t>
      </w:r>
    </w:p>
    <w:p w14:paraId="29FB50D3">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4．如我方中标：</w:t>
      </w:r>
    </w:p>
    <w:p w14:paraId="117D6EF0">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(l）我方承诺在收到中标通知书后，在中标通知书规定的期限内与你方签订合同。</w:t>
      </w:r>
    </w:p>
    <w:p w14:paraId="3CAA6D95">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(2）我方承诺按照竞争性磋商文件规定向你方递交履约担保。</w:t>
      </w:r>
    </w:p>
    <w:p w14:paraId="177785DA">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(3）我方承诺在合同约定的期限内完成并移交全部合同项目。</w:t>
      </w:r>
    </w:p>
    <w:p w14:paraId="5CDFEF3F">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5．我方在此声明，所递交的报价文件及有关资料内容完整、真实和准确，且不存在第二章“供应商须知”第1.4.3 项规定的任何一种情形。</w:t>
      </w:r>
    </w:p>
    <w:p w14:paraId="51892AB7">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6.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（其他补充说明）。</w:t>
      </w:r>
    </w:p>
    <w:p w14:paraId="6182B728">
      <w:pPr>
        <w:spacing w:line="360" w:lineRule="auto"/>
        <w:ind w:firstLine="420" w:firstLineChars="200"/>
        <w:rPr>
          <w:rFonts w:asciiTheme="minorEastAsia" w:hAnsiTheme="minorEastAsia" w:eastAsiaTheme="minorEastAsia"/>
          <w:color w:val="auto"/>
          <w:szCs w:val="21"/>
          <w:highlight w:val="none"/>
        </w:rPr>
      </w:pPr>
    </w:p>
    <w:p w14:paraId="33677DE2">
      <w:pPr>
        <w:spacing w:line="360" w:lineRule="auto"/>
        <w:ind w:firstLine="420" w:firstLineChars="200"/>
        <w:rPr>
          <w:rFonts w:asciiTheme="minorEastAsia" w:hAnsiTheme="minorEastAsia" w:eastAsiaTheme="minorEastAsia"/>
          <w:color w:val="auto"/>
          <w:szCs w:val="21"/>
          <w:highlight w:val="none"/>
        </w:rPr>
      </w:pPr>
    </w:p>
    <w:p w14:paraId="20528088">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（盖单位章）</w:t>
      </w:r>
    </w:p>
    <w:p w14:paraId="72138184">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法定代表人或其委托代理人：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（签字</w:t>
      </w:r>
      <w:r>
        <w:rPr>
          <w:rFonts w:hint="eastAsia" w:asciiTheme="minorEastAsia" w:hAnsiTheme="minorEastAsia" w:eastAsiaTheme="minorEastAsia"/>
          <w:color w:val="auto"/>
          <w:szCs w:val="21"/>
          <w:highlight w:val="none"/>
          <w:lang w:eastAsia="zh-CN"/>
        </w:rPr>
        <w:t>或盖章</w:t>
      </w:r>
      <w:r>
        <w:rPr>
          <w:rFonts w:hint="eastAsia" w:asciiTheme="minorEastAsia" w:hAnsiTheme="minorEastAsia" w:eastAsiaTheme="minorEastAsia"/>
          <w:color w:val="auto"/>
          <w:szCs w:val="21"/>
          <w:highlight w:val="none"/>
        </w:rPr>
        <w:t>）</w:t>
      </w:r>
    </w:p>
    <w:p w14:paraId="78390044">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地址：</w:t>
      </w:r>
      <w:r>
        <w:rPr>
          <w:rFonts w:hint="eastAsia" w:asciiTheme="minorEastAsia" w:hAnsiTheme="minorEastAsia" w:eastAsiaTheme="minorEastAsia"/>
          <w:color w:val="auto"/>
          <w:szCs w:val="21"/>
          <w:highlight w:val="none"/>
          <w:u w:val="single"/>
        </w:rPr>
        <w:t xml:space="preserve">                                 </w:t>
      </w:r>
    </w:p>
    <w:p w14:paraId="1762451A">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网址：</w:t>
      </w:r>
      <w:r>
        <w:rPr>
          <w:rFonts w:hint="eastAsia" w:asciiTheme="minorEastAsia" w:hAnsiTheme="minorEastAsia" w:eastAsiaTheme="minorEastAsia"/>
          <w:color w:val="auto"/>
          <w:szCs w:val="21"/>
          <w:highlight w:val="none"/>
          <w:u w:val="single"/>
        </w:rPr>
        <w:t xml:space="preserve">                                 </w:t>
      </w:r>
    </w:p>
    <w:p w14:paraId="39C90B9D">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w:t>
      </w:r>
      <w:r>
        <w:rPr>
          <w:rFonts w:hint="eastAsia" w:asciiTheme="minorEastAsia" w:hAnsiTheme="minorEastAsia" w:eastAsiaTheme="minorEastAsia"/>
          <w:color w:val="auto"/>
          <w:szCs w:val="21"/>
          <w:highlight w:val="none"/>
          <w:u w:val="single"/>
        </w:rPr>
        <w:t xml:space="preserve">                                 </w:t>
      </w:r>
    </w:p>
    <w:p w14:paraId="0AA94F66">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传真：</w:t>
      </w:r>
      <w:r>
        <w:rPr>
          <w:rFonts w:hint="eastAsia" w:asciiTheme="minorEastAsia" w:hAnsiTheme="minorEastAsia" w:eastAsiaTheme="minorEastAsia"/>
          <w:color w:val="auto"/>
          <w:szCs w:val="21"/>
          <w:highlight w:val="none"/>
          <w:u w:val="single"/>
        </w:rPr>
        <w:t xml:space="preserve">                                 </w:t>
      </w:r>
    </w:p>
    <w:p w14:paraId="5909B8B3">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邮政编码：</w:t>
      </w:r>
      <w:r>
        <w:rPr>
          <w:rFonts w:hint="eastAsia" w:asciiTheme="minorEastAsia" w:hAnsiTheme="minorEastAsia" w:eastAsiaTheme="minorEastAsia"/>
          <w:color w:val="auto"/>
          <w:szCs w:val="21"/>
          <w:highlight w:val="none"/>
          <w:u w:val="single"/>
        </w:rPr>
        <w:t xml:space="preserve">                             </w:t>
      </w:r>
    </w:p>
    <w:p w14:paraId="2EB04E24">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232BC443">
      <w:pPr>
        <w:snapToGrid w:val="0"/>
        <w:spacing w:line="360" w:lineRule="auto"/>
        <w:rPr>
          <w:rStyle w:val="70"/>
          <w:rFonts w:asciiTheme="minorEastAsia" w:hAnsiTheme="minorEastAsia" w:eastAsiaTheme="minorEastAsia"/>
          <w:color w:val="auto"/>
          <w:sz w:val="24"/>
        </w:rPr>
      </w:pPr>
    </w:p>
    <w:p w14:paraId="6A882D5F">
      <w:pPr>
        <w:snapToGrid w:val="0"/>
        <w:spacing w:line="360" w:lineRule="auto"/>
        <w:rPr>
          <w:rStyle w:val="70"/>
          <w:rFonts w:asciiTheme="minorEastAsia" w:hAnsiTheme="minorEastAsia" w:eastAsiaTheme="minorEastAsia"/>
          <w:color w:val="auto"/>
          <w:sz w:val="24"/>
        </w:rPr>
      </w:pPr>
    </w:p>
    <w:p w14:paraId="13CA86F5">
      <w:pPr>
        <w:snapToGrid w:val="0"/>
        <w:spacing w:line="360" w:lineRule="auto"/>
        <w:rPr>
          <w:rStyle w:val="70"/>
          <w:rFonts w:asciiTheme="minorEastAsia" w:hAnsiTheme="minorEastAsia" w:eastAsiaTheme="minorEastAsia"/>
          <w:color w:val="auto"/>
          <w:sz w:val="24"/>
        </w:rPr>
      </w:pPr>
    </w:p>
    <w:p w14:paraId="7AA4DA0F">
      <w:pPr>
        <w:snapToGrid w:val="0"/>
        <w:spacing w:line="360" w:lineRule="auto"/>
        <w:rPr>
          <w:rStyle w:val="70"/>
          <w:rFonts w:asciiTheme="minorEastAsia" w:hAnsiTheme="minorEastAsia" w:eastAsiaTheme="minorEastAsia"/>
          <w:color w:val="auto"/>
          <w:sz w:val="24"/>
        </w:rPr>
      </w:pPr>
      <w:r>
        <w:rPr>
          <w:rStyle w:val="70"/>
          <w:rFonts w:asciiTheme="minorEastAsia" w:hAnsiTheme="minorEastAsia" w:eastAsiaTheme="minorEastAsia"/>
          <w:color w:val="auto"/>
          <w:sz w:val="24"/>
        </w:rPr>
        <w:t xml:space="preserve">  </w:t>
      </w:r>
    </w:p>
    <w:p w14:paraId="1C8E3AD4">
      <w:pPr>
        <w:spacing w:line="360" w:lineRule="auto"/>
        <w:ind w:firstLine="4305" w:firstLineChars="2050"/>
        <w:rPr>
          <w:rFonts w:asciiTheme="minorEastAsia" w:hAnsiTheme="minorEastAsia" w:eastAsiaTheme="minorEastAsia"/>
          <w:color w:val="auto"/>
          <w:szCs w:val="21"/>
        </w:rPr>
      </w:pPr>
    </w:p>
    <w:p w14:paraId="097D068D">
      <w:pPr>
        <w:spacing w:line="360" w:lineRule="auto"/>
        <w:ind w:firstLine="4305" w:firstLineChars="2050"/>
        <w:rPr>
          <w:rFonts w:asciiTheme="minorEastAsia" w:hAnsiTheme="minorEastAsia" w:eastAsiaTheme="minorEastAsia"/>
          <w:color w:val="auto"/>
          <w:szCs w:val="21"/>
        </w:rPr>
      </w:pPr>
    </w:p>
    <w:p w14:paraId="58EFF52C">
      <w:pPr>
        <w:keepNext/>
        <w:keepLines/>
        <w:spacing w:line="360" w:lineRule="auto"/>
        <w:jc w:val="center"/>
        <w:outlineLvl w:val="2"/>
        <w:rPr>
          <w:rFonts w:asciiTheme="minorEastAsia" w:hAnsiTheme="minorEastAsia" w:eastAsiaTheme="minorEastAsia"/>
          <w:b/>
          <w:bCs/>
          <w:color w:val="auto"/>
          <w:sz w:val="32"/>
          <w:szCs w:val="32"/>
          <w:highlight w:val="none"/>
        </w:rPr>
      </w:pPr>
      <w:bookmarkStart w:id="122" w:name="_Toc199384396"/>
      <w:bookmarkStart w:id="123" w:name="_Toc208975016"/>
      <w:bookmarkStart w:id="124" w:name="_Toc208999277"/>
      <w:r>
        <w:rPr>
          <w:rFonts w:hint="eastAsia" w:asciiTheme="minorEastAsia" w:hAnsiTheme="minorEastAsia" w:eastAsiaTheme="minorEastAsia"/>
          <w:b/>
          <w:bCs/>
          <w:color w:val="auto"/>
          <w:sz w:val="32"/>
          <w:szCs w:val="32"/>
          <w:highlight w:val="none"/>
        </w:rPr>
        <w:t>二、法定代表人身份证明</w:t>
      </w:r>
      <w:bookmarkEnd w:id="122"/>
      <w:bookmarkEnd w:id="123"/>
      <w:bookmarkEnd w:id="124"/>
    </w:p>
    <w:p w14:paraId="119E5AB0">
      <w:pPr>
        <w:spacing w:line="360" w:lineRule="auto"/>
        <w:ind w:firstLine="420" w:firstLineChars="200"/>
        <w:rPr>
          <w:rFonts w:asciiTheme="minorEastAsia" w:hAnsiTheme="minorEastAsia" w:eastAsiaTheme="minorEastAsia"/>
          <w:color w:val="auto"/>
          <w:szCs w:val="21"/>
          <w:highlight w:val="none"/>
        </w:rPr>
      </w:pPr>
    </w:p>
    <w:p w14:paraId="6BE965A2">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供应商名称：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7E8AD3C4">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单位性质：</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419EE997">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地址：</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04D2C689">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成立时间：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3E42E0F9">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经营期限：</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779EEC44">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姓名：</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性别：</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年龄：</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职务：</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_</w:t>
      </w:r>
    </w:p>
    <w:p w14:paraId="7699F6D4">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系</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（供应商名称）的法定代表人。</w:t>
      </w:r>
    </w:p>
    <w:p w14:paraId="5C7FC871">
      <w:pPr>
        <w:spacing w:line="360" w:lineRule="auto"/>
        <w:ind w:firstLine="840" w:firstLineChars="4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特此证明。</w:t>
      </w:r>
    </w:p>
    <w:p w14:paraId="5665B6A6">
      <w:pPr>
        <w:spacing w:line="360" w:lineRule="auto"/>
        <w:ind w:firstLine="420" w:firstLineChars="200"/>
        <w:rPr>
          <w:rFonts w:asciiTheme="minorEastAsia" w:hAnsiTheme="minorEastAsia" w:eastAsiaTheme="minorEastAsia"/>
          <w:color w:val="auto"/>
          <w:szCs w:val="21"/>
          <w:highlight w:val="none"/>
        </w:rPr>
      </w:pPr>
    </w:p>
    <w:p w14:paraId="4BC8309F">
      <w:pPr>
        <w:spacing w:line="360" w:lineRule="auto"/>
        <w:ind w:firstLine="420" w:firstLineChars="200"/>
        <w:rPr>
          <w:rFonts w:asciiTheme="minorEastAsia" w:hAnsiTheme="minorEastAsia" w:eastAsiaTheme="minorEastAsia"/>
          <w:color w:val="auto"/>
          <w:szCs w:val="21"/>
          <w:highlight w:val="none"/>
        </w:rPr>
      </w:pPr>
    </w:p>
    <w:p w14:paraId="28AE617D">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0</wp:posOffset>
                </wp:positionV>
                <wp:extent cx="3086100" cy="1485900"/>
                <wp:effectExtent l="4445" t="4445" r="14605" b="14605"/>
                <wp:wrapNone/>
                <wp:docPr id="1" name="文本框 17"/>
                <wp:cNvGraphicFramePr/>
                <a:graphic xmlns:a="http://schemas.openxmlformats.org/drawingml/2006/main">
                  <a:graphicData uri="http://schemas.microsoft.com/office/word/2010/wordprocessingShape">
                    <wps:wsp>
                      <wps:cNvSpPr txBox="1"/>
                      <wps:spPr>
                        <a:xfrm>
                          <a:off x="0" y="0"/>
                          <a:ext cx="30861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122C1F">
                            <w:pPr>
                              <w:jc w:val="center"/>
                              <w:rPr>
                                <w:rFonts w:ascii="黑体" w:eastAsia="黑体"/>
                                <w:sz w:val="32"/>
                                <w:szCs w:val="32"/>
                              </w:rPr>
                            </w:pPr>
                          </w:p>
                          <w:p w14:paraId="4C7C31E0">
                            <w:pPr>
                              <w:jc w:val="center"/>
                              <w:rPr>
                                <w:rFonts w:ascii="黑体" w:eastAsia="黑体"/>
                                <w:sz w:val="32"/>
                                <w:szCs w:val="32"/>
                              </w:rPr>
                            </w:pPr>
                            <w:r>
                              <w:rPr>
                                <w:rFonts w:hint="eastAsia" w:ascii="黑体" w:eastAsia="黑体"/>
                                <w:sz w:val="32"/>
                                <w:szCs w:val="32"/>
                              </w:rPr>
                              <w:t>法定代表人身份证复印件</w:t>
                            </w:r>
                          </w:p>
                        </w:txbxContent>
                      </wps:txbx>
                      <wps:bodyPr upright="1"/>
                    </wps:wsp>
                  </a:graphicData>
                </a:graphic>
              </wp:anchor>
            </w:drawing>
          </mc:Choice>
          <mc:Fallback>
            <w:pict>
              <v:shape id="文本框 17" o:spid="_x0000_s1026" o:spt="202" type="#_x0000_t202" style="position:absolute;left:0pt;margin-left:99pt;margin-top:0pt;height:117pt;width:243pt;z-index:251659264;mso-width-relative:page;mso-height-relative:page;" fillcolor="#FFFFFF" filled="t" stroked="t" coordsize="21600,21600" o:gfxdata="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3Wt1gAAAAgBAAAPAAAAAAAAAAEAIAAAACIA&#10;AABkcnMvZG93bnJldi54bWxQSwECFAAUAAAACACHTuJAXhUiUgsCAAA4BAAADgAAAAAAAAABACAA&#10;AAAlAQAAZHJzL2Uyb0RvYy54bWxQSwUGAAAAAAYABgBZAQAAogUAAAAA&#10;">
                <v:fill on="t" focussize="0,0"/>
                <v:stroke color="#000000" joinstyle="miter"/>
                <v:imagedata o:title=""/>
                <o:lock v:ext="edit" aspectratio="f"/>
                <v:textbox>
                  <w:txbxContent>
                    <w:p w14:paraId="04122C1F">
                      <w:pPr>
                        <w:jc w:val="center"/>
                        <w:rPr>
                          <w:rFonts w:ascii="黑体" w:eastAsia="黑体"/>
                          <w:sz w:val="32"/>
                          <w:szCs w:val="32"/>
                        </w:rPr>
                      </w:pPr>
                    </w:p>
                    <w:p w14:paraId="4C7C31E0">
                      <w:pPr>
                        <w:jc w:val="center"/>
                        <w:rPr>
                          <w:rFonts w:ascii="黑体" w:eastAsia="黑体"/>
                          <w:sz w:val="32"/>
                          <w:szCs w:val="32"/>
                        </w:rPr>
                      </w:pPr>
                      <w:r>
                        <w:rPr>
                          <w:rFonts w:hint="eastAsia" w:ascii="黑体" w:eastAsia="黑体"/>
                          <w:sz w:val="32"/>
                          <w:szCs w:val="32"/>
                        </w:rPr>
                        <w:t>法定代表人身份证复印件</w:t>
                      </w:r>
                    </w:p>
                  </w:txbxContent>
                </v:textbox>
              </v:shape>
            </w:pict>
          </mc:Fallback>
        </mc:AlternateContent>
      </w:r>
    </w:p>
    <w:p w14:paraId="4036D211">
      <w:pPr>
        <w:spacing w:line="360" w:lineRule="auto"/>
        <w:ind w:firstLine="420" w:firstLineChars="200"/>
        <w:rPr>
          <w:rFonts w:asciiTheme="minorEastAsia" w:hAnsiTheme="minorEastAsia" w:eastAsiaTheme="minorEastAsia"/>
          <w:color w:val="auto"/>
          <w:szCs w:val="21"/>
          <w:highlight w:val="none"/>
        </w:rPr>
      </w:pPr>
    </w:p>
    <w:p w14:paraId="481270E9">
      <w:pPr>
        <w:spacing w:line="360" w:lineRule="auto"/>
        <w:ind w:firstLine="420" w:firstLineChars="200"/>
        <w:rPr>
          <w:rFonts w:asciiTheme="minorEastAsia" w:hAnsiTheme="minorEastAsia" w:eastAsiaTheme="minorEastAsia"/>
          <w:color w:val="auto"/>
          <w:szCs w:val="21"/>
          <w:highlight w:val="none"/>
        </w:rPr>
      </w:pPr>
    </w:p>
    <w:p w14:paraId="7AECFF96">
      <w:pPr>
        <w:spacing w:line="360" w:lineRule="auto"/>
        <w:ind w:firstLine="420" w:firstLineChars="200"/>
        <w:rPr>
          <w:rFonts w:asciiTheme="minorEastAsia" w:hAnsiTheme="minorEastAsia" w:eastAsiaTheme="minorEastAsia"/>
          <w:color w:val="auto"/>
          <w:szCs w:val="21"/>
          <w:highlight w:val="none"/>
        </w:rPr>
      </w:pPr>
    </w:p>
    <w:p w14:paraId="38DE7FCE">
      <w:pPr>
        <w:spacing w:line="360" w:lineRule="auto"/>
        <w:ind w:firstLine="420" w:firstLineChars="200"/>
        <w:rPr>
          <w:rFonts w:asciiTheme="minorEastAsia" w:hAnsiTheme="minorEastAsia" w:eastAsiaTheme="minorEastAsia"/>
          <w:color w:val="auto"/>
          <w:szCs w:val="21"/>
          <w:highlight w:val="none"/>
        </w:rPr>
      </w:pPr>
    </w:p>
    <w:p w14:paraId="5DB1E378">
      <w:pPr>
        <w:spacing w:line="360" w:lineRule="auto"/>
        <w:ind w:firstLine="420" w:firstLineChars="200"/>
        <w:rPr>
          <w:rFonts w:asciiTheme="minorEastAsia" w:hAnsiTheme="minorEastAsia" w:eastAsiaTheme="minorEastAsia"/>
          <w:color w:val="auto"/>
          <w:szCs w:val="21"/>
          <w:highlight w:val="none"/>
        </w:rPr>
      </w:pPr>
    </w:p>
    <w:p w14:paraId="04F041EA">
      <w:pPr>
        <w:spacing w:line="360" w:lineRule="auto"/>
        <w:ind w:firstLine="420" w:firstLineChars="200"/>
        <w:rPr>
          <w:rFonts w:asciiTheme="minorEastAsia" w:hAnsiTheme="minorEastAsia" w:eastAsiaTheme="minorEastAsia"/>
          <w:color w:val="auto"/>
          <w:szCs w:val="21"/>
          <w:highlight w:val="none"/>
        </w:rPr>
      </w:pPr>
    </w:p>
    <w:p w14:paraId="789379BB">
      <w:pPr>
        <w:spacing w:line="360" w:lineRule="auto"/>
        <w:ind w:firstLine="420" w:firstLineChars="200"/>
        <w:rPr>
          <w:rFonts w:asciiTheme="minorEastAsia" w:hAnsiTheme="minorEastAsia" w:eastAsiaTheme="minorEastAsia"/>
          <w:color w:val="auto"/>
          <w:szCs w:val="21"/>
          <w:highlight w:val="none"/>
        </w:rPr>
      </w:pPr>
    </w:p>
    <w:p w14:paraId="1FA725E6">
      <w:pPr>
        <w:spacing w:line="360" w:lineRule="auto"/>
        <w:ind w:firstLine="420" w:firstLineChars="200"/>
        <w:rPr>
          <w:rFonts w:asciiTheme="minorEastAsia" w:hAnsiTheme="minorEastAsia" w:eastAsiaTheme="minorEastAsia"/>
          <w:color w:val="auto"/>
          <w:szCs w:val="21"/>
          <w:highlight w:val="none"/>
        </w:rPr>
      </w:pPr>
    </w:p>
    <w:p w14:paraId="3679C389">
      <w:pPr>
        <w:spacing w:line="360" w:lineRule="auto"/>
        <w:ind w:firstLine="420" w:firstLineChars="200"/>
        <w:rPr>
          <w:rFonts w:asciiTheme="minorEastAsia" w:hAnsiTheme="minorEastAsia" w:eastAsiaTheme="minorEastAsia"/>
          <w:color w:val="auto"/>
          <w:szCs w:val="21"/>
          <w:highlight w:val="none"/>
        </w:rPr>
      </w:pPr>
    </w:p>
    <w:p w14:paraId="5006737A">
      <w:pPr>
        <w:spacing w:line="360" w:lineRule="auto"/>
        <w:ind w:firstLine="4200" w:firstLineChars="20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（盖单位章）</w:t>
      </w:r>
    </w:p>
    <w:p w14:paraId="2F39C73C">
      <w:pPr>
        <w:spacing w:line="360" w:lineRule="auto"/>
        <w:ind w:firstLine="4515" w:firstLineChars="2150"/>
        <w:rPr>
          <w:rFonts w:asciiTheme="minorEastAsia" w:hAnsiTheme="minorEastAsia" w:eastAsiaTheme="minorEastAsia"/>
          <w:color w:val="auto"/>
          <w:szCs w:val="21"/>
          <w:highlight w:val="none"/>
          <w:u w:val="single"/>
        </w:rPr>
      </w:pPr>
    </w:p>
    <w:p w14:paraId="1B48D935">
      <w:pPr>
        <w:spacing w:line="360" w:lineRule="auto"/>
        <w:ind w:firstLine="4515" w:firstLineChars="2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529386BF">
      <w:pPr>
        <w:spacing w:line="360" w:lineRule="auto"/>
        <w:ind w:firstLine="420" w:firstLineChars="200"/>
        <w:rPr>
          <w:rFonts w:asciiTheme="minorEastAsia" w:hAnsiTheme="minorEastAsia" w:eastAsiaTheme="minorEastAsia"/>
          <w:color w:val="auto"/>
          <w:szCs w:val="21"/>
          <w:highlight w:val="none"/>
        </w:rPr>
        <w:sectPr>
          <w:pgSz w:w="11906" w:h="16838"/>
          <w:pgMar w:top="1418" w:right="926" w:bottom="1418" w:left="1134" w:header="851" w:footer="992" w:gutter="0"/>
          <w:cols w:space="720" w:num="1"/>
          <w:docGrid w:type="lines" w:linePitch="312" w:charSpace="0"/>
        </w:sectPr>
      </w:pPr>
    </w:p>
    <w:p w14:paraId="4C2A1D83">
      <w:pPr>
        <w:keepNext/>
        <w:keepLines/>
        <w:spacing w:line="360" w:lineRule="auto"/>
        <w:jc w:val="center"/>
        <w:outlineLvl w:val="2"/>
        <w:rPr>
          <w:rFonts w:asciiTheme="minorEastAsia" w:hAnsiTheme="minorEastAsia" w:eastAsiaTheme="minorEastAsia"/>
          <w:b/>
          <w:bCs/>
          <w:color w:val="auto"/>
          <w:sz w:val="32"/>
          <w:szCs w:val="32"/>
          <w:highlight w:val="none"/>
        </w:rPr>
      </w:pPr>
      <w:bookmarkStart w:id="125" w:name="_Toc208999278"/>
      <w:bookmarkStart w:id="126" w:name="_Toc208975017"/>
      <w:bookmarkStart w:id="127" w:name="_Toc199384397"/>
      <w:r>
        <w:rPr>
          <w:rFonts w:hint="eastAsia" w:asciiTheme="minorEastAsia" w:hAnsiTheme="minorEastAsia" w:eastAsiaTheme="minorEastAsia"/>
          <w:b/>
          <w:bCs/>
          <w:color w:val="auto"/>
          <w:sz w:val="32"/>
          <w:szCs w:val="32"/>
          <w:highlight w:val="none"/>
        </w:rPr>
        <w:t>三、授权委托书</w:t>
      </w:r>
      <w:bookmarkEnd w:id="125"/>
      <w:bookmarkEnd w:id="126"/>
      <w:bookmarkEnd w:id="127"/>
    </w:p>
    <w:p w14:paraId="633203B0">
      <w:pPr>
        <w:spacing w:line="360" w:lineRule="auto"/>
        <w:ind w:firstLine="420" w:firstLineChars="200"/>
        <w:rPr>
          <w:rFonts w:asciiTheme="minorEastAsia" w:hAnsiTheme="minorEastAsia" w:eastAsiaTheme="minorEastAsia"/>
          <w:color w:val="auto"/>
          <w:szCs w:val="21"/>
          <w:highlight w:val="none"/>
        </w:rPr>
      </w:pPr>
    </w:p>
    <w:p w14:paraId="111B4C9A">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（姓名）系</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（供应商名称）的法定代表人，现委托</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（姓名）为我方代理人。代理人根据授权，以我方名义签署、澄清、说明、补正、递交、撤回、修改</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（项目名称）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响应文件、签订合同和处理有关事宜，其法律后果由我方承担。</w:t>
      </w:r>
    </w:p>
    <w:p w14:paraId="7411C323">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委托期限：</w:t>
      </w:r>
      <w:r>
        <w:rPr>
          <w:rFonts w:hint="eastAsia" w:asciiTheme="minorEastAsia" w:hAnsiTheme="minorEastAsia" w:eastAsiaTheme="minorEastAsia"/>
          <w:color w:val="auto"/>
          <w:szCs w:val="21"/>
          <w:highlight w:val="none"/>
          <w:u w:val="single"/>
        </w:rPr>
        <w:t xml:space="preserve">                                </w:t>
      </w:r>
    </w:p>
    <w:p w14:paraId="7A1AECED">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代理人无转委托权。</w:t>
      </w:r>
    </w:p>
    <w:p w14:paraId="370DB06F">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附：代理人身份证明</w:t>
      </w:r>
    </w:p>
    <w:p w14:paraId="4DB7A7B1">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-635</wp:posOffset>
                </wp:positionV>
                <wp:extent cx="2867025" cy="1584960"/>
                <wp:effectExtent l="4445" t="4445" r="5080" b="10795"/>
                <wp:wrapNone/>
                <wp:docPr id="2" name="文本框 18"/>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841DD2">
                            <w:pPr>
                              <w:jc w:val="center"/>
                              <w:rPr>
                                <w:rFonts w:ascii="黑体" w:eastAsia="黑体"/>
                                <w:sz w:val="32"/>
                                <w:szCs w:val="32"/>
                              </w:rPr>
                            </w:pPr>
                          </w:p>
                          <w:p w14:paraId="398DB5FD">
                            <w:pPr>
                              <w:jc w:val="center"/>
                              <w:rPr>
                                <w:rFonts w:ascii="黑体" w:eastAsia="黑体"/>
                                <w:sz w:val="32"/>
                                <w:szCs w:val="32"/>
                              </w:rPr>
                            </w:pPr>
                            <w:r>
                              <w:rPr>
                                <w:rFonts w:hint="eastAsia" w:ascii="黑体" w:eastAsia="黑体"/>
                                <w:sz w:val="32"/>
                                <w:szCs w:val="32"/>
                              </w:rPr>
                              <w:t>代理人身份证复印件</w:t>
                            </w:r>
                          </w:p>
                        </w:txbxContent>
                      </wps:txbx>
                      <wps:bodyPr upright="1"/>
                    </wps:wsp>
                  </a:graphicData>
                </a:graphic>
              </wp:anchor>
            </w:drawing>
          </mc:Choice>
          <mc:Fallback>
            <w:pict>
              <v:shape id="文本框 18" o:spid="_x0000_s1026" o:spt="202" type="#_x0000_t202" style="position:absolute;left:0pt;margin-left:115.5pt;margin-top:-0.05pt;height:124.8pt;width:225.75pt;z-index:251660288;mso-width-relative:page;mso-height-relative:page;" fillcolor="#FFFFFF" filled="t" stroked="t" coordsize="21600,21600" o:gfxdata="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Gupe9kAAAAJAQAADwAAAAAAAAAB&#10;ACAAAAAiAAAAZHJzL2Rvd25yZXYueG1sUEsBAhQAFAAAAAgAh07iQETb7hAPAgAAOAQAAA4AAAAA&#10;AAAAAQAgAAAAKAEAAGRycy9lMm9Eb2MueG1sUEsFBgAAAAAGAAYAWQEAAKkFAAAAAA==&#10;">
                <v:fill on="t" focussize="0,0"/>
                <v:stroke color="#000000" joinstyle="miter"/>
                <v:imagedata o:title=""/>
                <o:lock v:ext="edit" aspectratio="f"/>
                <v:textbox>
                  <w:txbxContent>
                    <w:p w14:paraId="6E841DD2">
                      <w:pPr>
                        <w:jc w:val="center"/>
                        <w:rPr>
                          <w:rFonts w:ascii="黑体" w:eastAsia="黑体"/>
                          <w:sz w:val="32"/>
                          <w:szCs w:val="32"/>
                        </w:rPr>
                      </w:pPr>
                    </w:p>
                    <w:p w14:paraId="398DB5FD">
                      <w:pPr>
                        <w:jc w:val="center"/>
                        <w:rPr>
                          <w:rFonts w:ascii="黑体" w:eastAsia="黑体"/>
                          <w:sz w:val="32"/>
                          <w:szCs w:val="32"/>
                        </w:rPr>
                      </w:pPr>
                      <w:r>
                        <w:rPr>
                          <w:rFonts w:hint="eastAsia" w:ascii="黑体" w:eastAsia="黑体"/>
                          <w:sz w:val="32"/>
                          <w:szCs w:val="32"/>
                        </w:rPr>
                        <w:t>代理人身份证复印件</w:t>
                      </w:r>
                    </w:p>
                  </w:txbxContent>
                </v:textbox>
              </v:shape>
            </w:pict>
          </mc:Fallback>
        </mc:AlternateContent>
      </w:r>
    </w:p>
    <w:p w14:paraId="7CA52AB8">
      <w:pPr>
        <w:spacing w:line="360" w:lineRule="auto"/>
        <w:ind w:firstLine="420" w:firstLineChars="200"/>
        <w:rPr>
          <w:rFonts w:asciiTheme="minorEastAsia" w:hAnsiTheme="minorEastAsia" w:eastAsiaTheme="minorEastAsia"/>
          <w:color w:val="auto"/>
          <w:szCs w:val="21"/>
          <w:highlight w:val="none"/>
        </w:rPr>
      </w:pPr>
    </w:p>
    <w:p w14:paraId="3A210AE3">
      <w:pPr>
        <w:spacing w:line="360" w:lineRule="auto"/>
        <w:ind w:firstLine="420" w:firstLineChars="200"/>
        <w:rPr>
          <w:rFonts w:asciiTheme="minorEastAsia" w:hAnsiTheme="minorEastAsia" w:eastAsiaTheme="minorEastAsia"/>
          <w:color w:val="auto"/>
          <w:szCs w:val="21"/>
          <w:highlight w:val="none"/>
        </w:rPr>
      </w:pPr>
    </w:p>
    <w:p w14:paraId="73B5681E">
      <w:pPr>
        <w:spacing w:line="360" w:lineRule="auto"/>
        <w:ind w:firstLine="420" w:firstLineChars="200"/>
        <w:rPr>
          <w:rFonts w:asciiTheme="minorEastAsia" w:hAnsiTheme="minorEastAsia" w:eastAsiaTheme="minorEastAsia"/>
          <w:color w:val="auto"/>
          <w:szCs w:val="21"/>
          <w:highlight w:val="none"/>
        </w:rPr>
      </w:pPr>
    </w:p>
    <w:p w14:paraId="56EEC839">
      <w:pPr>
        <w:spacing w:line="360" w:lineRule="auto"/>
        <w:ind w:firstLine="420" w:firstLineChars="200"/>
        <w:rPr>
          <w:rFonts w:asciiTheme="minorEastAsia" w:hAnsiTheme="minorEastAsia" w:eastAsiaTheme="minorEastAsia"/>
          <w:color w:val="auto"/>
          <w:szCs w:val="21"/>
          <w:highlight w:val="none"/>
        </w:rPr>
      </w:pPr>
    </w:p>
    <w:p w14:paraId="1153A26A">
      <w:pPr>
        <w:spacing w:line="360" w:lineRule="auto"/>
        <w:ind w:firstLine="420" w:firstLineChars="200"/>
        <w:rPr>
          <w:rFonts w:asciiTheme="minorEastAsia" w:hAnsiTheme="minorEastAsia" w:eastAsiaTheme="minorEastAsia"/>
          <w:color w:val="auto"/>
          <w:szCs w:val="21"/>
          <w:highlight w:val="none"/>
        </w:rPr>
      </w:pPr>
    </w:p>
    <w:p w14:paraId="4ACC62DB">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附：法定人身份证明</w:t>
      </w:r>
    </w:p>
    <w:tbl>
      <w:tblPr>
        <w:tblStyle w:val="34"/>
        <w:tblW w:w="0" w:type="auto"/>
        <w:tblInd w:w="2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14:paraId="42E7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4500" w:type="dxa"/>
          </w:tcPr>
          <w:p w14:paraId="1D5B584D">
            <w:pPr>
              <w:spacing w:line="360" w:lineRule="auto"/>
              <w:ind w:firstLine="420" w:firstLineChars="200"/>
              <w:rPr>
                <w:rFonts w:asciiTheme="minorEastAsia" w:hAnsiTheme="minorEastAsia" w:eastAsiaTheme="minorEastAsia"/>
                <w:color w:val="auto"/>
                <w:szCs w:val="21"/>
                <w:highlight w:val="none"/>
              </w:rPr>
            </w:pPr>
          </w:p>
          <w:p w14:paraId="4DB60E60">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32"/>
                <w:szCs w:val="32"/>
                <w:highlight w:val="none"/>
              </w:rPr>
              <w:t>法定人身份证复印件</w:t>
            </w:r>
          </w:p>
        </w:tc>
      </w:tr>
    </w:tbl>
    <w:p w14:paraId="5C6ED58E">
      <w:pPr>
        <w:spacing w:line="360" w:lineRule="auto"/>
        <w:ind w:firstLine="4139" w:firstLineChars="1971"/>
        <w:rPr>
          <w:rFonts w:asciiTheme="minorEastAsia" w:hAnsiTheme="minorEastAsia" w:eastAsiaTheme="minorEastAsia"/>
          <w:color w:val="auto"/>
          <w:szCs w:val="21"/>
          <w:highlight w:val="none"/>
        </w:rPr>
      </w:pPr>
    </w:p>
    <w:p w14:paraId="5CBC67DB">
      <w:pPr>
        <w:spacing w:line="360" w:lineRule="auto"/>
        <w:ind w:firstLine="4139" w:firstLineChars="1971"/>
        <w:rPr>
          <w:rFonts w:asciiTheme="minorEastAsia" w:hAnsiTheme="minorEastAsia" w:eastAsiaTheme="minorEastAsia"/>
          <w:color w:val="auto"/>
          <w:szCs w:val="21"/>
          <w:highlight w:val="none"/>
        </w:rPr>
      </w:pPr>
    </w:p>
    <w:p w14:paraId="75785465">
      <w:pPr>
        <w:spacing w:line="360" w:lineRule="auto"/>
        <w:ind w:firstLine="4139" w:firstLineChars="1971"/>
        <w:rPr>
          <w:rFonts w:asciiTheme="minorEastAsia" w:hAnsiTheme="minorEastAsia" w:eastAsiaTheme="minorEastAsia"/>
          <w:color w:val="auto"/>
          <w:szCs w:val="21"/>
          <w:highlight w:val="none"/>
        </w:rPr>
      </w:pPr>
    </w:p>
    <w:p w14:paraId="3D3F3EA0">
      <w:pPr>
        <w:spacing w:line="360" w:lineRule="auto"/>
        <w:ind w:firstLine="4139" w:firstLineChars="197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（盖单位章）</w:t>
      </w:r>
    </w:p>
    <w:p w14:paraId="11B7CC21">
      <w:pPr>
        <w:spacing w:line="360" w:lineRule="auto"/>
        <w:ind w:firstLine="4139" w:firstLineChars="197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（签字）</w:t>
      </w:r>
    </w:p>
    <w:p w14:paraId="1D416D56">
      <w:pPr>
        <w:spacing w:line="360" w:lineRule="auto"/>
        <w:ind w:firstLine="4139" w:firstLineChars="197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身份证号码：</w:t>
      </w:r>
      <w:r>
        <w:rPr>
          <w:rFonts w:hint="eastAsia" w:asciiTheme="minorEastAsia" w:hAnsiTheme="minorEastAsia" w:eastAsiaTheme="minorEastAsia"/>
          <w:color w:val="auto"/>
          <w:szCs w:val="21"/>
          <w:highlight w:val="none"/>
          <w:u w:val="single"/>
        </w:rPr>
        <w:t xml:space="preserve">                                </w:t>
      </w:r>
    </w:p>
    <w:p w14:paraId="637EB28F">
      <w:pPr>
        <w:spacing w:line="360" w:lineRule="auto"/>
        <w:ind w:firstLine="4139" w:firstLineChars="1971"/>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委托代理人：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（签字）性别：</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年龄：</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7B0D1EBA">
      <w:pPr>
        <w:spacing w:line="360" w:lineRule="auto"/>
        <w:ind w:firstLine="4139" w:firstLineChars="197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身份证号码：</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职务</w:t>
      </w:r>
      <w:r>
        <w:rPr>
          <w:rFonts w:hint="eastAsia" w:asciiTheme="minorEastAsia" w:hAnsiTheme="minorEastAsia" w:eastAsiaTheme="minorEastAsia"/>
          <w:color w:val="auto"/>
          <w:szCs w:val="21"/>
          <w:highlight w:val="none"/>
          <w:u w:val="single"/>
        </w:rPr>
        <w:t xml:space="preserve">                 </w:t>
      </w:r>
    </w:p>
    <w:p w14:paraId="2CF8CC40">
      <w:pPr>
        <w:spacing w:line="360" w:lineRule="auto"/>
        <w:ind w:firstLine="5355" w:firstLineChars="2550"/>
        <w:rPr>
          <w:rFonts w:asciiTheme="minorEastAsia" w:hAnsiTheme="minorEastAsia" w:eastAsiaTheme="minorEastAsia"/>
          <w:color w:val="auto"/>
          <w:szCs w:val="21"/>
          <w:highlight w:val="none"/>
        </w:rPr>
      </w:pPr>
    </w:p>
    <w:p w14:paraId="7E06C7D9">
      <w:pPr>
        <w:spacing w:line="360" w:lineRule="auto"/>
        <w:ind w:firstLine="2205" w:firstLineChars="1050"/>
        <w:jc w:val="right"/>
        <w:rPr>
          <w:rFonts w:asciiTheme="minorEastAsia" w:hAnsiTheme="minorEastAsia" w:eastAsiaTheme="minorEastAsia"/>
          <w:color w:val="auto"/>
          <w:szCs w:val="21"/>
          <w:highlight w:val="none"/>
        </w:rPr>
        <w:sectPr>
          <w:pgSz w:w="11906" w:h="16838"/>
          <w:pgMar w:top="1418" w:right="924" w:bottom="1418" w:left="1134" w:header="851" w:footer="992" w:gutter="0"/>
          <w:cols w:space="720" w:num="1"/>
          <w:docGrid w:linePitch="312" w:charSpace="0"/>
        </w:sectPr>
      </w:pP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日</w:t>
      </w:r>
    </w:p>
    <w:p w14:paraId="615FADBC">
      <w:pPr>
        <w:keepNext/>
        <w:keepLines/>
        <w:spacing w:line="360" w:lineRule="auto"/>
        <w:jc w:val="center"/>
        <w:outlineLvl w:val="2"/>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四、磋商保证金</w:t>
      </w:r>
    </w:p>
    <w:p w14:paraId="478822B5">
      <w:pPr>
        <w:spacing w:line="360" w:lineRule="auto"/>
        <w:ind w:firstLine="420" w:firstLineChars="200"/>
        <w:rPr>
          <w:rFonts w:asciiTheme="minorEastAsia" w:hAnsiTheme="minorEastAsia" w:eastAsiaTheme="minorEastAsia"/>
          <w:color w:val="auto"/>
          <w:szCs w:val="21"/>
          <w:highlight w:val="none"/>
        </w:rPr>
      </w:pPr>
    </w:p>
    <w:p w14:paraId="24D62E29">
      <w:pPr>
        <w:spacing w:beforeLines="50" w:afterLines="50" w:line="288" w:lineRule="auto"/>
        <w:jc w:val="center"/>
        <w:rPr>
          <w:rFonts w:ascii="宋体" w:hAnsi="宋体" w:cs="宋体"/>
          <w:color w:val="auto"/>
          <w:sz w:val="21"/>
          <w:szCs w:val="21"/>
        </w:rPr>
      </w:pPr>
      <w:r>
        <w:rPr>
          <w:rFonts w:hint="eastAsia" w:ascii="宋体" w:hAnsi="宋体" w:cs="宋体"/>
          <w:color w:val="auto"/>
          <w:sz w:val="21"/>
          <w:szCs w:val="21"/>
          <w:lang w:val="en-US" w:eastAsia="zh-CN"/>
        </w:rPr>
        <w:t>磋商</w:t>
      </w:r>
      <w:r>
        <w:rPr>
          <w:rFonts w:hint="eastAsia" w:ascii="宋体" w:hAnsi="宋体" w:cs="宋体"/>
          <w:color w:val="auto"/>
          <w:sz w:val="21"/>
          <w:szCs w:val="21"/>
        </w:rPr>
        <w:t>保证金缴纳凭证及基本账户开户许可证复印件</w:t>
      </w:r>
    </w:p>
    <w:p w14:paraId="1EFEC6B7">
      <w:pPr>
        <w:spacing w:beforeLines="50" w:afterLines="50" w:line="288" w:lineRule="auto"/>
        <w:jc w:val="center"/>
        <w:rPr>
          <w:rFonts w:ascii="宋体" w:hAnsi="宋体" w:cs="宋体"/>
          <w:b/>
          <w:color w:val="auto"/>
          <w:sz w:val="21"/>
          <w:szCs w:val="21"/>
        </w:rPr>
      </w:pPr>
      <w:r>
        <w:rPr>
          <w:rFonts w:hint="eastAsia" w:ascii="宋体" w:hAnsi="宋体" w:cs="宋体"/>
          <w:b/>
          <w:color w:val="auto"/>
          <w:sz w:val="21"/>
          <w:szCs w:val="21"/>
        </w:rPr>
        <w:t>注：</w:t>
      </w:r>
      <w:r>
        <w:rPr>
          <w:rFonts w:ascii="宋体" w:hAnsi="宋体" w:cs="宋体"/>
          <w:b/>
          <w:color w:val="auto"/>
          <w:sz w:val="21"/>
          <w:szCs w:val="21"/>
        </w:rPr>
        <w:t>基本账户开户许可取消后新开立基本账户的</w:t>
      </w:r>
      <w:r>
        <w:rPr>
          <w:rFonts w:hint="eastAsia" w:ascii="宋体" w:hAnsi="宋体" w:cs="宋体"/>
          <w:b/>
          <w:color w:val="auto"/>
          <w:sz w:val="21"/>
          <w:szCs w:val="21"/>
        </w:rPr>
        <w:t>供应商</w:t>
      </w:r>
      <w:r>
        <w:rPr>
          <w:rFonts w:ascii="宋体" w:hAnsi="宋体" w:cs="宋体"/>
          <w:b/>
          <w:color w:val="auto"/>
          <w:sz w:val="21"/>
          <w:szCs w:val="21"/>
        </w:rPr>
        <w:t>，可以按照中国人民银行的相关文件规定提交银行打印的《基本存款账户信息》</w:t>
      </w:r>
    </w:p>
    <w:p w14:paraId="1683C5B7">
      <w:pPr>
        <w:spacing w:line="500" w:lineRule="exact"/>
        <w:jc w:val="center"/>
        <w:rPr>
          <w:rFonts w:asciiTheme="minorEastAsia" w:hAnsiTheme="minorEastAsia" w:eastAsiaTheme="minorEastAsia"/>
          <w:b/>
          <w:color w:val="auto"/>
          <w:sz w:val="24"/>
          <w:highlight w:val="none"/>
        </w:rPr>
      </w:pPr>
    </w:p>
    <w:p w14:paraId="5936B8F9">
      <w:pPr>
        <w:spacing w:line="500" w:lineRule="exact"/>
        <w:jc w:val="center"/>
        <w:rPr>
          <w:rFonts w:asciiTheme="minorEastAsia" w:hAnsiTheme="minorEastAsia" w:eastAsiaTheme="minorEastAsia"/>
          <w:b/>
          <w:color w:val="auto"/>
          <w:sz w:val="24"/>
          <w:highlight w:val="none"/>
        </w:rPr>
      </w:pPr>
    </w:p>
    <w:p w14:paraId="564B7775">
      <w:pPr>
        <w:spacing w:line="500" w:lineRule="exact"/>
        <w:jc w:val="center"/>
        <w:rPr>
          <w:rFonts w:asciiTheme="minorEastAsia" w:hAnsiTheme="minorEastAsia" w:eastAsiaTheme="minorEastAsia"/>
          <w:b/>
          <w:color w:val="auto"/>
          <w:sz w:val="24"/>
          <w:highlight w:val="none"/>
        </w:rPr>
      </w:pPr>
    </w:p>
    <w:p w14:paraId="4F0E2FE6">
      <w:pPr>
        <w:spacing w:line="500" w:lineRule="exact"/>
        <w:jc w:val="center"/>
        <w:rPr>
          <w:rFonts w:asciiTheme="minorEastAsia" w:hAnsiTheme="minorEastAsia" w:eastAsiaTheme="minorEastAsia"/>
          <w:b/>
          <w:color w:val="auto"/>
          <w:sz w:val="24"/>
          <w:highlight w:val="none"/>
        </w:rPr>
      </w:pPr>
    </w:p>
    <w:p w14:paraId="465C59A2">
      <w:pPr>
        <w:spacing w:line="500" w:lineRule="exact"/>
        <w:jc w:val="center"/>
        <w:rPr>
          <w:rFonts w:asciiTheme="minorEastAsia" w:hAnsiTheme="minorEastAsia" w:eastAsiaTheme="minorEastAsia"/>
          <w:b/>
          <w:color w:val="auto"/>
          <w:sz w:val="24"/>
          <w:highlight w:val="none"/>
        </w:rPr>
      </w:pPr>
    </w:p>
    <w:p w14:paraId="01F1844A">
      <w:pPr>
        <w:spacing w:line="500" w:lineRule="exact"/>
        <w:jc w:val="center"/>
        <w:rPr>
          <w:rFonts w:asciiTheme="minorEastAsia" w:hAnsiTheme="minorEastAsia" w:eastAsiaTheme="minorEastAsia"/>
          <w:b/>
          <w:color w:val="auto"/>
          <w:sz w:val="24"/>
          <w:highlight w:val="none"/>
        </w:rPr>
      </w:pPr>
    </w:p>
    <w:p w14:paraId="76B2D3B5">
      <w:pPr>
        <w:spacing w:line="500" w:lineRule="exact"/>
        <w:jc w:val="center"/>
        <w:rPr>
          <w:rFonts w:asciiTheme="minorEastAsia" w:hAnsiTheme="minorEastAsia" w:eastAsiaTheme="minorEastAsia"/>
          <w:b/>
          <w:color w:val="auto"/>
          <w:sz w:val="24"/>
          <w:highlight w:val="none"/>
        </w:rPr>
      </w:pPr>
    </w:p>
    <w:p w14:paraId="4BB2B877">
      <w:pPr>
        <w:spacing w:line="500" w:lineRule="exact"/>
        <w:jc w:val="center"/>
        <w:rPr>
          <w:rFonts w:asciiTheme="minorEastAsia" w:hAnsiTheme="minorEastAsia" w:eastAsiaTheme="minorEastAsia"/>
          <w:b/>
          <w:color w:val="auto"/>
          <w:sz w:val="24"/>
          <w:highlight w:val="none"/>
        </w:rPr>
      </w:pPr>
    </w:p>
    <w:p w14:paraId="11723F82">
      <w:pPr>
        <w:spacing w:line="500" w:lineRule="exact"/>
        <w:jc w:val="center"/>
        <w:rPr>
          <w:rFonts w:asciiTheme="minorEastAsia" w:hAnsiTheme="minorEastAsia" w:eastAsiaTheme="minorEastAsia"/>
          <w:b/>
          <w:color w:val="auto"/>
          <w:sz w:val="24"/>
          <w:highlight w:val="none"/>
        </w:rPr>
      </w:pPr>
    </w:p>
    <w:p w14:paraId="75E4C67D">
      <w:pPr>
        <w:spacing w:line="500" w:lineRule="exact"/>
        <w:jc w:val="center"/>
        <w:rPr>
          <w:rFonts w:asciiTheme="minorEastAsia" w:hAnsiTheme="minorEastAsia" w:eastAsiaTheme="minorEastAsia"/>
          <w:b/>
          <w:color w:val="auto"/>
          <w:sz w:val="24"/>
          <w:highlight w:val="none"/>
        </w:rPr>
      </w:pPr>
    </w:p>
    <w:p w14:paraId="3C95233E">
      <w:pPr>
        <w:spacing w:line="500" w:lineRule="exact"/>
        <w:jc w:val="center"/>
        <w:rPr>
          <w:rFonts w:asciiTheme="minorEastAsia" w:hAnsiTheme="minorEastAsia" w:eastAsiaTheme="minorEastAsia"/>
          <w:b/>
          <w:color w:val="auto"/>
          <w:sz w:val="24"/>
          <w:highlight w:val="none"/>
        </w:rPr>
      </w:pPr>
    </w:p>
    <w:p w14:paraId="26CF7B86">
      <w:pPr>
        <w:spacing w:line="500" w:lineRule="exact"/>
        <w:jc w:val="center"/>
        <w:rPr>
          <w:rFonts w:asciiTheme="minorEastAsia" w:hAnsiTheme="minorEastAsia" w:eastAsiaTheme="minorEastAsia"/>
          <w:b/>
          <w:color w:val="auto"/>
          <w:sz w:val="24"/>
          <w:highlight w:val="none"/>
        </w:rPr>
      </w:pPr>
    </w:p>
    <w:p w14:paraId="51BE6CEE">
      <w:pPr>
        <w:spacing w:line="500" w:lineRule="exact"/>
        <w:jc w:val="center"/>
        <w:rPr>
          <w:rFonts w:asciiTheme="minorEastAsia" w:hAnsiTheme="minorEastAsia" w:eastAsiaTheme="minorEastAsia"/>
          <w:b/>
          <w:color w:val="auto"/>
          <w:sz w:val="24"/>
          <w:highlight w:val="none"/>
        </w:rPr>
      </w:pPr>
    </w:p>
    <w:p w14:paraId="14049222">
      <w:pPr>
        <w:spacing w:line="500" w:lineRule="exact"/>
        <w:jc w:val="center"/>
        <w:rPr>
          <w:rFonts w:asciiTheme="minorEastAsia" w:hAnsiTheme="minorEastAsia" w:eastAsiaTheme="minorEastAsia"/>
          <w:b/>
          <w:color w:val="auto"/>
          <w:sz w:val="24"/>
          <w:highlight w:val="none"/>
        </w:rPr>
      </w:pPr>
    </w:p>
    <w:p w14:paraId="4687F95E">
      <w:pPr>
        <w:spacing w:line="500" w:lineRule="exact"/>
        <w:jc w:val="center"/>
        <w:rPr>
          <w:rFonts w:asciiTheme="minorEastAsia" w:hAnsiTheme="minorEastAsia" w:eastAsiaTheme="minorEastAsia"/>
          <w:b/>
          <w:color w:val="auto"/>
          <w:sz w:val="24"/>
          <w:highlight w:val="none"/>
        </w:rPr>
      </w:pPr>
    </w:p>
    <w:p w14:paraId="65173E24">
      <w:pPr>
        <w:spacing w:line="500" w:lineRule="exact"/>
        <w:jc w:val="center"/>
        <w:rPr>
          <w:rFonts w:asciiTheme="minorEastAsia" w:hAnsiTheme="minorEastAsia" w:eastAsiaTheme="minorEastAsia"/>
          <w:b/>
          <w:color w:val="auto"/>
          <w:sz w:val="24"/>
          <w:highlight w:val="none"/>
        </w:rPr>
      </w:pPr>
    </w:p>
    <w:p w14:paraId="7B0BC96F">
      <w:pPr>
        <w:spacing w:line="500" w:lineRule="exact"/>
        <w:jc w:val="center"/>
        <w:rPr>
          <w:rFonts w:asciiTheme="minorEastAsia" w:hAnsiTheme="minorEastAsia" w:eastAsiaTheme="minorEastAsia"/>
          <w:b/>
          <w:color w:val="auto"/>
          <w:sz w:val="24"/>
          <w:highlight w:val="none"/>
        </w:rPr>
      </w:pPr>
    </w:p>
    <w:p w14:paraId="2E2DC770">
      <w:pPr>
        <w:spacing w:line="500" w:lineRule="exact"/>
        <w:jc w:val="center"/>
        <w:rPr>
          <w:rFonts w:asciiTheme="minorEastAsia" w:hAnsiTheme="minorEastAsia" w:eastAsiaTheme="minorEastAsia"/>
          <w:b/>
          <w:color w:val="auto"/>
          <w:sz w:val="24"/>
          <w:highlight w:val="none"/>
        </w:rPr>
      </w:pPr>
    </w:p>
    <w:p w14:paraId="363035CC">
      <w:pPr>
        <w:spacing w:line="500" w:lineRule="exact"/>
        <w:jc w:val="center"/>
        <w:rPr>
          <w:rFonts w:asciiTheme="minorEastAsia" w:hAnsiTheme="minorEastAsia" w:eastAsiaTheme="minorEastAsia"/>
          <w:b/>
          <w:color w:val="auto"/>
          <w:sz w:val="24"/>
          <w:highlight w:val="none"/>
        </w:rPr>
      </w:pPr>
    </w:p>
    <w:p w14:paraId="338B68A0">
      <w:pPr>
        <w:spacing w:line="500" w:lineRule="exact"/>
        <w:jc w:val="center"/>
        <w:rPr>
          <w:rFonts w:asciiTheme="minorEastAsia" w:hAnsiTheme="minorEastAsia" w:eastAsiaTheme="minorEastAsia"/>
          <w:b/>
          <w:color w:val="auto"/>
          <w:sz w:val="24"/>
          <w:highlight w:val="none"/>
        </w:rPr>
      </w:pPr>
    </w:p>
    <w:p w14:paraId="0F6FF463">
      <w:pPr>
        <w:spacing w:line="500" w:lineRule="exact"/>
        <w:jc w:val="center"/>
        <w:rPr>
          <w:rFonts w:asciiTheme="minorEastAsia" w:hAnsiTheme="minorEastAsia" w:eastAsiaTheme="minorEastAsia"/>
          <w:b/>
          <w:color w:val="auto"/>
          <w:sz w:val="24"/>
          <w:highlight w:val="none"/>
        </w:rPr>
      </w:pPr>
    </w:p>
    <w:p w14:paraId="54F6A328">
      <w:pPr>
        <w:pStyle w:val="4"/>
        <w:spacing w:line="240" w:lineRule="auto"/>
        <w:jc w:val="center"/>
        <w:rPr>
          <w:rFonts w:asciiTheme="minorEastAsia" w:hAnsiTheme="minorEastAsia" w:eastAsiaTheme="minorEastAsia"/>
          <w:b w:val="0"/>
          <w:color w:val="auto"/>
          <w:highlight w:val="none"/>
        </w:rPr>
      </w:pPr>
      <w:bookmarkStart w:id="128" w:name="_Toc208999318"/>
      <w:bookmarkStart w:id="129" w:name="_Toc208975057"/>
      <w:bookmarkStart w:id="130" w:name="_Toc199384437"/>
      <w:r>
        <w:rPr>
          <w:rFonts w:hint="eastAsia" w:asciiTheme="minorEastAsia" w:hAnsiTheme="minorEastAsia" w:eastAsiaTheme="minorEastAsia"/>
          <w:b w:val="0"/>
          <w:color w:val="auto"/>
          <w:highlight w:val="none"/>
        </w:rPr>
        <w:t>五、</w:t>
      </w:r>
      <w:bookmarkEnd w:id="128"/>
      <w:bookmarkEnd w:id="129"/>
      <w:bookmarkEnd w:id="130"/>
      <w:r>
        <w:rPr>
          <w:rFonts w:hint="eastAsia" w:asciiTheme="minorEastAsia" w:hAnsiTheme="minorEastAsia" w:eastAsiaTheme="minorEastAsia"/>
          <w:b w:val="0"/>
          <w:color w:val="auto"/>
          <w:sz w:val="30"/>
          <w:szCs w:val="30"/>
          <w:highlight w:val="none"/>
        </w:rPr>
        <w:t>服务方案</w:t>
      </w:r>
    </w:p>
    <w:p w14:paraId="5265E198">
      <w:pPr>
        <w:rPr>
          <w:rFonts w:asciiTheme="minorEastAsia" w:hAnsiTheme="minorEastAsia" w:eastAsiaTheme="minorEastAsia"/>
          <w:color w:val="auto"/>
          <w:szCs w:val="21"/>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6813"/>
      </w:tblGrid>
      <w:tr w14:paraId="7D0E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14:paraId="010889ED">
            <w:pPr>
              <w:numPr>
                <w:ilvl w:val="0"/>
                <w:numId w:val="0"/>
              </w:numPr>
              <w:autoSpaceDE w:val="0"/>
              <w:autoSpaceDN w:val="0"/>
              <w:adjustRightInd w:val="0"/>
              <w:spacing w:line="440" w:lineRule="exact"/>
              <w:jc w:val="both"/>
              <w:rPr>
                <w:rFonts w:hint="eastAsia" w:ascii="宋体" w:hAnsi="宋体" w:eastAsia="宋体" w:cs="宋体"/>
                <w:b/>
                <w:bCs/>
                <w:color w:val="auto"/>
                <w:sz w:val="24"/>
                <w:vertAlign w:val="baseline"/>
                <w:lang w:val="zh-CN"/>
              </w:rPr>
            </w:pPr>
            <w:r>
              <w:rPr>
                <w:rFonts w:hint="eastAsia" w:ascii="宋体" w:hAnsi="宋体" w:eastAsia="宋体" w:cs="宋体"/>
                <w:b/>
                <w:bCs/>
                <w:color w:val="auto"/>
                <w:sz w:val="24"/>
                <w:vertAlign w:val="baseline"/>
                <w:lang w:val="zh-CN"/>
              </w:rPr>
              <w:t>评审方式</w:t>
            </w:r>
          </w:p>
        </w:tc>
        <w:tc>
          <w:tcPr>
            <w:tcW w:w="6813" w:type="dxa"/>
            <w:noWrap w:val="0"/>
            <w:vAlign w:val="top"/>
          </w:tcPr>
          <w:p w14:paraId="462956D3">
            <w:pPr>
              <w:numPr>
                <w:ilvl w:val="0"/>
                <w:numId w:val="0"/>
              </w:numPr>
              <w:autoSpaceDE w:val="0"/>
              <w:autoSpaceDN w:val="0"/>
              <w:adjustRightInd w:val="0"/>
              <w:spacing w:line="440" w:lineRule="exact"/>
              <w:jc w:val="both"/>
              <w:rPr>
                <w:rFonts w:hint="eastAsia" w:ascii="宋体" w:hAnsi="宋体" w:eastAsia="宋体" w:cs="宋体"/>
                <w:b w:val="0"/>
                <w:bCs w:val="0"/>
                <w:color w:val="auto"/>
                <w:sz w:val="24"/>
                <w:vertAlign w:val="baseline"/>
                <w:lang w:val="zh-CN"/>
              </w:rPr>
            </w:pPr>
            <w:r>
              <w:rPr>
                <w:rFonts w:hint="eastAsia" w:ascii="宋体" w:hAnsi="宋体" w:eastAsia="宋体" w:cs="宋体"/>
                <w:b w:val="0"/>
                <w:bCs w:val="0"/>
                <w:color w:val="auto"/>
                <w:sz w:val="24"/>
                <w:vertAlign w:val="baseline"/>
                <w:lang w:val="zh-CN"/>
              </w:rPr>
              <w:t>双盲评审</w:t>
            </w:r>
          </w:p>
        </w:tc>
      </w:tr>
      <w:tr w14:paraId="7FD2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14:paraId="54826588">
            <w:pPr>
              <w:numPr>
                <w:ilvl w:val="0"/>
                <w:numId w:val="0"/>
              </w:numPr>
              <w:autoSpaceDE w:val="0"/>
              <w:autoSpaceDN w:val="0"/>
              <w:adjustRightInd w:val="0"/>
              <w:spacing w:line="440" w:lineRule="exact"/>
              <w:jc w:val="both"/>
              <w:rPr>
                <w:rFonts w:hint="eastAsia" w:ascii="宋体" w:hAnsi="宋体" w:eastAsia="宋体" w:cs="宋体"/>
                <w:b/>
                <w:bCs/>
                <w:color w:val="auto"/>
                <w:sz w:val="24"/>
                <w:vertAlign w:val="baseline"/>
                <w:lang w:val="zh-CN"/>
              </w:rPr>
            </w:pPr>
            <w:r>
              <w:rPr>
                <w:rFonts w:hint="eastAsia" w:ascii="宋体" w:hAnsi="宋体" w:eastAsia="宋体" w:cs="宋体"/>
                <w:b/>
                <w:bCs/>
                <w:color w:val="auto"/>
                <w:sz w:val="24"/>
                <w:vertAlign w:val="baseline"/>
                <w:lang w:val="zh-CN"/>
              </w:rPr>
              <w:t>文件编制要求</w:t>
            </w:r>
          </w:p>
        </w:tc>
        <w:tc>
          <w:tcPr>
            <w:tcW w:w="6813" w:type="dxa"/>
            <w:noWrap w:val="0"/>
            <w:vAlign w:val="top"/>
          </w:tcPr>
          <w:p w14:paraId="08FB5BE8">
            <w:pPr>
              <w:numPr>
                <w:ilvl w:val="0"/>
                <w:numId w:val="0"/>
              </w:numPr>
              <w:autoSpaceDE w:val="0"/>
              <w:autoSpaceDN w:val="0"/>
              <w:adjustRightInd w:val="0"/>
              <w:spacing w:line="440" w:lineRule="exact"/>
              <w:jc w:val="both"/>
              <w:rPr>
                <w:rFonts w:hint="eastAsia" w:ascii="宋体" w:hAnsi="宋体" w:eastAsia="宋体" w:cs="宋体"/>
                <w:b w:val="0"/>
                <w:bCs w:val="0"/>
                <w:color w:val="auto"/>
                <w:sz w:val="24"/>
                <w:vertAlign w:val="baseline"/>
                <w:lang w:val="zh-CN"/>
              </w:rPr>
            </w:pPr>
            <w:r>
              <w:rPr>
                <w:rFonts w:hint="eastAsia" w:ascii="宋体" w:hAnsi="宋体" w:eastAsia="宋体" w:cs="宋体"/>
                <w:b w:val="0"/>
                <w:bCs w:val="0"/>
                <w:color w:val="auto"/>
                <w:sz w:val="24"/>
                <w:vertAlign w:val="baseline"/>
                <w:lang w:val="zh-CN"/>
              </w:rPr>
              <w:t>投标人必须将投标文件分为商务标（明标）和技术标（暗标）两部分，并分开制作</w:t>
            </w:r>
          </w:p>
        </w:tc>
      </w:tr>
      <w:tr w14:paraId="2BC8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14:paraId="57664238">
            <w:pPr>
              <w:numPr>
                <w:ilvl w:val="0"/>
                <w:numId w:val="0"/>
              </w:numPr>
              <w:autoSpaceDE w:val="0"/>
              <w:autoSpaceDN w:val="0"/>
              <w:adjustRightInd w:val="0"/>
              <w:spacing w:line="440" w:lineRule="exact"/>
              <w:jc w:val="both"/>
              <w:rPr>
                <w:rFonts w:hint="eastAsia" w:ascii="宋体" w:hAnsi="宋体" w:eastAsia="宋体" w:cs="宋体"/>
                <w:b/>
                <w:bCs/>
                <w:color w:val="auto"/>
                <w:sz w:val="24"/>
                <w:vertAlign w:val="baseline"/>
                <w:lang w:val="zh-CN"/>
              </w:rPr>
            </w:pPr>
            <w:r>
              <w:rPr>
                <w:rFonts w:hint="eastAsia" w:ascii="宋体" w:hAnsi="宋体" w:eastAsia="宋体" w:cs="宋体"/>
                <w:b/>
                <w:bCs/>
                <w:color w:val="auto"/>
                <w:sz w:val="24"/>
                <w:vertAlign w:val="baseline"/>
                <w:lang w:val="zh-CN"/>
              </w:rPr>
              <w:t>技术标（暗标）格式</w:t>
            </w:r>
          </w:p>
        </w:tc>
        <w:tc>
          <w:tcPr>
            <w:tcW w:w="6813" w:type="dxa"/>
            <w:noWrap w:val="0"/>
            <w:vAlign w:val="top"/>
          </w:tcPr>
          <w:p w14:paraId="78602C9B">
            <w:pPr>
              <w:numPr>
                <w:ilvl w:val="0"/>
                <w:numId w:val="0"/>
              </w:numPr>
              <w:autoSpaceDE w:val="0"/>
              <w:autoSpaceDN w:val="0"/>
              <w:adjustRightInd w:val="0"/>
              <w:spacing w:line="440" w:lineRule="exact"/>
              <w:jc w:val="both"/>
              <w:rPr>
                <w:rFonts w:hint="eastAsia" w:ascii="宋体" w:hAnsi="宋体" w:eastAsia="宋体" w:cs="宋体"/>
                <w:b w:val="0"/>
                <w:bCs w:val="0"/>
                <w:color w:val="auto"/>
                <w:sz w:val="24"/>
                <w:vertAlign w:val="baseline"/>
                <w:lang w:val="zh-CN"/>
              </w:rPr>
            </w:pPr>
            <w:r>
              <w:rPr>
                <w:rFonts w:hint="eastAsia" w:ascii="宋体" w:hAnsi="宋体" w:eastAsia="宋体" w:cs="宋体"/>
                <w:b w:val="0"/>
                <w:bCs w:val="0"/>
                <w:color w:val="auto"/>
                <w:sz w:val="24"/>
                <w:vertAlign w:val="baseline"/>
                <w:lang w:val="zh-CN"/>
              </w:rPr>
              <w:t xml:space="preserve">投标文件技术标必须遵守的统一格式和规范。 </w:t>
            </w:r>
          </w:p>
          <w:p w14:paraId="17F664B7">
            <w:pPr>
              <w:numPr>
                <w:ilvl w:val="0"/>
                <w:numId w:val="0"/>
              </w:numPr>
              <w:autoSpaceDE w:val="0"/>
              <w:autoSpaceDN w:val="0"/>
              <w:adjustRightInd w:val="0"/>
              <w:spacing w:line="440" w:lineRule="exact"/>
              <w:jc w:val="both"/>
              <w:rPr>
                <w:rFonts w:hint="eastAsia" w:ascii="宋体" w:hAnsi="宋体" w:eastAsia="宋体" w:cs="宋体"/>
                <w:b w:val="0"/>
                <w:bCs w:val="0"/>
                <w:color w:val="auto"/>
                <w:sz w:val="24"/>
                <w:vertAlign w:val="baseline"/>
                <w:lang w:val="zh-CN"/>
              </w:rPr>
            </w:pPr>
            <w:r>
              <w:rPr>
                <w:rFonts w:hint="eastAsia" w:ascii="宋体" w:hAnsi="宋体" w:eastAsia="宋体" w:cs="宋体"/>
                <w:b w:val="0"/>
                <w:bCs w:val="0"/>
                <w:color w:val="auto"/>
                <w:sz w:val="24"/>
                <w:vertAlign w:val="baseline"/>
                <w:lang w:val="zh-CN"/>
              </w:rPr>
              <w:t xml:space="preserve">技术标文件（暗标）未按以下“盲评”要求制作的，为无效投标，除下述要求外，不得因暗标格式问题认定为无效投标： </w:t>
            </w:r>
          </w:p>
          <w:p w14:paraId="2E7A2242">
            <w:pPr>
              <w:numPr>
                <w:ilvl w:val="0"/>
                <w:numId w:val="0"/>
              </w:numPr>
              <w:autoSpaceDE w:val="0"/>
              <w:autoSpaceDN w:val="0"/>
              <w:adjustRightInd w:val="0"/>
              <w:spacing w:line="440" w:lineRule="exact"/>
              <w:jc w:val="both"/>
              <w:rPr>
                <w:rFonts w:hint="eastAsia" w:ascii="宋体" w:hAnsi="宋体" w:eastAsia="宋体" w:cs="宋体"/>
                <w:b w:val="0"/>
                <w:bCs w:val="0"/>
                <w:color w:val="auto"/>
                <w:sz w:val="24"/>
                <w:vertAlign w:val="baseline"/>
                <w:lang w:val="zh-CN"/>
              </w:rPr>
            </w:pPr>
            <w:r>
              <w:rPr>
                <w:rFonts w:hint="eastAsia" w:ascii="宋体" w:hAnsi="宋体" w:eastAsia="宋体" w:cs="宋体"/>
                <w:b w:val="0"/>
                <w:bCs w:val="0"/>
                <w:color w:val="auto"/>
                <w:sz w:val="24"/>
                <w:vertAlign w:val="baseline"/>
                <w:lang w:val="en-US" w:eastAsia="zh-CN"/>
              </w:rPr>
              <w:t>1.</w:t>
            </w:r>
            <w:r>
              <w:rPr>
                <w:rFonts w:hint="eastAsia" w:ascii="宋体" w:hAnsi="宋体" w:eastAsia="宋体" w:cs="宋体"/>
                <w:b w:val="0"/>
                <w:bCs w:val="0"/>
                <w:color w:val="auto"/>
                <w:sz w:val="24"/>
                <w:vertAlign w:val="baseline"/>
                <w:lang w:val="zh-CN"/>
              </w:rPr>
              <w:t xml:space="preserve">版面要求：A4纸张大小； </w:t>
            </w:r>
          </w:p>
          <w:p w14:paraId="5A310DF4">
            <w:pPr>
              <w:numPr>
                <w:ilvl w:val="0"/>
                <w:numId w:val="0"/>
              </w:numPr>
              <w:autoSpaceDE w:val="0"/>
              <w:autoSpaceDN w:val="0"/>
              <w:adjustRightInd w:val="0"/>
              <w:spacing w:line="440" w:lineRule="exact"/>
              <w:jc w:val="both"/>
              <w:rPr>
                <w:rFonts w:hint="eastAsia" w:ascii="宋体" w:hAnsi="宋体" w:eastAsia="宋体" w:cs="宋体"/>
                <w:b w:val="0"/>
                <w:bCs w:val="0"/>
                <w:color w:val="auto"/>
                <w:sz w:val="24"/>
                <w:vertAlign w:val="baseline"/>
                <w:lang w:val="zh-CN"/>
              </w:rPr>
            </w:pPr>
            <w:r>
              <w:rPr>
                <w:rFonts w:hint="eastAsia" w:ascii="宋体" w:hAnsi="宋体" w:eastAsia="宋体" w:cs="宋体"/>
                <w:b w:val="0"/>
                <w:bCs w:val="0"/>
                <w:color w:val="auto"/>
                <w:sz w:val="24"/>
                <w:vertAlign w:val="baseline"/>
                <w:lang w:val="en-US" w:eastAsia="zh-CN"/>
              </w:rPr>
              <w:t>2.</w:t>
            </w:r>
            <w:r>
              <w:rPr>
                <w:rFonts w:hint="eastAsia" w:ascii="宋体" w:hAnsi="宋体" w:eastAsia="宋体" w:cs="宋体"/>
                <w:b w:val="0"/>
                <w:bCs w:val="0"/>
                <w:color w:val="auto"/>
                <w:sz w:val="24"/>
                <w:vertAlign w:val="baseline"/>
                <w:lang w:val="zh-CN"/>
              </w:rPr>
              <w:t xml:space="preserve">颜色要求：所有文字、图表均为黑色； </w:t>
            </w:r>
          </w:p>
          <w:p w14:paraId="7B95FC91">
            <w:pPr>
              <w:numPr>
                <w:ilvl w:val="0"/>
                <w:numId w:val="0"/>
              </w:numPr>
              <w:autoSpaceDE w:val="0"/>
              <w:autoSpaceDN w:val="0"/>
              <w:adjustRightInd w:val="0"/>
              <w:spacing w:line="440" w:lineRule="exact"/>
              <w:jc w:val="both"/>
              <w:rPr>
                <w:rFonts w:hint="eastAsia" w:ascii="宋体" w:hAnsi="宋体" w:eastAsia="宋体" w:cs="宋体"/>
                <w:b w:val="0"/>
                <w:bCs w:val="0"/>
                <w:color w:val="auto"/>
                <w:sz w:val="24"/>
                <w:vertAlign w:val="baseline"/>
                <w:lang w:val="zh-CN"/>
              </w:rPr>
            </w:pPr>
            <w:r>
              <w:rPr>
                <w:rFonts w:hint="eastAsia" w:ascii="宋体" w:hAnsi="宋体" w:eastAsia="宋体" w:cs="宋体"/>
                <w:b w:val="0"/>
                <w:bCs w:val="0"/>
                <w:color w:val="auto"/>
                <w:sz w:val="24"/>
                <w:vertAlign w:val="baseline"/>
                <w:lang w:val="en-US" w:eastAsia="zh-CN"/>
              </w:rPr>
              <w:t>3.</w:t>
            </w:r>
            <w:r>
              <w:rPr>
                <w:rFonts w:hint="eastAsia" w:ascii="宋体" w:hAnsi="宋体" w:eastAsia="宋体" w:cs="宋体"/>
                <w:b w:val="0"/>
                <w:bCs w:val="0"/>
                <w:color w:val="auto"/>
                <w:sz w:val="24"/>
                <w:vertAlign w:val="baseline"/>
                <w:lang w:val="zh-CN"/>
              </w:rPr>
              <w:t>字体要求：标题及正文部分所用文字均采用“宋体”四号“常规”字；</w:t>
            </w:r>
            <w:r>
              <w:rPr>
                <w:rFonts w:hint="eastAsia" w:ascii="宋体" w:hAnsi="宋体" w:eastAsia="宋体" w:cs="宋体"/>
                <w:b w:val="0"/>
                <w:bCs w:val="0"/>
                <w:color w:val="auto"/>
                <w:sz w:val="24"/>
                <w:vertAlign w:val="baseline"/>
                <w:lang w:val="en-US" w:eastAsia="zh-CN"/>
              </w:rPr>
              <w:t>图、表内的字体及字号不作要求；</w:t>
            </w:r>
            <w:r>
              <w:rPr>
                <w:rFonts w:hint="eastAsia" w:ascii="宋体" w:hAnsi="宋体" w:eastAsia="宋体" w:cs="宋体"/>
                <w:b w:val="0"/>
                <w:bCs w:val="0"/>
                <w:color w:val="auto"/>
                <w:sz w:val="24"/>
                <w:vertAlign w:val="baseline"/>
                <w:lang w:val="zh-CN"/>
              </w:rPr>
              <w:t xml:space="preserve">全部使用中文标点符号；所有字体均不得出现加粗、加色、倾斜、下划线等标记； </w:t>
            </w:r>
          </w:p>
          <w:p w14:paraId="4224F55B">
            <w:pPr>
              <w:numPr>
                <w:ilvl w:val="0"/>
                <w:numId w:val="0"/>
              </w:numPr>
              <w:autoSpaceDE w:val="0"/>
              <w:autoSpaceDN w:val="0"/>
              <w:adjustRightInd w:val="0"/>
              <w:spacing w:line="440" w:lineRule="exact"/>
              <w:jc w:val="both"/>
              <w:rPr>
                <w:rFonts w:hint="eastAsia" w:ascii="宋体" w:hAnsi="宋体" w:eastAsia="宋体" w:cs="宋体"/>
                <w:b w:val="0"/>
                <w:bCs w:val="0"/>
                <w:color w:val="auto"/>
                <w:sz w:val="24"/>
                <w:vertAlign w:val="baseline"/>
                <w:lang w:val="zh-CN"/>
              </w:rPr>
            </w:pPr>
            <w:r>
              <w:rPr>
                <w:rFonts w:hint="eastAsia" w:ascii="宋体" w:hAnsi="宋体" w:eastAsia="宋体" w:cs="宋体"/>
                <w:b w:val="0"/>
                <w:bCs w:val="0"/>
                <w:color w:val="auto"/>
                <w:sz w:val="24"/>
                <w:vertAlign w:val="baseline"/>
                <w:lang w:val="en-US" w:eastAsia="zh-CN"/>
              </w:rPr>
              <w:t>4.</w:t>
            </w:r>
            <w:r>
              <w:rPr>
                <w:rFonts w:hint="eastAsia" w:ascii="宋体" w:hAnsi="宋体" w:eastAsia="宋体" w:cs="宋体"/>
                <w:b w:val="0"/>
                <w:bCs w:val="0"/>
                <w:color w:val="auto"/>
                <w:sz w:val="24"/>
                <w:vertAlign w:val="baseline"/>
                <w:lang w:val="zh-CN"/>
              </w:rPr>
              <w:t>排版要求：页边距要求上边距2.5厘米，其余均为2厘米；不得设置目录；正文行间距为固定值30磅；文字内容（含正文标题、正文及表格标题）统一设为左对齐；首行缩进2字符，不得有空格；段落前后不设置空行；不得设置页眉、页脚和页码；</w:t>
            </w:r>
            <w:r>
              <w:rPr>
                <w:rFonts w:hint="eastAsia" w:ascii="宋体" w:hAnsi="宋体" w:eastAsia="宋体" w:cs="宋体"/>
                <w:b w:val="0"/>
                <w:bCs w:val="0"/>
                <w:color w:val="auto"/>
                <w:sz w:val="24"/>
                <w:vertAlign w:val="baseline"/>
                <w:lang w:val="en-US" w:eastAsia="zh-CN"/>
              </w:rPr>
              <w:t>图、表部分对齐形式统一设为居中对齐；</w:t>
            </w:r>
            <w:r>
              <w:rPr>
                <w:rFonts w:hint="eastAsia" w:ascii="宋体" w:hAnsi="宋体" w:eastAsia="宋体" w:cs="宋体"/>
                <w:b w:val="0"/>
                <w:bCs w:val="0"/>
                <w:color w:val="auto"/>
                <w:sz w:val="24"/>
                <w:vertAlign w:val="baseline"/>
                <w:lang w:val="zh-CN"/>
              </w:rPr>
              <w:t xml:space="preserve"> </w:t>
            </w:r>
          </w:p>
          <w:p w14:paraId="77416B6E">
            <w:pPr>
              <w:numPr>
                <w:ilvl w:val="0"/>
                <w:numId w:val="0"/>
              </w:numPr>
              <w:autoSpaceDE w:val="0"/>
              <w:autoSpaceDN w:val="0"/>
              <w:adjustRightInd w:val="0"/>
              <w:spacing w:line="440" w:lineRule="exact"/>
              <w:jc w:val="both"/>
              <w:rPr>
                <w:rFonts w:hint="eastAsia" w:ascii="宋体" w:hAnsi="宋体" w:eastAsia="宋体" w:cs="宋体"/>
                <w:b w:val="0"/>
                <w:bCs w:val="0"/>
                <w:color w:val="auto"/>
                <w:sz w:val="24"/>
                <w:vertAlign w:val="baseline"/>
                <w:lang w:val="en-US" w:eastAsia="zh-CN"/>
              </w:rPr>
            </w:pPr>
            <w:r>
              <w:rPr>
                <w:rFonts w:hint="eastAsia" w:ascii="宋体" w:hAnsi="宋体" w:eastAsia="宋体" w:cs="宋体"/>
                <w:b w:val="0"/>
                <w:bCs w:val="0"/>
                <w:color w:val="auto"/>
                <w:sz w:val="24"/>
                <w:vertAlign w:val="baseline"/>
                <w:lang w:val="zh-CN"/>
              </w:rPr>
              <w:t>5.其它：除满足上述各项要求外，构成投标文件的“技术暗标”的正文中均不得出现供应商的名称和其它可识别供应商身份的字符、徽标、人员名称以及其他可能被辨别出供应商身份的任何标记。</w:t>
            </w:r>
          </w:p>
        </w:tc>
      </w:tr>
      <w:tr w14:paraId="11D1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14:paraId="578D955B">
            <w:pPr>
              <w:numPr>
                <w:ilvl w:val="0"/>
                <w:numId w:val="0"/>
              </w:numPr>
              <w:autoSpaceDE w:val="0"/>
              <w:autoSpaceDN w:val="0"/>
              <w:adjustRightInd w:val="0"/>
              <w:spacing w:line="440" w:lineRule="exact"/>
              <w:jc w:val="both"/>
              <w:rPr>
                <w:rFonts w:hint="eastAsia" w:ascii="宋体" w:hAnsi="宋体" w:eastAsia="宋体" w:cs="宋体"/>
                <w:b w:val="0"/>
                <w:bCs w:val="0"/>
                <w:color w:val="auto"/>
                <w:sz w:val="24"/>
                <w:vertAlign w:val="baseline"/>
                <w:lang w:val="zh-CN"/>
              </w:rPr>
            </w:pPr>
            <w:r>
              <w:rPr>
                <w:rFonts w:hint="eastAsia" w:ascii="宋体" w:hAnsi="宋体" w:eastAsia="宋体" w:cs="宋体"/>
                <w:b/>
                <w:bCs/>
                <w:color w:val="auto"/>
                <w:sz w:val="24"/>
                <w:vertAlign w:val="baseline"/>
                <w:lang w:val="zh-CN"/>
              </w:rPr>
              <w:t>无效投标情形</w:t>
            </w:r>
          </w:p>
        </w:tc>
        <w:tc>
          <w:tcPr>
            <w:tcW w:w="6813" w:type="dxa"/>
            <w:noWrap w:val="0"/>
            <w:vAlign w:val="top"/>
          </w:tcPr>
          <w:p w14:paraId="7CB4BC6F">
            <w:pPr>
              <w:numPr>
                <w:ilvl w:val="0"/>
                <w:numId w:val="0"/>
              </w:numPr>
              <w:autoSpaceDE w:val="0"/>
              <w:autoSpaceDN w:val="0"/>
              <w:adjustRightInd w:val="0"/>
              <w:spacing w:line="440" w:lineRule="exact"/>
              <w:rPr>
                <w:rFonts w:hint="eastAsia" w:ascii="宋体" w:hAnsi="宋体" w:eastAsia="宋体" w:cs="宋体"/>
                <w:b w:val="0"/>
                <w:bCs w:val="0"/>
                <w:color w:val="auto"/>
                <w:sz w:val="24"/>
                <w:vertAlign w:val="baseline"/>
                <w:lang w:val="zh-CN"/>
              </w:rPr>
            </w:pPr>
            <w:r>
              <w:rPr>
                <w:rFonts w:hint="eastAsia" w:ascii="宋体" w:hAnsi="宋体" w:eastAsia="宋体" w:cs="宋体"/>
                <w:b w:val="0"/>
                <w:bCs w:val="0"/>
                <w:color w:val="auto"/>
                <w:sz w:val="24"/>
                <w:vertAlign w:val="baseline"/>
                <w:lang w:val="zh-CN"/>
              </w:rPr>
              <w:t>投标人未按“暗标”要求编制技术标，或其技术标中泄露了身份信息，将作为</w:t>
            </w:r>
            <w:r>
              <w:rPr>
                <w:rFonts w:hint="eastAsia" w:ascii="宋体" w:hAnsi="宋体" w:eastAsia="宋体" w:cs="宋体"/>
                <w:b/>
                <w:bCs/>
                <w:color w:val="auto"/>
                <w:sz w:val="24"/>
                <w:vertAlign w:val="baseline"/>
                <w:lang w:val="zh-CN"/>
              </w:rPr>
              <w:t>无效投标处理</w:t>
            </w:r>
            <w:r>
              <w:rPr>
                <w:rFonts w:hint="eastAsia" w:ascii="宋体" w:hAnsi="宋体" w:eastAsia="宋体" w:cs="宋体"/>
                <w:b w:val="0"/>
                <w:bCs w:val="0"/>
                <w:color w:val="auto"/>
                <w:sz w:val="24"/>
                <w:vertAlign w:val="baseline"/>
                <w:lang w:val="zh-CN"/>
              </w:rPr>
              <w:t>。</w:t>
            </w:r>
          </w:p>
        </w:tc>
      </w:tr>
      <w:tr w14:paraId="4D95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center"/>
          </w:tcPr>
          <w:p w14:paraId="7A2D7EC3">
            <w:pPr>
              <w:widowControl/>
              <w:spacing w:line="240" w:lineRule="auto"/>
              <w:jc w:val="both"/>
              <w:rPr>
                <w:rFonts w:hint="eastAsia" w:ascii="宋体" w:hAnsi="宋体" w:eastAsia="宋体" w:cs="宋体"/>
                <w:b/>
                <w:bCs/>
                <w:color w:val="auto"/>
                <w:sz w:val="24"/>
                <w:vertAlign w:val="baseline"/>
                <w:lang w:val="zh-CN"/>
              </w:rPr>
            </w:pPr>
            <w:r>
              <w:rPr>
                <w:rFonts w:hint="eastAsia" w:ascii="宋体" w:hAnsi="宋体" w:eastAsia="宋体" w:cs="宋体"/>
                <w:b/>
                <w:bCs w:val="0"/>
                <w:color w:val="auto"/>
                <w:kern w:val="0"/>
                <w:sz w:val="24"/>
                <w:szCs w:val="24"/>
                <w:lang w:val="en-US" w:eastAsia="zh-CN"/>
              </w:rPr>
              <w:t>技术标其他要求</w:t>
            </w:r>
          </w:p>
        </w:tc>
        <w:tc>
          <w:tcPr>
            <w:tcW w:w="6813" w:type="dxa"/>
            <w:noWrap w:val="0"/>
            <w:vAlign w:val="center"/>
          </w:tcPr>
          <w:p w14:paraId="3BE77C72">
            <w:pPr>
              <w:keepNext w:val="0"/>
              <w:keepLines w:val="0"/>
              <w:widowControl/>
              <w:suppressLineNumbers w:val="0"/>
              <w:spacing w:line="240" w:lineRule="auto"/>
              <w:jc w:val="left"/>
              <w:rPr>
                <w:rFonts w:hint="eastAsia" w:ascii="宋体" w:hAnsi="宋体" w:eastAsia="宋体" w:cs="宋体"/>
                <w:b w:val="0"/>
                <w:bCs w:val="0"/>
                <w:color w:val="auto"/>
                <w:sz w:val="24"/>
                <w:vertAlign w:val="baseline"/>
                <w:lang w:val="zh-CN"/>
              </w:rPr>
            </w:pPr>
            <w:r>
              <w:rPr>
                <w:rFonts w:hint="eastAsia" w:ascii="宋体" w:hAnsi="宋体" w:eastAsia="宋体" w:cs="宋体"/>
                <w:color w:val="auto"/>
                <w:kern w:val="0"/>
                <w:sz w:val="24"/>
                <w:szCs w:val="24"/>
                <w:lang w:val="en-US" w:eastAsia="zh-CN" w:bidi="ar"/>
              </w:rPr>
              <w:t>为减少评标工作量，技术方案要言简意赅、结合实际，技术方案页数不超过</w:t>
            </w:r>
            <w:r>
              <w:rPr>
                <w:rFonts w:hint="eastAsia" w:ascii="宋体" w:hAnsi="宋体" w:cs="宋体"/>
                <w:color w:val="auto"/>
                <w:kern w:val="0"/>
                <w:sz w:val="24"/>
                <w:szCs w:val="24"/>
                <w:lang w:val="en-US" w:eastAsia="zh-CN" w:bidi="ar"/>
              </w:rPr>
              <w:t>200</w:t>
            </w:r>
            <w:r>
              <w:rPr>
                <w:rFonts w:hint="eastAsia" w:ascii="宋体" w:hAnsi="宋体" w:eastAsia="宋体" w:cs="宋体"/>
                <w:color w:val="auto"/>
                <w:kern w:val="0"/>
                <w:sz w:val="24"/>
                <w:szCs w:val="24"/>
                <w:lang w:val="en-US" w:eastAsia="zh-CN" w:bidi="ar"/>
              </w:rPr>
              <w:t>页。对技术方案超过规定页数的（以电子版中计数为准），作废标处理。</w:t>
            </w:r>
          </w:p>
        </w:tc>
      </w:tr>
    </w:tbl>
    <w:p w14:paraId="428DC5C6">
      <w:pPr>
        <w:widowControl w:val="0"/>
        <w:numPr>
          <w:ilvl w:val="0"/>
          <w:numId w:val="0"/>
        </w:numPr>
        <w:jc w:val="both"/>
        <w:rPr>
          <w:rFonts w:hint="eastAsia"/>
          <w:color w:val="auto"/>
          <w:lang w:val="zh-CN" w:eastAsia="zh-CN"/>
        </w:rPr>
      </w:pPr>
    </w:p>
    <w:p w14:paraId="575FE1EA">
      <w:pPr>
        <w:pStyle w:val="3"/>
        <w:rPr>
          <w:rFonts w:hint="eastAsia" w:eastAsia="宋体"/>
          <w:color w:val="auto"/>
          <w:lang w:val="zh-CN" w:eastAsia="zh-CN"/>
        </w:rPr>
      </w:pPr>
      <w:r>
        <w:rPr>
          <w:rFonts w:hint="eastAsia" w:ascii="宋体" w:hAnsi="宋体" w:eastAsia="宋体" w:cs="宋体"/>
          <w:b/>
          <w:bCs/>
          <w:color w:val="auto"/>
          <w:sz w:val="24"/>
          <w:szCs w:val="24"/>
        </w:rPr>
        <w:t>本页仅起到</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技术标暗标）投标文件格式作用，投标文件编制时不制作本页</w:t>
      </w:r>
      <w:r>
        <w:rPr>
          <w:rFonts w:hint="eastAsia" w:ascii="宋体" w:hAnsi="宋体" w:eastAsia="宋体" w:cs="宋体"/>
          <w:b/>
          <w:bCs/>
          <w:color w:val="auto"/>
          <w:sz w:val="24"/>
          <w:szCs w:val="24"/>
          <w:lang w:eastAsia="zh-CN"/>
        </w:rPr>
        <w:t>。</w:t>
      </w:r>
    </w:p>
    <w:p w14:paraId="3745BEC6">
      <w:pPr>
        <w:rPr>
          <w:rFonts w:asciiTheme="minorEastAsia" w:hAnsiTheme="minorEastAsia" w:eastAsiaTheme="minorEastAsia"/>
          <w:color w:val="auto"/>
          <w:highlight w:val="none"/>
        </w:rPr>
      </w:pPr>
    </w:p>
    <w:p w14:paraId="4B5EA606">
      <w:pPr>
        <w:rPr>
          <w:rFonts w:asciiTheme="minorEastAsia" w:hAnsiTheme="minorEastAsia" w:eastAsiaTheme="minorEastAsia"/>
          <w:color w:val="auto"/>
          <w:highlight w:val="none"/>
        </w:rPr>
      </w:pPr>
    </w:p>
    <w:p w14:paraId="5AFD88F5">
      <w:pPr>
        <w:rPr>
          <w:rFonts w:asciiTheme="minorEastAsia" w:hAnsiTheme="minorEastAsia" w:eastAsiaTheme="minorEastAsia"/>
          <w:color w:val="auto"/>
          <w:highlight w:val="none"/>
        </w:rPr>
      </w:pPr>
    </w:p>
    <w:p w14:paraId="5EF208D5">
      <w:pPr>
        <w:pStyle w:val="4"/>
        <w:spacing w:line="240" w:lineRule="auto"/>
        <w:jc w:val="center"/>
        <w:rPr>
          <w:rFonts w:asciiTheme="minorEastAsia" w:hAnsiTheme="minorEastAsia" w:eastAsiaTheme="minorEastAsia"/>
          <w:b w:val="0"/>
          <w:color w:val="auto"/>
          <w:highlight w:val="none"/>
        </w:rPr>
      </w:pPr>
      <w:bookmarkStart w:id="131" w:name="_Toc199384440"/>
      <w:bookmarkStart w:id="132" w:name="_Toc208999321"/>
      <w:bookmarkStart w:id="133" w:name="_Toc208975060"/>
      <w:r>
        <w:rPr>
          <w:rFonts w:hint="eastAsia" w:asciiTheme="minorEastAsia" w:hAnsiTheme="minorEastAsia" w:eastAsiaTheme="minorEastAsia"/>
          <w:b w:val="0"/>
          <w:color w:val="auto"/>
          <w:highlight w:val="none"/>
        </w:rPr>
        <w:t>六、资格审查资料</w:t>
      </w:r>
      <w:bookmarkEnd w:id="131"/>
      <w:bookmarkEnd w:id="132"/>
      <w:bookmarkEnd w:id="133"/>
    </w:p>
    <w:p w14:paraId="5AB67B13">
      <w:pPr>
        <w:pStyle w:val="74"/>
        <w:snapToGrid w:val="0"/>
        <w:spacing w:line="240" w:lineRule="auto"/>
        <w:jc w:val="center"/>
        <w:rPr>
          <w:rStyle w:val="70"/>
          <w:rFonts w:asciiTheme="minorEastAsia" w:hAnsiTheme="minorEastAsia" w:eastAsiaTheme="minorEastAsia"/>
          <w:bCs/>
          <w:color w:val="auto"/>
          <w:highlight w:val="none"/>
        </w:rPr>
      </w:pPr>
      <w:r>
        <w:rPr>
          <w:rStyle w:val="70"/>
          <w:rFonts w:asciiTheme="minorEastAsia" w:hAnsiTheme="minorEastAsia" w:eastAsiaTheme="minorEastAsia"/>
          <w:bCs/>
          <w:color w:val="auto"/>
          <w:highlight w:val="none"/>
        </w:rPr>
        <w:t>（一）</w:t>
      </w:r>
      <w:r>
        <w:rPr>
          <w:rStyle w:val="70"/>
          <w:rFonts w:hint="eastAsia" w:asciiTheme="minorEastAsia" w:hAnsiTheme="minorEastAsia" w:eastAsiaTheme="minorEastAsia"/>
          <w:bCs/>
          <w:color w:val="auto"/>
          <w:highlight w:val="none"/>
        </w:rPr>
        <w:t>供应商</w:t>
      </w:r>
      <w:r>
        <w:rPr>
          <w:rStyle w:val="70"/>
          <w:rFonts w:asciiTheme="minorEastAsia" w:hAnsiTheme="minorEastAsia" w:eastAsiaTheme="minorEastAsia"/>
          <w:bCs/>
          <w:color w:val="auto"/>
          <w:highlight w:val="none"/>
        </w:rPr>
        <w:t>基本情况表</w:t>
      </w:r>
    </w:p>
    <w:tbl>
      <w:tblPr>
        <w:tblStyle w:val="34"/>
        <w:tblW w:w="95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1077"/>
        <w:gridCol w:w="3055"/>
        <w:gridCol w:w="1089"/>
        <w:gridCol w:w="2329"/>
      </w:tblGrid>
      <w:tr w14:paraId="569E9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00E0D870">
            <w:pPr>
              <w:snapToGrid w:val="0"/>
              <w:spacing w:line="360" w:lineRule="auto"/>
              <w:jc w:val="center"/>
              <w:rPr>
                <w:rStyle w:val="70"/>
                <w:rFonts w:asciiTheme="minorEastAsia" w:hAnsiTheme="minorEastAsia" w:eastAsiaTheme="minorEastAsia"/>
                <w:color w:val="auto"/>
                <w:szCs w:val="21"/>
                <w:highlight w:val="none"/>
              </w:rPr>
            </w:pPr>
            <w:r>
              <w:rPr>
                <w:rStyle w:val="70"/>
                <w:rFonts w:hint="eastAsia" w:asciiTheme="minorEastAsia" w:hAnsiTheme="minorEastAsia" w:eastAsiaTheme="minorEastAsia"/>
                <w:color w:val="auto"/>
                <w:szCs w:val="21"/>
                <w:highlight w:val="none"/>
              </w:rPr>
              <w:t>供应商</w:t>
            </w:r>
            <w:r>
              <w:rPr>
                <w:rStyle w:val="70"/>
                <w:rFonts w:asciiTheme="minorEastAsia" w:hAnsiTheme="minorEastAsia" w:eastAsiaTheme="minorEastAsia"/>
                <w:color w:val="auto"/>
                <w:szCs w:val="21"/>
                <w:highlight w:val="none"/>
              </w:rPr>
              <w:t>名称</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167BEC73">
            <w:pPr>
              <w:snapToGrid w:val="0"/>
              <w:spacing w:line="360" w:lineRule="auto"/>
              <w:jc w:val="center"/>
              <w:rPr>
                <w:rStyle w:val="70"/>
                <w:rFonts w:asciiTheme="minorEastAsia" w:hAnsiTheme="minorEastAsia" w:eastAsiaTheme="minorEastAsia"/>
                <w:color w:val="auto"/>
                <w:szCs w:val="21"/>
                <w:highlight w:val="none"/>
              </w:rPr>
            </w:pPr>
          </w:p>
        </w:tc>
      </w:tr>
      <w:tr w14:paraId="1CFC2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786E9B34">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注册地址</w:t>
            </w:r>
          </w:p>
        </w:tc>
        <w:tc>
          <w:tcPr>
            <w:tcW w:w="4132" w:type="dxa"/>
            <w:gridSpan w:val="2"/>
            <w:tcBorders>
              <w:top w:val="single" w:color="000000" w:sz="4" w:space="0"/>
              <w:left w:val="single" w:color="000000" w:sz="4" w:space="0"/>
              <w:bottom w:val="single" w:color="000000" w:sz="4" w:space="0"/>
              <w:right w:val="single" w:color="000000" w:sz="4" w:space="0"/>
            </w:tcBorders>
            <w:vAlign w:val="center"/>
          </w:tcPr>
          <w:p w14:paraId="1F7572B0">
            <w:pPr>
              <w:snapToGrid w:val="0"/>
              <w:spacing w:line="360" w:lineRule="auto"/>
              <w:jc w:val="center"/>
              <w:rPr>
                <w:rStyle w:val="70"/>
                <w:rFonts w:asciiTheme="minorEastAsia" w:hAnsiTheme="minorEastAsia" w:eastAsiaTheme="minorEastAsia"/>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7C9D45D8">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邮政编码</w:t>
            </w:r>
          </w:p>
        </w:tc>
        <w:tc>
          <w:tcPr>
            <w:tcW w:w="2329" w:type="dxa"/>
            <w:tcBorders>
              <w:top w:val="single" w:color="000000" w:sz="4" w:space="0"/>
              <w:left w:val="single" w:color="000000" w:sz="4" w:space="0"/>
              <w:bottom w:val="single" w:color="000000" w:sz="4" w:space="0"/>
              <w:right w:val="single" w:color="000000" w:sz="4" w:space="0"/>
            </w:tcBorders>
            <w:vAlign w:val="center"/>
          </w:tcPr>
          <w:p w14:paraId="0B09C0EA">
            <w:pPr>
              <w:snapToGrid w:val="0"/>
              <w:spacing w:line="360" w:lineRule="auto"/>
              <w:jc w:val="center"/>
              <w:rPr>
                <w:rStyle w:val="70"/>
                <w:rFonts w:asciiTheme="minorEastAsia" w:hAnsiTheme="minorEastAsia" w:eastAsiaTheme="minorEastAsia"/>
                <w:color w:val="auto"/>
                <w:szCs w:val="21"/>
                <w:highlight w:val="none"/>
              </w:rPr>
            </w:pPr>
          </w:p>
        </w:tc>
      </w:tr>
      <w:tr w14:paraId="42A23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36C04392">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联系方式</w:t>
            </w:r>
          </w:p>
        </w:tc>
        <w:tc>
          <w:tcPr>
            <w:tcW w:w="1077" w:type="dxa"/>
            <w:tcBorders>
              <w:top w:val="single" w:color="000000" w:sz="4" w:space="0"/>
              <w:left w:val="single" w:color="000000" w:sz="4" w:space="0"/>
              <w:bottom w:val="single" w:color="000000" w:sz="4" w:space="0"/>
              <w:right w:val="single" w:color="000000" w:sz="4" w:space="0"/>
            </w:tcBorders>
            <w:vAlign w:val="center"/>
          </w:tcPr>
          <w:p w14:paraId="22C0BE89">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联系人</w:t>
            </w:r>
          </w:p>
        </w:tc>
        <w:tc>
          <w:tcPr>
            <w:tcW w:w="3055" w:type="dxa"/>
            <w:tcBorders>
              <w:top w:val="single" w:color="000000" w:sz="4" w:space="0"/>
              <w:left w:val="single" w:color="000000" w:sz="4" w:space="0"/>
              <w:bottom w:val="single" w:color="000000" w:sz="4" w:space="0"/>
              <w:right w:val="single" w:color="000000" w:sz="4" w:space="0"/>
            </w:tcBorders>
            <w:vAlign w:val="center"/>
          </w:tcPr>
          <w:p w14:paraId="6E5A8578">
            <w:pPr>
              <w:snapToGrid w:val="0"/>
              <w:spacing w:line="360" w:lineRule="auto"/>
              <w:jc w:val="center"/>
              <w:rPr>
                <w:rStyle w:val="70"/>
                <w:rFonts w:asciiTheme="minorEastAsia" w:hAnsiTheme="minorEastAsia" w:eastAsiaTheme="minorEastAsia"/>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0DBA2A54">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电话</w:t>
            </w:r>
          </w:p>
        </w:tc>
        <w:tc>
          <w:tcPr>
            <w:tcW w:w="2329" w:type="dxa"/>
            <w:tcBorders>
              <w:top w:val="single" w:color="000000" w:sz="4" w:space="0"/>
              <w:left w:val="single" w:color="000000" w:sz="4" w:space="0"/>
              <w:bottom w:val="single" w:color="000000" w:sz="4" w:space="0"/>
              <w:right w:val="single" w:color="000000" w:sz="4" w:space="0"/>
            </w:tcBorders>
            <w:vAlign w:val="center"/>
          </w:tcPr>
          <w:p w14:paraId="1C1BE10E">
            <w:pPr>
              <w:snapToGrid w:val="0"/>
              <w:spacing w:line="360" w:lineRule="auto"/>
              <w:jc w:val="center"/>
              <w:rPr>
                <w:rStyle w:val="70"/>
                <w:rFonts w:asciiTheme="minorEastAsia" w:hAnsiTheme="minorEastAsia" w:eastAsiaTheme="minorEastAsia"/>
                <w:color w:val="auto"/>
                <w:szCs w:val="21"/>
                <w:highlight w:val="none"/>
              </w:rPr>
            </w:pPr>
          </w:p>
        </w:tc>
      </w:tr>
      <w:tr w14:paraId="3D9D9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1144ABBB">
            <w:pPr>
              <w:snapToGrid w:val="0"/>
              <w:spacing w:line="360" w:lineRule="auto"/>
              <w:jc w:val="center"/>
              <w:rPr>
                <w:rStyle w:val="70"/>
                <w:rFonts w:asciiTheme="minorEastAsia" w:hAnsiTheme="minorEastAsia" w:eastAsiaTheme="minorEastAsia"/>
                <w:color w:val="auto"/>
                <w:szCs w:val="21"/>
                <w:highlight w:val="none"/>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76C8960A">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传真</w:t>
            </w:r>
          </w:p>
        </w:tc>
        <w:tc>
          <w:tcPr>
            <w:tcW w:w="3055" w:type="dxa"/>
            <w:tcBorders>
              <w:top w:val="single" w:color="000000" w:sz="4" w:space="0"/>
              <w:left w:val="single" w:color="000000" w:sz="4" w:space="0"/>
              <w:bottom w:val="single" w:color="000000" w:sz="4" w:space="0"/>
              <w:right w:val="single" w:color="000000" w:sz="4" w:space="0"/>
            </w:tcBorders>
            <w:vAlign w:val="center"/>
          </w:tcPr>
          <w:p w14:paraId="756C9E49">
            <w:pPr>
              <w:snapToGrid w:val="0"/>
              <w:spacing w:line="360" w:lineRule="auto"/>
              <w:jc w:val="center"/>
              <w:rPr>
                <w:rStyle w:val="70"/>
                <w:rFonts w:asciiTheme="minorEastAsia" w:hAnsiTheme="minorEastAsia" w:eastAsiaTheme="minorEastAsia"/>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259C3FD0">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网址</w:t>
            </w:r>
          </w:p>
        </w:tc>
        <w:tc>
          <w:tcPr>
            <w:tcW w:w="2329" w:type="dxa"/>
            <w:tcBorders>
              <w:top w:val="single" w:color="000000" w:sz="4" w:space="0"/>
              <w:left w:val="single" w:color="000000" w:sz="4" w:space="0"/>
              <w:bottom w:val="single" w:color="000000" w:sz="4" w:space="0"/>
              <w:right w:val="single" w:color="000000" w:sz="4" w:space="0"/>
            </w:tcBorders>
            <w:vAlign w:val="center"/>
          </w:tcPr>
          <w:p w14:paraId="1DFB5EB4">
            <w:pPr>
              <w:snapToGrid w:val="0"/>
              <w:spacing w:line="360" w:lineRule="auto"/>
              <w:jc w:val="center"/>
              <w:rPr>
                <w:rStyle w:val="70"/>
                <w:rFonts w:asciiTheme="minorEastAsia" w:hAnsiTheme="minorEastAsia" w:eastAsiaTheme="minorEastAsia"/>
                <w:color w:val="auto"/>
                <w:szCs w:val="21"/>
                <w:highlight w:val="none"/>
              </w:rPr>
            </w:pPr>
          </w:p>
        </w:tc>
      </w:tr>
      <w:tr w14:paraId="6F561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5768959C">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法定代表人</w:t>
            </w:r>
          </w:p>
        </w:tc>
        <w:tc>
          <w:tcPr>
            <w:tcW w:w="1077" w:type="dxa"/>
            <w:tcBorders>
              <w:top w:val="single" w:color="000000" w:sz="4" w:space="0"/>
              <w:left w:val="single" w:color="000000" w:sz="4" w:space="0"/>
              <w:bottom w:val="single" w:color="000000" w:sz="4" w:space="0"/>
              <w:right w:val="single" w:color="000000" w:sz="4" w:space="0"/>
            </w:tcBorders>
            <w:vAlign w:val="center"/>
          </w:tcPr>
          <w:p w14:paraId="0B85FD49">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姓名</w:t>
            </w:r>
          </w:p>
        </w:tc>
        <w:tc>
          <w:tcPr>
            <w:tcW w:w="3055" w:type="dxa"/>
            <w:tcBorders>
              <w:top w:val="single" w:color="000000" w:sz="4" w:space="0"/>
              <w:left w:val="single" w:color="000000" w:sz="4" w:space="0"/>
              <w:bottom w:val="single" w:color="000000" w:sz="4" w:space="0"/>
              <w:right w:val="single" w:color="000000" w:sz="4" w:space="0"/>
            </w:tcBorders>
            <w:vAlign w:val="center"/>
          </w:tcPr>
          <w:p w14:paraId="2466ACE3">
            <w:pPr>
              <w:snapToGrid w:val="0"/>
              <w:spacing w:line="360" w:lineRule="auto"/>
              <w:jc w:val="center"/>
              <w:rPr>
                <w:rStyle w:val="70"/>
                <w:rFonts w:asciiTheme="minorEastAsia" w:hAnsiTheme="minorEastAsia" w:eastAsiaTheme="minorEastAsia"/>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1B89C161">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电话</w:t>
            </w:r>
          </w:p>
        </w:tc>
        <w:tc>
          <w:tcPr>
            <w:tcW w:w="2329" w:type="dxa"/>
            <w:tcBorders>
              <w:top w:val="single" w:color="000000" w:sz="4" w:space="0"/>
              <w:left w:val="single" w:color="000000" w:sz="4" w:space="0"/>
              <w:bottom w:val="single" w:color="000000" w:sz="4" w:space="0"/>
              <w:right w:val="single" w:color="000000" w:sz="4" w:space="0"/>
            </w:tcBorders>
            <w:vAlign w:val="center"/>
          </w:tcPr>
          <w:p w14:paraId="558BE535">
            <w:pPr>
              <w:snapToGrid w:val="0"/>
              <w:spacing w:line="360" w:lineRule="auto"/>
              <w:rPr>
                <w:rStyle w:val="70"/>
                <w:rFonts w:asciiTheme="minorEastAsia" w:hAnsiTheme="minorEastAsia" w:eastAsiaTheme="minorEastAsia"/>
                <w:color w:val="auto"/>
                <w:szCs w:val="21"/>
                <w:highlight w:val="none"/>
              </w:rPr>
            </w:pPr>
          </w:p>
        </w:tc>
      </w:tr>
      <w:tr w14:paraId="77415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59CE72D5">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成立时间</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77C5D951">
            <w:pPr>
              <w:snapToGrid w:val="0"/>
              <w:spacing w:line="360" w:lineRule="auto"/>
              <w:jc w:val="center"/>
              <w:rPr>
                <w:rStyle w:val="70"/>
                <w:rFonts w:asciiTheme="minorEastAsia" w:hAnsiTheme="minorEastAsia" w:eastAsiaTheme="minorEastAsia"/>
                <w:color w:val="auto"/>
                <w:szCs w:val="21"/>
                <w:highlight w:val="none"/>
              </w:rPr>
            </w:pPr>
          </w:p>
        </w:tc>
      </w:tr>
      <w:tr w14:paraId="4F44C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06EB6A87">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员工总人数</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129CB270">
            <w:pPr>
              <w:snapToGrid w:val="0"/>
              <w:spacing w:line="360" w:lineRule="auto"/>
              <w:jc w:val="center"/>
              <w:rPr>
                <w:rStyle w:val="70"/>
                <w:rFonts w:asciiTheme="minorEastAsia" w:hAnsiTheme="minorEastAsia" w:eastAsiaTheme="minorEastAsia"/>
                <w:color w:val="auto"/>
                <w:szCs w:val="21"/>
                <w:highlight w:val="none"/>
              </w:rPr>
            </w:pPr>
          </w:p>
        </w:tc>
      </w:tr>
      <w:tr w14:paraId="4CF1B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56AA69B6">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营业执照号</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3B94F31C">
            <w:pPr>
              <w:snapToGrid w:val="0"/>
              <w:spacing w:line="360" w:lineRule="auto"/>
              <w:jc w:val="center"/>
              <w:rPr>
                <w:rStyle w:val="70"/>
                <w:rFonts w:asciiTheme="minorEastAsia" w:hAnsiTheme="minorEastAsia" w:eastAsiaTheme="minorEastAsia"/>
                <w:color w:val="auto"/>
                <w:szCs w:val="21"/>
                <w:highlight w:val="none"/>
              </w:rPr>
            </w:pPr>
          </w:p>
        </w:tc>
      </w:tr>
      <w:tr w14:paraId="33FCC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014E8EBF">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注册资金</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3DBEDFC8">
            <w:pPr>
              <w:snapToGrid w:val="0"/>
              <w:spacing w:line="360" w:lineRule="auto"/>
              <w:jc w:val="center"/>
              <w:rPr>
                <w:rStyle w:val="70"/>
                <w:rFonts w:asciiTheme="minorEastAsia" w:hAnsiTheme="minorEastAsia" w:eastAsiaTheme="minorEastAsia"/>
                <w:color w:val="auto"/>
                <w:szCs w:val="21"/>
                <w:highlight w:val="none"/>
              </w:rPr>
            </w:pPr>
          </w:p>
        </w:tc>
      </w:tr>
      <w:tr w14:paraId="5D3B6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1E1F38BF">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开户银行</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6FFAA562">
            <w:pPr>
              <w:snapToGrid w:val="0"/>
              <w:spacing w:line="360" w:lineRule="auto"/>
              <w:rPr>
                <w:rStyle w:val="70"/>
                <w:rFonts w:asciiTheme="minorEastAsia" w:hAnsiTheme="minorEastAsia" w:eastAsiaTheme="minorEastAsia"/>
                <w:color w:val="auto"/>
                <w:szCs w:val="21"/>
                <w:highlight w:val="none"/>
              </w:rPr>
            </w:pPr>
          </w:p>
        </w:tc>
      </w:tr>
      <w:tr w14:paraId="06F50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06747F5D">
            <w:pPr>
              <w:snapToGrid w:val="0"/>
              <w:spacing w:line="360" w:lineRule="auto"/>
              <w:jc w:val="center"/>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账号</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69AF3BD2">
            <w:pPr>
              <w:snapToGrid w:val="0"/>
              <w:spacing w:line="360" w:lineRule="auto"/>
              <w:rPr>
                <w:rStyle w:val="70"/>
                <w:rFonts w:asciiTheme="minorEastAsia" w:hAnsiTheme="minorEastAsia" w:eastAsiaTheme="minorEastAsia"/>
                <w:color w:val="auto"/>
                <w:szCs w:val="21"/>
                <w:highlight w:val="none"/>
              </w:rPr>
            </w:pPr>
          </w:p>
        </w:tc>
      </w:tr>
      <w:tr w14:paraId="0469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4"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61C87435">
            <w:pPr>
              <w:snapToGrid w:val="0"/>
              <w:spacing w:line="360" w:lineRule="auto"/>
              <w:rPr>
                <w:rStyle w:val="70"/>
                <w:rFonts w:asciiTheme="minorEastAsia" w:hAnsiTheme="minorEastAsia" w:eastAsiaTheme="minorEastAsia"/>
                <w:color w:val="auto"/>
                <w:szCs w:val="21"/>
                <w:highlight w:val="none"/>
              </w:rPr>
            </w:pPr>
            <w:r>
              <w:rPr>
                <w:rStyle w:val="70"/>
                <w:rFonts w:asciiTheme="minorEastAsia" w:hAnsiTheme="minorEastAsia" w:eastAsiaTheme="minorEastAsia"/>
                <w:color w:val="auto"/>
                <w:szCs w:val="21"/>
                <w:highlight w:val="none"/>
              </w:rPr>
              <w:t>经营范围备注</w:t>
            </w:r>
          </w:p>
        </w:tc>
        <w:tc>
          <w:tcPr>
            <w:tcW w:w="7550" w:type="dxa"/>
            <w:gridSpan w:val="4"/>
            <w:tcBorders>
              <w:top w:val="single" w:color="000000" w:sz="4" w:space="0"/>
              <w:left w:val="single" w:color="000000" w:sz="4" w:space="0"/>
              <w:bottom w:val="single" w:color="000000" w:sz="4" w:space="0"/>
              <w:right w:val="single" w:color="000000" w:sz="4" w:space="0"/>
            </w:tcBorders>
          </w:tcPr>
          <w:p w14:paraId="09650FE5">
            <w:pPr>
              <w:snapToGrid w:val="0"/>
              <w:spacing w:line="360" w:lineRule="auto"/>
              <w:ind w:firstLine="420" w:firstLineChars="200"/>
              <w:rPr>
                <w:rStyle w:val="70"/>
                <w:rFonts w:asciiTheme="minorEastAsia" w:hAnsiTheme="minorEastAsia" w:eastAsiaTheme="minorEastAsia"/>
                <w:color w:val="auto"/>
                <w:szCs w:val="21"/>
                <w:highlight w:val="none"/>
              </w:rPr>
            </w:pPr>
          </w:p>
        </w:tc>
      </w:tr>
    </w:tbl>
    <w:p w14:paraId="722B9A39">
      <w:pPr>
        <w:snapToGrid w:val="0"/>
        <w:spacing w:line="360" w:lineRule="auto"/>
        <w:rPr>
          <w:rStyle w:val="70"/>
          <w:rFonts w:asciiTheme="minorEastAsia" w:hAnsiTheme="minorEastAsia" w:eastAsiaTheme="minorEastAsia"/>
          <w:color w:val="auto"/>
          <w:szCs w:val="21"/>
          <w:highlight w:val="none"/>
        </w:rPr>
        <w:sectPr>
          <w:headerReference r:id="rId11" w:type="default"/>
          <w:pgSz w:w="11906" w:h="16838"/>
          <w:pgMar w:top="1418" w:right="924" w:bottom="1418" w:left="1134" w:header="851" w:footer="992" w:gutter="0"/>
          <w:cols w:space="720" w:num="1"/>
          <w:docGrid w:linePitch="312" w:charSpace="0"/>
        </w:sectPr>
      </w:pPr>
      <w:r>
        <w:rPr>
          <w:rStyle w:val="70"/>
          <w:rFonts w:asciiTheme="minorEastAsia" w:hAnsiTheme="minorEastAsia" w:eastAsiaTheme="minorEastAsia"/>
          <w:color w:val="auto"/>
          <w:szCs w:val="21"/>
          <w:highlight w:val="none"/>
        </w:rPr>
        <w:t>应附企业营业执照副本、信用截图、</w:t>
      </w:r>
      <w:r>
        <w:rPr>
          <w:rStyle w:val="70"/>
          <w:rFonts w:hint="eastAsia" w:asciiTheme="minorEastAsia" w:hAnsiTheme="minorEastAsia" w:eastAsiaTheme="minorEastAsia"/>
          <w:color w:val="auto"/>
          <w:szCs w:val="21"/>
          <w:highlight w:val="none"/>
        </w:rPr>
        <w:t>纳税证明、社保证明</w:t>
      </w:r>
      <w:r>
        <w:rPr>
          <w:rStyle w:val="70"/>
          <w:rFonts w:asciiTheme="minorEastAsia" w:hAnsiTheme="minorEastAsia" w:eastAsiaTheme="minorEastAsia"/>
          <w:color w:val="auto"/>
          <w:szCs w:val="21"/>
          <w:highlight w:val="none"/>
        </w:rPr>
        <w:t>等</w:t>
      </w:r>
    </w:p>
    <w:p w14:paraId="625BE16C">
      <w:pPr>
        <w:tabs>
          <w:tab w:val="left" w:pos="900"/>
          <w:tab w:val="left" w:pos="1080"/>
        </w:tabs>
        <w:snapToGrid w:val="0"/>
        <w:spacing w:line="360" w:lineRule="auto"/>
        <w:jc w:val="center"/>
        <w:rPr>
          <w:rStyle w:val="70"/>
          <w:rFonts w:asciiTheme="minorEastAsia" w:hAnsiTheme="minorEastAsia" w:eastAsiaTheme="minorEastAsia"/>
          <w:b/>
          <w:bCs/>
          <w:color w:val="auto"/>
          <w:sz w:val="24"/>
          <w:szCs w:val="28"/>
          <w:highlight w:val="none"/>
        </w:rPr>
      </w:pPr>
      <w:r>
        <w:rPr>
          <w:rStyle w:val="70"/>
          <w:rFonts w:asciiTheme="minorEastAsia" w:hAnsiTheme="minorEastAsia" w:eastAsiaTheme="minorEastAsia"/>
          <w:bCs/>
          <w:color w:val="auto"/>
          <w:kern w:val="0"/>
          <w:sz w:val="28"/>
          <w:szCs w:val="28"/>
          <w:highlight w:val="none"/>
        </w:rPr>
        <w:t>（二）</w:t>
      </w:r>
      <w:r>
        <w:rPr>
          <w:rStyle w:val="70"/>
          <w:rFonts w:asciiTheme="minorEastAsia" w:hAnsiTheme="minorEastAsia" w:eastAsiaTheme="minorEastAsia"/>
          <w:b/>
          <w:color w:val="auto"/>
          <w:sz w:val="24"/>
          <w:highlight w:val="none"/>
        </w:rPr>
        <w:t>（202</w:t>
      </w:r>
      <w:r>
        <w:rPr>
          <w:rStyle w:val="70"/>
          <w:rFonts w:hint="eastAsia" w:asciiTheme="minorEastAsia" w:hAnsiTheme="minorEastAsia" w:eastAsiaTheme="minorEastAsia"/>
          <w:b/>
          <w:color w:val="auto"/>
          <w:sz w:val="24"/>
          <w:highlight w:val="none"/>
          <w:lang w:val="en-US" w:eastAsia="zh-CN"/>
        </w:rPr>
        <w:t>5</w:t>
      </w:r>
      <w:r>
        <w:rPr>
          <w:rStyle w:val="70"/>
          <w:rFonts w:asciiTheme="minorEastAsia" w:hAnsiTheme="minorEastAsia" w:eastAsiaTheme="minorEastAsia"/>
          <w:b/>
          <w:color w:val="auto"/>
          <w:sz w:val="24"/>
          <w:highlight w:val="none"/>
        </w:rPr>
        <w:t>年度）</w:t>
      </w:r>
      <w:r>
        <w:rPr>
          <w:rStyle w:val="70"/>
          <w:rFonts w:asciiTheme="minorEastAsia" w:hAnsiTheme="minorEastAsia" w:eastAsiaTheme="minorEastAsia"/>
          <w:b/>
          <w:bCs/>
          <w:color w:val="auto"/>
          <w:sz w:val="24"/>
          <w:szCs w:val="28"/>
          <w:highlight w:val="none"/>
        </w:rPr>
        <w:t>财务状况表</w:t>
      </w:r>
    </w:p>
    <w:p w14:paraId="6E9ECC30">
      <w:pPr>
        <w:keepLines/>
        <w:snapToGrid w:val="0"/>
        <w:spacing w:before="280" w:after="290" w:line="374" w:lineRule="auto"/>
        <w:jc w:val="center"/>
        <w:rPr>
          <w:rStyle w:val="70"/>
          <w:rFonts w:ascii="Arial" w:hAnsi="Arial" w:eastAsia="黑体"/>
          <w:bCs/>
          <w:color w:val="auto"/>
          <w:kern w:val="0"/>
          <w:sz w:val="28"/>
          <w:szCs w:val="28"/>
        </w:rPr>
      </w:pPr>
      <w:r>
        <w:rPr>
          <w:rStyle w:val="70"/>
          <w:rFonts w:hint="eastAsia" w:asciiTheme="minorEastAsia" w:hAnsiTheme="minorEastAsia" w:eastAsiaTheme="minorEastAsia"/>
          <w:color w:val="auto"/>
          <w:kern w:val="0"/>
          <w:szCs w:val="21"/>
          <w:highlight w:val="none"/>
        </w:rPr>
        <w:t>202</w:t>
      </w:r>
      <w:r>
        <w:rPr>
          <w:rStyle w:val="70"/>
          <w:rFonts w:hint="eastAsia" w:asciiTheme="minorEastAsia" w:hAnsiTheme="minorEastAsia" w:eastAsiaTheme="minorEastAsia"/>
          <w:color w:val="auto"/>
          <w:kern w:val="0"/>
          <w:szCs w:val="21"/>
          <w:highlight w:val="none"/>
          <w:lang w:val="en-US" w:eastAsia="zh-CN"/>
        </w:rPr>
        <w:t>5</w:t>
      </w:r>
      <w:r>
        <w:rPr>
          <w:rStyle w:val="70"/>
          <w:rFonts w:hint="eastAsia" w:asciiTheme="minorEastAsia" w:hAnsiTheme="minorEastAsia" w:eastAsiaTheme="minorEastAsia"/>
          <w:color w:val="auto"/>
          <w:kern w:val="0"/>
          <w:szCs w:val="21"/>
          <w:highlight w:val="none"/>
        </w:rPr>
        <w:t>年度财务审计报告或财务报表（含资产负债表、现金流量表、利润表）（若供应商为202</w:t>
      </w:r>
      <w:r>
        <w:rPr>
          <w:rStyle w:val="70"/>
          <w:rFonts w:hint="eastAsia" w:asciiTheme="minorEastAsia" w:hAnsiTheme="minorEastAsia" w:eastAsiaTheme="minorEastAsia"/>
          <w:color w:val="auto"/>
          <w:kern w:val="0"/>
          <w:szCs w:val="21"/>
          <w:highlight w:val="none"/>
          <w:lang w:val="en-US" w:eastAsia="zh-CN"/>
        </w:rPr>
        <w:t>6</w:t>
      </w:r>
      <w:r>
        <w:rPr>
          <w:rStyle w:val="70"/>
          <w:rFonts w:hint="eastAsia" w:asciiTheme="minorEastAsia" w:hAnsiTheme="minorEastAsia" w:eastAsiaTheme="minorEastAsia"/>
          <w:color w:val="auto"/>
          <w:kern w:val="0"/>
          <w:szCs w:val="21"/>
          <w:highlight w:val="none"/>
        </w:rPr>
        <w:t>年以后注册成立公司的，须提供银行资信证明）</w:t>
      </w:r>
    </w:p>
    <w:p w14:paraId="0C7B9D0B">
      <w:pPr>
        <w:keepLines/>
        <w:snapToGrid w:val="0"/>
        <w:spacing w:before="280" w:after="290" w:line="374" w:lineRule="auto"/>
        <w:jc w:val="center"/>
        <w:rPr>
          <w:rStyle w:val="70"/>
          <w:rFonts w:ascii="Arial" w:hAnsi="Arial" w:eastAsia="黑体"/>
          <w:bCs/>
          <w:color w:val="auto"/>
          <w:kern w:val="0"/>
          <w:sz w:val="28"/>
          <w:szCs w:val="28"/>
        </w:rPr>
      </w:pPr>
    </w:p>
    <w:p w14:paraId="6A3DD41E">
      <w:pPr>
        <w:keepLines/>
        <w:snapToGrid w:val="0"/>
        <w:spacing w:before="280" w:after="290" w:line="374" w:lineRule="auto"/>
        <w:jc w:val="center"/>
        <w:rPr>
          <w:rStyle w:val="70"/>
          <w:rFonts w:ascii="Arial" w:hAnsi="Arial" w:eastAsia="黑体"/>
          <w:bCs/>
          <w:color w:val="auto"/>
          <w:kern w:val="0"/>
          <w:sz w:val="28"/>
          <w:szCs w:val="28"/>
        </w:rPr>
      </w:pPr>
    </w:p>
    <w:p w14:paraId="5EF00B69">
      <w:pPr>
        <w:keepLines/>
        <w:snapToGrid w:val="0"/>
        <w:spacing w:before="280" w:after="290" w:line="374" w:lineRule="auto"/>
        <w:jc w:val="center"/>
        <w:rPr>
          <w:rStyle w:val="70"/>
          <w:rFonts w:ascii="Arial" w:hAnsi="Arial" w:eastAsia="黑体"/>
          <w:bCs/>
          <w:color w:val="auto"/>
          <w:kern w:val="0"/>
          <w:sz w:val="28"/>
          <w:szCs w:val="28"/>
        </w:rPr>
      </w:pPr>
    </w:p>
    <w:p w14:paraId="23215131">
      <w:pPr>
        <w:keepLines/>
        <w:snapToGrid w:val="0"/>
        <w:spacing w:before="280" w:after="290" w:line="374" w:lineRule="auto"/>
        <w:jc w:val="center"/>
        <w:rPr>
          <w:rStyle w:val="70"/>
          <w:rFonts w:ascii="Arial" w:hAnsi="Arial" w:eastAsia="黑体"/>
          <w:bCs/>
          <w:color w:val="auto"/>
          <w:kern w:val="0"/>
          <w:sz w:val="28"/>
          <w:szCs w:val="28"/>
        </w:rPr>
      </w:pPr>
    </w:p>
    <w:p w14:paraId="536D6832">
      <w:pPr>
        <w:keepLines/>
        <w:snapToGrid w:val="0"/>
        <w:spacing w:before="280" w:after="290" w:line="374" w:lineRule="auto"/>
        <w:jc w:val="center"/>
        <w:rPr>
          <w:rStyle w:val="70"/>
          <w:rFonts w:ascii="Arial" w:hAnsi="Arial" w:eastAsia="黑体"/>
          <w:bCs/>
          <w:color w:val="auto"/>
          <w:kern w:val="0"/>
          <w:sz w:val="28"/>
          <w:szCs w:val="28"/>
        </w:rPr>
      </w:pPr>
    </w:p>
    <w:p w14:paraId="189197C5">
      <w:pPr>
        <w:keepLines/>
        <w:snapToGrid w:val="0"/>
        <w:spacing w:before="280" w:after="290" w:line="374" w:lineRule="auto"/>
        <w:jc w:val="center"/>
        <w:rPr>
          <w:rStyle w:val="70"/>
          <w:rFonts w:ascii="Arial" w:hAnsi="Arial" w:eastAsia="黑体"/>
          <w:bCs/>
          <w:color w:val="auto"/>
          <w:kern w:val="0"/>
          <w:sz w:val="28"/>
          <w:szCs w:val="28"/>
        </w:rPr>
      </w:pPr>
    </w:p>
    <w:p w14:paraId="739F5738">
      <w:pPr>
        <w:keepLines/>
        <w:snapToGrid w:val="0"/>
        <w:spacing w:before="280" w:after="290" w:line="374" w:lineRule="auto"/>
        <w:jc w:val="center"/>
        <w:rPr>
          <w:rStyle w:val="70"/>
          <w:rFonts w:ascii="Arial" w:hAnsi="Arial" w:eastAsia="黑体"/>
          <w:bCs/>
          <w:color w:val="auto"/>
          <w:kern w:val="0"/>
          <w:sz w:val="28"/>
          <w:szCs w:val="28"/>
        </w:rPr>
      </w:pPr>
    </w:p>
    <w:p w14:paraId="268EDD72">
      <w:pPr>
        <w:keepLines/>
        <w:snapToGrid w:val="0"/>
        <w:spacing w:before="280" w:after="290" w:line="374" w:lineRule="auto"/>
        <w:jc w:val="center"/>
        <w:rPr>
          <w:rStyle w:val="70"/>
          <w:rFonts w:ascii="Arial" w:hAnsi="Arial" w:eastAsia="黑体"/>
          <w:bCs/>
          <w:color w:val="auto"/>
          <w:kern w:val="0"/>
          <w:sz w:val="28"/>
          <w:szCs w:val="28"/>
        </w:rPr>
      </w:pPr>
    </w:p>
    <w:p w14:paraId="355177B4">
      <w:pPr>
        <w:keepLines/>
        <w:snapToGrid w:val="0"/>
        <w:spacing w:before="280" w:after="290" w:line="374" w:lineRule="auto"/>
        <w:jc w:val="center"/>
        <w:rPr>
          <w:rStyle w:val="70"/>
          <w:rFonts w:ascii="Arial" w:hAnsi="Arial" w:eastAsia="黑体"/>
          <w:bCs/>
          <w:color w:val="auto"/>
          <w:kern w:val="0"/>
          <w:sz w:val="28"/>
          <w:szCs w:val="28"/>
        </w:rPr>
      </w:pPr>
    </w:p>
    <w:p w14:paraId="7A237A8E">
      <w:pPr>
        <w:keepLines/>
        <w:snapToGrid w:val="0"/>
        <w:spacing w:before="280" w:after="290" w:line="374" w:lineRule="auto"/>
        <w:jc w:val="center"/>
        <w:rPr>
          <w:rStyle w:val="70"/>
          <w:rFonts w:ascii="Arial" w:hAnsi="Arial" w:eastAsia="黑体"/>
          <w:bCs/>
          <w:color w:val="auto"/>
          <w:kern w:val="0"/>
          <w:sz w:val="28"/>
          <w:szCs w:val="28"/>
        </w:rPr>
      </w:pPr>
    </w:p>
    <w:p w14:paraId="2D6C7BFE">
      <w:pPr>
        <w:keepLines/>
        <w:snapToGrid w:val="0"/>
        <w:spacing w:before="280" w:after="290" w:line="374" w:lineRule="auto"/>
        <w:jc w:val="center"/>
        <w:rPr>
          <w:rStyle w:val="70"/>
          <w:rFonts w:ascii="Arial" w:hAnsi="Arial" w:eastAsia="黑体"/>
          <w:bCs/>
          <w:color w:val="auto"/>
          <w:kern w:val="0"/>
          <w:sz w:val="28"/>
          <w:szCs w:val="28"/>
        </w:rPr>
      </w:pPr>
    </w:p>
    <w:p w14:paraId="5CFA2AC7">
      <w:pPr>
        <w:keepLines/>
        <w:snapToGrid w:val="0"/>
        <w:spacing w:before="280" w:after="290" w:line="374" w:lineRule="auto"/>
        <w:jc w:val="center"/>
        <w:rPr>
          <w:rStyle w:val="70"/>
          <w:rFonts w:ascii="Arial" w:hAnsi="Arial" w:eastAsia="黑体"/>
          <w:bCs/>
          <w:color w:val="auto"/>
          <w:kern w:val="0"/>
          <w:sz w:val="28"/>
          <w:szCs w:val="28"/>
        </w:rPr>
      </w:pPr>
    </w:p>
    <w:p w14:paraId="42DC4595">
      <w:pPr>
        <w:keepLines/>
        <w:snapToGrid w:val="0"/>
        <w:spacing w:before="280" w:after="290" w:line="374" w:lineRule="auto"/>
        <w:jc w:val="center"/>
        <w:rPr>
          <w:rStyle w:val="70"/>
          <w:rFonts w:ascii="Arial" w:hAnsi="Arial" w:eastAsia="黑体"/>
          <w:bCs/>
          <w:color w:val="auto"/>
          <w:kern w:val="0"/>
          <w:sz w:val="28"/>
          <w:szCs w:val="28"/>
        </w:rPr>
      </w:pPr>
    </w:p>
    <w:p w14:paraId="4AD89AA1">
      <w:pPr>
        <w:keepLines/>
        <w:snapToGrid w:val="0"/>
        <w:spacing w:before="280" w:after="290" w:line="374" w:lineRule="auto"/>
        <w:jc w:val="center"/>
        <w:rPr>
          <w:rStyle w:val="70"/>
          <w:rFonts w:ascii="Arial" w:hAnsi="Arial" w:eastAsia="黑体"/>
          <w:bCs/>
          <w:color w:val="auto"/>
          <w:kern w:val="0"/>
          <w:sz w:val="28"/>
          <w:szCs w:val="28"/>
        </w:rPr>
      </w:pPr>
    </w:p>
    <w:p w14:paraId="2128FEC8">
      <w:pPr>
        <w:snapToGrid w:val="0"/>
        <w:rPr>
          <w:rStyle w:val="70"/>
          <w:color w:val="auto"/>
        </w:rPr>
      </w:pPr>
    </w:p>
    <w:p w14:paraId="7AA4D429">
      <w:pPr>
        <w:snapToGrid w:val="0"/>
        <w:rPr>
          <w:rStyle w:val="70"/>
          <w:color w:val="auto"/>
        </w:rPr>
      </w:pPr>
    </w:p>
    <w:p w14:paraId="461AE474">
      <w:pPr>
        <w:tabs>
          <w:tab w:val="left" w:pos="142"/>
        </w:tabs>
        <w:autoSpaceDE w:val="0"/>
        <w:autoSpaceDN w:val="0"/>
        <w:adjustRightInd w:val="0"/>
        <w:spacing w:line="360" w:lineRule="auto"/>
        <w:ind w:left="-2" w:leftChars="-1" w:firstLine="2"/>
        <w:jc w:val="center"/>
        <w:textAlignment w:val="baseline"/>
        <w:outlineLvl w:val="3"/>
        <w:rPr>
          <w:rFonts w:ascii="宋体" w:hAnsi="宋体" w:eastAsia="宋体"/>
          <w:color w:val="auto"/>
          <w:kern w:val="0"/>
          <w:sz w:val="32"/>
          <w:szCs w:val="32"/>
          <w:highlight w:val="none"/>
        </w:rPr>
      </w:pPr>
      <w:r>
        <w:rPr>
          <w:rFonts w:hint="eastAsia" w:ascii="宋体" w:hAnsi="宋体" w:eastAsia="宋体"/>
          <w:color w:val="auto"/>
          <w:kern w:val="0"/>
          <w:sz w:val="32"/>
          <w:szCs w:val="32"/>
          <w:highlight w:val="none"/>
        </w:rPr>
        <w:t>（</w:t>
      </w:r>
      <w:r>
        <w:rPr>
          <w:rFonts w:hint="eastAsia" w:ascii="宋体" w:hAnsi="宋体" w:eastAsia="宋体"/>
          <w:color w:val="auto"/>
          <w:kern w:val="0"/>
          <w:sz w:val="32"/>
          <w:szCs w:val="32"/>
          <w:highlight w:val="none"/>
          <w:lang w:eastAsia="zh-CN"/>
        </w:rPr>
        <w:t>三</w:t>
      </w:r>
      <w:r>
        <w:rPr>
          <w:rFonts w:hint="eastAsia" w:ascii="宋体" w:hAnsi="宋体" w:eastAsia="宋体"/>
          <w:color w:val="auto"/>
          <w:kern w:val="0"/>
          <w:sz w:val="32"/>
          <w:szCs w:val="32"/>
          <w:highlight w:val="none"/>
        </w:rPr>
        <w:t>）商务和技术偏差表</w:t>
      </w:r>
    </w:p>
    <w:p w14:paraId="2AF1C6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p>
    <w:p w14:paraId="1A9DAA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项目编号：　　　</w:t>
      </w:r>
    </w:p>
    <w:tbl>
      <w:tblPr>
        <w:tblStyle w:val="34"/>
        <w:tblpPr w:leftFromText="180" w:rightFromText="180" w:vertAnchor="text" w:horzAnchor="page" w:tblpX="1717" w:tblpY="481"/>
        <w:tblOverlap w:val="never"/>
        <w:tblW w:w="89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386"/>
        <w:gridCol w:w="2074"/>
        <w:gridCol w:w="2303"/>
        <w:gridCol w:w="2191"/>
      </w:tblGrid>
      <w:tr w14:paraId="4BE4D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952" w:type="dxa"/>
            <w:tcBorders>
              <w:tl2br w:val="nil"/>
              <w:tr2bl w:val="nil"/>
            </w:tcBorders>
            <w:noWrap w:val="0"/>
            <w:vAlign w:val="center"/>
          </w:tcPr>
          <w:p w14:paraId="064A83BA">
            <w:pPr>
              <w:jc w:val="center"/>
              <w:rPr>
                <w:rFonts w:hint="eastAsia" w:ascii="宋体" w:hAnsi="宋体" w:eastAsia="宋体" w:cs="Calibri"/>
                <w:color w:val="auto"/>
                <w:kern w:val="0"/>
                <w:sz w:val="21"/>
                <w:szCs w:val="21"/>
                <w:lang w:val="en-US" w:eastAsia="zh-CN"/>
              </w:rPr>
            </w:pPr>
            <w:bookmarkStart w:id="134" w:name="_Toc38373978"/>
            <w:bookmarkStart w:id="135" w:name="_Toc14023"/>
            <w:bookmarkStart w:id="136" w:name="_Toc16842"/>
            <w:bookmarkStart w:id="137" w:name="_Toc9828"/>
            <w:r>
              <w:rPr>
                <w:rFonts w:hint="eastAsia" w:ascii="宋体" w:hAnsi="宋体" w:eastAsia="宋体" w:cs="Calibri"/>
                <w:color w:val="auto"/>
                <w:kern w:val="0"/>
                <w:sz w:val="21"/>
                <w:szCs w:val="21"/>
                <w:lang w:val="en-US" w:eastAsia="zh-CN"/>
              </w:rPr>
              <w:t>序号</w:t>
            </w:r>
            <w:bookmarkEnd w:id="134"/>
            <w:bookmarkEnd w:id="135"/>
            <w:bookmarkEnd w:id="136"/>
            <w:bookmarkEnd w:id="137"/>
          </w:p>
        </w:tc>
        <w:tc>
          <w:tcPr>
            <w:tcW w:w="1386" w:type="dxa"/>
            <w:tcBorders>
              <w:tl2br w:val="nil"/>
              <w:tr2bl w:val="nil"/>
            </w:tcBorders>
            <w:noWrap w:val="0"/>
            <w:vAlign w:val="center"/>
          </w:tcPr>
          <w:p w14:paraId="786650B8">
            <w:pPr>
              <w:jc w:val="center"/>
              <w:rPr>
                <w:rFonts w:hint="default" w:ascii="宋体" w:hAnsi="宋体" w:eastAsia="宋体" w:cs="Calibri"/>
                <w:color w:val="auto"/>
                <w:kern w:val="0"/>
                <w:sz w:val="21"/>
                <w:szCs w:val="21"/>
                <w:lang w:val="en-US" w:eastAsia="zh-CN"/>
              </w:rPr>
            </w:pPr>
            <w:r>
              <w:rPr>
                <w:rFonts w:hint="eastAsia" w:ascii="宋体" w:hAnsi="宋体" w:eastAsia="宋体" w:cs="Calibri"/>
                <w:color w:val="auto"/>
                <w:kern w:val="0"/>
                <w:sz w:val="21"/>
                <w:szCs w:val="21"/>
                <w:lang w:val="en-US" w:eastAsia="zh-CN"/>
              </w:rPr>
              <w:t>项目/磋商文件条款</w:t>
            </w:r>
          </w:p>
        </w:tc>
        <w:tc>
          <w:tcPr>
            <w:tcW w:w="2074" w:type="dxa"/>
            <w:tcBorders>
              <w:tl2br w:val="nil"/>
              <w:tr2bl w:val="nil"/>
            </w:tcBorders>
            <w:noWrap w:val="0"/>
            <w:vAlign w:val="center"/>
          </w:tcPr>
          <w:p w14:paraId="4A55E209">
            <w:pPr>
              <w:jc w:val="center"/>
              <w:rPr>
                <w:rFonts w:hint="eastAsia" w:ascii="宋体" w:hAnsi="宋体" w:eastAsia="宋体" w:cs="Calibri"/>
                <w:color w:val="auto"/>
                <w:kern w:val="0"/>
                <w:sz w:val="21"/>
                <w:szCs w:val="21"/>
                <w:lang w:val="en-US" w:eastAsia="zh-CN"/>
              </w:rPr>
            </w:pPr>
            <w:bookmarkStart w:id="138" w:name="_Toc38373980"/>
            <w:bookmarkStart w:id="139" w:name="_Toc29524"/>
            <w:bookmarkStart w:id="140" w:name="_Toc213"/>
            <w:r>
              <w:rPr>
                <w:rFonts w:hint="eastAsia" w:ascii="宋体" w:hAnsi="宋体" w:eastAsia="宋体" w:cs="Calibri"/>
                <w:color w:val="auto"/>
                <w:kern w:val="0"/>
                <w:sz w:val="21"/>
                <w:szCs w:val="21"/>
                <w:lang w:val="en-US" w:eastAsia="zh-CN"/>
              </w:rPr>
              <w:t>磋商文件</w:t>
            </w:r>
            <w:bookmarkEnd w:id="138"/>
            <w:bookmarkEnd w:id="139"/>
            <w:r>
              <w:rPr>
                <w:rFonts w:hint="eastAsia" w:ascii="宋体" w:hAnsi="宋体" w:eastAsia="宋体" w:cs="Calibri"/>
                <w:color w:val="auto"/>
                <w:kern w:val="0"/>
                <w:sz w:val="21"/>
                <w:szCs w:val="21"/>
                <w:lang w:val="en-US" w:eastAsia="zh-CN"/>
              </w:rPr>
              <w:t>要求</w:t>
            </w:r>
            <w:bookmarkEnd w:id="140"/>
          </w:p>
        </w:tc>
        <w:tc>
          <w:tcPr>
            <w:tcW w:w="2303" w:type="dxa"/>
            <w:tcBorders>
              <w:tl2br w:val="nil"/>
              <w:tr2bl w:val="nil"/>
            </w:tcBorders>
            <w:noWrap w:val="0"/>
            <w:vAlign w:val="center"/>
          </w:tcPr>
          <w:p w14:paraId="5B53D4B6">
            <w:pPr>
              <w:jc w:val="center"/>
              <w:rPr>
                <w:rFonts w:hint="eastAsia" w:ascii="宋体" w:hAnsi="宋体" w:eastAsia="宋体" w:cs="Calibri"/>
                <w:color w:val="auto"/>
                <w:kern w:val="0"/>
                <w:sz w:val="21"/>
                <w:szCs w:val="21"/>
                <w:lang w:val="en-US" w:eastAsia="zh-CN"/>
              </w:rPr>
            </w:pPr>
            <w:bookmarkStart w:id="141" w:name="_Toc38373981"/>
            <w:bookmarkStart w:id="142" w:name="_Toc16327"/>
            <w:bookmarkStart w:id="143" w:name="_Toc26884"/>
            <w:bookmarkStart w:id="144" w:name="_Toc12806"/>
            <w:r>
              <w:rPr>
                <w:rFonts w:hint="eastAsia" w:ascii="宋体" w:hAnsi="宋体" w:eastAsia="宋体" w:cs="Calibri"/>
                <w:color w:val="auto"/>
                <w:kern w:val="0"/>
                <w:sz w:val="21"/>
                <w:szCs w:val="21"/>
                <w:lang w:val="en-US" w:eastAsia="zh-CN"/>
              </w:rPr>
              <w:t>响应文件</w:t>
            </w:r>
            <w:bookmarkEnd w:id="141"/>
            <w:bookmarkEnd w:id="142"/>
            <w:bookmarkEnd w:id="143"/>
            <w:bookmarkEnd w:id="144"/>
            <w:r>
              <w:rPr>
                <w:rFonts w:hint="eastAsia" w:ascii="宋体" w:hAnsi="宋体" w:eastAsia="宋体" w:cs="Calibri"/>
                <w:color w:val="auto"/>
                <w:kern w:val="0"/>
                <w:sz w:val="21"/>
                <w:szCs w:val="21"/>
                <w:lang w:val="en-US" w:eastAsia="zh-CN"/>
              </w:rPr>
              <w:t>响应</w:t>
            </w:r>
          </w:p>
        </w:tc>
        <w:tc>
          <w:tcPr>
            <w:tcW w:w="2191" w:type="dxa"/>
            <w:tcBorders>
              <w:tl2br w:val="nil"/>
              <w:tr2bl w:val="nil"/>
            </w:tcBorders>
            <w:noWrap w:val="0"/>
            <w:vAlign w:val="center"/>
          </w:tcPr>
          <w:p w14:paraId="3E61F490">
            <w:pPr>
              <w:jc w:val="center"/>
              <w:rPr>
                <w:rFonts w:hint="eastAsia" w:ascii="宋体" w:hAnsi="宋体" w:eastAsia="宋体" w:cs="Calibri"/>
                <w:color w:val="auto"/>
                <w:kern w:val="0"/>
                <w:sz w:val="21"/>
                <w:szCs w:val="21"/>
                <w:lang w:val="en-US" w:eastAsia="zh-CN"/>
              </w:rPr>
            </w:pPr>
            <w:r>
              <w:rPr>
                <w:rFonts w:hint="eastAsia" w:ascii="宋体" w:hAnsi="宋体" w:eastAsia="宋体" w:cs="Calibri"/>
                <w:color w:val="auto"/>
                <w:kern w:val="0"/>
                <w:sz w:val="21"/>
                <w:szCs w:val="21"/>
                <w:lang w:val="en-US" w:eastAsia="zh-CN"/>
              </w:rPr>
              <w:t>偏离情况</w:t>
            </w:r>
          </w:p>
        </w:tc>
      </w:tr>
      <w:tr w14:paraId="5E907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2A973351">
            <w:pPr>
              <w:widowControl/>
              <w:spacing w:line="360" w:lineRule="auto"/>
              <w:jc w:val="center"/>
              <w:outlineLvl w:val="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386" w:type="dxa"/>
            <w:tcBorders>
              <w:tl2br w:val="nil"/>
              <w:tr2bl w:val="nil"/>
            </w:tcBorders>
            <w:noWrap w:val="0"/>
            <w:vAlign w:val="top"/>
          </w:tcPr>
          <w:p w14:paraId="222E3EC7">
            <w:pPr>
              <w:widowControl/>
              <w:spacing w:line="360" w:lineRule="auto"/>
              <w:jc w:val="center"/>
              <w:outlineLvl w:val="0"/>
              <w:rPr>
                <w:rFonts w:hint="eastAsia" w:ascii="宋体" w:hAnsi="宋体" w:eastAsia="宋体" w:cs="宋体"/>
                <w:color w:val="auto"/>
                <w:kern w:val="0"/>
                <w:sz w:val="44"/>
                <w:szCs w:val="21"/>
              </w:rPr>
            </w:pPr>
          </w:p>
        </w:tc>
        <w:tc>
          <w:tcPr>
            <w:tcW w:w="2074" w:type="dxa"/>
            <w:tcBorders>
              <w:tl2br w:val="nil"/>
              <w:tr2bl w:val="nil"/>
            </w:tcBorders>
            <w:noWrap w:val="0"/>
            <w:vAlign w:val="top"/>
          </w:tcPr>
          <w:p w14:paraId="61537135">
            <w:pPr>
              <w:widowControl/>
              <w:spacing w:line="360" w:lineRule="auto"/>
              <w:jc w:val="center"/>
              <w:outlineLvl w:val="0"/>
              <w:rPr>
                <w:rFonts w:hint="eastAsia" w:ascii="宋体" w:hAnsi="宋体" w:eastAsia="宋体" w:cs="宋体"/>
                <w:color w:val="auto"/>
                <w:kern w:val="0"/>
                <w:sz w:val="44"/>
                <w:szCs w:val="21"/>
              </w:rPr>
            </w:pPr>
          </w:p>
        </w:tc>
        <w:tc>
          <w:tcPr>
            <w:tcW w:w="2303" w:type="dxa"/>
            <w:tcBorders>
              <w:tl2br w:val="nil"/>
              <w:tr2bl w:val="nil"/>
            </w:tcBorders>
            <w:noWrap w:val="0"/>
            <w:vAlign w:val="top"/>
          </w:tcPr>
          <w:p w14:paraId="25A1529D">
            <w:pPr>
              <w:widowControl/>
              <w:spacing w:line="360" w:lineRule="auto"/>
              <w:jc w:val="center"/>
              <w:outlineLvl w:val="0"/>
              <w:rPr>
                <w:rFonts w:hint="eastAsia" w:ascii="宋体" w:hAnsi="宋体" w:eastAsia="宋体" w:cs="宋体"/>
                <w:color w:val="auto"/>
                <w:kern w:val="0"/>
                <w:sz w:val="44"/>
                <w:szCs w:val="21"/>
              </w:rPr>
            </w:pPr>
          </w:p>
        </w:tc>
        <w:tc>
          <w:tcPr>
            <w:tcW w:w="2191" w:type="dxa"/>
            <w:tcBorders>
              <w:tl2br w:val="nil"/>
              <w:tr2bl w:val="nil"/>
            </w:tcBorders>
            <w:noWrap w:val="0"/>
            <w:vAlign w:val="top"/>
          </w:tcPr>
          <w:p w14:paraId="1E5E1CE8">
            <w:pPr>
              <w:jc w:val="center"/>
              <w:rPr>
                <w:rFonts w:hint="eastAsia" w:ascii="宋体" w:hAnsi="宋体" w:eastAsia="宋体" w:cs="宋体"/>
                <w:color w:val="auto"/>
                <w:kern w:val="0"/>
                <w:sz w:val="21"/>
                <w:szCs w:val="21"/>
              </w:rPr>
            </w:pPr>
            <w:r>
              <w:rPr>
                <w:rFonts w:hint="eastAsia" w:ascii="宋体" w:hAnsi="宋体" w:eastAsia="宋体" w:cs="Calibri"/>
                <w:color w:val="auto"/>
                <w:kern w:val="0"/>
                <w:sz w:val="21"/>
                <w:szCs w:val="21"/>
                <w:lang w:val="en-US" w:eastAsia="zh-CN"/>
              </w:rPr>
              <w:t>若无偏离，请标明 “完全响应”。</w:t>
            </w:r>
          </w:p>
        </w:tc>
      </w:tr>
      <w:tr w14:paraId="65497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6FBCEB3A">
            <w:pPr>
              <w:widowControl/>
              <w:spacing w:line="360" w:lineRule="auto"/>
              <w:jc w:val="center"/>
              <w:outlineLvl w:val="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386" w:type="dxa"/>
            <w:tcBorders>
              <w:tl2br w:val="nil"/>
              <w:tr2bl w:val="nil"/>
            </w:tcBorders>
            <w:noWrap w:val="0"/>
            <w:vAlign w:val="top"/>
          </w:tcPr>
          <w:p w14:paraId="752FB30B">
            <w:pPr>
              <w:widowControl/>
              <w:spacing w:line="360" w:lineRule="auto"/>
              <w:jc w:val="center"/>
              <w:outlineLvl w:val="0"/>
              <w:rPr>
                <w:rFonts w:hint="eastAsia" w:ascii="宋体" w:hAnsi="宋体" w:eastAsia="宋体" w:cs="宋体"/>
                <w:color w:val="auto"/>
                <w:kern w:val="0"/>
                <w:sz w:val="24"/>
                <w:szCs w:val="21"/>
              </w:rPr>
            </w:pPr>
          </w:p>
        </w:tc>
        <w:tc>
          <w:tcPr>
            <w:tcW w:w="2074" w:type="dxa"/>
            <w:tcBorders>
              <w:tl2br w:val="nil"/>
              <w:tr2bl w:val="nil"/>
            </w:tcBorders>
            <w:noWrap w:val="0"/>
            <w:vAlign w:val="top"/>
          </w:tcPr>
          <w:p w14:paraId="149C7F21">
            <w:pPr>
              <w:widowControl/>
              <w:spacing w:line="360" w:lineRule="auto"/>
              <w:jc w:val="center"/>
              <w:outlineLvl w:val="0"/>
              <w:rPr>
                <w:rFonts w:hint="eastAsia" w:ascii="宋体" w:hAnsi="宋体" w:eastAsia="宋体" w:cs="宋体"/>
                <w:color w:val="auto"/>
                <w:kern w:val="0"/>
                <w:sz w:val="24"/>
                <w:szCs w:val="21"/>
              </w:rPr>
            </w:pPr>
          </w:p>
        </w:tc>
        <w:tc>
          <w:tcPr>
            <w:tcW w:w="2303" w:type="dxa"/>
            <w:tcBorders>
              <w:tl2br w:val="nil"/>
              <w:tr2bl w:val="nil"/>
            </w:tcBorders>
            <w:noWrap w:val="0"/>
            <w:vAlign w:val="top"/>
          </w:tcPr>
          <w:p w14:paraId="1A950E97">
            <w:pPr>
              <w:widowControl/>
              <w:spacing w:line="360" w:lineRule="auto"/>
              <w:jc w:val="center"/>
              <w:outlineLvl w:val="0"/>
              <w:rPr>
                <w:rFonts w:hint="eastAsia" w:ascii="宋体" w:hAnsi="宋体" w:eastAsia="宋体" w:cs="宋体"/>
                <w:color w:val="auto"/>
                <w:kern w:val="0"/>
                <w:sz w:val="24"/>
                <w:szCs w:val="21"/>
              </w:rPr>
            </w:pPr>
          </w:p>
        </w:tc>
        <w:tc>
          <w:tcPr>
            <w:tcW w:w="2191" w:type="dxa"/>
            <w:tcBorders>
              <w:tl2br w:val="nil"/>
              <w:tr2bl w:val="nil"/>
            </w:tcBorders>
            <w:noWrap w:val="0"/>
            <w:vAlign w:val="top"/>
          </w:tcPr>
          <w:p w14:paraId="6E8F0A0F">
            <w:pPr>
              <w:widowControl/>
              <w:spacing w:line="360" w:lineRule="auto"/>
              <w:jc w:val="center"/>
              <w:outlineLvl w:val="0"/>
              <w:rPr>
                <w:rFonts w:hint="eastAsia" w:ascii="宋体" w:hAnsi="宋体" w:eastAsia="宋体" w:cs="宋体"/>
                <w:color w:val="auto"/>
                <w:kern w:val="0"/>
                <w:sz w:val="24"/>
                <w:szCs w:val="21"/>
              </w:rPr>
            </w:pPr>
          </w:p>
        </w:tc>
      </w:tr>
      <w:tr w14:paraId="0F29B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7F3F95EF">
            <w:pPr>
              <w:widowControl/>
              <w:spacing w:line="360" w:lineRule="auto"/>
              <w:jc w:val="center"/>
              <w:outlineLvl w:val="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1386" w:type="dxa"/>
            <w:tcBorders>
              <w:tl2br w:val="nil"/>
              <w:tr2bl w:val="nil"/>
            </w:tcBorders>
            <w:noWrap w:val="0"/>
            <w:vAlign w:val="top"/>
          </w:tcPr>
          <w:p w14:paraId="52165D11">
            <w:pPr>
              <w:widowControl/>
              <w:spacing w:line="360" w:lineRule="auto"/>
              <w:jc w:val="center"/>
              <w:outlineLvl w:val="0"/>
              <w:rPr>
                <w:rFonts w:hint="eastAsia" w:ascii="宋体" w:hAnsi="宋体" w:eastAsia="宋体" w:cs="宋体"/>
                <w:color w:val="auto"/>
                <w:kern w:val="0"/>
                <w:sz w:val="24"/>
                <w:szCs w:val="21"/>
              </w:rPr>
            </w:pPr>
          </w:p>
        </w:tc>
        <w:tc>
          <w:tcPr>
            <w:tcW w:w="2074" w:type="dxa"/>
            <w:tcBorders>
              <w:tl2br w:val="nil"/>
              <w:tr2bl w:val="nil"/>
            </w:tcBorders>
            <w:noWrap w:val="0"/>
            <w:vAlign w:val="top"/>
          </w:tcPr>
          <w:p w14:paraId="373A3756">
            <w:pPr>
              <w:widowControl/>
              <w:spacing w:line="360" w:lineRule="auto"/>
              <w:jc w:val="center"/>
              <w:outlineLvl w:val="0"/>
              <w:rPr>
                <w:rFonts w:hint="eastAsia" w:ascii="宋体" w:hAnsi="宋体" w:eastAsia="宋体" w:cs="宋体"/>
                <w:color w:val="auto"/>
                <w:kern w:val="0"/>
                <w:sz w:val="24"/>
                <w:szCs w:val="21"/>
              </w:rPr>
            </w:pPr>
          </w:p>
        </w:tc>
        <w:tc>
          <w:tcPr>
            <w:tcW w:w="2303" w:type="dxa"/>
            <w:tcBorders>
              <w:tl2br w:val="nil"/>
              <w:tr2bl w:val="nil"/>
            </w:tcBorders>
            <w:noWrap w:val="0"/>
            <w:vAlign w:val="top"/>
          </w:tcPr>
          <w:p w14:paraId="0E1D0D7B">
            <w:pPr>
              <w:widowControl/>
              <w:spacing w:line="360" w:lineRule="auto"/>
              <w:jc w:val="center"/>
              <w:outlineLvl w:val="0"/>
              <w:rPr>
                <w:rFonts w:hint="eastAsia" w:ascii="宋体" w:hAnsi="宋体" w:eastAsia="宋体" w:cs="宋体"/>
                <w:color w:val="auto"/>
                <w:kern w:val="0"/>
                <w:sz w:val="24"/>
                <w:szCs w:val="21"/>
              </w:rPr>
            </w:pPr>
          </w:p>
        </w:tc>
        <w:tc>
          <w:tcPr>
            <w:tcW w:w="2191" w:type="dxa"/>
            <w:tcBorders>
              <w:tl2br w:val="nil"/>
              <w:tr2bl w:val="nil"/>
            </w:tcBorders>
            <w:noWrap w:val="0"/>
            <w:vAlign w:val="top"/>
          </w:tcPr>
          <w:p w14:paraId="25489ED3">
            <w:pPr>
              <w:widowControl/>
              <w:spacing w:line="360" w:lineRule="auto"/>
              <w:jc w:val="center"/>
              <w:outlineLvl w:val="0"/>
              <w:rPr>
                <w:rFonts w:hint="eastAsia" w:ascii="宋体" w:hAnsi="宋体" w:eastAsia="宋体" w:cs="宋体"/>
                <w:color w:val="auto"/>
                <w:kern w:val="0"/>
                <w:sz w:val="24"/>
                <w:szCs w:val="21"/>
              </w:rPr>
            </w:pPr>
          </w:p>
        </w:tc>
      </w:tr>
      <w:tr w14:paraId="572BD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2ED593C6">
            <w:pPr>
              <w:widowControl/>
              <w:spacing w:line="360" w:lineRule="auto"/>
              <w:jc w:val="center"/>
              <w:outlineLvl w:val="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1386" w:type="dxa"/>
            <w:tcBorders>
              <w:tl2br w:val="nil"/>
              <w:tr2bl w:val="nil"/>
            </w:tcBorders>
            <w:noWrap w:val="0"/>
            <w:vAlign w:val="top"/>
          </w:tcPr>
          <w:p w14:paraId="5F4F2211">
            <w:pPr>
              <w:widowControl/>
              <w:spacing w:line="360" w:lineRule="auto"/>
              <w:jc w:val="center"/>
              <w:outlineLvl w:val="0"/>
              <w:rPr>
                <w:rFonts w:hint="eastAsia" w:ascii="宋体" w:hAnsi="宋体" w:eastAsia="宋体" w:cs="宋体"/>
                <w:color w:val="auto"/>
                <w:kern w:val="0"/>
                <w:sz w:val="24"/>
                <w:szCs w:val="21"/>
              </w:rPr>
            </w:pPr>
          </w:p>
        </w:tc>
        <w:tc>
          <w:tcPr>
            <w:tcW w:w="2074" w:type="dxa"/>
            <w:tcBorders>
              <w:tl2br w:val="nil"/>
              <w:tr2bl w:val="nil"/>
            </w:tcBorders>
            <w:noWrap w:val="0"/>
            <w:vAlign w:val="top"/>
          </w:tcPr>
          <w:p w14:paraId="46B48213">
            <w:pPr>
              <w:widowControl/>
              <w:spacing w:line="360" w:lineRule="auto"/>
              <w:jc w:val="center"/>
              <w:outlineLvl w:val="0"/>
              <w:rPr>
                <w:rFonts w:hint="eastAsia" w:ascii="宋体" w:hAnsi="宋体" w:eastAsia="宋体" w:cs="宋体"/>
                <w:color w:val="auto"/>
                <w:kern w:val="0"/>
                <w:sz w:val="24"/>
                <w:szCs w:val="21"/>
              </w:rPr>
            </w:pPr>
          </w:p>
        </w:tc>
        <w:tc>
          <w:tcPr>
            <w:tcW w:w="2303" w:type="dxa"/>
            <w:tcBorders>
              <w:tl2br w:val="nil"/>
              <w:tr2bl w:val="nil"/>
            </w:tcBorders>
            <w:noWrap w:val="0"/>
            <w:vAlign w:val="top"/>
          </w:tcPr>
          <w:p w14:paraId="7F86317F">
            <w:pPr>
              <w:widowControl/>
              <w:spacing w:line="360" w:lineRule="auto"/>
              <w:jc w:val="center"/>
              <w:outlineLvl w:val="0"/>
              <w:rPr>
                <w:rFonts w:hint="eastAsia" w:ascii="宋体" w:hAnsi="宋体" w:eastAsia="宋体" w:cs="宋体"/>
                <w:color w:val="auto"/>
                <w:kern w:val="0"/>
                <w:sz w:val="24"/>
                <w:szCs w:val="21"/>
              </w:rPr>
            </w:pPr>
          </w:p>
        </w:tc>
        <w:tc>
          <w:tcPr>
            <w:tcW w:w="2191" w:type="dxa"/>
            <w:tcBorders>
              <w:tl2br w:val="nil"/>
              <w:tr2bl w:val="nil"/>
            </w:tcBorders>
            <w:noWrap w:val="0"/>
            <w:vAlign w:val="top"/>
          </w:tcPr>
          <w:p w14:paraId="7738921B">
            <w:pPr>
              <w:widowControl/>
              <w:spacing w:line="360" w:lineRule="auto"/>
              <w:jc w:val="center"/>
              <w:outlineLvl w:val="0"/>
              <w:rPr>
                <w:rFonts w:hint="eastAsia" w:ascii="宋体" w:hAnsi="宋体" w:eastAsia="宋体" w:cs="宋体"/>
                <w:color w:val="auto"/>
                <w:kern w:val="0"/>
                <w:sz w:val="24"/>
                <w:szCs w:val="21"/>
              </w:rPr>
            </w:pPr>
          </w:p>
        </w:tc>
      </w:tr>
      <w:tr w14:paraId="57F7D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52" w:type="dxa"/>
            <w:tcBorders>
              <w:tl2br w:val="nil"/>
              <w:tr2bl w:val="nil"/>
            </w:tcBorders>
            <w:noWrap w:val="0"/>
            <w:vAlign w:val="top"/>
          </w:tcPr>
          <w:p w14:paraId="5711FEAE">
            <w:pPr>
              <w:widowControl/>
              <w:spacing w:line="360" w:lineRule="auto"/>
              <w:jc w:val="center"/>
              <w:outlineLvl w:val="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1386" w:type="dxa"/>
            <w:tcBorders>
              <w:tl2br w:val="nil"/>
              <w:tr2bl w:val="nil"/>
            </w:tcBorders>
            <w:noWrap w:val="0"/>
            <w:vAlign w:val="top"/>
          </w:tcPr>
          <w:p w14:paraId="2CBE16A7">
            <w:pPr>
              <w:widowControl/>
              <w:spacing w:line="360" w:lineRule="auto"/>
              <w:jc w:val="center"/>
              <w:outlineLvl w:val="0"/>
              <w:rPr>
                <w:rFonts w:hint="eastAsia" w:ascii="宋体" w:hAnsi="宋体" w:eastAsia="宋体" w:cs="宋体"/>
                <w:color w:val="auto"/>
                <w:kern w:val="0"/>
                <w:sz w:val="24"/>
                <w:szCs w:val="21"/>
                <w:lang w:eastAsia="zh-CN"/>
              </w:rPr>
            </w:pPr>
            <w:r>
              <w:rPr>
                <w:rFonts w:hint="eastAsia" w:ascii="宋体" w:hAnsi="宋体" w:eastAsia="宋体" w:cs="宋体"/>
                <w:color w:val="auto"/>
                <w:kern w:val="0"/>
                <w:sz w:val="24"/>
                <w:szCs w:val="21"/>
                <w:lang w:eastAsia="zh-CN"/>
              </w:rPr>
              <w:t>……</w:t>
            </w:r>
          </w:p>
        </w:tc>
        <w:tc>
          <w:tcPr>
            <w:tcW w:w="2074" w:type="dxa"/>
            <w:tcBorders>
              <w:tl2br w:val="nil"/>
              <w:tr2bl w:val="nil"/>
            </w:tcBorders>
            <w:noWrap w:val="0"/>
            <w:vAlign w:val="top"/>
          </w:tcPr>
          <w:p w14:paraId="69C38A9F">
            <w:pPr>
              <w:widowControl/>
              <w:spacing w:line="360" w:lineRule="auto"/>
              <w:jc w:val="center"/>
              <w:outlineLvl w:val="0"/>
              <w:rPr>
                <w:rFonts w:hint="eastAsia" w:ascii="宋体" w:hAnsi="宋体" w:eastAsia="宋体" w:cs="宋体"/>
                <w:color w:val="auto"/>
                <w:kern w:val="0"/>
                <w:sz w:val="24"/>
                <w:szCs w:val="21"/>
              </w:rPr>
            </w:pPr>
          </w:p>
        </w:tc>
        <w:tc>
          <w:tcPr>
            <w:tcW w:w="2303" w:type="dxa"/>
            <w:tcBorders>
              <w:tl2br w:val="nil"/>
              <w:tr2bl w:val="nil"/>
            </w:tcBorders>
            <w:noWrap w:val="0"/>
            <w:vAlign w:val="top"/>
          </w:tcPr>
          <w:p w14:paraId="5829E633">
            <w:pPr>
              <w:widowControl/>
              <w:spacing w:line="360" w:lineRule="auto"/>
              <w:jc w:val="center"/>
              <w:outlineLvl w:val="0"/>
              <w:rPr>
                <w:rFonts w:hint="eastAsia" w:ascii="宋体" w:hAnsi="宋体" w:eastAsia="宋体" w:cs="宋体"/>
                <w:color w:val="auto"/>
                <w:kern w:val="0"/>
                <w:sz w:val="24"/>
                <w:szCs w:val="21"/>
              </w:rPr>
            </w:pPr>
          </w:p>
        </w:tc>
        <w:tc>
          <w:tcPr>
            <w:tcW w:w="2191" w:type="dxa"/>
            <w:tcBorders>
              <w:tl2br w:val="nil"/>
              <w:tr2bl w:val="nil"/>
            </w:tcBorders>
            <w:noWrap w:val="0"/>
            <w:vAlign w:val="top"/>
          </w:tcPr>
          <w:p w14:paraId="7EF4E079">
            <w:pPr>
              <w:widowControl/>
              <w:spacing w:line="360" w:lineRule="auto"/>
              <w:jc w:val="center"/>
              <w:outlineLvl w:val="0"/>
              <w:rPr>
                <w:rFonts w:hint="eastAsia" w:ascii="宋体" w:hAnsi="宋体" w:eastAsia="宋体" w:cs="宋体"/>
                <w:color w:val="auto"/>
                <w:kern w:val="0"/>
                <w:sz w:val="24"/>
                <w:szCs w:val="21"/>
              </w:rPr>
            </w:pPr>
          </w:p>
        </w:tc>
      </w:tr>
    </w:tbl>
    <w:p w14:paraId="14FD42B8">
      <w:pPr>
        <w:spacing w:line="360" w:lineRule="auto"/>
        <w:ind w:firstLine="420" w:firstLineChars="200"/>
        <w:jc w:val="left"/>
        <w:rPr>
          <w:rFonts w:hint="eastAsia" w:ascii="宋体" w:hAnsi="宋体" w:eastAsia="宋体" w:cs="Calibri"/>
          <w:color w:val="auto"/>
          <w:sz w:val="21"/>
          <w:szCs w:val="21"/>
          <w:lang w:val="en-US" w:eastAsia="zh-CN"/>
        </w:rPr>
      </w:pPr>
    </w:p>
    <w:p w14:paraId="57223FA7">
      <w:pPr>
        <w:spacing w:line="360" w:lineRule="auto"/>
        <w:jc w:val="left"/>
        <w:rPr>
          <w:rFonts w:hint="eastAsia" w:ascii="宋体" w:hAnsi="宋体" w:eastAsia="宋体" w:cs="Calibri"/>
          <w:color w:val="auto"/>
          <w:sz w:val="21"/>
          <w:szCs w:val="21"/>
          <w:lang w:val="en-US" w:eastAsia="zh-CN"/>
        </w:rPr>
      </w:pPr>
    </w:p>
    <w:p w14:paraId="23B02B54">
      <w:pPr>
        <w:spacing w:line="360" w:lineRule="auto"/>
        <w:jc w:val="left"/>
        <w:rPr>
          <w:rFonts w:hint="eastAsia" w:ascii="宋体" w:hAnsi="宋体" w:eastAsia="宋体" w:cs="Calibri"/>
          <w:color w:val="auto"/>
          <w:sz w:val="21"/>
          <w:szCs w:val="21"/>
        </w:rPr>
      </w:pPr>
      <w:r>
        <w:rPr>
          <w:rFonts w:hint="eastAsia" w:ascii="宋体" w:hAnsi="宋体" w:eastAsia="宋体" w:cs="Calibri"/>
          <w:color w:val="auto"/>
          <w:sz w:val="21"/>
          <w:szCs w:val="21"/>
          <w:lang w:val="en-US" w:eastAsia="zh-CN"/>
        </w:rPr>
        <w:t>说明：</w:t>
      </w:r>
      <w:r>
        <w:rPr>
          <w:rFonts w:hint="eastAsia" w:ascii="宋体" w:hAnsi="宋体" w:eastAsia="宋体" w:cs="Calibri"/>
          <w:color w:val="auto"/>
          <w:sz w:val="21"/>
          <w:szCs w:val="21"/>
        </w:rPr>
        <w:t>1.此表为表样，行数可自行添加，但表式不变，如不填写视为全部响应招标文件商务</w:t>
      </w:r>
      <w:r>
        <w:rPr>
          <w:rFonts w:hint="eastAsia" w:ascii="宋体" w:hAnsi="宋体" w:cs="Calibri"/>
          <w:color w:val="auto"/>
          <w:sz w:val="21"/>
          <w:szCs w:val="21"/>
          <w:lang w:val="en-US" w:eastAsia="zh-CN"/>
        </w:rPr>
        <w:t>和技术</w:t>
      </w:r>
      <w:r>
        <w:rPr>
          <w:rFonts w:hint="eastAsia" w:ascii="宋体" w:hAnsi="宋体" w:eastAsia="宋体" w:cs="Calibri"/>
          <w:color w:val="auto"/>
          <w:sz w:val="21"/>
          <w:szCs w:val="21"/>
        </w:rPr>
        <w:t>要求。</w:t>
      </w:r>
    </w:p>
    <w:p w14:paraId="4976EB45">
      <w:pPr>
        <w:snapToGrid w:val="0"/>
        <w:textAlignment w:val="baseline"/>
        <w:rPr>
          <w:rFonts w:hint="eastAsia" w:ascii="宋体" w:hAnsi="宋体" w:eastAsia="宋体" w:cs="Calibri"/>
          <w:color w:val="auto"/>
          <w:kern w:val="0"/>
          <w:sz w:val="21"/>
          <w:szCs w:val="21"/>
        </w:rPr>
      </w:pPr>
      <w:r>
        <w:rPr>
          <w:rFonts w:hint="eastAsia" w:ascii="宋体" w:hAnsi="宋体" w:eastAsia="宋体" w:cs="Calibri"/>
          <w:color w:val="auto"/>
          <w:kern w:val="0"/>
          <w:sz w:val="21"/>
          <w:szCs w:val="21"/>
        </w:rPr>
        <w:t>2.偏离情况说明分正偏离、完全响应、负偏离，分别表示优于要求、满足要求、不满足要求。</w:t>
      </w:r>
    </w:p>
    <w:p w14:paraId="5E195F92">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2B34DE37">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1534FAB4">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4CAD1452">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4FB51BDA">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供应商：</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(盖单位章)</w:t>
      </w:r>
    </w:p>
    <w:p w14:paraId="128D7E29">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3F86BA7D">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法定代表人或其委托代理人：</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(签字</w:t>
      </w:r>
      <w:r>
        <w:rPr>
          <w:rFonts w:hint="eastAsia" w:ascii="宋体" w:hAnsi="宋体" w:cs="宋体"/>
          <w:color w:val="auto"/>
          <w:kern w:val="2"/>
          <w:sz w:val="21"/>
          <w:szCs w:val="21"/>
          <w:lang w:val="en-US" w:eastAsia="zh-CN" w:bidi="ar"/>
        </w:rPr>
        <w:t>或盖章</w:t>
      </w:r>
      <w:r>
        <w:rPr>
          <w:rFonts w:hint="eastAsia" w:ascii="宋体" w:hAnsi="宋体" w:eastAsia="宋体" w:cs="宋体"/>
          <w:color w:val="auto"/>
          <w:kern w:val="2"/>
          <w:sz w:val="21"/>
          <w:szCs w:val="21"/>
          <w:lang w:val="en-US" w:eastAsia="zh-CN" w:bidi="ar"/>
        </w:rPr>
        <w:t>)</w:t>
      </w:r>
    </w:p>
    <w:p w14:paraId="0FD1629A">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0CBA8CFC">
      <w:pPr>
        <w:snapToGrid w:val="0"/>
        <w:spacing w:line="360" w:lineRule="auto"/>
        <w:ind w:firstLine="315" w:firstLineChars="150"/>
        <w:rPr>
          <w:rStyle w:val="70"/>
          <w:rFonts w:ascii="宋体" w:hAnsi="宋体"/>
          <w:color w:val="auto"/>
          <w:szCs w:val="21"/>
        </w:rPr>
      </w:pPr>
      <w:r>
        <w:rPr>
          <w:rFonts w:hint="eastAsia" w:ascii="宋体" w:hAnsi="Courier New" w:eastAsia="宋体" w:cs="宋体"/>
          <w:color w:val="auto"/>
          <w:kern w:val="2"/>
          <w:sz w:val="21"/>
          <w:szCs w:val="21"/>
          <w:u w:val="single"/>
          <w:lang w:val="en-US" w:eastAsia="zh-CN" w:bidi="ar"/>
        </w:rPr>
        <w:t xml:space="preserve">      </w:t>
      </w:r>
      <w:r>
        <w:rPr>
          <w:rFonts w:hint="eastAsia" w:ascii="宋体" w:hAnsi="Courier New" w:eastAsia="宋体" w:cs="宋体"/>
          <w:color w:val="auto"/>
          <w:kern w:val="2"/>
          <w:sz w:val="21"/>
          <w:szCs w:val="21"/>
          <w:lang w:val="en-US" w:eastAsia="zh-CN" w:bidi="ar"/>
        </w:rPr>
        <w:t>年</w:t>
      </w:r>
      <w:r>
        <w:rPr>
          <w:rFonts w:hint="eastAsia" w:ascii="宋体" w:hAnsi="Courier New" w:eastAsia="宋体" w:cs="宋体"/>
          <w:color w:val="auto"/>
          <w:kern w:val="2"/>
          <w:sz w:val="21"/>
          <w:szCs w:val="21"/>
          <w:u w:val="single"/>
          <w:lang w:val="en-US" w:eastAsia="zh-CN" w:bidi="ar"/>
        </w:rPr>
        <w:t xml:space="preserve">      </w:t>
      </w:r>
      <w:r>
        <w:rPr>
          <w:rFonts w:hint="eastAsia" w:ascii="宋体" w:hAnsi="Courier New" w:eastAsia="宋体" w:cs="宋体"/>
          <w:color w:val="auto"/>
          <w:kern w:val="2"/>
          <w:sz w:val="21"/>
          <w:szCs w:val="21"/>
          <w:lang w:val="en-US" w:eastAsia="zh-CN" w:bidi="ar"/>
        </w:rPr>
        <w:t>月</w:t>
      </w:r>
      <w:r>
        <w:rPr>
          <w:rFonts w:hint="eastAsia" w:ascii="宋体" w:hAnsi="Courier New" w:eastAsia="宋体" w:cs="宋体"/>
          <w:color w:val="auto"/>
          <w:kern w:val="2"/>
          <w:sz w:val="21"/>
          <w:szCs w:val="21"/>
          <w:u w:val="single"/>
          <w:lang w:val="en-US" w:eastAsia="zh-CN" w:bidi="ar"/>
        </w:rPr>
        <w:t xml:space="preserve">      </w:t>
      </w:r>
      <w:r>
        <w:rPr>
          <w:rFonts w:hint="eastAsia" w:ascii="宋体" w:hAnsi="Courier New" w:eastAsia="宋体" w:cs="宋体"/>
          <w:color w:val="auto"/>
          <w:kern w:val="2"/>
          <w:sz w:val="21"/>
          <w:szCs w:val="21"/>
          <w:lang w:val="en-US" w:eastAsia="zh-CN" w:bidi="ar"/>
        </w:rPr>
        <w:t>日</w:t>
      </w:r>
    </w:p>
    <w:p w14:paraId="7EAEF214">
      <w:pPr>
        <w:widowControl/>
        <w:jc w:val="left"/>
        <w:rPr>
          <w:rFonts w:cs="宋体" w:asciiTheme="minorEastAsia" w:hAnsiTheme="minorEastAsia" w:eastAsiaTheme="minorEastAsia"/>
          <w:color w:val="auto"/>
          <w:kern w:val="0"/>
          <w:sz w:val="32"/>
          <w:szCs w:val="32"/>
          <w:highlight w:val="none"/>
        </w:rPr>
      </w:pPr>
      <w:r>
        <w:rPr>
          <w:rFonts w:cs="宋体" w:asciiTheme="minorEastAsia" w:hAnsiTheme="minorEastAsia" w:eastAsiaTheme="minorEastAsia"/>
          <w:color w:val="auto"/>
          <w:kern w:val="0"/>
          <w:sz w:val="32"/>
          <w:szCs w:val="32"/>
          <w:highlight w:val="none"/>
        </w:rPr>
        <w:br w:type="page"/>
      </w:r>
    </w:p>
    <w:p w14:paraId="5C19C774">
      <w:pPr>
        <w:numPr>
          <w:ilvl w:val="0"/>
          <w:numId w:val="0"/>
        </w:numPr>
        <w:tabs>
          <w:tab w:val="left" w:pos="142"/>
        </w:tabs>
        <w:autoSpaceDE w:val="0"/>
        <w:autoSpaceDN w:val="0"/>
        <w:adjustRightInd w:val="0"/>
        <w:spacing w:line="360" w:lineRule="auto"/>
        <w:ind w:leftChars="-1"/>
        <w:jc w:val="center"/>
        <w:textAlignment w:val="baseline"/>
        <w:outlineLvl w:val="3"/>
        <w:rPr>
          <w:rFonts w:hint="eastAsia" w:asciiTheme="minorEastAsia" w:hAnsiTheme="minorEastAsia" w:eastAsiaTheme="minorEastAsia"/>
          <w:color w:val="auto"/>
          <w:kern w:val="0"/>
          <w:sz w:val="32"/>
          <w:szCs w:val="32"/>
          <w:highlight w:val="none"/>
        </w:rPr>
      </w:pPr>
      <w:r>
        <w:rPr>
          <w:rFonts w:hint="eastAsia" w:asciiTheme="minorEastAsia" w:hAnsiTheme="minorEastAsia" w:eastAsiaTheme="minorEastAsia"/>
          <w:color w:val="auto"/>
          <w:kern w:val="0"/>
          <w:sz w:val="32"/>
          <w:szCs w:val="32"/>
          <w:highlight w:val="none"/>
          <w:lang w:eastAsia="zh-CN"/>
        </w:rPr>
        <w:t>（四）</w:t>
      </w:r>
      <w:r>
        <w:rPr>
          <w:rFonts w:hint="eastAsia" w:asciiTheme="minorEastAsia" w:hAnsiTheme="minorEastAsia" w:eastAsiaTheme="minorEastAsia"/>
          <w:color w:val="auto"/>
          <w:kern w:val="0"/>
          <w:sz w:val="32"/>
          <w:szCs w:val="32"/>
          <w:highlight w:val="none"/>
        </w:rPr>
        <w:t>供应商近年同类业绩情况表</w:t>
      </w:r>
    </w:p>
    <w:p w14:paraId="2F7466A3">
      <w:pPr>
        <w:numPr>
          <w:ilvl w:val="0"/>
          <w:numId w:val="0"/>
        </w:numPr>
        <w:tabs>
          <w:tab w:val="left" w:pos="142"/>
        </w:tabs>
        <w:autoSpaceDE w:val="0"/>
        <w:autoSpaceDN w:val="0"/>
        <w:adjustRightInd w:val="0"/>
        <w:spacing w:line="360" w:lineRule="auto"/>
        <w:ind w:leftChars="-1"/>
        <w:jc w:val="both"/>
        <w:textAlignment w:val="baseline"/>
        <w:outlineLvl w:val="3"/>
        <w:rPr>
          <w:rFonts w:hint="eastAsia" w:asciiTheme="minorEastAsia" w:hAnsiTheme="minorEastAsia" w:eastAsiaTheme="minorEastAsia"/>
          <w:color w:val="auto"/>
          <w:kern w:val="0"/>
          <w:sz w:val="32"/>
          <w:szCs w:val="32"/>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46"/>
      </w:tblGrid>
      <w:tr w14:paraId="738F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526" w:type="dxa"/>
            <w:noWrap w:val="0"/>
            <w:vAlign w:val="center"/>
          </w:tcPr>
          <w:p w14:paraId="2806A908">
            <w:pPr>
              <w:jc w:val="center"/>
              <w:rPr>
                <w:color w:val="auto"/>
              </w:rPr>
            </w:pPr>
            <w:r>
              <w:rPr>
                <w:rFonts w:hint="eastAsia"/>
                <w:color w:val="auto"/>
              </w:rPr>
              <w:t>项目名称</w:t>
            </w:r>
          </w:p>
        </w:tc>
        <w:tc>
          <w:tcPr>
            <w:tcW w:w="6946" w:type="dxa"/>
            <w:noWrap w:val="0"/>
            <w:vAlign w:val="center"/>
          </w:tcPr>
          <w:p w14:paraId="0EE012BE">
            <w:pPr>
              <w:jc w:val="center"/>
              <w:rPr>
                <w:color w:val="auto"/>
              </w:rPr>
            </w:pPr>
          </w:p>
        </w:tc>
      </w:tr>
      <w:tr w14:paraId="2C84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244BA374">
            <w:pPr>
              <w:jc w:val="center"/>
              <w:rPr>
                <w:color w:val="auto"/>
              </w:rPr>
            </w:pPr>
            <w:r>
              <w:rPr>
                <w:rFonts w:hint="eastAsia"/>
                <w:color w:val="auto"/>
                <w:szCs w:val="21"/>
              </w:rPr>
              <w:t>采购规模</w:t>
            </w:r>
          </w:p>
        </w:tc>
        <w:tc>
          <w:tcPr>
            <w:tcW w:w="6946" w:type="dxa"/>
            <w:noWrap w:val="0"/>
            <w:vAlign w:val="center"/>
          </w:tcPr>
          <w:p w14:paraId="1D7F3D80">
            <w:pPr>
              <w:jc w:val="center"/>
              <w:rPr>
                <w:color w:val="auto"/>
              </w:rPr>
            </w:pPr>
          </w:p>
        </w:tc>
      </w:tr>
      <w:tr w14:paraId="2E87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6" w:type="dxa"/>
            <w:noWrap w:val="0"/>
            <w:vAlign w:val="center"/>
          </w:tcPr>
          <w:p w14:paraId="571459AA">
            <w:pPr>
              <w:jc w:val="center"/>
              <w:rPr>
                <w:rFonts w:hint="eastAsia"/>
                <w:color w:val="auto"/>
                <w:szCs w:val="21"/>
              </w:rPr>
            </w:pPr>
            <w:r>
              <w:rPr>
                <w:rFonts w:hint="eastAsia"/>
                <w:color w:val="auto"/>
                <w:szCs w:val="21"/>
              </w:rPr>
              <w:t>采购金额</w:t>
            </w:r>
          </w:p>
        </w:tc>
        <w:tc>
          <w:tcPr>
            <w:tcW w:w="6946" w:type="dxa"/>
            <w:noWrap w:val="0"/>
            <w:vAlign w:val="center"/>
          </w:tcPr>
          <w:p w14:paraId="0D6A2E6F">
            <w:pPr>
              <w:jc w:val="center"/>
              <w:rPr>
                <w:color w:val="auto"/>
              </w:rPr>
            </w:pPr>
          </w:p>
        </w:tc>
      </w:tr>
      <w:tr w14:paraId="4237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6" w:type="dxa"/>
            <w:noWrap w:val="0"/>
            <w:vAlign w:val="center"/>
          </w:tcPr>
          <w:p w14:paraId="692B93BF">
            <w:pPr>
              <w:jc w:val="center"/>
              <w:rPr>
                <w:color w:val="auto"/>
              </w:rPr>
            </w:pPr>
            <w:r>
              <w:rPr>
                <w:rFonts w:hint="eastAsia"/>
                <w:color w:val="auto"/>
                <w:szCs w:val="21"/>
                <w:lang w:eastAsia="zh-CN"/>
              </w:rPr>
              <w:t>服务</w:t>
            </w:r>
            <w:r>
              <w:rPr>
                <w:rFonts w:hint="eastAsia"/>
                <w:color w:val="auto"/>
                <w:szCs w:val="21"/>
              </w:rPr>
              <w:t>期限</w:t>
            </w:r>
          </w:p>
        </w:tc>
        <w:tc>
          <w:tcPr>
            <w:tcW w:w="6946" w:type="dxa"/>
            <w:noWrap w:val="0"/>
            <w:vAlign w:val="center"/>
          </w:tcPr>
          <w:p w14:paraId="4FDBF6D2">
            <w:pPr>
              <w:jc w:val="center"/>
              <w:rPr>
                <w:color w:val="auto"/>
              </w:rPr>
            </w:pPr>
          </w:p>
        </w:tc>
      </w:tr>
      <w:tr w14:paraId="382A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526" w:type="dxa"/>
            <w:noWrap w:val="0"/>
            <w:vAlign w:val="center"/>
          </w:tcPr>
          <w:p w14:paraId="430EF950">
            <w:pPr>
              <w:jc w:val="center"/>
              <w:rPr>
                <w:rFonts w:hint="eastAsia"/>
                <w:color w:val="auto"/>
              </w:rPr>
            </w:pPr>
            <w:r>
              <w:rPr>
                <w:rFonts w:hint="eastAsia"/>
                <w:color w:val="auto"/>
                <w:szCs w:val="21"/>
              </w:rPr>
              <w:t>项目负责人</w:t>
            </w:r>
          </w:p>
        </w:tc>
        <w:tc>
          <w:tcPr>
            <w:tcW w:w="6946" w:type="dxa"/>
            <w:noWrap w:val="0"/>
            <w:vAlign w:val="center"/>
          </w:tcPr>
          <w:p w14:paraId="7C855DC9">
            <w:pPr>
              <w:jc w:val="center"/>
              <w:rPr>
                <w:color w:val="auto"/>
              </w:rPr>
            </w:pPr>
          </w:p>
        </w:tc>
      </w:tr>
      <w:tr w14:paraId="2B0D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526" w:type="dxa"/>
            <w:noWrap w:val="0"/>
            <w:vAlign w:val="center"/>
          </w:tcPr>
          <w:p w14:paraId="7E06283A">
            <w:pPr>
              <w:jc w:val="center"/>
              <w:rPr>
                <w:color w:val="auto"/>
              </w:rPr>
            </w:pPr>
            <w:r>
              <w:rPr>
                <w:rFonts w:hint="eastAsia"/>
                <w:color w:val="auto"/>
              </w:rPr>
              <w:t>买方名称</w:t>
            </w:r>
          </w:p>
        </w:tc>
        <w:tc>
          <w:tcPr>
            <w:tcW w:w="6946" w:type="dxa"/>
            <w:noWrap w:val="0"/>
            <w:vAlign w:val="center"/>
          </w:tcPr>
          <w:p w14:paraId="7821BC52">
            <w:pPr>
              <w:jc w:val="center"/>
              <w:rPr>
                <w:color w:val="auto"/>
              </w:rPr>
            </w:pPr>
          </w:p>
        </w:tc>
      </w:tr>
      <w:tr w14:paraId="03D4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526" w:type="dxa"/>
            <w:noWrap w:val="0"/>
            <w:vAlign w:val="center"/>
          </w:tcPr>
          <w:p w14:paraId="5CB47ABA">
            <w:pPr>
              <w:jc w:val="center"/>
              <w:rPr>
                <w:color w:val="auto"/>
              </w:rPr>
            </w:pPr>
            <w:r>
              <w:rPr>
                <w:rFonts w:hint="eastAsia"/>
                <w:color w:val="auto"/>
              </w:rPr>
              <w:t>买方联系人及电话</w:t>
            </w:r>
          </w:p>
        </w:tc>
        <w:tc>
          <w:tcPr>
            <w:tcW w:w="6946" w:type="dxa"/>
            <w:noWrap w:val="0"/>
            <w:vAlign w:val="center"/>
          </w:tcPr>
          <w:p w14:paraId="7C6E7684">
            <w:pPr>
              <w:jc w:val="center"/>
              <w:rPr>
                <w:color w:val="auto"/>
              </w:rPr>
            </w:pPr>
          </w:p>
        </w:tc>
      </w:tr>
      <w:tr w14:paraId="58F8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526" w:type="dxa"/>
            <w:noWrap w:val="0"/>
            <w:vAlign w:val="center"/>
          </w:tcPr>
          <w:p w14:paraId="54D4771A">
            <w:pPr>
              <w:jc w:val="center"/>
              <w:rPr>
                <w:color w:val="auto"/>
              </w:rPr>
            </w:pPr>
            <w:r>
              <w:rPr>
                <w:rFonts w:hint="eastAsia"/>
                <w:color w:val="auto"/>
              </w:rPr>
              <w:t>项目概况及投标人履约情况</w:t>
            </w:r>
          </w:p>
        </w:tc>
        <w:tc>
          <w:tcPr>
            <w:tcW w:w="6946" w:type="dxa"/>
            <w:noWrap w:val="0"/>
            <w:vAlign w:val="center"/>
          </w:tcPr>
          <w:p w14:paraId="0FEAED9C">
            <w:pPr>
              <w:jc w:val="center"/>
              <w:rPr>
                <w:color w:val="auto"/>
              </w:rPr>
            </w:pPr>
          </w:p>
        </w:tc>
      </w:tr>
      <w:tr w14:paraId="7B48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26" w:type="dxa"/>
            <w:noWrap w:val="0"/>
            <w:vAlign w:val="center"/>
          </w:tcPr>
          <w:p w14:paraId="4953AC1E">
            <w:pPr>
              <w:jc w:val="center"/>
              <w:rPr>
                <w:color w:val="auto"/>
              </w:rPr>
            </w:pPr>
            <w:r>
              <w:rPr>
                <w:rFonts w:hint="eastAsia"/>
                <w:color w:val="auto"/>
              </w:rPr>
              <w:t>备注</w:t>
            </w:r>
          </w:p>
        </w:tc>
        <w:tc>
          <w:tcPr>
            <w:tcW w:w="6946" w:type="dxa"/>
            <w:noWrap w:val="0"/>
            <w:vAlign w:val="center"/>
          </w:tcPr>
          <w:p w14:paraId="06691084">
            <w:pPr>
              <w:jc w:val="center"/>
              <w:rPr>
                <w:color w:val="auto"/>
              </w:rPr>
            </w:pPr>
          </w:p>
        </w:tc>
      </w:tr>
    </w:tbl>
    <w:p w14:paraId="4073DCA0">
      <w:pPr>
        <w:spacing w:line="360" w:lineRule="auto"/>
        <w:ind w:firstLine="420" w:firstLineChars="200"/>
        <w:jc w:val="center"/>
        <w:rPr>
          <w:rFonts w:hint="eastAsia" w:cs="宋体" w:asciiTheme="minorEastAsia" w:hAnsiTheme="minorEastAsia" w:eastAsiaTheme="minorEastAsia"/>
          <w:b/>
          <w:color w:val="auto"/>
          <w:kern w:val="0"/>
          <w:sz w:val="32"/>
          <w:szCs w:val="18"/>
          <w:lang w:val="zh-CN"/>
        </w:rPr>
      </w:pPr>
      <w:r>
        <w:rPr>
          <w:rFonts w:hint="eastAsia"/>
          <w:color w:val="auto"/>
        </w:rPr>
        <w:t>注：</w:t>
      </w:r>
      <w:r>
        <w:rPr>
          <w:rFonts w:hint="eastAsia" w:ascii="宋体" w:hAnsi="宋体"/>
          <w:color w:val="auto"/>
          <w:szCs w:val="21"/>
        </w:rPr>
        <w:t>本表后附类似</w:t>
      </w:r>
      <w:r>
        <w:rPr>
          <w:rFonts w:hint="eastAsia"/>
          <w:color w:val="auto"/>
        </w:rPr>
        <w:t>相关业绩证明材料</w:t>
      </w:r>
      <w:r>
        <w:rPr>
          <w:rFonts w:hint="eastAsia" w:ascii="宋体" w:hAnsi="宋体"/>
          <w:color w:val="auto"/>
          <w:szCs w:val="21"/>
        </w:rPr>
        <w:t>；具体年份要求见投标人须知前附表。</w:t>
      </w:r>
    </w:p>
    <w:p w14:paraId="6D315381">
      <w:pPr>
        <w:spacing w:line="360" w:lineRule="auto"/>
        <w:ind w:firstLine="643" w:firstLineChars="200"/>
        <w:jc w:val="center"/>
        <w:rPr>
          <w:rFonts w:hint="eastAsia" w:cs="宋体" w:asciiTheme="minorEastAsia" w:hAnsiTheme="minorEastAsia" w:eastAsiaTheme="minorEastAsia"/>
          <w:b/>
          <w:color w:val="auto"/>
          <w:kern w:val="0"/>
          <w:sz w:val="32"/>
          <w:szCs w:val="18"/>
          <w:lang w:val="zh-CN"/>
        </w:rPr>
      </w:pPr>
    </w:p>
    <w:p w14:paraId="0D8C57DC">
      <w:pPr>
        <w:spacing w:line="360" w:lineRule="auto"/>
        <w:ind w:firstLine="643" w:firstLineChars="200"/>
        <w:jc w:val="center"/>
        <w:rPr>
          <w:rFonts w:hint="eastAsia" w:cs="宋体" w:asciiTheme="minorEastAsia" w:hAnsiTheme="minorEastAsia" w:eastAsiaTheme="minorEastAsia"/>
          <w:b/>
          <w:color w:val="auto"/>
          <w:kern w:val="0"/>
          <w:sz w:val="32"/>
          <w:szCs w:val="18"/>
          <w:lang w:val="zh-CN"/>
        </w:rPr>
      </w:pPr>
    </w:p>
    <w:p w14:paraId="4F2509F8">
      <w:pPr>
        <w:spacing w:line="360" w:lineRule="auto"/>
        <w:ind w:firstLine="643" w:firstLineChars="200"/>
        <w:jc w:val="center"/>
        <w:rPr>
          <w:rFonts w:hint="eastAsia" w:cs="宋体" w:asciiTheme="minorEastAsia" w:hAnsiTheme="minorEastAsia" w:eastAsiaTheme="minorEastAsia"/>
          <w:b/>
          <w:color w:val="auto"/>
          <w:kern w:val="0"/>
          <w:sz w:val="32"/>
          <w:szCs w:val="18"/>
          <w:lang w:val="zh-CN"/>
        </w:rPr>
      </w:pPr>
    </w:p>
    <w:p w14:paraId="196B4279">
      <w:pPr>
        <w:spacing w:line="360" w:lineRule="auto"/>
        <w:ind w:firstLine="643" w:firstLineChars="200"/>
        <w:jc w:val="center"/>
        <w:rPr>
          <w:rFonts w:hint="eastAsia" w:cs="宋体" w:asciiTheme="minorEastAsia" w:hAnsiTheme="minorEastAsia" w:eastAsiaTheme="minorEastAsia"/>
          <w:b/>
          <w:color w:val="auto"/>
          <w:kern w:val="0"/>
          <w:sz w:val="32"/>
          <w:szCs w:val="18"/>
          <w:lang w:val="zh-CN"/>
        </w:rPr>
      </w:pPr>
    </w:p>
    <w:p w14:paraId="6328ABDB">
      <w:pPr>
        <w:spacing w:line="360" w:lineRule="auto"/>
        <w:ind w:firstLine="643" w:firstLineChars="200"/>
        <w:jc w:val="center"/>
        <w:rPr>
          <w:rFonts w:asciiTheme="minorEastAsia" w:hAnsiTheme="minorEastAsia" w:eastAsiaTheme="minorEastAsia"/>
          <w:b/>
          <w:color w:val="auto"/>
          <w:sz w:val="32"/>
          <w:szCs w:val="32"/>
        </w:rPr>
      </w:pPr>
      <w:r>
        <w:rPr>
          <w:rFonts w:hint="eastAsia" w:cs="宋体" w:asciiTheme="minorEastAsia" w:hAnsiTheme="minorEastAsia" w:eastAsiaTheme="minorEastAsia"/>
          <w:b/>
          <w:color w:val="auto"/>
          <w:kern w:val="0"/>
          <w:sz w:val="32"/>
          <w:szCs w:val="18"/>
          <w:lang w:val="zh-CN"/>
        </w:rPr>
        <w:t>七、</w:t>
      </w:r>
      <w:r>
        <w:rPr>
          <w:rFonts w:hint="eastAsia" w:asciiTheme="minorEastAsia" w:hAnsiTheme="minorEastAsia" w:eastAsiaTheme="minorEastAsia"/>
          <w:b/>
          <w:color w:val="auto"/>
          <w:sz w:val="32"/>
          <w:szCs w:val="32"/>
        </w:rPr>
        <w:t>承诺书</w:t>
      </w:r>
    </w:p>
    <w:p w14:paraId="15B53175">
      <w:pPr>
        <w:spacing w:line="360" w:lineRule="auto"/>
        <w:jc w:val="center"/>
        <w:rPr>
          <w:rFonts w:asciiTheme="minorEastAsia" w:hAnsiTheme="minorEastAsia" w:eastAsiaTheme="minorEastAsia"/>
          <w:color w:val="auto"/>
          <w:sz w:val="24"/>
          <w:szCs w:val="22"/>
        </w:rPr>
      </w:pPr>
    </w:p>
    <w:p w14:paraId="7778BFA9">
      <w:pPr>
        <w:spacing w:line="360" w:lineRule="auto"/>
        <w:rPr>
          <w:rFonts w:asciiTheme="minorEastAsia" w:hAnsiTheme="minorEastAsia" w:eastAsiaTheme="minorEastAsia"/>
          <w:color w:val="auto"/>
          <w:sz w:val="24"/>
          <w:szCs w:val="22"/>
        </w:rPr>
      </w:pPr>
    </w:p>
    <w:p w14:paraId="101D9895">
      <w:pPr>
        <w:ind w:firstLine="643" w:firstLineChars="20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（1）在经营活动中没有重大违法记录的承诺书</w:t>
      </w:r>
    </w:p>
    <w:p w14:paraId="5E04C163">
      <w:pPr>
        <w:rPr>
          <w:rFonts w:asciiTheme="minorEastAsia" w:hAnsiTheme="minorEastAsia" w:eastAsiaTheme="minorEastAsia"/>
          <w:color w:val="auto"/>
          <w:sz w:val="24"/>
          <w:szCs w:val="20"/>
        </w:rPr>
      </w:pPr>
    </w:p>
    <w:p w14:paraId="6098CBBB">
      <w:pPr>
        <w:spacing w:line="360" w:lineRule="auto"/>
        <w:ind w:firstLine="480" w:firstLineChars="200"/>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本单位郑重声明：</w:t>
      </w:r>
    </w:p>
    <w:p w14:paraId="1FFA7D55">
      <w:pPr>
        <w:spacing w:line="360" w:lineRule="auto"/>
        <w:ind w:firstLine="480" w:firstLineChars="200"/>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我单位参加本次采购活动前三年内，在经营活动中没有不良经营行为、重大安全事故及质量问题、因供应商违约或不恰当履约引起的合同争议纠纷及仲裁和诉讼等重大违法记录。</w:t>
      </w:r>
    </w:p>
    <w:p w14:paraId="65FCC896">
      <w:pPr>
        <w:spacing w:line="360" w:lineRule="auto"/>
        <w:ind w:firstLine="480" w:firstLineChars="200"/>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特此声明！</w:t>
      </w:r>
    </w:p>
    <w:p w14:paraId="58F9128A">
      <w:pPr>
        <w:ind w:firstLine="480" w:firstLineChars="200"/>
        <w:rPr>
          <w:rFonts w:asciiTheme="minorEastAsia" w:hAnsiTheme="minorEastAsia" w:eastAsiaTheme="minorEastAsia"/>
          <w:color w:val="auto"/>
          <w:sz w:val="24"/>
          <w:szCs w:val="20"/>
        </w:rPr>
      </w:pPr>
    </w:p>
    <w:p w14:paraId="4BD1402C">
      <w:pPr>
        <w:ind w:firstLine="480" w:firstLineChars="200"/>
        <w:rPr>
          <w:rFonts w:asciiTheme="minorEastAsia" w:hAnsiTheme="minorEastAsia" w:eastAsiaTheme="minorEastAsia"/>
          <w:color w:val="auto"/>
          <w:sz w:val="24"/>
          <w:szCs w:val="20"/>
        </w:rPr>
      </w:pPr>
    </w:p>
    <w:p w14:paraId="258E5D96">
      <w:pPr>
        <w:ind w:firstLine="480" w:firstLineChars="200"/>
        <w:rPr>
          <w:rFonts w:asciiTheme="minorEastAsia" w:hAnsiTheme="minorEastAsia" w:eastAsiaTheme="minorEastAsia"/>
          <w:color w:val="auto"/>
          <w:sz w:val="24"/>
          <w:szCs w:val="20"/>
        </w:rPr>
      </w:pPr>
    </w:p>
    <w:p w14:paraId="4DBDFD8D">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供应商</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（盖单位章）</w:t>
      </w:r>
    </w:p>
    <w:p w14:paraId="518F89CD">
      <w:pPr>
        <w:spacing w:line="360" w:lineRule="auto"/>
        <w:jc w:val="left"/>
        <w:rPr>
          <w:rFonts w:asciiTheme="minorEastAsia" w:hAnsiTheme="minorEastAsia" w:eastAsiaTheme="minorEastAsia"/>
          <w:color w:val="auto"/>
          <w:sz w:val="24"/>
        </w:rPr>
      </w:pPr>
    </w:p>
    <w:p w14:paraId="50B325FC">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法定代表人或其委托代理人：</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（签字或盖章）</w:t>
      </w:r>
    </w:p>
    <w:p w14:paraId="3DE4F0DA">
      <w:pPr>
        <w:spacing w:line="360" w:lineRule="auto"/>
        <w:jc w:val="left"/>
        <w:rPr>
          <w:rFonts w:asciiTheme="minorEastAsia" w:hAnsiTheme="minorEastAsia" w:eastAsiaTheme="minorEastAsia"/>
          <w:color w:val="auto"/>
          <w:sz w:val="24"/>
        </w:rPr>
      </w:pPr>
    </w:p>
    <w:p w14:paraId="4D925BEA">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日  期：   年   月   日</w:t>
      </w:r>
    </w:p>
    <w:p w14:paraId="0A7F46C1">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br w:type="page"/>
      </w:r>
    </w:p>
    <w:p w14:paraId="578127BC">
      <w:pPr>
        <w:widowControl/>
        <w:jc w:val="center"/>
        <w:rPr>
          <w:rFonts w:asciiTheme="minorEastAsia" w:hAnsiTheme="minorEastAsia" w:eastAsiaTheme="minorEastAsia"/>
          <w:b/>
          <w:bCs/>
          <w:color w:val="auto"/>
          <w:sz w:val="24"/>
        </w:rPr>
      </w:pPr>
      <w:r>
        <w:rPr>
          <w:rFonts w:hint="eastAsia" w:cs="宋体" w:asciiTheme="minorEastAsia" w:hAnsiTheme="minorEastAsia" w:eastAsiaTheme="minorEastAsia"/>
          <w:color w:val="auto"/>
          <w:sz w:val="30"/>
          <w:szCs w:val="30"/>
        </w:rPr>
        <w:t>（2）</w:t>
      </w:r>
      <w:r>
        <w:rPr>
          <w:rFonts w:hint="eastAsia" w:cs="宋体" w:asciiTheme="minorEastAsia" w:hAnsiTheme="minorEastAsia" w:eastAsiaTheme="minorEastAsia"/>
          <w:b/>
          <w:bCs/>
          <w:color w:val="auto"/>
          <w:sz w:val="24"/>
        </w:rPr>
        <w:t>无不良信用记录承诺书</w:t>
      </w:r>
    </w:p>
    <w:p w14:paraId="7500DEF3">
      <w:pPr>
        <w:spacing w:line="460" w:lineRule="exact"/>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致</w:t>
      </w:r>
      <w:r>
        <w:rPr>
          <w:rFonts w:asciiTheme="minorEastAsia" w:hAnsiTheme="minorEastAsia" w:eastAsiaTheme="minorEastAsia"/>
          <w:color w:val="auto"/>
          <w:sz w:val="24"/>
          <w:szCs w:val="20"/>
        </w:rPr>
        <w:t>______(</w:t>
      </w:r>
      <w:r>
        <w:rPr>
          <w:rFonts w:hint="eastAsia" w:asciiTheme="minorEastAsia" w:hAnsiTheme="minorEastAsia" w:eastAsiaTheme="minorEastAsia"/>
          <w:color w:val="auto"/>
          <w:sz w:val="24"/>
          <w:szCs w:val="20"/>
        </w:rPr>
        <w:t>采购人</w:t>
      </w:r>
      <w:r>
        <w:rPr>
          <w:rFonts w:asciiTheme="minorEastAsia" w:hAnsiTheme="minorEastAsia" w:eastAsiaTheme="minorEastAsia"/>
          <w:color w:val="auto"/>
          <w:sz w:val="24"/>
          <w:szCs w:val="20"/>
        </w:rPr>
        <w:t>)</w:t>
      </w:r>
      <w:r>
        <w:rPr>
          <w:rFonts w:hint="eastAsia" w:asciiTheme="minorEastAsia" w:hAnsiTheme="minorEastAsia" w:eastAsiaTheme="minorEastAsia"/>
          <w:color w:val="auto"/>
          <w:sz w:val="24"/>
          <w:szCs w:val="20"/>
        </w:rPr>
        <w:t>：</w:t>
      </w:r>
    </w:p>
    <w:p w14:paraId="0FCD6DEB">
      <w:pPr>
        <w:spacing w:line="360" w:lineRule="auto"/>
        <w:rPr>
          <w:rFonts w:asciiTheme="minorEastAsia" w:hAnsiTheme="minorEastAsia" w:eastAsiaTheme="minorEastAsia"/>
          <w:color w:val="auto"/>
          <w:sz w:val="24"/>
          <w:szCs w:val="22"/>
        </w:rPr>
      </w:pPr>
      <w:r>
        <w:rPr>
          <w:rFonts w:cs="宋体" w:asciiTheme="minorEastAsia" w:hAnsiTheme="minorEastAsia" w:eastAsiaTheme="minorEastAsia"/>
          <w:color w:val="auto"/>
          <w:sz w:val="24"/>
          <w:szCs w:val="22"/>
        </w:rPr>
        <w:t xml:space="preserve">    </w:t>
      </w:r>
      <w:r>
        <w:rPr>
          <w:rFonts w:hint="eastAsia" w:cs="宋体" w:asciiTheme="minorEastAsia" w:hAnsiTheme="minorEastAsia" w:eastAsiaTheme="minorEastAsia"/>
          <w:color w:val="auto"/>
          <w:sz w:val="24"/>
          <w:szCs w:val="22"/>
        </w:rPr>
        <w:t>本单位郑重承诺，我单位无以下不良信用记录情形：</w:t>
      </w:r>
    </w:p>
    <w:p w14:paraId="327CF52B">
      <w:pPr>
        <w:spacing w:line="360" w:lineRule="auto"/>
        <w:ind w:firstLine="435"/>
        <w:rPr>
          <w:rFonts w:asciiTheme="minorEastAsia" w:hAnsiTheme="minorEastAsia" w:eastAsiaTheme="minorEastAsia"/>
          <w:color w:val="auto"/>
          <w:sz w:val="24"/>
          <w:szCs w:val="22"/>
        </w:rPr>
      </w:pPr>
      <w:r>
        <w:rPr>
          <w:rFonts w:cs="宋体" w:asciiTheme="minorEastAsia" w:hAnsiTheme="minorEastAsia" w:eastAsiaTheme="minorEastAsia"/>
          <w:color w:val="auto"/>
          <w:sz w:val="24"/>
          <w:szCs w:val="22"/>
        </w:rPr>
        <w:t>1</w:t>
      </w:r>
      <w:r>
        <w:rPr>
          <w:rFonts w:hint="eastAsia" w:cs="宋体" w:asciiTheme="minorEastAsia" w:hAnsiTheme="minorEastAsia" w:eastAsiaTheme="minorEastAsia"/>
          <w:color w:val="auto"/>
          <w:sz w:val="24"/>
          <w:szCs w:val="22"/>
        </w:rPr>
        <w:t>、被人民法院列入失信被执行人；</w:t>
      </w:r>
    </w:p>
    <w:p w14:paraId="6C6BAB57">
      <w:pPr>
        <w:spacing w:line="360" w:lineRule="auto"/>
        <w:ind w:firstLine="435"/>
        <w:rPr>
          <w:rFonts w:asciiTheme="minorEastAsia" w:hAnsiTheme="minorEastAsia" w:eastAsiaTheme="minorEastAsia"/>
          <w:color w:val="auto"/>
          <w:sz w:val="24"/>
          <w:szCs w:val="22"/>
        </w:rPr>
      </w:pPr>
      <w:r>
        <w:rPr>
          <w:rFonts w:cs="宋体" w:asciiTheme="minorEastAsia" w:hAnsiTheme="minorEastAsia" w:eastAsiaTheme="minorEastAsia"/>
          <w:color w:val="auto"/>
          <w:sz w:val="24"/>
          <w:szCs w:val="22"/>
        </w:rPr>
        <w:t>2</w:t>
      </w:r>
      <w:r>
        <w:rPr>
          <w:rFonts w:hint="eastAsia" w:cs="宋体" w:asciiTheme="minorEastAsia" w:hAnsiTheme="minorEastAsia" w:eastAsiaTheme="minorEastAsia"/>
          <w:color w:val="auto"/>
          <w:sz w:val="24"/>
          <w:szCs w:val="22"/>
        </w:rPr>
        <w:t>、被税务部门列入重大税收违法案件当事人名单；</w:t>
      </w:r>
    </w:p>
    <w:p w14:paraId="7055E6A5">
      <w:pPr>
        <w:spacing w:line="360" w:lineRule="auto"/>
        <w:ind w:firstLine="435"/>
        <w:rPr>
          <w:rFonts w:asciiTheme="minorEastAsia" w:hAnsiTheme="minorEastAsia" w:eastAsiaTheme="minorEastAsia"/>
          <w:color w:val="auto"/>
          <w:sz w:val="24"/>
          <w:szCs w:val="22"/>
        </w:rPr>
      </w:pPr>
      <w:r>
        <w:rPr>
          <w:rFonts w:cs="宋体" w:asciiTheme="minorEastAsia" w:hAnsiTheme="minorEastAsia" w:eastAsiaTheme="minorEastAsia"/>
          <w:color w:val="auto"/>
          <w:sz w:val="24"/>
          <w:szCs w:val="22"/>
        </w:rPr>
        <w:t>3</w:t>
      </w:r>
      <w:r>
        <w:rPr>
          <w:rFonts w:hint="eastAsia" w:cs="宋体" w:asciiTheme="minorEastAsia" w:hAnsiTheme="minorEastAsia" w:eastAsiaTheme="minorEastAsia"/>
          <w:color w:val="auto"/>
          <w:sz w:val="24"/>
          <w:szCs w:val="22"/>
        </w:rPr>
        <w:t>、被政府采购监管部门列入政府采购严重违法失信行为记录名单；</w:t>
      </w:r>
    </w:p>
    <w:p w14:paraId="4B276472">
      <w:pPr>
        <w:spacing w:line="360" w:lineRule="auto"/>
        <w:ind w:firstLine="435"/>
        <w:rPr>
          <w:rFonts w:asciiTheme="minorEastAsia" w:hAnsiTheme="minorEastAsia" w:eastAsiaTheme="minorEastAsia"/>
          <w:color w:val="auto"/>
          <w:sz w:val="24"/>
          <w:szCs w:val="22"/>
        </w:rPr>
      </w:pPr>
      <w:r>
        <w:rPr>
          <w:rFonts w:cs="宋体" w:asciiTheme="minorEastAsia" w:hAnsiTheme="minorEastAsia" w:eastAsiaTheme="minorEastAsia"/>
          <w:color w:val="auto"/>
          <w:sz w:val="24"/>
          <w:szCs w:val="22"/>
        </w:rPr>
        <w:t>4</w:t>
      </w:r>
      <w:r>
        <w:rPr>
          <w:rFonts w:hint="eastAsia" w:cs="宋体" w:asciiTheme="minorEastAsia" w:hAnsiTheme="minorEastAsia" w:eastAsiaTheme="minorEastAsia"/>
          <w:color w:val="auto"/>
          <w:sz w:val="24"/>
          <w:szCs w:val="22"/>
        </w:rPr>
        <w:t>、不符合政府采购法第二十二条规定的条件。</w:t>
      </w:r>
    </w:p>
    <w:p w14:paraId="4D930D9E">
      <w:pPr>
        <w:spacing w:line="360" w:lineRule="auto"/>
        <w:ind w:firstLine="435"/>
        <w:rPr>
          <w:rFonts w:asciiTheme="minorEastAsia" w:hAnsiTheme="minorEastAsia" w:eastAsiaTheme="minorEastAsia"/>
          <w:color w:val="auto"/>
          <w:sz w:val="24"/>
          <w:szCs w:val="22"/>
        </w:rPr>
      </w:pPr>
      <w:r>
        <w:rPr>
          <w:rFonts w:hint="eastAsia" w:cs="宋体" w:asciiTheme="minorEastAsia" w:hAnsiTheme="minorEastAsia" w:eastAsiaTheme="minorEastAsia"/>
          <w:color w:val="auto"/>
          <w:sz w:val="24"/>
          <w:szCs w:val="22"/>
        </w:rPr>
        <w:t>我单位已就上述不良信用行为按照</w:t>
      </w:r>
      <w:r>
        <w:rPr>
          <w:rFonts w:hint="eastAsia" w:cs="宋体" w:asciiTheme="minorEastAsia" w:hAnsiTheme="minorEastAsia" w:eastAsiaTheme="minorEastAsia"/>
          <w:color w:val="auto"/>
          <w:sz w:val="24"/>
          <w:szCs w:val="22"/>
          <w:lang w:eastAsia="zh-CN"/>
        </w:rPr>
        <w:t>竞争性磋商文件</w:t>
      </w:r>
      <w:r>
        <w:rPr>
          <w:rFonts w:hint="eastAsia" w:cs="宋体" w:asciiTheme="minorEastAsia" w:hAnsiTheme="minorEastAsia" w:eastAsiaTheme="minorEastAsia"/>
          <w:color w:val="auto"/>
          <w:sz w:val="24"/>
          <w:szCs w:val="22"/>
        </w:rPr>
        <w:t>中</w:t>
      </w:r>
      <w:r>
        <w:rPr>
          <w:rFonts w:hint="eastAsia" w:cs="宋体" w:asciiTheme="minorEastAsia" w:hAnsiTheme="minorEastAsia" w:eastAsiaTheme="minorEastAsia"/>
          <w:bCs/>
          <w:color w:val="auto"/>
          <w:sz w:val="24"/>
          <w:szCs w:val="22"/>
        </w:rPr>
        <w:t>供应商须知前附表</w:t>
      </w:r>
      <w:r>
        <w:rPr>
          <w:rFonts w:hint="eastAsia" w:cs="宋体" w:asciiTheme="minorEastAsia" w:hAnsiTheme="minorEastAsia" w:eastAsiaTheme="minorEastAsia"/>
          <w:color w:val="auto"/>
          <w:sz w:val="24"/>
          <w:szCs w:val="22"/>
        </w:rPr>
        <w:t>规定进行了查询。我单位承诺：合同签订前，若我单位具有不良信用记录情形，贵方可取消我单位成交资格或者不授予合同，所有责任由我单位自行承担。同时，我单位愿意无条件接受监管部门的调查处理。</w:t>
      </w:r>
      <w:r>
        <w:rPr>
          <w:rFonts w:cs="宋体" w:asciiTheme="minorEastAsia" w:hAnsiTheme="minorEastAsia" w:eastAsiaTheme="minorEastAsia"/>
          <w:color w:val="auto"/>
          <w:sz w:val="24"/>
          <w:szCs w:val="22"/>
        </w:rPr>
        <w:t xml:space="preserve"> </w:t>
      </w:r>
    </w:p>
    <w:p w14:paraId="3AD5AC80">
      <w:pPr>
        <w:tabs>
          <w:tab w:val="left" w:pos="630"/>
        </w:tabs>
        <w:spacing w:line="360" w:lineRule="auto"/>
        <w:ind w:firstLine="630"/>
        <w:rPr>
          <w:rFonts w:asciiTheme="minorEastAsia" w:hAnsiTheme="minorEastAsia" w:eastAsiaTheme="minorEastAsia"/>
          <w:color w:val="auto"/>
          <w:sz w:val="24"/>
        </w:rPr>
      </w:pPr>
    </w:p>
    <w:p w14:paraId="3DE74B4E">
      <w:pPr>
        <w:spacing w:line="360" w:lineRule="auto"/>
        <w:ind w:firstLine="4228" w:firstLineChars="1762"/>
        <w:rPr>
          <w:rFonts w:asciiTheme="minorEastAsia" w:hAnsiTheme="minorEastAsia" w:eastAsiaTheme="minorEastAsia"/>
          <w:color w:val="auto"/>
          <w:sz w:val="24"/>
        </w:rPr>
      </w:pPr>
    </w:p>
    <w:p w14:paraId="1DC4D8AB">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供应商</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（盖单位章）</w:t>
      </w:r>
    </w:p>
    <w:p w14:paraId="060D61FA">
      <w:pPr>
        <w:spacing w:line="360" w:lineRule="auto"/>
        <w:jc w:val="left"/>
        <w:rPr>
          <w:rFonts w:asciiTheme="minorEastAsia" w:hAnsiTheme="minorEastAsia" w:eastAsiaTheme="minorEastAsia"/>
          <w:color w:val="auto"/>
          <w:sz w:val="24"/>
        </w:rPr>
      </w:pPr>
    </w:p>
    <w:p w14:paraId="06522A66">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法定代表人或其委托代理人：</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（签字或盖章）</w:t>
      </w:r>
    </w:p>
    <w:p w14:paraId="52DA6898">
      <w:pPr>
        <w:spacing w:line="360" w:lineRule="auto"/>
        <w:jc w:val="left"/>
        <w:rPr>
          <w:rFonts w:asciiTheme="minorEastAsia" w:hAnsiTheme="minorEastAsia" w:eastAsiaTheme="minorEastAsia"/>
          <w:color w:val="auto"/>
          <w:sz w:val="24"/>
        </w:rPr>
      </w:pPr>
    </w:p>
    <w:p w14:paraId="427269FD">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日  期：   年   月   日</w:t>
      </w:r>
    </w:p>
    <w:p w14:paraId="46B9F199">
      <w:pPr>
        <w:ind w:firstLine="480" w:firstLineChars="200"/>
        <w:rPr>
          <w:rFonts w:asciiTheme="minorEastAsia" w:hAnsiTheme="minorEastAsia" w:eastAsiaTheme="minorEastAsia"/>
          <w:color w:val="auto"/>
          <w:sz w:val="24"/>
          <w:szCs w:val="20"/>
        </w:rPr>
      </w:pPr>
    </w:p>
    <w:p w14:paraId="6B01724B">
      <w:pPr>
        <w:spacing w:line="360" w:lineRule="auto"/>
        <w:jc w:val="left"/>
        <w:rPr>
          <w:rFonts w:asciiTheme="minorEastAsia" w:hAnsiTheme="minorEastAsia" w:eastAsiaTheme="minorEastAsia"/>
          <w:color w:val="auto"/>
          <w:sz w:val="24"/>
        </w:rPr>
      </w:pPr>
    </w:p>
    <w:p w14:paraId="569D6A4D">
      <w:pPr>
        <w:ind w:firstLine="480" w:firstLineChars="200"/>
        <w:rPr>
          <w:rFonts w:asciiTheme="minorEastAsia" w:hAnsiTheme="minorEastAsia" w:eastAsiaTheme="minorEastAsia"/>
          <w:color w:val="auto"/>
          <w:sz w:val="24"/>
          <w:szCs w:val="20"/>
        </w:rPr>
      </w:pPr>
    </w:p>
    <w:p w14:paraId="55DF6124">
      <w:pPr>
        <w:ind w:firstLine="480" w:firstLineChars="200"/>
        <w:rPr>
          <w:rFonts w:asciiTheme="minorEastAsia" w:hAnsiTheme="minorEastAsia" w:eastAsiaTheme="minorEastAsia"/>
          <w:color w:val="auto"/>
          <w:sz w:val="24"/>
          <w:szCs w:val="20"/>
        </w:rPr>
      </w:pPr>
    </w:p>
    <w:p w14:paraId="49531F1E">
      <w:pPr>
        <w:ind w:firstLine="480" w:firstLineChars="200"/>
        <w:rPr>
          <w:rFonts w:asciiTheme="minorEastAsia" w:hAnsiTheme="minorEastAsia" w:eastAsiaTheme="minorEastAsia"/>
          <w:color w:val="auto"/>
          <w:sz w:val="24"/>
          <w:szCs w:val="20"/>
        </w:rPr>
      </w:pPr>
    </w:p>
    <w:p w14:paraId="5A5C030B">
      <w:pPr>
        <w:ind w:firstLine="480" w:firstLineChars="200"/>
        <w:rPr>
          <w:rFonts w:asciiTheme="minorEastAsia" w:hAnsiTheme="minorEastAsia" w:eastAsiaTheme="minorEastAsia"/>
          <w:color w:val="auto"/>
          <w:sz w:val="24"/>
          <w:szCs w:val="20"/>
        </w:rPr>
      </w:pPr>
    </w:p>
    <w:p w14:paraId="29ECFE79">
      <w:pPr>
        <w:spacing w:line="360" w:lineRule="auto"/>
        <w:jc w:val="left"/>
        <w:rPr>
          <w:rFonts w:asciiTheme="minorEastAsia" w:hAnsiTheme="minorEastAsia" w:eastAsiaTheme="minorEastAsia"/>
          <w:color w:val="auto"/>
          <w:sz w:val="24"/>
        </w:rPr>
      </w:pPr>
    </w:p>
    <w:p w14:paraId="46784D29">
      <w:pPr>
        <w:rPr>
          <w:rFonts w:asciiTheme="minorEastAsia" w:hAnsiTheme="minorEastAsia" w:eastAsiaTheme="minorEastAsia"/>
          <w:color w:val="auto"/>
          <w:sz w:val="22"/>
          <w:szCs w:val="22"/>
        </w:rPr>
      </w:pPr>
    </w:p>
    <w:p w14:paraId="65327924">
      <w:pPr>
        <w:rPr>
          <w:rFonts w:asciiTheme="minorEastAsia" w:hAnsiTheme="minorEastAsia" w:eastAsiaTheme="minorEastAsia"/>
          <w:b/>
          <w:color w:val="auto"/>
          <w:sz w:val="32"/>
          <w:szCs w:val="22"/>
        </w:rPr>
      </w:pPr>
    </w:p>
    <w:p w14:paraId="6A431B48">
      <w:pPr>
        <w:widowControl/>
        <w:ind w:firstLine="960" w:firstLineChars="400"/>
        <w:jc w:val="center"/>
        <w:rPr>
          <w:rFonts w:cs="宋体" w:asciiTheme="minorEastAsia" w:hAnsiTheme="minorEastAsia" w:eastAsiaTheme="minorEastAsia"/>
          <w:color w:val="auto"/>
          <w:sz w:val="24"/>
        </w:rPr>
      </w:pPr>
      <w:r>
        <w:rPr>
          <w:rFonts w:cs="宋体" w:asciiTheme="minorEastAsia" w:hAnsiTheme="minorEastAsia" w:eastAsiaTheme="minorEastAsia"/>
          <w:color w:val="auto"/>
          <w:sz w:val="24"/>
        </w:rPr>
        <w:br w:type="page"/>
      </w:r>
    </w:p>
    <w:p w14:paraId="3790240C">
      <w:pPr>
        <w:widowControl/>
        <w:ind w:firstLine="960" w:firstLineChars="400"/>
        <w:jc w:val="center"/>
        <w:rPr>
          <w:rFonts w:cs="宋体" w:asciiTheme="minorEastAsia" w:hAnsiTheme="minorEastAsia" w:eastAsiaTheme="minorEastAsia"/>
          <w:color w:val="auto"/>
          <w:sz w:val="24"/>
        </w:rPr>
      </w:pPr>
    </w:p>
    <w:p w14:paraId="1D5F2BA1">
      <w:pPr>
        <w:widowControl/>
        <w:ind w:firstLine="1200" w:firstLineChars="400"/>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color w:val="auto"/>
          <w:sz w:val="30"/>
          <w:szCs w:val="30"/>
        </w:rPr>
        <w:t>（3）</w:t>
      </w:r>
      <w:r>
        <w:rPr>
          <w:rFonts w:hint="eastAsia" w:cs="宋体" w:asciiTheme="minorEastAsia" w:hAnsiTheme="minorEastAsia" w:eastAsiaTheme="minorEastAsia"/>
          <w:b/>
          <w:bCs/>
          <w:color w:val="auto"/>
          <w:sz w:val="24"/>
        </w:rPr>
        <w:t>未列入政府取消投标资格记录期间的承诺书</w:t>
      </w:r>
    </w:p>
    <w:p w14:paraId="508010F6">
      <w:pPr>
        <w:widowControl/>
        <w:ind w:firstLine="964" w:firstLineChars="400"/>
        <w:jc w:val="center"/>
        <w:rPr>
          <w:rFonts w:cs="宋体" w:asciiTheme="minorEastAsia" w:hAnsiTheme="minorEastAsia" w:eastAsiaTheme="minorEastAsia"/>
          <w:b/>
          <w:bCs/>
          <w:color w:val="auto"/>
          <w:sz w:val="24"/>
        </w:rPr>
      </w:pPr>
    </w:p>
    <w:p w14:paraId="23A1CBE8">
      <w:pPr>
        <w:spacing w:line="480" w:lineRule="auto"/>
        <w:rPr>
          <w:rFonts w:asciiTheme="minorEastAsia" w:hAnsiTheme="minorEastAsia" w:eastAsiaTheme="minorEastAsia"/>
          <w:color w:val="auto"/>
          <w:sz w:val="24"/>
        </w:rPr>
      </w:pPr>
    </w:p>
    <w:p w14:paraId="044A1105">
      <w:pPr>
        <w:spacing w:line="48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致：</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（采购人）</w:t>
      </w:r>
    </w:p>
    <w:p w14:paraId="41947EDF">
      <w:pPr>
        <w:spacing w:line="480" w:lineRule="auto"/>
        <w:rPr>
          <w:rFonts w:asciiTheme="minorEastAsia" w:hAnsiTheme="minorEastAsia" w:eastAsiaTheme="minorEastAsia"/>
          <w:color w:val="auto"/>
          <w:sz w:val="24"/>
        </w:rPr>
      </w:pPr>
    </w:p>
    <w:p w14:paraId="6D45C159">
      <w:pPr>
        <w:spacing w:line="480" w:lineRule="auto"/>
        <w:ind w:firstLine="1440" w:firstLineChars="600"/>
        <w:rPr>
          <w:rFonts w:asciiTheme="minorEastAsia" w:hAnsiTheme="minorEastAsia" w:eastAsiaTheme="minorEastAsia"/>
          <w:color w:val="auto"/>
          <w:szCs w:val="21"/>
        </w:rPr>
      </w:pPr>
      <w:r>
        <w:rPr>
          <w:rFonts w:hint="eastAsia" w:asciiTheme="minorEastAsia" w:hAnsiTheme="minorEastAsia" w:eastAsiaTheme="minorEastAsia"/>
          <w:color w:val="auto"/>
          <w:sz w:val="24"/>
        </w:rPr>
        <w:t>我单位未被列入政府取消投标资格的记录，特此声明！</w:t>
      </w:r>
    </w:p>
    <w:p w14:paraId="1B5179D0">
      <w:pPr>
        <w:spacing w:line="420" w:lineRule="exact"/>
        <w:ind w:firstLine="420"/>
        <w:rPr>
          <w:rFonts w:asciiTheme="minorEastAsia" w:hAnsiTheme="minorEastAsia" w:eastAsiaTheme="minorEastAsia"/>
          <w:color w:val="auto"/>
          <w:szCs w:val="21"/>
        </w:rPr>
      </w:pPr>
    </w:p>
    <w:p w14:paraId="67368CC4">
      <w:pPr>
        <w:spacing w:line="420" w:lineRule="exact"/>
        <w:ind w:firstLine="420"/>
        <w:rPr>
          <w:rFonts w:asciiTheme="minorEastAsia" w:hAnsiTheme="minorEastAsia" w:eastAsiaTheme="minorEastAsia"/>
          <w:color w:val="auto"/>
          <w:szCs w:val="21"/>
        </w:rPr>
      </w:pPr>
    </w:p>
    <w:p w14:paraId="69415C29">
      <w:pPr>
        <w:spacing w:line="420" w:lineRule="exact"/>
        <w:ind w:firstLine="420"/>
        <w:rPr>
          <w:rFonts w:asciiTheme="minorEastAsia" w:hAnsiTheme="minorEastAsia" w:eastAsiaTheme="minorEastAsia"/>
          <w:color w:val="auto"/>
          <w:szCs w:val="21"/>
        </w:rPr>
      </w:pPr>
    </w:p>
    <w:p w14:paraId="7EFB99B5">
      <w:pPr>
        <w:spacing w:line="360" w:lineRule="auto"/>
        <w:ind w:firstLine="4228" w:firstLineChars="1762"/>
        <w:rPr>
          <w:rFonts w:asciiTheme="minorEastAsia" w:hAnsiTheme="minorEastAsia" w:eastAsiaTheme="minorEastAsia"/>
          <w:color w:val="auto"/>
          <w:sz w:val="24"/>
        </w:rPr>
      </w:pPr>
    </w:p>
    <w:p w14:paraId="3885E14C">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供应商</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（盖单位章）</w:t>
      </w:r>
    </w:p>
    <w:p w14:paraId="30CDB5A3">
      <w:pPr>
        <w:spacing w:line="360" w:lineRule="auto"/>
        <w:jc w:val="left"/>
        <w:rPr>
          <w:rFonts w:asciiTheme="minorEastAsia" w:hAnsiTheme="minorEastAsia" w:eastAsiaTheme="minorEastAsia"/>
          <w:color w:val="auto"/>
          <w:sz w:val="24"/>
        </w:rPr>
      </w:pPr>
    </w:p>
    <w:p w14:paraId="28442198">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法定代表人或其委托代理人：</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（签字或盖章）</w:t>
      </w:r>
    </w:p>
    <w:p w14:paraId="64A0B094">
      <w:pPr>
        <w:spacing w:line="360" w:lineRule="auto"/>
        <w:jc w:val="left"/>
        <w:rPr>
          <w:rFonts w:asciiTheme="minorEastAsia" w:hAnsiTheme="minorEastAsia" w:eastAsiaTheme="minorEastAsia"/>
          <w:color w:val="auto"/>
          <w:sz w:val="24"/>
        </w:rPr>
      </w:pPr>
    </w:p>
    <w:p w14:paraId="535023C1">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日  期：   年   月   日</w:t>
      </w:r>
    </w:p>
    <w:p w14:paraId="551A3EB0">
      <w:pPr>
        <w:widowControl/>
        <w:ind w:firstLine="960" w:firstLineChars="400"/>
        <w:jc w:val="center"/>
        <w:rPr>
          <w:rFonts w:cs="宋体" w:asciiTheme="minorEastAsia" w:hAnsiTheme="minorEastAsia" w:eastAsiaTheme="minorEastAsia"/>
          <w:b/>
          <w:bCs/>
          <w:color w:val="auto"/>
          <w:sz w:val="24"/>
        </w:rPr>
      </w:pPr>
      <w:r>
        <w:rPr>
          <w:rFonts w:cs="宋体" w:asciiTheme="minorEastAsia" w:hAnsiTheme="minorEastAsia" w:eastAsiaTheme="minorEastAsia"/>
          <w:color w:val="auto"/>
          <w:sz w:val="24"/>
        </w:rPr>
        <w:br w:type="page"/>
      </w:r>
      <w:r>
        <w:rPr>
          <w:rFonts w:hint="eastAsia" w:cs="宋体" w:asciiTheme="minorEastAsia" w:hAnsiTheme="minorEastAsia" w:eastAsiaTheme="minorEastAsia"/>
          <w:color w:val="auto"/>
          <w:sz w:val="30"/>
          <w:szCs w:val="30"/>
        </w:rPr>
        <w:t>（4）</w:t>
      </w:r>
      <w:r>
        <w:rPr>
          <w:rFonts w:hint="eastAsia" w:cs="宋体" w:asciiTheme="minorEastAsia" w:hAnsiTheme="minorEastAsia" w:eastAsiaTheme="minorEastAsia"/>
          <w:b/>
          <w:bCs/>
          <w:color w:val="auto"/>
          <w:sz w:val="24"/>
        </w:rPr>
        <w:t>无投资参股关系关联企业同时投标的承诺书</w:t>
      </w:r>
    </w:p>
    <w:p w14:paraId="44AD01E6">
      <w:pPr>
        <w:widowControl/>
        <w:ind w:firstLine="964" w:firstLineChars="400"/>
        <w:jc w:val="center"/>
        <w:rPr>
          <w:rFonts w:cs="宋体" w:asciiTheme="minorEastAsia" w:hAnsiTheme="minorEastAsia" w:eastAsiaTheme="minorEastAsia"/>
          <w:b/>
          <w:bCs/>
          <w:color w:val="auto"/>
          <w:sz w:val="24"/>
        </w:rPr>
      </w:pPr>
    </w:p>
    <w:p w14:paraId="39FA3FF6">
      <w:pPr>
        <w:spacing w:line="480" w:lineRule="auto"/>
        <w:rPr>
          <w:rFonts w:asciiTheme="minorEastAsia" w:hAnsiTheme="minorEastAsia" w:eastAsiaTheme="minorEastAsia"/>
          <w:color w:val="auto"/>
          <w:sz w:val="24"/>
        </w:rPr>
      </w:pPr>
    </w:p>
    <w:p w14:paraId="63B92A85">
      <w:pPr>
        <w:spacing w:line="48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致：</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（采购人）</w:t>
      </w:r>
    </w:p>
    <w:p w14:paraId="550EFCD2">
      <w:pPr>
        <w:spacing w:line="480" w:lineRule="auto"/>
        <w:rPr>
          <w:rFonts w:asciiTheme="minorEastAsia" w:hAnsiTheme="minorEastAsia" w:eastAsiaTheme="minorEastAsia"/>
          <w:color w:val="auto"/>
          <w:sz w:val="24"/>
        </w:rPr>
      </w:pPr>
    </w:p>
    <w:p w14:paraId="05974E1C">
      <w:pPr>
        <w:spacing w:line="480" w:lineRule="auto"/>
        <w:ind w:firstLine="480" w:firstLineChars="200"/>
        <w:rPr>
          <w:rFonts w:asciiTheme="minorEastAsia" w:hAnsiTheme="minorEastAsia" w:eastAsiaTheme="minorEastAsia"/>
          <w:color w:val="auto"/>
          <w:szCs w:val="21"/>
        </w:rPr>
      </w:pPr>
      <w:r>
        <w:rPr>
          <w:rFonts w:hint="eastAsia" w:asciiTheme="minorEastAsia" w:hAnsiTheme="minorEastAsia" w:eastAsiaTheme="minorEastAsia"/>
          <w:color w:val="auto"/>
          <w:sz w:val="24"/>
        </w:rPr>
        <w:t>我单位承诺：无投资参股关系的关联企业,或具有直接管理和被管理关系的母子公司，或同一母公司的子公司，或法定代表人为同一人的两个及两个以上法人同时对本项目进行投标，与招标人存在利害关系可能影响投标公正性的法人、其他组织或者个人不得参加投标。单位负责人为同一人或者存在控股、管理关系的不同单位，不得参加同一标段投标或者未划分标段的同一项目投标</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特此声明！</w:t>
      </w:r>
    </w:p>
    <w:p w14:paraId="60664AD7">
      <w:pPr>
        <w:spacing w:line="420" w:lineRule="exact"/>
        <w:ind w:firstLine="420"/>
        <w:rPr>
          <w:rFonts w:asciiTheme="minorEastAsia" w:hAnsiTheme="minorEastAsia" w:eastAsiaTheme="minorEastAsia"/>
          <w:color w:val="auto"/>
          <w:szCs w:val="21"/>
        </w:rPr>
      </w:pPr>
    </w:p>
    <w:p w14:paraId="01C4A507">
      <w:pPr>
        <w:spacing w:line="420" w:lineRule="exact"/>
        <w:ind w:firstLine="420"/>
        <w:rPr>
          <w:rFonts w:asciiTheme="minorEastAsia" w:hAnsiTheme="minorEastAsia" w:eastAsiaTheme="minorEastAsia"/>
          <w:color w:val="auto"/>
          <w:szCs w:val="21"/>
        </w:rPr>
      </w:pPr>
    </w:p>
    <w:p w14:paraId="5F60507C">
      <w:pPr>
        <w:spacing w:line="360" w:lineRule="auto"/>
        <w:ind w:firstLine="4228" w:firstLineChars="1762"/>
        <w:rPr>
          <w:rFonts w:asciiTheme="minorEastAsia" w:hAnsiTheme="minorEastAsia" w:eastAsiaTheme="minorEastAsia"/>
          <w:color w:val="auto"/>
          <w:sz w:val="24"/>
        </w:rPr>
      </w:pPr>
    </w:p>
    <w:p w14:paraId="7D2928CE">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供应商</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（盖单位章）</w:t>
      </w:r>
    </w:p>
    <w:p w14:paraId="511FE2EE">
      <w:pPr>
        <w:spacing w:line="360" w:lineRule="auto"/>
        <w:jc w:val="left"/>
        <w:rPr>
          <w:rFonts w:asciiTheme="minorEastAsia" w:hAnsiTheme="minorEastAsia" w:eastAsiaTheme="minorEastAsia"/>
          <w:color w:val="auto"/>
          <w:sz w:val="24"/>
        </w:rPr>
      </w:pPr>
    </w:p>
    <w:p w14:paraId="6079AEC4">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法定代表人或其委托代理人：</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（签字或盖章）</w:t>
      </w:r>
    </w:p>
    <w:p w14:paraId="18B8B45E">
      <w:pPr>
        <w:spacing w:line="360" w:lineRule="auto"/>
        <w:jc w:val="left"/>
        <w:rPr>
          <w:rFonts w:asciiTheme="minorEastAsia" w:hAnsiTheme="minorEastAsia" w:eastAsiaTheme="minorEastAsia"/>
          <w:color w:val="auto"/>
          <w:sz w:val="24"/>
        </w:rPr>
      </w:pPr>
    </w:p>
    <w:p w14:paraId="5F0BA787">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日  期：   年   月   日</w:t>
      </w:r>
    </w:p>
    <w:p w14:paraId="13F1840B">
      <w:pPr>
        <w:widowControl/>
        <w:ind w:firstLine="960" w:firstLineChars="400"/>
        <w:jc w:val="center"/>
        <w:rPr>
          <w:rFonts w:cs="宋体" w:asciiTheme="minorEastAsia" w:hAnsiTheme="minorEastAsia" w:eastAsiaTheme="minorEastAsia"/>
          <w:color w:val="auto"/>
          <w:sz w:val="24"/>
        </w:rPr>
      </w:pPr>
      <w:r>
        <w:rPr>
          <w:rFonts w:cs="宋体" w:asciiTheme="minorEastAsia" w:hAnsiTheme="minorEastAsia" w:eastAsiaTheme="minorEastAsia"/>
          <w:color w:val="auto"/>
          <w:sz w:val="24"/>
        </w:rPr>
        <w:br w:type="page"/>
      </w:r>
    </w:p>
    <w:p w14:paraId="6EBCC58F">
      <w:pPr>
        <w:widowControl/>
        <w:ind w:firstLine="3300" w:firstLineChars="1100"/>
        <w:rPr>
          <w:rFonts w:cs="宋体" w:asciiTheme="minorEastAsia" w:hAnsiTheme="minorEastAsia" w:eastAsiaTheme="minorEastAsia"/>
          <w:b/>
          <w:bCs/>
          <w:color w:val="auto"/>
          <w:sz w:val="24"/>
        </w:rPr>
      </w:pPr>
      <w:r>
        <w:rPr>
          <w:rFonts w:hint="eastAsia" w:cs="宋体" w:asciiTheme="minorEastAsia" w:hAnsiTheme="minorEastAsia" w:eastAsiaTheme="minorEastAsia"/>
          <w:color w:val="auto"/>
          <w:sz w:val="30"/>
          <w:szCs w:val="30"/>
        </w:rPr>
        <w:t>（5）</w:t>
      </w:r>
      <w:r>
        <w:rPr>
          <w:rFonts w:hint="eastAsia" w:cs="宋体" w:asciiTheme="minorEastAsia" w:hAnsiTheme="minorEastAsia" w:eastAsiaTheme="minorEastAsia"/>
          <w:b/>
          <w:bCs/>
          <w:color w:val="auto"/>
          <w:sz w:val="24"/>
        </w:rPr>
        <w:t>信用良好的承诺书</w:t>
      </w:r>
    </w:p>
    <w:p w14:paraId="2B213F62">
      <w:pPr>
        <w:spacing w:line="480" w:lineRule="auto"/>
        <w:rPr>
          <w:rFonts w:asciiTheme="minorEastAsia" w:hAnsiTheme="minorEastAsia" w:eastAsiaTheme="minorEastAsia"/>
          <w:color w:val="auto"/>
          <w:sz w:val="24"/>
        </w:rPr>
      </w:pPr>
    </w:p>
    <w:p w14:paraId="60FFFEC6">
      <w:pPr>
        <w:spacing w:line="48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致：</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（采购人）</w:t>
      </w:r>
    </w:p>
    <w:p w14:paraId="6815FC0E">
      <w:pPr>
        <w:spacing w:line="480" w:lineRule="auto"/>
        <w:ind w:firstLine="480" w:firstLineChars="200"/>
        <w:rPr>
          <w:rFonts w:asciiTheme="minorEastAsia" w:hAnsiTheme="minorEastAsia" w:eastAsiaTheme="minorEastAsia"/>
          <w:color w:val="auto"/>
          <w:sz w:val="24"/>
        </w:rPr>
      </w:pPr>
    </w:p>
    <w:p w14:paraId="1D22B64B">
      <w:pPr>
        <w:spacing w:line="48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我单位承诺具有良好的商业信誉，没有处于被责令停业，财产被接管、冻结或破产状态，如有虚假，我公司愿意接收有关规定处罚。</w:t>
      </w:r>
    </w:p>
    <w:p w14:paraId="234B1758">
      <w:pPr>
        <w:spacing w:line="480" w:lineRule="auto"/>
        <w:ind w:firstLine="480" w:firstLineChars="200"/>
        <w:rPr>
          <w:rFonts w:asciiTheme="minorEastAsia" w:hAnsiTheme="minorEastAsia" w:eastAsiaTheme="minorEastAsia"/>
          <w:color w:val="auto"/>
          <w:szCs w:val="21"/>
        </w:rPr>
      </w:pPr>
      <w:r>
        <w:rPr>
          <w:rFonts w:hint="eastAsia" w:asciiTheme="minorEastAsia" w:hAnsiTheme="minorEastAsia" w:eastAsiaTheme="minorEastAsia"/>
          <w:color w:val="auto"/>
          <w:sz w:val="24"/>
        </w:rPr>
        <w:t>特此声明！</w:t>
      </w:r>
    </w:p>
    <w:p w14:paraId="2FEFB805">
      <w:pPr>
        <w:spacing w:line="420" w:lineRule="exact"/>
        <w:ind w:firstLine="420"/>
        <w:rPr>
          <w:rFonts w:asciiTheme="minorEastAsia" w:hAnsiTheme="minorEastAsia" w:eastAsiaTheme="minorEastAsia"/>
          <w:color w:val="auto"/>
          <w:szCs w:val="21"/>
        </w:rPr>
      </w:pPr>
    </w:p>
    <w:p w14:paraId="26E3C4B9">
      <w:pPr>
        <w:spacing w:line="420" w:lineRule="exact"/>
        <w:ind w:firstLine="420"/>
        <w:rPr>
          <w:rFonts w:asciiTheme="minorEastAsia" w:hAnsiTheme="minorEastAsia" w:eastAsiaTheme="minorEastAsia"/>
          <w:color w:val="auto"/>
          <w:szCs w:val="21"/>
        </w:rPr>
      </w:pPr>
    </w:p>
    <w:p w14:paraId="2920A36E">
      <w:pPr>
        <w:spacing w:line="360" w:lineRule="auto"/>
        <w:ind w:firstLine="4228" w:firstLineChars="1762"/>
        <w:rPr>
          <w:rFonts w:asciiTheme="minorEastAsia" w:hAnsiTheme="minorEastAsia" w:eastAsiaTheme="minorEastAsia"/>
          <w:color w:val="auto"/>
          <w:sz w:val="24"/>
        </w:rPr>
      </w:pPr>
    </w:p>
    <w:p w14:paraId="43013EF5">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供应商</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（盖单位章）</w:t>
      </w:r>
    </w:p>
    <w:p w14:paraId="1DA11225">
      <w:pPr>
        <w:spacing w:line="360" w:lineRule="auto"/>
        <w:jc w:val="left"/>
        <w:rPr>
          <w:rFonts w:asciiTheme="minorEastAsia" w:hAnsiTheme="minorEastAsia" w:eastAsiaTheme="minorEastAsia"/>
          <w:color w:val="auto"/>
          <w:sz w:val="24"/>
        </w:rPr>
      </w:pPr>
    </w:p>
    <w:p w14:paraId="6E00A451">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法定代表人或其委托代理人：</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（签字或盖章）</w:t>
      </w:r>
    </w:p>
    <w:p w14:paraId="1E66CCE4">
      <w:pPr>
        <w:spacing w:line="360" w:lineRule="auto"/>
        <w:jc w:val="left"/>
        <w:rPr>
          <w:rFonts w:asciiTheme="minorEastAsia" w:hAnsiTheme="minorEastAsia" w:eastAsiaTheme="minorEastAsia"/>
          <w:color w:val="auto"/>
          <w:sz w:val="24"/>
        </w:rPr>
      </w:pPr>
    </w:p>
    <w:p w14:paraId="2ABF31A1">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日  期：   年   月   日</w:t>
      </w:r>
    </w:p>
    <w:p w14:paraId="6D98D55B">
      <w:pPr>
        <w:widowControl/>
        <w:ind w:firstLine="2640" w:firstLineChars="1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br w:type="page"/>
      </w:r>
    </w:p>
    <w:p w14:paraId="4346DDEC">
      <w:pPr>
        <w:widowControl/>
        <w:spacing w:line="360" w:lineRule="auto"/>
        <w:jc w:val="center"/>
        <w:rPr>
          <w:rFonts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lang w:val="zh-CN"/>
        </w:rPr>
        <w:t>）中小企业声明函</w:t>
      </w:r>
    </w:p>
    <w:p w14:paraId="0C26F460">
      <w:pPr>
        <w:autoSpaceDE w:val="0"/>
        <w:autoSpaceDN w:val="0"/>
        <w:adjustRightInd w:val="0"/>
        <w:spacing w:line="400" w:lineRule="exact"/>
        <w:ind w:firstLine="960" w:firstLineChars="400"/>
        <w:rPr>
          <w:rFonts w:ascii="宋体" w:hAnsi="宋体" w:eastAsia="宋体" w:cs="宋体"/>
          <w:bCs/>
          <w:color w:val="auto"/>
          <w:kern w:val="0"/>
          <w:sz w:val="24"/>
          <w:highlight w:val="none"/>
          <w:lang w:val="zh-CN"/>
        </w:rPr>
      </w:pPr>
    </w:p>
    <w:p w14:paraId="7315A4E5">
      <w:pPr>
        <w:adjustRightInd w:val="0"/>
        <w:snapToGrid w:val="0"/>
        <w:spacing w:line="600" w:lineRule="exact"/>
        <w:ind w:firstLine="480" w:firstLineChars="200"/>
        <w:jc w:val="center"/>
        <w:rPr>
          <w:rFonts w:hint="eastAsia"/>
          <w:color w:val="auto"/>
          <w:sz w:val="28"/>
          <w:szCs w:val="28"/>
        </w:rPr>
      </w:pPr>
      <w:r>
        <w:rPr>
          <w:rFonts w:hint="eastAsia" w:ascii="宋体" w:hAnsi="宋体" w:cs="宋体"/>
          <w:color w:val="auto"/>
          <w:sz w:val="24"/>
          <w:szCs w:val="24"/>
        </w:rPr>
        <w:t>中小企业声明函（服务）</w:t>
      </w:r>
    </w:p>
    <w:p w14:paraId="5A5D7FCD">
      <w:pPr>
        <w:spacing w:line="6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本公司郑重声明，根据《政府采购促进中小企业发展管理办法》（财库﹝2020﹞46 号）的规定，本公司参加</w:t>
      </w:r>
      <w:r>
        <w:rPr>
          <w:rFonts w:hint="eastAsia" w:ascii="宋体" w:hAnsi="宋体" w:cs="宋体"/>
          <w:i/>
          <w:color w:val="auto"/>
          <w:sz w:val="24"/>
          <w:szCs w:val="24"/>
          <w:u w:val="words"/>
        </w:rPr>
        <w:t>（单位名称）</w:t>
      </w:r>
      <w:r>
        <w:rPr>
          <w:rFonts w:hint="eastAsia" w:ascii="宋体" w:hAnsi="宋体" w:cs="宋体"/>
          <w:color w:val="auto"/>
          <w:sz w:val="24"/>
          <w:szCs w:val="24"/>
        </w:rPr>
        <w:t>的</w:t>
      </w:r>
      <w:r>
        <w:rPr>
          <w:rFonts w:hint="eastAsia" w:ascii="宋体" w:hAnsi="宋体" w:cs="宋体"/>
          <w:i/>
          <w:color w:val="auto"/>
          <w:sz w:val="24"/>
          <w:szCs w:val="24"/>
          <w:u w:val="words"/>
        </w:rPr>
        <w:t>（项目名称）</w:t>
      </w:r>
      <w:r>
        <w:rPr>
          <w:rFonts w:hint="eastAsia" w:ascii="宋体" w:hAnsi="宋体" w:cs="宋体"/>
          <w:color w:val="auto"/>
          <w:sz w:val="24"/>
          <w:szCs w:val="24"/>
        </w:rPr>
        <w:t>采购活动，服务全部由符合政策要求的中小企业承接。相关企业的具体情况如下：</w:t>
      </w:r>
    </w:p>
    <w:p w14:paraId="36CCF9BD">
      <w:pPr>
        <w:spacing w:line="6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 </w:t>
      </w:r>
      <w:r>
        <w:rPr>
          <w:rFonts w:hint="eastAsia" w:ascii="宋体" w:hAnsi="宋体" w:cs="宋体"/>
          <w:i/>
          <w:iCs/>
          <w:color w:val="auto"/>
          <w:sz w:val="24"/>
          <w:szCs w:val="24"/>
          <w:u w:val="single"/>
        </w:rPr>
        <w:t>（标的名称）</w:t>
      </w:r>
      <w:r>
        <w:rPr>
          <w:rFonts w:hint="eastAsia" w:ascii="宋体" w:hAnsi="宋体" w:cs="宋体"/>
          <w:color w:val="auto"/>
          <w:sz w:val="24"/>
          <w:szCs w:val="24"/>
        </w:rPr>
        <w:t>，属于</w:t>
      </w:r>
      <w:r>
        <w:rPr>
          <w:rFonts w:hint="eastAsia" w:ascii="宋体" w:hAnsi="宋体" w:cs="宋体"/>
          <w:i/>
          <w:iCs/>
          <w:color w:val="auto"/>
          <w:sz w:val="24"/>
          <w:szCs w:val="24"/>
          <w:u w:val="single"/>
        </w:rPr>
        <w:t>（按照招标文件内投标方的资格要求中“落实政府采购政策需满足的资格要求”中确定的所属行业填写）</w:t>
      </w:r>
      <w:r>
        <w:rPr>
          <w:rFonts w:hint="eastAsia" w:ascii="宋体" w:hAnsi="宋体" w:cs="宋体"/>
          <w:color w:val="auto"/>
          <w:sz w:val="24"/>
          <w:szCs w:val="24"/>
        </w:rPr>
        <w:t>行业；承接企业为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14:paraId="2F9722D7">
      <w:pPr>
        <w:spacing w:line="6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i/>
          <w:iCs/>
          <w:color w:val="auto"/>
          <w:sz w:val="24"/>
          <w:szCs w:val="24"/>
          <w:u w:val="single"/>
        </w:rPr>
        <w:t xml:space="preserve">  （标的名称）</w:t>
      </w:r>
      <w:r>
        <w:rPr>
          <w:rFonts w:hint="eastAsia" w:ascii="宋体" w:hAnsi="宋体" w:cs="宋体"/>
          <w:color w:val="auto"/>
          <w:sz w:val="24"/>
          <w:szCs w:val="24"/>
        </w:rPr>
        <w:t>，属于</w:t>
      </w:r>
      <w:r>
        <w:rPr>
          <w:rFonts w:hint="eastAsia" w:ascii="宋体" w:hAnsi="宋体" w:cs="宋体"/>
          <w:i/>
          <w:iCs/>
          <w:color w:val="auto"/>
          <w:sz w:val="24"/>
          <w:szCs w:val="24"/>
          <w:u w:val="single"/>
        </w:rPr>
        <w:t>（按照招标文件内投标方的资格要求中“落实政府采购政策需满足的资格要求”中确定的所属行业填写）</w:t>
      </w:r>
      <w:r>
        <w:rPr>
          <w:rFonts w:hint="eastAsia" w:ascii="宋体" w:hAnsi="宋体" w:cs="宋体"/>
          <w:color w:val="auto"/>
          <w:sz w:val="24"/>
          <w:szCs w:val="24"/>
        </w:rPr>
        <w:t>行业；承接企业为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w:t>
      </w:r>
      <w:r>
        <w:rPr>
          <w:rFonts w:hint="eastAsia" w:ascii="宋体" w:hAnsi="宋体" w:cs="宋体"/>
          <w:i/>
          <w:iCs/>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i/>
          <w:iCs/>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i/>
          <w:iCs/>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14:paraId="4C1DC90E">
      <w:pPr>
        <w:spacing w:line="6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p>
    <w:p w14:paraId="598CAA48">
      <w:pPr>
        <w:spacing w:line="6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14:paraId="4247BF48">
      <w:pPr>
        <w:spacing w:line="6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14:paraId="76124FCA">
      <w:pPr>
        <w:adjustRightInd w:val="0"/>
        <w:snapToGrid w:val="0"/>
        <w:spacing w:line="600" w:lineRule="exact"/>
        <w:ind w:left="420" w:leftChars="200" w:firstLine="3120" w:firstLineChars="1300"/>
        <w:jc w:val="left"/>
        <w:rPr>
          <w:rFonts w:hint="eastAsia" w:ascii="宋体" w:hAnsi="宋体" w:cs="宋体"/>
          <w:color w:val="auto"/>
          <w:sz w:val="24"/>
          <w:szCs w:val="24"/>
        </w:rPr>
      </w:pPr>
      <w:r>
        <w:rPr>
          <w:rFonts w:hint="eastAsia" w:ascii="宋体" w:hAnsi="宋体" w:cs="宋体"/>
          <w:color w:val="auto"/>
          <w:sz w:val="24"/>
          <w:szCs w:val="24"/>
        </w:rPr>
        <w:t>企业名称（盖章）：</w:t>
      </w:r>
    </w:p>
    <w:p w14:paraId="665C9FEA">
      <w:pPr>
        <w:adjustRightInd w:val="0"/>
        <w:snapToGrid w:val="0"/>
        <w:spacing w:line="600" w:lineRule="exact"/>
        <w:ind w:left="420" w:leftChars="200" w:firstLine="3120" w:firstLineChars="1300"/>
        <w:jc w:val="left"/>
        <w:rPr>
          <w:rFonts w:hint="eastAsia" w:ascii="宋体" w:hAnsi="宋体" w:cs="宋体"/>
          <w:color w:val="auto"/>
          <w:sz w:val="24"/>
          <w:szCs w:val="24"/>
        </w:rPr>
      </w:pPr>
      <w:r>
        <w:rPr>
          <w:rFonts w:hint="eastAsia" w:ascii="宋体" w:hAnsi="宋体" w:cs="宋体"/>
          <w:color w:val="auto"/>
          <w:sz w:val="24"/>
          <w:szCs w:val="24"/>
        </w:rPr>
        <w:t>日期：</w:t>
      </w:r>
    </w:p>
    <w:p w14:paraId="70FDFACE">
      <w:pPr>
        <w:adjustRightInd w:val="0"/>
        <w:snapToGrid w:val="0"/>
        <w:spacing w:line="6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备注：</w:t>
      </w:r>
    </w:p>
    <w:p w14:paraId="153BADFF">
      <w:pPr>
        <w:adjustRightInd w:val="0"/>
        <w:snapToGrid w:val="0"/>
        <w:spacing w:line="6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1.如货物制造商非中小微企业，本声明函无需填写。</w:t>
      </w:r>
    </w:p>
    <w:p w14:paraId="2EDFD66D">
      <w:pPr>
        <w:adjustRightInd w:val="0"/>
        <w:snapToGrid w:val="0"/>
        <w:spacing w:line="6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2.从业人员、营业收入、资产总额填报上一年度数据，无上一年度数据的新成立企业可不填报。</w:t>
      </w:r>
    </w:p>
    <w:p w14:paraId="1FF77B4C">
      <w:pPr>
        <w:widowControl/>
        <w:spacing w:line="360" w:lineRule="auto"/>
        <w:jc w:val="center"/>
        <w:rPr>
          <w:rFonts w:ascii="宋体" w:hAnsi="宋体" w:eastAsia="宋体" w:cs="宋体"/>
          <w:b/>
          <w:color w:val="auto"/>
          <w:sz w:val="28"/>
          <w:szCs w:val="28"/>
          <w:highlight w:val="none"/>
          <w:lang w:val="zh-CN"/>
        </w:rPr>
      </w:pPr>
      <w:r>
        <w:rPr>
          <w:rFonts w:hint="eastAsia" w:ascii="宋体" w:hAnsi="宋体" w:eastAsia="宋体" w:cs="宋体"/>
          <w:color w:val="auto"/>
          <w:sz w:val="24"/>
          <w:highlight w:val="none"/>
        </w:rPr>
        <w:br w:type="page"/>
      </w:r>
      <w:r>
        <w:rPr>
          <w:rFonts w:hint="eastAsia" w:ascii="宋体" w:hAnsi="宋体" w:eastAsia="宋体" w:cs="宋体"/>
          <w:b/>
          <w:color w:val="auto"/>
          <w:sz w:val="28"/>
          <w:szCs w:val="28"/>
          <w:highlight w:val="none"/>
          <w:lang w:val="zh-CN"/>
        </w:rPr>
        <w:t>（</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zh-CN"/>
        </w:rPr>
        <w:t>）监狱企业的证明文件（如有）</w:t>
      </w:r>
    </w:p>
    <w:p w14:paraId="3AE6CC4C">
      <w:pPr>
        <w:widowControl/>
        <w:rPr>
          <w:rFonts w:ascii="宋体" w:hAnsi="宋体" w:eastAsia="宋体" w:cs="宋体"/>
          <w:bCs/>
          <w:color w:val="auto"/>
          <w:kern w:val="0"/>
          <w:sz w:val="24"/>
          <w:highlight w:val="none"/>
          <w:lang w:val="zh-CN"/>
        </w:rPr>
      </w:pPr>
    </w:p>
    <w:p w14:paraId="37DD89A0">
      <w:pPr>
        <w:keepNext/>
        <w:keepLines/>
        <w:numPr>
          <w:ilvl w:val="1"/>
          <w:numId w:val="0"/>
        </w:numPr>
        <w:tabs>
          <w:tab w:val="left" w:pos="720"/>
        </w:tabs>
        <w:spacing w:before="260" w:after="260" w:line="360" w:lineRule="auto"/>
        <w:jc w:val="center"/>
        <w:outlineLvl w:val="1"/>
        <w:rPr>
          <w:rFonts w:ascii="宋体" w:hAnsi="宋体" w:eastAsia="宋体" w:cs="宋体"/>
          <w:bCs/>
          <w:color w:val="auto"/>
          <w:kern w:val="0"/>
          <w:sz w:val="24"/>
          <w:szCs w:val="32"/>
          <w:highlight w:val="none"/>
          <w:lang w:val="zh-CN"/>
        </w:rPr>
      </w:pPr>
      <w:r>
        <w:rPr>
          <w:rFonts w:hint="eastAsia" w:ascii="宋体" w:hAnsi="宋体" w:eastAsia="宋体" w:cs="宋体"/>
          <w:bCs/>
          <w:color w:val="auto"/>
          <w:kern w:val="0"/>
          <w:sz w:val="24"/>
          <w:szCs w:val="32"/>
          <w:highlight w:val="none"/>
          <w:lang w:val="zh-CN"/>
        </w:rPr>
        <w:t>监狱和戒毒企业应当提供由省级以上监狱管理局、戒毒管理局（含新疆生产建设兵团）出具的属于监狱企业的证明文件。</w:t>
      </w:r>
    </w:p>
    <w:p w14:paraId="42E6FA67">
      <w:pPr>
        <w:keepNext/>
        <w:keepLines/>
        <w:numPr>
          <w:ilvl w:val="1"/>
          <w:numId w:val="0"/>
        </w:numPr>
        <w:tabs>
          <w:tab w:val="left" w:pos="720"/>
        </w:tabs>
        <w:spacing w:before="260" w:after="260" w:line="360" w:lineRule="auto"/>
        <w:jc w:val="center"/>
        <w:outlineLvl w:val="1"/>
        <w:rPr>
          <w:rFonts w:ascii="宋体" w:hAnsi="宋体" w:eastAsia="宋体" w:cs="宋体"/>
          <w:b/>
          <w:bCs/>
          <w:color w:val="auto"/>
          <w:sz w:val="28"/>
          <w:szCs w:val="28"/>
          <w:highlight w:val="none"/>
          <w:lang w:val="zh-CN"/>
        </w:rPr>
      </w:pPr>
      <w:r>
        <w:rPr>
          <w:rFonts w:hint="eastAsia" w:ascii="宋体" w:hAnsi="宋体" w:eastAsia="宋体" w:cs="宋体"/>
          <w:b/>
          <w:color w:val="auto"/>
          <w:kern w:val="0"/>
          <w:sz w:val="24"/>
          <w:szCs w:val="32"/>
          <w:highlight w:val="none"/>
          <w:lang w:val="zh-CN"/>
        </w:rPr>
        <w:br w:type="page"/>
      </w:r>
      <w:r>
        <w:rPr>
          <w:rFonts w:hint="eastAsia" w:ascii="宋体" w:hAnsi="宋体" w:eastAsia="宋体" w:cs="宋体"/>
          <w:b/>
          <w:bCs/>
          <w:color w:val="auto"/>
          <w:sz w:val="28"/>
          <w:szCs w:val="28"/>
          <w:highlight w:val="none"/>
          <w:lang w:val="zh-CN"/>
        </w:rPr>
        <w:t>（</w:t>
      </w:r>
      <w:r>
        <w:rPr>
          <w:rFonts w:hint="eastAsia" w:ascii="宋体"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lang w:val="zh-CN"/>
        </w:rPr>
        <w:t>）残疾人福利性单位声明函（如有）</w:t>
      </w:r>
    </w:p>
    <w:p w14:paraId="3B58FC68">
      <w:pPr>
        <w:widowControl/>
        <w:spacing w:line="360" w:lineRule="auto"/>
        <w:jc w:val="center"/>
        <w:rPr>
          <w:rFonts w:ascii="宋体" w:hAnsi="宋体" w:eastAsia="宋体" w:cs="宋体"/>
          <w:b/>
          <w:color w:val="auto"/>
          <w:sz w:val="28"/>
          <w:szCs w:val="28"/>
          <w:highlight w:val="none"/>
          <w:lang w:val="zh-CN"/>
        </w:rPr>
      </w:pPr>
    </w:p>
    <w:p w14:paraId="343A639C">
      <w:pPr>
        <w:autoSpaceDE w:val="0"/>
        <w:autoSpaceDN w:val="0"/>
        <w:adjustRightInd w:val="0"/>
        <w:spacing w:line="400" w:lineRule="exact"/>
        <w:ind w:firstLine="480" w:firstLineChars="200"/>
        <w:rPr>
          <w:rFonts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本公司郑重声明，根据《财政部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lang w:val="zh-CN"/>
        </w:rPr>
        <w:t>单位的</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lang w:val="zh-CN"/>
        </w:rPr>
        <w:t>项目采购活动提供本单位制造的货物（由本单位承担工程/提供服务），或者提供其他残疾人福利性单位制造的货物（不包括使用非残疾人福利性单位注册商标的货物）。</w:t>
      </w:r>
    </w:p>
    <w:p w14:paraId="765649B6">
      <w:pPr>
        <w:autoSpaceDE w:val="0"/>
        <w:autoSpaceDN w:val="0"/>
        <w:adjustRightInd w:val="0"/>
        <w:spacing w:line="400" w:lineRule="exact"/>
        <w:ind w:firstLine="480" w:firstLineChars="200"/>
        <w:rPr>
          <w:rFonts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本单位对上述声明的真实性负责。如有虚假，将依法承担相应责任。</w:t>
      </w:r>
    </w:p>
    <w:p w14:paraId="3F6CFBE8">
      <w:pPr>
        <w:spacing w:line="360" w:lineRule="auto"/>
        <w:ind w:firstLine="420" w:firstLineChars="200"/>
        <w:rPr>
          <w:rFonts w:ascii="宋体" w:hAnsi="宋体" w:eastAsia="宋体" w:cs="宋体"/>
          <w:color w:val="auto"/>
          <w:highlight w:val="none"/>
        </w:rPr>
      </w:pPr>
    </w:p>
    <w:p w14:paraId="61976AC9">
      <w:pPr>
        <w:adjustRightInd w:val="0"/>
        <w:snapToGrid w:val="0"/>
        <w:spacing w:line="440" w:lineRule="exact"/>
        <w:rPr>
          <w:rFonts w:ascii="宋体" w:hAnsi="宋体" w:eastAsia="宋体" w:cs="宋体"/>
          <w:bCs/>
          <w:color w:val="auto"/>
          <w:szCs w:val="21"/>
          <w:highlight w:val="none"/>
        </w:rPr>
      </w:pPr>
    </w:p>
    <w:p w14:paraId="589A9736">
      <w:pPr>
        <w:adjustRightInd w:val="0"/>
        <w:snapToGrid w:val="0"/>
        <w:spacing w:line="440" w:lineRule="exact"/>
        <w:rPr>
          <w:rFonts w:ascii="宋体" w:hAnsi="宋体" w:eastAsia="宋体" w:cs="宋体"/>
          <w:bCs/>
          <w:color w:val="auto"/>
          <w:szCs w:val="21"/>
          <w:highlight w:val="none"/>
        </w:rPr>
      </w:pPr>
    </w:p>
    <w:p w14:paraId="79AA746C">
      <w:pPr>
        <w:adjustRightInd w:val="0"/>
        <w:snapToGrid w:val="0"/>
        <w:spacing w:line="440" w:lineRule="exact"/>
        <w:rPr>
          <w:rFonts w:ascii="宋体" w:hAnsi="宋体" w:eastAsia="宋体" w:cs="宋体"/>
          <w:bCs/>
          <w:color w:val="auto"/>
          <w:szCs w:val="21"/>
          <w:highlight w:val="none"/>
        </w:rPr>
      </w:pPr>
    </w:p>
    <w:p w14:paraId="5D9D20BB">
      <w:pPr>
        <w:spacing w:line="360" w:lineRule="auto"/>
        <w:ind w:right="480" w:firstLine="2880" w:firstLineChars="1200"/>
        <w:jc w:val="left"/>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B5BC368">
      <w:pPr>
        <w:keepNext/>
        <w:keepLines/>
        <w:numPr>
          <w:ilvl w:val="1"/>
          <w:numId w:val="0"/>
        </w:numPr>
        <w:tabs>
          <w:tab w:val="left" w:pos="720"/>
        </w:tabs>
        <w:spacing w:before="260" w:after="260" w:line="360" w:lineRule="auto"/>
        <w:jc w:val="center"/>
        <w:outlineLvl w:val="1"/>
        <w:rPr>
          <w:rFonts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日</w:t>
      </w:r>
    </w:p>
    <w:p w14:paraId="74F69EB6">
      <w:pPr>
        <w:widowControl/>
        <w:ind w:firstLine="1285" w:firstLineChars="400"/>
        <w:jc w:val="center"/>
        <w:rPr>
          <w:rFonts w:hint="eastAsia" w:asciiTheme="minorEastAsia" w:hAnsiTheme="minorEastAsia" w:eastAsiaTheme="minorEastAsia"/>
          <w:b/>
          <w:color w:val="auto"/>
          <w:kern w:val="0"/>
          <w:sz w:val="32"/>
          <w:szCs w:val="32"/>
          <w:lang w:val="zh-CN"/>
        </w:rPr>
      </w:pPr>
    </w:p>
    <w:p w14:paraId="28F23F10">
      <w:pPr>
        <w:widowControl/>
        <w:ind w:firstLine="1285" w:firstLineChars="400"/>
        <w:jc w:val="center"/>
        <w:rPr>
          <w:rFonts w:hint="eastAsia" w:asciiTheme="minorEastAsia" w:hAnsiTheme="minorEastAsia" w:eastAsiaTheme="minorEastAsia"/>
          <w:b/>
          <w:color w:val="auto"/>
          <w:kern w:val="0"/>
          <w:sz w:val="32"/>
          <w:szCs w:val="32"/>
          <w:lang w:val="zh-CN"/>
        </w:rPr>
      </w:pPr>
    </w:p>
    <w:p w14:paraId="27964E08">
      <w:pPr>
        <w:widowControl/>
        <w:ind w:firstLine="1285" w:firstLineChars="400"/>
        <w:jc w:val="center"/>
        <w:rPr>
          <w:rFonts w:hint="eastAsia" w:asciiTheme="minorEastAsia" w:hAnsiTheme="minorEastAsia" w:eastAsiaTheme="minorEastAsia"/>
          <w:b/>
          <w:color w:val="auto"/>
          <w:kern w:val="0"/>
          <w:sz w:val="32"/>
          <w:szCs w:val="32"/>
          <w:lang w:val="zh-CN"/>
        </w:rPr>
      </w:pPr>
    </w:p>
    <w:p w14:paraId="5729794E">
      <w:pPr>
        <w:widowControl/>
        <w:ind w:firstLine="1285" w:firstLineChars="400"/>
        <w:jc w:val="center"/>
        <w:rPr>
          <w:rFonts w:hint="eastAsia" w:asciiTheme="minorEastAsia" w:hAnsiTheme="minorEastAsia" w:eastAsiaTheme="minorEastAsia"/>
          <w:b/>
          <w:color w:val="auto"/>
          <w:kern w:val="0"/>
          <w:sz w:val="32"/>
          <w:szCs w:val="32"/>
          <w:lang w:val="zh-CN"/>
        </w:rPr>
      </w:pPr>
    </w:p>
    <w:p w14:paraId="0DD351B2">
      <w:pPr>
        <w:widowControl/>
        <w:ind w:firstLine="1285" w:firstLineChars="400"/>
        <w:jc w:val="center"/>
        <w:rPr>
          <w:rFonts w:hint="eastAsia" w:asciiTheme="minorEastAsia" w:hAnsiTheme="minorEastAsia" w:eastAsiaTheme="minorEastAsia"/>
          <w:b/>
          <w:color w:val="auto"/>
          <w:kern w:val="0"/>
          <w:sz w:val="32"/>
          <w:szCs w:val="32"/>
          <w:lang w:val="zh-CN"/>
        </w:rPr>
      </w:pPr>
    </w:p>
    <w:p w14:paraId="717B96D0">
      <w:pPr>
        <w:widowControl/>
        <w:ind w:firstLine="1285" w:firstLineChars="400"/>
        <w:jc w:val="center"/>
        <w:rPr>
          <w:rFonts w:hint="eastAsia" w:asciiTheme="minorEastAsia" w:hAnsiTheme="minorEastAsia" w:eastAsiaTheme="minorEastAsia"/>
          <w:b/>
          <w:color w:val="auto"/>
          <w:kern w:val="0"/>
          <w:sz w:val="32"/>
          <w:szCs w:val="32"/>
          <w:lang w:val="zh-CN"/>
        </w:rPr>
      </w:pPr>
    </w:p>
    <w:p w14:paraId="7749585C">
      <w:pPr>
        <w:widowControl/>
        <w:ind w:firstLine="1285" w:firstLineChars="400"/>
        <w:jc w:val="center"/>
        <w:rPr>
          <w:rFonts w:hint="eastAsia" w:asciiTheme="minorEastAsia" w:hAnsiTheme="minorEastAsia" w:eastAsiaTheme="minorEastAsia"/>
          <w:b/>
          <w:color w:val="auto"/>
          <w:kern w:val="0"/>
          <w:sz w:val="32"/>
          <w:szCs w:val="32"/>
          <w:lang w:val="zh-CN"/>
        </w:rPr>
      </w:pPr>
    </w:p>
    <w:p w14:paraId="0D751E43">
      <w:pPr>
        <w:widowControl/>
        <w:ind w:firstLine="1285" w:firstLineChars="400"/>
        <w:jc w:val="center"/>
        <w:rPr>
          <w:rFonts w:hint="eastAsia" w:asciiTheme="minorEastAsia" w:hAnsiTheme="minorEastAsia" w:eastAsiaTheme="minorEastAsia"/>
          <w:b/>
          <w:color w:val="auto"/>
          <w:kern w:val="0"/>
          <w:sz w:val="32"/>
          <w:szCs w:val="32"/>
          <w:lang w:val="zh-CN"/>
        </w:rPr>
      </w:pPr>
    </w:p>
    <w:p w14:paraId="44F86E8B">
      <w:pPr>
        <w:widowControl/>
        <w:ind w:firstLine="1285" w:firstLineChars="400"/>
        <w:jc w:val="center"/>
        <w:rPr>
          <w:rFonts w:hint="eastAsia" w:asciiTheme="minorEastAsia" w:hAnsiTheme="minorEastAsia" w:eastAsiaTheme="minorEastAsia"/>
          <w:b/>
          <w:color w:val="auto"/>
          <w:kern w:val="0"/>
          <w:sz w:val="32"/>
          <w:szCs w:val="32"/>
          <w:lang w:val="zh-CN"/>
        </w:rPr>
      </w:pPr>
    </w:p>
    <w:p w14:paraId="4D376844">
      <w:pPr>
        <w:widowControl/>
        <w:ind w:firstLine="1285" w:firstLineChars="400"/>
        <w:jc w:val="center"/>
        <w:rPr>
          <w:rFonts w:hint="eastAsia" w:asciiTheme="minorEastAsia" w:hAnsiTheme="minorEastAsia" w:eastAsiaTheme="minorEastAsia"/>
          <w:b/>
          <w:color w:val="auto"/>
          <w:kern w:val="0"/>
          <w:sz w:val="32"/>
          <w:szCs w:val="32"/>
          <w:lang w:val="zh-CN"/>
        </w:rPr>
      </w:pPr>
    </w:p>
    <w:p w14:paraId="299E8332">
      <w:pPr>
        <w:widowControl/>
        <w:ind w:firstLine="1285" w:firstLineChars="400"/>
        <w:jc w:val="center"/>
        <w:rPr>
          <w:rFonts w:hint="eastAsia" w:asciiTheme="minorEastAsia" w:hAnsiTheme="minorEastAsia" w:eastAsiaTheme="minorEastAsia"/>
          <w:b/>
          <w:color w:val="auto"/>
          <w:kern w:val="0"/>
          <w:sz w:val="32"/>
          <w:szCs w:val="32"/>
          <w:lang w:val="zh-CN"/>
        </w:rPr>
      </w:pPr>
    </w:p>
    <w:p w14:paraId="3B1ACBCD">
      <w:pPr>
        <w:widowControl/>
        <w:ind w:firstLine="1285" w:firstLineChars="400"/>
        <w:jc w:val="center"/>
        <w:rPr>
          <w:rFonts w:asciiTheme="minorEastAsia" w:hAnsiTheme="minorEastAsia" w:eastAsiaTheme="minorEastAsia"/>
          <w:b/>
          <w:bCs/>
          <w:color w:val="auto"/>
          <w:kern w:val="0"/>
          <w:sz w:val="32"/>
          <w:szCs w:val="32"/>
        </w:rPr>
      </w:pPr>
      <w:r>
        <w:rPr>
          <w:rFonts w:hint="eastAsia" w:asciiTheme="minorEastAsia" w:hAnsiTheme="minorEastAsia" w:eastAsiaTheme="minorEastAsia"/>
          <w:b/>
          <w:color w:val="auto"/>
          <w:kern w:val="0"/>
          <w:sz w:val="32"/>
          <w:szCs w:val="32"/>
          <w:lang w:val="zh-CN"/>
        </w:rPr>
        <w:t>八、政府采购诚信承诺书</w:t>
      </w:r>
    </w:p>
    <w:p w14:paraId="45E381A3">
      <w:pPr>
        <w:spacing w:line="440" w:lineRule="exact"/>
        <w:jc w:val="center"/>
        <w:rPr>
          <w:rFonts w:cs="宋体" w:asciiTheme="minorEastAsia" w:hAnsiTheme="minorEastAsia" w:eastAsiaTheme="minorEastAsia"/>
          <w:b/>
          <w:color w:val="auto"/>
          <w:kern w:val="0"/>
          <w:sz w:val="32"/>
          <w:szCs w:val="18"/>
        </w:rPr>
      </w:pPr>
    </w:p>
    <w:p w14:paraId="102991AD">
      <w:pPr>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u w:val="single"/>
        </w:rPr>
        <w:t xml:space="preserve">     (采购人）     </w:t>
      </w:r>
      <w:r>
        <w:rPr>
          <w:rFonts w:hint="eastAsia" w:asciiTheme="minorEastAsia" w:hAnsiTheme="minorEastAsia" w:eastAsiaTheme="minorEastAsia"/>
          <w:bCs/>
          <w:color w:val="auto"/>
          <w:sz w:val="24"/>
        </w:rPr>
        <w:t>：</w:t>
      </w:r>
    </w:p>
    <w:p w14:paraId="56467146">
      <w:pPr>
        <w:spacing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我公司</w:t>
      </w:r>
      <w:r>
        <w:rPr>
          <w:rFonts w:hint="eastAsia" w:asciiTheme="minorEastAsia" w:hAnsiTheme="minorEastAsia" w:eastAsiaTheme="minorEastAsia"/>
          <w:bCs/>
          <w:color w:val="auto"/>
          <w:sz w:val="24"/>
          <w:u w:val="single"/>
        </w:rPr>
        <w:t xml:space="preserve">    （供应商名称） </w:t>
      </w:r>
      <w:r>
        <w:rPr>
          <w:rFonts w:hint="eastAsia" w:asciiTheme="minorEastAsia" w:hAnsiTheme="minorEastAsia" w:eastAsiaTheme="minorEastAsia"/>
          <w:bCs/>
          <w:color w:val="auto"/>
          <w:sz w:val="24"/>
        </w:rPr>
        <w:t>已详细阅读了</w:t>
      </w:r>
      <w:r>
        <w:rPr>
          <w:rFonts w:hint="eastAsia" w:asciiTheme="minorEastAsia" w:hAnsiTheme="minorEastAsia" w:eastAsiaTheme="minorEastAsia"/>
          <w:bCs/>
          <w:color w:val="auto"/>
          <w:sz w:val="24"/>
          <w:u w:val="single"/>
        </w:rPr>
        <w:t xml:space="preserve">     （项目名称）        </w:t>
      </w:r>
      <w:r>
        <w:rPr>
          <w:rFonts w:hint="eastAsia" w:asciiTheme="minorEastAsia" w:hAnsiTheme="minorEastAsia" w:eastAsiaTheme="minorEastAsia"/>
          <w:bCs/>
          <w:color w:val="auto"/>
          <w:sz w:val="24"/>
        </w:rPr>
        <w:t>项目（项目编号：</w:t>
      </w:r>
      <w:r>
        <w:rPr>
          <w:rFonts w:hint="eastAsia" w:asciiTheme="minorEastAsia" w:hAnsiTheme="minorEastAsia" w:eastAsiaTheme="minorEastAsia"/>
          <w:bCs/>
          <w:color w:val="auto"/>
          <w:sz w:val="24"/>
          <w:u w:val="single"/>
        </w:rPr>
        <w:t xml:space="preserve">          </w:t>
      </w:r>
      <w:r>
        <w:rPr>
          <w:rFonts w:hint="eastAsia" w:asciiTheme="minorEastAsia" w:hAnsiTheme="minorEastAsia" w:eastAsiaTheme="minorEastAsia"/>
          <w:bCs/>
          <w:color w:val="auto"/>
          <w:sz w:val="24"/>
        </w:rPr>
        <w:t>）的</w:t>
      </w:r>
      <w:r>
        <w:rPr>
          <w:rFonts w:hint="eastAsia" w:asciiTheme="minorEastAsia" w:hAnsiTheme="minorEastAsia" w:eastAsiaTheme="minorEastAsia"/>
          <w:bCs/>
          <w:color w:val="auto"/>
          <w:sz w:val="24"/>
          <w:lang w:eastAsia="zh-CN"/>
        </w:rPr>
        <w:t>竞争性磋商文件</w:t>
      </w:r>
      <w:r>
        <w:rPr>
          <w:rFonts w:hint="eastAsia" w:asciiTheme="minorEastAsia" w:hAnsiTheme="minorEastAsia" w:eastAsiaTheme="minorEastAsia"/>
          <w:bCs/>
          <w:color w:val="auto"/>
          <w:sz w:val="24"/>
        </w:rPr>
        <w:t>，自愿参加本次投标，现就有关事项郑重承诺如下：</w:t>
      </w:r>
    </w:p>
    <w:p w14:paraId="25AAF47F">
      <w:pPr>
        <w:spacing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一、诚信报价，材料真实。我公司保证所提供的全部材料、报价内容均真实、合法、有效，保证不出借或者借用其他企业资质，不以他人名义报价，不弄虚作假；未列入失信被执行人、重大税收违法案件当事人名单、政府采购严重违法失信行为记录名单及其他不符合《中华人民共和国政府采购法》第二十二条规定条件。</w:t>
      </w:r>
    </w:p>
    <w:p w14:paraId="2D4CCB62">
      <w:pPr>
        <w:spacing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二、遵纪守法，公平竞争。不与其他供应商相互串通、哄抬价格，不排挤其他供应商，不损害采购人的合法权益；不向采购人、采购代理机构、评标小组成员等及其他参与采购活动的人员行贿或采用其他不正当手段谋取成交；</w:t>
      </w:r>
    </w:p>
    <w:p w14:paraId="5F52BA58">
      <w:pPr>
        <w:spacing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三、不捏造事实或借用他人名义进行虚假、恶意质疑和投诉，不以质疑或投诉为名排挤竞争对手，干扰政府采购秩序；</w:t>
      </w:r>
    </w:p>
    <w:p w14:paraId="787072D5">
      <w:pPr>
        <w:spacing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四、若成交后，将按照规定及时与采购人签订政府采购合同，不与采购人订立有悖于采购结果的合同或协议；严格履行政府采购合同，不降低合同约定的产品质量及相关服务，不擅自变更、中止、终止合同，或者拒绝履行合同义务。</w:t>
      </w:r>
    </w:p>
    <w:p w14:paraId="77C5B16E">
      <w:pPr>
        <w:spacing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若有违反以上承诺内容的行为，我公司自愿接受取消投标资格、记入信用档案、没收磋商保证金、媒体通报、1～3年内禁止参与政府采购活动等处罚；如已成交的，自动放弃成交资格，并承担全部法律责任；给采购人造成损失的，依法承担赔偿责任。</w:t>
      </w:r>
    </w:p>
    <w:p w14:paraId="41BBBA7F">
      <w:pPr>
        <w:spacing w:line="360" w:lineRule="auto"/>
        <w:ind w:right="480"/>
        <w:jc w:val="left"/>
        <w:rPr>
          <w:rFonts w:asciiTheme="minorEastAsia" w:hAnsiTheme="minorEastAsia" w:eastAsiaTheme="minorEastAsia"/>
          <w:color w:val="auto"/>
          <w:sz w:val="24"/>
        </w:rPr>
      </w:pPr>
      <w:r>
        <w:rPr>
          <w:rFonts w:hint="eastAsia" w:asciiTheme="minorEastAsia" w:hAnsiTheme="minorEastAsia" w:eastAsiaTheme="minorEastAsia"/>
          <w:bCs/>
          <w:color w:val="auto"/>
          <w:sz w:val="24"/>
        </w:rPr>
        <w:t xml:space="preserve">                 </w:t>
      </w:r>
      <w:r>
        <w:rPr>
          <w:rFonts w:hint="eastAsia" w:asciiTheme="minorEastAsia" w:hAnsiTheme="minorEastAsia" w:eastAsiaTheme="minorEastAsia"/>
          <w:color w:val="auto"/>
          <w:sz w:val="24"/>
        </w:rPr>
        <w:t xml:space="preserve">            </w:t>
      </w:r>
    </w:p>
    <w:p w14:paraId="1F746E7F">
      <w:pPr>
        <w:spacing w:line="360" w:lineRule="auto"/>
        <w:ind w:right="480"/>
        <w:jc w:val="left"/>
        <w:rPr>
          <w:rFonts w:asciiTheme="minorEastAsia" w:hAnsiTheme="minorEastAsia" w:eastAsiaTheme="minorEastAsia"/>
          <w:color w:val="auto"/>
          <w:sz w:val="24"/>
        </w:rPr>
      </w:pPr>
    </w:p>
    <w:p w14:paraId="47724B6D">
      <w:pPr>
        <w:spacing w:line="360" w:lineRule="auto"/>
        <w:ind w:right="480" w:firstLine="3600" w:firstLineChars="15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（盖单位章）</w:t>
      </w:r>
    </w:p>
    <w:p w14:paraId="7BDA568B">
      <w:pPr>
        <w:spacing w:line="360" w:lineRule="auto"/>
        <w:ind w:right="48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法定代表人或其委托代理人：</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（签字或盖章）</w:t>
      </w:r>
    </w:p>
    <w:p w14:paraId="71D96BA7">
      <w:pPr>
        <w:spacing w:line="360" w:lineRule="auto"/>
        <w:jc w:val="right"/>
        <w:rPr>
          <w:rFonts w:asciiTheme="minorEastAsia" w:hAnsiTheme="minorEastAsia" w:eastAsiaTheme="minorEastAsia"/>
          <w:color w:val="auto"/>
          <w:sz w:val="24"/>
        </w:rPr>
      </w:pPr>
    </w:p>
    <w:p w14:paraId="73912413">
      <w:pPr>
        <w:spacing w:line="360" w:lineRule="auto"/>
        <w:ind w:right="48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日</w:t>
      </w:r>
    </w:p>
    <w:p w14:paraId="7FB084CC">
      <w:pPr>
        <w:spacing w:line="360" w:lineRule="auto"/>
        <w:ind w:firstLine="1506" w:firstLineChars="500"/>
        <w:rPr>
          <w:rFonts w:asciiTheme="minorEastAsia" w:hAnsiTheme="minorEastAsia" w:eastAsiaTheme="minorEastAsia"/>
          <w:b/>
          <w:color w:val="auto"/>
          <w:sz w:val="30"/>
          <w:szCs w:val="30"/>
        </w:rPr>
      </w:pPr>
    </w:p>
    <w:p w14:paraId="01F4B155">
      <w:pPr>
        <w:rPr>
          <w:rFonts w:asciiTheme="minorEastAsia" w:hAnsiTheme="minorEastAsia" w:eastAsiaTheme="minorEastAsia"/>
          <w:color w:val="auto"/>
        </w:rPr>
      </w:pPr>
    </w:p>
    <w:p w14:paraId="76AF587B">
      <w:pPr>
        <w:rPr>
          <w:rFonts w:asciiTheme="minorEastAsia" w:hAnsiTheme="minorEastAsia" w:eastAsiaTheme="minorEastAsia"/>
          <w:color w:val="auto"/>
        </w:rPr>
      </w:pPr>
    </w:p>
    <w:p w14:paraId="1A85FDCE">
      <w:pPr>
        <w:rPr>
          <w:rFonts w:asciiTheme="minorEastAsia" w:hAnsiTheme="minorEastAsia" w:eastAsiaTheme="minorEastAsia"/>
          <w:color w:val="auto"/>
        </w:rPr>
      </w:pPr>
    </w:p>
    <w:p w14:paraId="7B866358">
      <w:pPr>
        <w:widowControl/>
        <w:snapToGrid w:val="0"/>
        <w:jc w:val="center"/>
        <w:textAlignment w:val="baseline"/>
        <w:rPr>
          <w:rFonts w:ascii="宋体" w:hAnsi="宋体"/>
          <w:b/>
          <w:color w:val="auto"/>
          <w:sz w:val="44"/>
          <w:szCs w:val="44"/>
          <w:lang w:val="zh-CN"/>
        </w:rPr>
      </w:pPr>
      <w:r>
        <w:rPr>
          <w:rFonts w:hint="eastAsia" w:ascii="宋体" w:hAnsi="宋体"/>
          <w:b/>
          <w:color w:val="auto"/>
          <w:sz w:val="44"/>
          <w:szCs w:val="44"/>
          <w:lang w:val="zh-CN"/>
        </w:rPr>
        <w:t>九</w:t>
      </w:r>
      <w:r>
        <w:rPr>
          <w:rFonts w:ascii="宋体" w:hAnsi="宋体"/>
          <w:b/>
          <w:color w:val="auto"/>
          <w:sz w:val="44"/>
          <w:szCs w:val="44"/>
          <w:lang w:val="zh-CN"/>
        </w:rPr>
        <w:t>、开标一览表</w:t>
      </w:r>
    </w:p>
    <w:p w14:paraId="27259D55">
      <w:pPr>
        <w:widowControl/>
        <w:snapToGrid w:val="0"/>
        <w:textAlignment w:val="baseline"/>
        <w:rPr>
          <w:rFonts w:ascii="宋体" w:hAnsi="宋体"/>
          <w:color w:val="auto"/>
          <w:kern w:val="0"/>
          <w:szCs w:val="21"/>
        </w:rPr>
      </w:pPr>
    </w:p>
    <w:p w14:paraId="3F79D5EA">
      <w:pPr>
        <w:widowControl/>
        <w:snapToGrid w:val="0"/>
        <w:textAlignment w:val="baseline"/>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项目名称：</w:t>
      </w:r>
    </w:p>
    <w:p w14:paraId="008AC3F3">
      <w:pPr>
        <w:widowControl/>
        <w:snapToGrid w:val="0"/>
        <w:textAlignment w:val="baseline"/>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项目编号：</w:t>
      </w:r>
    </w:p>
    <w:p w14:paraId="0BC1498B">
      <w:pPr>
        <w:widowControl/>
        <w:snapToGrid w:val="0"/>
        <w:jc w:val="left"/>
        <w:textAlignment w:val="baseline"/>
        <w:rPr>
          <w:rFonts w:asciiTheme="minorEastAsia" w:hAnsiTheme="minorEastAsia" w:eastAsiaTheme="minorEastAsia"/>
          <w:color w:val="auto"/>
          <w:kern w:val="0"/>
          <w:szCs w:val="21"/>
          <w:highlight w:val="none"/>
        </w:rPr>
      </w:pPr>
    </w:p>
    <w:tbl>
      <w:tblPr>
        <w:tblStyle w:val="34"/>
        <w:tblpPr w:leftFromText="180" w:rightFromText="180" w:vertAnchor="text" w:horzAnchor="page" w:tblpX="1240" w:tblpY="188"/>
        <w:tblOverlap w:val="never"/>
        <w:tblW w:w="9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9"/>
        <w:gridCol w:w="2641"/>
        <w:gridCol w:w="2294"/>
        <w:gridCol w:w="2965"/>
      </w:tblGrid>
      <w:tr w14:paraId="6F47A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839" w:type="dxa"/>
            <w:tcBorders>
              <w:top w:val="single" w:color="000000" w:sz="4" w:space="0"/>
              <w:left w:val="single" w:color="000000" w:sz="4" w:space="0"/>
              <w:bottom w:val="single" w:color="000000" w:sz="4" w:space="0"/>
              <w:right w:val="single" w:color="000000" w:sz="4" w:space="0"/>
            </w:tcBorders>
            <w:vAlign w:val="center"/>
          </w:tcPr>
          <w:p w14:paraId="71AD9A0C">
            <w:pPr>
              <w:widowControl/>
              <w:snapToGrid w:val="0"/>
              <w:jc w:val="center"/>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供应商</w:t>
            </w:r>
          </w:p>
        </w:tc>
        <w:tc>
          <w:tcPr>
            <w:tcW w:w="7900" w:type="dxa"/>
            <w:gridSpan w:val="3"/>
            <w:tcBorders>
              <w:top w:val="single" w:color="000000" w:sz="4" w:space="0"/>
              <w:left w:val="single" w:color="000000" w:sz="4" w:space="0"/>
              <w:bottom w:val="single" w:color="000000" w:sz="4" w:space="0"/>
              <w:right w:val="single" w:color="000000" w:sz="4" w:space="0"/>
            </w:tcBorders>
            <w:vAlign w:val="center"/>
          </w:tcPr>
          <w:p w14:paraId="0E9F81C8">
            <w:pPr>
              <w:widowControl/>
              <w:snapToGrid w:val="0"/>
              <w:jc w:val="center"/>
              <w:textAlignment w:val="baseline"/>
              <w:rPr>
                <w:rFonts w:asciiTheme="minorEastAsia" w:hAnsiTheme="minorEastAsia" w:eastAsiaTheme="minorEastAsia"/>
                <w:bCs/>
                <w:color w:val="auto"/>
                <w:szCs w:val="21"/>
                <w:highlight w:val="none"/>
              </w:rPr>
            </w:pPr>
          </w:p>
        </w:tc>
      </w:tr>
      <w:tr w14:paraId="6C8E2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1839" w:type="dxa"/>
            <w:tcBorders>
              <w:top w:val="single" w:color="000000" w:sz="4" w:space="0"/>
              <w:left w:val="single" w:color="000000" w:sz="4" w:space="0"/>
              <w:bottom w:val="single" w:color="000000" w:sz="4" w:space="0"/>
              <w:right w:val="single" w:color="000000" w:sz="4" w:space="0"/>
            </w:tcBorders>
            <w:vAlign w:val="center"/>
          </w:tcPr>
          <w:p w14:paraId="377DB2CD">
            <w:pPr>
              <w:widowControl/>
              <w:snapToGrid w:val="0"/>
              <w:jc w:val="center"/>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磋商</w:t>
            </w:r>
            <w:r>
              <w:rPr>
                <w:rFonts w:asciiTheme="minorEastAsia" w:hAnsiTheme="minorEastAsia" w:eastAsiaTheme="minorEastAsia"/>
                <w:bCs/>
                <w:color w:val="auto"/>
                <w:szCs w:val="21"/>
                <w:highlight w:val="none"/>
              </w:rPr>
              <w:t>报价</w:t>
            </w:r>
            <w:r>
              <w:rPr>
                <w:rFonts w:hint="eastAsia" w:asciiTheme="minorEastAsia" w:hAnsiTheme="minorEastAsia" w:eastAsiaTheme="minorEastAsia"/>
                <w:bCs/>
                <w:color w:val="auto"/>
                <w:szCs w:val="21"/>
                <w:highlight w:val="none"/>
              </w:rPr>
              <w:t>（元）</w:t>
            </w:r>
          </w:p>
        </w:tc>
        <w:tc>
          <w:tcPr>
            <w:tcW w:w="7900" w:type="dxa"/>
            <w:gridSpan w:val="3"/>
            <w:tcBorders>
              <w:top w:val="single" w:color="000000" w:sz="4" w:space="0"/>
              <w:left w:val="single" w:color="000000" w:sz="4" w:space="0"/>
              <w:bottom w:val="single" w:color="000000" w:sz="4" w:space="0"/>
              <w:right w:val="single" w:color="000000" w:sz="4" w:space="0"/>
            </w:tcBorders>
            <w:vAlign w:val="center"/>
          </w:tcPr>
          <w:p w14:paraId="735DAC02">
            <w:pPr>
              <w:widowControl/>
              <w:snapToGrid w:val="0"/>
              <w:spacing w:line="400" w:lineRule="exact"/>
              <w:jc w:val="left"/>
              <w:textAlignment w:val="baseline"/>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大写：</w:t>
            </w:r>
          </w:p>
          <w:p w14:paraId="7B620DFE">
            <w:pPr>
              <w:widowControl/>
              <w:snapToGrid w:val="0"/>
              <w:spacing w:line="400" w:lineRule="exact"/>
              <w:jc w:val="left"/>
              <w:textAlignment w:val="baseline"/>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小写：</w:t>
            </w:r>
          </w:p>
        </w:tc>
      </w:tr>
      <w:tr w14:paraId="3A59E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1839" w:type="dxa"/>
            <w:tcBorders>
              <w:top w:val="single" w:color="000000" w:sz="4" w:space="0"/>
              <w:left w:val="single" w:color="000000" w:sz="4" w:space="0"/>
              <w:bottom w:val="single" w:color="000000" w:sz="4" w:space="0"/>
              <w:right w:val="single" w:color="000000" w:sz="4" w:space="0"/>
            </w:tcBorders>
            <w:vAlign w:val="center"/>
          </w:tcPr>
          <w:p w14:paraId="17E3CCA0">
            <w:pPr>
              <w:widowControl/>
              <w:snapToGrid w:val="0"/>
              <w:jc w:val="center"/>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磋商</w:t>
            </w:r>
            <w:r>
              <w:rPr>
                <w:rFonts w:asciiTheme="minorEastAsia" w:hAnsiTheme="minorEastAsia" w:eastAsiaTheme="minorEastAsia"/>
                <w:bCs/>
                <w:color w:val="auto"/>
                <w:szCs w:val="21"/>
                <w:highlight w:val="none"/>
              </w:rPr>
              <w:t>保证金</w:t>
            </w:r>
          </w:p>
        </w:tc>
        <w:tc>
          <w:tcPr>
            <w:tcW w:w="2641" w:type="dxa"/>
            <w:tcBorders>
              <w:top w:val="single" w:color="000000" w:sz="4" w:space="0"/>
              <w:left w:val="single" w:color="000000" w:sz="4" w:space="0"/>
              <w:bottom w:val="single" w:color="000000" w:sz="4" w:space="0"/>
              <w:right w:val="single" w:color="000000" w:sz="4" w:space="0"/>
            </w:tcBorders>
            <w:vAlign w:val="center"/>
          </w:tcPr>
          <w:p w14:paraId="6E09F382">
            <w:pPr>
              <w:widowControl/>
              <w:snapToGrid w:val="0"/>
              <w:jc w:val="center"/>
              <w:textAlignment w:val="baseline"/>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有/无</w:t>
            </w:r>
          </w:p>
        </w:tc>
        <w:tc>
          <w:tcPr>
            <w:tcW w:w="2294" w:type="dxa"/>
            <w:tcBorders>
              <w:top w:val="single" w:color="000000" w:sz="4" w:space="0"/>
              <w:left w:val="single" w:color="000000" w:sz="4" w:space="0"/>
              <w:bottom w:val="single" w:color="000000" w:sz="4" w:space="0"/>
              <w:right w:val="single" w:color="000000" w:sz="4" w:space="0"/>
            </w:tcBorders>
            <w:vAlign w:val="center"/>
          </w:tcPr>
          <w:p w14:paraId="4DBAF96B">
            <w:pPr>
              <w:widowControl/>
              <w:snapToGrid w:val="0"/>
              <w:jc w:val="center"/>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合同履行</w:t>
            </w:r>
            <w:r>
              <w:rPr>
                <w:rFonts w:asciiTheme="minorEastAsia" w:hAnsiTheme="minorEastAsia" w:eastAsiaTheme="minorEastAsia"/>
                <w:bCs/>
                <w:color w:val="auto"/>
                <w:szCs w:val="21"/>
                <w:highlight w:val="none"/>
              </w:rPr>
              <w:t>期限</w:t>
            </w:r>
          </w:p>
        </w:tc>
        <w:tc>
          <w:tcPr>
            <w:tcW w:w="2965" w:type="dxa"/>
            <w:tcBorders>
              <w:top w:val="single" w:color="000000" w:sz="4" w:space="0"/>
              <w:left w:val="single" w:color="000000" w:sz="4" w:space="0"/>
              <w:bottom w:val="single" w:color="000000" w:sz="4" w:space="0"/>
              <w:right w:val="single" w:color="000000" w:sz="4" w:space="0"/>
            </w:tcBorders>
            <w:vAlign w:val="center"/>
          </w:tcPr>
          <w:p w14:paraId="4DE185D3">
            <w:pPr>
              <w:widowControl/>
              <w:snapToGrid w:val="0"/>
              <w:jc w:val="center"/>
              <w:textAlignment w:val="baseline"/>
              <w:rPr>
                <w:rFonts w:asciiTheme="minorEastAsia" w:hAnsiTheme="minorEastAsia" w:eastAsiaTheme="minorEastAsia"/>
                <w:b/>
                <w:bCs/>
                <w:color w:val="auto"/>
                <w:szCs w:val="21"/>
                <w:highlight w:val="none"/>
              </w:rPr>
            </w:pPr>
          </w:p>
        </w:tc>
      </w:tr>
      <w:tr w14:paraId="1BEA2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1839" w:type="dxa"/>
            <w:tcBorders>
              <w:top w:val="single" w:color="000000" w:sz="4" w:space="0"/>
              <w:left w:val="single" w:color="000000" w:sz="4" w:space="0"/>
              <w:bottom w:val="single" w:color="000000" w:sz="4" w:space="0"/>
              <w:right w:val="single" w:color="000000" w:sz="4" w:space="0"/>
            </w:tcBorders>
            <w:vAlign w:val="center"/>
          </w:tcPr>
          <w:p w14:paraId="46CE3F2B">
            <w:pPr>
              <w:widowControl/>
              <w:snapToGrid w:val="0"/>
              <w:jc w:val="center"/>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项目负责人</w:t>
            </w:r>
          </w:p>
        </w:tc>
        <w:tc>
          <w:tcPr>
            <w:tcW w:w="7900" w:type="dxa"/>
            <w:gridSpan w:val="3"/>
            <w:tcBorders>
              <w:top w:val="single" w:color="000000" w:sz="4" w:space="0"/>
              <w:left w:val="single" w:color="000000" w:sz="4" w:space="0"/>
              <w:bottom w:val="single" w:color="000000" w:sz="4" w:space="0"/>
              <w:right w:val="single" w:color="000000" w:sz="4" w:space="0"/>
            </w:tcBorders>
            <w:vAlign w:val="center"/>
          </w:tcPr>
          <w:p w14:paraId="3EBE11BE">
            <w:pPr>
              <w:widowControl/>
              <w:snapToGrid w:val="0"/>
              <w:jc w:val="center"/>
              <w:textAlignment w:val="baseline"/>
              <w:rPr>
                <w:rFonts w:asciiTheme="minorEastAsia" w:hAnsiTheme="minorEastAsia" w:eastAsiaTheme="minorEastAsia"/>
                <w:b/>
                <w:bCs/>
                <w:color w:val="auto"/>
                <w:szCs w:val="21"/>
                <w:highlight w:val="none"/>
              </w:rPr>
            </w:pPr>
          </w:p>
        </w:tc>
      </w:tr>
      <w:tr w14:paraId="21FD0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839" w:type="dxa"/>
            <w:tcBorders>
              <w:top w:val="single" w:color="000000" w:sz="4" w:space="0"/>
              <w:left w:val="single" w:color="000000" w:sz="4" w:space="0"/>
              <w:bottom w:val="single" w:color="000000" w:sz="4" w:space="0"/>
              <w:right w:val="single" w:color="000000" w:sz="4" w:space="0"/>
            </w:tcBorders>
            <w:vAlign w:val="center"/>
          </w:tcPr>
          <w:p w14:paraId="110E9866">
            <w:pPr>
              <w:widowControl/>
              <w:snapToGrid w:val="0"/>
              <w:jc w:val="center"/>
              <w:textAlignment w:val="baseline"/>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服务标准</w:t>
            </w:r>
          </w:p>
        </w:tc>
        <w:tc>
          <w:tcPr>
            <w:tcW w:w="7900" w:type="dxa"/>
            <w:gridSpan w:val="3"/>
            <w:tcBorders>
              <w:top w:val="single" w:color="000000" w:sz="4" w:space="0"/>
              <w:left w:val="single" w:color="000000" w:sz="4" w:space="0"/>
              <w:bottom w:val="single" w:color="000000" w:sz="4" w:space="0"/>
              <w:right w:val="single" w:color="000000" w:sz="4" w:space="0"/>
            </w:tcBorders>
            <w:vAlign w:val="center"/>
          </w:tcPr>
          <w:p w14:paraId="082DAC8D">
            <w:pPr>
              <w:widowControl/>
              <w:snapToGrid w:val="0"/>
              <w:jc w:val="center"/>
              <w:textAlignment w:val="baseline"/>
              <w:rPr>
                <w:rFonts w:asciiTheme="minorEastAsia" w:hAnsiTheme="minorEastAsia" w:eastAsiaTheme="minorEastAsia"/>
                <w:b/>
                <w:bCs/>
                <w:color w:val="auto"/>
                <w:szCs w:val="21"/>
                <w:highlight w:val="none"/>
              </w:rPr>
            </w:pPr>
          </w:p>
        </w:tc>
      </w:tr>
      <w:tr w14:paraId="3F25B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6" w:hRule="atLeast"/>
        </w:trPr>
        <w:tc>
          <w:tcPr>
            <w:tcW w:w="9739" w:type="dxa"/>
            <w:gridSpan w:val="4"/>
            <w:tcBorders>
              <w:top w:val="single" w:color="000000" w:sz="4" w:space="0"/>
              <w:left w:val="single" w:color="000000" w:sz="4" w:space="0"/>
              <w:bottom w:val="single" w:color="000000" w:sz="4" w:space="0"/>
              <w:right w:val="single" w:color="000000" w:sz="4" w:space="0"/>
            </w:tcBorders>
            <w:vAlign w:val="center"/>
          </w:tcPr>
          <w:p w14:paraId="2D09B310">
            <w:pPr>
              <w:widowControl/>
              <w:snapToGrid w:val="0"/>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供应商</w:t>
            </w:r>
            <w:r>
              <w:rPr>
                <w:rFonts w:asciiTheme="minorEastAsia" w:hAnsiTheme="minorEastAsia" w:eastAsiaTheme="minorEastAsia"/>
                <w:bCs/>
                <w:color w:val="auto"/>
                <w:szCs w:val="21"/>
                <w:highlight w:val="none"/>
              </w:rPr>
              <w:t>：（盖章）</w:t>
            </w:r>
          </w:p>
          <w:p w14:paraId="6F3A3711">
            <w:pPr>
              <w:widowControl/>
              <w:snapToGrid w:val="0"/>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法定代表人或授权委托人</w:t>
            </w:r>
            <w:r>
              <w:rPr>
                <w:rFonts w:asciiTheme="minorEastAsia" w:hAnsiTheme="minorEastAsia" w:eastAsiaTheme="minorEastAsia"/>
                <w:bCs/>
                <w:color w:val="auto"/>
                <w:szCs w:val="21"/>
                <w:highlight w:val="none"/>
              </w:rPr>
              <w:t>：（签字或盖章）</w:t>
            </w:r>
          </w:p>
        </w:tc>
      </w:tr>
    </w:tbl>
    <w:p w14:paraId="18964B30">
      <w:pPr>
        <w:widowControl/>
        <w:snapToGrid w:val="0"/>
        <w:ind w:left="871" w:leftChars="218" w:hanging="413"/>
        <w:textAlignment w:val="baseline"/>
        <w:rPr>
          <w:rFonts w:cs="宋体-18030" w:asciiTheme="minorEastAsia" w:hAnsiTheme="minorEastAsia" w:eastAsiaTheme="minorEastAsia"/>
          <w:b/>
          <w:bCs/>
          <w:color w:val="auto"/>
          <w:sz w:val="30"/>
          <w:szCs w:val="30"/>
          <w:highlight w:val="none"/>
        </w:rPr>
      </w:pPr>
      <w:r>
        <w:rPr>
          <w:rFonts w:asciiTheme="minorEastAsia" w:hAnsiTheme="minorEastAsia" w:eastAsiaTheme="minorEastAsia"/>
          <w:b/>
          <w:bCs/>
          <w:color w:val="auto"/>
          <w:szCs w:val="21"/>
          <w:highlight w:val="none"/>
        </w:rPr>
        <w:t>注：本开标一览表除附在此处以外，还应另用小信封密封二份（不密封在大密封袋中），用于开标时唱标。</w:t>
      </w:r>
    </w:p>
    <w:p w14:paraId="6ECD5898">
      <w:pPr>
        <w:widowControl/>
        <w:snapToGrid w:val="0"/>
        <w:spacing w:line="400" w:lineRule="exact"/>
        <w:jc w:val="center"/>
        <w:textAlignment w:val="baseline"/>
        <w:rPr>
          <w:rFonts w:ascii="宋体" w:hAnsi="宋体"/>
          <w:b/>
          <w:color w:val="auto"/>
          <w:kern w:val="0"/>
          <w:sz w:val="32"/>
          <w:szCs w:val="18"/>
          <w:lang w:val="zh-CN"/>
        </w:rPr>
      </w:pPr>
    </w:p>
    <w:p w14:paraId="2AE22B16">
      <w:pPr>
        <w:widowControl/>
        <w:snapToGrid w:val="0"/>
        <w:spacing w:line="400" w:lineRule="exact"/>
        <w:jc w:val="center"/>
        <w:textAlignment w:val="baseline"/>
        <w:rPr>
          <w:rFonts w:ascii="宋体" w:hAnsi="宋体"/>
          <w:b/>
          <w:color w:val="auto"/>
          <w:kern w:val="0"/>
          <w:sz w:val="32"/>
          <w:szCs w:val="18"/>
          <w:lang w:val="zh-CN"/>
        </w:rPr>
      </w:pPr>
    </w:p>
    <w:p w14:paraId="48CECE9C">
      <w:pPr>
        <w:pStyle w:val="26"/>
        <w:rPr>
          <w:rFonts w:ascii="宋体" w:hAnsi="宋体"/>
          <w:b/>
          <w:color w:val="auto"/>
          <w:kern w:val="0"/>
          <w:sz w:val="32"/>
          <w:szCs w:val="18"/>
          <w:lang w:val="zh-CN"/>
        </w:rPr>
      </w:pPr>
    </w:p>
    <w:p w14:paraId="1D945601">
      <w:pPr>
        <w:pStyle w:val="26"/>
        <w:rPr>
          <w:rFonts w:ascii="宋体" w:hAnsi="宋体"/>
          <w:b/>
          <w:color w:val="auto"/>
          <w:kern w:val="0"/>
          <w:sz w:val="32"/>
          <w:szCs w:val="18"/>
          <w:lang w:val="zh-CN"/>
        </w:rPr>
      </w:pPr>
    </w:p>
    <w:p w14:paraId="5696A58D">
      <w:pPr>
        <w:pStyle w:val="26"/>
        <w:rPr>
          <w:rFonts w:ascii="宋体" w:hAnsi="宋体"/>
          <w:b/>
          <w:color w:val="auto"/>
          <w:kern w:val="0"/>
          <w:sz w:val="32"/>
          <w:szCs w:val="18"/>
          <w:lang w:val="zh-CN"/>
        </w:rPr>
      </w:pPr>
    </w:p>
    <w:p w14:paraId="2030CA45">
      <w:pPr>
        <w:pStyle w:val="26"/>
        <w:rPr>
          <w:rFonts w:ascii="宋体" w:hAnsi="宋体"/>
          <w:b/>
          <w:color w:val="auto"/>
          <w:kern w:val="0"/>
          <w:sz w:val="32"/>
          <w:szCs w:val="18"/>
          <w:lang w:val="zh-CN"/>
        </w:rPr>
      </w:pPr>
    </w:p>
    <w:p w14:paraId="5B0BF099">
      <w:pPr>
        <w:pStyle w:val="26"/>
        <w:rPr>
          <w:rFonts w:ascii="宋体" w:hAnsi="宋体"/>
          <w:b/>
          <w:color w:val="auto"/>
          <w:kern w:val="0"/>
          <w:sz w:val="32"/>
          <w:szCs w:val="18"/>
          <w:lang w:val="zh-CN"/>
        </w:rPr>
      </w:pPr>
    </w:p>
    <w:p w14:paraId="6ADB117D">
      <w:pPr>
        <w:rPr>
          <w:rFonts w:asciiTheme="minorEastAsia" w:hAnsiTheme="minorEastAsia" w:eastAsiaTheme="minorEastAsia"/>
          <w:color w:val="auto"/>
          <w:sz w:val="47"/>
        </w:rPr>
      </w:pPr>
      <w:r>
        <w:rPr>
          <w:rFonts w:hint="eastAsia" w:asciiTheme="minorEastAsia" w:hAnsiTheme="minorEastAsia" w:eastAsiaTheme="minorEastAsia"/>
          <w:color w:val="auto"/>
          <w:sz w:val="47"/>
        </w:rPr>
        <w:t xml:space="preserve">                   </w:t>
      </w:r>
    </w:p>
    <w:p w14:paraId="0557E7E0">
      <w:pPr>
        <w:numPr>
          <w:ilvl w:val="0"/>
          <w:numId w:val="1"/>
        </w:numPr>
        <w:jc w:val="center"/>
        <w:rPr>
          <w:rFonts w:hint="eastAsia" w:ascii="宋体" w:hAnsi="宋体"/>
          <w:b/>
          <w:color w:val="auto"/>
          <w:sz w:val="32"/>
          <w:szCs w:val="32"/>
          <w:lang w:val="zh-CN"/>
        </w:rPr>
      </w:pPr>
      <w:r>
        <w:rPr>
          <w:rFonts w:hint="eastAsia" w:ascii="宋体" w:hAnsi="宋体"/>
          <w:b/>
          <w:color w:val="auto"/>
          <w:sz w:val="32"/>
          <w:szCs w:val="32"/>
          <w:lang w:val="zh-CN"/>
        </w:rPr>
        <w:t>供应商认为需提供的其他材料</w:t>
      </w:r>
    </w:p>
    <w:p w14:paraId="1FE40C18">
      <w:pPr>
        <w:widowControl w:val="0"/>
        <w:numPr>
          <w:ilvl w:val="0"/>
          <w:numId w:val="0"/>
        </w:numPr>
        <w:jc w:val="center"/>
        <w:rPr>
          <w:rFonts w:hint="eastAsia" w:ascii="宋体" w:hAnsi="宋体"/>
          <w:b/>
          <w:color w:val="auto"/>
          <w:sz w:val="32"/>
          <w:szCs w:val="32"/>
          <w:lang w:val="zh-CN"/>
        </w:rPr>
      </w:pPr>
    </w:p>
    <w:p w14:paraId="40E81052">
      <w:pPr>
        <w:widowControl w:val="0"/>
        <w:numPr>
          <w:ilvl w:val="0"/>
          <w:numId w:val="0"/>
        </w:numPr>
        <w:jc w:val="center"/>
        <w:rPr>
          <w:rFonts w:hint="eastAsia" w:ascii="宋体" w:hAnsi="宋体"/>
          <w:b/>
          <w:color w:val="auto"/>
          <w:sz w:val="32"/>
          <w:szCs w:val="32"/>
          <w:lang w:val="zh-CN"/>
        </w:rPr>
      </w:pPr>
    </w:p>
    <w:p w14:paraId="2A816DD1">
      <w:pPr>
        <w:widowControl w:val="0"/>
        <w:numPr>
          <w:ilvl w:val="0"/>
          <w:numId w:val="0"/>
        </w:numPr>
        <w:jc w:val="center"/>
        <w:rPr>
          <w:rFonts w:hint="eastAsia" w:ascii="宋体" w:hAnsi="宋体"/>
          <w:b/>
          <w:color w:val="auto"/>
          <w:sz w:val="32"/>
          <w:szCs w:val="32"/>
          <w:lang w:val="zh-CN"/>
        </w:rPr>
      </w:pPr>
    </w:p>
    <w:p w14:paraId="26F7C147">
      <w:pPr>
        <w:widowControl w:val="0"/>
        <w:numPr>
          <w:ilvl w:val="0"/>
          <w:numId w:val="0"/>
        </w:numPr>
        <w:jc w:val="center"/>
        <w:rPr>
          <w:rFonts w:hint="eastAsia" w:ascii="宋体" w:hAnsi="宋体"/>
          <w:b/>
          <w:color w:val="auto"/>
          <w:sz w:val="32"/>
          <w:szCs w:val="32"/>
          <w:lang w:val="zh-CN"/>
        </w:rPr>
      </w:pPr>
    </w:p>
    <w:p w14:paraId="04AB4561">
      <w:pPr>
        <w:widowControl w:val="0"/>
        <w:numPr>
          <w:ilvl w:val="0"/>
          <w:numId w:val="0"/>
        </w:numPr>
        <w:jc w:val="center"/>
        <w:rPr>
          <w:rFonts w:hint="eastAsia" w:ascii="宋体" w:hAnsi="宋体"/>
          <w:b/>
          <w:color w:val="auto"/>
          <w:sz w:val="32"/>
          <w:szCs w:val="32"/>
          <w:lang w:val="zh-CN"/>
        </w:rPr>
      </w:pPr>
    </w:p>
    <w:p w14:paraId="1E95C3E5">
      <w:pPr>
        <w:widowControl w:val="0"/>
        <w:numPr>
          <w:ilvl w:val="0"/>
          <w:numId w:val="0"/>
        </w:numPr>
        <w:jc w:val="center"/>
        <w:rPr>
          <w:rFonts w:hint="eastAsia" w:ascii="宋体" w:hAnsi="宋体"/>
          <w:b/>
          <w:color w:val="auto"/>
          <w:sz w:val="32"/>
          <w:szCs w:val="32"/>
          <w:lang w:val="zh-CN"/>
        </w:rPr>
      </w:pPr>
    </w:p>
    <w:p w14:paraId="17CDBEBE">
      <w:pPr>
        <w:widowControl w:val="0"/>
        <w:numPr>
          <w:ilvl w:val="0"/>
          <w:numId w:val="0"/>
        </w:numPr>
        <w:jc w:val="center"/>
        <w:rPr>
          <w:rFonts w:hint="eastAsia" w:ascii="宋体" w:hAnsi="宋体"/>
          <w:b/>
          <w:color w:val="auto"/>
          <w:sz w:val="32"/>
          <w:szCs w:val="32"/>
          <w:lang w:val="zh-CN"/>
        </w:rPr>
      </w:pPr>
    </w:p>
    <w:p w14:paraId="19243DC9">
      <w:pPr>
        <w:widowControl w:val="0"/>
        <w:numPr>
          <w:ilvl w:val="0"/>
          <w:numId w:val="0"/>
        </w:numPr>
        <w:jc w:val="center"/>
        <w:rPr>
          <w:rFonts w:hint="eastAsia" w:ascii="宋体" w:hAnsi="宋体"/>
          <w:b/>
          <w:color w:val="auto"/>
          <w:sz w:val="32"/>
          <w:szCs w:val="32"/>
          <w:lang w:val="zh-CN"/>
        </w:rPr>
      </w:pPr>
    </w:p>
    <w:p w14:paraId="1DA912BF">
      <w:pPr>
        <w:widowControl w:val="0"/>
        <w:numPr>
          <w:ilvl w:val="0"/>
          <w:numId w:val="0"/>
        </w:numPr>
        <w:jc w:val="center"/>
        <w:rPr>
          <w:rFonts w:hint="eastAsia" w:ascii="宋体" w:hAnsi="宋体"/>
          <w:b/>
          <w:color w:val="auto"/>
          <w:sz w:val="32"/>
          <w:szCs w:val="32"/>
          <w:lang w:val="zh-CN"/>
        </w:rPr>
      </w:pPr>
    </w:p>
    <w:p w14:paraId="69C51DF7">
      <w:pPr>
        <w:widowControl w:val="0"/>
        <w:numPr>
          <w:ilvl w:val="0"/>
          <w:numId w:val="0"/>
        </w:numPr>
        <w:jc w:val="center"/>
        <w:rPr>
          <w:rFonts w:hint="eastAsia" w:ascii="宋体" w:hAnsi="宋体"/>
          <w:b/>
          <w:color w:val="auto"/>
          <w:sz w:val="32"/>
          <w:szCs w:val="32"/>
          <w:lang w:val="zh-CN"/>
        </w:rPr>
      </w:pPr>
    </w:p>
    <w:p w14:paraId="25D8E32A">
      <w:pPr>
        <w:widowControl w:val="0"/>
        <w:numPr>
          <w:ilvl w:val="0"/>
          <w:numId w:val="0"/>
        </w:numPr>
        <w:jc w:val="center"/>
        <w:rPr>
          <w:rFonts w:hint="eastAsia" w:ascii="宋体" w:hAnsi="宋体"/>
          <w:b/>
          <w:color w:val="auto"/>
          <w:sz w:val="32"/>
          <w:szCs w:val="32"/>
          <w:lang w:val="zh-CN"/>
        </w:rPr>
      </w:pPr>
    </w:p>
    <w:p w14:paraId="67BD9ABF">
      <w:pPr>
        <w:widowControl w:val="0"/>
        <w:numPr>
          <w:ilvl w:val="0"/>
          <w:numId w:val="0"/>
        </w:numPr>
        <w:jc w:val="center"/>
        <w:rPr>
          <w:rFonts w:hint="eastAsia" w:ascii="宋体" w:hAnsi="宋体"/>
          <w:b/>
          <w:color w:val="auto"/>
          <w:sz w:val="32"/>
          <w:szCs w:val="32"/>
          <w:lang w:val="zh-CN"/>
        </w:rPr>
      </w:pPr>
    </w:p>
    <w:p w14:paraId="23425DA9">
      <w:pPr>
        <w:widowControl w:val="0"/>
        <w:numPr>
          <w:ilvl w:val="0"/>
          <w:numId w:val="0"/>
        </w:numPr>
        <w:jc w:val="center"/>
        <w:rPr>
          <w:rFonts w:hint="eastAsia" w:ascii="宋体" w:hAnsi="宋体"/>
          <w:b/>
          <w:color w:val="auto"/>
          <w:sz w:val="32"/>
          <w:szCs w:val="32"/>
          <w:lang w:val="zh-CN"/>
        </w:rPr>
      </w:pPr>
    </w:p>
    <w:p w14:paraId="1D9E0A77">
      <w:pPr>
        <w:widowControl w:val="0"/>
        <w:numPr>
          <w:ilvl w:val="0"/>
          <w:numId w:val="0"/>
        </w:numPr>
        <w:jc w:val="center"/>
        <w:rPr>
          <w:rFonts w:hint="eastAsia" w:ascii="宋体" w:hAnsi="宋体"/>
          <w:b/>
          <w:color w:val="auto"/>
          <w:sz w:val="32"/>
          <w:szCs w:val="32"/>
          <w:lang w:val="zh-CN"/>
        </w:rPr>
      </w:pPr>
    </w:p>
    <w:p w14:paraId="35C40E5E">
      <w:pPr>
        <w:widowControl w:val="0"/>
        <w:numPr>
          <w:ilvl w:val="0"/>
          <w:numId w:val="0"/>
        </w:numPr>
        <w:jc w:val="center"/>
        <w:rPr>
          <w:rFonts w:hint="eastAsia" w:ascii="宋体" w:hAnsi="宋体"/>
          <w:b/>
          <w:color w:val="auto"/>
          <w:sz w:val="32"/>
          <w:szCs w:val="32"/>
          <w:lang w:val="zh-CN"/>
        </w:rPr>
      </w:pPr>
    </w:p>
    <w:p w14:paraId="26233D7D">
      <w:pPr>
        <w:widowControl w:val="0"/>
        <w:numPr>
          <w:ilvl w:val="0"/>
          <w:numId w:val="0"/>
        </w:numPr>
        <w:jc w:val="center"/>
        <w:rPr>
          <w:rFonts w:hint="eastAsia" w:ascii="宋体" w:hAnsi="宋体"/>
          <w:b/>
          <w:color w:val="auto"/>
          <w:sz w:val="32"/>
          <w:szCs w:val="32"/>
          <w:lang w:val="zh-CN"/>
        </w:rPr>
      </w:pPr>
    </w:p>
    <w:p w14:paraId="7564849A">
      <w:pPr>
        <w:widowControl w:val="0"/>
        <w:numPr>
          <w:ilvl w:val="0"/>
          <w:numId w:val="0"/>
        </w:numPr>
        <w:jc w:val="center"/>
        <w:rPr>
          <w:rFonts w:hint="eastAsia" w:ascii="宋体" w:hAnsi="宋体"/>
          <w:b/>
          <w:color w:val="auto"/>
          <w:sz w:val="32"/>
          <w:szCs w:val="32"/>
          <w:lang w:val="zh-CN"/>
        </w:rPr>
      </w:pPr>
    </w:p>
    <w:p w14:paraId="1770816D">
      <w:pPr>
        <w:widowControl w:val="0"/>
        <w:numPr>
          <w:ilvl w:val="0"/>
          <w:numId w:val="0"/>
        </w:numPr>
        <w:jc w:val="center"/>
        <w:rPr>
          <w:rFonts w:hint="eastAsia" w:ascii="宋体" w:hAnsi="宋体"/>
          <w:b/>
          <w:color w:val="auto"/>
          <w:sz w:val="32"/>
          <w:szCs w:val="32"/>
          <w:lang w:val="zh-CN"/>
        </w:rPr>
      </w:pPr>
    </w:p>
    <w:p w14:paraId="67A21AF1">
      <w:pPr>
        <w:widowControl w:val="0"/>
        <w:numPr>
          <w:ilvl w:val="0"/>
          <w:numId w:val="0"/>
        </w:numPr>
        <w:jc w:val="center"/>
        <w:rPr>
          <w:rFonts w:hint="eastAsia" w:ascii="宋体" w:hAnsi="宋体"/>
          <w:b/>
          <w:color w:val="auto"/>
          <w:sz w:val="32"/>
          <w:szCs w:val="32"/>
          <w:lang w:val="zh-CN"/>
        </w:rPr>
      </w:pPr>
    </w:p>
    <w:p w14:paraId="39D4FCB8">
      <w:pPr>
        <w:widowControl w:val="0"/>
        <w:numPr>
          <w:ilvl w:val="0"/>
          <w:numId w:val="0"/>
        </w:numPr>
        <w:jc w:val="center"/>
        <w:rPr>
          <w:rFonts w:hint="eastAsia" w:ascii="宋体" w:hAnsi="宋体"/>
          <w:b/>
          <w:color w:val="auto"/>
          <w:sz w:val="32"/>
          <w:szCs w:val="32"/>
          <w:lang w:val="zh-CN"/>
        </w:rPr>
      </w:pPr>
    </w:p>
    <w:p w14:paraId="3F4489F1">
      <w:pPr>
        <w:widowControl w:val="0"/>
        <w:numPr>
          <w:ilvl w:val="0"/>
          <w:numId w:val="0"/>
        </w:numPr>
        <w:jc w:val="center"/>
        <w:rPr>
          <w:rFonts w:hint="eastAsia" w:ascii="宋体" w:hAnsi="宋体"/>
          <w:b/>
          <w:color w:val="auto"/>
          <w:sz w:val="32"/>
          <w:szCs w:val="32"/>
          <w:lang w:val="zh-CN"/>
        </w:rPr>
      </w:pPr>
    </w:p>
    <w:p w14:paraId="575DDF6D">
      <w:pPr>
        <w:keepNext w:val="0"/>
        <w:keepLines w:val="0"/>
        <w:pageBreakBefore w:val="0"/>
        <w:kinsoku/>
        <w:wordWrap/>
        <w:topLinePunct w:val="0"/>
        <w:bidi w:val="0"/>
        <w:snapToGrid w:val="0"/>
        <w:spacing w:line="240" w:lineRule="auto"/>
        <w:jc w:val="center"/>
        <w:textAlignment w:val="baseline"/>
        <w:rPr>
          <w:rFonts w:hint="eastAsia" w:ascii="宋体" w:hAnsi="宋体" w:eastAsia="宋体" w:cs="宋体"/>
          <w:b/>
          <w:bCs/>
          <w:color w:val="auto"/>
          <w:kern w:val="0"/>
          <w:sz w:val="31"/>
          <w:szCs w:val="31"/>
          <w:lang w:val="en-US" w:eastAsia="zh-CN" w:bidi="ar"/>
        </w:rPr>
      </w:pPr>
      <w:r>
        <w:rPr>
          <w:rFonts w:hint="eastAsia" w:ascii="宋体" w:hAnsi="宋体" w:eastAsia="宋体" w:cs="宋体"/>
          <w:b/>
          <w:bCs/>
          <w:color w:val="auto"/>
          <w:kern w:val="0"/>
          <w:sz w:val="31"/>
          <w:szCs w:val="31"/>
          <w:lang w:val="en-US" w:eastAsia="zh-CN" w:bidi="ar"/>
        </w:rPr>
        <w:t>最终报价承诺书</w:t>
      </w:r>
    </w:p>
    <w:p w14:paraId="5710C272">
      <w:pPr>
        <w:keepNext w:val="0"/>
        <w:keepLines w:val="0"/>
        <w:pageBreakBefore w:val="0"/>
        <w:kinsoku/>
        <w:wordWrap/>
        <w:topLinePunct w:val="0"/>
        <w:bidi w:val="0"/>
        <w:snapToGrid w:val="0"/>
        <w:spacing w:line="240" w:lineRule="auto"/>
        <w:jc w:val="left"/>
        <w:textAlignment w:val="baseline"/>
        <w:rPr>
          <w:rFonts w:hint="eastAsia" w:ascii="宋体" w:hAnsi="宋体" w:eastAsia="宋体" w:cs="宋体"/>
          <w:color w:val="auto"/>
          <w:kern w:val="0"/>
          <w:sz w:val="21"/>
          <w:szCs w:val="21"/>
          <w:lang w:val="en-US" w:eastAsia="zh-CN" w:bidi="ar"/>
        </w:rPr>
      </w:pPr>
    </w:p>
    <w:p w14:paraId="4AF48331">
      <w:pPr>
        <w:keepNext w:val="0"/>
        <w:keepLines w:val="0"/>
        <w:pageBreakBefore w:val="0"/>
        <w:kinsoku/>
        <w:wordWrap/>
        <w:topLinePunct w:val="0"/>
        <w:bidi w:val="0"/>
        <w:snapToGrid w:val="0"/>
        <w:spacing w:line="240" w:lineRule="auto"/>
        <w:jc w:val="left"/>
        <w:textAlignment w:val="baseline"/>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项目名称：        </w:t>
      </w:r>
    </w:p>
    <w:p w14:paraId="001D5E13">
      <w:pPr>
        <w:keepNext w:val="0"/>
        <w:keepLines w:val="0"/>
        <w:pageBreakBefore w:val="0"/>
        <w:kinsoku/>
        <w:wordWrap/>
        <w:topLinePunct w:val="0"/>
        <w:bidi w:val="0"/>
        <w:snapToGrid w:val="0"/>
        <w:spacing w:line="240" w:lineRule="auto"/>
        <w:jc w:val="left"/>
        <w:textAlignment w:val="baseline"/>
        <w:rPr>
          <w:color w:val="auto"/>
          <w:sz w:val="21"/>
          <w:szCs w:val="21"/>
        </w:rPr>
      </w:pPr>
      <w:r>
        <w:rPr>
          <w:rFonts w:hint="eastAsia" w:ascii="宋体" w:hAnsi="宋体" w:eastAsia="宋体" w:cs="宋体"/>
          <w:color w:val="auto"/>
          <w:kern w:val="0"/>
          <w:sz w:val="21"/>
          <w:szCs w:val="21"/>
          <w:lang w:val="en-US" w:eastAsia="zh-CN" w:bidi="ar"/>
        </w:rPr>
        <w:t>项目编号：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7349"/>
      </w:tblGrid>
      <w:tr w14:paraId="6E37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210" w:type="dxa"/>
            <w:noWrap w:val="0"/>
            <w:vAlign w:val="center"/>
          </w:tcPr>
          <w:p w14:paraId="0552B043">
            <w:pPr>
              <w:keepNext w:val="0"/>
              <w:keepLines w:val="0"/>
              <w:widowControl/>
              <w:suppressLineNumbers w:val="0"/>
              <w:spacing w:line="360" w:lineRule="auto"/>
              <w:jc w:val="center"/>
              <w:rPr>
                <w:rFonts w:hint="default"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供应商名称</w:t>
            </w:r>
          </w:p>
        </w:tc>
        <w:tc>
          <w:tcPr>
            <w:tcW w:w="7349" w:type="dxa"/>
            <w:noWrap w:val="0"/>
            <w:vAlign w:val="top"/>
          </w:tcPr>
          <w:p w14:paraId="43C8E3CC">
            <w:pPr>
              <w:keepNext w:val="0"/>
              <w:keepLines w:val="0"/>
              <w:widowControl/>
              <w:suppressLineNumbers w:val="0"/>
              <w:spacing w:line="360" w:lineRule="auto"/>
              <w:jc w:val="left"/>
              <w:rPr>
                <w:rFonts w:hint="eastAsia" w:ascii="宋体" w:hAnsi="宋体" w:eastAsia="宋体" w:cs="宋体"/>
                <w:color w:val="auto"/>
                <w:kern w:val="0"/>
                <w:sz w:val="21"/>
                <w:szCs w:val="21"/>
                <w:vertAlign w:val="baseline"/>
                <w:lang w:val="en-US" w:eastAsia="zh-CN" w:bidi="ar"/>
              </w:rPr>
            </w:pPr>
          </w:p>
        </w:tc>
      </w:tr>
      <w:tr w14:paraId="546E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210" w:type="dxa"/>
            <w:noWrap w:val="0"/>
            <w:vAlign w:val="center"/>
          </w:tcPr>
          <w:p w14:paraId="62E7145D">
            <w:pPr>
              <w:keepNext w:val="0"/>
              <w:keepLines w:val="0"/>
              <w:widowControl/>
              <w:suppressLineNumbers w:val="0"/>
              <w:spacing w:line="360" w:lineRule="auto"/>
              <w:jc w:val="center"/>
              <w:rPr>
                <w:rFonts w:hint="default"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最终报价</w:t>
            </w:r>
          </w:p>
        </w:tc>
        <w:tc>
          <w:tcPr>
            <w:tcW w:w="7349" w:type="dxa"/>
            <w:noWrap w:val="0"/>
            <w:vAlign w:val="top"/>
          </w:tcPr>
          <w:p w14:paraId="6878896B">
            <w:pPr>
              <w:keepNext w:val="0"/>
              <w:keepLines w:val="0"/>
              <w:widowControl/>
              <w:suppressLineNumbers w:val="0"/>
              <w:spacing w:line="360" w:lineRule="auto"/>
              <w:jc w:val="left"/>
              <w:rPr>
                <w:rFonts w:hint="eastAsia" w:ascii="宋体" w:hAnsi="宋体" w:eastAsia="宋体" w:cs="宋体"/>
                <w:color w:val="auto"/>
                <w:kern w:val="0"/>
                <w:sz w:val="21"/>
                <w:szCs w:val="21"/>
                <w:vertAlign w:val="baseline"/>
                <w:lang w:val="en-US" w:eastAsia="zh-CN" w:bidi="ar"/>
              </w:rPr>
            </w:pPr>
          </w:p>
        </w:tc>
      </w:tr>
      <w:tr w14:paraId="1CD2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2210" w:type="dxa"/>
            <w:noWrap w:val="0"/>
            <w:vAlign w:val="center"/>
          </w:tcPr>
          <w:p w14:paraId="6440EBBA">
            <w:pPr>
              <w:keepNext w:val="0"/>
              <w:keepLines w:val="0"/>
              <w:widowControl/>
              <w:suppressLineNumbers w:val="0"/>
              <w:spacing w:line="360" w:lineRule="auto"/>
              <w:jc w:val="center"/>
              <w:rPr>
                <w:rFonts w:hint="default"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备注说明</w:t>
            </w:r>
          </w:p>
        </w:tc>
        <w:tc>
          <w:tcPr>
            <w:tcW w:w="7349" w:type="dxa"/>
            <w:noWrap w:val="0"/>
            <w:vAlign w:val="top"/>
          </w:tcPr>
          <w:p w14:paraId="24C24263">
            <w:pPr>
              <w:keepNext w:val="0"/>
              <w:keepLines w:val="0"/>
              <w:widowControl/>
              <w:suppressLineNumbers w:val="0"/>
              <w:spacing w:line="360" w:lineRule="auto"/>
              <w:jc w:val="left"/>
              <w:rPr>
                <w:rFonts w:hint="eastAsia" w:ascii="宋体" w:hAnsi="宋体" w:eastAsia="宋体" w:cs="宋体"/>
                <w:color w:val="auto"/>
                <w:kern w:val="0"/>
                <w:sz w:val="21"/>
                <w:szCs w:val="21"/>
                <w:vertAlign w:val="baseline"/>
                <w:lang w:val="en-US" w:eastAsia="zh-CN" w:bidi="ar"/>
              </w:rPr>
            </w:pPr>
          </w:p>
        </w:tc>
      </w:tr>
    </w:tbl>
    <w:p w14:paraId="7E5DB385">
      <w:pPr>
        <w:pStyle w:val="33"/>
        <w:spacing w:line="360" w:lineRule="auto"/>
        <w:ind w:left="0" w:leftChars="0" w:firstLine="0"/>
        <w:rPr>
          <w:rFonts w:hint="eastAsia" w:ascii="宋体" w:hAnsi="宋体" w:eastAsia="宋体" w:cs="宋体"/>
          <w:color w:val="auto"/>
          <w:szCs w:val="21"/>
          <w:lang w:val="zh-CN"/>
        </w:rPr>
      </w:pPr>
    </w:p>
    <w:p w14:paraId="398FF6B4">
      <w:pPr>
        <w:pStyle w:val="33"/>
        <w:spacing w:line="360" w:lineRule="auto"/>
        <w:ind w:left="0" w:leftChars="0" w:firstLine="0"/>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法定代表人或其委托代理人：</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(签字</w:t>
      </w:r>
      <w:r>
        <w:rPr>
          <w:rFonts w:hint="eastAsia" w:ascii="宋体" w:hAnsi="宋体" w:cs="宋体"/>
          <w:color w:val="auto"/>
          <w:szCs w:val="21"/>
          <w:lang w:val="zh-CN"/>
        </w:rPr>
        <w:t>或盖章</w:t>
      </w:r>
      <w:r>
        <w:rPr>
          <w:rFonts w:hint="eastAsia" w:ascii="宋体" w:hAnsi="宋体" w:eastAsia="宋体" w:cs="宋体"/>
          <w:color w:val="auto"/>
          <w:szCs w:val="21"/>
          <w:lang w:val="zh-CN"/>
        </w:rPr>
        <w:t>)</w:t>
      </w:r>
    </w:p>
    <w:p w14:paraId="726EE028">
      <w:pPr>
        <w:autoSpaceDE w:val="0"/>
        <w:autoSpaceDN w:val="0"/>
        <w:adjustRightInd w:val="0"/>
        <w:spacing w:line="400" w:lineRule="exact"/>
        <w:ind w:firstLine="1575" w:firstLineChars="750"/>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 xml:space="preserve">  </w:t>
      </w:r>
      <w:r>
        <w:rPr>
          <w:rFonts w:hint="eastAsia" w:ascii="宋体" w:hAnsi="宋体" w:eastAsia="宋体" w:cs="宋体"/>
          <w:color w:val="auto"/>
          <w:kern w:val="2"/>
          <w:sz w:val="21"/>
          <w:szCs w:val="21"/>
          <w:u w:val="single"/>
          <w:lang w:val="zh-CN" w:eastAsia="zh-CN" w:bidi="ar-SA"/>
        </w:rPr>
        <w:t xml:space="preserve">        </w:t>
      </w:r>
      <w:r>
        <w:rPr>
          <w:rFonts w:hint="eastAsia" w:ascii="宋体" w:hAnsi="宋体" w:eastAsia="宋体" w:cs="宋体"/>
          <w:color w:val="auto"/>
          <w:kern w:val="2"/>
          <w:sz w:val="21"/>
          <w:szCs w:val="21"/>
          <w:lang w:val="zh-CN" w:eastAsia="zh-CN" w:bidi="ar-SA"/>
        </w:rPr>
        <w:t>年</w:t>
      </w:r>
      <w:r>
        <w:rPr>
          <w:rFonts w:hint="eastAsia" w:ascii="宋体" w:hAnsi="宋体" w:eastAsia="宋体" w:cs="宋体"/>
          <w:color w:val="auto"/>
          <w:kern w:val="2"/>
          <w:sz w:val="21"/>
          <w:szCs w:val="21"/>
          <w:u w:val="single"/>
          <w:lang w:val="zh-CN" w:eastAsia="zh-CN" w:bidi="ar-SA"/>
        </w:rPr>
        <w:t xml:space="preserve">    </w:t>
      </w:r>
      <w:r>
        <w:rPr>
          <w:rFonts w:hint="eastAsia" w:ascii="宋体" w:hAnsi="宋体" w:eastAsia="宋体" w:cs="宋体"/>
          <w:color w:val="auto"/>
          <w:kern w:val="2"/>
          <w:sz w:val="21"/>
          <w:szCs w:val="21"/>
          <w:lang w:val="zh-CN" w:eastAsia="zh-CN" w:bidi="ar-SA"/>
        </w:rPr>
        <w:t>月</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zh-CN" w:eastAsia="zh-CN" w:bidi="ar-SA"/>
        </w:rPr>
        <w:t>日</w:t>
      </w:r>
    </w:p>
    <w:p w14:paraId="32DDBEEC">
      <w:pPr>
        <w:keepNext w:val="0"/>
        <w:keepLines w:val="0"/>
        <w:widowControl/>
        <w:suppressLineNumbers w:val="0"/>
        <w:spacing w:line="360" w:lineRule="auto"/>
        <w:jc w:val="left"/>
        <w:rPr>
          <w:rFonts w:hint="eastAsia" w:ascii="宋体" w:hAnsi="宋体" w:eastAsia="宋体" w:cs="宋体"/>
          <w:color w:val="auto"/>
          <w:kern w:val="2"/>
          <w:sz w:val="21"/>
          <w:szCs w:val="21"/>
          <w:lang w:val="en-US" w:eastAsia="zh-CN" w:bidi="ar-SA"/>
        </w:rPr>
      </w:pPr>
    </w:p>
    <w:p w14:paraId="66135CAD">
      <w:pPr>
        <w:numPr>
          <w:ilvl w:val="0"/>
          <w:numId w:val="2"/>
        </w:num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通过初步评审的供应商将被要求提供最终报价承诺书，本最终报价承诺书（最终报价），</w:t>
      </w:r>
      <w:r>
        <w:rPr>
          <w:rFonts w:hint="eastAsia" w:ascii="宋体" w:hAnsi="宋体" w:eastAsia="宋体" w:cs="宋体"/>
          <w:b/>
          <w:bCs/>
          <w:color w:val="auto"/>
          <w:kern w:val="2"/>
          <w:sz w:val="21"/>
          <w:szCs w:val="21"/>
          <w:lang w:val="en-US" w:eastAsia="zh-CN" w:bidi="ar-SA"/>
        </w:rPr>
        <w:t>不附在响应文件内，磋商供应商应依据磋商情况进行本表格的填报</w:t>
      </w:r>
      <w:r>
        <w:rPr>
          <w:rFonts w:hint="eastAsia" w:ascii="宋体" w:hAnsi="宋体" w:eastAsia="宋体" w:cs="宋体"/>
          <w:color w:val="auto"/>
          <w:kern w:val="2"/>
          <w:sz w:val="21"/>
          <w:szCs w:val="21"/>
          <w:lang w:val="en-US" w:eastAsia="zh-CN" w:bidi="ar-SA"/>
        </w:rPr>
        <w:t>。</w:t>
      </w:r>
    </w:p>
    <w:p w14:paraId="4A40F7EA">
      <w:pPr>
        <w:numPr>
          <w:ilvl w:val="0"/>
          <w:numId w:val="0"/>
        </w:num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2.参与磋商的供应商应提前准备第二轮最终报价承诺书，最终报价作为响应文件的组成部分。</w:t>
      </w:r>
    </w:p>
    <w:p w14:paraId="2BFA0A5B">
      <w:pPr>
        <w:widowControl w:val="0"/>
        <w:numPr>
          <w:ilvl w:val="0"/>
          <w:numId w:val="0"/>
        </w:numPr>
        <w:jc w:val="center"/>
        <w:rPr>
          <w:rFonts w:hint="eastAsia" w:ascii="宋体" w:hAnsi="宋体"/>
          <w:b/>
          <w:color w:val="auto"/>
          <w:sz w:val="32"/>
          <w:szCs w:val="32"/>
          <w:lang w:val="zh-CN"/>
        </w:rPr>
      </w:pPr>
    </w:p>
    <w:sectPr>
      <w:headerReference r:id="rId12" w:type="default"/>
      <w:footerReference r:id="rId13" w:type="default"/>
      <w:pgSz w:w="11906" w:h="16838"/>
      <w:pgMar w:top="1418" w:right="92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F801">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06B34">
                          <w:pPr>
                            <w:pStyle w:val="22"/>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14:paraId="61E06B34">
                    <w:pPr>
                      <w:pStyle w:val="2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3EF5">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4F16F">
                          <w:pPr>
                            <w:pStyle w:val="22"/>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4994F16F">
                    <w:pPr>
                      <w:pStyle w:val="2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7210">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D23D84">
                          <w:pPr>
                            <w:pStyle w:val="22"/>
                            <w:jc w:val="center"/>
                          </w:pPr>
                          <w:r>
                            <w:fldChar w:fldCharType="begin"/>
                          </w:r>
                          <w:r>
                            <w:instrText xml:space="preserve"> PAGE   \* MERGEFORMAT </w:instrText>
                          </w:r>
                          <w:r>
                            <w:fldChar w:fldCharType="separate"/>
                          </w:r>
                          <w:r>
                            <w:rPr>
                              <w:lang w:val="zh-CN"/>
                            </w:rPr>
                            <w:t>27</w:t>
                          </w:r>
                          <w:r>
                            <w:rPr>
                              <w:lang w:val="zh-CN"/>
                            </w:rPr>
                            <w:fldChar w:fldCharType="end"/>
                          </w:r>
                        </w:p>
                        <w:p w14:paraId="315C80F1">
                          <w:pPr>
                            <w:pStyle w:val="2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4D23D84">
                    <w:pPr>
                      <w:pStyle w:val="22"/>
                      <w:jc w:val="center"/>
                    </w:pPr>
                    <w:r>
                      <w:fldChar w:fldCharType="begin"/>
                    </w:r>
                    <w:r>
                      <w:instrText xml:space="preserve"> PAGE   \* MERGEFORMAT </w:instrText>
                    </w:r>
                    <w:r>
                      <w:fldChar w:fldCharType="separate"/>
                    </w:r>
                    <w:r>
                      <w:rPr>
                        <w:lang w:val="zh-CN"/>
                      </w:rPr>
                      <w:t>27</w:t>
                    </w:r>
                    <w:r>
                      <w:rPr>
                        <w:lang w:val="zh-CN"/>
                      </w:rPr>
                      <w:fldChar w:fldCharType="end"/>
                    </w:r>
                  </w:p>
                  <w:p w14:paraId="315C80F1">
                    <w:pPr>
                      <w:pStyle w:val="29"/>
                    </w:pPr>
                  </w:p>
                </w:txbxContent>
              </v:textbox>
            </v:shape>
          </w:pict>
        </mc:Fallback>
      </mc:AlternateContent>
    </w:r>
  </w:p>
  <w:p w14:paraId="030F7E4A">
    <w:pPr>
      <w:pStyle w:val="14"/>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2FD2">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F8BF37">
                          <w:pPr>
                            <w:pStyle w:val="22"/>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FF8BF37">
                    <w:pPr>
                      <w:pStyle w:val="2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5462">
    <w:pPr>
      <w:pStyle w:val="22"/>
      <w:framePr w:wrap="around" w:vAnchor="text" w:hAnchor="margin" w:xAlign="center" w:y="1"/>
      <w:rPr>
        <w:rStyle w:val="38"/>
      </w:rPr>
    </w:pPr>
    <w:r>
      <w:rPr>
        <w:rStyle w:val="38"/>
      </w:rPr>
      <w:fldChar w:fldCharType="begin"/>
    </w:r>
    <w:r>
      <w:rPr>
        <w:rStyle w:val="38"/>
      </w:rPr>
      <w:instrText xml:space="preserve">PAGE  </w:instrText>
    </w:r>
    <w:r>
      <w:rPr>
        <w:rStyle w:val="38"/>
      </w:rPr>
      <w:fldChar w:fldCharType="end"/>
    </w:r>
  </w:p>
  <w:p w14:paraId="16CD638E">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5020">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B02F6">
                          <w:pPr>
                            <w:pStyle w:val="22"/>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5FAB02F6">
                    <w:pPr>
                      <w:pStyle w:val="2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875B6">
    <w:pPr>
      <w:pStyle w:val="23"/>
      <w:rPr>
        <w:rFonts w:hint="eastAsia"/>
        <w:lang w:val="en-US" w:eastAsia="zh-CN"/>
      </w:rPr>
    </w:pPr>
    <w:r>
      <w:rPr>
        <w:rFonts w:hint="eastAsia"/>
        <w:lang w:val="en-US" w:eastAsia="zh-CN"/>
      </w:rPr>
      <w:t>吉林泓远项目管理有限公司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3DAD">
    <w:pPr>
      <w:pStyle w:val="23"/>
      <w:rPr>
        <w:rFonts w:hint="eastAsia" w:eastAsia="宋体"/>
        <w:lang w:val="en-US" w:eastAsia="zh-CN"/>
      </w:rPr>
    </w:pPr>
    <w:r>
      <w:rPr>
        <w:rFonts w:hint="eastAsia"/>
        <w:lang w:val="en-US" w:eastAsia="zh-CN"/>
      </w:rPr>
      <w:t>吉林泓远项目管理有限公司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05481">
    <w:pPr>
      <w:pStyle w:val="23"/>
      <w:rPr>
        <w:rFonts w:hint="eastAsia" w:eastAsia="宋体"/>
        <w:lang w:eastAsia="zh-CN"/>
      </w:rPr>
    </w:pPr>
    <w:r>
      <w:rPr>
        <w:rFonts w:hint="eastAsia"/>
        <w:lang w:eastAsia="zh-CN"/>
      </w:rPr>
      <w:t>吉林泓远项目管理有限公司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6722">
    <w:pPr>
      <w:pStyle w:val="23"/>
      <w:rPr>
        <w:rFonts w:hint="eastAsia" w:eastAsia="宋体"/>
        <w:lang w:eastAsia="zh-CN"/>
      </w:rPr>
    </w:pPr>
    <w:r>
      <w:rPr>
        <w:rFonts w:hint="eastAsia"/>
        <w:lang w:eastAsia="zh-CN"/>
      </w:rPr>
      <w:t>吉林泓远项目管理有限公司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E541">
    <w:pPr>
      <w:pStyle w:val="23"/>
      <w:rPr>
        <w:rFonts w:hint="eastAsia" w:eastAsia="宋体"/>
        <w:lang w:eastAsia="zh-CN"/>
      </w:rPr>
    </w:pPr>
    <w:r>
      <w:rPr>
        <w:rFonts w:hint="eastAsia"/>
        <w:lang w:eastAsia="zh-CN"/>
      </w:rPr>
      <w:t>吉林泓远项目管理有限公司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2ABE5"/>
    <w:multiLevelType w:val="singleLevel"/>
    <w:tmpl w:val="4802ABE5"/>
    <w:lvl w:ilvl="0" w:tentative="0">
      <w:start w:val="10"/>
      <w:numFmt w:val="chineseCounting"/>
      <w:suff w:val="nothing"/>
      <w:lvlText w:val="%1、"/>
      <w:lvlJc w:val="left"/>
      <w:rPr>
        <w:rFonts w:hint="eastAsia"/>
      </w:rPr>
    </w:lvl>
  </w:abstractNum>
  <w:abstractNum w:abstractNumId="1">
    <w:nsid w:val="5D88DE5D"/>
    <w:multiLevelType w:val="singleLevel"/>
    <w:tmpl w:val="5D88DE5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MWJhYTMzY2FkNjBlOWE0ZTk1M2ViNDVmZTg5MTQifQ=="/>
  </w:docVars>
  <w:rsids>
    <w:rsidRoot w:val="00E84E06"/>
    <w:rsid w:val="00004CDE"/>
    <w:rsid w:val="000066FC"/>
    <w:rsid w:val="00006FA6"/>
    <w:rsid w:val="000078E5"/>
    <w:rsid w:val="00010306"/>
    <w:rsid w:val="00010D7C"/>
    <w:rsid w:val="0001241F"/>
    <w:rsid w:val="00021B6E"/>
    <w:rsid w:val="00023D7D"/>
    <w:rsid w:val="00024333"/>
    <w:rsid w:val="00024E6D"/>
    <w:rsid w:val="000326DE"/>
    <w:rsid w:val="000409A2"/>
    <w:rsid w:val="0004146A"/>
    <w:rsid w:val="00045570"/>
    <w:rsid w:val="00046834"/>
    <w:rsid w:val="00053389"/>
    <w:rsid w:val="00054322"/>
    <w:rsid w:val="000545D0"/>
    <w:rsid w:val="00055B8B"/>
    <w:rsid w:val="000600CC"/>
    <w:rsid w:val="00061156"/>
    <w:rsid w:val="00065157"/>
    <w:rsid w:val="00067B15"/>
    <w:rsid w:val="0007027F"/>
    <w:rsid w:val="00073A79"/>
    <w:rsid w:val="00074848"/>
    <w:rsid w:val="00074DAD"/>
    <w:rsid w:val="00076504"/>
    <w:rsid w:val="00077794"/>
    <w:rsid w:val="0008191F"/>
    <w:rsid w:val="00081B0E"/>
    <w:rsid w:val="00084E90"/>
    <w:rsid w:val="00087A91"/>
    <w:rsid w:val="000904BE"/>
    <w:rsid w:val="00090E3E"/>
    <w:rsid w:val="00092241"/>
    <w:rsid w:val="000932AE"/>
    <w:rsid w:val="00094E6B"/>
    <w:rsid w:val="000972ED"/>
    <w:rsid w:val="000A12CB"/>
    <w:rsid w:val="000A1673"/>
    <w:rsid w:val="000A22FF"/>
    <w:rsid w:val="000A2653"/>
    <w:rsid w:val="000B3812"/>
    <w:rsid w:val="000C2389"/>
    <w:rsid w:val="000C2A84"/>
    <w:rsid w:val="000C456D"/>
    <w:rsid w:val="000C4D92"/>
    <w:rsid w:val="000C5AA9"/>
    <w:rsid w:val="000D15D7"/>
    <w:rsid w:val="000D1F36"/>
    <w:rsid w:val="000E74A9"/>
    <w:rsid w:val="000F0AA7"/>
    <w:rsid w:val="00102F6F"/>
    <w:rsid w:val="001040E5"/>
    <w:rsid w:val="00104118"/>
    <w:rsid w:val="00105317"/>
    <w:rsid w:val="0011402B"/>
    <w:rsid w:val="001167A7"/>
    <w:rsid w:val="00116D77"/>
    <w:rsid w:val="00120D20"/>
    <w:rsid w:val="001216B0"/>
    <w:rsid w:val="00122A74"/>
    <w:rsid w:val="001248DC"/>
    <w:rsid w:val="00126763"/>
    <w:rsid w:val="00131E75"/>
    <w:rsid w:val="001373D7"/>
    <w:rsid w:val="00137CE3"/>
    <w:rsid w:val="00141CEB"/>
    <w:rsid w:val="00143C82"/>
    <w:rsid w:val="00143E56"/>
    <w:rsid w:val="00143E62"/>
    <w:rsid w:val="00150E74"/>
    <w:rsid w:val="00154640"/>
    <w:rsid w:val="00155E70"/>
    <w:rsid w:val="00156175"/>
    <w:rsid w:val="00157EC7"/>
    <w:rsid w:val="00164BAC"/>
    <w:rsid w:val="00166A4F"/>
    <w:rsid w:val="00167699"/>
    <w:rsid w:val="001714A5"/>
    <w:rsid w:val="00172E84"/>
    <w:rsid w:val="00174401"/>
    <w:rsid w:val="00176913"/>
    <w:rsid w:val="001829EE"/>
    <w:rsid w:val="001859D5"/>
    <w:rsid w:val="00192053"/>
    <w:rsid w:val="00193A97"/>
    <w:rsid w:val="00193C7B"/>
    <w:rsid w:val="001973C3"/>
    <w:rsid w:val="001A067F"/>
    <w:rsid w:val="001A0685"/>
    <w:rsid w:val="001A1F63"/>
    <w:rsid w:val="001A54EF"/>
    <w:rsid w:val="001A569D"/>
    <w:rsid w:val="001A6A30"/>
    <w:rsid w:val="001A6CC1"/>
    <w:rsid w:val="001B13DA"/>
    <w:rsid w:val="001B22A1"/>
    <w:rsid w:val="001B2388"/>
    <w:rsid w:val="001B2395"/>
    <w:rsid w:val="001B453D"/>
    <w:rsid w:val="001C2E95"/>
    <w:rsid w:val="001C4C1B"/>
    <w:rsid w:val="001C6DFC"/>
    <w:rsid w:val="001C74AA"/>
    <w:rsid w:val="001D032B"/>
    <w:rsid w:val="001D0574"/>
    <w:rsid w:val="001D57C3"/>
    <w:rsid w:val="001E0D95"/>
    <w:rsid w:val="001E16EF"/>
    <w:rsid w:val="001E3D06"/>
    <w:rsid w:val="001E4735"/>
    <w:rsid w:val="001E4D64"/>
    <w:rsid w:val="001E73C5"/>
    <w:rsid w:val="001F4B7C"/>
    <w:rsid w:val="001F4E0B"/>
    <w:rsid w:val="001F6221"/>
    <w:rsid w:val="002014F2"/>
    <w:rsid w:val="002014F5"/>
    <w:rsid w:val="0020410A"/>
    <w:rsid w:val="00206D8A"/>
    <w:rsid w:val="00207E24"/>
    <w:rsid w:val="002128EE"/>
    <w:rsid w:val="00215A0A"/>
    <w:rsid w:val="00220475"/>
    <w:rsid w:val="002220F5"/>
    <w:rsid w:val="00224648"/>
    <w:rsid w:val="00231550"/>
    <w:rsid w:val="002317AE"/>
    <w:rsid w:val="00232934"/>
    <w:rsid w:val="00233041"/>
    <w:rsid w:val="002362FF"/>
    <w:rsid w:val="002372B3"/>
    <w:rsid w:val="00241AEA"/>
    <w:rsid w:val="00244EA8"/>
    <w:rsid w:val="00247548"/>
    <w:rsid w:val="00253EBB"/>
    <w:rsid w:val="002578E1"/>
    <w:rsid w:val="00260161"/>
    <w:rsid w:val="00260B12"/>
    <w:rsid w:val="002634F1"/>
    <w:rsid w:val="002647D9"/>
    <w:rsid w:val="00270A6D"/>
    <w:rsid w:val="00272732"/>
    <w:rsid w:val="00272B98"/>
    <w:rsid w:val="002751DC"/>
    <w:rsid w:val="00275C5B"/>
    <w:rsid w:val="00276979"/>
    <w:rsid w:val="0028264D"/>
    <w:rsid w:val="00283FD8"/>
    <w:rsid w:val="00286A65"/>
    <w:rsid w:val="0029130F"/>
    <w:rsid w:val="00292B25"/>
    <w:rsid w:val="002934A9"/>
    <w:rsid w:val="00296F4D"/>
    <w:rsid w:val="002A206D"/>
    <w:rsid w:val="002A3389"/>
    <w:rsid w:val="002A5017"/>
    <w:rsid w:val="002A6BFF"/>
    <w:rsid w:val="002B0DA6"/>
    <w:rsid w:val="002B4B5C"/>
    <w:rsid w:val="002B5959"/>
    <w:rsid w:val="002C079D"/>
    <w:rsid w:val="002C228A"/>
    <w:rsid w:val="002C360E"/>
    <w:rsid w:val="002C57BC"/>
    <w:rsid w:val="002C606D"/>
    <w:rsid w:val="002D22DF"/>
    <w:rsid w:val="002D3A77"/>
    <w:rsid w:val="002D49C5"/>
    <w:rsid w:val="002E0AA5"/>
    <w:rsid w:val="002E25F7"/>
    <w:rsid w:val="002E74B7"/>
    <w:rsid w:val="002F3F37"/>
    <w:rsid w:val="002F6140"/>
    <w:rsid w:val="002F6ADE"/>
    <w:rsid w:val="00305F2F"/>
    <w:rsid w:val="00306079"/>
    <w:rsid w:val="00306538"/>
    <w:rsid w:val="00306B4F"/>
    <w:rsid w:val="00313C10"/>
    <w:rsid w:val="00317EF8"/>
    <w:rsid w:val="003224F3"/>
    <w:rsid w:val="00323E24"/>
    <w:rsid w:val="00324B2C"/>
    <w:rsid w:val="00324E41"/>
    <w:rsid w:val="00326DA5"/>
    <w:rsid w:val="00331B1C"/>
    <w:rsid w:val="00332C34"/>
    <w:rsid w:val="00336607"/>
    <w:rsid w:val="003519CC"/>
    <w:rsid w:val="00355ADF"/>
    <w:rsid w:val="00357A4C"/>
    <w:rsid w:val="00361836"/>
    <w:rsid w:val="003705CF"/>
    <w:rsid w:val="0037197F"/>
    <w:rsid w:val="003735B0"/>
    <w:rsid w:val="00375226"/>
    <w:rsid w:val="0037636B"/>
    <w:rsid w:val="003800EB"/>
    <w:rsid w:val="0038059F"/>
    <w:rsid w:val="00390DDF"/>
    <w:rsid w:val="00393028"/>
    <w:rsid w:val="00393CDF"/>
    <w:rsid w:val="003951A6"/>
    <w:rsid w:val="00395AD0"/>
    <w:rsid w:val="00397658"/>
    <w:rsid w:val="003A2F42"/>
    <w:rsid w:val="003A4306"/>
    <w:rsid w:val="003B0973"/>
    <w:rsid w:val="003B2A4C"/>
    <w:rsid w:val="003B364D"/>
    <w:rsid w:val="003B3837"/>
    <w:rsid w:val="003B7F1E"/>
    <w:rsid w:val="003C0915"/>
    <w:rsid w:val="003C1AE1"/>
    <w:rsid w:val="003C5C92"/>
    <w:rsid w:val="003D0E98"/>
    <w:rsid w:val="003D1150"/>
    <w:rsid w:val="003D2EE1"/>
    <w:rsid w:val="003D462A"/>
    <w:rsid w:val="003D496D"/>
    <w:rsid w:val="003D683F"/>
    <w:rsid w:val="003E3AD4"/>
    <w:rsid w:val="003E6DF1"/>
    <w:rsid w:val="003E71CB"/>
    <w:rsid w:val="003F10C7"/>
    <w:rsid w:val="003F1977"/>
    <w:rsid w:val="003F1C9B"/>
    <w:rsid w:val="003F569D"/>
    <w:rsid w:val="003F5F42"/>
    <w:rsid w:val="003F6489"/>
    <w:rsid w:val="003F6E54"/>
    <w:rsid w:val="00400885"/>
    <w:rsid w:val="004035EC"/>
    <w:rsid w:val="00404D76"/>
    <w:rsid w:val="0040536F"/>
    <w:rsid w:val="004057C4"/>
    <w:rsid w:val="004143CF"/>
    <w:rsid w:val="00417559"/>
    <w:rsid w:val="0042305D"/>
    <w:rsid w:val="00423323"/>
    <w:rsid w:val="0042497C"/>
    <w:rsid w:val="00431B22"/>
    <w:rsid w:val="004325B1"/>
    <w:rsid w:val="00434644"/>
    <w:rsid w:val="00434D9E"/>
    <w:rsid w:val="0043636D"/>
    <w:rsid w:val="00437A21"/>
    <w:rsid w:val="0044409F"/>
    <w:rsid w:val="00445E12"/>
    <w:rsid w:val="00446234"/>
    <w:rsid w:val="004467A3"/>
    <w:rsid w:val="00451BBF"/>
    <w:rsid w:val="00452AAB"/>
    <w:rsid w:val="00452BD5"/>
    <w:rsid w:val="004535B4"/>
    <w:rsid w:val="004578B2"/>
    <w:rsid w:val="004603C8"/>
    <w:rsid w:val="00461308"/>
    <w:rsid w:val="004616CE"/>
    <w:rsid w:val="0046292A"/>
    <w:rsid w:val="0046505B"/>
    <w:rsid w:val="00465792"/>
    <w:rsid w:val="00471F73"/>
    <w:rsid w:val="004723C4"/>
    <w:rsid w:val="0047251D"/>
    <w:rsid w:val="00475477"/>
    <w:rsid w:val="00476835"/>
    <w:rsid w:val="004774F6"/>
    <w:rsid w:val="004777A1"/>
    <w:rsid w:val="004870BE"/>
    <w:rsid w:val="00490E78"/>
    <w:rsid w:val="00491F6E"/>
    <w:rsid w:val="00494986"/>
    <w:rsid w:val="0049549E"/>
    <w:rsid w:val="004970F1"/>
    <w:rsid w:val="00497280"/>
    <w:rsid w:val="004972AA"/>
    <w:rsid w:val="004A014C"/>
    <w:rsid w:val="004A14B7"/>
    <w:rsid w:val="004A2447"/>
    <w:rsid w:val="004A5236"/>
    <w:rsid w:val="004A6724"/>
    <w:rsid w:val="004B119C"/>
    <w:rsid w:val="004B1F75"/>
    <w:rsid w:val="004B7031"/>
    <w:rsid w:val="004B7214"/>
    <w:rsid w:val="004C1964"/>
    <w:rsid w:val="004C3A2E"/>
    <w:rsid w:val="004C4689"/>
    <w:rsid w:val="004C48E6"/>
    <w:rsid w:val="004C518C"/>
    <w:rsid w:val="004C572D"/>
    <w:rsid w:val="004D3A46"/>
    <w:rsid w:val="004D5E0C"/>
    <w:rsid w:val="004D7D70"/>
    <w:rsid w:val="004E7937"/>
    <w:rsid w:val="004F545A"/>
    <w:rsid w:val="004F6F26"/>
    <w:rsid w:val="0050082D"/>
    <w:rsid w:val="00500B91"/>
    <w:rsid w:val="00500E1F"/>
    <w:rsid w:val="00501F76"/>
    <w:rsid w:val="00503635"/>
    <w:rsid w:val="0050401E"/>
    <w:rsid w:val="00504B0E"/>
    <w:rsid w:val="00511F90"/>
    <w:rsid w:val="00512CCE"/>
    <w:rsid w:val="00516AF4"/>
    <w:rsid w:val="00516E85"/>
    <w:rsid w:val="00517361"/>
    <w:rsid w:val="005179F3"/>
    <w:rsid w:val="00525199"/>
    <w:rsid w:val="00525B9C"/>
    <w:rsid w:val="00530679"/>
    <w:rsid w:val="00530F54"/>
    <w:rsid w:val="00531792"/>
    <w:rsid w:val="00531DF0"/>
    <w:rsid w:val="005335CE"/>
    <w:rsid w:val="005340C1"/>
    <w:rsid w:val="00546C48"/>
    <w:rsid w:val="00547D53"/>
    <w:rsid w:val="00550B03"/>
    <w:rsid w:val="00551360"/>
    <w:rsid w:val="00552115"/>
    <w:rsid w:val="00554F6B"/>
    <w:rsid w:val="00564D84"/>
    <w:rsid w:val="0056543E"/>
    <w:rsid w:val="00565A3A"/>
    <w:rsid w:val="005704C0"/>
    <w:rsid w:val="00571CE8"/>
    <w:rsid w:val="00572955"/>
    <w:rsid w:val="00577E68"/>
    <w:rsid w:val="00581C88"/>
    <w:rsid w:val="00585275"/>
    <w:rsid w:val="005859E5"/>
    <w:rsid w:val="00595123"/>
    <w:rsid w:val="00596341"/>
    <w:rsid w:val="005B1481"/>
    <w:rsid w:val="005B34FB"/>
    <w:rsid w:val="005B4471"/>
    <w:rsid w:val="005B73FA"/>
    <w:rsid w:val="005C0B4F"/>
    <w:rsid w:val="005C1FE0"/>
    <w:rsid w:val="005C3572"/>
    <w:rsid w:val="005C4380"/>
    <w:rsid w:val="005C6048"/>
    <w:rsid w:val="005D0661"/>
    <w:rsid w:val="005D272A"/>
    <w:rsid w:val="005D2A98"/>
    <w:rsid w:val="005D3FB3"/>
    <w:rsid w:val="005E22C4"/>
    <w:rsid w:val="005E4E71"/>
    <w:rsid w:val="005E64FD"/>
    <w:rsid w:val="005E65B9"/>
    <w:rsid w:val="005F0AB8"/>
    <w:rsid w:val="005F2A4A"/>
    <w:rsid w:val="005F2E6D"/>
    <w:rsid w:val="005F303F"/>
    <w:rsid w:val="005F53E3"/>
    <w:rsid w:val="005F5E69"/>
    <w:rsid w:val="00600788"/>
    <w:rsid w:val="00600925"/>
    <w:rsid w:val="0060181C"/>
    <w:rsid w:val="00603C6E"/>
    <w:rsid w:val="006049C8"/>
    <w:rsid w:val="006057B6"/>
    <w:rsid w:val="0061119B"/>
    <w:rsid w:val="006119BB"/>
    <w:rsid w:val="00611DF4"/>
    <w:rsid w:val="0061611F"/>
    <w:rsid w:val="0062208E"/>
    <w:rsid w:val="0062230B"/>
    <w:rsid w:val="006224BE"/>
    <w:rsid w:val="00623ACE"/>
    <w:rsid w:val="00624B2A"/>
    <w:rsid w:val="00625C12"/>
    <w:rsid w:val="00625C70"/>
    <w:rsid w:val="00627041"/>
    <w:rsid w:val="00627889"/>
    <w:rsid w:val="00633141"/>
    <w:rsid w:val="00634A04"/>
    <w:rsid w:val="00636CE9"/>
    <w:rsid w:val="00640DA5"/>
    <w:rsid w:val="00652192"/>
    <w:rsid w:val="006562AC"/>
    <w:rsid w:val="006607AD"/>
    <w:rsid w:val="006610B0"/>
    <w:rsid w:val="00661DE3"/>
    <w:rsid w:val="00661F3E"/>
    <w:rsid w:val="006626A7"/>
    <w:rsid w:val="00662DAF"/>
    <w:rsid w:val="00672952"/>
    <w:rsid w:val="006738B7"/>
    <w:rsid w:val="0067486E"/>
    <w:rsid w:val="0067609F"/>
    <w:rsid w:val="006811A0"/>
    <w:rsid w:val="00682959"/>
    <w:rsid w:val="00685588"/>
    <w:rsid w:val="00685736"/>
    <w:rsid w:val="006904FD"/>
    <w:rsid w:val="006909E7"/>
    <w:rsid w:val="00690AB1"/>
    <w:rsid w:val="00694C7E"/>
    <w:rsid w:val="00697871"/>
    <w:rsid w:val="006A0274"/>
    <w:rsid w:val="006A2A43"/>
    <w:rsid w:val="006B0435"/>
    <w:rsid w:val="006B121F"/>
    <w:rsid w:val="006B235D"/>
    <w:rsid w:val="006B5CD1"/>
    <w:rsid w:val="006B5E55"/>
    <w:rsid w:val="006C1492"/>
    <w:rsid w:val="006C42E6"/>
    <w:rsid w:val="006D079C"/>
    <w:rsid w:val="006D0FC8"/>
    <w:rsid w:val="006D39B2"/>
    <w:rsid w:val="006D525E"/>
    <w:rsid w:val="006E0D6F"/>
    <w:rsid w:val="006E3CAE"/>
    <w:rsid w:val="006F0220"/>
    <w:rsid w:val="006F1BB4"/>
    <w:rsid w:val="006F2334"/>
    <w:rsid w:val="006F58F0"/>
    <w:rsid w:val="006F5B77"/>
    <w:rsid w:val="006F65F1"/>
    <w:rsid w:val="007000F6"/>
    <w:rsid w:val="00700612"/>
    <w:rsid w:val="007006DF"/>
    <w:rsid w:val="00702A34"/>
    <w:rsid w:val="007074A6"/>
    <w:rsid w:val="00715046"/>
    <w:rsid w:val="00715310"/>
    <w:rsid w:val="00715AB3"/>
    <w:rsid w:val="00721BCE"/>
    <w:rsid w:val="00722B37"/>
    <w:rsid w:val="007231CA"/>
    <w:rsid w:val="007246E9"/>
    <w:rsid w:val="0072772D"/>
    <w:rsid w:val="00730234"/>
    <w:rsid w:val="00735A77"/>
    <w:rsid w:val="00737085"/>
    <w:rsid w:val="0074059C"/>
    <w:rsid w:val="00740F27"/>
    <w:rsid w:val="00744C71"/>
    <w:rsid w:val="00746451"/>
    <w:rsid w:val="007470FD"/>
    <w:rsid w:val="007617FD"/>
    <w:rsid w:val="007620ED"/>
    <w:rsid w:val="00763049"/>
    <w:rsid w:val="007631B3"/>
    <w:rsid w:val="0076710A"/>
    <w:rsid w:val="00767B3B"/>
    <w:rsid w:val="00772135"/>
    <w:rsid w:val="007741FF"/>
    <w:rsid w:val="007762ED"/>
    <w:rsid w:val="007770FC"/>
    <w:rsid w:val="0078128E"/>
    <w:rsid w:val="00783F84"/>
    <w:rsid w:val="00786061"/>
    <w:rsid w:val="00786581"/>
    <w:rsid w:val="007902C3"/>
    <w:rsid w:val="007915A9"/>
    <w:rsid w:val="007915E3"/>
    <w:rsid w:val="00792CC5"/>
    <w:rsid w:val="00793560"/>
    <w:rsid w:val="00795B98"/>
    <w:rsid w:val="00795BB1"/>
    <w:rsid w:val="0079785A"/>
    <w:rsid w:val="007A437A"/>
    <w:rsid w:val="007A7F39"/>
    <w:rsid w:val="007B0BF9"/>
    <w:rsid w:val="007B374A"/>
    <w:rsid w:val="007B3D97"/>
    <w:rsid w:val="007B4C19"/>
    <w:rsid w:val="007B7327"/>
    <w:rsid w:val="007C0A4A"/>
    <w:rsid w:val="007C3488"/>
    <w:rsid w:val="007C39DC"/>
    <w:rsid w:val="007C3A83"/>
    <w:rsid w:val="007C53BF"/>
    <w:rsid w:val="007D1671"/>
    <w:rsid w:val="007D413B"/>
    <w:rsid w:val="007E0813"/>
    <w:rsid w:val="007E2F6C"/>
    <w:rsid w:val="007E37DC"/>
    <w:rsid w:val="007E44AB"/>
    <w:rsid w:val="007E525E"/>
    <w:rsid w:val="007E5D21"/>
    <w:rsid w:val="007E6462"/>
    <w:rsid w:val="007F3F15"/>
    <w:rsid w:val="00802A79"/>
    <w:rsid w:val="00802EED"/>
    <w:rsid w:val="0080323D"/>
    <w:rsid w:val="00810A04"/>
    <w:rsid w:val="00811BE3"/>
    <w:rsid w:val="00811DC6"/>
    <w:rsid w:val="0081256C"/>
    <w:rsid w:val="00812F37"/>
    <w:rsid w:val="008150D5"/>
    <w:rsid w:val="00815578"/>
    <w:rsid w:val="008209EE"/>
    <w:rsid w:val="0082115C"/>
    <w:rsid w:val="00821183"/>
    <w:rsid w:val="00821FCB"/>
    <w:rsid w:val="008268E5"/>
    <w:rsid w:val="008279E2"/>
    <w:rsid w:val="00831EA0"/>
    <w:rsid w:val="008320E5"/>
    <w:rsid w:val="0083262A"/>
    <w:rsid w:val="00835FFE"/>
    <w:rsid w:val="008448CA"/>
    <w:rsid w:val="008458C8"/>
    <w:rsid w:val="00847602"/>
    <w:rsid w:val="00847778"/>
    <w:rsid w:val="00851153"/>
    <w:rsid w:val="00851DB0"/>
    <w:rsid w:val="00852394"/>
    <w:rsid w:val="00852DD8"/>
    <w:rsid w:val="00853306"/>
    <w:rsid w:val="00853935"/>
    <w:rsid w:val="0085411F"/>
    <w:rsid w:val="008556F0"/>
    <w:rsid w:val="00856775"/>
    <w:rsid w:val="00860DB0"/>
    <w:rsid w:val="00861212"/>
    <w:rsid w:val="00861ABF"/>
    <w:rsid w:val="00861F04"/>
    <w:rsid w:val="00862443"/>
    <w:rsid w:val="00865D60"/>
    <w:rsid w:val="00871EC1"/>
    <w:rsid w:val="00873AB6"/>
    <w:rsid w:val="00874FC7"/>
    <w:rsid w:val="00875367"/>
    <w:rsid w:val="00875EEA"/>
    <w:rsid w:val="00876117"/>
    <w:rsid w:val="00876B74"/>
    <w:rsid w:val="0088013F"/>
    <w:rsid w:val="00881E3D"/>
    <w:rsid w:val="008832E3"/>
    <w:rsid w:val="00884496"/>
    <w:rsid w:val="008870D8"/>
    <w:rsid w:val="00887D8D"/>
    <w:rsid w:val="00892006"/>
    <w:rsid w:val="0089582E"/>
    <w:rsid w:val="00897076"/>
    <w:rsid w:val="008A51EA"/>
    <w:rsid w:val="008A5495"/>
    <w:rsid w:val="008A7027"/>
    <w:rsid w:val="008B34F2"/>
    <w:rsid w:val="008B3705"/>
    <w:rsid w:val="008B4555"/>
    <w:rsid w:val="008B54D6"/>
    <w:rsid w:val="008C1E0E"/>
    <w:rsid w:val="008C3D58"/>
    <w:rsid w:val="008C53F0"/>
    <w:rsid w:val="008C65E9"/>
    <w:rsid w:val="008C7930"/>
    <w:rsid w:val="008D11AD"/>
    <w:rsid w:val="008D13F4"/>
    <w:rsid w:val="008D2531"/>
    <w:rsid w:val="008E0E36"/>
    <w:rsid w:val="008E0F38"/>
    <w:rsid w:val="008F0F7D"/>
    <w:rsid w:val="008F1360"/>
    <w:rsid w:val="008F2C0F"/>
    <w:rsid w:val="008F3CFF"/>
    <w:rsid w:val="008F671B"/>
    <w:rsid w:val="00902A9D"/>
    <w:rsid w:val="0090709B"/>
    <w:rsid w:val="009131D8"/>
    <w:rsid w:val="00916019"/>
    <w:rsid w:val="00916671"/>
    <w:rsid w:val="00920D98"/>
    <w:rsid w:val="00922785"/>
    <w:rsid w:val="00923CBE"/>
    <w:rsid w:val="00925043"/>
    <w:rsid w:val="00925A0B"/>
    <w:rsid w:val="0092690D"/>
    <w:rsid w:val="00926CCC"/>
    <w:rsid w:val="009318C3"/>
    <w:rsid w:val="00932314"/>
    <w:rsid w:val="00932795"/>
    <w:rsid w:val="009402ED"/>
    <w:rsid w:val="009408B2"/>
    <w:rsid w:val="00940E32"/>
    <w:rsid w:val="00941287"/>
    <w:rsid w:val="0094417D"/>
    <w:rsid w:val="00947317"/>
    <w:rsid w:val="0095012E"/>
    <w:rsid w:val="0095196E"/>
    <w:rsid w:val="009522E8"/>
    <w:rsid w:val="0095293E"/>
    <w:rsid w:val="00952E3A"/>
    <w:rsid w:val="00953D7B"/>
    <w:rsid w:val="009659FC"/>
    <w:rsid w:val="00966940"/>
    <w:rsid w:val="00966DCF"/>
    <w:rsid w:val="00970526"/>
    <w:rsid w:val="009706D6"/>
    <w:rsid w:val="00971022"/>
    <w:rsid w:val="00973E40"/>
    <w:rsid w:val="00973F22"/>
    <w:rsid w:val="00977665"/>
    <w:rsid w:val="009779F0"/>
    <w:rsid w:val="00980DD3"/>
    <w:rsid w:val="009813D2"/>
    <w:rsid w:val="00984BFD"/>
    <w:rsid w:val="00990308"/>
    <w:rsid w:val="009910BF"/>
    <w:rsid w:val="00992AD5"/>
    <w:rsid w:val="00995414"/>
    <w:rsid w:val="009955AE"/>
    <w:rsid w:val="00997707"/>
    <w:rsid w:val="009A1431"/>
    <w:rsid w:val="009A2B95"/>
    <w:rsid w:val="009A43C6"/>
    <w:rsid w:val="009B29DC"/>
    <w:rsid w:val="009B3210"/>
    <w:rsid w:val="009B50D7"/>
    <w:rsid w:val="009B66CA"/>
    <w:rsid w:val="009C4E7A"/>
    <w:rsid w:val="009C50C4"/>
    <w:rsid w:val="009C6776"/>
    <w:rsid w:val="009D2CE8"/>
    <w:rsid w:val="009D44F0"/>
    <w:rsid w:val="009E0181"/>
    <w:rsid w:val="009E1A58"/>
    <w:rsid w:val="009E26DE"/>
    <w:rsid w:val="009E2EEE"/>
    <w:rsid w:val="009E42FD"/>
    <w:rsid w:val="009E59BB"/>
    <w:rsid w:val="009E6362"/>
    <w:rsid w:val="009F1A5F"/>
    <w:rsid w:val="009F2125"/>
    <w:rsid w:val="009F3CAA"/>
    <w:rsid w:val="009F4149"/>
    <w:rsid w:val="009F5253"/>
    <w:rsid w:val="00A0022B"/>
    <w:rsid w:val="00A002CB"/>
    <w:rsid w:val="00A00D06"/>
    <w:rsid w:val="00A01514"/>
    <w:rsid w:val="00A046B9"/>
    <w:rsid w:val="00A04C1E"/>
    <w:rsid w:val="00A060BA"/>
    <w:rsid w:val="00A109F4"/>
    <w:rsid w:val="00A15000"/>
    <w:rsid w:val="00A16403"/>
    <w:rsid w:val="00A17A3F"/>
    <w:rsid w:val="00A2045F"/>
    <w:rsid w:val="00A20EDC"/>
    <w:rsid w:val="00A22637"/>
    <w:rsid w:val="00A24C18"/>
    <w:rsid w:val="00A27C78"/>
    <w:rsid w:val="00A27E77"/>
    <w:rsid w:val="00A315FC"/>
    <w:rsid w:val="00A3176B"/>
    <w:rsid w:val="00A33990"/>
    <w:rsid w:val="00A3651A"/>
    <w:rsid w:val="00A4515A"/>
    <w:rsid w:val="00A45D73"/>
    <w:rsid w:val="00A50D75"/>
    <w:rsid w:val="00A51F72"/>
    <w:rsid w:val="00A52A19"/>
    <w:rsid w:val="00A55A2D"/>
    <w:rsid w:val="00A55F88"/>
    <w:rsid w:val="00A560F6"/>
    <w:rsid w:val="00A60B0D"/>
    <w:rsid w:val="00A63F36"/>
    <w:rsid w:val="00A643A0"/>
    <w:rsid w:val="00A70BAA"/>
    <w:rsid w:val="00A75FFE"/>
    <w:rsid w:val="00A82263"/>
    <w:rsid w:val="00A90663"/>
    <w:rsid w:val="00A91969"/>
    <w:rsid w:val="00A93CE7"/>
    <w:rsid w:val="00A95EAB"/>
    <w:rsid w:val="00A9606C"/>
    <w:rsid w:val="00A9679F"/>
    <w:rsid w:val="00AA1219"/>
    <w:rsid w:val="00AA2857"/>
    <w:rsid w:val="00AA7CBB"/>
    <w:rsid w:val="00AB1802"/>
    <w:rsid w:val="00AB551E"/>
    <w:rsid w:val="00AC0DDA"/>
    <w:rsid w:val="00AC3270"/>
    <w:rsid w:val="00AC4B18"/>
    <w:rsid w:val="00AC50ED"/>
    <w:rsid w:val="00AC524F"/>
    <w:rsid w:val="00AC717C"/>
    <w:rsid w:val="00AD2E80"/>
    <w:rsid w:val="00AE3F4F"/>
    <w:rsid w:val="00AE5D12"/>
    <w:rsid w:val="00AF0873"/>
    <w:rsid w:val="00AF1A61"/>
    <w:rsid w:val="00AF2883"/>
    <w:rsid w:val="00AF479F"/>
    <w:rsid w:val="00AF49EB"/>
    <w:rsid w:val="00AF6296"/>
    <w:rsid w:val="00AF6E51"/>
    <w:rsid w:val="00B01BEC"/>
    <w:rsid w:val="00B02EA2"/>
    <w:rsid w:val="00B04561"/>
    <w:rsid w:val="00B0470D"/>
    <w:rsid w:val="00B056B5"/>
    <w:rsid w:val="00B0674D"/>
    <w:rsid w:val="00B07530"/>
    <w:rsid w:val="00B13B57"/>
    <w:rsid w:val="00B13E98"/>
    <w:rsid w:val="00B14135"/>
    <w:rsid w:val="00B14190"/>
    <w:rsid w:val="00B15B10"/>
    <w:rsid w:val="00B16531"/>
    <w:rsid w:val="00B17249"/>
    <w:rsid w:val="00B22C28"/>
    <w:rsid w:val="00B23535"/>
    <w:rsid w:val="00B2451A"/>
    <w:rsid w:val="00B24CAB"/>
    <w:rsid w:val="00B27B2D"/>
    <w:rsid w:val="00B31710"/>
    <w:rsid w:val="00B319EA"/>
    <w:rsid w:val="00B337F1"/>
    <w:rsid w:val="00B35C05"/>
    <w:rsid w:val="00B36E63"/>
    <w:rsid w:val="00B37A98"/>
    <w:rsid w:val="00B41630"/>
    <w:rsid w:val="00B418D2"/>
    <w:rsid w:val="00B42151"/>
    <w:rsid w:val="00B455F7"/>
    <w:rsid w:val="00B6072E"/>
    <w:rsid w:val="00B62988"/>
    <w:rsid w:val="00B62A9C"/>
    <w:rsid w:val="00B66093"/>
    <w:rsid w:val="00B7249E"/>
    <w:rsid w:val="00B7393C"/>
    <w:rsid w:val="00B7729A"/>
    <w:rsid w:val="00B80B7F"/>
    <w:rsid w:val="00B81857"/>
    <w:rsid w:val="00B8244F"/>
    <w:rsid w:val="00B826D0"/>
    <w:rsid w:val="00B8357C"/>
    <w:rsid w:val="00B84C52"/>
    <w:rsid w:val="00B92287"/>
    <w:rsid w:val="00B92A57"/>
    <w:rsid w:val="00B94B98"/>
    <w:rsid w:val="00B96483"/>
    <w:rsid w:val="00B96715"/>
    <w:rsid w:val="00B9709D"/>
    <w:rsid w:val="00B97794"/>
    <w:rsid w:val="00BA166D"/>
    <w:rsid w:val="00BA1BA8"/>
    <w:rsid w:val="00BA36AA"/>
    <w:rsid w:val="00BB05E7"/>
    <w:rsid w:val="00BB15B5"/>
    <w:rsid w:val="00BB266A"/>
    <w:rsid w:val="00BB38AB"/>
    <w:rsid w:val="00BC1F62"/>
    <w:rsid w:val="00BC3C62"/>
    <w:rsid w:val="00BC42C2"/>
    <w:rsid w:val="00BC6B30"/>
    <w:rsid w:val="00BD49AC"/>
    <w:rsid w:val="00BD77C8"/>
    <w:rsid w:val="00BD7BC5"/>
    <w:rsid w:val="00BE132F"/>
    <w:rsid w:val="00BE21E0"/>
    <w:rsid w:val="00BE4C09"/>
    <w:rsid w:val="00BE6BCC"/>
    <w:rsid w:val="00BF1916"/>
    <w:rsid w:val="00BF1E6A"/>
    <w:rsid w:val="00BF2246"/>
    <w:rsid w:val="00BF4CFF"/>
    <w:rsid w:val="00C00CAE"/>
    <w:rsid w:val="00C01138"/>
    <w:rsid w:val="00C011F2"/>
    <w:rsid w:val="00C066A2"/>
    <w:rsid w:val="00C079E2"/>
    <w:rsid w:val="00C1049F"/>
    <w:rsid w:val="00C1185E"/>
    <w:rsid w:val="00C13F71"/>
    <w:rsid w:val="00C16B3F"/>
    <w:rsid w:val="00C17705"/>
    <w:rsid w:val="00C23807"/>
    <w:rsid w:val="00C26117"/>
    <w:rsid w:val="00C33E9B"/>
    <w:rsid w:val="00C33F65"/>
    <w:rsid w:val="00C41BCE"/>
    <w:rsid w:val="00C4667C"/>
    <w:rsid w:val="00C54059"/>
    <w:rsid w:val="00C63CE0"/>
    <w:rsid w:val="00C661B1"/>
    <w:rsid w:val="00C72F14"/>
    <w:rsid w:val="00C74A72"/>
    <w:rsid w:val="00C76B8E"/>
    <w:rsid w:val="00C81723"/>
    <w:rsid w:val="00C827E4"/>
    <w:rsid w:val="00C8374A"/>
    <w:rsid w:val="00C90E59"/>
    <w:rsid w:val="00C91312"/>
    <w:rsid w:val="00C92169"/>
    <w:rsid w:val="00C92728"/>
    <w:rsid w:val="00C930E9"/>
    <w:rsid w:val="00C94423"/>
    <w:rsid w:val="00C97D86"/>
    <w:rsid w:val="00CA18D4"/>
    <w:rsid w:val="00CA2361"/>
    <w:rsid w:val="00CA6867"/>
    <w:rsid w:val="00CB032D"/>
    <w:rsid w:val="00CB0B8D"/>
    <w:rsid w:val="00CB282B"/>
    <w:rsid w:val="00CC2F72"/>
    <w:rsid w:val="00CD2515"/>
    <w:rsid w:val="00CD58BC"/>
    <w:rsid w:val="00CD5F86"/>
    <w:rsid w:val="00CD735E"/>
    <w:rsid w:val="00CE0E3C"/>
    <w:rsid w:val="00CE7522"/>
    <w:rsid w:val="00CF1B45"/>
    <w:rsid w:val="00CF24BB"/>
    <w:rsid w:val="00CF35D0"/>
    <w:rsid w:val="00CF65C8"/>
    <w:rsid w:val="00D002DD"/>
    <w:rsid w:val="00D02A49"/>
    <w:rsid w:val="00D0428C"/>
    <w:rsid w:val="00D0596C"/>
    <w:rsid w:val="00D06CD3"/>
    <w:rsid w:val="00D07C9C"/>
    <w:rsid w:val="00D157E0"/>
    <w:rsid w:val="00D15853"/>
    <w:rsid w:val="00D222F6"/>
    <w:rsid w:val="00D22ADE"/>
    <w:rsid w:val="00D258B0"/>
    <w:rsid w:val="00D33693"/>
    <w:rsid w:val="00D353B4"/>
    <w:rsid w:val="00D3724E"/>
    <w:rsid w:val="00D378F2"/>
    <w:rsid w:val="00D37D75"/>
    <w:rsid w:val="00D40C65"/>
    <w:rsid w:val="00D42352"/>
    <w:rsid w:val="00D50DFB"/>
    <w:rsid w:val="00D51E0B"/>
    <w:rsid w:val="00D5254D"/>
    <w:rsid w:val="00D560A1"/>
    <w:rsid w:val="00D56D74"/>
    <w:rsid w:val="00D64DAA"/>
    <w:rsid w:val="00D67859"/>
    <w:rsid w:val="00D67B95"/>
    <w:rsid w:val="00D727E5"/>
    <w:rsid w:val="00D756A5"/>
    <w:rsid w:val="00D757E7"/>
    <w:rsid w:val="00D75E8D"/>
    <w:rsid w:val="00D8030B"/>
    <w:rsid w:val="00D90BA9"/>
    <w:rsid w:val="00D91634"/>
    <w:rsid w:val="00D91B16"/>
    <w:rsid w:val="00D92B67"/>
    <w:rsid w:val="00D93941"/>
    <w:rsid w:val="00D94FC2"/>
    <w:rsid w:val="00D96983"/>
    <w:rsid w:val="00DA04B9"/>
    <w:rsid w:val="00DA6CD7"/>
    <w:rsid w:val="00DB1094"/>
    <w:rsid w:val="00DB2655"/>
    <w:rsid w:val="00DB75B5"/>
    <w:rsid w:val="00DC309A"/>
    <w:rsid w:val="00DC4D0F"/>
    <w:rsid w:val="00DC7394"/>
    <w:rsid w:val="00DD15FB"/>
    <w:rsid w:val="00DD2C92"/>
    <w:rsid w:val="00DD3052"/>
    <w:rsid w:val="00DD4325"/>
    <w:rsid w:val="00DD4A48"/>
    <w:rsid w:val="00DD4CDF"/>
    <w:rsid w:val="00DD5839"/>
    <w:rsid w:val="00DD6F5D"/>
    <w:rsid w:val="00DD7282"/>
    <w:rsid w:val="00DE154B"/>
    <w:rsid w:val="00DE1BEE"/>
    <w:rsid w:val="00DE355B"/>
    <w:rsid w:val="00DE35F1"/>
    <w:rsid w:val="00DE3C95"/>
    <w:rsid w:val="00DE45F7"/>
    <w:rsid w:val="00DE49BE"/>
    <w:rsid w:val="00DE5E69"/>
    <w:rsid w:val="00DF0C94"/>
    <w:rsid w:val="00DF0D24"/>
    <w:rsid w:val="00DF1ADA"/>
    <w:rsid w:val="00DF2C6C"/>
    <w:rsid w:val="00DF3B46"/>
    <w:rsid w:val="00DF4CC2"/>
    <w:rsid w:val="00DF53D0"/>
    <w:rsid w:val="00DF709F"/>
    <w:rsid w:val="00DF7F94"/>
    <w:rsid w:val="00E023C5"/>
    <w:rsid w:val="00E03A22"/>
    <w:rsid w:val="00E042DA"/>
    <w:rsid w:val="00E0464B"/>
    <w:rsid w:val="00E124C2"/>
    <w:rsid w:val="00E14AF5"/>
    <w:rsid w:val="00E233E8"/>
    <w:rsid w:val="00E2371D"/>
    <w:rsid w:val="00E246EE"/>
    <w:rsid w:val="00E24C0A"/>
    <w:rsid w:val="00E3144E"/>
    <w:rsid w:val="00E339F1"/>
    <w:rsid w:val="00E358F1"/>
    <w:rsid w:val="00E359DA"/>
    <w:rsid w:val="00E375B1"/>
    <w:rsid w:val="00E40AE6"/>
    <w:rsid w:val="00E40E0A"/>
    <w:rsid w:val="00E410F8"/>
    <w:rsid w:val="00E42C7D"/>
    <w:rsid w:val="00E4310B"/>
    <w:rsid w:val="00E445D1"/>
    <w:rsid w:val="00E475F5"/>
    <w:rsid w:val="00E47776"/>
    <w:rsid w:val="00E51BEC"/>
    <w:rsid w:val="00E54C98"/>
    <w:rsid w:val="00E57EEB"/>
    <w:rsid w:val="00E72216"/>
    <w:rsid w:val="00E733B7"/>
    <w:rsid w:val="00E76EFB"/>
    <w:rsid w:val="00E8106A"/>
    <w:rsid w:val="00E84E06"/>
    <w:rsid w:val="00E95E36"/>
    <w:rsid w:val="00EA294B"/>
    <w:rsid w:val="00EA50C1"/>
    <w:rsid w:val="00EA57F0"/>
    <w:rsid w:val="00EB2E47"/>
    <w:rsid w:val="00EC06EF"/>
    <w:rsid w:val="00EC12B7"/>
    <w:rsid w:val="00EC6B7C"/>
    <w:rsid w:val="00ED3973"/>
    <w:rsid w:val="00ED7AA7"/>
    <w:rsid w:val="00ED7B1E"/>
    <w:rsid w:val="00EE0353"/>
    <w:rsid w:val="00EE08F4"/>
    <w:rsid w:val="00EE16EA"/>
    <w:rsid w:val="00EE2416"/>
    <w:rsid w:val="00EF086E"/>
    <w:rsid w:val="00EF3007"/>
    <w:rsid w:val="00EF3935"/>
    <w:rsid w:val="00EF5314"/>
    <w:rsid w:val="00EF7D00"/>
    <w:rsid w:val="00F02421"/>
    <w:rsid w:val="00F045F8"/>
    <w:rsid w:val="00F068FC"/>
    <w:rsid w:val="00F101CF"/>
    <w:rsid w:val="00F10D19"/>
    <w:rsid w:val="00F13736"/>
    <w:rsid w:val="00F149C4"/>
    <w:rsid w:val="00F15077"/>
    <w:rsid w:val="00F2178F"/>
    <w:rsid w:val="00F25A83"/>
    <w:rsid w:val="00F26580"/>
    <w:rsid w:val="00F267B8"/>
    <w:rsid w:val="00F3036B"/>
    <w:rsid w:val="00F3479D"/>
    <w:rsid w:val="00F3528A"/>
    <w:rsid w:val="00F35ED0"/>
    <w:rsid w:val="00F37649"/>
    <w:rsid w:val="00F4093E"/>
    <w:rsid w:val="00F429ED"/>
    <w:rsid w:val="00F43DBF"/>
    <w:rsid w:val="00F45472"/>
    <w:rsid w:val="00F46571"/>
    <w:rsid w:val="00F4702A"/>
    <w:rsid w:val="00F507B9"/>
    <w:rsid w:val="00F5252D"/>
    <w:rsid w:val="00F555C0"/>
    <w:rsid w:val="00F565AB"/>
    <w:rsid w:val="00F61BB7"/>
    <w:rsid w:val="00F6296B"/>
    <w:rsid w:val="00F6561F"/>
    <w:rsid w:val="00F67373"/>
    <w:rsid w:val="00F71C6A"/>
    <w:rsid w:val="00F72136"/>
    <w:rsid w:val="00F72BB1"/>
    <w:rsid w:val="00F73355"/>
    <w:rsid w:val="00F73C44"/>
    <w:rsid w:val="00F763D6"/>
    <w:rsid w:val="00F77507"/>
    <w:rsid w:val="00F8073C"/>
    <w:rsid w:val="00F81F29"/>
    <w:rsid w:val="00F83C6A"/>
    <w:rsid w:val="00F9181F"/>
    <w:rsid w:val="00F929D5"/>
    <w:rsid w:val="00F9428B"/>
    <w:rsid w:val="00FA05B9"/>
    <w:rsid w:val="00FA3B8B"/>
    <w:rsid w:val="00FB1F57"/>
    <w:rsid w:val="00FB241B"/>
    <w:rsid w:val="00FB364D"/>
    <w:rsid w:val="00FB3A8B"/>
    <w:rsid w:val="00FB5677"/>
    <w:rsid w:val="00FC3598"/>
    <w:rsid w:val="00FC61CB"/>
    <w:rsid w:val="00FD6634"/>
    <w:rsid w:val="00FE0569"/>
    <w:rsid w:val="00FE1383"/>
    <w:rsid w:val="00FE2A1F"/>
    <w:rsid w:val="00FE4D70"/>
    <w:rsid w:val="00FE6191"/>
    <w:rsid w:val="00FF07C5"/>
    <w:rsid w:val="00FF1292"/>
    <w:rsid w:val="00FF1D20"/>
    <w:rsid w:val="00FF2BD2"/>
    <w:rsid w:val="00FF6D45"/>
    <w:rsid w:val="00FF702F"/>
    <w:rsid w:val="01201D17"/>
    <w:rsid w:val="014B22A3"/>
    <w:rsid w:val="014E2256"/>
    <w:rsid w:val="026B6EE5"/>
    <w:rsid w:val="03323773"/>
    <w:rsid w:val="035F3674"/>
    <w:rsid w:val="03767EB5"/>
    <w:rsid w:val="038D1535"/>
    <w:rsid w:val="03E6407F"/>
    <w:rsid w:val="04E5462B"/>
    <w:rsid w:val="04E9291D"/>
    <w:rsid w:val="051D0528"/>
    <w:rsid w:val="05981371"/>
    <w:rsid w:val="063F3643"/>
    <w:rsid w:val="06B82C29"/>
    <w:rsid w:val="06C74461"/>
    <w:rsid w:val="06FD4188"/>
    <w:rsid w:val="070677A2"/>
    <w:rsid w:val="07076820"/>
    <w:rsid w:val="07CA15E8"/>
    <w:rsid w:val="08BF3B72"/>
    <w:rsid w:val="090D6632"/>
    <w:rsid w:val="0A283ED3"/>
    <w:rsid w:val="0A325485"/>
    <w:rsid w:val="0A476BF9"/>
    <w:rsid w:val="0B381EF4"/>
    <w:rsid w:val="0B3E3017"/>
    <w:rsid w:val="0B667132"/>
    <w:rsid w:val="0BE11F2B"/>
    <w:rsid w:val="0C256ACC"/>
    <w:rsid w:val="0C3E5F1C"/>
    <w:rsid w:val="0C5D5081"/>
    <w:rsid w:val="0E5A6466"/>
    <w:rsid w:val="0F0C1ECF"/>
    <w:rsid w:val="0F0F7410"/>
    <w:rsid w:val="0F1C79E4"/>
    <w:rsid w:val="0F88055C"/>
    <w:rsid w:val="0FDD12BC"/>
    <w:rsid w:val="105C0E9C"/>
    <w:rsid w:val="107A6397"/>
    <w:rsid w:val="11A245C9"/>
    <w:rsid w:val="11D065E3"/>
    <w:rsid w:val="12323B41"/>
    <w:rsid w:val="123D75E6"/>
    <w:rsid w:val="129D0C3C"/>
    <w:rsid w:val="12F867E5"/>
    <w:rsid w:val="140E7292"/>
    <w:rsid w:val="145A6897"/>
    <w:rsid w:val="14760003"/>
    <w:rsid w:val="14AD608B"/>
    <w:rsid w:val="162C08A7"/>
    <w:rsid w:val="16936C78"/>
    <w:rsid w:val="16DF43FD"/>
    <w:rsid w:val="17881754"/>
    <w:rsid w:val="181E1CFC"/>
    <w:rsid w:val="18CC0A12"/>
    <w:rsid w:val="19255746"/>
    <w:rsid w:val="19337A3B"/>
    <w:rsid w:val="1BA16F47"/>
    <w:rsid w:val="1E297E7C"/>
    <w:rsid w:val="1E2B71DE"/>
    <w:rsid w:val="1E635500"/>
    <w:rsid w:val="21100076"/>
    <w:rsid w:val="2180267D"/>
    <w:rsid w:val="22674D73"/>
    <w:rsid w:val="22BC7ED8"/>
    <w:rsid w:val="23571659"/>
    <w:rsid w:val="23670E16"/>
    <w:rsid w:val="23DA231E"/>
    <w:rsid w:val="23DD426A"/>
    <w:rsid w:val="23E36CB0"/>
    <w:rsid w:val="25056A23"/>
    <w:rsid w:val="2521096C"/>
    <w:rsid w:val="25E175EE"/>
    <w:rsid w:val="25FE1F57"/>
    <w:rsid w:val="268F3578"/>
    <w:rsid w:val="269D7CD8"/>
    <w:rsid w:val="27532138"/>
    <w:rsid w:val="278C196B"/>
    <w:rsid w:val="28FB7A3D"/>
    <w:rsid w:val="29D47BDA"/>
    <w:rsid w:val="2A0A64AC"/>
    <w:rsid w:val="2AA73E6A"/>
    <w:rsid w:val="2B3F79D3"/>
    <w:rsid w:val="2C537327"/>
    <w:rsid w:val="2C8141A3"/>
    <w:rsid w:val="2CD23A6E"/>
    <w:rsid w:val="2D327631"/>
    <w:rsid w:val="2D7D5A9E"/>
    <w:rsid w:val="2E3D31FA"/>
    <w:rsid w:val="2FBD5C20"/>
    <w:rsid w:val="30D06622"/>
    <w:rsid w:val="31EB2EA2"/>
    <w:rsid w:val="31EF72C7"/>
    <w:rsid w:val="322A5B38"/>
    <w:rsid w:val="32FB63CD"/>
    <w:rsid w:val="3346071F"/>
    <w:rsid w:val="33E854CD"/>
    <w:rsid w:val="34515C51"/>
    <w:rsid w:val="353E0868"/>
    <w:rsid w:val="357D5FD6"/>
    <w:rsid w:val="371C4AF9"/>
    <w:rsid w:val="373056A1"/>
    <w:rsid w:val="37BB2F32"/>
    <w:rsid w:val="37EC586C"/>
    <w:rsid w:val="38CF04B2"/>
    <w:rsid w:val="3AFF2609"/>
    <w:rsid w:val="3B6778B0"/>
    <w:rsid w:val="3BD51026"/>
    <w:rsid w:val="3CB5496A"/>
    <w:rsid w:val="3CE1119D"/>
    <w:rsid w:val="3D0D152A"/>
    <w:rsid w:val="3D232155"/>
    <w:rsid w:val="3DE23DBE"/>
    <w:rsid w:val="3E3C3120"/>
    <w:rsid w:val="3ED26D92"/>
    <w:rsid w:val="3EE7052F"/>
    <w:rsid w:val="3F291EE7"/>
    <w:rsid w:val="3F633B4D"/>
    <w:rsid w:val="3F6953E5"/>
    <w:rsid w:val="401851E4"/>
    <w:rsid w:val="40865225"/>
    <w:rsid w:val="41095EB9"/>
    <w:rsid w:val="411542E5"/>
    <w:rsid w:val="41341D84"/>
    <w:rsid w:val="41F540C0"/>
    <w:rsid w:val="424E0A6F"/>
    <w:rsid w:val="42877F96"/>
    <w:rsid w:val="428E4877"/>
    <w:rsid w:val="43C95841"/>
    <w:rsid w:val="43E77A38"/>
    <w:rsid w:val="43EC2415"/>
    <w:rsid w:val="441804C3"/>
    <w:rsid w:val="446A514E"/>
    <w:rsid w:val="44992028"/>
    <w:rsid w:val="45951EF6"/>
    <w:rsid w:val="45A25630"/>
    <w:rsid w:val="463351B6"/>
    <w:rsid w:val="46C50389"/>
    <w:rsid w:val="47E06B4D"/>
    <w:rsid w:val="47E73B64"/>
    <w:rsid w:val="486A5EB9"/>
    <w:rsid w:val="493A25C2"/>
    <w:rsid w:val="495C0A9C"/>
    <w:rsid w:val="4B3A5E39"/>
    <w:rsid w:val="4C572BCB"/>
    <w:rsid w:val="4C604564"/>
    <w:rsid w:val="4C885228"/>
    <w:rsid w:val="4CDE23D1"/>
    <w:rsid w:val="4DF1059C"/>
    <w:rsid w:val="4E03750E"/>
    <w:rsid w:val="4E1F7F14"/>
    <w:rsid w:val="4E2118E3"/>
    <w:rsid w:val="4E41243B"/>
    <w:rsid w:val="4EB33021"/>
    <w:rsid w:val="4FD373AF"/>
    <w:rsid w:val="50CA5036"/>
    <w:rsid w:val="513D7A78"/>
    <w:rsid w:val="527252B8"/>
    <w:rsid w:val="5314011E"/>
    <w:rsid w:val="53BA1CB2"/>
    <w:rsid w:val="53D625BF"/>
    <w:rsid w:val="5437437B"/>
    <w:rsid w:val="543A7A5D"/>
    <w:rsid w:val="54496605"/>
    <w:rsid w:val="55266B59"/>
    <w:rsid w:val="56270168"/>
    <w:rsid w:val="56450519"/>
    <w:rsid w:val="567B3FEA"/>
    <w:rsid w:val="571D0AAF"/>
    <w:rsid w:val="57223490"/>
    <w:rsid w:val="572E6AA7"/>
    <w:rsid w:val="574F5E1A"/>
    <w:rsid w:val="579B2074"/>
    <w:rsid w:val="57A10E32"/>
    <w:rsid w:val="57B00A2F"/>
    <w:rsid w:val="585A16BE"/>
    <w:rsid w:val="58E25576"/>
    <w:rsid w:val="58F627A9"/>
    <w:rsid w:val="5A063D7A"/>
    <w:rsid w:val="5A1C28A5"/>
    <w:rsid w:val="5B5A4C14"/>
    <w:rsid w:val="5B8C0195"/>
    <w:rsid w:val="5C827AAB"/>
    <w:rsid w:val="5C9F493E"/>
    <w:rsid w:val="5D813406"/>
    <w:rsid w:val="5E607BFD"/>
    <w:rsid w:val="5EF2344F"/>
    <w:rsid w:val="5F2B0FDF"/>
    <w:rsid w:val="5F4E4A48"/>
    <w:rsid w:val="5FB40562"/>
    <w:rsid w:val="5FC869A8"/>
    <w:rsid w:val="60771CEC"/>
    <w:rsid w:val="60EB2ECC"/>
    <w:rsid w:val="61F0459C"/>
    <w:rsid w:val="6220576C"/>
    <w:rsid w:val="64632B14"/>
    <w:rsid w:val="66014B9E"/>
    <w:rsid w:val="66300ABC"/>
    <w:rsid w:val="667E3989"/>
    <w:rsid w:val="685F19E3"/>
    <w:rsid w:val="68937151"/>
    <w:rsid w:val="699848FB"/>
    <w:rsid w:val="6A3D062B"/>
    <w:rsid w:val="6A4057D8"/>
    <w:rsid w:val="6C55790A"/>
    <w:rsid w:val="6DA856A8"/>
    <w:rsid w:val="6DFA0AEE"/>
    <w:rsid w:val="6F502086"/>
    <w:rsid w:val="702A28D7"/>
    <w:rsid w:val="703F46DD"/>
    <w:rsid w:val="71BE0A10"/>
    <w:rsid w:val="73005551"/>
    <w:rsid w:val="74846FFC"/>
    <w:rsid w:val="75355108"/>
    <w:rsid w:val="754B4694"/>
    <w:rsid w:val="7608131E"/>
    <w:rsid w:val="76C53359"/>
    <w:rsid w:val="771C243F"/>
    <w:rsid w:val="779A1029"/>
    <w:rsid w:val="78536B10"/>
    <w:rsid w:val="7A107B2C"/>
    <w:rsid w:val="7A4058D2"/>
    <w:rsid w:val="7A6E5401"/>
    <w:rsid w:val="7C99506C"/>
    <w:rsid w:val="7C9B6098"/>
    <w:rsid w:val="7CD2235D"/>
    <w:rsid w:val="7D1A55D2"/>
    <w:rsid w:val="7DB83C18"/>
    <w:rsid w:val="7E171E3C"/>
    <w:rsid w:val="7E494870"/>
    <w:rsid w:val="7E52691E"/>
    <w:rsid w:val="7EC64656"/>
    <w:rsid w:val="7F3C7059"/>
    <w:rsid w:val="7FBD5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0" w:name="table of figures"/>
    <w:lsdException w:uiPriority="99" w:name="envelope address"/>
    <w:lsdException w:uiPriority="99" w:name="envelope return"/>
    <w:lsdException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3"/>
    <w:autoRedefine/>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44"/>
    <w:autoRedefine/>
    <w:qFormat/>
    <w:uiPriority w:val="0"/>
    <w:pPr>
      <w:keepNext/>
      <w:keepLines/>
      <w:spacing w:before="260" w:after="260" w:line="415" w:lineRule="auto"/>
      <w:outlineLvl w:val="2"/>
    </w:pPr>
    <w:rPr>
      <w:b/>
      <w:bCs/>
      <w:kern w:val="0"/>
      <w:sz w:val="32"/>
      <w:szCs w:val="32"/>
    </w:rPr>
  </w:style>
  <w:style w:type="paragraph" w:styleId="5">
    <w:name w:val="heading 4"/>
    <w:basedOn w:val="1"/>
    <w:next w:val="1"/>
    <w:link w:val="45"/>
    <w:autoRedefine/>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6"/>
    <w:basedOn w:val="1"/>
    <w:next w:val="1"/>
    <w:link w:val="46"/>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link w:val="47"/>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link w:val="4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link w:val="49"/>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0">
    <w:name w:val="Normal Indent"/>
    <w:basedOn w:val="1"/>
    <w:autoRedefine/>
    <w:qFormat/>
    <w:uiPriority w:val="0"/>
    <w:pPr>
      <w:widowControl/>
      <w:ind w:firstLine="420"/>
      <w:jc w:val="left"/>
    </w:pPr>
    <w:rPr>
      <w:kern w:val="0"/>
      <w:sz w:val="20"/>
      <w:szCs w:val="20"/>
    </w:rPr>
  </w:style>
  <w:style w:type="paragraph" w:styleId="11">
    <w:name w:val="Document Map"/>
    <w:basedOn w:val="1"/>
    <w:link w:val="53"/>
    <w:autoRedefine/>
    <w:qFormat/>
    <w:uiPriority w:val="0"/>
    <w:pPr>
      <w:shd w:val="clear" w:color="auto" w:fill="000080"/>
    </w:pPr>
    <w:rPr>
      <w:kern w:val="0"/>
      <w:sz w:val="20"/>
    </w:rPr>
  </w:style>
  <w:style w:type="paragraph" w:styleId="12">
    <w:name w:val="annotation text"/>
    <w:basedOn w:val="1"/>
    <w:link w:val="54"/>
    <w:autoRedefine/>
    <w:unhideWhenUsed/>
    <w:qFormat/>
    <w:uiPriority w:val="0"/>
    <w:pPr>
      <w:jc w:val="left"/>
    </w:pPr>
    <w:rPr>
      <w:kern w:val="0"/>
      <w:sz w:val="20"/>
    </w:rPr>
  </w:style>
  <w:style w:type="paragraph" w:styleId="13">
    <w:name w:val="Body Text 3"/>
    <w:basedOn w:val="1"/>
    <w:link w:val="61"/>
    <w:autoRedefine/>
    <w:qFormat/>
    <w:uiPriority w:val="0"/>
    <w:rPr>
      <w:rFonts w:ascii="宋体"/>
      <w:kern w:val="0"/>
      <w:sz w:val="24"/>
      <w:szCs w:val="20"/>
    </w:rPr>
  </w:style>
  <w:style w:type="paragraph" w:styleId="14">
    <w:name w:val="Body Text"/>
    <w:basedOn w:val="1"/>
    <w:next w:val="15"/>
    <w:link w:val="62"/>
    <w:autoRedefine/>
    <w:qFormat/>
    <w:uiPriority w:val="0"/>
    <w:pPr>
      <w:spacing w:after="120"/>
    </w:pPr>
    <w:rPr>
      <w:kern w:val="0"/>
      <w:sz w:val="20"/>
    </w:rPr>
  </w:style>
  <w:style w:type="paragraph" w:customStyle="1" w:styleId="15">
    <w:name w:val="RFI Heading 2nd Level Char"/>
    <w:basedOn w:val="1"/>
    <w:next w:val="16"/>
    <w:qFormat/>
    <w:uiPriority w:val="0"/>
    <w:pPr>
      <w:widowControl/>
      <w:spacing w:before="240" w:after="240"/>
      <w:ind w:left="1152" w:hanging="1152"/>
      <w:outlineLvl w:val="1"/>
    </w:pPr>
    <w:rPr>
      <w:b/>
      <w:color w:val="3366FF"/>
      <w:sz w:val="24"/>
    </w:rPr>
  </w:style>
  <w:style w:type="paragraph" w:customStyle="1" w:styleId="16">
    <w:name w:val="Normal 0.51"/>
    <w:basedOn w:val="1"/>
    <w:next w:val="1"/>
    <w:qFormat/>
    <w:uiPriority w:val="0"/>
    <w:pPr>
      <w:widowControl/>
      <w:spacing w:before="180" w:after="120"/>
      <w:ind w:left="720"/>
    </w:pPr>
    <w:rPr>
      <w:rFonts w:ascii="宋体" w:eastAsia="Times New Roman"/>
      <w:sz w:val="24"/>
    </w:rPr>
  </w:style>
  <w:style w:type="paragraph" w:styleId="17">
    <w:name w:val="Body Text Indent"/>
    <w:basedOn w:val="1"/>
    <w:next w:val="1"/>
    <w:link w:val="57"/>
    <w:autoRedefine/>
    <w:qFormat/>
    <w:uiPriority w:val="0"/>
    <w:pPr>
      <w:spacing w:after="120"/>
      <w:ind w:left="420" w:leftChars="200"/>
    </w:pPr>
    <w:rPr>
      <w:kern w:val="0"/>
      <w:sz w:val="20"/>
    </w:rPr>
  </w:style>
  <w:style w:type="paragraph" w:styleId="18">
    <w:name w:val="toc 3"/>
    <w:basedOn w:val="1"/>
    <w:next w:val="1"/>
    <w:autoRedefine/>
    <w:qFormat/>
    <w:uiPriority w:val="0"/>
    <w:pPr>
      <w:ind w:left="420"/>
      <w:jc w:val="left"/>
    </w:pPr>
    <w:rPr>
      <w:i/>
      <w:iCs/>
      <w:sz w:val="20"/>
      <w:szCs w:val="20"/>
    </w:rPr>
  </w:style>
  <w:style w:type="paragraph" w:styleId="19">
    <w:name w:val="Plain Text"/>
    <w:basedOn w:val="1"/>
    <w:next w:val="1"/>
    <w:link w:val="64"/>
    <w:autoRedefine/>
    <w:qFormat/>
    <w:uiPriority w:val="0"/>
    <w:rPr>
      <w:rFonts w:ascii="Courier New" w:hAnsi="Courier New"/>
      <w:kern w:val="0"/>
      <w:sz w:val="20"/>
      <w:szCs w:val="20"/>
    </w:rPr>
  </w:style>
  <w:style w:type="paragraph" w:styleId="20">
    <w:name w:val="Date"/>
    <w:basedOn w:val="1"/>
    <w:next w:val="1"/>
    <w:link w:val="51"/>
    <w:autoRedefine/>
    <w:qFormat/>
    <w:uiPriority w:val="0"/>
    <w:rPr>
      <w:kern w:val="0"/>
      <w:sz w:val="24"/>
      <w:szCs w:val="20"/>
    </w:rPr>
  </w:style>
  <w:style w:type="paragraph" w:styleId="21">
    <w:name w:val="Balloon Text"/>
    <w:basedOn w:val="1"/>
    <w:link w:val="59"/>
    <w:autoRedefine/>
    <w:qFormat/>
    <w:uiPriority w:val="0"/>
    <w:rPr>
      <w:kern w:val="0"/>
      <w:sz w:val="18"/>
      <w:szCs w:val="18"/>
    </w:rPr>
  </w:style>
  <w:style w:type="paragraph" w:styleId="22">
    <w:name w:val="footer"/>
    <w:basedOn w:val="1"/>
    <w:link w:val="56"/>
    <w:autoRedefine/>
    <w:qFormat/>
    <w:uiPriority w:val="0"/>
    <w:pPr>
      <w:tabs>
        <w:tab w:val="center" w:pos="4153"/>
        <w:tab w:val="right" w:pos="8306"/>
      </w:tabs>
      <w:snapToGrid w:val="0"/>
      <w:jc w:val="left"/>
    </w:pPr>
    <w:rPr>
      <w:kern w:val="0"/>
      <w:sz w:val="18"/>
      <w:szCs w:val="18"/>
    </w:rPr>
  </w:style>
  <w:style w:type="paragraph" w:styleId="23">
    <w:name w:val="header"/>
    <w:basedOn w:val="1"/>
    <w:next w:val="14"/>
    <w:link w:val="58"/>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autoRedefine/>
    <w:qFormat/>
    <w:uiPriority w:val="0"/>
    <w:pPr>
      <w:spacing w:before="120" w:after="120"/>
      <w:jc w:val="left"/>
    </w:pPr>
    <w:rPr>
      <w:b/>
      <w:bCs/>
      <w:caps/>
      <w:sz w:val="20"/>
      <w:szCs w:val="20"/>
    </w:rPr>
  </w:style>
  <w:style w:type="paragraph" w:styleId="25">
    <w:name w:val="footnote text"/>
    <w:basedOn w:val="1"/>
    <w:link w:val="60"/>
    <w:autoRedefine/>
    <w:qFormat/>
    <w:uiPriority w:val="0"/>
    <w:rPr>
      <w:kern w:val="0"/>
      <w:sz w:val="20"/>
      <w:szCs w:val="20"/>
    </w:rPr>
  </w:style>
  <w:style w:type="paragraph" w:styleId="26">
    <w:name w:val="Body Text Indent 3"/>
    <w:basedOn w:val="1"/>
    <w:link w:val="50"/>
    <w:autoRedefine/>
    <w:qFormat/>
    <w:uiPriority w:val="0"/>
    <w:pPr>
      <w:spacing w:after="120"/>
      <w:ind w:left="420" w:leftChars="200"/>
    </w:pPr>
    <w:rPr>
      <w:kern w:val="0"/>
      <w:sz w:val="16"/>
      <w:szCs w:val="16"/>
    </w:rPr>
  </w:style>
  <w:style w:type="paragraph" w:styleId="27">
    <w:name w:val="toc 2"/>
    <w:basedOn w:val="1"/>
    <w:next w:val="1"/>
    <w:autoRedefine/>
    <w:qFormat/>
    <w:uiPriority w:val="0"/>
    <w:pPr>
      <w:ind w:left="210"/>
      <w:jc w:val="left"/>
    </w:pPr>
    <w:rPr>
      <w:smallCaps/>
      <w:sz w:val="20"/>
      <w:szCs w:val="20"/>
    </w:rPr>
  </w:style>
  <w:style w:type="paragraph" w:styleId="28">
    <w:name w:val="Body Text 2"/>
    <w:basedOn w:val="1"/>
    <w:qFormat/>
    <w:uiPriority w:val="0"/>
    <w:pPr>
      <w:spacing w:after="120" w:afterLines="0" w:line="480" w:lineRule="auto"/>
    </w:pPr>
    <w:rPr>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0">
    <w:name w:val="Title"/>
    <w:basedOn w:val="1"/>
    <w:link w:val="52"/>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1">
    <w:name w:val="annotation subject"/>
    <w:basedOn w:val="12"/>
    <w:next w:val="12"/>
    <w:link w:val="55"/>
    <w:autoRedefine/>
    <w:qFormat/>
    <w:uiPriority w:val="0"/>
    <w:rPr>
      <w:b/>
      <w:bCs/>
    </w:rPr>
  </w:style>
  <w:style w:type="paragraph" w:styleId="32">
    <w:name w:val="Body Text First Indent"/>
    <w:basedOn w:val="1"/>
    <w:link w:val="65"/>
    <w:autoRedefine/>
    <w:qFormat/>
    <w:uiPriority w:val="0"/>
    <w:pPr>
      <w:spacing w:line="312" w:lineRule="auto"/>
      <w:ind w:firstLine="420"/>
    </w:pPr>
    <w:rPr>
      <w:rFonts w:ascii="Calibri" w:hAnsi="Calibri"/>
    </w:rPr>
  </w:style>
  <w:style w:type="paragraph" w:styleId="33">
    <w:name w:val="Body Text First Indent 2"/>
    <w:basedOn w:val="17"/>
    <w:next w:val="1"/>
    <w:autoRedefine/>
    <w:qFormat/>
    <w:uiPriority w:val="0"/>
    <w:pPr>
      <w:tabs>
        <w:tab w:val="left" w:pos="5580"/>
      </w:tabs>
      <w:ind w:firstLine="420"/>
    </w:pPr>
  </w:style>
  <w:style w:type="table" w:styleId="35">
    <w:name w:val="Table Grid"/>
    <w:basedOn w:val="3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22"/>
    <w:rPr>
      <w:b/>
      <w:bCs/>
    </w:rPr>
  </w:style>
  <w:style w:type="character" w:styleId="38">
    <w:name w:val="page number"/>
    <w:basedOn w:val="36"/>
    <w:autoRedefine/>
    <w:qFormat/>
    <w:uiPriority w:val="0"/>
  </w:style>
  <w:style w:type="character" w:styleId="39">
    <w:name w:val="Hyperlink"/>
    <w:autoRedefine/>
    <w:qFormat/>
    <w:uiPriority w:val="0"/>
    <w:rPr>
      <w:color w:val="0000FF"/>
      <w:u w:val="single"/>
    </w:rPr>
  </w:style>
  <w:style w:type="character" w:styleId="40">
    <w:name w:val="annotation reference"/>
    <w:autoRedefine/>
    <w:semiHidden/>
    <w:qFormat/>
    <w:uiPriority w:val="0"/>
    <w:rPr>
      <w:sz w:val="21"/>
      <w:szCs w:val="21"/>
    </w:rPr>
  </w:style>
  <w:style w:type="paragraph" w:customStyle="1" w:styleId="41">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2">
    <w:name w:val="标题 1 Char"/>
    <w:link w:val="2"/>
    <w:autoRedefine/>
    <w:qFormat/>
    <w:uiPriority w:val="0"/>
    <w:rPr>
      <w:rFonts w:ascii="Times New Roman" w:hAnsi="Times New Roman" w:eastAsia="宋体" w:cs="Times New Roman"/>
      <w:b/>
      <w:bCs/>
      <w:kern w:val="44"/>
      <w:sz w:val="44"/>
      <w:szCs w:val="44"/>
    </w:rPr>
  </w:style>
  <w:style w:type="character" w:customStyle="1" w:styleId="43">
    <w:name w:val="标题 2 Char"/>
    <w:basedOn w:val="36"/>
    <w:link w:val="3"/>
    <w:autoRedefine/>
    <w:qFormat/>
    <w:uiPriority w:val="0"/>
    <w:rPr>
      <w:rFonts w:ascii="Arial" w:hAnsi="Arial" w:eastAsia="黑体" w:cs="Times New Roman"/>
      <w:b/>
      <w:bCs/>
      <w:sz w:val="32"/>
      <w:szCs w:val="32"/>
    </w:rPr>
  </w:style>
  <w:style w:type="character" w:customStyle="1" w:styleId="44">
    <w:name w:val="标题 3 Char"/>
    <w:link w:val="4"/>
    <w:autoRedefine/>
    <w:qFormat/>
    <w:uiPriority w:val="0"/>
    <w:rPr>
      <w:rFonts w:ascii="Times New Roman" w:hAnsi="Times New Roman" w:eastAsia="宋体" w:cs="Times New Roman"/>
      <w:b/>
      <w:bCs/>
      <w:sz w:val="32"/>
      <w:szCs w:val="32"/>
    </w:rPr>
  </w:style>
  <w:style w:type="character" w:customStyle="1" w:styleId="45">
    <w:name w:val="标题 4 Char"/>
    <w:link w:val="5"/>
    <w:autoRedefine/>
    <w:qFormat/>
    <w:uiPriority w:val="0"/>
    <w:rPr>
      <w:rFonts w:ascii="Arial" w:hAnsi="Arial" w:eastAsia="黑体" w:cs="Times New Roman"/>
      <w:b/>
      <w:bCs/>
      <w:sz w:val="28"/>
      <w:szCs w:val="28"/>
    </w:rPr>
  </w:style>
  <w:style w:type="character" w:customStyle="1" w:styleId="46">
    <w:name w:val="标题 6 Char"/>
    <w:link w:val="6"/>
    <w:autoRedefine/>
    <w:qFormat/>
    <w:uiPriority w:val="0"/>
    <w:rPr>
      <w:rFonts w:ascii="Arial" w:hAnsi="Arial" w:eastAsia="黑体" w:cs="Times New Roman"/>
      <w:b/>
      <w:bCs/>
      <w:kern w:val="0"/>
      <w:sz w:val="24"/>
      <w:szCs w:val="24"/>
    </w:rPr>
  </w:style>
  <w:style w:type="character" w:customStyle="1" w:styleId="47">
    <w:name w:val="标题 7 Char"/>
    <w:link w:val="7"/>
    <w:autoRedefine/>
    <w:qFormat/>
    <w:uiPriority w:val="0"/>
    <w:rPr>
      <w:rFonts w:ascii="Times New Roman" w:hAnsi="Times New Roman" w:eastAsia="宋体" w:cs="Times New Roman"/>
      <w:b/>
      <w:bCs/>
      <w:kern w:val="0"/>
      <w:sz w:val="24"/>
      <w:szCs w:val="24"/>
    </w:rPr>
  </w:style>
  <w:style w:type="character" w:customStyle="1" w:styleId="48">
    <w:name w:val="标题 8 Char"/>
    <w:link w:val="8"/>
    <w:autoRedefine/>
    <w:qFormat/>
    <w:uiPriority w:val="0"/>
    <w:rPr>
      <w:rFonts w:ascii="Arial" w:hAnsi="Arial" w:eastAsia="黑体" w:cs="Times New Roman"/>
      <w:kern w:val="0"/>
      <w:sz w:val="24"/>
      <w:szCs w:val="24"/>
    </w:rPr>
  </w:style>
  <w:style w:type="character" w:customStyle="1" w:styleId="49">
    <w:name w:val="标题 9 Char"/>
    <w:link w:val="9"/>
    <w:autoRedefine/>
    <w:qFormat/>
    <w:uiPriority w:val="0"/>
    <w:rPr>
      <w:rFonts w:ascii="Arial" w:hAnsi="Arial" w:eastAsia="黑体" w:cs="Times New Roman"/>
      <w:kern w:val="0"/>
      <w:szCs w:val="21"/>
    </w:rPr>
  </w:style>
  <w:style w:type="character" w:customStyle="1" w:styleId="50">
    <w:name w:val="正文文本缩进 3 Char"/>
    <w:link w:val="26"/>
    <w:autoRedefine/>
    <w:qFormat/>
    <w:uiPriority w:val="0"/>
    <w:rPr>
      <w:rFonts w:ascii="Times New Roman" w:hAnsi="Times New Roman" w:eastAsia="宋体" w:cs="Times New Roman"/>
      <w:sz w:val="16"/>
      <w:szCs w:val="16"/>
    </w:rPr>
  </w:style>
  <w:style w:type="character" w:customStyle="1" w:styleId="51">
    <w:name w:val="日期 Char"/>
    <w:link w:val="20"/>
    <w:autoRedefine/>
    <w:qFormat/>
    <w:uiPriority w:val="0"/>
    <w:rPr>
      <w:rFonts w:ascii="Times New Roman" w:hAnsi="Times New Roman" w:eastAsia="宋体" w:cs="Times New Roman"/>
      <w:sz w:val="24"/>
      <w:szCs w:val="20"/>
    </w:rPr>
  </w:style>
  <w:style w:type="character" w:customStyle="1" w:styleId="52">
    <w:name w:val="标题 Char"/>
    <w:link w:val="30"/>
    <w:autoRedefine/>
    <w:qFormat/>
    <w:uiPriority w:val="0"/>
    <w:rPr>
      <w:rFonts w:ascii="Arial" w:hAnsi="Arial" w:eastAsia="宋体" w:cs="Times New Roman"/>
      <w:b/>
      <w:kern w:val="0"/>
      <w:sz w:val="32"/>
      <w:szCs w:val="20"/>
    </w:rPr>
  </w:style>
  <w:style w:type="character" w:customStyle="1" w:styleId="53">
    <w:name w:val="文档结构图 Char"/>
    <w:link w:val="11"/>
    <w:autoRedefine/>
    <w:qFormat/>
    <w:uiPriority w:val="0"/>
    <w:rPr>
      <w:rFonts w:ascii="Times New Roman" w:hAnsi="Times New Roman" w:eastAsia="宋体" w:cs="Times New Roman"/>
      <w:szCs w:val="24"/>
      <w:shd w:val="clear" w:color="auto" w:fill="000080"/>
    </w:rPr>
  </w:style>
  <w:style w:type="character" w:customStyle="1" w:styleId="54">
    <w:name w:val="批注文字 Char"/>
    <w:link w:val="12"/>
    <w:autoRedefine/>
    <w:qFormat/>
    <w:uiPriority w:val="0"/>
    <w:rPr>
      <w:rFonts w:ascii="Times New Roman" w:hAnsi="Times New Roman" w:eastAsia="宋体" w:cs="Times New Roman"/>
      <w:szCs w:val="24"/>
    </w:rPr>
  </w:style>
  <w:style w:type="character" w:customStyle="1" w:styleId="55">
    <w:name w:val="批注主题 Char"/>
    <w:link w:val="31"/>
    <w:autoRedefine/>
    <w:qFormat/>
    <w:uiPriority w:val="0"/>
    <w:rPr>
      <w:rFonts w:ascii="Times New Roman" w:hAnsi="Times New Roman" w:eastAsia="宋体" w:cs="Times New Roman"/>
      <w:b/>
      <w:bCs/>
      <w:szCs w:val="24"/>
    </w:rPr>
  </w:style>
  <w:style w:type="character" w:customStyle="1" w:styleId="56">
    <w:name w:val="页脚 Char"/>
    <w:link w:val="22"/>
    <w:autoRedefine/>
    <w:qFormat/>
    <w:uiPriority w:val="0"/>
    <w:rPr>
      <w:rFonts w:ascii="Times New Roman" w:hAnsi="Times New Roman" w:eastAsia="宋体" w:cs="Times New Roman"/>
      <w:sz w:val="18"/>
      <w:szCs w:val="18"/>
    </w:rPr>
  </w:style>
  <w:style w:type="character" w:customStyle="1" w:styleId="57">
    <w:name w:val="正文文本缩进 Char"/>
    <w:link w:val="17"/>
    <w:autoRedefine/>
    <w:qFormat/>
    <w:uiPriority w:val="0"/>
    <w:rPr>
      <w:rFonts w:ascii="Times New Roman" w:hAnsi="Times New Roman" w:eastAsia="宋体" w:cs="Times New Roman"/>
      <w:szCs w:val="24"/>
    </w:rPr>
  </w:style>
  <w:style w:type="character" w:customStyle="1" w:styleId="58">
    <w:name w:val="页眉 Char"/>
    <w:link w:val="23"/>
    <w:autoRedefine/>
    <w:qFormat/>
    <w:uiPriority w:val="99"/>
    <w:rPr>
      <w:rFonts w:ascii="Times New Roman" w:hAnsi="Times New Roman" w:eastAsia="宋体" w:cs="Times New Roman"/>
      <w:sz w:val="18"/>
      <w:szCs w:val="18"/>
    </w:rPr>
  </w:style>
  <w:style w:type="character" w:customStyle="1" w:styleId="59">
    <w:name w:val="批注框文本 Char"/>
    <w:link w:val="21"/>
    <w:autoRedefine/>
    <w:qFormat/>
    <w:uiPriority w:val="0"/>
    <w:rPr>
      <w:rFonts w:ascii="Times New Roman" w:hAnsi="Times New Roman" w:eastAsia="宋体" w:cs="Times New Roman"/>
      <w:sz w:val="18"/>
      <w:szCs w:val="18"/>
    </w:rPr>
  </w:style>
  <w:style w:type="character" w:customStyle="1" w:styleId="60">
    <w:name w:val="脚注文本 Char"/>
    <w:link w:val="25"/>
    <w:autoRedefine/>
    <w:qFormat/>
    <w:uiPriority w:val="0"/>
    <w:rPr>
      <w:rFonts w:ascii="Times New Roman" w:hAnsi="Times New Roman" w:eastAsia="宋体" w:cs="Times New Roman"/>
      <w:sz w:val="20"/>
      <w:szCs w:val="20"/>
    </w:rPr>
  </w:style>
  <w:style w:type="character" w:customStyle="1" w:styleId="61">
    <w:name w:val="正文文本 3 Char"/>
    <w:link w:val="13"/>
    <w:autoRedefine/>
    <w:qFormat/>
    <w:uiPriority w:val="0"/>
    <w:rPr>
      <w:rFonts w:ascii="宋体" w:hAnsi="Times New Roman" w:eastAsia="宋体" w:cs="Times New Roman"/>
      <w:sz w:val="24"/>
      <w:szCs w:val="20"/>
    </w:rPr>
  </w:style>
  <w:style w:type="character" w:customStyle="1" w:styleId="62">
    <w:name w:val="正文文本 Char1"/>
    <w:link w:val="14"/>
    <w:autoRedefine/>
    <w:qFormat/>
    <w:uiPriority w:val="0"/>
    <w:rPr>
      <w:rFonts w:ascii="Times New Roman" w:hAnsi="Times New Roman" w:eastAsia="宋体" w:cs="Times New Roman"/>
      <w:szCs w:val="24"/>
    </w:rPr>
  </w:style>
  <w:style w:type="character" w:customStyle="1" w:styleId="63">
    <w:name w:val="正文文本 Char"/>
    <w:autoRedefine/>
    <w:qFormat/>
    <w:uiPriority w:val="0"/>
    <w:rPr>
      <w:rFonts w:ascii="Times New Roman" w:hAnsi="Times New Roman" w:eastAsia="宋体" w:cs="Times New Roman"/>
      <w:szCs w:val="24"/>
    </w:rPr>
  </w:style>
  <w:style w:type="character" w:customStyle="1" w:styleId="64">
    <w:name w:val="纯文本 Char"/>
    <w:link w:val="19"/>
    <w:autoRedefine/>
    <w:qFormat/>
    <w:uiPriority w:val="0"/>
    <w:rPr>
      <w:rFonts w:ascii="Courier New" w:hAnsi="Courier New" w:eastAsia="宋体" w:cs="Times New Roman"/>
      <w:szCs w:val="20"/>
    </w:rPr>
  </w:style>
  <w:style w:type="character" w:customStyle="1" w:styleId="65">
    <w:name w:val="正文首行缩进 Char"/>
    <w:basedOn w:val="63"/>
    <w:link w:val="32"/>
    <w:autoRedefine/>
    <w:qFormat/>
    <w:uiPriority w:val="0"/>
    <w:rPr>
      <w:rFonts w:ascii="Times New Roman" w:hAnsi="Times New Roman" w:eastAsia="宋体" w:cs="Times New Roman"/>
      <w:szCs w:val="24"/>
    </w:rPr>
  </w:style>
  <w:style w:type="paragraph" w:customStyle="1" w:styleId="6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67">
    <w:name w:val="正文首行缩进 Char1"/>
    <w:basedOn w:val="63"/>
    <w:autoRedefine/>
    <w:qFormat/>
    <w:uiPriority w:val="0"/>
    <w:rPr>
      <w:rFonts w:ascii="Times New Roman" w:hAnsi="Times New Roman" w:eastAsia="宋体" w:cs="Times New Roman"/>
      <w:szCs w:val="24"/>
    </w:rPr>
  </w:style>
  <w:style w:type="paragraph" w:customStyle="1" w:styleId="68">
    <w:name w:val="刊登"/>
    <w:basedOn w:val="1"/>
    <w:autoRedefine/>
    <w:qFormat/>
    <w:uiPriority w:val="0"/>
    <w:pPr>
      <w:ind w:firstLine="588"/>
    </w:pPr>
    <w:rPr>
      <w:sz w:val="30"/>
    </w:rPr>
  </w:style>
  <w:style w:type="character" w:customStyle="1" w:styleId="69">
    <w:name w:val="textcontents"/>
    <w:basedOn w:val="36"/>
    <w:autoRedefine/>
    <w:qFormat/>
    <w:uiPriority w:val="0"/>
  </w:style>
  <w:style w:type="character" w:customStyle="1" w:styleId="70">
    <w:name w:val="NormalCharacter"/>
    <w:autoRedefine/>
    <w:qFormat/>
    <w:uiPriority w:val="0"/>
  </w:style>
  <w:style w:type="paragraph" w:customStyle="1" w:styleId="71">
    <w:name w:val="Heading3"/>
    <w:basedOn w:val="1"/>
    <w:next w:val="1"/>
    <w:autoRedefine/>
    <w:qFormat/>
    <w:uiPriority w:val="0"/>
    <w:pPr>
      <w:keepNext/>
      <w:keepLines/>
      <w:spacing w:before="260" w:after="260" w:line="415" w:lineRule="auto"/>
    </w:pPr>
    <w:rPr>
      <w:kern w:val="0"/>
      <w:sz w:val="32"/>
      <w:szCs w:val="32"/>
    </w:rPr>
  </w:style>
  <w:style w:type="paragraph" w:customStyle="1" w:styleId="72">
    <w:name w:val="Heading2"/>
    <w:basedOn w:val="1"/>
    <w:next w:val="1"/>
    <w:autoRedefine/>
    <w:qFormat/>
    <w:uiPriority w:val="0"/>
    <w:pPr>
      <w:keepNext/>
      <w:keepLines/>
      <w:spacing w:before="260" w:after="260" w:line="415" w:lineRule="auto"/>
    </w:pPr>
    <w:rPr>
      <w:rFonts w:ascii="Arial" w:hAnsi="Arial" w:eastAsia="黑体"/>
      <w:kern w:val="0"/>
      <w:sz w:val="32"/>
      <w:szCs w:val="32"/>
    </w:rPr>
  </w:style>
  <w:style w:type="paragraph" w:customStyle="1" w:styleId="73">
    <w:name w:val="Table Text"/>
    <w:basedOn w:val="1"/>
    <w:autoRedefine/>
    <w:semiHidden/>
    <w:qFormat/>
    <w:uiPriority w:val="0"/>
    <w:rPr>
      <w:rFonts w:ascii="宋体" w:hAnsi="宋体" w:cs="宋体"/>
      <w:szCs w:val="21"/>
      <w:lang w:eastAsia="en-US"/>
    </w:rPr>
  </w:style>
  <w:style w:type="paragraph" w:customStyle="1" w:styleId="74">
    <w:name w:val="Heading4"/>
    <w:basedOn w:val="1"/>
    <w:next w:val="1"/>
    <w:autoRedefine/>
    <w:qFormat/>
    <w:uiPriority w:val="0"/>
    <w:pPr>
      <w:keepNext/>
      <w:keepLines/>
      <w:spacing w:before="280" w:after="290" w:line="374" w:lineRule="auto"/>
    </w:pPr>
    <w:rPr>
      <w:rFonts w:ascii="Arial" w:hAnsi="Arial" w:eastAsia="黑体"/>
      <w:kern w:val="0"/>
      <w:sz w:val="28"/>
      <w:szCs w:val="28"/>
    </w:rPr>
  </w:style>
  <w:style w:type="table" w:customStyle="1" w:styleId="75">
    <w:name w:val="Table Normal"/>
    <w:semiHidden/>
    <w:unhideWhenUsed/>
    <w:qFormat/>
    <w:uiPriority w:val="0"/>
    <w:tblPr>
      <w:tblCellMar>
        <w:top w:w="0" w:type="dxa"/>
        <w:left w:w="0" w:type="dxa"/>
        <w:bottom w:w="0" w:type="dxa"/>
        <w:right w:w="0" w:type="dxa"/>
      </w:tblCellMar>
    </w:tblPr>
  </w:style>
  <w:style w:type="character" w:customStyle="1" w:styleId="76">
    <w:name w:val="font21"/>
    <w:basedOn w:val="36"/>
    <w:qFormat/>
    <w:uiPriority w:val="0"/>
    <w:rPr>
      <w:rFonts w:ascii="宋体" w:hAnsi="宋体" w:eastAsia="宋体" w:cs="宋体"/>
      <w:color w:val="000000"/>
      <w:sz w:val="62"/>
      <w:szCs w:val="62"/>
      <w:u w:val="none"/>
    </w:rPr>
  </w:style>
  <w:style w:type="character" w:customStyle="1" w:styleId="77">
    <w:name w:val="font51"/>
    <w:basedOn w:val="36"/>
    <w:qFormat/>
    <w:uiPriority w:val="0"/>
    <w:rPr>
      <w:rFonts w:ascii="宋体" w:hAnsi="宋体" w:eastAsia="宋体" w:cs="宋体"/>
      <w:color w:val="000000"/>
      <w:sz w:val="66"/>
      <w:szCs w:val="66"/>
      <w:u w:val="none"/>
    </w:rPr>
  </w:style>
  <w:style w:type="paragraph" w:customStyle="1" w:styleId="78">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6730</Words>
  <Characters>7487</Characters>
  <Lines>164</Lines>
  <Paragraphs>46</Paragraphs>
  <TotalTime>11</TotalTime>
  <ScaleCrop>false</ScaleCrop>
  <LinksUpToDate>false</LinksUpToDate>
  <CharactersWithSpaces>7672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2018-03-30T03:08:00Z</dcterms:created>
  <dc:creator>Administrator</dc:creator>
  <cp:lastModifiedBy>Administrator</cp:lastModifiedBy>
  <cp:lastPrinted>2025-07-30T05:22:00Z</cp:lastPrinted>
  <dcterms:modified xsi:type="dcterms:W3CDTF">2026-05-21T05:28:18Z</dcterms:modified>
  <dc:title>项目编号：GHY2016-009</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DB7C738EBB954191B94B6CC04ECE6A8D_13</vt:lpwstr>
  </property>
  <property fmtid="{D5CDD505-2E9C-101B-9397-08002B2CF9AE}" pid="4" name="KSOTemplateDocerSaveRecord">
    <vt:lpwstr>eyJoZGlkIjoiNzA5N2M0OTRiY2Y5M2VhMDExYmMzZmViNjY5NWE4NzIiLCJ1c2VySWQiOiIzNzI1MjQ3MTkifQ==</vt:lpwstr>
  </property>
</Properties>
</file>